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59CE" w:rsidP="00B159CE">
      <w:pPr>
        <w:pStyle w:val="OrderHeading"/>
      </w:pPr>
      <w:r>
        <w:t>BEFORE THE FLORIDA PUBLIC SERVICE COMMISSION</w:t>
      </w:r>
    </w:p>
    <w:p w:rsidR="00B159CE" w:rsidRDefault="00B159CE" w:rsidP="00B159CE">
      <w:pPr>
        <w:pStyle w:val="OrderBody"/>
      </w:pPr>
    </w:p>
    <w:p w:rsidR="00B159CE" w:rsidRDefault="00B159CE" w:rsidP="00B159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59CE" w:rsidRPr="00C63FCF" w:rsidTr="00042143">
        <w:trPr>
          <w:trHeight w:val="828"/>
        </w:trPr>
        <w:tc>
          <w:tcPr>
            <w:tcW w:w="4788" w:type="dxa"/>
            <w:tcBorders>
              <w:bottom w:val="single" w:sz="8" w:space="0" w:color="auto"/>
              <w:right w:val="double" w:sz="6" w:space="0" w:color="auto"/>
            </w:tcBorders>
            <w:shd w:val="clear" w:color="auto" w:fill="auto"/>
          </w:tcPr>
          <w:p w:rsidR="00B159CE" w:rsidRDefault="00B159CE" w:rsidP="00042143">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159CE" w:rsidRDefault="00B159CE" w:rsidP="00B159CE">
            <w:pPr>
              <w:pStyle w:val="OrderBody"/>
            </w:pPr>
            <w:r>
              <w:t xml:space="preserve">DOCKET NO. </w:t>
            </w:r>
            <w:bookmarkStart w:id="1" w:name="SSDocketNo"/>
            <w:bookmarkEnd w:id="1"/>
            <w:r>
              <w:t>20240025-EI</w:t>
            </w:r>
          </w:p>
          <w:p w:rsidR="00B159CE" w:rsidRDefault="00B159CE" w:rsidP="00042143">
            <w:pPr>
              <w:pStyle w:val="OrderBody"/>
              <w:tabs>
                <w:tab w:val="center" w:pos="4320"/>
                <w:tab w:val="right" w:pos="8640"/>
              </w:tabs>
              <w:jc w:val="left"/>
            </w:pPr>
            <w:r>
              <w:t xml:space="preserve">ORDER NO. </w:t>
            </w:r>
            <w:bookmarkStart w:id="2" w:name="OrderNo0360"/>
            <w:r w:rsidR="00C36E11">
              <w:t>PSC-2024-0360-PHO-EI</w:t>
            </w:r>
            <w:bookmarkEnd w:id="2"/>
          </w:p>
          <w:p w:rsidR="00B159CE" w:rsidRDefault="00B159CE" w:rsidP="00042143">
            <w:pPr>
              <w:pStyle w:val="OrderBody"/>
              <w:tabs>
                <w:tab w:val="center" w:pos="4320"/>
                <w:tab w:val="right" w:pos="8640"/>
              </w:tabs>
              <w:jc w:val="left"/>
            </w:pPr>
            <w:r>
              <w:t xml:space="preserve">ISSUED: </w:t>
            </w:r>
            <w:r w:rsidR="00C36E11">
              <w:t>August 15, 2024</w:t>
            </w:r>
          </w:p>
        </w:tc>
      </w:tr>
    </w:tbl>
    <w:p w:rsidR="00B159CE" w:rsidRDefault="00B159CE" w:rsidP="00B159CE"/>
    <w:p w:rsidR="00CB5276" w:rsidRDefault="00B159CE" w:rsidP="00B159CE">
      <w:pPr>
        <w:pStyle w:val="CenterUnderline"/>
      </w:pPr>
      <w:bookmarkStart w:id="3" w:name="Commissioners"/>
      <w:bookmarkEnd w:id="3"/>
      <w:r>
        <w:t>PREHEARING ORDER</w:t>
      </w:r>
    </w:p>
    <w:p w:rsidR="00B159CE" w:rsidRDefault="00B159CE" w:rsidP="00B159CE">
      <w:pPr>
        <w:pStyle w:val="OrderBody"/>
      </w:pPr>
    </w:p>
    <w:p w:rsidR="00042143" w:rsidRPr="00701945" w:rsidRDefault="00591E52" w:rsidP="00042143">
      <w:pPr>
        <w:jc w:val="both"/>
      </w:pPr>
      <w:bookmarkStart w:id="4" w:name="OrderText"/>
      <w:bookmarkEnd w:id="4"/>
      <w:r>
        <w:tab/>
        <w:t>T</w:t>
      </w:r>
      <w:r w:rsidR="00042143" w:rsidRPr="00701945">
        <w:t xml:space="preserve">his </w:t>
      </w:r>
      <w:r w:rsidR="00042143">
        <w:t xml:space="preserve">Prehearing </w:t>
      </w:r>
      <w:r w:rsidR="00042143" w:rsidRPr="00701945">
        <w:t xml:space="preserve">Order </w:t>
      </w:r>
      <w:r w:rsidRPr="006E6E55">
        <w:t xml:space="preserve">is issued pursuant to the authority granted by Rule 28-106.211, </w:t>
      </w:r>
      <w:r>
        <w:t>Florida Administrative Code (</w:t>
      </w:r>
      <w:r w:rsidRPr="006E6E55">
        <w:t>F.A.C.</w:t>
      </w:r>
      <w:r>
        <w:t>)</w:t>
      </w:r>
      <w:r w:rsidRPr="006E6E55">
        <w:t>, which</w:t>
      </w:r>
      <w:r>
        <w:t xml:space="preserve"> </w:t>
      </w:r>
      <w:r w:rsidRPr="006E6E55">
        <w:t>provides that the presiding officer before whom a case is 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p>
    <w:p w:rsidR="00B159CE" w:rsidRDefault="00B159CE" w:rsidP="00B159CE">
      <w:pPr>
        <w:jc w:val="both"/>
      </w:pPr>
    </w:p>
    <w:p w:rsidR="00591E52" w:rsidRPr="00701945" w:rsidRDefault="00591E52" w:rsidP="00B159CE">
      <w:pPr>
        <w:jc w:val="both"/>
      </w:pPr>
    </w:p>
    <w:p w:rsidR="00B159CE" w:rsidRPr="00A32DC5" w:rsidRDefault="00B159CE" w:rsidP="00B159CE">
      <w:pPr>
        <w:jc w:val="both"/>
        <w:rPr>
          <w:b/>
        </w:rPr>
      </w:pPr>
      <w:r w:rsidRPr="00A32DC5">
        <w:rPr>
          <w:b/>
        </w:rPr>
        <w:t>I.</w:t>
      </w:r>
      <w:r w:rsidRPr="00A32DC5">
        <w:rPr>
          <w:b/>
        </w:rPr>
        <w:tab/>
      </w:r>
      <w:r w:rsidRPr="00A32DC5">
        <w:rPr>
          <w:b/>
          <w:u w:val="single"/>
        </w:rPr>
        <w:t>CASE BACKGROUND</w:t>
      </w:r>
    </w:p>
    <w:p w:rsidR="00B159CE" w:rsidRPr="00701945" w:rsidRDefault="00B159CE" w:rsidP="00B159CE">
      <w:pPr>
        <w:jc w:val="both"/>
      </w:pPr>
    </w:p>
    <w:p w:rsidR="00042143" w:rsidRDefault="00042143" w:rsidP="0004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B33CB">
        <w:t>Duke Energy Florida</w:t>
      </w:r>
      <w:r>
        <w:t>, LLC (DEF</w:t>
      </w:r>
      <w:r w:rsidRPr="00AB33CB">
        <w:t xml:space="preserve">) filed its Petition for Rate Increase, minimum filing requirements (MFRs), and </w:t>
      </w:r>
      <w:r>
        <w:t>testimony on April 2, 2024. DEF</w:t>
      </w:r>
      <w:r w:rsidRPr="00AB33CB">
        <w:t xml:space="preserve"> filed its MFRs based on projected test years from January 1 to December 31, 2025; January 1 to December 31, 2026; and January 1 to December 31, 2027. </w:t>
      </w:r>
      <w:r>
        <w:t xml:space="preserve">By Order No. PSC-2024-0092-PCO-EI, issued April 11, 2024, </w:t>
      </w:r>
      <w:r w:rsidRPr="00AB33CB">
        <w:t>a</w:t>
      </w:r>
      <w:r>
        <w:t xml:space="preserve"> fi</w:t>
      </w:r>
      <w:r w:rsidRPr="00AB33CB">
        <w:t>n</w:t>
      </w:r>
      <w:r>
        <w:t>al</w:t>
      </w:r>
      <w:r w:rsidRPr="00AB33CB">
        <w:t xml:space="preserve"> administrative hearing </w:t>
      </w:r>
      <w:r>
        <w:t>was</w:t>
      </w:r>
      <w:r w:rsidRPr="00AB33CB">
        <w:t xml:space="preserve"> scheduled for August 12 – </w:t>
      </w:r>
      <w:r>
        <w:t>16</w:t>
      </w:r>
      <w:r w:rsidRPr="00AB33CB">
        <w:t>, 2024</w:t>
      </w:r>
      <w:r>
        <w:t>, with August 19 – 23, 2024, also reserved for the continuation and conclusion of the hearing, if necessary.</w:t>
      </w:r>
    </w:p>
    <w:p w:rsidR="00042143" w:rsidRDefault="00042143" w:rsidP="0004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42143" w:rsidRDefault="00042143" w:rsidP="00042143">
      <w:pPr>
        <w:autoSpaceDE w:val="0"/>
        <w:autoSpaceDN w:val="0"/>
        <w:adjustRightInd w:val="0"/>
        <w:jc w:val="both"/>
      </w:pPr>
      <w:r>
        <w:tab/>
        <w:t>Intervention by the</w:t>
      </w:r>
      <w:r w:rsidRPr="009B7AF9">
        <w:t xml:space="preserve"> </w:t>
      </w:r>
      <w:r>
        <w:t>Citizens of the State of Florida through the Office of Public Counsel (OPC) was acknowledged by Order No. PSC-2024-0041-PCO-EI, issued February 16, 2024. Petitions to Intervene filed by the following entities and associations were subsequently granted: Florida Rising, Inc. and the League of United Latin American C</w:t>
      </w:r>
      <w:r w:rsidRPr="003824F4">
        <w:t xml:space="preserve">itizens of Florida (collectively </w:t>
      </w:r>
      <w:r>
        <w:t>(</w:t>
      </w:r>
      <w:r w:rsidRPr="003824F4">
        <w:t>LULAC)</w:t>
      </w:r>
      <w:r>
        <w:t>;</w:t>
      </w:r>
      <w:r w:rsidRPr="003824F4">
        <w:rPr>
          <w:rStyle w:val="FootnoteReference"/>
        </w:rPr>
        <w:footnoteReference w:id="1"/>
      </w:r>
      <w:r w:rsidRPr="003824F4">
        <w:t xml:space="preserve"> Florida Industrial Power Users Group (FIPUG)</w:t>
      </w:r>
      <w:r>
        <w:t>;</w:t>
      </w:r>
      <w:r w:rsidRPr="003824F4">
        <w:rPr>
          <w:rStyle w:val="FootnoteReference"/>
        </w:rPr>
        <w:footnoteReference w:id="2"/>
      </w:r>
      <w:r w:rsidRPr="003824F4">
        <w:t xml:space="preserve"> Florida Retail Federation (FRF)</w:t>
      </w:r>
      <w:r>
        <w:t>;</w:t>
      </w:r>
      <w:r w:rsidRPr="003824F4">
        <w:rPr>
          <w:rStyle w:val="FootnoteReference"/>
        </w:rPr>
        <w:footnoteReference w:id="3"/>
      </w:r>
      <w:r w:rsidRPr="003824F4">
        <w:t xml:space="preserve"> Sierra Club</w:t>
      </w:r>
      <w:r>
        <w:t>;</w:t>
      </w:r>
      <w:r w:rsidRPr="003824F4">
        <w:rPr>
          <w:rStyle w:val="FootnoteReference"/>
        </w:rPr>
        <w:footnoteReference w:id="4"/>
      </w:r>
      <w:r w:rsidRPr="003824F4">
        <w:t xml:space="preserve"> </w:t>
      </w:r>
      <w:r w:rsidRPr="003824F4">
        <w:rPr>
          <w:color w:val="101010"/>
        </w:rPr>
        <w:t>White Sprin</w:t>
      </w:r>
      <w:r w:rsidRPr="003824F4">
        <w:rPr>
          <w:color w:val="343434"/>
        </w:rPr>
        <w:t xml:space="preserve">gs </w:t>
      </w:r>
      <w:r w:rsidRPr="003824F4">
        <w:rPr>
          <w:color w:val="252525"/>
        </w:rPr>
        <w:t xml:space="preserve">Agricultural Chemicals, </w:t>
      </w:r>
      <w:r w:rsidRPr="003824F4">
        <w:rPr>
          <w:color w:val="101010"/>
        </w:rPr>
        <w:t>Inc</w:t>
      </w:r>
      <w:r w:rsidRPr="003824F4">
        <w:rPr>
          <w:color w:val="4A4750"/>
        </w:rPr>
        <w:t xml:space="preserve">. </w:t>
      </w:r>
      <w:r w:rsidRPr="003824F4">
        <w:rPr>
          <w:color w:val="101010"/>
        </w:rPr>
        <w:t>d/b</w:t>
      </w:r>
      <w:r w:rsidRPr="003824F4">
        <w:rPr>
          <w:color w:val="616063"/>
        </w:rPr>
        <w:t>/</w:t>
      </w:r>
      <w:r w:rsidRPr="003824F4">
        <w:rPr>
          <w:color w:val="252525"/>
        </w:rPr>
        <w:t xml:space="preserve">a </w:t>
      </w:r>
      <w:r w:rsidRPr="003824F4">
        <w:rPr>
          <w:color w:val="101010"/>
        </w:rPr>
        <w:t>PCS</w:t>
      </w:r>
      <w:r>
        <w:rPr>
          <w:color w:val="101010"/>
        </w:rPr>
        <w:t xml:space="preserve"> </w:t>
      </w:r>
      <w:r w:rsidRPr="003824F4">
        <w:rPr>
          <w:color w:val="101010"/>
        </w:rPr>
        <w:t>Pho</w:t>
      </w:r>
      <w:r w:rsidRPr="003824F4">
        <w:rPr>
          <w:color w:val="343434"/>
        </w:rPr>
        <w:t>s</w:t>
      </w:r>
      <w:r w:rsidRPr="003824F4">
        <w:rPr>
          <w:color w:val="101010"/>
        </w:rPr>
        <w:t xml:space="preserve">phate </w:t>
      </w:r>
      <w:r w:rsidRPr="003824F4">
        <w:rPr>
          <w:color w:val="616063"/>
        </w:rPr>
        <w:t xml:space="preserve">- </w:t>
      </w:r>
      <w:r w:rsidRPr="003824F4">
        <w:rPr>
          <w:color w:val="101010"/>
        </w:rPr>
        <w:t xml:space="preserve">White </w:t>
      </w:r>
      <w:r w:rsidRPr="003824F4">
        <w:rPr>
          <w:color w:val="252525"/>
        </w:rPr>
        <w:t>Springs</w:t>
      </w:r>
      <w:r>
        <w:rPr>
          <w:color w:val="252525"/>
        </w:rPr>
        <w:t xml:space="preserve"> (PCS Phosphate);</w:t>
      </w:r>
      <w:r>
        <w:rPr>
          <w:rStyle w:val="FootnoteReference"/>
          <w:color w:val="252525"/>
        </w:rPr>
        <w:footnoteReference w:id="5"/>
      </w:r>
      <w:r>
        <w:rPr>
          <w:color w:val="252525"/>
        </w:rPr>
        <w:t xml:space="preserve"> </w:t>
      </w:r>
      <w:r>
        <w:t>Nucor Steel Florida, Inc.</w:t>
      </w:r>
      <w:r w:rsidRPr="00357D43">
        <w:t xml:space="preserve"> (</w:t>
      </w:r>
      <w:r>
        <w:t>Nucor</w:t>
      </w:r>
      <w:r w:rsidRPr="00357D43">
        <w:t>)</w:t>
      </w:r>
      <w:r>
        <w:t>;</w:t>
      </w:r>
      <w:r>
        <w:rPr>
          <w:rStyle w:val="FootnoteReference"/>
        </w:rPr>
        <w:footnoteReference w:id="6"/>
      </w:r>
      <w:r w:rsidRPr="00B56A86">
        <w:t xml:space="preserve"> </w:t>
      </w:r>
      <w:r w:rsidRPr="001C144C">
        <w:t xml:space="preserve">the </w:t>
      </w:r>
      <w:r>
        <w:t>Southern Alliance for Clean Energy (SACE);</w:t>
      </w:r>
      <w:r>
        <w:rPr>
          <w:rStyle w:val="FootnoteReference"/>
        </w:rPr>
        <w:footnoteReference w:id="7"/>
      </w:r>
      <w:r w:rsidRPr="00B56A86">
        <w:t xml:space="preserve"> </w:t>
      </w:r>
      <w:r>
        <w:t>Americans for Affordable Clean Energy, Inc., Circle K Stores, Inc., RaceTrac, Inc., and Wawa, Inc. (collectively Fuel Retailers);</w:t>
      </w:r>
      <w:r>
        <w:rPr>
          <w:rStyle w:val="FootnoteReference"/>
        </w:rPr>
        <w:footnoteReference w:id="8"/>
      </w:r>
      <w:r>
        <w:t xml:space="preserve"> EVgo Services, LLC (EVgo);</w:t>
      </w:r>
      <w:r>
        <w:rPr>
          <w:rStyle w:val="FootnoteReference"/>
        </w:rPr>
        <w:footnoteReference w:id="9"/>
      </w:r>
      <w:r>
        <w:t xml:space="preserve"> and Walmart, Inc. (Walmart).</w:t>
      </w:r>
      <w:r>
        <w:rPr>
          <w:rStyle w:val="FootnoteReference"/>
        </w:rPr>
        <w:footnoteReference w:id="10"/>
      </w:r>
      <w:r>
        <w:t xml:space="preserve"> The Petition to Intervene by the Florida Solar Energy Industry Association was denied without prejudice.</w:t>
      </w:r>
      <w:r>
        <w:rPr>
          <w:rStyle w:val="FootnoteReference"/>
        </w:rPr>
        <w:footnoteReference w:id="11"/>
      </w:r>
    </w:p>
    <w:p w:rsidR="00042143" w:rsidRPr="00B56A86" w:rsidRDefault="00042143" w:rsidP="00042143">
      <w:pPr>
        <w:autoSpaceDE w:val="0"/>
        <w:autoSpaceDN w:val="0"/>
        <w:adjustRightInd w:val="0"/>
        <w:jc w:val="both"/>
        <w:rPr>
          <w:color w:val="252525"/>
        </w:rPr>
      </w:pPr>
    </w:p>
    <w:p w:rsidR="005A3FBF" w:rsidRDefault="00042143" w:rsidP="005A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On July 15, 2024, DEF, OPC, FRF, FIPUG, Nucor, and PCS Phosphate (collectively Signatories) filed a Joint Motion for Approval of 2024 Settlement Agreement (Motion for Approval), with a copy of the 2024 Settlement Agreement appended thereto as Attachment 1. The Signatories requested that the Commission consider the Settlement Agreement during the two-week period that had been set aside for the final hearing in this docket, and approve the Settlement Agreement in its entirety as being in the public interest.</w:t>
      </w:r>
      <w:r w:rsidR="005A3FBF">
        <w:t xml:space="preserve"> Based on the representations in the Motion for Approval, the undersigned Prehearing Officer issued a First Order Revising Order Establishing Procedure on July 24, </w:t>
      </w:r>
      <w:r w:rsidR="00753796">
        <w:t>2024</w:t>
      </w:r>
      <w:r w:rsidR="005A3FBF">
        <w:t>, and therein scheduled a final hearing on the 2024 Settlement Agreement</w:t>
      </w:r>
      <w:r w:rsidR="005A3FBF" w:rsidRPr="00AB33CB">
        <w:t xml:space="preserve"> for August </w:t>
      </w:r>
      <w:r w:rsidR="005A3FBF">
        <w:t>21</w:t>
      </w:r>
      <w:r w:rsidR="005A3FBF" w:rsidRPr="00AB33CB">
        <w:t>, 2024</w:t>
      </w:r>
      <w:r w:rsidR="005A3FBF">
        <w:t>, with August 22, 2024, also reserved for the continuation and conclusion of the hearing, if necessary.</w:t>
      </w:r>
    </w:p>
    <w:p w:rsidR="00B159CE" w:rsidRDefault="00B159CE" w:rsidP="005A3FBF">
      <w:pPr>
        <w:autoSpaceDE w:val="0"/>
        <w:autoSpaceDN w:val="0"/>
        <w:adjustRightInd w:val="0"/>
        <w:jc w:val="both"/>
      </w:pPr>
    </w:p>
    <w:p w:rsidR="00591E52" w:rsidRDefault="00591E52" w:rsidP="005A3FBF">
      <w:pPr>
        <w:autoSpaceDE w:val="0"/>
        <w:autoSpaceDN w:val="0"/>
        <w:adjustRightInd w:val="0"/>
        <w:jc w:val="both"/>
      </w:pPr>
    </w:p>
    <w:p w:rsidR="00B159CE" w:rsidRPr="00A32DC5" w:rsidRDefault="00B159CE" w:rsidP="00B159CE">
      <w:pPr>
        <w:jc w:val="both"/>
        <w:rPr>
          <w:b/>
        </w:rPr>
      </w:pPr>
      <w:r w:rsidRPr="00A32DC5">
        <w:rPr>
          <w:b/>
        </w:rPr>
        <w:t>II.</w:t>
      </w:r>
      <w:r w:rsidRPr="00A32DC5">
        <w:rPr>
          <w:b/>
        </w:rPr>
        <w:tab/>
      </w:r>
      <w:r w:rsidRPr="00A32DC5">
        <w:rPr>
          <w:b/>
          <w:u w:val="single"/>
        </w:rPr>
        <w:t>JURISDICTION</w:t>
      </w:r>
    </w:p>
    <w:p w:rsidR="00B159CE" w:rsidRPr="00701945" w:rsidRDefault="00B159CE" w:rsidP="00B159CE">
      <w:pPr>
        <w:jc w:val="both"/>
      </w:pPr>
    </w:p>
    <w:p w:rsidR="00B159CE" w:rsidRDefault="00A72240" w:rsidP="00B159CE">
      <w:pPr>
        <w:jc w:val="both"/>
      </w:pPr>
      <w:r>
        <w:tab/>
        <w:t>The</w:t>
      </w:r>
      <w:r w:rsidR="00B159CE" w:rsidRPr="00701945">
        <w:t xml:space="preserve"> </w:t>
      </w:r>
      <w:r w:rsidR="00753796">
        <w:t xml:space="preserve">Florida Public Service </w:t>
      </w:r>
      <w:r w:rsidR="00B159CE" w:rsidRPr="00701945">
        <w:t xml:space="preserve">Commission </w:t>
      </w:r>
      <w:r w:rsidR="00753796">
        <w:t xml:space="preserve">(Commission) </w:t>
      </w:r>
      <w:r w:rsidR="00B159CE" w:rsidRPr="00701945">
        <w:t xml:space="preserve">is vested with jurisdiction over the subject matter </w:t>
      </w:r>
      <w:r w:rsidR="00591E52">
        <w:t xml:space="preserve">of this proceeding by </w:t>
      </w:r>
      <w:r w:rsidR="00B159CE" w:rsidRPr="00701945">
        <w:t>the provisions of Chapter</w:t>
      </w:r>
      <w:r w:rsidR="00B159CE" w:rsidRPr="00591E52">
        <w:t xml:space="preserve"> </w:t>
      </w:r>
      <w:r w:rsidR="00591E52" w:rsidRPr="00591E52">
        <w:t>366</w:t>
      </w:r>
      <w:r w:rsidR="00B159CE" w:rsidRPr="00591E52">
        <w:t>, Flor</w:t>
      </w:r>
      <w:r w:rsidR="00B159CE">
        <w:t>ida Statutes (F.S</w:t>
      </w:r>
      <w:r w:rsidR="00B159CE" w:rsidRPr="00701945">
        <w:t>.</w:t>
      </w:r>
      <w:r w:rsidR="00B159CE">
        <w:t>).</w:t>
      </w:r>
      <w:r>
        <w:t xml:space="preserve"> </w:t>
      </w:r>
      <w:r w:rsidR="00B159CE" w:rsidRPr="00701945">
        <w:t>This hearing will be governed by said Chapter and Chapters</w:t>
      </w:r>
      <w:r w:rsidR="00591E52">
        <w:t xml:space="preserve"> </w:t>
      </w:r>
      <w:r w:rsidR="00B159CE">
        <w:t>25-6</w:t>
      </w:r>
      <w:r w:rsidR="00B159CE" w:rsidRPr="00701945">
        <w:t xml:space="preserve">, 25-22, and 28-106, </w:t>
      </w:r>
      <w:r w:rsidR="00B159CE">
        <w:t>F.A.C., as well as any other applicable provisions of law</w:t>
      </w:r>
      <w:r w:rsidR="00B159CE" w:rsidRPr="00701945">
        <w:t>.</w:t>
      </w:r>
    </w:p>
    <w:p w:rsidR="00F770B9" w:rsidRDefault="00F770B9" w:rsidP="00B159CE">
      <w:pPr>
        <w:jc w:val="both"/>
      </w:pPr>
    </w:p>
    <w:p w:rsidR="00F770B9" w:rsidRDefault="00F770B9" w:rsidP="00B159CE">
      <w:pPr>
        <w:jc w:val="both"/>
      </w:pPr>
    </w:p>
    <w:p w:rsidR="00241467" w:rsidRDefault="002A1893" w:rsidP="00241467">
      <w:pPr>
        <w:jc w:val="both"/>
      </w:pPr>
      <w:r>
        <w:rPr>
          <w:b/>
        </w:rPr>
        <w:t>III</w:t>
      </w:r>
      <w:r w:rsidR="00F770B9" w:rsidRPr="00A32DC5">
        <w:rPr>
          <w:b/>
        </w:rPr>
        <w:t>.</w:t>
      </w:r>
      <w:r w:rsidR="00753796" w:rsidRPr="00FC2776" w:rsidDel="00753796">
        <w:rPr>
          <w:b/>
        </w:rPr>
        <w:t xml:space="preserve"> </w:t>
      </w:r>
      <w:r w:rsidR="00FC2776" w:rsidRPr="00FC2776">
        <w:rPr>
          <w:b/>
        </w:rPr>
        <w:tab/>
      </w:r>
      <w:r w:rsidR="00241467" w:rsidRPr="00A32DC5">
        <w:rPr>
          <w:b/>
          <w:u w:val="single"/>
        </w:rPr>
        <w:t>BASIC POSITIONS</w:t>
      </w:r>
    </w:p>
    <w:p w:rsidR="00241467" w:rsidRDefault="00241467" w:rsidP="00241467">
      <w:pPr>
        <w:jc w:val="both"/>
      </w:pPr>
    </w:p>
    <w:p w:rsidR="00241467" w:rsidRPr="00834B39" w:rsidRDefault="00241467" w:rsidP="00241467">
      <w:pPr>
        <w:jc w:val="both"/>
      </w:pPr>
      <w:r>
        <w:tab/>
        <w:t>The positions listed below reflect those taken by the parties in the Joint Motion for Approval of 2024 Settlement Agreement.</w:t>
      </w:r>
    </w:p>
    <w:p w:rsidR="00241467" w:rsidRPr="00701945" w:rsidRDefault="00241467" w:rsidP="00241467">
      <w:pPr>
        <w:jc w:val="both"/>
      </w:pPr>
    </w:p>
    <w:p w:rsidR="00241467" w:rsidRPr="00701945" w:rsidRDefault="00241467" w:rsidP="00241467">
      <w:pPr>
        <w:ind w:left="1440" w:hanging="1440"/>
        <w:jc w:val="both"/>
      </w:pPr>
      <w:r>
        <w:rPr>
          <w:b/>
          <w:bCs/>
        </w:rPr>
        <w:t>DEF</w:t>
      </w:r>
      <w:r w:rsidRPr="00701945">
        <w:rPr>
          <w:b/>
          <w:bCs/>
        </w:rPr>
        <w:t>:</w:t>
      </w:r>
      <w:r w:rsidRPr="00701945">
        <w:tab/>
      </w:r>
      <w:r>
        <w:t>The Commission should approve the 2024 Settlement Agreement because it is in the public interest, and establishes rates that are fair, just, and reasonable.</w:t>
      </w:r>
    </w:p>
    <w:p w:rsidR="00241467" w:rsidRPr="00701945" w:rsidRDefault="00241467" w:rsidP="00241467">
      <w:pPr>
        <w:jc w:val="both"/>
      </w:pPr>
    </w:p>
    <w:p w:rsidR="00241467" w:rsidRPr="005D4B47" w:rsidRDefault="00241467" w:rsidP="00241467">
      <w:pPr>
        <w:ind w:left="1440" w:hanging="1440"/>
        <w:jc w:val="both"/>
      </w:pPr>
      <w:r>
        <w:rPr>
          <w:b/>
          <w:bCs/>
        </w:rPr>
        <w:t>OPC</w:t>
      </w:r>
      <w:r w:rsidRPr="005D4B47">
        <w:rPr>
          <w:b/>
          <w:bCs/>
        </w:rPr>
        <w:t>:</w:t>
      </w:r>
      <w:r w:rsidRPr="005D4B47">
        <w:tab/>
      </w:r>
      <w:r>
        <w:t>The Commission should approve the 2024 Settlement Agreement.</w:t>
      </w:r>
    </w:p>
    <w:p w:rsidR="00241467" w:rsidRDefault="00241467" w:rsidP="00241467">
      <w:pPr>
        <w:jc w:val="both"/>
      </w:pPr>
    </w:p>
    <w:p w:rsidR="00241467" w:rsidRDefault="00241467" w:rsidP="00241467">
      <w:pPr>
        <w:ind w:left="1440" w:hanging="1440"/>
        <w:jc w:val="both"/>
        <w:rPr>
          <w:b/>
          <w:bCs/>
        </w:rPr>
      </w:pPr>
      <w:r>
        <w:rPr>
          <w:b/>
          <w:bCs/>
        </w:rPr>
        <w:t>Fuel</w:t>
      </w:r>
    </w:p>
    <w:p w:rsidR="00241467" w:rsidRPr="005D4B47" w:rsidRDefault="00241467" w:rsidP="00241467">
      <w:pPr>
        <w:ind w:left="1440" w:hanging="1440"/>
        <w:jc w:val="both"/>
      </w:pPr>
      <w:r>
        <w:rPr>
          <w:b/>
          <w:bCs/>
        </w:rPr>
        <w:t>Retailers</w:t>
      </w:r>
      <w:r w:rsidRPr="005D4B47">
        <w:rPr>
          <w:b/>
          <w:bCs/>
        </w:rPr>
        <w:t>:</w:t>
      </w:r>
      <w:r w:rsidRPr="005D4B47">
        <w:tab/>
      </w:r>
      <w:r>
        <w:t>No position on whether the Commission should approve the 2024 Settlement Agreement.</w:t>
      </w:r>
    </w:p>
    <w:p w:rsidR="00241467" w:rsidRDefault="00241467" w:rsidP="00241467">
      <w:pPr>
        <w:jc w:val="both"/>
      </w:pPr>
    </w:p>
    <w:p w:rsidR="00241467" w:rsidRPr="005D4B47" w:rsidRDefault="00241467" w:rsidP="00241467">
      <w:pPr>
        <w:ind w:left="1440" w:hanging="1440"/>
        <w:jc w:val="both"/>
      </w:pPr>
      <w:r>
        <w:rPr>
          <w:b/>
          <w:bCs/>
        </w:rPr>
        <w:t>EVgo</w:t>
      </w:r>
      <w:r w:rsidRPr="005D4B47">
        <w:rPr>
          <w:b/>
          <w:bCs/>
        </w:rPr>
        <w:t>:</w:t>
      </w:r>
      <w:r w:rsidRPr="005D4B47">
        <w:tab/>
      </w:r>
      <w:r>
        <w:t>No objection to the Commission approving the 2024 Settlement Agreement.</w:t>
      </w:r>
    </w:p>
    <w:p w:rsidR="00241467" w:rsidRDefault="00241467" w:rsidP="00241467">
      <w:pPr>
        <w:jc w:val="both"/>
      </w:pPr>
    </w:p>
    <w:p w:rsidR="00241467" w:rsidRPr="005D4B47" w:rsidRDefault="00241467" w:rsidP="00241467">
      <w:pPr>
        <w:ind w:left="1440" w:hanging="1440"/>
        <w:jc w:val="both"/>
      </w:pPr>
      <w:r>
        <w:rPr>
          <w:b/>
          <w:bCs/>
        </w:rPr>
        <w:t>FIPUG</w:t>
      </w:r>
      <w:r w:rsidRPr="005D4B47">
        <w:rPr>
          <w:b/>
          <w:bCs/>
        </w:rPr>
        <w:t>:</w:t>
      </w:r>
      <w:r w:rsidRPr="005D4B47">
        <w:tab/>
      </w:r>
      <w:r>
        <w:t>The Commission should approve the 2024 Settlement Agreement.</w:t>
      </w:r>
    </w:p>
    <w:p w:rsidR="00241467" w:rsidRDefault="00241467" w:rsidP="00241467">
      <w:pPr>
        <w:jc w:val="both"/>
      </w:pPr>
    </w:p>
    <w:p w:rsidR="00241467" w:rsidRPr="005D4B47" w:rsidRDefault="00241467" w:rsidP="00241467">
      <w:pPr>
        <w:ind w:left="1440" w:hanging="1440"/>
        <w:jc w:val="both"/>
      </w:pPr>
      <w:r>
        <w:rPr>
          <w:b/>
          <w:bCs/>
        </w:rPr>
        <w:t>LULAC</w:t>
      </w:r>
      <w:r w:rsidRPr="005D4B47">
        <w:rPr>
          <w:b/>
          <w:bCs/>
        </w:rPr>
        <w:t>:</w:t>
      </w:r>
      <w:r w:rsidRPr="005D4B47">
        <w:tab/>
      </w:r>
      <w:r>
        <w:t>Do not oppose Commission approval of the 2024 Settlement Agreement.</w:t>
      </w:r>
    </w:p>
    <w:p w:rsidR="00241467" w:rsidRDefault="00241467" w:rsidP="00241467">
      <w:pPr>
        <w:jc w:val="both"/>
      </w:pPr>
    </w:p>
    <w:p w:rsidR="00241467" w:rsidRPr="005D4B47" w:rsidRDefault="00241467" w:rsidP="00241467">
      <w:pPr>
        <w:ind w:left="1440" w:hanging="1440"/>
        <w:jc w:val="both"/>
      </w:pPr>
      <w:r>
        <w:rPr>
          <w:b/>
          <w:bCs/>
        </w:rPr>
        <w:t>FRF</w:t>
      </w:r>
      <w:r w:rsidRPr="005D4B47">
        <w:rPr>
          <w:b/>
          <w:bCs/>
        </w:rPr>
        <w:t>:</w:t>
      </w:r>
      <w:r w:rsidRPr="005D4B47">
        <w:tab/>
      </w:r>
      <w:r>
        <w:t>The Commission should approve the 2024 Settlement Agreement.</w:t>
      </w:r>
    </w:p>
    <w:p w:rsidR="00241467" w:rsidRDefault="00241467" w:rsidP="00241467">
      <w:pPr>
        <w:jc w:val="both"/>
      </w:pPr>
    </w:p>
    <w:p w:rsidR="00241467" w:rsidRDefault="00241467" w:rsidP="00241467">
      <w:pPr>
        <w:ind w:left="1440" w:hanging="1440"/>
        <w:jc w:val="both"/>
        <w:rPr>
          <w:b/>
          <w:bCs/>
        </w:rPr>
      </w:pPr>
      <w:r>
        <w:rPr>
          <w:b/>
          <w:bCs/>
        </w:rPr>
        <w:t>Nucor:</w:t>
      </w:r>
      <w:r>
        <w:rPr>
          <w:b/>
          <w:bCs/>
        </w:rPr>
        <w:tab/>
      </w:r>
      <w:r>
        <w:t>The Commission should approve the 2024 Settlement Agreement.</w:t>
      </w:r>
    </w:p>
    <w:p w:rsidR="00241467" w:rsidRDefault="00241467" w:rsidP="00241467">
      <w:pPr>
        <w:ind w:left="1440" w:hanging="1440"/>
        <w:jc w:val="both"/>
        <w:rPr>
          <w:b/>
          <w:bCs/>
        </w:rPr>
      </w:pPr>
    </w:p>
    <w:p w:rsidR="00241467" w:rsidRDefault="00241467" w:rsidP="00241467">
      <w:pPr>
        <w:ind w:left="1440" w:hanging="1440"/>
        <w:jc w:val="both"/>
        <w:rPr>
          <w:b/>
          <w:bCs/>
        </w:rPr>
      </w:pPr>
    </w:p>
    <w:p w:rsidR="00241467" w:rsidRDefault="00241467" w:rsidP="00241467">
      <w:pPr>
        <w:ind w:left="1440" w:hanging="1440"/>
        <w:jc w:val="both"/>
        <w:rPr>
          <w:b/>
          <w:bCs/>
        </w:rPr>
      </w:pPr>
      <w:r>
        <w:rPr>
          <w:b/>
          <w:bCs/>
        </w:rPr>
        <w:lastRenderedPageBreak/>
        <w:t>PCS</w:t>
      </w:r>
    </w:p>
    <w:p w:rsidR="00241467" w:rsidRPr="00B86DAC" w:rsidRDefault="00241467" w:rsidP="00241467">
      <w:pPr>
        <w:ind w:left="1440" w:hanging="1440"/>
        <w:jc w:val="both"/>
        <w:rPr>
          <w:b/>
          <w:bCs/>
        </w:rPr>
      </w:pPr>
      <w:r>
        <w:rPr>
          <w:b/>
          <w:bCs/>
        </w:rPr>
        <w:t>Phosphate</w:t>
      </w:r>
      <w:r w:rsidRPr="005D4B47">
        <w:rPr>
          <w:b/>
          <w:bCs/>
        </w:rPr>
        <w:t>:</w:t>
      </w:r>
      <w:r w:rsidRPr="005D4B47">
        <w:tab/>
      </w:r>
      <w:r>
        <w:t>The Commission should approve the 2024 Settlement Agreement.</w:t>
      </w:r>
    </w:p>
    <w:p w:rsidR="00241467" w:rsidRDefault="00241467" w:rsidP="00241467">
      <w:pPr>
        <w:jc w:val="both"/>
      </w:pPr>
    </w:p>
    <w:p w:rsidR="00241467" w:rsidRPr="005D4B47" w:rsidRDefault="00241467" w:rsidP="00241467">
      <w:pPr>
        <w:ind w:left="1440" w:hanging="1440"/>
        <w:jc w:val="both"/>
      </w:pPr>
      <w:r>
        <w:rPr>
          <w:b/>
          <w:bCs/>
        </w:rPr>
        <w:t>SACE</w:t>
      </w:r>
      <w:r w:rsidRPr="005D4B47">
        <w:rPr>
          <w:b/>
          <w:bCs/>
        </w:rPr>
        <w:t>:</w:t>
      </w:r>
      <w:r w:rsidRPr="005D4B47">
        <w:tab/>
      </w:r>
      <w:r>
        <w:t>Does not oppose Commission approval of the 2024 Settlement Agreement.</w:t>
      </w:r>
    </w:p>
    <w:p w:rsidR="00241467" w:rsidRDefault="00241467" w:rsidP="00241467">
      <w:pPr>
        <w:jc w:val="both"/>
      </w:pPr>
    </w:p>
    <w:p w:rsidR="00241467" w:rsidRPr="005D4B47" w:rsidRDefault="00241467" w:rsidP="00241467">
      <w:pPr>
        <w:ind w:left="1440" w:hanging="1440"/>
        <w:jc w:val="both"/>
      </w:pPr>
      <w:r>
        <w:rPr>
          <w:b/>
          <w:bCs/>
        </w:rPr>
        <w:t>Sierra Club</w:t>
      </w:r>
      <w:r w:rsidRPr="005D4B47">
        <w:rPr>
          <w:b/>
          <w:bCs/>
        </w:rPr>
        <w:t>:</w:t>
      </w:r>
      <w:r w:rsidRPr="005D4B47">
        <w:tab/>
      </w:r>
      <w:r>
        <w:t>Does not oppose Commission approval of the 2024 Settlement Agreement.</w:t>
      </w:r>
    </w:p>
    <w:p w:rsidR="00241467" w:rsidRDefault="00241467" w:rsidP="00241467">
      <w:pPr>
        <w:jc w:val="both"/>
      </w:pPr>
    </w:p>
    <w:p w:rsidR="00241467" w:rsidRPr="005D4B47" w:rsidRDefault="00241467" w:rsidP="00241467">
      <w:pPr>
        <w:ind w:left="1440" w:hanging="1440"/>
        <w:jc w:val="both"/>
      </w:pPr>
      <w:r>
        <w:rPr>
          <w:b/>
          <w:bCs/>
        </w:rPr>
        <w:t>Walmart</w:t>
      </w:r>
      <w:r w:rsidRPr="005D4B47">
        <w:rPr>
          <w:b/>
          <w:bCs/>
        </w:rPr>
        <w:t>:</w:t>
      </w:r>
      <w:r w:rsidRPr="005D4B47">
        <w:tab/>
      </w:r>
      <w:r>
        <w:t>Does not oppose Commission approval of the 2024 Settlement Agreement.</w:t>
      </w:r>
    </w:p>
    <w:p w:rsidR="00241467" w:rsidRPr="005D4B47" w:rsidRDefault="00241467" w:rsidP="00241467">
      <w:pPr>
        <w:ind w:left="1440" w:hanging="1440"/>
        <w:jc w:val="both"/>
        <w:rPr>
          <w:b/>
          <w:bCs/>
        </w:rPr>
      </w:pPr>
    </w:p>
    <w:p w:rsidR="00241467" w:rsidRDefault="00241467" w:rsidP="00241467">
      <w:pPr>
        <w:ind w:left="1440" w:hanging="1440"/>
        <w:jc w:val="both"/>
      </w:pPr>
      <w:r w:rsidRPr="005D4B47">
        <w:rPr>
          <w:b/>
          <w:bCs/>
        </w:rPr>
        <w:t>STAFF</w:t>
      </w:r>
      <w:r w:rsidRPr="00701945">
        <w:rPr>
          <w:b/>
          <w:bCs/>
        </w:rPr>
        <w:t>:</w:t>
      </w:r>
      <w:r>
        <w:rPr>
          <w:b/>
          <w:bCs/>
        </w:rPr>
        <w:tab/>
      </w:r>
      <w:r w:rsidRPr="00701945">
        <w:t>Staff's final positions will be based upon all the evidence in the record</w:t>
      </w:r>
      <w:r>
        <w:t xml:space="preserve"> and set forth in a written recommendation.</w:t>
      </w:r>
    </w:p>
    <w:p w:rsidR="00241467" w:rsidRDefault="00241467" w:rsidP="00241467">
      <w:pPr>
        <w:jc w:val="both"/>
      </w:pPr>
    </w:p>
    <w:p w:rsidR="00241467" w:rsidRDefault="00241467" w:rsidP="00F770B9">
      <w:pPr>
        <w:jc w:val="both"/>
        <w:rPr>
          <w:b/>
        </w:rPr>
      </w:pPr>
    </w:p>
    <w:p w:rsidR="00F770B9" w:rsidRPr="00A32DC5" w:rsidRDefault="00241467" w:rsidP="00F770B9">
      <w:pPr>
        <w:jc w:val="both"/>
        <w:rPr>
          <w:b/>
        </w:rPr>
      </w:pPr>
      <w:r>
        <w:rPr>
          <w:b/>
        </w:rPr>
        <w:t>IV.</w:t>
      </w:r>
      <w:r w:rsidRPr="00F770B9">
        <w:rPr>
          <w:b/>
        </w:rPr>
        <w:tab/>
      </w:r>
      <w:r w:rsidR="00F770B9" w:rsidRPr="00A32DC5">
        <w:rPr>
          <w:b/>
          <w:u w:val="single"/>
        </w:rPr>
        <w:t>ISSUES</w:t>
      </w:r>
    </w:p>
    <w:p w:rsidR="00F770B9" w:rsidRDefault="00F770B9" w:rsidP="00F770B9">
      <w:pPr>
        <w:jc w:val="both"/>
      </w:pPr>
    </w:p>
    <w:p w:rsidR="00F770B9" w:rsidRDefault="00F770B9" w:rsidP="00F770B9">
      <w:pPr>
        <w:ind w:left="1440" w:hanging="1440"/>
        <w:jc w:val="both"/>
      </w:pPr>
      <w:r w:rsidRPr="005D4B47">
        <w:rPr>
          <w:b/>
          <w:bCs/>
        </w:rPr>
        <w:t>ISSUE 1</w:t>
      </w:r>
      <w:r w:rsidRPr="00701945">
        <w:rPr>
          <w:b/>
          <w:bCs/>
        </w:rPr>
        <w:t>:</w:t>
      </w:r>
      <w:r w:rsidRPr="00701945">
        <w:tab/>
      </w:r>
      <w:r w:rsidR="008357F8">
        <w:t>Should the Commission approve the 2024 Settlement Agreement as being in the public interest and establishing rates that are fair, just, and reasonable?</w:t>
      </w:r>
    </w:p>
    <w:p w:rsidR="00D8586E" w:rsidRDefault="00D8586E" w:rsidP="00F770B9">
      <w:pPr>
        <w:ind w:left="1440" w:hanging="1440"/>
        <w:jc w:val="both"/>
      </w:pPr>
    </w:p>
    <w:p w:rsidR="00D8586E" w:rsidRDefault="00D8586E" w:rsidP="00834B39">
      <w:pPr>
        <w:ind w:left="1440" w:hanging="1440"/>
        <w:jc w:val="center"/>
      </w:pPr>
      <w:r>
        <w:rPr>
          <w:u w:val="single"/>
        </w:rPr>
        <w:t>2024 Settlement Agreement Major Elements</w:t>
      </w:r>
    </w:p>
    <w:p w:rsidR="001824BB" w:rsidRPr="00D8586E" w:rsidRDefault="001824BB" w:rsidP="001824BB">
      <w:pPr>
        <w:ind w:left="1440" w:hanging="1440"/>
        <w:jc w:val="both"/>
      </w:pP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Cost of Capital</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2025 Test Year Revenue Increase</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2026 Subsequent Year Adjustment</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 xml:space="preserve">Powerline Battery Storage </w:t>
      </w:r>
      <w:r>
        <w:rPr>
          <w:rFonts w:ascii="Times New Roman" w:hAnsi="Times New Roman" w:cs="Times New Roman"/>
          <w:b w:val="0"/>
          <w:i w:val="0"/>
          <w:iCs w:val="0"/>
        </w:rPr>
        <w:t>P</w:t>
      </w:r>
      <w:r w:rsidRPr="00F556B4">
        <w:rPr>
          <w:rFonts w:ascii="Times New Roman" w:hAnsi="Times New Roman" w:cs="Times New Roman"/>
          <w:b w:val="0"/>
          <w:i w:val="0"/>
          <w:iCs w:val="0"/>
        </w:rPr>
        <w:t xml:space="preserve">roject and </w:t>
      </w:r>
      <w:r>
        <w:rPr>
          <w:rFonts w:ascii="Times New Roman" w:hAnsi="Times New Roman" w:cs="Times New Roman"/>
          <w:b w:val="0"/>
          <w:i w:val="0"/>
          <w:iCs w:val="0"/>
        </w:rPr>
        <w:t>Investment Tax Credit M</w:t>
      </w:r>
      <w:r w:rsidRPr="00F556B4">
        <w:rPr>
          <w:rFonts w:ascii="Times New Roman" w:hAnsi="Times New Roman" w:cs="Times New Roman"/>
          <w:b w:val="0"/>
          <w:i w:val="0"/>
          <w:iCs w:val="0"/>
        </w:rPr>
        <w:t xml:space="preserve">onetization </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Revenue Allocation</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 xml:space="preserve">Elimination of </w:t>
      </w:r>
      <w:r w:rsidR="00753796">
        <w:rPr>
          <w:rFonts w:ascii="Times New Roman" w:hAnsi="Times New Roman" w:cs="Times New Roman"/>
          <w:b w:val="0"/>
          <w:i w:val="0"/>
          <w:iCs w:val="0"/>
        </w:rPr>
        <w:t>R</w:t>
      </w:r>
      <w:r w:rsidR="00753796" w:rsidRPr="00F556B4">
        <w:rPr>
          <w:rFonts w:ascii="Times New Roman" w:hAnsi="Times New Roman" w:cs="Times New Roman"/>
          <w:b w:val="0"/>
          <w:i w:val="0"/>
          <w:iCs w:val="0"/>
        </w:rPr>
        <w:t xml:space="preserve">econnect </w:t>
      </w:r>
      <w:r w:rsidR="00753796">
        <w:rPr>
          <w:rFonts w:ascii="Times New Roman" w:hAnsi="Times New Roman" w:cs="Times New Roman"/>
          <w:b w:val="0"/>
          <w:i w:val="0"/>
          <w:iCs w:val="0"/>
        </w:rPr>
        <w:t>F</w:t>
      </w:r>
      <w:r w:rsidR="00753796" w:rsidRPr="00F556B4">
        <w:rPr>
          <w:rFonts w:ascii="Times New Roman" w:hAnsi="Times New Roman" w:cs="Times New Roman"/>
          <w:b w:val="0"/>
          <w:i w:val="0"/>
          <w:iCs w:val="0"/>
        </w:rPr>
        <w:t xml:space="preserve">ees </w:t>
      </w:r>
      <w:r w:rsidRPr="00F556B4">
        <w:rPr>
          <w:rFonts w:ascii="Times New Roman" w:hAnsi="Times New Roman" w:cs="Times New Roman"/>
          <w:b w:val="0"/>
          <w:i w:val="0"/>
          <w:iCs w:val="0"/>
        </w:rPr>
        <w:t xml:space="preserve">and the </w:t>
      </w:r>
      <w:r w:rsidR="00753796">
        <w:rPr>
          <w:rFonts w:ascii="Times New Roman" w:hAnsi="Times New Roman" w:cs="Times New Roman"/>
          <w:b w:val="0"/>
          <w:i w:val="0"/>
          <w:iCs w:val="0"/>
        </w:rPr>
        <w:t>R</w:t>
      </w:r>
      <w:r w:rsidR="00753796" w:rsidRPr="00F556B4">
        <w:rPr>
          <w:rFonts w:ascii="Times New Roman" w:hAnsi="Times New Roman" w:cs="Times New Roman"/>
          <w:b w:val="0"/>
          <w:i w:val="0"/>
          <w:iCs w:val="0"/>
        </w:rPr>
        <w:t xml:space="preserve">eallocation </w:t>
      </w:r>
      <w:r w:rsidRPr="00F556B4">
        <w:rPr>
          <w:rFonts w:ascii="Times New Roman" w:hAnsi="Times New Roman" w:cs="Times New Roman"/>
          <w:b w:val="0"/>
          <w:i w:val="0"/>
          <w:iCs w:val="0"/>
        </w:rPr>
        <w:t xml:space="preserve">of the </w:t>
      </w:r>
      <w:r w:rsidR="00753796">
        <w:rPr>
          <w:rFonts w:ascii="Times New Roman" w:hAnsi="Times New Roman" w:cs="Times New Roman"/>
          <w:b w:val="0"/>
          <w:i w:val="0"/>
          <w:iCs w:val="0"/>
        </w:rPr>
        <w:t>F</w:t>
      </w:r>
      <w:r w:rsidR="00753796" w:rsidRPr="00F556B4">
        <w:rPr>
          <w:rFonts w:ascii="Times New Roman" w:hAnsi="Times New Roman" w:cs="Times New Roman"/>
          <w:b w:val="0"/>
          <w:i w:val="0"/>
          <w:iCs w:val="0"/>
        </w:rPr>
        <w:t xml:space="preserve">oregone </w:t>
      </w:r>
      <w:r w:rsidR="00753796">
        <w:rPr>
          <w:rFonts w:ascii="Times New Roman" w:hAnsi="Times New Roman" w:cs="Times New Roman"/>
          <w:b w:val="0"/>
          <w:i w:val="0"/>
          <w:iCs w:val="0"/>
        </w:rPr>
        <w:t>A</w:t>
      </w:r>
      <w:r w:rsidR="00753796" w:rsidRPr="00F556B4">
        <w:rPr>
          <w:rFonts w:ascii="Times New Roman" w:hAnsi="Times New Roman" w:cs="Times New Roman"/>
          <w:b w:val="0"/>
          <w:i w:val="0"/>
          <w:iCs w:val="0"/>
        </w:rPr>
        <w:t xml:space="preserve">nnual </w:t>
      </w:r>
      <w:r w:rsidR="00753796">
        <w:rPr>
          <w:rFonts w:ascii="Times New Roman" w:hAnsi="Times New Roman" w:cs="Times New Roman"/>
          <w:b w:val="0"/>
          <w:i w:val="0"/>
          <w:iCs w:val="0"/>
        </w:rPr>
        <w:t>R</w:t>
      </w:r>
      <w:r w:rsidR="00753796" w:rsidRPr="00F556B4">
        <w:rPr>
          <w:rFonts w:ascii="Times New Roman" w:hAnsi="Times New Roman" w:cs="Times New Roman"/>
          <w:b w:val="0"/>
          <w:i w:val="0"/>
          <w:iCs w:val="0"/>
        </w:rPr>
        <w:t>evenue</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Pr>
          <w:rFonts w:ascii="Times New Roman" w:hAnsi="Times New Roman" w:cs="Times New Roman"/>
          <w:b w:val="0"/>
          <w:i w:val="0"/>
          <w:iCs w:val="0"/>
        </w:rPr>
        <w:t xml:space="preserve">Extreme Weather </w:t>
      </w:r>
      <w:r w:rsidRPr="00F556B4">
        <w:rPr>
          <w:rFonts w:ascii="Times New Roman" w:hAnsi="Times New Roman" w:cs="Times New Roman"/>
          <w:b w:val="0"/>
          <w:i w:val="0"/>
          <w:iCs w:val="0"/>
        </w:rPr>
        <w:t xml:space="preserve">Disconnections </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Pr>
          <w:rFonts w:ascii="Times New Roman" w:hAnsi="Times New Roman" w:cs="Times New Roman"/>
          <w:b w:val="0"/>
          <w:i w:val="0"/>
          <w:iCs w:val="0"/>
        </w:rPr>
        <w:t>M</w:t>
      </w:r>
      <w:r w:rsidRPr="00F556B4">
        <w:rPr>
          <w:rFonts w:ascii="Times New Roman" w:hAnsi="Times New Roman" w:cs="Times New Roman"/>
          <w:b w:val="0"/>
          <w:i w:val="0"/>
          <w:iCs w:val="0"/>
        </w:rPr>
        <w:t xml:space="preserve">inimum </w:t>
      </w:r>
      <w:r>
        <w:rPr>
          <w:rFonts w:ascii="Times New Roman" w:hAnsi="Times New Roman" w:cs="Times New Roman"/>
          <w:b w:val="0"/>
          <w:i w:val="0"/>
          <w:iCs w:val="0"/>
        </w:rPr>
        <w:t>B</w:t>
      </w:r>
      <w:r w:rsidRPr="00F556B4">
        <w:rPr>
          <w:rFonts w:ascii="Times New Roman" w:hAnsi="Times New Roman" w:cs="Times New Roman"/>
          <w:b w:val="0"/>
          <w:i w:val="0"/>
          <w:iCs w:val="0"/>
        </w:rPr>
        <w:t xml:space="preserve">ill </w:t>
      </w:r>
      <w:r>
        <w:rPr>
          <w:rFonts w:ascii="Times New Roman" w:hAnsi="Times New Roman" w:cs="Times New Roman"/>
          <w:b w:val="0"/>
          <w:i w:val="0"/>
          <w:iCs w:val="0"/>
        </w:rPr>
        <w:t>A</w:t>
      </w:r>
      <w:r w:rsidRPr="00F556B4">
        <w:rPr>
          <w:rFonts w:ascii="Times New Roman" w:hAnsi="Times New Roman" w:cs="Times New Roman"/>
          <w:b w:val="0"/>
          <w:i w:val="0"/>
          <w:iCs w:val="0"/>
        </w:rPr>
        <w:t xml:space="preserve">djustment to </w:t>
      </w:r>
      <w:r>
        <w:rPr>
          <w:rFonts w:ascii="Times New Roman" w:hAnsi="Times New Roman" w:cs="Times New Roman"/>
          <w:b w:val="0"/>
          <w:i w:val="0"/>
          <w:iCs w:val="0"/>
        </w:rPr>
        <w:t>I</w:t>
      </w:r>
      <w:r w:rsidRPr="00F556B4">
        <w:rPr>
          <w:rFonts w:ascii="Times New Roman" w:hAnsi="Times New Roman" w:cs="Times New Roman"/>
          <w:b w:val="0"/>
          <w:i w:val="0"/>
          <w:iCs w:val="0"/>
        </w:rPr>
        <w:t>ncome-</w:t>
      </w:r>
      <w:r>
        <w:rPr>
          <w:rFonts w:ascii="Times New Roman" w:hAnsi="Times New Roman" w:cs="Times New Roman"/>
          <w:b w:val="0"/>
          <w:i w:val="0"/>
          <w:iCs w:val="0"/>
        </w:rPr>
        <w:t>Q</w:t>
      </w:r>
      <w:r w:rsidRPr="00F556B4">
        <w:rPr>
          <w:rFonts w:ascii="Times New Roman" w:hAnsi="Times New Roman" w:cs="Times New Roman"/>
          <w:b w:val="0"/>
          <w:i w:val="0"/>
          <w:iCs w:val="0"/>
        </w:rPr>
        <w:t xml:space="preserve">ualified </w:t>
      </w:r>
      <w:r>
        <w:rPr>
          <w:rFonts w:ascii="Times New Roman" w:hAnsi="Times New Roman" w:cs="Times New Roman"/>
          <w:b w:val="0"/>
          <w:i w:val="0"/>
          <w:iCs w:val="0"/>
        </w:rPr>
        <w:t>C</w:t>
      </w:r>
      <w:r w:rsidRPr="00F556B4">
        <w:rPr>
          <w:rFonts w:ascii="Times New Roman" w:hAnsi="Times New Roman" w:cs="Times New Roman"/>
          <w:b w:val="0"/>
          <w:i w:val="0"/>
          <w:iCs w:val="0"/>
        </w:rPr>
        <w:t>ustomers</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Solar Base Rate Adjustment</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Pr>
          <w:rFonts w:ascii="Times New Roman" w:hAnsi="Times New Roman" w:cs="Times New Roman"/>
          <w:b w:val="0"/>
          <w:i w:val="0"/>
          <w:iCs w:val="0"/>
        </w:rPr>
        <w:t>Process</w:t>
      </w:r>
      <w:r w:rsidRPr="00F556B4">
        <w:rPr>
          <w:rFonts w:ascii="Times New Roman" w:hAnsi="Times New Roman" w:cs="Times New Roman"/>
          <w:b w:val="0"/>
          <w:i w:val="0"/>
          <w:iCs w:val="0"/>
        </w:rPr>
        <w:t xml:space="preserve"> to </w:t>
      </w:r>
      <w:r>
        <w:rPr>
          <w:rFonts w:ascii="Times New Roman" w:hAnsi="Times New Roman" w:cs="Times New Roman"/>
          <w:b w:val="0"/>
          <w:i w:val="0"/>
          <w:iCs w:val="0"/>
        </w:rPr>
        <w:t>A</w:t>
      </w:r>
      <w:r w:rsidRPr="00F556B4">
        <w:rPr>
          <w:rFonts w:ascii="Times New Roman" w:hAnsi="Times New Roman" w:cs="Times New Roman"/>
          <w:b w:val="0"/>
          <w:i w:val="0"/>
          <w:iCs w:val="0"/>
        </w:rPr>
        <w:t xml:space="preserve">pprove </w:t>
      </w:r>
      <w:r>
        <w:rPr>
          <w:rFonts w:ascii="Times New Roman" w:hAnsi="Times New Roman" w:cs="Times New Roman"/>
          <w:b w:val="0"/>
          <w:i w:val="0"/>
          <w:iCs w:val="0"/>
        </w:rPr>
        <w:t>A</w:t>
      </w:r>
      <w:r w:rsidRPr="00F556B4">
        <w:rPr>
          <w:rFonts w:ascii="Times New Roman" w:hAnsi="Times New Roman" w:cs="Times New Roman"/>
          <w:b w:val="0"/>
          <w:i w:val="0"/>
          <w:iCs w:val="0"/>
        </w:rPr>
        <w:t xml:space="preserve">cquisition of </w:t>
      </w:r>
      <w:r>
        <w:rPr>
          <w:rFonts w:ascii="Times New Roman" w:hAnsi="Times New Roman" w:cs="Times New Roman"/>
          <w:b w:val="0"/>
          <w:i w:val="0"/>
          <w:iCs w:val="0"/>
        </w:rPr>
        <w:t xml:space="preserve">Future </w:t>
      </w:r>
      <w:r w:rsidRPr="00F556B4">
        <w:rPr>
          <w:rFonts w:ascii="Times New Roman" w:hAnsi="Times New Roman" w:cs="Times New Roman"/>
          <w:b w:val="0"/>
          <w:i w:val="0"/>
          <w:iCs w:val="0"/>
        </w:rPr>
        <w:t xml:space="preserve">Fossil Generation </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 xml:space="preserve">Electric Vehicle </w:t>
      </w:r>
      <w:r>
        <w:rPr>
          <w:rFonts w:ascii="Times New Roman" w:hAnsi="Times New Roman" w:cs="Times New Roman"/>
          <w:b w:val="0"/>
          <w:i w:val="0"/>
          <w:iCs w:val="0"/>
        </w:rPr>
        <w:t xml:space="preserve">Charging </w:t>
      </w:r>
      <w:r w:rsidRPr="00F556B4">
        <w:rPr>
          <w:rFonts w:ascii="Times New Roman" w:hAnsi="Times New Roman" w:cs="Times New Roman"/>
          <w:b w:val="0"/>
          <w:i w:val="0"/>
          <w:iCs w:val="0"/>
        </w:rPr>
        <w:t xml:space="preserve">Programs </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Federal and/or State Corporate Income Tax Change</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Revised Dismantlement Accrual</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Adjusted Depreciation Study</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lastRenderedPageBreak/>
        <w:t>Production Tax Credit True-Up</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Asset Optimization Mechanism</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Storm Damage Cost Recovery Surcharge</w:t>
      </w:r>
    </w:p>
    <w:p w:rsidR="001824BB" w:rsidRPr="00F556B4" w:rsidRDefault="001824BB" w:rsidP="001824BB">
      <w:pPr>
        <w:pStyle w:val="IssueSubsectionHeading"/>
        <w:numPr>
          <w:ilvl w:val="0"/>
          <w:numId w:val="3"/>
        </w:numPr>
        <w:rPr>
          <w:rFonts w:ascii="Times New Roman" w:hAnsi="Times New Roman" w:cs="Times New Roman"/>
          <w:b w:val="0"/>
          <w:i w:val="0"/>
          <w:iCs w:val="0"/>
        </w:rPr>
      </w:pPr>
      <w:r w:rsidRPr="00F556B4">
        <w:rPr>
          <w:rFonts w:ascii="Times New Roman" w:hAnsi="Times New Roman" w:cs="Times New Roman"/>
          <w:b w:val="0"/>
          <w:i w:val="0"/>
          <w:iCs w:val="0"/>
        </w:rPr>
        <w:t>Interruptible</w:t>
      </w:r>
      <w:r w:rsidR="00241467">
        <w:rPr>
          <w:rFonts w:ascii="Times New Roman" w:hAnsi="Times New Roman" w:cs="Times New Roman"/>
          <w:b w:val="0"/>
          <w:i w:val="0"/>
          <w:iCs w:val="0"/>
        </w:rPr>
        <w:t xml:space="preserve"> Credits</w:t>
      </w:r>
      <w:r w:rsidRPr="00F556B4">
        <w:rPr>
          <w:rFonts w:ascii="Times New Roman" w:hAnsi="Times New Roman" w:cs="Times New Roman"/>
          <w:b w:val="0"/>
          <w:i w:val="0"/>
          <w:iCs w:val="0"/>
        </w:rPr>
        <w:t xml:space="preserve">, Neighborhood Energy Saver </w:t>
      </w:r>
      <w:r>
        <w:rPr>
          <w:rFonts w:ascii="Times New Roman" w:hAnsi="Times New Roman" w:cs="Times New Roman"/>
          <w:b w:val="0"/>
          <w:i w:val="0"/>
          <w:iCs w:val="0"/>
        </w:rPr>
        <w:t>P</w:t>
      </w:r>
      <w:r w:rsidRPr="00F556B4">
        <w:rPr>
          <w:rFonts w:ascii="Times New Roman" w:hAnsi="Times New Roman" w:cs="Times New Roman"/>
          <w:b w:val="0"/>
          <w:i w:val="0"/>
          <w:iCs w:val="0"/>
        </w:rPr>
        <w:t xml:space="preserve">rogram, and </w:t>
      </w:r>
      <w:r>
        <w:rPr>
          <w:rFonts w:ascii="Times New Roman" w:hAnsi="Times New Roman" w:cs="Times New Roman"/>
          <w:b w:val="0"/>
          <w:i w:val="0"/>
          <w:iCs w:val="0"/>
        </w:rPr>
        <w:t>S</w:t>
      </w:r>
      <w:r w:rsidRPr="00F556B4">
        <w:rPr>
          <w:rFonts w:ascii="Times New Roman" w:hAnsi="Times New Roman" w:cs="Times New Roman"/>
          <w:b w:val="0"/>
          <w:i w:val="0"/>
          <w:iCs w:val="0"/>
        </w:rPr>
        <w:t xml:space="preserve">mart </w:t>
      </w:r>
      <w:r>
        <w:rPr>
          <w:rFonts w:ascii="Times New Roman" w:hAnsi="Times New Roman" w:cs="Times New Roman"/>
          <w:b w:val="0"/>
          <w:i w:val="0"/>
          <w:iCs w:val="0"/>
        </w:rPr>
        <w:t>T</w:t>
      </w:r>
      <w:r w:rsidRPr="00F556B4">
        <w:rPr>
          <w:rFonts w:ascii="Times New Roman" w:hAnsi="Times New Roman" w:cs="Times New Roman"/>
          <w:b w:val="0"/>
          <w:i w:val="0"/>
          <w:iCs w:val="0"/>
        </w:rPr>
        <w:t xml:space="preserve">hermostats </w:t>
      </w:r>
    </w:p>
    <w:p w:rsidR="00F770B9" w:rsidRPr="005D4B47" w:rsidRDefault="001824BB" w:rsidP="001824BB">
      <w:pPr>
        <w:ind w:left="1440" w:hanging="1440"/>
        <w:jc w:val="both"/>
        <w:rPr>
          <w:b/>
          <w:bCs/>
        </w:rPr>
      </w:pPr>
      <w:r w:rsidRPr="005D4B47">
        <w:rPr>
          <w:b/>
          <w:bCs/>
        </w:rPr>
        <w:tab/>
      </w:r>
      <w:r w:rsidRPr="005D4B47">
        <w:rPr>
          <w:b/>
          <w:bCs/>
        </w:rPr>
        <w:tab/>
      </w:r>
      <w:r w:rsidR="00F770B9" w:rsidRPr="005D4B47">
        <w:rPr>
          <w:b/>
          <w:bCs/>
        </w:rPr>
        <w:tab/>
      </w:r>
      <w:r w:rsidR="00F770B9" w:rsidRPr="005D4B47">
        <w:rPr>
          <w:b/>
          <w:bCs/>
        </w:rPr>
        <w:tab/>
      </w:r>
    </w:p>
    <w:p w:rsidR="008357F8" w:rsidRDefault="002A1893" w:rsidP="00B835BC">
      <w:pPr>
        <w:jc w:val="both"/>
      </w:pPr>
      <w:r>
        <w:rPr>
          <w:b/>
          <w:bCs/>
        </w:rPr>
        <w:t>ISSUE 2</w:t>
      </w:r>
      <w:r w:rsidR="008357F8" w:rsidRPr="00701945">
        <w:rPr>
          <w:b/>
          <w:bCs/>
        </w:rPr>
        <w:t>:</w:t>
      </w:r>
      <w:r w:rsidR="008357F8" w:rsidRPr="00701945">
        <w:tab/>
      </w:r>
      <w:r w:rsidR="008357F8">
        <w:t>Should this docket be closed?</w:t>
      </w:r>
    </w:p>
    <w:p w:rsidR="002A1893" w:rsidRDefault="002A1893" w:rsidP="00D8586E">
      <w:pPr>
        <w:ind w:left="720"/>
        <w:jc w:val="both"/>
      </w:pPr>
    </w:p>
    <w:p w:rsidR="002A1893" w:rsidRDefault="002A1893" w:rsidP="00241467">
      <w:pPr>
        <w:jc w:val="both"/>
      </w:pPr>
    </w:p>
    <w:p w:rsidR="00A16410" w:rsidRDefault="00F770B9" w:rsidP="00B159CE">
      <w:pPr>
        <w:jc w:val="both"/>
      </w:pPr>
      <w:r>
        <w:rPr>
          <w:b/>
        </w:rPr>
        <w:t>V</w:t>
      </w:r>
      <w:r w:rsidR="00B159CE" w:rsidRPr="00A32DC5">
        <w:rPr>
          <w:b/>
        </w:rPr>
        <w:t>.</w:t>
      </w:r>
      <w:r w:rsidR="00A16410">
        <w:rPr>
          <w:b/>
        </w:rPr>
        <w:tab/>
      </w:r>
      <w:r w:rsidR="00A16410">
        <w:rPr>
          <w:b/>
          <w:u w:val="single"/>
        </w:rPr>
        <w:t>FINAL HEARING PROCEDURE</w:t>
      </w:r>
    </w:p>
    <w:p w:rsidR="00A16410" w:rsidRDefault="00A16410" w:rsidP="00B159CE">
      <w:pPr>
        <w:jc w:val="both"/>
      </w:pPr>
    </w:p>
    <w:p w:rsidR="00D8586E" w:rsidRPr="000402A4" w:rsidRDefault="00D8586E" w:rsidP="00D8586E">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t xml:space="preserve">the </w:t>
      </w:r>
      <w:r w:rsidRPr="000402A4">
        <w:t>a</w:t>
      </w:r>
      <w:r>
        <w:t>pproval of the 2024 Settlement Agreement as being in the public interest, and establishing rates that are fair, just, and reasonable.</w:t>
      </w:r>
    </w:p>
    <w:p w:rsidR="00D8586E" w:rsidRPr="000402A4" w:rsidRDefault="00D8586E" w:rsidP="00D8586E">
      <w:pPr>
        <w:ind w:firstLine="720"/>
        <w:jc w:val="both"/>
      </w:pPr>
    </w:p>
    <w:p w:rsidR="00D8586E" w:rsidRDefault="00D8586E" w:rsidP="00D8586E">
      <w:pPr>
        <w:ind w:firstLine="720"/>
        <w:jc w:val="both"/>
      </w:pPr>
      <w:r w:rsidRPr="00657907">
        <w:t xml:space="preserve">The hearing for </w:t>
      </w:r>
      <w:r>
        <w:t>August 21-22, 2024</w:t>
      </w:r>
      <w:r w:rsidRPr="00657907">
        <w:t>,</w:t>
      </w:r>
      <w:r>
        <w:t xml:space="preserve"> shall be governed by the following agenda</w:t>
      </w:r>
      <w:r w:rsidRPr="00657907">
        <w:t>:</w:t>
      </w:r>
    </w:p>
    <w:p w:rsidR="00D8586E" w:rsidRDefault="00D8586E" w:rsidP="00D8586E">
      <w:pPr>
        <w:ind w:firstLine="720"/>
        <w:jc w:val="both"/>
      </w:pPr>
    </w:p>
    <w:p w:rsidR="00D8586E" w:rsidRDefault="00D8586E" w:rsidP="00D8586E">
      <w:pPr>
        <w:ind w:firstLine="720"/>
        <w:jc w:val="both"/>
      </w:pPr>
      <w:r>
        <w:t>1.</w:t>
      </w:r>
      <w:r>
        <w:tab/>
      </w:r>
      <w:r w:rsidR="00341A45">
        <w:t>C</w:t>
      </w:r>
      <w:r w:rsidR="00CE15E2">
        <w:t xml:space="preserve">onvene </w:t>
      </w:r>
      <w:r w:rsidR="00341A45">
        <w:t>Hearing</w:t>
      </w:r>
    </w:p>
    <w:p w:rsidR="00341A45" w:rsidRDefault="00341A45" w:rsidP="00D8586E">
      <w:pPr>
        <w:ind w:firstLine="720"/>
        <w:jc w:val="both"/>
      </w:pPr>
    </w:p>
    <w:p w:rsidR="00341A45" w:rsidRDefault="00FC2776" w:rsidP="00D8586E">
      <w:pPr>
        <w:ind w:firstLine="720"/>
        <w:jc w:val="both"/>
      </w:pPr>
      <w:r>
        <w:t>2.</w:t>
      </w:r>
      <w:r>
        <w:tab/>
        <w:t>Read Notice</w:t>
      </w:r>
    </w:p>
    <w:p w:rsidR="00341A45" w:rsidRDefault="00341A45" w:rsidP="00D8586E">
      <w:pPr>
        <w:ind w:firstLine="720"/>
        <w:jc w:val="both"/>
      </w:pPr>
    </w:p>
    <w:p w:rsidR="00341A45" w:rsidRDefault="00FC2776" w:rsidP="00D8586E">
      <w:pPr>
        <w:ind w:firstLine="720"/>
        <w:jc w:val="both"/>
      </w:pPr>
      <w:r>
        <w:t>3.</w:t>
      </w:r>
      <w:r>
        <w:tab/>
        <w:t>Take Appearances</w:t>
      </w:r>
    </w:p>
    <w:p w:rsidR="00341A45" w:rsidRDefault="00341A45" w:rsidP="00D8586E">
      <w:pPr>
        <w:ind w:firstLine="720"/>
        <w:jc w:val="both"/>
      </w:pPr>
    </w:p>
    <w:p w:rsidR="00341A45" w:rsidRDefault="00341A45" w:rsidP="00D8586E">
      <w:pPr>
        <w:ind w:firstLine="720"/>
        <w:jc w:val="both"/>
      </w:pPr>
      <w:r>
        <w:t>4.</w:t>
      </w:r>
      <w:r>
        <w:tab/>
        <w:t>Preliminary Matters</w:t>
      </w:r>
    </w:p>
    <w:p w:rsidR="00341A45" w:rsidRDefault="00341A45" w:rsidP="00D8586E">
      <w:pPr>
        <w:ind w:firstLine="720"/>
        <w:jc w:val="both"/>
      </w:pPr>
    </w:p>
    <w:p w:rsidR="00341A45" w:rsidRDefault="00341A45" w:rsidP="00D8586E">
      <w:pPr>
        <w:ind w:firstLine="720"/>
        <w:jc w:val="both"/>
      </w:pPr>
      <w:r>
        <w:t>5.</w:t>
      </w:r>
      <w:r>
        <w:tab/>
        <w:t>Openings</w:t>
      </w:r>
    </w:p>
    <w:p w:rsidR="00341A45" w:rsidRDefault="00341A45" w:rsidP="00D8586E">
      <w:pPr>
        <w:ind w:firstLine="720"/>
        <w:jc w:val="both"/>
      </w:pPr>
    </w:p>
    <w:p w:rsidR="00341A45" w:rsidRDefault="00341A45" w:rsidP="00D8586E">
      <w:pPr>
        <w:ind w:firstLine="720"/>
        <w:jc w:val="both"/>
      </w:pPr>
      <w:r>
        <w:tab/>
        <w:t>a.</w:t>
      </w:r>
      <w:r>
        <w:tab/>
        <w:t>Opening Statements by Signatories to 2024 Settlement (5 minutes each)</w:t>
      </w:r>
    </w:p>
    <w:p w:rsidR="00341A45" w:rsidRDefault="00341A45" w:rsidP="00D8586E">
      <w:pPr>
        <w:ind w:firstLine="720"/>
        <w:jc w:val="both"/>
      </w:pPr>
      <w:r>
        <w:tab/>
        <w:t>b.</w:t>
      </w:r>
      <w:r>
        <w:tab/>
        <w:t>Statements of Position by Non-Signatories (2 minutes each)</w:t>
      </w:r>
    </w:p>
    <w:p w:rsidR="00D8586E" w:rsidRDefault="00D8586E" w:rsidP="00D8586E">
      <w:pPr>
        <w:ind w:firstLine="720"/>
        <w:jc w:val="both"/>
      </w:pPr>
    </w:p>
    <w:p w:rsidR="00D8586E" w:rsidRDefault="00341A45" w:rsidP="00D8586E">
      <w:pPr>
        <w:ind w:firstLine="720"/>
        <w:jc w:val="both"/>
      </w:pPr>
      <w:r>
        <w:t>6</w:t>
      </w:r>
      <w:r w:rsidR="00D8586E">
        <w:t>.</w:t>
      </w:r>
      <w:r w:rsidR="00D8586E">
        <w:tab/>
        <w:t>The Record</w:t>
      </w:r>
    </w:p>
    <w:p w:rsidR="00D8586E" w:rsidRDefault="00D8586E" w:rsidP="00D8586E">
      <w:pPr>
        <w:ind w:firstLine="720"/>
        <w:jc w:val="both"/>
      </w:pPr>
    </w:p>
    <w:p w:rsidR="00D8586E" w:rsidRDefault="00341A45" w:rsidP="00D8586E">
      <w:pPr>
        <w:ind w:firstLine="720"/>
        <w:jc w:val="both"/>
      </w:pPr>
      <w:r>
        <w:t>7</w:t>
      </w:r>
      <w:r w:rsidR="00D8586E">
        <w:t>.</w:t>
      </w:r>
      <w:r w:rsidR="00D8586E">
        <w:tab/>
      </w:r>
      <w:r w:rsidR="003F6E49">
        <w:t xml:space="preserve">Witness </w:t>
      </w:r>
      <w:r>
        <w:t xml:space="preserve">panel </w:t>
      </w:r>
      <w:r w:rsidR="003F6E49">
        <w:t>t</w:t>
      </w:r>
      <w:r w:rsidR="00D8586E">
        <w:t xml:space="preserve">estimony </w:t>
      </w:r>
      <w:r w:rsidR="003F6E49">
        <w:t xml:space="preserve">(in-person) </w:t>
      </w:r>
      <w:r w:rsidR="00834B39">
        <w:t xml:space="preserve">regarding </w:t>
      </w:r>
      <w:r w:rsidR="00A72240">
        <w:t xml:space="preserve">the </w:t>
      </w:r>
      <w:r w:rsidR="00D8586E">
        <w:t>2024 Settlement Agreement</w:t>
      </w:r>
    </w:p>
    <w:p w:rsidR="00D8586E" w:rsidRDefault="00D8586E" w:rsidP="00D8586E">
      <w:pPr>
        <w:ind w:firstLine="720"/>
        <w:jc w:val="both"/>
      </w:pPr>
    </w:p>
    <w:p w:rsidR="00D8586E" w:rsidRDefault="00341A45" w:rsidP="00D8586E">
      <w:pPr>
        <w:ind w:firstLine="720"/>
        <w:jc w:val="both"/>
      </w:pPr>
      <w:r>
        <w:t>8</w:t>
      </w:r>
      <w:r w:rsidR="00D8586E">
        <w:t xml:space="preserve">. </w:t>
      </w:r>
      <w:r w:rsidR="00D8586E">
        <w:tab/>
        <w:t>Q</w:t>
      </w:r>
      <w:r w:rsidR="00D8586E" w:rsidRPr="000402A4">
        <w:t xml:space="preserve">uestions from Commissioners regarding the </w:t>
      </w:r>
      <w:r w:rsidR="00D8586E">
        <w:t>202</w:t>
      </w:r>
      <w:r w:rsidR="00A72240">
        <w:t>4</w:t>
      </w:r>
      <w:r w:rsidR="00D8586E">
        <w:t xml:space="preserve"> Settlement Agreement</w:t>
      </w:r>
    </w:p>
    <w:p w:rsidR="00CE15E2" w:rsidRDefault="00CE15E2" w:rsidP="00D8586E">
      <w:pPr>
        <w:ind w:firstLine="720"/>
        <w:jc w:val="both"/>
      </w:pPr>
    </w:p>
    <w:p w:rsidR="00CE15E2" w:rsidRDefault="00CE15E2" w:rsidP="00D8586E">
      <w:pPr>
        <w:ind w:firstLine="720"/>
        <w:jc w:val="both"/>
      </w:pPr>
      <w:r>
        <w:t>9.</w:t>
      </w:r>
      <w:r>
        <w:tab/>
        <w:t>Concluding Matters</w:t>
      </w:r>
    </w:p>
    <w:p w:rsidR="00341A45" w:rsidRDefault="00341A45" w:rsidP="00D8586E">
      <w:pPr>
        <w:ind w:firstLine="720"/>
        <w:jc w:val="both"/>
      </w:pPr>
    </w:p>
    <w:p w:rsidR="00341A45" w:rsidRDefault="00CE15E2" w:rsidP="00D8586E">
      <w:pPr>
        <w:ind w:firstLine="720"/>
        <w:jc w:val="both"/>
      </w:pPr>
      <w:r>
        <w:t>10.</w:t>
      </w:r>
      <w:r>
        <w:tab/>
        <w:t>Adjourn</w:t>
      </w:r>
    </w:p>
    <w:p w:rsidR="00D8586E" w:rsidRPr="000402A4" w:rsidRDefault="00D8586E" w:rsidP="00D8586E">
      <w:pPr>
        <w:jc w:val="both"/>
      </w:pPr>
      <w:r>
        <w:lastRenderedPageBreak/>
        <w:tab/>
        <w:t xml:space="preserve">Upon </w:t>
      </w:r>
      <w:r w:rsidRPr="00657907">
        <w:t>the admission of all testimony and evidence, and completion of the Commission’s questions at hearing, the hearing record will be closed.</w:t>
      </w:r>
      <w:r w:rsidRPr="000402A4">
        <w:t xml:space="preserve"> </w:t>
      </w:r>
      <w:r>
        <w:t xml:space="preserve">Briefs, if any, will be due </w:t>
      </w:r>
      <w:r w:rsidR="009133A3">
        <w:t>September 6, 2024</w:t>
      </w:r>
      <w:r>
        <w:t>.</w:t>
      </w:r>
    </w:p>
    <w:p w:rsidR="00A16410" w:rsidRPr="00A16410" w:rsidRDefault="00A16410" w:rsidP="00B159CE">
      <w:pPr>
        <w:jc w:val="both"/>
      </w:pPr>
    </w:p>
    <w:p w:rsidR="00A16410" w:rsidRDefault="00A16410" w:rsidP="00B159CE">
      <w:pPr>
        <w:jc w:val="both"/>
        <w:rPr>
          <w:b/>
        </w:rPr>
      </w:pPr>
    </w:p>
    <w:p w:rsidR="00B159CE" w:rsidRPr="00A32DC5" w:rsidRDefault="009133A3" w:rsidP="00B159CE">
      <w:pPr>
        <w:jc w:val="both"/>
        <w:rPr>
          <w:b/>
        </w:rPr>
      </w:pPr>
      <w:r>
        <w:rPr>
          <w:b/>
        </w:rPr>
        <w:t>VI.</w:t>
      </w:r>
      <w:r w:rsidR="00B159CE" w:rsidRPr="00A32DC5">
        <w:rPr>
          <w:b/>
        </w:rPr>
        <w:tab/>
      </w:r>
      <w:r w:rsidR="00B159CE" w:rsidRPr="00A32DC5">
        <w:rPr>
          <w:b/>
          <w:u w:val="single"/>
        </w:rPr>
        <w:t>TESTIMONY</w:t>
      </w:r>
    </w:p>
    <w:p w:rsidR="00B159CE" w:rsidRDefault="00B159CE" w:rsidP="00B159CE">
      <w:pPr>
        <w:jc w:val="both"/>
      </w:pPr>
    </w:p>
    <w:p w:rsidR="00480526" w:rsidRDefault="00480526" w:rsidP="00B159CE">
      <w:pPr>
        <w:jc w:val="both"/>
        <w:rPr>
          <w:b/>
          <w:u w:val="single"/>
        </w:rPr>
      </w:pPr>
      <w:r>
        <w:rPr>
          <w:b/>
          <w:u w:val="single"/>
        </w:rPr>
        <w:t>Prefiled Testimony</w:t>
      </w:r>
    </w:p>
    <w:p w:rsidR="00480526" w:rsidRPr="00E6667C" w:rsidRDefault="00480526" w:rsidP="00B159CE">
      <w:pPr>
        <w:jc w:val="both"/>
        <w:rPr>
          <w:b/>
          <w:u w:val="single"/>
        </w:rPr>
      </w:pPr>
    </w:p>
    <w:p w:rsidR="00B159CE" w:rsidRDefault="00B159CE" w:rsidP="00F770B9">
      <w:pPr>
        <w:jc w:val="both"/>
      </w:pPr>
      <w:r w:rsidRPr="00701945">
        <w:tab/>
        <w:t xml:space="preserve">Testimony of </w:t>
      </w:r>
      <w:r w:rsidR="00480526">
        <w:t>the following</w:t>
      </w:r>
      <w:r w:rsidRPr="00701945">
        <w:t xml:space="preserve"> witnesses sponsored by the parties and Staff has been prefiled</w:t>
      </w:r>
      <w:r>
        <w:t xml:space="preserve"> and </w:t>
      </w:r>
      <w:r w:rsidRPr="00701945">
        <w:t>will be inserted</w:t>
      </w:r>
      <w:r w:rsidR="00F770B9">
        <w:t xml:space="preserve"> into the record as though read in the following order:</w:t>
      </w:r>
    </w:p>
    <w:p w:rsidR="00B62109" w:rsidRDefault="00B62109" w:rsidP="00F770B9">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tblGrid>
      <w:tr w:rsidR="00B62109" w:rsidRPr="00701945" w:rsidTr="00E6667C">
        <w:trPr>
          <w:cantSplit/>
          <w:trHeight w:val="362"/>
          <w:tblHeader/>
        </w:trPr>
        <w:tc>
          <w:tcPr>
            <w:tcW w:w="3507" w:type="dxa"/>
          </w:tcPr>
          <w:p w:rsidR="00B62109" w:rsidRPr="00701945" w:rsidRDefault="00B62109" w:rsidP="00E6667C">
            <w:pPr>
              <w:jc w:val="both"/>
            </w:pPr>
            <w:r w:rsidRPr="00701945">
              <w:rPr>
                <w:u w:val="single"/>
              </w:rPr>
              <w:t>Witness</w:t>
            </w:r>
          </w:p>
        </w:tc>
        <w:tc>
          <w:tcPr>
            <w:tcW w:w="2511" w:type="dxa"/>
          </w:tcPr>
          <w:p w:rsidR="00B62109" w:rsidRPr="00701945" w:rsidRDefault="00B62109" w:rsidP="00E6667C">
            <w:pPr>
              <w:jc w:val="center"/>
            </w:pPr>
            <w:r w:rsidRPr="00701945">
              <w:rPr>
                <w:u w:val="single"/>
              </w:rPr>
              <w:t>Proffered By</w:t>
            </w:r>
          </w:p>
        </w:tc>
      </w:tr>
      <w:tr w:rsidR="00B62109" w:rsidRPr="00701945" w:rsidTr="00E6667C">
        <w:trPr>
          <w:cantSplit/>
          <w:trHeight w:val="362"/>
        </w:trPr>
        <w:tc>
          <w:tcPr>
            <w:tcW w:w="3507" w:type="dxa"/>
          </w:tcPr>
          <w:p w:rsidR="00B62109" w:rsidRPr="00621EF4" w:rsidRDefault="00B62109" w:rsidP="00E6667C">
            <w:pPr>
              <w:jc w:val="both"/>
              <w:rPr>
                <w:b/>
                <w:u w:val="single"/>
              </w:rPr>
            </w:pPr>
            <w:r w:rsidRPr="00AC105C">
              <w:tab/>
            </w:r>
            <w:r w:rsidRPr="00621EF4">
              <w:rPr>
                <w:b/>
                <w:u w:val="single"/>
              </w:rPr>
              <w:t>Direct</w:t>
            </w:r>
          </w:p>
        </w:tc>
        <w:tc>
          <w:tcPr>
            <w:tcW w:w="2511" w:type="dxa"/>
          </w:tcPr>
          <w:p w:rsidR="00B62109" w:rsidRPr="00701945" w:rsidRDefault="00B62109" w:rsidP="00E6667C">
            <w:pPr>
              <w:jc w:val="center"/>
            </w:pPr>
          </w:p>
        </w:tc>
      </w:tr>
      <w:tr w:rsidR="00552F4A" w:rsidTr="00260F0F">
        <w:trPr>
          <w:cantSplit/>
          <w:trHeight w:val="362"/>
        </w:trPr>
        <w:tc>
          <w:tcPr>
            <w:tcW w:w="3507" w:type="dxa"/>
          </w:tcPr>
          <w:p w:rsidR="00552F4A" w:rsidRPr="00701945" w:rsidRDefault="00552F4A" w:rsidP="00260F0F">
            <w:pPr>
              <w:jc w:val="both"/>
            </w:pPr>
            <w:r>
              <w:t>Melissa Seixas</w:t>
            </w:r>
          </w:p>
        </w:tc>
        <w:tc>
          <w:tcPr>
            <w:tcW w:w="2511" w:type="dxa"/>
          </w:tcPr>
          <w:p w:rsidR="00552F4A" w:rsidRDefault="00552F4A" w:rsidP="00260F0F">
            <w:pPr>
              <w:jc w:val="center"/>
            </w:pPr>
            <w:r w:rsidRPr="00702F06">
              <w:t>DEF</w:t>
            </w:r>
          </w:p>
        </w:tc>
      </w:tr>
      <w:tr w:rsidR="00B62109" w:rsidRPr="00701945" w:rsidTr="00E6667C">
        <w:trPr>
          <w:cantSplit/>
          <w:trHeight w:val="382"/>
        </w:trPr>
        <w:tc>
          <w:tcPr>
            <w:tcW w:w="3507" w:type="dxa"/>
          </w:tcPr>
          <w:p w:rsidR="00B62109" w:rsidRPr="00701945" w:rsidRDefault="00B62109" w:rsidP="00E6667C">
            <w:pPr>
              <w:jc w:val="both"/>
            </w:pPr>
            <w:r>
              <w:t>Ned W. Allis</w:t>
            </w:r>
          </w:p>
        </w:tc>
        <w:tc>
          <w:tcPr>
            <w:tcW w:w="2511" w:type="dxa"/>
          </w:tcPr>
          <w:p w:rsidR="00B62109" w:rsidRPr="00701945" w:rsidRDefault="00B62109" w:rsidP="00E6667C">
            <w:pPr>
              <w:jc w:val="center"/>
            </w:pPr>
            <w:r>
              <w:t>DEF</w:t>
            </w:r>
          </w:p>
        </w:tc>
      </w:tr>
      <w:tr w:rsidR="00B62109" w:rsidTr="00E6667C">
        <w:trPr>
          <w:cantSplit/>
          <w:trHeight w:val="382"/>
        </w:trPr>
        <w:tc>
          <w:tcPr>
            <w:tcW w:w="3507" w:type="dxa"/>
          </w:tcPr>
          <w:p w:rsidR="00B62109" w:rsidRPr="00701945" w:rsidRDefault="00B62109" w:rsidP="00E6667C">
            <w:pPr>
              <w:jc w:val="both"/>
            </w:pPr>
            <w:r>
              <w:t>Reginald D. Anderson</w:t>
            </w:r>
          </w:p>
        </w:tc>
        <w:tc>
          <w:tcPr>
            <w:tcW w:w="2511" w:type="dxa"/>
          </w:tcPr>
          <w:p w:rsidR="00B62109" w:rsidRDefault="00B62109" w:rsidP="00E6667C">
            <w:pPr>
              <w:jc w:val="center"/>
            </w:pPr>
            <w:r w:rsidRPr="00702F06">
              <w:t>DEF</w:t>
            </w:r>
          </w:p>
        </w:tc>
      </w:tr>
      <w:tr w:rsidR="00B62109" w:rsidTr="00E6667C">
        <w:trPr>
          <w:cantSplit/>
          <w:trHeight w:val="382"/>
        </w:trPr>
        <w:tc>
          <w:tcPr>
            <w:tcW w:w="3507" w:type="dxa"/>
          </w:tcPr>
          <w:p w:rsidR="00B62109" w:rsidRPr="00701945" w:rsidRDefault="00B62109" w:rsidP="00E6667C">
            <w:pPr>
              <w:jc w:val="both"/>
            </w:pPr>
            <w:r>
              <w:t>Nicole Aquilina</w:t>
            </w:r>
          </w:p>
        </w:tc>
        <w:tc>
          <w:tcPr>
            <w:tcW w:w="2511" w:type="dxa"/>
          </w:tcPr>
          <w:p w:rsidR="00B62109" w:rsidRDefault="00B62109" w:rsidP="00E6667C">
            <w:pPr>
              <w:jc w:val="center"/>
            </w:pPr>
            <w:r w:rsidRPr="00702F06">
              <w:t>DEF</w:t>
            </w:r>
          </w:p>
        </w:tc>
      </w:tr>
      <w:tr w:rsidR="00B62109" w:rsidTr="00E6667C">
        <w:trPr>
          <w:cantSplit/>
          <w:trHeight w:val="382"/>
        </w:trPr>
        <w:tc>
          <w:tcPr>
            <w:tcW w:w="3507" w:type="dxa"/>
          </w:tcPr>
          <w:p w:rsidR="00B62109" w:rsidRPr="00701945" w:rsidRDefault="00B62109" w:rsidP="00E6667C">
            <w:pPr>
              <w:jc w:val="both"/>
            </w:pPr>
            <w:r>
              <w:t>Benjamin M.H. Borsch</w:t>
            </w:r>
          </w:p>
        </w:tc>
        <w:tc>
          <w:tcPr>
            <w:tcW w:w="2511" w:type="dxa"/>
          </w:tcPr>
          <w:p w:rsidR="00B62109" w:rsidRDefault="00B62109" w:rsidP="00E6667C">
            <w:pPr>
              <w:jc w:val="center"/>
            </w:pPr>
            <w:r w:rsidRPr="00702F06">
              <w:t>DEF</w:t>
            </w:r>
          </w:p>
        </w:tc>
      </w:tr>
      <w:tr w:rsidR="00B62109" w:rsidTr="00E6667C">
        <w:trPr>
          <w:cantSplit/>
          <w:trHeight w:val="382"/>
        </w:trPr>
        <w:tc>
          <w:tcPr>
            <w:tcW w:w="3507" w:type="dxa"/>
          </w:tcPr>
          <w:p w:rsidR="00B62109" w:rsidRPr="00701945" w:rsidRDefault="00B62109" w:rsidP="00E6667C">
            <w:pPr>
              <w:jc w:val="both"/>
            </w:pPr>
            <w:r>
              <w:t>Rebekah E. Buck</w:t>
            </w:r>
          </w:p>
        </w:tc>
        <w:tc>
          <w:tcPr>
            <w:tcW w:w="2511" w:type="dxa"/>
          </w:tcPr>
          <w:p w:rsidR="00B62109" w:rsidRDefault="00B62109" w:rsidP="00E6667C">
            <w:pPr>
              <w:jc w:val="center"/>
            </w:pPr>
            <w:r w:rsidRPr="00702F06">
              <w:t>DEF</w:t>
            </w:r>
          </w:p>
        </w:tc>
      </w:tr>
      <w:tr w:rsidR="00B62109" w:rsidTr="00E6667C">
        <w:trPr>
          <w:cantSplit/>
          <w:trHeight w:val="382"/>
        </w:trPr>
        <w:tc>
          <w:tcPr>
            <w:tcW w:w="3507" w:type="dxa"/>
          </w:tcPr>
          <w:p w:rsidR="00B62109" w:rsidRPr="00701945" w:rsidRDefault="00B62109" w:rsidP="00E6667C">
            <w:pPr>
              <w:jc w:val="both"/>
            </w:pPr>
            <w:r>
              <w:t>Shannon Caldwell</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Matthew Chatelain</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Timothy J. Duff</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Vanessa Goff</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Hans Jacob</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Jeffrey T. Kopp</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Brian M. Lloyd</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James J. McClay, III</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Adrian M. McKenzie</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lastRenderedPageBreak/>
              <w:t>Karl W. Newlin</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Michael T. O’Hara</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Marcia J. Oliver</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John R. Panizza</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Lesley G. Quick</w:t>
            </w:r>
          </w:p>
        </w:tc>
        <w:tc>
          <w:tcPr>
            <w:tcW w:w="2511" w:type="dxa"/>
          </w:tcPr>
          <w:p w:rsidR="00B62109" w:rsidRDefault="00B62109" w:rsidP="00E6667C">
            <w:pPr>
              <w:jc w:val="center"/>
            </w:pPr>
            <w:r w:rsidRPr="00702F06">
              <w:t>DEF</w:t>
            </w:r>
          </w:p>
        </w:tc>
      </w:tr>
      <w:tr w:rsidR="00B62109" w:rsidTr="00E6667C">
        <w:trPr>
          <w:cantSplit/>
          <w:trHeight w:val="362"/>
        </w:trPr>
        <w:tc>
          <w:tcPr>
            <w:tcW w:w="3507" w:type="dxa"/>
          </w:tcPr>
          <w:p w:rsidR="00B62109" w:rsidRPr="00701945" w:rsidRDefault="00B62109" w:rsidP="00E6667C">
            <w:pPr>
              <w:jc w:val="both"/>
            </w:pPr>
            <w:r>
              <w:t>Edward L. Scott</w:t>
            </w:r>
          </w:p>
        </w:tc>
        <w:tc>
          <w:tcPr>
            <w:tcW w:w="2511" w:type="dxa"/>
          </w:tcPr>
          <w:p w:rsidR="00B62109" w:rsidRDefault="00B62109" w:rsidP="00E6667C">
            <w:pPr>
              <w:jc w:val="center"/>
            </w:pPr>
            <w:r w:rsidRPr="00702F06">
              <w:t>DEF</w:t>
            </w:r>
          </w:p>
        </w:tc>
      </w:tr>
      <w:tr w:rsidR="00B62109" w:rsidRPr="00702F06" w:rsidTr="00E6667C">
        <w:trPr>
          <w:cantSplit/>
          <w:trHeight w:val="362"/>
        </w:trPr>
        <w:tc>
          <w:tcPr>
            <w:tcW w:w="3507" w:type="dxa"/>
          </w:tcPr>
          <w:p w:rsidR="00B62109" w:rsidRDefault="00B62109" w:rsidP="00E6667C">
            <w:pPr>
              <w:jc w:val="both"/>
            </w:pPr>
            <w:r>
              <w:t>James R. Dauphinais, Ph.D.</w:t>
            </w:r>
          </w:p>
        </w:tc>
        <w:tc>
          <w:tcPr>
            <w:tcW w:w="2511" w:type="dxa"/>
          </w:tcPr>
          <w:p w:rsidR="00B62109" w:rsidRPr="00702F06" w:rsidRDefault="00B62109" w:rsidP="00E6667C">
            <w:pPr>
              <w:jc w:val="center"/>
            </w:pPr>
            <w:r>
              <w:t>OPC</w:t>
            </w:r>
          </w:p>
        </w:tc>
      </w:tr>
      <w:tr w:rsidR="00B62109" w:rsidRPr="00702F06" w:rsidTr="00E6667C">
        <w:trPr>
          <w:cantSplit/>
          <w:trHeight w:val="362"/>
        </w:trPr>
        <w:tc>
          <w:tcPr>
            <w:tcW w:w="3507" w:type="dxa"/>
          </w:tcPr>
          <w:p w:rsidR="00B62109" w:rsidRDefault="00B62109" w:rsidP="00E6667C">
            <w:pPr>
              <w:jc w:val="both"/>
            </w:pPr>
            <w:r>
              <w:t>David E. Dismukes</w:t>
            </w:r>
          </w:p>
        </w:tc>
        <w:tc>
          <w:tcPr>
            <w:tcW w:w="2511" w:type="dxa"/>
          </w:tcPr>
          <w:p w:rsidR="00B62109" w:rsidRPr="00702F06" w:rsidRDefault="00B62109" w:rsidP="00E6667C">
            <w:pPr>
              <w:jc w:val="center"/>
            </w:pPr>
            <w:r>
              <w:t>OPC</w:t>
            </w:r>
          </w:p>
        </w:tc>
      </w:tr>
      <w:tr w:rsidR="00B62109" w:rsidRPr="00702F06" w:rsidTr="00E6667C">
        <w:trPr>
          <w:cantSplit/>
          <w:trHeight w:val="362"/>
        </w:trPr>
        <w:tc>
          <w:tcPr>
            <w:tcW w:w="3507" w:type="dxa"/>
          </w:tcPr>
          <w:p w:rsidR="00B62109" w:rsidRDefault="00B62109" w:rsidP="00E6667C">
            <w:pPr>
              <w:jc w:val="both"/>
            </w:pPr>
            <w:r>
              <w:t>William W. Dunkel</w:t>
            </w:r>
          </w:p>
        </w:tc>
        <w:tc>
          <w:tcPr>
            <w:tcW w:w="2511" w:type="dxa"/>
          </w:tcPr>
          <w:p w:rsidR="00B62109" w:rsidRPr="00702F06" w:rsidRDefault="00B62109" w:rsidP="00E6667C">
            <w:pPr>
              <w:jc w:val="center"/>
            </w:pPr>
            <w:r>
              <w:t>OPC</w:t>
            </w:r>
          </w:p>
        </w:tc>
      </w:tr>
      <w:tr w:rsidR="00B62109" w:rsidRPr="00702F06" w:rsidTr="00E6667C">
        <w:trPr>
          <w:cantSplit/>
          <w:trHeight w:val="362"/>
        </w:trPr>
        <w:tc>
          <w:tcPr>
            <w:tcW w:w="3507" w:type="dxa"/>
          </w:tcPr>
          <w:p w:rsidR="00B62109" w:rsidRDefault="00B62109" w:rsidP="00E6667C">
            <w:pPr>
              <w:jc w:val="both"/>
            </w:pPr>
            <w:r>
              <w:t>Daniel J. Lawton</w:t>
            </w:r>
          </w:p>
        </w:tc>
        <w:tc>
          <w:tcPr>
            <w:tcW w:w="2511" w:type="dxa"/>
          </w:tcPr>
          <w:p w:rsidR="00B62109" w:rsidRPr="00702F06" w:rsidRDefault="00B62109" w:rsidP="00E6667C">
            <w:pPr>
              <w:jc w:val="center"/>
            </w:pPr>
            <w:r>
              <w:t>OPC</w:t>
            </w:r>
          </w:p>
        </w:tc>
      </w:tr>
      <w:tr w:rsidR="00B62109" w:rsidRPr="00702F06" w:rsidTr="00E6667C">
        <w:trPr>
          <w:cantSplit/>
          <w:trHeight w:val="362"/>
        </w:trPr>
        <w:tc>
          <w:tcPr>
            <w:tcW w:w="3507" w:type="dxa"/>
          </w:tcPr>
          <w:p w:rsidR="00B62109" w:rsidRDefault="00B62109" w:rsidP="00E6667C">
            <w:pPr>
              <w:jc w:val="both"/>
            </w:pPr>
            <w:r>
              <w:t>Kevin J. Mara, P.E.</w:t>
            </w:r>
          </w:p>
        </w:tc>
        <w:tc>
          <w:tcPr>
            <w:tcW w:w="2511" w:type="dxa"/>
          </w:tcPr>
          <w:p w:rsidR="00B62109" w:rsidRPr="00702F06" w:rsidRDefault="00B62109" w:rsidP="00E6667C">
            <w:pPr>
              <w:jc w:val="center"/>
            </w:pPr>
            <w:r>
              <w:t>OPC</w:t>
            </w:r>
          </w:p>
        </w:tc>
      </w:tr>
      <w:tr w:rsidR="00B62109" w:rsidTr="00E6667C">
        <w:trPr>
          <w:cantSplit/>
          <w:trHeight w:val="362"/>
        </w:trPr>
        <w:tc>
          <w:tcPr>
            <w:tcW w:w="3507" w:type="dxa"/>
          </w:tcPr>
          <w:p w:rsidR="00B62109" w:rsidRDefault="00B62109" w:rsidP="00E6667C">
            <w:pPr>
              <w:jc w:val="both"/>
            </w:pPr>
            <w:r>
              <w:t>Helmuth W. Schultz, III</w:t>
            </w:r>
          </w:p>
        </w:tc>
        <w:tc>
          <w:tcPr>
            <w:tcW w:w="2511" w:type="dxa"/>
          </w:tcPr>
          <w:p w:rsidR="00B62109" w:rsidRDefault="00B62109" w:rsidP="00E6667C">
            <w:pPr>
              <w:jc w:val="center"/>
            </w:pPr>
            <w:r>
              <w:t>OPC</w:t>
            </w:r>
          </w:p>
        </w:tc>
      </w:tr>
      <w:tr w:rsidR="00B62109" w:rsidRPr="00701945" w:rsidTr="00E6667C">
        <w:trPr>
          <w:cantSplit/>
          <w:trHeight w:val="362"/>
        </w:trPr>
        <w:tc>
          <w:tcPr>
            <w:tcW w:w="3507" w:type="dxa"/>
          </w:tcPr>
          <w:p w:rsidR="00B62109" w:rsidRPr="00701945" w:rsidRDefault="00B62109" w:rsidP="00E6667C">
            <w:pPr>
              <w:jc w:val="both"/>
            </w:pPr>
            <w:r>
              <w:t>David Failkov</w:t>
            </w:r>
          </w:p>
        </w:tc>
        <w:tc>
          <w:tcPr>
            <w:tcW w:w="2511" w:type="dxa"/>
          </w:tcPr>
          <w:p w:rsidR="00B62109" w:rsidRPr="00701945" w:rsidRDefault="00B62109" w:rsidP="00E6667C">
            <w:pPr>
              <w:jc w:val="center"/>
            </w:pPr>
            <w:r>
              <w:t>AACE-Fuel Retailers</w:t>
            </w:r>
          </w:p>
        </w:tc>
      </w:tr>
      <w:tr w:rsidR="00B62109" w:rsidRPr="00701945" w:rsidTr="00E6667C">
        <w:trPr>
          <w:cantSplit/>
          <w:trHeight w:val="362"/>
        </w:trPr>
        <w:tc>
          <w:tcPr>
            <w:tcW w:w="3507" w:type="dxa"/>
          </w:tcPr>
          <w:p w:rsidR="00B62109" w:rsidRPr="00701945" w:rsidRDefault="00B62109" w:rsidP="00E6667C">
            <w:pPr>
              <w:jc w:val="both"/>
            </w:pPr>
            <w:r>
              <w:t>Lindsey R. Stegall</w:t>
            </w:r>
          </w:p>
        </w:tc>
        <w:tc>
          <w:tcPr>
            <w:tcW w:w="2511" w:type="dxa"/>
          </w:tcPr>
          <w:p w:rsidR="00B62109" w:rsidRPr="00701945" w:rsidRDefault="00B62109" w:rsidP="00E6667C">
            <w:pPr>
              <w:jc w:val="center"/>
            </w:pPr>
            <w:r>
              <w:t>EVgo</w:t>
            </w:r>
          </w:p>
        </w:tc>
      </w:tr>
      <w:tr w:rsidR="00B62109" w:rsidRPr="00701945" w:rsidTr="00E6667C">
        <w:trPr>
          <w:cantSplit/>
          <w:trHeight w:val="362"/>
        </w:trPr>
        <w:tc>
          <w:tcPr>
            <w:tcW w:w="3507" w:type="dxa"/>
          </w:tcPr>
          <w:p w:rsidR="00B62109" w:rsidRPr="00701945" w:rsidRDefault="00B62109" w:rsidP="00E6667C">
            <w:pPr>
              <w:jc w:val="both"/>
            </w:pPr>
            <w:r>
              <w:t>Jonathan Ly</w:t>
            </w:r>
          </w:p>
        </w:tc>
        <w:tc>
          <w:tcPr>
            <w:tcW w:w="2511" w:type="dxa"/>
          </w:tcPr>
          <w:p w:rsidR="00B62109" w:rsidRPr="00701945" w:rsidRDefault="00B62109" w:rsidP="00E6667C">
            <w:pPr>
              <w:jc w:val="center"/>
            </w:pPr>
            <w:r>
              <w:t>FIPUG</w:t>
            </w:r>
          </w:p>
        </w:tc>
      </w:tr>
      <w:tr w:rsidR="00B62109" w:rsidRPr="00701945" w:rsidTr="00E6667C">
        <w:trPr>
          <w:cantSplit/>
          <w:trHeight w:val="362"/>
        </w:trPr>
        <w:tc>
          <w:tcPr>
            <w:tcW w:w="3507" w:type="dxa"/>
          </w:tcPr>
          <w:p w:rsidR="00B62109" w:rsidRPr="00701945" w:rsidRDefault="00B62109" w:rsidP="00E6667C">
            <w:pPr>
              <w:jc w:val="both"/>
            </w:pPr>
            <w:r>
              <w:t>Jeff Pollock</w:t>
            </w:r>
          </w:p>
        </w:tc>
        <w:tc>
          <w:tcPr>
            <w:tcW w:w="2511" w:type="dxa"/>
          </w:tcPr>
          <w:p w:rsidR="00B62109" w:rsidRPr="00701945" w:rsidRDefault="00B62109" w:rsidP="00E6667C">
            <w:pPr>
              <w:jc w:val="center"/>
            </w:pPr>
            <w:r>
              <w:t>FIPUG</w:t>
            </w:r>
          </w:p>
        </w:tc>
      </w:tr>
      <w:tr w:rsidR="00B62109" w:rsidRPr="00701945" w:rsidTr="00E6667C">
        <w:trPr>
          <w:cantSplit/>
          <w:trHeight w:val="362"/>
        </w:trPr>
        <w:tc>
          <w:tcPr>
            <w:tcW w:w="3507" w:type="dxa"/>
          </w:tcPr>
          <w:p w:rsidR="00B62109" w:rsidRPr="00701945" w:rsidRDefault="00B62109" w:rsidP="00E6667C">
            <w:pPr>
              <w:jc w:val="both"/>
            </w:pPr>
            <w:r>
              <w:t>Steve W. Chriss</w:t>
            </w:r>
          </w:p>
        </w:tc>
        <w:tc>
          <w:tcPr>
            <w:tcW w:w="2511" w:type="dxa"/>
          </w:tcPr>
          <w:p w:rsidR="00B62109" w:rsidRPr="00701945" w:rsidRDefault="00B62109" w:rsidP="00E6667C">
            <w:pPr>
              <w:jc w:val="center"/>
            </w:pPr>
            <w:r>
              <w:t>FRF</w:t>
            </w:r>
          </w:p>
        </w:tc>
      </w:tr>
      <w:tr w:rsidR="00B62109" w:rsidRPr="00701945" w:rsidTr="00E6667C">
        <w:trPr>
          <w:cantSplit/>
          <w:trHeight w:val="362"/>
        </w:trPr>
        <w:tc>
          <w:tcPr>
            <w:tcW w:w="3507" w:type="dxa"/>
          </w:tcPr>
          <w:p w:rsidR="00B62109" w:rsidRPr="00701945" w:rsidRDefault="00B62109" w:rsidP="00E6667C">
            <w:pPr>
              <w:jc w:val="both"/>
            </w:pPr>
            <w:r>
              <w:t>MacKenzie Marcelin</w:t>
            </w:r>
          </w:p>
        </w:tc>
        <w:tc>
          <w:tcPr>
            <w:tcW w:w="2511" w:type="dxa"/>
          </w:tcPr>
          <w:p w:rsidR="00B62109" w:rsidRPr="00701945" w:rsidRDefault="00B62109" w:rsidP="00E6667C">
            <w:pPr>
              <w:jc w:val="center"/>
            </w:pPr>
            <w:r>
              <w:t>FL Rising/LULAC</w:t>
            </w:r>
          </w:p>
        </w:tc>
      </w:tr>
      <w:tr w:rsidR="00B62109" w:rsidRPr="00701945" w:rsidTr="00E6667C">
        <w:trPr>
          <w:cantSplit/>
          <w:trHeight w:val="362"/>
        </w:trPr>
        <w:tc>
          <w:tcPr>
            <w:tcW w:w="3507" w:type="dxa"/>
          </w:tcPr>
          <w:p w:rsidR="00B62109" w:rsidRPr="00701945" w:rsidRDefault="00B62109" w:rsidP="00E6667C">
            <w:pPr>
              <w:jc w:val="both"/>
            </w:pPr>
            <w:r>
              <w:t>Karl R. Rabago</w:t>
            </w:r>
          </w:p>
        </w:tc>
        <w:tc>
          <w:tcPr>
            <w:tcW w:w="2511" w:type="dxa"/>
          </w:tcPr>
          <w:p w:rsidR="00B62109" w:rsidRPr="00701945" w:rsidRDefault="00B62109" w:rsidP="00E6667C">
            <w:pPr>
              <w:jc w:val="center"/>
            </w:pPr>
            <w:r>
              <w:t>FL Rising/LULAC</w:t>
            </w:r>
          </w:p>
        </w:tc>
      </w:tr>
      <w:tr w:rsidR="00B62109" w:rsidRPr="00701945" w:rsidTr="00E6667C">
        <w:trPr>
          <w:cantSplit/>
          <w:trHeight w:val="362"/>
        </w:trPr>
        <w:tc>
          <w:tcPr>
            <w:tcW w:w="3507" w:type="dxa"/>
          </w:tcPr>
          <w:p w:rsidR="00B62109" w:rsidRPr="00701945" w:rsidRDefault="00B62109" w:rsidP="00E6667C">
            <w:pPr>
              <w:jc w:val="both"/>
            </w:pPr>
            <w:r>
              <w:t>Tony Georgis</w:t>
            </w:r>
          </w:p>
        </w:tc>
        <w:tc>
          <w:tcPr>
            <w:tcW w:w="2511" w:type="dxa"/>
          </w:tcPr>
          <w:p w:rsidR="00B62109" w:rsidRPr="00701945" w:rsidRDefault="00B62109" w:rsidP="00E6667C">
            <w:pPr>
              <w:jc w:val="center"/>
            </w:pPr>
            <w:r>
              <w:t>Nucor/PCS Phosphate</w:t>
            </w:r>
          </w:p>
        </w:tc>
      </w:tr>
      <w:tr w:rsidR="00B62109" w:rsidRPr="00701945" w:rsidTr="00E6667C">
        <w:trPr>
          <w:cantSplit/>
          <w:trHeight w:val="362"/>
        </w:trPr>
        <w:tc>
          <w:tcPr>
            <w:tcW w:w="3507" w:type="dxa"/>
          </w:tcPr>
          <w:p w:rsidR="00B62109" w:rsidRPr="00701945" w:rsidRDefault="00B62109" w:rsidP="00E6667C">
            <w:pPr>
              <w:jc w:val="both"/>
            </w:pPr>
            <w:r>
              <w:t>Rose Anderson</w:t>
            </w:r>
          </w:p>
        </w:tc>
        <w:tc>
          <w:tcPr>
            <w:tcW w:w="2511" w:type="dxa"/>
          </w:tcPr>
          <w:p w:rsidR="00B62109" w:rsidRPr="00701945" w:rsidRDefault="00B62109" w:rsidP="00E6667C">
            <w:pPr>
              <w:jc w:val="center"/>
            </w:pPr>
            <w:r>
              <w:t>Sierra Club</w:t>
            </w:r>
          </w:p>
        </w:tc>
      </w:tr>
      <w:tr w:rsidR="00B62109" w:rsidRPr="00701945" w:rsidTr="00E6667C">
        <w:trPr>
          <w:cantSplit/>
          <w:trHeight w:val="362"/>
        </w:trPr>
        <w:tc>
          <w:tcPr>
            <w:tcW w:w="3507" w:type="dxa"/>
          </w:tcPr>
          <w:p w:rsidR="00B62109" w:rsidRPr="00701945" w:rsidRDefault="00B62109" w:rsidP="00E6667C">
            <w:pPr>
              <w:jc w:val="both"/>
            </w:pPr>
            <w:r>
              <w:t>Angela L. Calhoun</w:t>
            </w:r>
          </w:p>
        </w:tc>
        <w:tc>
          <w:tcPr>
            <w:tcW w:w="2511" w:type="dxa"/>
          </w:tcPr>
          <w:p w:rsidR="00B62109" w:rsidRPr="00701945" w:rsidRDefault="00B62109" w:rsidP="00E6667C">
            <w:pPr>
              <w:jc w:val="center"/>
            </w:pPr>
            <w:r>
              <w:t>Staff</w:t>
            </w:r>
          </w:p>
        </w:tc>
      </w:tr>
      <w:tr w:rsidR="00B62109" w:rsidRPr="00701945" w:rsidTr="00E6667C">
        <w:trPr>
          <w:cantSplit/>
          <w:trHeight w:val="362"/>
        </w:trPr>
        <w:tc>
          <w:tcPr>
            <w:tcW w:w="3507" w:type="dxa"/>
          </w:tcPr>
          <w:p w:rsidR="00B62109" w:rsidRPr="00701945" w:rsidRDefault="00B62109" w:rsidP="00E6667C">
            <w:pPr>
              <w:jc w:val="both"/>
            </w:pPr>
            <w:r>
              <w:lastRenderedPageBreak/>
              <w:t>Simon Ojada</w:t>
            </w:r>
          </w:p>
        </w:tc>
        <w:tc>
          <w:tcPr>
            <w:tcW w:w="2511" w:type="dxa"/>
          </w:tcPr>
          <w:p w:rsidR="00B62109" w:rsidRPr="00701945" w:rsidRDefault="00B62109" w:rsidP="00E6667C">
            <w:pPr>
              <w:jc w:val="center"/>
            </w:pPr>
            <w:r>
              <w:t>Staff</w:t>
            </w:r>
          </w:p>
        </w:tc>
      </w:tr>
    </w:tbl>
    <w:p w:rsidR="00877302" w:rsidRDefault="00877302"/>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tblGrid>
      <w:tr w:rsidR="00B62109" w:rsidRPr="00701945" w:rsidTr="00E6667C">
        <w:trPr>
          <w:cantSplit/>
          <w:trHeight w:val="382"/>
        </w:trPr>
        <w:tc>
          <w:tcPr>
            <w:tcW w:w="3507" w:type="dxa"/>
          </w:tcPr>
          <w:p w:rsidR="00B62109" w:rsidRPr="00621EF4" w:rsidRDefault="00B62109" w:rsidP="00E6667C">
            <w:pPr>
              <w:jc w:val="both"/>
              <w:rPr>
                <w:b/>
              </w:rPr>
            </w:pPr>
            <w:r w:rsidRPr="00701945">
              <w:tab/>
            </w:r>
            <w:r w:rsidRPr="00621EF4">
              <w:rPr>
                <w:b/>
                <w:u w:val="single"/>
              </w:rPr>
              <w:t>Rebuttal</w:t>
            </w:r>
          </w:p>
        </w:tc>
        <w:tc>
          <w:tcPr>
            <w:tcW w:w="2511" w:type="dxa"/>
          </w:tcPr>
          <w:p w:rsidR="00B62109" w:rsidRPr="00701945" w:rsidRDefault="00B62109" w:rsidP="00E6667C">
            <w:pPr>
              <w:jc w:val="center"/>
            </w:pPr>
          </w:p>
        </w:tc>
      </w:tr>
      <w:tr w:rsidR="00B62109" w:rsidRPr="00701945" w:rsidTr="00E6667C">
        <w:trPr>
          <w:cantSplit/>
          <w:trHeight w:val="362"/>
        </w:trPr>
        <w:tc>
          <w:tcPr>
            <w:tcW w:w="3507" w:type="dxa"/>
          </w:tcPr>
          <w:p w:rsidR="00B62109" w:rsidRPr="00701945" w:rsidRDefault="00B62109" w:rsidP="00E6667C">
            <w:pPr>
              <w:jc w:val="both"/>
            </w:pPr>
            <w:r>
              <w:t>Ned W. Allis</w:t>
            </w:r>
          </w:p>
        </w:tc>
        <w:tc>
          <w:tcPr>
            <w:tcW w:w="2511" w:type="dxa"/>
          </w:tcPr>
          <w:p w:rsidR="00B62109" w:rsidRPr="00701945" w:rsidRDefault="00B62109" w:rsidP="00E6667C">
            <w:pPr>
              <w:jc w:val="center"/>
            </w:pPr>
            <w:r>
              <w:t>DEF</w:t>
            </w:r>
          </w:p>
        </w:tc>
      </w:tr>
      <w:tr w:rsidR="00B62109" w:rsidTr="00E6667C">
        <w:trPr>
          <w:cantSplit/>
          <w:trHeight w:val="362"/>
        </w:trPr>
        <w:tc>
          <w:tcPr>
            <w:tcW w:w="3507" w:type="dxa"/>
          </w:tcPr>
          <w:p w:rsidR="00B62109" w:rsidRPr="00701945" w:rsidRDefault="00B62109" w:rsidP="00E6667C">
            <w:pPr>
              <w:jc w:val="both"/>
            </w:pPr>
            <w:r>
              <w:t>Reginald D. Anderson</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Benjamin M.H. Borsch</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Matthew Chatelain</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Timothy J. Duff</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Misty Easton</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Vanessa Goff</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Timothy S. Hill</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Jeffrey T. Kopp</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Brian M. Lloyd</w:t>
            </w:r>
          </w:p>
        </w:tc>
        <w:tc>
          <w:tcPr>
            <w:tcW w:w="2511" w:type="dxa"/>
          </w:tcPr>
          <w:p w:rsidR="00B62109" w:rsidRDefault="00B62109" w:rsidP="00E6667C">
            <w:pPr>
              <w:jc w:val="center"/>
            </w:pPr>
            <w:r w:rsidRPr="009A6D1F">
              <w:t>DEF</w:t>
            </w:r>
          </w:p>
        </w:tc>
      </w:tr>
      <w:tr w:rsidR="00B62109" w:rsidTr="00E6667C">
        <w:trPr>
          <w:cantSplit/>
          <w:trHeight w:val="362"/>
        </w:trPr>
        <w:tc>
          <w:tcPr>
            <w:tcW w:w="3507" w:type="dxa"/>
          </w:tcPr>
          <w:p w:rsidR="00B62109" w:rsidRPr="00701945" w:rsidRDefault="00B62109" w:rsidP="00E6667C">
            <w:pPr>
              <w:jc w:val="both"/>
            </w:pPr>
            <w:r>
              <w:t>Adrian M. McKenzie</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Sharif S. Mitchell</w:t>
            </w:r>
          </w:p>
        </w:tc>
        <w:tc>
          <w:tcPr>
            <w:tcW w:w="2511" w:type="dxa"/>
          </w:tcPr>
          <w:p w:rsidR="00B62109" w:rsidRDefault="00B62109" w:rsidP="00E6667C">
            <w:pPr>
              <w:jc w:val="center"/>
            </w:pPr>
            <w:r w:rsidRPr="009A6D1F">
              <w:t>DEF</w:t>
            </w:r>
          </w:p>
        </w:tc>
      </w:tr>
      <w:tr w:rsidR="00B62109" w:rsidTr="00E6667C">
        <w:trPr>
          <w:cantSplit/>
          <w:trHeight w:val="354"/>
        </w:trPr>
        <w:tc>
          <w:tcPr>
            <w:tcW w:w="3507" w:type="dxa"/>
          </w:tcPr>
          <w:p w:rsidR="00B62109" w:rsidRPr="00701945" w:rsidRDefault="00B62109" w:rsidP="00E6667C">
            <w:pPr>
              <w:jc w:val="both"/>
            </w:pPr>
            <w:r>
              <w:t>Karl W. Newlin</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Michael T. O’Hara</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Marcia J. Olivier</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John R. Panizza</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Lesley G. Quick</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Edward L. Scott</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Paige Swofford</w:t>
            </w:r>
          </w:p>
        </w:tc>
        <w:tc>
          <w:tcPr>
            <w:tcW w:w="2511" w:type="dxa"/>
          </w:tcPr>
          <w:p w:rsidR="00B62109" w:rsidRDefault="00B62109" w:rsidP="00E6667C">
            <w:pPr>
              <w:jc w:val="center"/>
            </w:pPr>
            <w:r w:rsidRPr="009A6D1F">
              <w:t>DEF</w:t>
            </w:r>
          </w:p>
        </w:tc>
      </w:tr>
    </w:tbl>
    <w:p w:rsidR="00FC2776" w:rsidRDefault="00FC2776" w:rsidP="00F770B9">
      <w:pPr>
        <w:jc w:val="both"/>
      </w:pPr>
    </w:p>
    <w:p w:rsidR="00480526" w:rsidRDefault="00B62109" w:rsidP="00B159CE">
      <w:pPr>
        <w:jc w:val="both"/>
      </w:pPr>
      <w:r>
        <w:rPr>
          <w:b/>
          <w:u w:val="single"/>
        </w:rPr>
        <w:lastRenderedPageBreak/>
        <w:t>In-person Witness</w:t>
      </w:r>
      <w:r w:rsidR="00480526">
        <w:rPr>
          <w:b/>
          <w:u w:val="single"/>
        </w:rPr>
        <w:t xml:space="preserve"> Testimony</w:t>
      </w:r>
    </w:p>
    <w:p w:rsidR="00480526" w:rsidRDefault="00480526" w:rsidP="00B159CE">
      <w:pPr>
        <w:jc w:val="both"/>
      </w:pPr>
    </w:p>
    <w:p w:rsidR="00B62109" w:rsidRDefault="00480526" w:rsidP="00B159CE">
      <w:pPr>
        <w:jc w:val="both"/>
      </w:pPr>
      <w:r>
        <w:tab/>
      </w:r>
      <w:r w:rsidR="00B62109">
        <w:t>T</w:t>
      </w:r>
      <w:r w:rsidR="00341A45">
        <w:t>he following witness panel</w:t>
      </w:r>
      <w:r w:rsidR="00B62109">
        <w:t xml:space="preserve"> will provide in-person testimony</w:t>
      </w:r>
      <w:r w:rsidR="00041E90">
        <w:t xml:space="preserve"> </w:t>
      </w:r>
      <w:r w:rsidR="00CE40BC">
        <w:t>regarding the 2024 Settlement Agreement</w:t>
      </w:r>
      <w:r w:rsidR="00B62109">
        <w:t xml:space="preserve"> at the August 21, 2024, hearing:</w:t>
      </w:r>
    </w:p>
    <w:p w:rsidR="00B62109" w:rsidRDefault="00B62109" w:rsidP="00B159CE">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tblGrid>
      <w:tr w:rsidR="00B62109" w:rsidTr="00E6667C">
        <w:trPr>
          <w:cantSplit/>
          <w:trHeight w:val="382"/>
        </w:trPr>
        <w:tc>
          <w:tcPr>
            <w:tcW w:w="3507" w:type="dxa"/>
          </w:tcPr>
          <w:p w:rsidR="00B62109" w:rsidRPr="00701945" w:rsidRDefault="00B62109" w:rsidP="00E6667C">
            <w:pPr>
              <w:jc w:val="both"/>
            </w:pPr>
            <w:r>
              <w:t>Benjamin M.H. Borsch</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Matthew Chatelain</w:t>
            </w:r>
          </w:p>
        </w:tc>
        <w:tc>
          <w:tcPr>
            <w:tcW w:w="2511" w:type="dxa"/>
          </w:tcPr>
          <w:p w:rsidR="00B62109" w:rsidRDefault="00B62109" w:rsidP="00E6667C">
            <w:pPr>
              <w:jc w:val="center"/>
            </w:pPr>
            <w:r w:rsidRPr="009A6D1F">
              <w:t>DEF</w:t>
            </w:r>
          </w:p>
        </w:tc>
      </w:tr>
      <w:tr w:rsidR="00B62109" w:rsidTr="00E6667C">
        <w:trPr>
          <w:cantSplit/>
          <w:trHeight w:val="382"/>
        </w:trPr>
        <w:tc>
          <w:tcPr>
            <w:tcW w:w="3507" w:type="dxa"/>
          </w:tcPr>
          <w:p w:rsidR="00B62109" w:rsidRPr="00701945" w:rsidRDefault="00B62109" w:rsidP="00E6667C">
            <w:pPr>
              <w:jc w:val="both"/>
            </w:pPr>
            <w:r>
              <w:t>Marcia J. Olivier</w:t>
            </w:r>
          </w:p>
        </w:tc>
        <w:tc>
          <w:tcPr>
            <w:tcW w:w="2511" w:type="dxa"/>
          </w:tcPr>
          <w:p w:rsidR="00B62109" w:rsidRDefault="00B62109" w:rsidP="00E6667C">
            <w:pPr>
              <w:jc w:val="center"/>
            </w:pPr>
            <w:r w:rsidRPr="009A6D1F">
              <w:t>DEF</w:t>
            </w:r>
          </w:p>
        </w:tc>
      </w:tr>
    </w:tbl>
    <w:p w:rsidR="00480526" w:rsidRPr="00480526" w:rsidRDefault="00480526" w:rsidP="00B159CE">
      <w:pPr>
        <w:jc w:val="both"/>
      </w:pPr>
    </w:p>
    <w:p w:rsidR="00480526" w:rsidRDefault="00480526" w:rsidP="00B159CE">
      <w:pPr>
        <w:jc w:val="both"/>
      </w:pPr>
    </w:p>
    <w:p w:rsidR="00B159CE" w:rsidRDefault="004654E7" w:rsidP="00B159CE">
      <w:pPr>
        <w:jc w:val="both"/>
        <w:rPr>
          <w:b/>
          <w:u w:val="single"/>
        </w:rPr>
      </w:pPr>
      <w:r>
        <w:rPr>
          <w:b/>
        </w:rPr>
        <w:t>V</w:t>
      </w:r>
      <w:r w:rsidR="00B159CE" w:rsidRPr="00A32DC5">
        <w:rPr>
          <w:b/>
        </w:rPr>
        <w:t>I</w:t>
      </w:r>
      <w:r w:rsidR="009133A3">
        <w:rPr>
          <w:b/>
        </w:rPr>
        <w:t>I</w:t>
      </w:r>
      <w:r w:rsidR="00B159CE" w:rsidRPr="00A32DC5">
        <w:rPr>
          <w:b/>
        </w:rPr>
        <w:t>.</w:t>
      </w:r>
      <w:r w:rsidR="00B159CE" w:rsidRPr="00A32DC5">
        <w:rPr>
          <w:b/>
        </w:rPr>
        <w:tab/>
      </w:r>
      <w:r w:rsidR="00F770B9" w:rsidRPr="00F770B9">
        <w:rPr>
          <w:b/>
          <w:u w:val="single"/>
        </w:rPr>
        <w:t xml:space="preserve">PREFILED </w:t>
      </w:r>
      <w:r w:rsidR="00B159CE" w:rsidRPr="00A32DC5">
        <w:rPr>
          <w:b/>
          <w:u w:val="single"/>
        </w:rPr>
        <w:t>EXHIBITS</w:t>
      </w:r>
    </w:p>
    <w:p w:rsidR="00F770B9" w:rsidRDefault="00F770B9" w:rsidP="00B159CE">
      <w:pPr>
        <w:jc w:val="both"/>
        <w:rPr>
          <w:b/>
          <w:u w:val="single"/>
        </w:rPr>
      </w:pPr>
    </w:p>
    <w:p w:rsidR="00F770B9" w:rsidRDefault="00F770B9" w:rsidP="00F770B9">
      <w:pPr>
        <w:jc w:val="both"/>
      </w:pPr>
      <w:r w:rsidRPr="00701945">
        <w:tab/>
        <w:t>T</w:t>
      </w:r>
      <w:r>
        <w:t>he following prefiled exhibits submitted along with the prefiled t</w:t>
      </w:r>
      <w:r w:rsidRPr="00701945">
        <w:t>estimony of all witnesses</w:t>
      </w:r>
      <w:r>
        <w:t xml:space="preserve"> </w:t>
      </w:r>
      <w:r w:rsidRPr="00701945">
        <w:t xml:space="preserve">will be </w:t>
      </w:r>
      <w:r>
        <w:t>mov</w:t>
      </w:r>
      <w:r w:rsidRPr="00701945">
        <w:t>ed</w:t>
      </w:r>
      <w:r>
        <w:t xml:space="preserve"> into the record.</w:t>
      </w:r>
    </w:p>
    <w:p w:rsidR="00F770B9" w:rsidRPr="00F770B9" w:rsidRDefault="00F770B9" w:rsidP="00B159CE">
      <w:pPr>
        <w:jc w:val="both"/>
      </w:pPr>
    </w:p>
    <w:p w:rsidR="00B159CE" w:rsidRPr="00701945" w:rsidRDefault="00B159CE" w:rsidP="00B159C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512"/>
        <w:gridCol w:w="1350"/>
        <w:gridCol w:w="3505"/>
      </w:tblGrid>
      <w:tr w:rsidR="00B159CE" w:rsidRPr="00701945" w:rsidTr="004D74F1">
        <w:trPr>
          <w:cantSplit/>
          <w:trHeight w:val="288"/>
          <w:tblHeader/>
        </w:trPr>
        <w:tc>
          <w:tcPr>
            <w:tcW w:w="3198" w:type="dxa"/>
          </w:tcPr>
          <w:p w:rsidR="00B159CE" w:rsidRPr="00701945" w:rsidRDefault="00B159CE" w:rsidP="00D90F41">
            <w:r w:rsidRPr="00701945">
              <w:rPr>
                <w:u w:val="single"/>
              </w:rPr>
              <w:t>Witness</w:t>
            </w:r>
          </w:p>
        </w:tc>
        <w:tc>
          <w:tcPr>
            <w:tcW w:w="1512" w:type="dxa"/>
          </w:tcPr>
          <w:p w:rsidR="00B159CE" w:rsidRPr="00701945" w:rsidRDefault="00B159CE" w:rsidP="00813D49">
            <w:pPr>
              <w:jc w:val="center"/>
            </w:pPr>
            <w:r w:rsidRPr="00701945">
              <w:rPr>
                <w:u w:val="single"/>
              </w:rPr>
              <w:t>Proffered By</w:t>
            </w:r>
          </w:p>
        </w:tc>
        <w:tc>
          <w:tcPr>
            <w:tcW w:w="1350" w:type="dxa"/>
          </w:tcPr>
          <w:p w:rsidR="00B159CE" w:rsidRPr="004515FB" w:rsidRDefault="00B159CE" w:rsidP="00813D49">
            <w:pPr>
              <w:jc w:val="center"/>
            </w:pPr>
          </w:p>
        </w:tc>
        <w:tc>
          <w:tcPr>
            <w:tcW w:w="3505" w:type="dxa"/>
          </w:tcPr>
          <w:p w:rsidR="00B159CE" w:rsidRPr="00701945" w:rsidRDefault="00B159CE" w:rsidP="00D90F41">
            <w:r w:rsidRPr="00701945">
              <w:rPr>
                <w:u w:val="single"/>
              </w:rPr>
              <w:t>Description</w:t>
            </w:r>
          </w:p>
        </w:tc>
      </w:tr>
      <w:tr w:rsidR="00B159CE" w:rsidRPr="00701945" w:rsidTr="004D74F1">
        <w:trPr>
          <w:cantSplit/>
          <w:trHeight w:val="288"/>
        </w:trPr>
        <w:tc>
          <w:tcPr>
            <w:tcW w:w="3198" w:type="dxa"/>
          </w:tcPr>
          <w:p w:rsidR="00B159CE" w:rsidRPr="00701945" w:rsidRDefault="00B159CE" w:rsidP="00D90F41">
            <w:r w:rsidRPr="00701945">
              <w:tab/>
            </w:r>
            <w:r w:rsidRPr="00701945">
              <w:rPr>
                <w:u w:val="single"/>
              </w:rPr>
              <w:t>Direct</w:t>
            </w:r>
          </w:p>
        </w:tc>
        <w:tc>
          <w:tcPr>
            <w:tcW w:w="1512" w:type="dxa"/>
          </w:tcPr>
          <w:p w:rsidR="00B159CE" w:rsidRPr="00701945" w:rsidRDefault="00B159CE" w:rsidP="00813D49">
            <w:pPr>
              <w:jc w:val="center"/>
            </w:pPr>
          </w:p>
        </w:tc>
        <w:tc>
          <w:tcPr>
            <w:tcW w:w="1350" w:type="dxa"/>
          </w:tcPr>
          <w:p w:rsidR="00B159CE" w:rsidRPr="004515FB" w:rsidRDefault="00B159CE" w:rsidP="00813D49">
            <w:pPr>
              <w:jc w:val="center"/>
            </w:pPr>
          </w:p>
        </w:tc>
        <w:tc>
          <w:tcPr>
            <w:tcW w:w="3505" w:type="dxa"/>
          </w:tcPr>
          <w:p w:rsidR="00B159CE" w:rsidRPr="00701945" w:rsidRDefault="00B159CE" w:rsidP="00D90F41"/>
        </w:tc>
      </w:tr>
      <w:tr w:rsidR="002E688D" w:rsidRPr="00701945" w:rsidTr="004D74F1">
        <w:trPr>
          <w:cantSplit/>
          <w:trHeight w:val="288"/>
        </w:trPr>
        <w:tc>
          <w:tcPr>
            <w:tcW w:w="3198" w:type="dxa"/>
          </w:tcPr>
          <w:p w:rsidR="002E688D" w:rsidRDefault="002E688D" w:rsidP="00D90F41">
            <w:pPr>
              <w:pStyle w:val="PrehearingBody"/>
              <w:spacing w:after="0"/>
              <w:ind w:firstLine="0"/>
              <w:jc w:val="left"/>
            </w:pPr>
            <w:r>
              <w:t>Ned W. Allis</w:t>
            </w:r>
          </w:p>
        </w:tc>
        <w:tc>
          <w:tcPr>
            <w:tcW w:w="1512" w:type="dxa"/>
          </w:tcPr>
          <w:p w:rsidR="002E688D" w:rsidRDefault="002E688D" w:rsidP="00813D49">
            <w:pPr>
              <w:pStyle w:val="PrehearingBody"/>
              <w:spacing w:after="0"/>
              <w:ind w:firstLine="0"/>
              <w:jc w:val="center"/>
            </w:pPr>
            <w:r>
              <w:t>DEF</w:t>
            </w:r>
          </w:p>
        </w:tc>
        <w:tc>
          <w:tcPr>
            <w:tcW w:w="1350" w:type="dxa"/>
          </w:tcPr>
          <w:p w:rsidR="002E688D" w:rsidRDefault="002E688D" w:rsidP="00813D49">
            <w:pPr>
              <w:pStyle w:val="PrehearingBody"/>
              <w:spacing w:after="0"/>
              <w:ind w:firstLine="0"/>
              <w:jc w:val="center"/>
            </w:pPr>
            <w:r>
              <w:t>NWA-1</w:t>
            </w:r>
          </w:p>
        </w:tc>
        <w:tc>
          <w:tcPr>
            <w:tcW w:w="3505" w:type="dxa"/>
          </w:tcPr>
          <w:p w:rsidR="002E688D" w:rsidRPr="00085871" w:rsidRDefault="002E688D" w:rsidP="00D90F41">
            <w:r>
              <w:t>2024 Depreciation Study</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Ned W. Allis</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NWA-2</w:t>
            </w:r>
          </w:p>
        </w:tc>
        <w:tc>
          <w:tcPr>
            <w:tcW w:w="3505" w:type="dxa"/>
          </w:tcPr>
          <w:p w:rsidR="00215D76" w:rsidRPr="00085871" w:rsidRDefault="00215D76" w:rsidP="00D90F41">
            <w:r>
              <w:t>List of Cases which Ned W. Allis Submitted Testimony</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Ned W. Allis</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NWA-3</w:t>
            </w:r>
          </w:p>
        </w:tc>
        <w:tc>
          <w:tcPr>
            <w:tcW w:w="3505" w:type="dxa"/>
          </w:tcPr>
          <w:p w:rsidR="00215D76" w:rsidRPr="00085871" w:rsidRDefault="00215D76" w:rsidP="00D90F41">
            <w:r>
              <w:t>Summaries of Depreciation Accruals Using Existing and Proposed Depreciation Rates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Reginald D. Anderson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RDA-1</w:t>
            </w:r>
          </w:p>
        </w:tc>
        <w:tc>
          <w:tcPr>
            <w:tcW w:w="3505" w:type="dxa"/>
          </w:tcPr>
          <w:p w:rsidR="00215D76" w:rsidRPr="00085871" w:rsidRDefault="00215D76" w:rsidP="00D90F41">
            <w:r>
              <w:t xml:space="preserve">List of MFR’s Sponsored </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Reginald D. Anderson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RDA-2</w:t>
            </w:r>
          </w:p>
        </w:tc>
        <w:tc>
          <w:tcPr>
            <w:tcW w:w="3505" w:type="dxa"/>
          </w:tcPr>
          <w:p w:rsidR="00215D76" w:rsidRPr="00085871" w:rsidRDefault="00215D76" w:rsidP="00D90F41">
            <w:r>
              <w:t xml:space="preserve">List of </w:t>
            </w:r>
            <w:r w:rsidR="00A72240">
              <w:t>Facilities</w:t>
            </w:r>
            <w:r>
              <w:t xml:space="preserve"> that Comprise DEF’s Current Generation Fleet</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Reginald D. Anderson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RDA-3</w:t>
            </w:r>
          </w:p>
        </w:tc>
        <w:tc>
          <w:tcPr>
            <w:tcW w:w="3505" w:type="dxa"/>
          </w:tcPr>
          <w:p w:rsidR="00215D76" w:rsidRPr="00085871" w:rsidRDefault="00215D76" w:rsidP="00D90F41">
            <w:r>
              <w:t>DEF’s Heat Rate &amp; Unit Flexibility Metrics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Reginald D. Anderson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RDA-4</w:t>
            </w:r>
          </w:p>
        </w:tc>
        <w:tc>
          <w:tcPr>
            <w:tcW w:w="3505" w:type="dxa"/>
          </w:tcPr>
          <w:p w:rsidR="00215D76" w:rsidRPr="00085871" w:rsidRDefault="00215D76" w:rsidP="00D90F41">
            <w:r>
              <w:t>Overview of each of the major DEF Generation projects that make up the Company’s capital request included in the MFRs for the years 2025-2027</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Nicole Aquilina</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NA-1</w:t>
            </w:r>
          </w:p>
        </w:tc>
        <w:tc>
          <w:tcPr>
            <w:tcW w:w="3505" w:type="dxa"/>
          </w:tcPr>
          <w:p w:rsidR="00215D76" w:rsidRPr="00085871" w:rsidRDefault="00215D76" w:rsidP="00D90F41">
            <w:r>
              <w:t xml:space="preserve">List of MFR’s Sponsored </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lastRenderedPageBreak/>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BMHB-1</w:t>
            </w:r>
          </w:p>
        </w:tc>
        <w:tc>
          <w:tcPr>
            <w:tcW w:w="3505" w:type="dxa"/>
          </w:tcPr>
          <w:p w:rsidR="00215D76" w:rsidRDefault="00215D76" w:rsidP="00D90F41">
            <w:r>
              <w:t>List of MFR’s Sponsored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BMHB-2</w:t>
            </w:r>
          </w:p>
        </w:tc>
        <w:tc>
          <w:tcPr>
            <w:tcW w:w="3505" w:type="dxa"/>
          </w:tcPr>
          <w:p w:rsidR="00215D76" w:rsidRDefault="00215D76" w:rsidP="00D90F41">
            <w:r>
              <w:t>Historic and Projected Customer, Energy Sales &amp; Seasonal Demand Forecast</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314DEA">
              <w:t>BMHB-</w:t>
            </w:r>
            <w:r>
              <w:t>3</w:t>
            </w:r>
          </w:p>
        </w:tc>
        <w:tc>
          <w:tcPr>
            <w:tcW w:w="3505" w:type="dxa"/>
          </w:tcPr>
          <w:p w:rsidR="00215D76" w:rsidRDefault="00215D76" w:rsidP="00D90F41">
            <w:r w:rsidRPr="008276FF">
              <w:t>Solar Cost Analysis</w:t>
            </w:r>
          </w:p>
          <w:p w:rsidR="00215D76" w:rsidRDefault="00215D76" w:rsidP="00D90F41"/>
          <w:p w:rsidR="00215D76" w:rsidRDefault="00215D76" w:rsidP="00D90F41">
            <w:r>
              <w:t>AMENDED 4/23/2024</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314DEA">
              <w:t>BMHB-</w:t>
            </w:r>
            <w:r>
              <w:t>4</w:t>
            </w:r>
          </w:p>
        </w:tc>
        <w:tc>
          <w:tcPr>
            <w:tcW w:w="3505" w:type="dxa"/>
          </w:tcPr>
          <w:p w:rsidR="00215D76" w:rsidRDefault="00215D76" w:rsidP="00D90F41">
            <w:r w:rsidRPr="008276FF">
              <w:t>CEC Expansion Cost Analysis</w:t>
            </w:r>
          </w:p>
          <w:p w:rsidR="00215D76" w:rsidRDefault="00215D76" w:rsidP="00D90F41"/>
          <w:p w:rsidR="00215D76" w:rsidRDefault="00215D76" w:rsidP="00D90F41">
            <w:r>
              <w:t>AMENDED 4/23/2024</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314DEA">
              <w:t>BMHB-</w:t>
            </w:r>
            <w:r>
              <w:t>5</w:t>
            </w:r>
          </w:p>
        </w:tc>
        <w:tc>
          <w:tcPr>
            <w:tcW w:w="3505" w:type="dxa"/>
          </w:tcPr>
          <w:p w:rsidR="00215D76" w:rsidRDefault="00215D76" w:rsidP="00D90F41">
            <w:r>
              <w:t>Combined Cycle Efficiency Improvements Project Cost Analysis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Benjamin M. H. Borsch</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314DEA">
              <w:t>BMHB-</w:t>
            </w:r>
            <w:r>
              <w:t>6</w:t>
            </w:r>
          </w:p>
        </w:tc>
        <w:tc>
          <w:tcPr>
            <w:tcW w:w="3505" w:type="dxa"/>
          </w:tcPr>
          <w:p w:rsidR="00215D76" w:rsidRDefault="00215D76" w:rsidP="00D90F41">
            <w:r w:rsidRPr="008276FF">
              <w:t>Battery Storage Cost Analysis</w:t>
            </w:r>
          </w:p>
          <w:p w:rsidR="00215D76" w:rsidRDefault="00215D76" w:rsidP="00D90F41"/>
          <w:p w:rsidR="00215D76" w:rsidRDefault="00215D76" w:rsidP="00D90F41">
            <w:r>
              <w:t>AMENDED 4/23/2024</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Rebekah E. Buck</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REB-1</w:t>
            </w:r>
          </w:p>
        </w:tc>
        <w:tc>
          <w:tcPr>
            <w:tcW w:w="3505" w:type="dxa"/>
          </w:tcPr>
          <w:p w:rsidR="00215D76" w:rsidRDefault="00215D76" w:rsidP="00D90F41">
            <w:r w:rsidRPr="00E10C35">
              <w:t>Service Company Utility Company Service Agreement</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Rebekah E. Buck</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EC45FC">
              <w:t>REB-</w:t>
            </w:r>
            <w:r>
              <w:t>2</w:t>
            </w:r>
          </w:p>
        </w:tc>
        <w:tc>
          <w:tcPr>
            <w:tcW w:w="3505" w:type="dxa"/>
          </w:tcPr>
          <w:p w:rsidR="00215D76" w:rsidRDefault="00215D76" w:rsidP="00D90F41">
            <w:r w:rsidRPr="00E10C35">
              <w:t>Operating Companies Service Agreement</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Rebekah E. Buck</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EC45FC">
              <w:t>REB-</w:t>
            </w:r>
            <w:r>
              <w:t>3</w:t>
            </w:r>
          </w:p>
        </w:tc>
        <w:tc>
          <w:tcPr>
            <w:tcW w:w="3505" w:type="dxa"/>
          </w:tcPr>
          <w:p w:rsidR="00215D76" w:rsidRDefault="00215D76" w:rsidP="00D90F41">
            <w:r w:rsidRPr="00E10C35">
              <w:t>Operating Company/</w:t>
            </w:r>
            <w:r>
              <w:t xml:space="preserve"> </w:t>
            </w:r>
            <w:r w:rsidRPr="00E10C35">
              <w:t>Nonutility Companies Service Agreement</w:t>
            </w:r>
          </w:p>
          <w:p w:rsidR="00215D76" w:rsidRDefault="00215D76" w:rsidP="00D90F41"/>
          <w:p w:rsidR="00215D76" w:rsidRDefault="00215D76" w:rsidP="00D90F41">
            <w:r>
              <w:t>AMENDED 4/23/2024</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Rebekah E. Buck</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EC45FC">
              <w:t>REB-</w:t>
            </w:r>
            <w:r>
              <w:t>4</w:t>
            </w:r>
          </w:p>
        </w:tc>
        <w:tc>
          <w:tcPr>
            <w:tcW w:w="3505" w:type="dxa"/>
          </w:tcPr>
          <w:p w:rsidR="00215D76" w:rsidRDefault="00215D76" w:rsidP="00D90F41">
            <w:r w:rsidRPr="00E10C35">
              <w:t>Intercompany Asset Transfer Agreement</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Rebekah E. Buck</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EC45FC">
              <w:t>REB-</w:t>
            </w:r>
            <w:r>
              <w:t>5</w:t>
            </w:r>
          </w:p>
        </w:tc>
        <w:tc>
          <w:tcPr>
            <w:tcW w:w="3505" w:type="dxa"/>
          </w:tcPr>
          <w:p w:rsidR="00215D76" w:rsidRDefault="00215D76" w:rsidP="00D90F41">
            <w:r w:rsidRPr="00E10C35">
              <w:t>2023 Service Company Cost Allocation Rate Schedule</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SC-1</w:t>
            </w:r>
          </w:p>
        </w:tc>
        <w:tc>
          <w:tcPr>
            <w:tcW w:w="3505" w:type="dxa"/>
          </w:tcPr>
          <w:p w:rsidR="00215D76" w:rsidRDefault="00215D76" w:rsidP="00D90F41">
            <w:r>
              <w:t>List of MFR’s Sponsored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2</w:t>
            </w:r>
          </w:p>
        </w:tc>
        <w:tc>
          <w:tcPr>
            <w:tcW w:w="3505" w:type="dxa"/>
          </w:tcPr>
          <w:p w:rsidR="00215D76" w:rsidRDefault="00215D76" w:rsidP="00D90F41">
            <w:r>
              <w:rPr>
                <w:rFonts w:ascii="TimesNewRomanPSMT" w:hAnsi="TimesNewRomanPSMT" w:cs="TimesNewRomanPSMT"/>
              </w:rPr>
              <w:t>Duke Energy 2023 Survey Library</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3</w:t>
            </w:r>
          </w:p>
        </w:tc>
        <w:tc>
          <w:tcPr>
            <w:tcW w:w="3505" w:type="dxa"/>
          </w:tcPr>
          <w:p w:rsidR="00215D76" w:rsidRDefault="00215D76" w:rsidP="00D90F41">
            <w:r w:rsidRPr="00830AF4">
              <w:t>2023 Duke Energy Short-Term Incentive Plan</w:t>
            </w:r>
          </w:p>
          <w:p w:rsidR="00215D76" w:rsidRDefault="00215D76" w:rsidP="00D90F41"/>
          <w:p w:rsidR="00215D76" w:rsidRDefault="00215D76" w:rsidP="00D90F41">
            <w:r>
              <w:t>REDACTED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lastRenderedPageBreak/>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4</w:t>
            </w:r>
          </w:p>
        </w:tc>
        <w:tc>
          <w:tcPr>
            <w:tcW w:w="3505" w:type="dxa"/>
          </w:tcPr>
          <w:p w:rsidR="00215D76" w:rsidRDefault="00215D76" w:rsidP="00D90F41">
            <w:r>
              <w:t xml:space="preserve">2023 </w:t>
            </w:r>
            <w:r w:rsidRPr="00830AF4">
              <w:t>Duke Energy Short-Term Incentive Scorecard</w:t>
            </w:r>
          </w:p>
          <w:p w:rsidR="00215D76" w:rsidRDefault="00215D76" w:rsidP="00D90F41"/>
          <w:p w:rsidR="00215D76" w:rsidRDefault="00215D76" w:rsidP="00D90F41">
            <w:r>
              <w:t>REDACTED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5</w:t>
            </w:r>
          </w:p>
        </w:tc>
        <w:tc>
          <w:tcPr>
            <w:tcW w:w="3505" w:type="dxa"/>
          </w:tcPr>
          <w:p w:rsidR="00215D76" w:rsidRDefault="00215D76" w:rsidP="00D90F41">
            <w:r>
              <w:t>2023 Duke Energy Executive Long-Term Incentive Plan brochure</w:t>
            </w:r>
          </w:p>
          <w:p w:rsidR="00215D76" w:rsidRDefault="00215D76" w:rsidP="00D90F41"/>
          <w:p w:rsidR="00215D76" w:rsidRDefault="00215D76" w:rsidP="00D90F41">
            <w:r>
              <w:t>REDACTED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6</w:t>
            </w:r>
          </w:p>
        </w:tc>
        <w:tc>
          <w:tcPr>
            <w:tcW w:w="3505" w:type="dxa"/>
          </w:tcPr>
          <w:p w:rsidR="00215D76" w:rsidRDefault="00215D76" w:rsidP="00D90F41">
            <w:r w:rsidRPr="00830AF4">
              <w:t>2023 Duke Energy Restricted Stock Unit Award Summary</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Shannon Caldwell</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DE7795">
              <w:t>SC-</w:t>
            </w:r>
            <w:r>
              <w:t>7</w:t>
            </w:r>
          </w:p>
        </w:tc>
        <w:tc>
          <w:tcPr>
            <w:tcW w:w="3505" w:type="dxa"/>
          </w:tcPr>
          <w:p w:rsidR="00215D76" w:rsidRDefault="00215D76" w:rsidP="00D90F41">
            <w:r>
              <w:t>Duke Energy Florida Year End 2023 Disclosure and Fiscal 2024 Cost</w:t>
            </w:r>
          </w:p>
          <w:p w:rsidR="00215D76" w:rsidRDefault="00215D76" w:rsidP="00D90F41"/>
          <w:p w:rsidR="00215D76" w:rsidRDefault="00215D76" w:rsidP="00D90F41">
            <w:r>
              <w:t>REDACTED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Matthew Chatelain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MC-1</w:t>
            </w:r>
          </w:p>
        </w:tc>
        <w:tc>
          <w:tcPr>
            <w:tcW w:w="3505" w:type="dxa"/>
          </w:tcPr>
          <w:p w:rsidR="00215D76" w:rsidRDefault="00215D76" w:rsidP="00D90F41">
            <w:r>
              <w:t>List of MFR’s Sponsored</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Matthew Chatelain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MC-2</w:t>
            </w:r>
          </w:p>
        </w:tc>
        <w:tc>
          <w:tcPr>
            <w:tcW w:w="3505" w:type="dxa"/>
          </w:tcPr>
          <w:p w:rsidR="00215D76" w:rsidRDefault="00215D76" w:rsidP="00D90F41">
            <w:r>
              <w:t>Company-Proposed Allocation of the Target Revenue and Rate Increase/ (Decrease) by Rate Class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Matthew Chatelain</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MC-3</w:t>
            </w:r>
          </w:p>
        </w:tc>
        <w:tc>
          <w:tcPr>
            <w:tcW w:w="3505" w:type="dxa"/>
          </w:tcPr>
          <w:p w:rsidR="00215D76" w:rsidRDefault="00215D76" w:rsidP="00D90F41">
            <w:r>
              <w:t>Base Revenue by Rate Schedule – Calculations – Calendar Year Determinants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Vanessa Goff</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VG-1</w:t>
            </w:r>
          </w:p>
        </w:tc>
        <w:tc>
          <w:tcPr>
            <w:tcW w:w="3505" w:type="dxa"/>
          </w:tcPr>
          <w:p w:rsidR="00215D76" w:rsidRDefault="00215D76" w:rsidP="00D90F41">
            <w:r>
              <w:t>Site plan drawings for the four 1 named 2025 solar projects: Sundance, Bailey Mill, Half Moon, and Rattler</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Vanessa Goff</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VG-2</w:t>
            </w:r>
          </w:p>
        </w:tc>
        <w:tc>
          <w:tcPr>
            <w:tcW w:w="3505" w:type="dxa"/>
          </w:tcPr>
          <w:p w:rsidR="00215D76" w:rsidRDefault="00215D76" w:rsidP="00D90F41">
            <w:r w:rsidRPr="00FA7BB2">
              <w:t>Project milestone schedule</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Jeffrey T. Kopp</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JTK-1</w:t>
            </w:r>
          </w:p>
        </w:tc>
        <w:tc>
          <w:tcPr>
            <w:tcW w:w="3505" w:type="dxa"/>
          </w:tcPr>
          <w:p w:rsidR="00215D76" w:rsidRDefault="00215D76" w:rsidP="00D90F41">
            <w:r>
              <w:t>Resume &amp; Curriculum Vitae</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Jeffrey T. Kopp</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JTK-2</w:t>
            </w:r>
          </w:p>
        </w:tc>
        <w:tc>
          <w:tcPr>
            <w:tcW w:w="3505" w:type="dxa"/>
          </w:tcPr>
          <w:p w:rsidR="00215D76" w:rsidRDefault="00215D76" w:rsidP="00D90F41">
            <w:pPr>
              <w:rPr>
                <w:rFonts w:ascii="TimesNewRomanPSMT" w:hAnsi="TimesNewRomanPSMT" w:cs="TimesNewRomanPSMT"/>
              </w:rPr>
            </w:pPr>
            <w:r>
              <w:rPr>
                <w:rFonts w:ascii="TimesNewRomanPSMT" w:hAnsi="TimesNewRomanPSMT" w:cs="TimesNewRomanPSMT"/>
              </w:rPr>
              <w:t>2023 Dismantlement Study Report</w:t>
            </w:r>
          </w:p>
          <w:p w:rsidR="00215D76" w:rsidRDefault="00215D76" w:rsidP="00D90F41">
            <w:pPr>
              <w:rPr>
                <w:rFonts w:ascii="TimesNewRomanPSMT" w:hAnsi="TimesNewRomanPSMT" w:cs="TimesNewRomanPSMT"/>
              </w:rPr>
            </w:pPr>
          </w:p>
          <w:p w:rsidR="00215D76" w:rsidRDefault="00215D76" w:rsidP="00D90F41">
            <w:r>
              <w:rPr>
                <w:rFonts w:ascii="TimesNewRomanPSMT" w:hAnsi="TimesNewRomanPSMT" w:cs="TimesNewRomanPSMT"/>
              </w:rPr>
              <w:t>Co-Sponsored by Nicole Aquilina</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lastRenderedPageBreak/>
              <w:t>Brian M. Lloyd</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BL-1</w:t>
            </w:r>
          </w:p>
        </w:tc>
        <w:tc>
          <w:tcPr>
            <w:tcW w:w="3505" w:type="dxa"/>
          </w:tcPr>
          <w:p w:rsidR="00215D76" w:rsidRDefault="00215D76" w:rsidP="00D90F41">
            <w:r>
              <w:rPr>
                <w:rFonts w:ascii="TimesNewRomanPSMT" w:hAnsi="TimesNewRomanPSMT" w:cs="TimesNewRomanPSMT"/>
              </w:rPr>
              <w:t>Summary of co-sponsored schedules of the Company’s MFR’s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Brian M. Lloyd</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BL-2</w:t>
            </w:r>
          </w:p>
        </w:tc>
        <w:tc>
          <w:tcPr>
            <w:tcW w:w="3505" w:type="dxa"/>
          </w:tcPr>
          <w:p w:rsidR="00215D76" w:rsidRDefault="00215D76" w:rsidP="00D90F41">
            <w:pPr>
              <w:autoSpaceDE w:val="0"/>
              <w:autoSpaceDN w:val="0"/>
              <w:adjustRightInd w:val="0"/>
            </w:pPr>
            <w:r>
              <w:rPr>
                <w:rFonts w:ascii="TimesNewRomanPSMT" w:hAnsi="TimesNewRomanPSMT" w:cs="TimesNewRomanPSMT"/>
              </w:rPr>
              <w:t>Summary of Distribution reliability results for the years 2018-2023</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Brian M. Lloyd</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BL-3</w:t>
            </w:r>
          </w:p>
        </w:tc>
        <w:tc>
          <w:tcPr>
            <w:tcW w:w="3505" w:type="dxa"/>
          </w:tcPr>
          <w:p w:rsidR="00215D76" w:rsidRDefault="00215D76" w:rsidP="00D90F41">
            <w:r>
              <w:rPr>
                <w:rFonts w:ascii="TimesNewRomanPSMT" w:hAnsi="TimesNewRomanPSMT" w:cs="TimesNewRomanPSMT"/>
              </w:rPr>
              <w:t>Summary of Distribution Maintenance Subprograms</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AMM-1</w:t>
            </w:r>
          </w:p>
        </w:tc>
        <w:tc>
          <w:tcPr>
            <w:tcW w:w="3505" w:type="dxa"/>
          </w:tcPr>
          <w:p w:rsidR="00215D76" w:rsidRDefault="00215D76" w:rsidP="00D90F41">
            <w:r w:rsidRPr="00FC36C4">
              <w:t>Qualifications of Adrien M. McKenzie</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2</w:t>
            </w:r>
          </w:p>
        </w:tc>
        <w:tc>
          <w:tcPr>
            <w:tcW w:w="3505" w:type="dxa"/>
          </w:tcPr>
          <w:p w:rsidR="00215D76" w:rsidRDefault="00215D76" w:rsidP="00D90F41">
            <w:r w:rsidRPr="00FC36C4">
              <w:t>Summary of Results</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3</w:t>
            </w:r>
          </w:p>
        </w:tc>
        <w:tc>
          <w:tcPr>
            <w:tcW w:w="3505" w:type="dxa"/>
          </w:tcPr>
          <w:p w:rsidR="00215D76" w:rsidRDefault="00215D76" w:rsidP="00D90F41">
            <w:r w:rsidRPr="00FC36C4">
              <w:t>Risk Measures – Utility Group</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4</w:t>
            </w:r>
          </w:p>
        </w:tc>
        <w:tc>
          <w:tcPr>
            <w:tcW w:w="3505" w:type="dxa"/>
          </w:tcPr>
          <w:p w:rsidR="00215D76" w:rsidRDefault="00215D76" w:rsidP="00D90F41">
            <w:r w:rsidRPr="00FC36C4">
              <w:t>Regulatory Mechanisms</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5</w:t>
            </w:r>
          </w:p>
        </w:tc>
        <w:tc>
          <w:tcPr>
            <w:tcW w:w="3505" w:type="dxa"/>
          </w:tcPr>
          <w:p w:rsidR="00215D76" w:rsidRDefault="00215D76" w:rsidP="00D90F41">
            <w:r w:rsidRPr="00FC36C4">
              <w:t>Capital Structure</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6</w:t>
            </w:r>
          </w:p>
        </w:tc>
        <w:tc>
          <w:tcPr>
            <w:tcW w:w="3505" w:type="dxa"/>
          </w:tcPr>
          <w:p w:rsidR="00215D76" w:rsidRDefault="00215D76" w:rsidP="00D90F41">
            <w:r w:rsidRPr="00FC36C4">
              <w:t>D</w:t>
            </w:r>
            <w:r>
              <w:t xml:space="preserve">iscount </w:t>
            </w:r>
            <w:r w:rsidRPr="00FC36C4">
              <w:t>C</w:t>
            </w:r>
            <w:r>
              <w:t xml:space="preserve">ash </w:t>
            </w:r>
            <w:r w:rsidRPr="00FC36C4">
              <w:t>F</w:t>
            </w:r>
            <w:r>
              <w:t>low</w:t>
            </w:r>
            <w:r w:rsidRPr="00FC36C4">
              <w:t xml:space="preserve"> Model – Utility Group</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7</w:t>
            </w:r>
          </w:p>
        </w:tc>
        <w:tc>
          <w:tcPr>
            <w:tcW w:w="3505" w:type="dxa"/>
          </w:tcPr>
          <w:p w:rsidR="00215D76" w:rsidRDefault="00215D76" w:rsidP="00D90F41">
            <w:r w:rsidRPr="00FC36C4">
              <w:t>br + sv Growth Rate – Utility Group</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8</w:t>
            </w:r>
          </w:p>
        </w:tc>
        <w:tc>
          <w:tcPr>
            <w:tcW w:w="3505" w:type="dxa"/>
          </w:tcPr>
          <w:p w:rsidR="00215D76" w:rsidRDefault="00215D76" w:rsidP="00D90F41">
            <w:r w:rsidRPr="00FC36C4">
              <w:t>C</w:t>
            </w:r>
            <w:r>
              <w:t xml:space="preserve">apital </w:t>
            </w:r>
            <w:r w:rsidRPr="00FC36C4">
              <w:t>A</w:t>
            </w:r>
            <w:r>
              <w:t xml:space="preserve">sset </w:t>
            </w:r>
            <w:r w:rsidRPr="00FC36C4">
              <w:t>P</w:t>
            </w:r>
            <w:r>
              <w:t xml:space="preserve">ricing </w:t>
            </w:r>
            <w:r w:rsidRPr="00FC36C4">
              <w:t>M</w:t>
            </w:r>
            <w:r>
              <w:t>odel</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w:t>
            </w:r>
            <w:r>
              <w:t>9</w:t>
            </w:r>
          </w:p>
        </w:tc>
        <w:tc>
          <w:tcPr>
            <w:tcW w:w="3505" w:type="dxa"/>
          </w:tcPr>
          <w:p w:rsidR="00215D76" w:rsidRDefault="00215D76" w:rsidP="00D90F41">
            <w:r w:rsidRPr="00FC36C4">
              <w:t>Empirical C</w:t>
            </w:r>
            <w:r>
              <w:t xml:space="preserve">apital </w:t>
            </w:r>
            <w:r w:rsidRPr="00FC36C4">
              <w:t>A</w:t>
            </w:r>
            <w:r>
              <w:t xml:space="preserve">sset </w:t>
            </w:r>
            <w:r w:rsidRPr="00FC36C4">
              <w:t>P</w:t>
            </w:r>
            <w:r>
              <w:t xml:space="preserve">ricing </w:t>
            </w:r>
            <w:r w:rsidRPr="00FC36C4">
              <w:t>M</w:t>
            </w:r>
            <w:r>
              <w:t>odel</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AMM-1</w:t>
            </w:r>
            <w:r>
              <w:t>0</w:t>
            </w:r>
          </w:p>
        </w:tc>
        <w:tc>
          <w:tcPr>
            <w:tcW w:w="3505" w:type="dxa"/>
          </w:tcPr>
          <w:p w:rsidR="00215D76" w:rsidRDefault="00215D76" w:rsidP="00D90F41">
            <w:r w:rsidRPr="00FC36C4">
              <w:t>Utility Risk Premium</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AMM-1</w:t>
            </w:r>
            <w:r>
              <w:t>1</w:t>
            </w:r>
          </w:p>
        </w:tc>
        <w:tc>
          <w:tcPr>
            <w:tcW w:w="3505" w:type="dxa"/>
          </w:tcPr>
          <w:p w:rsidR="00215D76" w:rsidRDefault="00215D76" w:rsidP="00D90F41">
            <w:r w:rsidRPr="00FC36C4">
              <w:t>Expected Earnings Approach</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AMM-1</w:t>
            </w:r>
            <w:r>
              <w:t>2</w:t>
            </w:r>
          </w:p>
        </w:tc>
        <w:tc>
          <w:tcPr>
            <w:tcW w:w="3505" w:type="dxa"/>
          </w:tcPr>
          <w:p w:rsidR="00215D76" w:rsidRDefault="00215D76" w:rsidP="00D90F41">
            <w:r w:rsidRPr="00FC36C4">
              <w:t>Flotation Cost Study</w:t>
            </w:r>
          </w:p>
        </w:tc>
      </w:tr>
      <w:tr w:rsidR="00215D76" w:rsidRPr="00701945" w:rsidTr="004D74F1">
        <w:trPr>
          <w:cantSplit/>
          <w:trHeight w:val="288"/>
        </w:trPr>
        <w:tc>
          <w:tcPr>
            <w:tcW w:w="3198" w:type="dxa"/>
          </w:tcPr>
          <w:p w:rsidR="00215D76" w:rsidRDefault="00215D76" w:rsidP="00D90F41">
            <w:r w:rsidRPr="00E47916">
              <w:t>Adrien M. McKenzie</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6718FF">
              <w:t>AMM-1</w:t>
            </w:r>
            <w:r>
              <w:t>3</w:t>
            </w:r>
          </w:p>
        </w:tc>
        <w:tc>
          <w:tcPr>
            <w:tcW w:w="3505" w:type="dxa"/>
          </w:tcPr>
          <w:p w:rsidR="00215D76" w:rsidRDefault="00215D76" w:rsidP="00D90F41">
            <w:r w:rsidRPr="00FC36C4">
              <w:t>D</w:t>
            </w:r>
            <w:r>
              <w:t xml:space="preserve">iscount </w:t>
            </w:r>
            <w:r w:rsidRPr="00FC36C4">
              <w:t>C</w:t>
            </w:r>
            <w:r>
              <w:t xml:space="preserve">ash </w:t>
            </w:r>
            <w:r w:rsidRPr="00FC36C4">
              <w:t>F</w:t>
            </w:r>
            <w:r>
              <w:t>low</w:t>
            </w:r>
            <w:r w:rsidRPr="00FC36C4">
              <w:t xml:space="preserve"> Model – Non-Utility Group</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MJO-1</w:t>
            </w:r>
          </w:p>
        </w:tc>
        <w:tc>
          <w:tcPr>
            <w:tcW w:w="3505" w:type="dxa"/>
          </w:tcPr>
          <w:p w:rsidR="00215D76" w:rsidRDefault="00215D76" w:rsidP="00D90F41">
            <w:r>
              <w:t>List of MFR’s Sponsored</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2</w:t>
            </w:r>
          </w:p>
        </w:tc>
        <w:tc>
          <w:tcPr>
            <w:tcW w:w="3505" w:type="dxa"/>
          </w:tcPr>
          <w:p w:rsidR="00215D76" w:rsidRDefault="00215D76" w:rsidP="00D90F41">
            <w:r>
              <w:rPr>
                <w:rFonts w:ascii="TimesNewRomanPSMT" w:hAnsi="TimesNewRomanPSMT" w:cs="TimesNewRomanPSMT"/>
              </w:rPr>
              <w:t>Depreciation Study Company Adjustment</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3</w:t>
            </w:r>
          </w:p>
        </w:tc>
        <w:tc>
          <w:tcPr>
            <w:tcW w:w="3505" w:type="dxa"/>
          </w:tcPr>
          <w:p w:rsidR="00215D76" w:rsidRDefault="00215D76" w:rsidP="00D90F41">
            <w:r>
              <w:rPr>
                <w:rFonts w:ascii="TimesNewRomanPSMT" w:hAnsi="TimesNewRomanPSMT" w:cs="TimesNewRomanPSMT"/>
              </w:rPr>
              <w:t>Dismantlement Study Company Adjustment</w:t>
            </w:r>
          </w:p>
        </w:tc>
      </w:tr>
      <w:tr w:rsidR="00215D76" w:rsidRPr="00701945" w:rsidTr="004D74F1">
        <w:trPr>
          <w:cantSplit/>
          <w:trHeight w:val="288"/>
        </w:trPr>
        <w:tc>
          <w:tcPr>
            <w:tcW w:w="3198" w:type="dxa"/>
          </w:tcPr>
          <w:p w:rsidR="00215D76" w:rsidRDefault="00215D76" w:rsidP="00D90F41">
            <w:r w:rsidRPr="00175A33">
              <w:lastRenderedPageBreak/>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4</w:t>
            </w:r>
          </w:p>
        </w:tc>
        <w:tc>
          <w:tcPr>
            <w:tcW w:w="3505" w:type="dxa"/>
          </w:tcPr>
          <w:p w:rsidR="00215D76" w:rsidRDefault="00215D76" w:rsidP="00D90F41">
            <w:pPr>
              <w:autoSpaceDE w:val="0"/>
              <w:autoSpaceDN w:val="0"/>
              <w:adjustRightInd w:val="0"/>
            </w:pPr>
            <w:r>
              <w:rPr>
                <w:rFonts w:ascii="TimesNewRomanPSMT" w:hAnsi="TimesNewRomanPSMT" w:cs="TimesNewRomanPSMT"/>
              </w:rPr>
              <w:t>Electric Vehicle Make Ready Credit Program Company Adjustment</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5</w:t>
            </w:r>
          </w:p>
        </w:tc>
        <w:tc>
          <w:tcPr>
            <w:tcW w:w="3505" w:type="dxa"/>
          </w:tcPr>
          <w:p w:rsidR="00215D76" w:rsidRDefault="00215D76" w:rsidP="00D90F41">
            <w:r>
              <w:rPr>
                <w:rFonts w:ascii="TimesNewRomanPSMT" w:hAnsi="TimesNewRomanPSMT" w:cs="TimesNewRomanPSMT"/>
              </w:rPr>
              <w:t>Clean Energy Connection Cumulative Revenue Requirements</w:t>
            </w:r>
          </w:p>
          <w:p w:rsidR="00215D76" w:rsidRDefault="00215D76" w:rsidP="00D90F41"/>
          <w:p w:rsidR="00215D76" w:rsidRDefault="00215D76" w:rsidP="00D90F41">
            <w:r>
              <w:t>AMENDED 4/23/2024</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6</w:t>
            </w:r>
          </w:p>
        </w:tc>
        <w:tc>
          <w:tcPr>
            <w:tcW w:w="3505" w:type="dxa"/>
          </w:tcPr>
          <w:p w:rsidR="00215D76" w:rsidRDefault="00215D76" w:rsidP="00D90F41">
            <w:pPr>
              <w:autoSpaceDE w:val="0"/>
              <w:autoSpaceDN w:val="0"/>
              <w:adjustRightInd w:val="0"/>
            </w:pPr>
            <w:r>
              <w:rPr>
                <w:rFonts w:ascii="TimesNewRomanPSMT" w:hAnsi="TimesNewRomanPSMT" w:cs="TimesNewRomanPSMT"/>
              </w:rPr>
              <w:t>Clean Energy Connection Subscription Revenue Company Adjustment</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7</w:t>
            </w:r>
          </w:p>
        </w:tc>
        <w:tc>
          <w:tcPr>
            <w:tcW w:w="3505" w:type="dxa"/>
          </w:tcPr>
          <w:p w:rsidR="00215D76" w:rsidRDefault="00215D76" w:rsidP="00D90F41">
            <w:r>
              <w:rPr>
                <w:rFonts w:ascii="TimesNewRomanPSMT" w:hAnsi="TimesNewRomanPSMT" w:cs="TimesNewRomanPSMT"/>
              </w:rPr>
              <w:t>Functionalization, Classification, and Allocation of Plant</w:t>
            </w:r>
          </w:p>
        </w:tc>
      </w:tr>
      <w:tr w:rsidR="00215D76" w:rsidRPr="00701945" w:rsidTr="004D74F1">
        <w:trPr>
          <w:cantSplit/>
          <w:trHeight w:val="288"/>
        </w:trPr>
        <w:tc>
          <w:tcPr>
            <w:tcW w:w="3198" w:type="dxa"/>
          </w:tcPr>
          <w:p w:rsidR="00215D76" w:rsidRDefault="00215D76" w:rsidP="00D90F41">
            <w:r w:rsidRPr="00175A33">
              <w:t>Marcia J. Olivier</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jc w:val="center"/>
            </w:pPr>
            <w:r w:rsidRPr="007C3BBE">
              <w:t>MJO-</w:t>
            </w:r>
            <w:r>
              <w:t>8</w:t>
            </w:r>
          </w:p>
        </w:tc>
        <w:tc>
          <w:tcPr>
            <w:tcW w:w="3505" w:type="dxa"/>
          </w:tcPr>
          <w:p w:rsidR="00215D76" w:rsidRDefault="00215D76" w:rsidP="00D90F41">
            <w:r>
              <w:rPr>
                <w:rFonts w:ascii="TimesNewRomanPSMT" w:hAnsi="TimesNewRomanPSMT" w:cs="TimesNewRomanPSMT"/>
              </w:rPr>
              <w:t>Delivery Voltage Credit Calculation</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John R. Panizza</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JRP-1</w:t>
            </w:r>
          </w:p>
        </w:tc>
        <w:tc>
          <w:tcPr>
            <w:tcW w:w="3505" w:type="dxa"/>
          </w:tcPr>
          <w:p w:rsidR="00215D76" w:rsidRDefault="00215D76" w:rsidP="00D90F41">
            <w:r>
              <w:rPr>
                <w:rFonts w:ascii="TimesNewRomanPSMT" w:hAnsi="TimesNewRomanPSMT" w:cs="TimesNewRomanPSMT"/>
              </w:rPr>
              <w:t>Calculation of Production Tax Credits In Test Periods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John R. Panizza</w:t>
            </w:r>
          </w:p>
        </w:tc>
        <w:tc>
          <w:tcPr>
            <w:tcW w:w="1512" w:type="dxa"/>
          </w:tcPr>
          <w:p w:rsidR="00215D76" w:rsidRDefault="00215D76" w:rsidP="00813D49">
            <w:pPr>
              <w:pStyle w:val="PrehearingBody"/>
              <w:spacing w:after="0"/>
              <w:ind w:firstLine="0"/>
              <w:jc w:val="center"/>
            </w:pPr>
            <w:r>
              <w:t>DEF</w:t>
            </w:r>
          </w:p>
        </w:tc>
        <w:tc>
          <w:tcPr>
            <w:tcW w:w="1350" w:type="dxa"/>
          </w:tcPr>
          <w:p w:rsidR="00215D76" w:rsidRDefault="00215D76" w:rsidP="00813D49">
            <w:pPr>
              <w:pStyle w:val="PrehearingBody"/>
              <w:spacing w:after="0"/>
              <w:ind w:firstLine="0"/>
              <w:jc w:val="center"/>
            </w:pPr>
            <w:r>
              <w:t>JRP-2</w:t>
            </w:r>
          </w:p>
        </w:tc>
        <w:tc>
          <w:tcPr>
            <w:tcW w:w="3505" w:type="dxa"/>
          </w:tcPr>
          <w:p w:rsidR="00215D76" w:rsidRDefault="00215D76" w:rsidP="00D90F41">
            <w:r>
              <w:rPr>
                <w:rFonts w:ascii="TimesNewRomanPSMT" w:hAnsi="TimesNewRomanPSMT" w:cs="TimesNewRomanPSMT"/>
              </w:rPr>
              <w:t>Calculation of Proration Adjustments</w:t>
            </w:r>
          </w:p>
        </w:tc>
      </w:tr>
      <w:tr w:rsidR="00215D76" w:rsidRPr="00701945" w:rsidTr="004D74F1">
        <w:trPr>
          <w:cantSplit/>
          <w:trHeight w:val="288"/>
        </w:trPr>
        <w:tc>
          <w:tcPr>
            <w:tcW w:w="3198" w:type="dxa"/>
          </w:tcPr>
          <w:p w:rsidR="00215D76" w:rsidRDefault="00215D76" w:rsidP="00D90F41">
            <w:pPr>
              <w:pStyle w:val="PrehearingBody"/>
              <w:spacing w:after="0"/>
              <w:ind w:firstLine="0"/>
              <w:jc w:val="left"/>
            </w:pPr>
            <w:r>
              <w:t>Edward L. Scott</w:t>
            </w:r>
          </w:p>
        </w:tc>
        <w:tc>
          <w:tcPr>
            <w:tcW w:w="1512" w:type="dxa"/>
          </w:tcPr>
          <w:p w:rsidR="00215D76" w:rsidRDefault="00215D76" w:rsidP="00813D49">
            <w:pPr>
              <w:pStyle w:val="PrehearingBody"/>
              <w:spacing w:after="0"/>
              <w:ind w:firstLine="0"/>
              <w:jc w:val="center"/>
            </w:pPr>
            <w:r>
              <w:t>DEF</w:t>
            </w:r>
          </w:p>
        </w:tc>
        <w:tc>
          <w:tcPr>
            <w:tcW w:w="1350" w:type="dxa"/>
          </w:tcPr>
          <w:p w:rsidR="00215D76" w:rsidRPr="004515FB" w:rsidRDefault="00215D76" w:rsidP="00813D49">
            <w:pPr>
              <w:jc w:val="center"/>
            </w:pPr>
            <w:r>
              <w:t>ELS-1</w:t>
            </w:r>
          </w:p>
        </w:tc>
        <w:tc>
          <w:tcPr>
            <w:tcW w:w="3505" w:type="dxa"/>
          </w:tcPr>
          <w:p w:rsidR="00215D76" w:rsidRDefault="00215D76" w:rsidP="00D90F41">
            <w:r>
              <w:t>List of MFR’s Sponsored</w:t>
            </w:r>
          </w:p>
        </w:tc>
      </w:tr>
      <w:tr w:rsidR="00D90F41"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w:t>
            </w:r>
          </w:p>
        </w:tc>
        <w:tc>
          <w:tcPr>
            <w:tcW w:w="3505" w:type="dxa"/>
          </w:tcPr>
          <w:p w:rsidR="00EB6E3E" w:rsidRDefault="00EB6E3E" w:rsidP="00D90F41">
            <w:pPr>
              <w:pStyle w:val="Default"/>
            </w:pPr>
            <w:r>
              <w:rPr>
                <w:rFonts w:ascii="TimesNewRomanPSMT" w:hAnsi="TimesNewRomanPSMT" w:cs="TimesNewRomanPSMT"/>
              </w:rPr>
              <w:t>DEF Firm Capacity Need Timing for Summer Peak – 2023 TYSP</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JRD-2</w:t>
            </w:r>
          </w:p>
        </w:tc>
        <w:tc>
          <w:tcPr>
            <w:tcW w:w="3505" w:type="dxa"/>
          </w:tcPr>
          <w:p w:rsidR="00EB6E3E" w:rsidRDefault="00EB6E3E" w:rsidP="00D90F41">
            <w:pPr>
              <w:pStyle w:val="Default"/>
            </w:pPr>
            <w:r>
              <w:rPr>
                <w:rFonts w:ascii="TimesNewRomanPSMT" w:hAnsi="TimesNewRomanPSMT" w:cs="TimesNewRomanPSMT"/>
              </w:rPr>
              <w:t>DEF Firm Capacity Need Timing for Winter Peak – 2023 TYSP</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JRD-3</w:t>
            </w:r>
          </w:p>
        </w:tc>
        <w:tc>
          <w:tcPr>
            <w:tcW w:w="3505" w:type="dxa"/>
          </w:tcPr>
          <w:p w:rsidR="00EB6E3E" w:rsidRDefault="00EB6E3E" w:rsidP="00D90F41">
            <w:pPr>
              <w:pStyle w:val="Default"/>
            </w:pPr>
            <w:r>
              <w:rPr>
                <w:rFonts w:ascii="TimesNewRomanPSMT" w:hAnsi="TimesNewRomanPSMT" w:cs="TimesNewRomanPSMT"/>
              </w:rPr>
              <w:t>DEF Firm Capacity Need Timing for Summer Peak – 2024 TYSP</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JRD-4</w:t>
            </w:r>
          </w:p>
        </w:tc>
        <w:tc>
          <w:tcPr>
            <w:tcW w:w="3505" w:type="dxa"/>
          </w:tcPr>
          <w:p w:rsidR="00EB6E3E" w:rsidRDefault="00EB6E3E" w:rsidP="00D90F41">
            <w:pPr>
              <w:pStyle w:val="Default"/>
            </w:pPr>
            <w:r>
              <w:rPr>
                <w:rFonts w:ascii="TimesNewRomanPSMT" w:hAnsi="TimesNewRomanPSMT" w:cs="TimesNewRomanPSMT"/>
              </w:rPr>
              <w:t>DEF Firm Capacity Need Timing for Winter Peak – 2024 TYSP</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JRD-5</w:t>
            </w:r>
          </w:p>
        </w:tc>
        <w:tc>
          <w:tcPr>
            <w:tcW w:w="3505" w:type="dxa"/>
          </w:tcPr>
          <w:p w:rsidR="00EB6E3E" w:rsidRDefault="00EB6E3E" w:rsidP="00D90F41">
            <w:pPr>
              <w:autoSpaceDE w:val="0"/>
              <w:autoSpaceDN w:val="0"/>
              <w:adjustRightInd w:val="0"/>
            </w:pPr>
            <w:r>
              <w:rPr>
                <w:rFonts w:ascii="TimesNewRomanPSMT" w:hAnsi="TimesNewRomanPSMT" w:cs="TimesNewRomanPSMT"/>
              </w:rPr>
              <w:t>DEF Firm Capacity Need Timing for Summer Peak – 2023 TYSP – Bayboro P1-P4 CT Retirement Sensitivity</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lastRenderedPageBreak/>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JRD-6</w:t>
            </w:r>
          </w:p>
        </w:tc>
        <w:tc>
          <w:tcPr>
            <w:tcW w:w="3505" w:type="dxa"/>
          </w:tcPr>
          <w:p w:rsidR="00EB6E3E" w:rsidRDefault="00EB6E3E" w:rsidP="00D90F41">
            <w:pPr>
              <w:autoSpaceDE w:val="0"/>
              <w:autoSpaceDN w:val="0"/>
              <w:adjustRightInd w:val="0"/>
            </w:pPr>
            <w:r>
              <w:rPr>
                <w:rFonts w:ascii="TimesNewRomanPSMT" w:hAnsi="TimesNewRomanPSMT" w:cs="TimesNewRomanPSMT"/>
              </w:rPr>
              <w:t>DEF Firm Capacity Need Timing for Winter Peak – 2023 TYSP – Bayboro P1-P4 CT Retirement Sensitivity</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JRD-7</w:t>
            </w:r>
          </w:p>
        </w:tc>
        <w:tc>
          <w:tcPr>
            <w:tcW w:w="3505" w:type="dxa"/>
          </w:tcPr>
          <w:p w:rsidR="00EB6E3E" w:rsidRDefault="00EB6E3E" w:rsidP="00D90F41">
            <w:pPr>
              <w:autoSpaceDE w:val="0"/>
              <w:autoSpaceDN w:val="0"/>
              <w:adjustRightInd w:val="0"/>
            </w:pPr>
            <w:r>
              <w:rPr>
                <w:rFonts w:ascii="TimesNewRomanPSMT" w:hAnsi="TimesNewRomanPSMT" w:cs="TimesNewRomanPSMT"/>
              </w:rPr>
              <w:t>DEF Firm Capacity Need Timing for Summer Peak – 2024 TYSP – Bayboro P1-P4 CT Retirement Sensitivity</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JRD-8</w:t>
            </w:r>
          </w:p>
        </w:tc>
        <w:tc>
          <w:tcPr>
            <w:tcW w:w="3505" w:type="dxa"/>
          </w:tcPr>
          <w:p w:rsidR="00EB6E3E" w:rsidRDefault="00EB6E3E" w:rsidP="00D90F41">
            <w:pPr>
              <w:autoSpaceDE w:val="0"/>
              <w:autoSpaceDN w:val="0"/>
              <w:adjustRightInd w:val="0"/>
            </w:pPr>
            <w:r>
              <w:rPr>
                <w:rFonts w:ascii="TimesNewRomanPSMT" w:hAnsi="TimesNewRomanPSMT" w:cs="TimesNewRomanPSMT"/>
              </w:rPr>
              <w:t>DEF Firm Capacity Need Timing for Winter Peak – 2024 TYSP – Bayboro P1-P4 CT Retirement Sensitivity</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JRD-9</w:t>
            </w:r>
          </w:p>
        </w:tc>
        <w:tc>
          <w:tcPr>
            <w:tcW w:w="3505" w:type="dxa"/>
          </w:tcPr>
          <w:p w:rsidR="00EB6E3E" w:rsidRDefault="00EB6E3E" w:rsidP="00D90F41">
            <w:pPr>
              <w:pStyle w:val="Default"/>
            </w:pPr>
            <w:r>
              <w:rPr>
                <w:rFonts w:ascii="TimesNewRomanPSMT" w:hAnsi="TimesNewRomanPSMT" w:cs="TimesNewRomanPSMT"/>
              </w:rPr>
              <w:t>CCE Projects – CPVRR Breakeven</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JRD-10</w:t>
            </w:r>
          </w:p>
        </w:tc>
        <w:tc>
          <w:tcPr>
            <w:tcW w:w="3505" w:type="dxa"/>
          </w:tcPr>
          <w:p w:rsidR="00EB6E3E" w:rsidRDefault="00EB6E3E" w:rsidP="00D90F41">
            <w:pPr>
              <w:autoSpaceDE w:val="0"/>
              <w:autoSpaceDN w:val="0"/>
              <w:adjustRightInd w:val="0"/>
            </w:pPr>
            <w:r>
              <w:rPr>
                <w:rFonts w:ascii="TimesNewRomanPSMT" w:hAnsi="TimesNewRomanPSMT" w:cs="TimesNewRomanPSMT"/>
              </w:rPr>
              <w:t>CCE Projects – CPVRR Breakeven – OPC Estimate with Updated Capital Costs + Hypothetical Retirement of All CC Units by the end of 2041</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JRD-11</w:t>
            </w:r>
          </w:p>
        </w:tc>
        <w:tc>
          <w:tcPr>
            <w:tcW w:w="3505" w:type="dxa"/>
          </w:tcPr>
          <w:p w:rsidR="00EB6E3E" w:rsidRDefault="00EB6E3E" w:rsidP="00D90F41">
            <w:pPr>
              <w:autoSpaceDE w:val="0"/>
              <w:autoSpaceDN w:val="0"/>
              <w:adjustRightInd w:val="0"/>
            </w:pPr>
            <w:r>
              <w:rPr>
                <w:rFonts w:ascii="TimesNewRomanPSMT" w:hAnsi="TimesNewRomanPSMT" w:cs="TimesNewRomanPSMT"/>
              </w:rPr>
              <w:t>2025-2027 Solar Projects – Cost Effectiveness – OPC Estimate for Last Nine Projects</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JRD-12</w:t>
            </w:r>
          </w:p>
        </w:tc>
        <w:tc>
          <w:tcPr>
            <w:tcW w:w="3505" w:type="dxa"/>
          </w:tcPr>
          <w:p w:rsidR="00EB6E3E" w:rsidRDefault="00EB6E3E" w:rsidP="00D90F41">
            <w:pPr>
              <w:autoSpaceDE w:val="0"/>
              <w:autoSpaceDN w:val="0"/>
              <w:adjustRightInd w:val="0"/>
            </w:pPr>
            <w:r>
              <w:rPr>
                <w:rFonts w:ascii="TimesNewRomanPSMT" w:hAnsi="TimesNewRomanPSMT" w:cs="TimesNewRomanPSMT"/>
              </w:rPr>
              <w:t>2025-2027 Solar Projects – All 14 Projects Pursued – CPVRR Breakeven</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JRD-13</w:t>
            </w:r>
          </w:p>
        </w:tc>
        <w:tc>
          <w:tcPr>
            <w:tcW w:w="3505" w:type="dxa"/>
          </w:tcPr>
          <w:p w:rsidR="00EB6E3E" w:rsidRDefault="00EB6E3E" w:rsidP="00D90F41">
            <w:pPr>
              <w:autoSpaceDE w:val="0"/>
              <w:autoSpaceDN w:val="0"/>
              <w:adjustRightInd w:val="0"/>
            </w:pPr>
            <w:r>
              <w:rPr>
                <w:rFonts w:ascii="TimesNewRomanPSMT" w:hAnsi="TimesNewRomanPSMT" w:cs="TimesNewRomanPSMT"/>
              </w:rPr>
              <w:t xml:space="preserve">2025-2027 Solar Projects – All 14 Projects Pursued – CPVRR Breakeven – OPC Estimate with Updated Capital Costs </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JRD-14</w:t>
            </w:r>
          </w:p>
        </w:tc>
        <w:tc>
          <w:tcPr>
            <w:tcW w:w="3505" w:type="dxa"/>
          </w:tcPr>
          <w:p w:rsidR="00EB6E3E" w:rsidRDefault="00EB6E3E" w:rsidP="00D90F41">
            <w:pPr>
              <w:autoSpaceDE w:val="0"/>
              <w:autoSpaceDN w:val="0"/>
              <w:adjustRightInd w:val="0"/>
            </w:pPr>
            <w:r>
              <w:rPr>
                <w:rFonts w:ascii="TimesNewRomanPSMT" w:hAnsi="TimesNewRomanPSMT" w:cs="TimesNewRomanPSMT"/>
              </w:rPr>
              <w:t>2025-2027 Solar Projects – All 14 Projects Pursued – CPVRR Breakeven – OPC Estimate with Updated Capital Costs and 2023 TYSP Low Fuel Costs</w:t>
            </w:r>
          </w:p>
        </w:tc>
      </w:tr>
      <w:tr w:rsidR="00EB6E3E"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EB6E3E" w:rsidRPr="00701945" w:rsidRDefault="00EB6E3E"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EB6E3E" w:rsidRPr="00701945" w:rsidRDefault="00EB6E3E"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EB6E3E" w:rsidRPr="004515FB" w:rsidRDefault="00EB6E3E" w:rsidP="00813D49">
            <w:pPr>
              <w:jc w:val="center"/>
            </w:pPr>
            <w:r>
              <w:t>JRD-15</w:t>
            </w:r>
          </w:p>
        </w:tc>
        <w:tc>
          <w:tcPr>
            <w:tcW w:w="3505" w:type="dxa"/>
          </w:tcPr>
          <w:p w:rsidR="00EB6E3E" w:rsidRDefault="00EB6E3E" w:rsidP="00D90F41">
            <w:pPr>
              <w:pStyle w:val="Default"/>
            </w:pPr>
            <w:r>
              <w:rPr>
                <w:rFonts w:ascii="TimesNewRomanPSMT" w:hAnsi="TimesNewRomanPSMT" w:cs="TimesNewRomanPSMT"/>
              </w:rPr>
              <w:t>Powerline Battery Project (40% ITC) – CPVRR Breakeven</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Pr="00701945" w:rsidRDefault="005D5504" w:rsidP="00D90F41">
            <w:r>
              <w:lastRenderedPageBreak/>
              <w:t>James R. Dauphinais, Ph.D.</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Pr="004515FB" w:rsidRDefault="005D5504" w:rsidP="00813D49">
            <w:pPr>
              <w:jc w:val="center"/>
            </w:pPr>
            <w:r>
              <w:t>JRD-16</w:t>
            </w:r>
          </w:p>
        </w:tc>
        <w:tc>
          <w:tcPr>
            <w:tcW w:w="3505" w:type="dxa"/>
          </w:tcPr>
          <w:p w:rsidR="005D5504" w:rsidRDefault="005D5504" w:rsidP="00D90F41">
            <w:pPr>
              <w:autoSpaceDE w:val="0"/>
              <w:autoSpaceDN w:val="0"/>
              <w:adjustRightInd w:val="0"/>
            </w:pPr>
            <w:r>
              <w:rPr>
                <w:rFonts w:ascii="TimesNewRomanPSMT" w:hAnsi="TimesNewRomanPSMT" w:cs="TimesNewRomanPSMT"/>
              </w:rPr>
              <w:t>Public Non-Voluminous Discovery Responses Cited to by Mr. Dauphinais in his Direct Testimony</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Pr="00701945" w:rsidRDefault="005D5504"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Pr="004515FB" w:rsidRDefault="005D5504" w:rsidP="00813D49">
            <w:pPr>
              <w:jc w:val="center"/>
            </w:pPr>
            <w:r>
              <w:t>JRD-17</w:t>
            </w:r>
          </w:p>
        </w:tc>
        <w:tc>
          <w:tcPr>
            <w:tcW w:w="3505" w:type="dxa"/>
          </w:tcPr>
          <w:p w:rsidR="005D5504" w:rsidRDefault="005D5504" w:rsidP="00D90F41">
            <w:pPr>
              <w:autoSpaceDE w:val="0"/>
              <w:autoSpaceDN w:val="0"/>
              <w:adjustRightInd w:val="0"/>
            </w:pPr>
            <w:r>
              <w:rPr>
                <w:rFonts w:ascii="TimesNewRomanPSMT" w:hAnsi="TimesNewRomanPSMT" w:cs="TimesNewRomanPSMT"/>
              </w:rPr>
              <w:t>Confidential Non-Voluminous Discovery Responses Cited to by Mr. Dauphinais in his Direct Testimony</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Pr="00701945" w:rsidRDefault="005D5504"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Pr="004515FB" w:rsidRDefault="005D5504" w:rsidP="00813D49">
            <w:pPr>
              <w:jc w:val="center"/>
            </w:pPr>
            <w:r>
              <w:t>JRD-18</w:t>
            </w:r>
          </w:p>
        </w:tc>
        <w:tc>
          <w:tcPr>
            <w:tcW w:w="3505" w:type="dxa"/>
          </w:tcPr>
          <w:p w:rsidR="005D5504" w:rsidRDefault="005D5504" w:rsidP="00D90F41">
            <w:pPr>
              <w:autoSpaceDE w:val="0"/>
              <w:autoSpaceDN w:val="0"/>
              <w:adjustRightInd w:val="0"/>
            </w:pPr>
            <w:r>
              <w:rPr>
                <w:rFonts w:ascii="TimesNewRomanPSMT" w:hAnsi="TimesNewRomanPSMT" w:cs="TimesNewRomanPSMT"/>
              </w:rPr>
              <w:t xml:space="preserve">Confidential </w:t>
            </w:r>
            <w:r w:rsidR="00A72240">
              <w:rPr>
                <w:rFonts w:ascii="TimesNewRomanPSMT" w:hAnsi="TimesNewRomanPSMT" w:cs="TimesNewRomanPSMT"/>
              </w:rPr>
              <w:t>Deposition</w:t>
            </w:r>
            <w:r>
              <w:rPr>
                <w:rFonts w:ascii="TimesNewRomanPSMT" w:hAnsi="TimesNewRomanPSMT" w:cs="TimesNewRomanPSMT"/>
              </w:rPr>
              <w:t xml:space="preserve"> Transcript Excerpts Cited to by Mr. Dauphinais in his Direct Testimony</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Pr="00701945" w:rsidRDefault="005D5504" w:rsidP="00D90F41">
            <w:r>
              <w:t>James R. Dauphinais, Ph.D.</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Pr="004515FB" w:rsidRDefault="005D5504" w:rsidP="00813D49">
            <w:pPr>
              <w:jc w:val="center"/>
            </w:pPr>
            <w:r>
              <w:t>JRD-19</w:t>
            </w:r>
          </w:p>
        </w:tc>
        <w:tc>
          <w:tcPr>
            <w:tcW w:w="3505" w:type="dxa"/>
          </w:tcPr>
          <w:p w:rsidR="005D5504" w:rsidRDefault="005D5504" w:rsidP="00D90F41">
            <w:pPr>
              <w:autoSpaceDE w:val="0"/>
              <w:autoSpaceDN w:val="0"/>
              <w:adjustRightInd w:val="0"/>
            </w:pPr>
            <w:r>
              <w:rPr>
                <w:rFonts w:ascii="TimesNewRomanPSMT" w:hAnsi="TimesNewRomanPSMT" w:cs="TimesNewRomanPSMT"/>
              </w:rPr>
              <w:t>Deposition Late Filed Exhibits Cited to by Mr. Dauphinais in his Direct Testimony</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DED-1</w:t>
            </w:r>
          </w:p>
        </w:tc>
        <w:tc>
          <w:tcPr>
            <w:tcW w:w="3505" w:type="dxa"/>
          </w:tcPr>
          <w:p w:rsidR="005D5504" w:rsidRDefault="005D5504" w:rsidP="00D90F41">
            <w:pPr>
              <w:pStyle w:val="Default"/>
            </w:pPr>
            <w:r>
              <w:t xml:space="preserve">Base Revenue Impact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DED-2</w:t>
            </w:r>
          </w:p>
        </w:tc>
        <w:tc>
          <w:tcPr>
            <w:tcW w:w="3505" w:type="dxa"/>
          </w:tcPr>
          <w:p w:rsidR="005D5504" w:rsidRPr="006150E2" w:rsidRDefault="005D5504" w:rsidP="00D90F41">
            <w:pPr>
              <w:pStyle w:val="Default"/>
              <w:rPr>
                <w:b/>
              </w:rPr>
            </w:pPr>
            <w:r>
              <w:rPr>
                <w:sz w:val="23"/>
                <w:szCs w:val="23"/>
              </w:rPr>
              <w:t xml:space="preserve">Out-of-Model Adjustments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DED-3</w:t>
            </w:r>
          </w:p>
        </w:tc>
        <w:tc>
          <w:tcPr>
            <w:tcW w:w="3505" w:type="dxa"/>
          </w:tcPr>
          <w:p w:rsidR="005D5504" w:rsidRPr="006150E2" w:rsidRDefault="005D5504" w:rsidP="00D90F41">
            <w:pPr>
              <w:pStyle w:val="Default"/>
              <w:rPr>
                <w:b/>
              </w:rPr>
            </w:pPr>
            <w:r>
              <w:rPr>
                <w:sz w:val="23"/>
                <w:szCs w:val="23"/>
              </w:rPr>
              <w:t xml:space="preserve">Company Energy Sales and Customer Forecasts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DED-4</w:t>
            </w:r>
          </w:p>
        </w:tc>
        <w:tc>
          <w:tcPr>
            <w:tcW w:w="3505" w:type="dxa"/>
          </w:tcPr>
          <w:p w:rsidR="005D5504" w:rsidRPr="006150E2" w:rsidRDefault="005D5504" w:rsidP="00D90F41">
            <w:pPr>
              <w:pStyle w:val="Default"/>
              <w:rPr>
                <w:b/>
              </w:rPr>
            </w:pPr>
            <w:r>
              <w:rPr>
                <w:sz w:val="23"/>
                <w:szCs w:val="23"/>
              </w:rPr>
              <w:t xml:space="preserve">Revised Sales Forecast based on Ten-Year Trend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DED-5</w:t>
            </w:r>
          </w:p>
        </w:tc>
        <w:tc>
          <w:tcPr>
            <w:tcW w:w="3505" w:type="dxa"/>
          </w:tcPr>
          <w:p w:rsidR="005D5504" w:rsidRPr="006150E2" w:rsidRDefault="005D5504" w:rsidP="00D90F41">
            <w:pPr>
              <w:pStyle w:val="Default"/>
              <w:rPr>
                <w:b/>
              </w:rPr>
            </w:pPr>
            <w:r>
              <w:t xml:space="preserve">Usage per Customer Utility Survey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DED-6</w:t>
            </w:r>
          </w:p>
        </w:tc>
        <w:tc>
          <w:tcPr>
            <w:tcW w:w="3505" w:type="dxa"/>
          </w:tcPr>
          <w:p w:rsidR="005D5504" w:rsidRPr="006150E2" w:rsidRDefault="005D5504" w:rsidP="00D90F41">
            <w:pPr>
              <w:pStyle w:val="Default"/>
              <w:rPr>
                <w:b/>
              </w:rPr>
            </w:pPr>
            <w:r>
              <w:rPr>
                <w:sz w:val="23"/>
                <w:szCs w:val="23"/>
              </w:rPr>
              <w:t xml:space="preserve">Rate Case Forecast Compared to Ten-Year Site Plan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DED-7</w:t>
            </w:r>
          </w:p>
        </w:tc>
        <w:tc>
          <w:tcPr>
            <w:tcW w:w="3505" w:type="dxa"/>
          </w:tcPr>
          <w:p w:rsidR="005D5504" w:rsidRPr="006150E2" w:rsidRDefault="005D5504" w:rsidP="00D90F41">
            <w:pPr>
              <w:pStyle w:val="Default"/>
              <w:rPr>
                <w:b/>
              </w:rPr>
            </w:pPr>
            <w:r>
              <w:rPr>
                <w:sz w:val="23"/>
                <w:szCs w:val="23"/>
              </w:rPr>
              <w:t xml:space="preserve">Impact of Alternative Regulation for Retail Ratepayers in Florida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DED-8</w:t>
            </w:r>
          </w:p>
        </w:tc>
        <w:tc>
          <w:tcPr>
            <w:tcW w:w="3505" w:type="dxa"/>
          </w:tcPr>
          <w:p w:rsidR="005D5504" w:rsidRPr="006150E2" w:rsidRDefault="005D5504" w:rsidP="00D90F41">
            <w:pPr>
              <w:pStyle w:val="Default"/>
              <w:rPr>
                <w:b/>
              </w:rPr>
            </w:pPr>
            <w:r>
              <w:t xml:space="preserve">Energy Affordability Index </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WWD-1</w:t>
            </w:r>
          </w:p>
        </w:tc>
        <w:tc>
          <w:tcPr>
            <w:tcW w:w="3505" w:type="dxa"/>
          </w:tcPr>
          <w:p w:rsidR="005D5504" w:rsidRPr="006150E2" w:rsidRDefault="005D5504" w:rsidP="00D90F41">
            <w:pPr>
              <w:autoSpaceDE w:val="0"/>
              <w:autoSpaceDN w:val="0"/>
              <w:adjustRightInd w:val="0"/>
              <w:rPr>
                <w:b/>
              </w:rPr>
            </w:pPr>
            <w:r>
              <w:t>Summary of my qualifications, experience, and a list of prior testimonies before state utility regulatory agencies</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WWD-2</w:t>
            </w:r>
          </w:p>
        </w:tc>
        <w:tc>
          <w:tcPr>
            <w:tcW w:w="3505" w:type="dxa"/>
          </w:tcPr>
          <w:p w:rsidR="005D5504" w:rsidRPr="006150E2" w:rsidRDefault="005D5504" w:rsidP="00D90F41">
            <w:pPr>
              <w:autoSpaceDE w:val="0"/>
              <w:autoSpaceDN w:val="0"/>
              <w:adjustRightInd w:val="0"/>
              <w:rPr>
                <w:b/>
              </w:rPr>
            </w:pPr>
            <w:r>
              <w:t>Pages from the DEF Ten-Year Site Plan dated April, 2022 covering the years 2022-2031</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lastRenderedPageBreak/>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WWD-3</w:t>
            </w:r>
          </w:p>
        </w:tc>
        <w:tc>
          <w:tcPr>
            <w:tcW w:w="3505" w:type="dxa"/>
          </w:tcPr>
          <w:p w:rsidR="005D5504" w:rsidRPr="00711B9A" w:rsidRDefault="005D5504" w:rsidP="00D90F41">
            <w:pPr>
              <w:autoSpaceDE w:val="0"/>
              <w:autoSpaceDN w:val="0"/>
              <w:adjustRightInd w:val="0"/>
              <w:rPr>
                <w:b/>
              </w:rPr>
            </w:pPr>
            <w:r w:rsidRPr="00711B9A">
              <w:t>DEF response to OPC Sixth Set of</w:t>
            </w:r>
            <w:r>
              <w:t xml:space="preserve"> </w:t>
            </w:r>
            <w:r w:rsidRPr="00711B9A">
              <w:t>Interrogatories, No. 139</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WWD-4</w:t>
            </w:r>
          </w:p>
        </w:tc>
        <w:tc>
          <w:tcPr>
            <w:tcW w:w="3505" w:type="dxa"/>
          </w:tcPr>
          <w:p w:rsidR="005D5504" w:rsidRPr="00711B9A" w:rsidRDefault="005D5504" w:rsidP="00D90F41">
            <w:pPr>
              <w:rPr>
                <w:b/>
              </w:rPr>
            </w:pPr>
            <w:r w:rsidRPr="00711B9A">
              <w:t>DEF response to OPC Sixth Set of Interrogatories, No. 126</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WWD-5</w:t>
            </w:r>
          </w:p>
        </w:tc>
        <w:tc>
          <w:tcPr>
            <w:tcW w:w="3505" w:type="dxa"/>
          </w:tcPr>
          <w:p w:rsidR="005D5504" w:rsidRPr="00DA21A5" w:rsidRDefault="005D5504" w:rsidP="00D90F41">
            <w:pPr>
              <w:rPr>
                <w:b/>
              </w:rPr>
            </w:pPr>
            <w:r w:rsidRPr="00DA21A5">
              <w:t>Utility-Scale Solar, 2022 Edition, LBNL</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WWD-6</w:t>
            </w:r>
          </w:p>
        </w:tc>
        <w:tc>
          <w:tcPr>
            <w:tcW w:w="3505" w:type="dxa"/>
          </w:tcPr>
          <w:p w:rsidR="005D5504" w:rsidRPr="006150E2" w:rsidRDefault="005D5504" w:rsidP="00D90F41">
            <w:pPr>
              <w:rPr>
                <w:b/>
              </w:rPr>
            </w:pPr>
            <w:r>
              <w:t>Redistribution of the Simple Cycle Production Plant depreciation reserve</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WWD-7</w:t>
            </w:r>
          </w:p>
        </w:tc>
        <w:tc>
          <w:tcPr>
            <w:tcW w:w="3505" w:type="dxa"/>
          </w:tcPr>
          <w:p w:rsidR="005D5504" w:rsidRPr="006150E2" w:rsidRDefault="005D5504" w:rsidP="00D90F41">
            <w:pPr>
              <w:rPr>
                <w:b/>
              </w:rPr>
            </w:pPr>
            <w:r>
              <w:t>OPC Depreciation Rates</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WWD-8</w:t>
            </w:r>
          </w:p>
        </w:tc>
        <w:tc>
          <w:tcPr>
            <w:tcW w:w="3505" w:type="dxa"/>
          </w:tcPr>
          <w:p w:rsidR="005D5504" w:rsidRPr="00711B9A" w:rsidRDefault="005D5504" w:rsidP="00D90F41">
            <w:pPr>
              <w:rPr>
                <w:b/>
              </w:rPr>
            </w:pPr>
            <w:r w:rsidRPr="00711B9A">
              <w:rPr>
                <w:rFonts w:ascii="TimesNewRomanPSMT" w:hAnsi="TimesNewRomanPSMT" w:cs="TimesNewRomanPSMT"/>
              </w:rPr>
              <w:t>DEF response to OPC’s Tenth Set of Interrogatories, No</w:t>
            </w:r>
            <w:r>
              <w:rPr>
                <w:rFonts w:ascii="TimesNewRomanPSMT" w:hAnsi="TimesNewRomanPSMT" w:cs="TimesNewRomanPSMT"/>
              </w:rPr>
              <w:t>s</w:t>
            </w:r>
            <w:r w:rsidRPr="00711B9A">
              <w:rPr>
                <w:rFonts w:ascii="TimesNewRomanPSMT" w:hAnsi="TimesNewRomanPSMT" w:cs="TimesNewRomanPSMT"/>
              </w:rPr>
              <w:t>. 245</w:t>
            </w:r>
            <w:r>
              <w:rPr>
                <w:rFonts w:ascii="TimesNewRomanPSMT" w:hAnsi="TimesNewRomanPSMT" w:cs="TimesNewRomanPSMT"/>
              </w:rPr>
              <w:t xml:space="preserve"> &amp; 246</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WWD-9</w:t>
            </w:r>
          </w:p>
        </w:tc>
        <w:tc>
          <w:tcPr>
            <w:tcW w:w="3505" w:type="dxa"/>
          </w:tcPr>
          <w:p w:rsidR="005D5504" w:rsidRPr="006150E2" w:rsidRDefault="001824BB" w:rsidP="00D90F41">
            <w:pPr>
              <w:rPr>
                <w:b/>
              </w:rPr>
            </w:pPr>
            <w:r>
              <w:rPr>
                <w:rFonts w:ascii="TimesNewRomanPSMT" w:hAnsi="TimesNewRomanPSMT" w:cs="TimesNewRomanPSMT"/>
              </w:rPr>
              <w:t>Page 74 of Jeffrey T. Kopp</w:t>
            </w:r>
            <w:r w:rsidR="005D5504">
              <w:rPr>
                <w:rFonts w:ascii="TimesNewRomanPSMT" w:hAnsi="TimesNewRomanPSMT" w:cs="TimesNewRomanPSMT"/>
              </w:rPr>
              <w:t>’s Exhibit No. JTK</w:t>
            </w:r>
            <w:r w:rsidR="005D5504">
              <w:t>-2</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WWD-10</w:t>
            </w:r>
          </w:p>
        </w:tc>
        <w:tc>
          <w:tcPr>
            <w:tcW w:w="3505" w:type="dxa"/>
          </w:tcPr>
          <w:p w:rsidR="005D5504" w:rsidRPr="006150E2" w:rsidRDefault="005D5504" w:rsidP="00D90F41">
            <w:pPr>
              <w:rPr>
                <w:b/>
              </w:rPr>
            </w:pPr>
            <w:r>
              <w:t>Pages from the prior 2020 DEF Dismantlement Study</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WWD-11</w:t>
            </w:r>
          </w:p>
        </w:tc>
        <w:tc>
          <w:tcPr>
            <w:tcW w:w="3505" w:type="dxa"/>
          </w:tcPr>
          <w:p w:rsidR="005D5504" w:rsidRPr="006150E2" w:rsidRDefault="005D5504" w:rsidP="00D90F41">
            <w:pPr>
              <w:rPr>
                <w:b/>
              </w:rPr>
            </w:pPr>
            <w:r>
              <w:t>Dismantlement Cost Estimates</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WWD-12</w:t>
            </w:r>
          </w:p>
        </w:tc>
        <w:tc>
          <w:tcPr>
            <w:tcW w:w="3505" w:type="dxa"/>
          </w:tcPr>
          <w:p w:rsidR="005D5504" w:rsidRPr="00362F78" w:rsidRDefault="005D5504" w:rsidP="00D90F41">
            <w:pPr>
              <w:autoSpaceDE w:val="0"/>
              <w:autoSpaceDN w:val="0"/>
              <w:adjustRightInd w:val="0"/>
              <w:rPr>
                <w:b/>
              </w:rPr>
            </w:pPr>
            <w:r w:rsidRPr="00362F78">
              <w:rPr>
                <w:i/>
                <w:iCs/>
              </w:rPr>
              <w:t>Changes in U.S. Family Finances from 2016 to 2019: Evidence from the Survey of Consumer Finances</w:t>
            </w:r>
            <w:r w:rsidRPr="00362F78">
              <w:t>, Federal</w:t>
            </w:r>
            <w:r>
              <w:t xml:space="preserve"> </w:t>
            </w:r>
            <w:r w:rsidRPr="00362F78">
              <w:t>Reserve Bulletin Vol. 3, No. 3 (Sept. 2017)</w:t>
            </w:r>
          </w:p>
        </w:tc>
      </w:tr>
      <w:tr w:rsidR="005D5504"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5D5504" w:rsidRDefault="005D5504" w:rsidP="00D90F41">
            <w:r>
              <w:t>David E. Dismukes</w:t>
            </w:r>
          </w:p>
        </w:tc>
        <w:tc>
          <w:tcPr>
            <w:tcW w:w="1512" w:type="dxa"/>
            <w:tcBorders>
              <w:top w:val="single" w:sz="4" w:space="0" w:color="auto"/>
              <w:left w:val="single" w:sz="4" w:space="0" w:color="auto"/>
              <w:bottom w:val="single" w:sz="4" w:space="0" w:color="auto"/>
              <w:right w:val="single" w:sz="4" w:space="0" w:color="auto"/>
            </w:tcBorders>
          </w:tcPr>
          <w:p w:rsidR="005D5504" w:rsidRPr="00701945" w:rsidRDefault="005D5504"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5D5504" w:rsidRDefault="005D5504" w:rsidP="00813D49">
            <w:pPr>
              <w:jc w:val="center"/>
            </w:pPr>
            <w:r>
              <w:t>WWD-13</w:t>
            </w:r>
          </w:p>
        </w:tc>
        <w:tc>
          <w:tcPr>
            <w:tcW w:w="3505" w:type="dxa"/>
          </w:tcPr>
          <w:p w:rsidR="005D5504" w:rsidRPr="00362F78" w:rsidRDefault="005D5504" w:rsidP="00D90F41">
            <w:pPr>
              <w:rPr>
                <w:b/>
              </w:rPr>
            </w:pPr>
            <w:r w:rsidRPr="00362F78">
              <w:t xml:space="preserve">January 2023 </w:t>
            </w:r>
            <w:r w:rsidRPr="00362F78">
              <w:rPr>
                <w:i/>
                <w:iCs/>
              </w:rPr>
              <w:t>Federal Reserve Statistical Release</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DJL-1</w:t>
            </w:r>
          </w:p>
        </w:tc>
        <w:tc>
          <w:tcPr>
            <w:tcW w:w="3505" w:type="dxa"/>
          </w:tcPr>
          <w:p w:rsidR="009B52C8" w:rsidRPr="006150E2" w:rsidRDefault="009B52C8" w:rsidP="00D90F41">
            <w:pPr>
              <w:rPr>
                <w:b/>
              </w:rPr>
            </w:pPr>
            <w:r>
              <w:t>Resume</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DJL-2</w:t>
            </w:r>
          </w:p>
        </w:tc>
        <w:tc>
          <w:tcPr>
            <w:tcW w:w="3505" w:type="dxa"/>
          </w:tcPr>
          <w:p w:rsidR="009B52C8" w:rsidRPr="006150E2" w:rsidRDefault="009B52C8" w:rsidP="00D90F41">
            <w:pPr>
              <w:rPr>
                <w:b/>
              </w:rPr>
            </w:pPr>
            <w:r>
              <w:t>Comparable Company Electric Group Equity Ratios</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DJL-3</w:t>
            </w:r>
          </w:p>
        </w:tc>
        <w:tc>
          <w:tcPr>
            <w:tcW w:w="3505" w:type="dxa"/>
          </w:tcPr>
          <w:p w:rsidR="009B52C8" w:rsidRPr="006150E2" w:rsidRDefault="009B52C8" w:rsidP="00D90F41">
            <w:pPr>
              <w:rPr>
                <w:b/>
              </w:rPr>
            </w:pPr>
            <w:r>
              <w:t>Historical Monthly Government Bond Yields</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DJL-4</w:t>
            </w:r>
          </w:p>
        </w:tc>
        <w:tc>
          <w:tcPr>
            <w:tcW w:w="3505" w:type="dxa"/>
          </w:tcPr>
          <w:p w:rsidR="009B52C8" w:rsidRPr="00597ED2" w:rsidRDefault="009B52C8" w:rsidP="00D90F41">
            <w:r w:rsidRPr="00597ED2">
              <w:rPr>
                <w:bCs/>
                <w:sz w:val="23"/>
                <w:szCs w:val="23"/>
              </w:rPr>
              <w:t>Comparable Company Electric Equity Return Forecast</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lastRenderedPageBreak/>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DJL-5</w:t>
            </w:r>
          </w:p>
        </w:tc>
        <w:tc>
          <w:tcPr>
            <w:tcW w:w="3505" w:type="dxa"/>
          </w:tcPr>
          <w:p w:rsidR="009B52C8" w:rsidRPr="00597ED2" w:rsidRDefault="009B52C8" w:rsidP="00D90F41">
            <w:r w:rsidRPr="00597ED2">
              <w:rPr>
                <w:bCs/>
                <w:sz w:val="23"/>
                <w:szCs w:val="23"/>
              </w:rPr>
              <w:t>Comparable Company Electric Group Price Data</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DJL-6</w:t>
            </w:r>
          </w:p>
        </w:tc>
        <w:tc>
          <w:tcPr>
            <w:tcW w:w="3505" w:type="dxa"/>
          </w:tcPr>
          <w:p w:rsidR="009B52C8" w:rsidRPr="00597ED2" w:rsidRDefault="009B52C8" w:rsidP="00D90F41">
            <w:r w:rsidRPr="00597ED2">
              <w:rPr>
                <w:bCs/>
                <w:sz w:val="23"/>
                <w:szCs w:val="23"/>
              </w:rPr>
              <w:t>Comparable Company Electric Group Growth Rate Data</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DJL-7</w:t>
            </w:r>
          </w:p>
        </w:tc>
        <w:tc>
          <w:tcPr>
            <w:tcW w:w="3505" w:type="dxa"/>
          </w:tcPr>
          <w:p w:rsidR="009B52C8" w:rsidRPr="00597ED2" w:rsidRDefault="009B52C8" w:rsidP="00D90F41">
            <w:r w:rsidRPr="00597ED2">
              <w:rPr>
                <w:bCs/>
                <w:sz w:val="23"/>
                <w:szCs w:val="23"/>
              </w:rPr>
              <w:t>Comparable Company Electric Group DCF</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DJL-8</w:t>
            </w:r>
          </w:p>
        </w:tc>
        <w:tc>
          <w:tcPr>
            <w:tcW w:w="3505" w:type="dxa"/>
          </w:tcPr>
          <w:p w:rsidR="009B52C8" w:rsidRPr="00597ED2" w:rsidRDefault="009B52C8" w:rsidP="00D90F41">
            <w:r w:rsidRPr="00597ED2">
              <w:rPr>
                <w:bCs/>
                <w:sz w:val="23"/>
                <w:szCs w:val="23"/>
              </w:rPr>
              <w:t>Comparable Company Electric Group Two-Stage DCF</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DJL-9</w:t>
            </w:r>
          </w:p>
        </w:tc>
        <w:tc>
          <w:tcPr>
            <w:tcW w:w="3505" w:type="dxa"/>
          </w:tcPr>
          <w:p w:rsidR="009B52C8" w:rsidRPr="00597ED2" w:rsidRDefault="009B52C8" w:rsidP="00D90F41">
            <w:r w:rsidRPr="00597ED2">
              <w:rPr>
                <w:bCs/>
                <w:sz w:val="23"/>
                <w:szCs w:val="23"/>
              </w:rPr>
              <w:t>Comparable Company Electric Group CAPM/ECAPM</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DJL-10</w:t>
            </w:r>
          </w:p>
        </w:tc>
        <w:tc>
          <w:tcPr>
            <w:tcW w:w="3505" w:type="dxa"/>
          </w:tcPr>
          <w:p w:rsidR="009B52C8" w:rsidRPr="006150E2" w:rsidRDefault="009B52C8" w:rsidP="00D90F41">
            <w:pPr>
              <w:rPr>
                <w:b/>
              </w:rPr>
            </w:pPr>
            <w:r>
              <w:t>Bond Yield and Equity Risk Premium Analysis</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DJL-11</w:t>
            </w:r>
          </w:p>
        </w:tc>
        <w:tc>
          <w:tcPr>
            <w:tcW w:w="3505" w:type="dxa"/>
          </w:tcPr>
          <w:p w:rsidR="009B52C8" w:rsidRPr="00597ED2" w:rsidRDefault="009B52C8" w:rsidP="00D90F41">
            <w:r w:rsidRPr="00597ED2">
              <w:rPr>
                <w:bCs/>
                <w:sz w:val="23"/>
                <w:szCs w:val="23"/>
              </w:rPr>
              <w:t>Capital Structure Duke Energy Florida</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Daniel J. Lawton</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DJL-12</w:t>
            </w:r>
          </w:p>
        </w:tc>
        <w:tc>
          <w:tcPr>
            <w:tcW w:w="3505" w:type="dxa"/>
          </w:tcPr>
          <w:p w:rsidR="009B52C8" w:rsidRPr="006150E2" w:rsidRDefault="009B52C8" w:rsidP="00D90F41">
            <w:pPr>
              <w:rPr>
                <w:b/>
              </w:rPr>
            </w:pPr>
            <w:r>
              <w:t>Summary of Alternative Cost of Equity Model Estimates</w:t>
            </w:r>
          </w:p>
        </w:tc>
      </w:tr>
      <w:tr w:rsidR="009B52C8"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9B52C8" w:rsidRDefault="009B52C8" w:rsidP="00D90F41">
            <w:r>
              <w:t>Kevin J. Mara, P.E.</w:t>
            </w:r>
          </w:p>
        </w:tc>
        <w:tc>
          <w:tcPr>
            <w:tcW w:w="1512" w:type="dxa"/>
            <w:tcBorders>
              <w:top w:val="single" w:sz="4" w:space="0" w:color="auto"/>
              <w:left w:val="single" w:sz="4" w:space="0" w:color="auto"/>
              <w:bottom w:val="single" w:sz="4" w:space="0" w:color="auto"/>
              <w:right w:val="single" w:sz="4" w:space="0" w:color="auto"/>
            </w:tcBorders>
          </w:tcPr>
          <w:p w:rsidR="009B52C8" w:rsidRPr="00701945" w:rsidRDefault="009B52C8"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9B52C8" w:rsidRDefault="009B52C8" w:rsidP="00813D49">
            <w:pPr>
              <w:jc w:val="center"/>
            </w:pPr>
            <w:r>
              <w:t>KJM-1</w:t>
            </w:r>
          </w:p>
        </w:tc>
        <w:tc>
          <w:tcPr>
            <w:tcW w:w="3505" w:type="dxa"/>
          </w:tcPr>
          <w:p w:rsidR="009B52C8" w:rsidRPr="006150E2" w:rsidRDefault="009B52C8" w:rsidP="00D90F41">
            <w:pPr>
              <w:rPr>
                <w:b/>
              </w:rPr>
            </w:pPr>
            <w:r>
              <w:rPr>
                <w:sz w:val="23"/>
                <w:szCs w:val="23"/>
              </w:rPr>
              <w:t>Curriculum Vitae</w:t>
            </w:r>
          </w:p>
        </w:tc>
      </w:tr>
      <w:tr w:rsidR="001760BF"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1760BF" w:rsidRDefault="001760BF" w:rsidP="00D90F41">
            <w:r>
              <w:t>Helmuth W. Schultz, III</w:t>
            </w:r>
          </w:p>
        </w:tc>
        <w:tc>
          <w:tcPr>
            <w:tcW w:w="1512" w:type="dxa"/>
            <w:tcBorders>
              <w:top w:val="single" w:sz="4" w:space="0" w:color="auto"/>
              <w:left w:val="single" w:sz="4" w:space="0" w:color="auto"/>
              <w:bottom w:val="single" w:sz="4" w:space="0" w:color="auto"/>
              <w:right w:val="single" w:sz="4" w:space="0" w:color="auto"/>
            </w:tcBorders>
          </w:tcPr>
          <w:p w:rsidR="001760BF" w:rsidRPr="00701945" w:rsidRDefault="001760BF"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1760BF" w:rsidRDefault="001760BF" w:rsidP="00813D49">
            <w:pPr>
              <w:jc w:val="center"/>
            </w:pPr>
            <w:r>
              <w:t>HWS-1</w:t>
            </w:r>
          </w:p>
        </w:tc>
        <w:tc>
          <w:tcPr>
            <w:tcW w:w="3505" w:type="dxa"/>
          </w:tcPr>
          <w:p w:rsidR="001760BF" w:rsidRPr="00BA2B20" w:rsidRDefault="001760BF" w:rsidP="00D90F41">
            <w:pPr>
              <w:autoSpaceDE w:val="0"/>
              <w:autoSpaceDN w:val="0"/>
              <w:adjustRightInd w:val="0"/>
            </w:pPr>
            <w:r>
              <w:t>Summary of background, experience and qualifications</w:t>
            </w:r>
          </w:p>
        </w:tc>
      </w:tr>
      <w:tr w:rsidR="001760BF"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1760BF" w:rsidRDefault="001760BF" w:rsidP="00D90F41">
            <w:r>
              <w:t>Helmuth W. Schultz, III</w:t>
            </w:r>
          </w:p>
        </w:tc>
        <w:tc>
          <w:tcPr>
            <w:tcW w:w="1512" w:type="dxa"/>
            <w:tcBorders>
              <w:top w:val="single" w:sz="4" w:space="0" w:color="auto"/>
              <w:left w:val="single" w:sz="4" w:space="0" w:color="auto"/>
              <w:bottom w:val="single" w:sz="4" w:space="0" w:color="auto"/>
              <w:right w:val="single" w:sz="4" w:space="0" w:color="auto"/>
            </w:tcBorders>
          </w:tcPr>
          <w:p w:rsidR="001760BF" w:rsidRPr="00701945" w:rsidRDefault="001760BF"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1760BF" w:rsidRDefault="001760BF" w:rsidP="00813D49">
            <w:pPr>
              <w:jc w:val="center"/>
            </w:pPr>
            <w:r>
              <w:t>HWS-2</w:t>
            </w:r>
          </w:p>
          <w:p w:rsidR="001760BF" w:rsidRDefault="001760BF" w:rsidP="00813D49">
            <w:pPr>
              <w:jc w:val="center"/>
            </w:pPr>
            <w:r>
              <w:t>(Revised 6.26.24)</w:t>
            </w:r>
          </w:p>
        </w:tc>
        <w:tc>
          <w:tcPr>
            <w:tcW w:w="3505" w:type="dxa"/>
          </w:tcPr>
          <w:p w:rsidR="001760BF" w:rsidRPr="00BA2B20" w:rsidRDefault="001760BF" w:rsidP="00D90F41">
            <w:r>
              <w:t>Schedules with Recommendations based on an analysis of 2025, 2026 and 2027 test years</w:t>
            </w:r>
          </w:p>
        </w:tc>
      </w:tr>
      <w:tr w:rsidR="001760BF"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1760BF" w:rsidRDefault="001760BF" w:rsidP="00D90F41">
            <w:r>
              <w:t>Helmuth W. Schultz, III</w:t>
            </w:r>
          </w:p>
        </w:tc>
        <w:tc>
          <w:tcPr>
            <w:tcW w:w="1512" w:type="dxa"/>
            <w:tcBorders>
              <w:top w:val="single" w:sz="4" w:space="0" w:color="auto"/>
              <w:left w:val="single" w:sz="4" w:space="0" w:color="auto"/>
              <w:bottom w:val="single" w:sz="4" w:space="0" w:color="auto"/>
              <w:right w:val="single" w:sz="4" w:space="0" w:color="auto"/>
            </w:tcBorders>
          </w:tcPr>
          <w:p w:rsidR="001760BF" w:rsidRPr="00701945" w:rsidRDefault="001760BF"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1760BF" w:rsidRDefault="001760BF" w:rsidP="00813D49">
            <w:pPr>
              <w:jc w:val="center"/>
            </w:pPr>
            <w:r>
              <w:t>HWS-3</w:t>
            </w:r>
          </w:p>
        </w:tc>
        <w:tc>
          <w:tcPr>
            <w:tcW w:w="3505" w:type="dxa"/>
          </w:tcPr>
          <w:p w:rsidR="001760BF" w:rsidRPr="00BA2B20" w:rsidRDefault="001760BF" w:rsidP="00D90F41">
            <w:pPr>
              <w:autoSpaceDE w:val="0"/>
              <w:autoSpaceDN w:val="0"/>
              <w:adjustRightInd w:val="0"/>
            </w:pPr>
            <w:r>
              <w:t>compilation of discovery responses</w:t>
            </w:r>
          </w:p>
        </w:tc>
      </w:tr>
      <w:tr w:rsidR="001760BF" w:rsidRPr="00701945" w:rsidTr="004D74F1">
        <w:trPr>
          <w:cantSplit/>
          <w:trHeight w:val="288"/>
        </w:trPr>
        <w:tc>
          <w:tcPr>
            <w:tcW w:w="3198" w:type="dxa"/>
            <w:tcBorders>
              <w:top w:val="single" w:sz="4" w:space="0" w:color="auto"/>
              <w:left w:val="single" w:sz="4" w:space="0" w:color="auto"/>
              <w:bottom w:val="single" w:sz="4" w:space="0" w:color="auto"/>
              <w:right w:val="single" w:sz="4" w:space="0" w:color="auto"/>
            </w:tcBorders>
          </w:tcPr>
          <w:p w:rsidR="001760BF" w:rsidRDefault="001760BF" w:rsidP="00D90F41">
            <w:r>
              <w:t>Helmuth W. Schultz, III</w:t>
            </w:r>
          </w:p>
        </w:tc>
        <w:tc>
          <w:tcPr>
            <w:tcW w:w="1512" w:type="dxa"/>
            <w:tcBorders>
              <w:top w:val="single" w:sz="4" w:space="0" w:color="auto"/>
              <w:left w:val="single" w:sz="4" w:space="0" w:color="auto"/>
              <w:bottom w:val="single" w:sz="4" w:space="0" w:color="auto"/>
              <w:right w:val="single" w:sz="4" w:space="0" w:color="auto"/>
            </w:tcBorders>
          </w:tcPr>
          <w:p w:rsidR="001760BF" w:rsidRPr="00701945" w:rsidRDefault="001760BF" w:rsidP="00813D49">
            <w:pPr>
              <w:jc w:val="center"/>
            </w:pPr>
            <w:r>
              <w:t>OPC</w:t>
            </w:r>
          </w:p>
        </w:tc>
        <w:tc>
          <w:tcPr>
            <w:tcW w:w="1350" w:type="dxa"/>
            <w:tcBorders>
              <w:top w:val="single" w:sz="4" w:space="0" w:color="auto"/>
              <w:left w:val="single" w:sz="4" w:space="0" w:color="auto"/>
              <w:bottom w:val="single" w:sz="4" w:space="0" w:color="auto"/>
              <w:right w:val="single" w:sz="4" w:space="0" w:color="auto"/>
            </w:tcBorders>
          </w:tcPr>
          <w:p w:rsidR="001760BF" w:rsidRDefault="001760BF" w:rsidP="00813D49">
            <w:pPr>
              <w:jc w:val="center"/>
            </w:pPr>
            <w:r>
              <w:t>HWS-4</w:t>
            </w:r>
          </w:p>
        </w:tc>
        <w:tc>
          <w:tcPr>
            <w:tcW w:w="3505" w:type="dxa"/>
          </w:tcPr>
          <w:p w:rsidR="001760BF" w:rsidRPr="00BA2B20" w:rsidRDefault="001760BF" w:rsidP="00D90F41">
            <w:pPr>
              <w:autoSpaceDE w:val="0"/>
              <w:autoSpaceDN w:val="0"/>
              <w:adjustRightInd w:val="0"/>
            </w:pPr>
            <w:r>
              <w:t>1986 Staff Memorandum</w:t>
            </w:r>
          </w:p>
        </w:tc>
      </w:tr>
      <w:tr w:rsidR="000E4F5A" w:rsidRPr="00701945" w:rsidTr="004D74F1">
        <w:trPr>
          <w:cantSplit/>
          <w:trHeight w:val="288"/>
        </w:trPr>
        <w:tc>
          <w:tcPr>
            <w:tcW w:w="3198" w:type="dxa"/>
          </w:tcPr>
          <w:p w:rsidR="000E4F5A" w:rsidRPr="00701945" w:rsidRDefault="000E4F5A" w:rsidP="00D90F41">
            <w:r>
              <w:t>Lindsey R. Stegall</w:t>
            </w:r>
          </w:p>
        </w:tc>
        <w:tc>
          <w:tcPr>
            <w:tcW w:w="1512" w:type="dxa"/>
          </w:tcPr>
          <w:p w:rsidR="000E4F5A" w:rsidRPr="00701945" w:rsidRDefault="000E4F5A" w:rsidP="00813D49">
            <w:pPr>
              <w:jc w:val="center"/>
            </w:pPr>
            <w:r>
              <w:t>EVgo</w:t>
            </w:r>
          </w:p>
        </w:tc>
        <w:tc>
          <w:tcPr>
            <w:tcW w:w="1350" w:type="dxa"/>
          </w:tcPr>
          <w:p w:rsidR="000E4F5A" w:rsidRPr="004515FB" w:rsidRDefault="000E4F5A" w:rsidP="00813D49">
            <w:pPr>
              <w:jc w:val="center"/>
            </w:pPr>
            <w:r>
              <w:t>LRS-1</w:t>
            </w:r>
          </w:p>
        </w:tc>
        <w:tc>
          <w:tcPr>
            <w:tcW w:w="3505" w:type="dxa"/>
          </w:tcPr>
          <w:p w:rsidR="000E4F5A" w:rsidRPr="0048148E" w:rsidRDefault="000E4F5A" w:rsidP="00D90F41">
            <w:pPr>
              <w:suppressAutoHyphens/>
              <w:rPr>
                <w:rFonts w:cs="Arial"/>
                <w:spacing w:val="-3"/>
              </w:rPr>
            </w:pPr>
            <w:r>
              <w:rPr>
                <w:rFonts w:ascii="TimesNewRomanPSMT" w:hAnsi="TimesNewRomanPSMT" w:cs="TimesNewRomanPSMT"/>
              </w:rPr>
              <w:t>Lindsey R. Stegall Qualifications</w:t>
            </w:r>
          </w:p>
        </w:tc>
      </w:tr>
      <w:tr w:rsidR="000E4F5A" w:rsidRPr="00701945" w:rsidTr="004D74F1">
        <w:trPr>
          <w:cantSplit/>
          <w:trHeight w:val="288"/>
        </w:trPr>
        <w:tc>
          <w:tcPr>
            <w:tcW w:w="3198" w:type="dxa"/>
          </w:tcPr>
          <w:p w:rsidR="000E4F5A" w:rsidRPr="00701945" w:rsidRDefault="000E4F5A" w:rsidP="00D90F41">
            <w:r>
              <w:t>Jonathan Ly</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JL-1</w:t>
            </w:r>
          </w:p>
        </w:tc>
        <w:tc>
          <w:tcPr>
            <w:tcW w:w="3505" w:type="dxa"/>
          </w:tcPr>
          <w:p w:rsidR="000E4F5A" w:rsidRPr="00BC59ED" w:rsidRDefault="000E4F5A" w:rsidP="00D90F41">
            <w:pPr>
              <w:suppressAutoHyphens/>
              <w:rPr>
                <w:spacing w:val="-3"/>
              </w:rPr>
            </w:pPr>
            <w:r w:rsidRPr="00BC59ED">
              <w:t>Summary of DEF’s Proposed Solar Projects Cost-Effectiveness Analysis</w:t>
            </w:r>
          </w:p>
        </w:tc>
      </w:tr>
      <w:tr w:rsidR="000E4F5A" w:rsidRPr="00701945" w:rsidTr="004D74F1">
        <w:trPr>
          <w:cantSplit/>
          <w:trHeight w:val="288"/>
        </w:trPr>
        <w:tc>
          <w:tcPr>
            <w:tcW w:w="3198" w:type="dxa"/>
          </w:tcPr>
          <w:p w:rsidR="000E4F5A" w:rsidRPr="00701945" w:rsidRDefault="000E4F5A" w:rsidP="00D90F41">
            <w:r>
              <w:t>Jonathan Ly</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JL-2</w:t>
            </w:r>
          </w:p>
        </w:tc>
        <w:tc>
          <w:tcPr>
            <w:tcW w:w="3505" w:type="dxa"/>
          </w:tcPr>
          <w:p w:rsidR="000E4F5A" w:rsidRPr="00BC59ED" w:rsidRDefault="000E4F5A" w:rsidP="00D90F41">
            <w:pPr>
              <w:suppressAutoHyphens/>
              <w:rPr>
                <w:spacing w:val="-3"/>
              </w:rPr>
            </w:pPr>
            <w:r w:rsidRPr="00BC59ED">
              <w:t>Comparison of Natural Gas Forecasts</w:t>
            </w:r>
          </w:p>
        </w:tc>
      </w:tr>
      <w:tr w:rsidR="000E4F5A" w:rsidRPr="00701945" w:rsidTr="004D74F1">
        <w:trPr>
          <w:cantSplit/>
          <w:trHeight w:val="288"/>
        </w:trPr>
        <w:tc>
          <w:tcPr>
            <w:tcW w:w="3198" w:type="dxa"/>
          </w:tcPr>
          <w:p w:rsidR="000E4F5A" w:rsidRPr="00701945" w:rsidRDefault="000E4F5A" w:rsidP="00D90F41">
            <w:r>
              <w:lastRenderedPageBreak/>
              <w:t>Jonathan Ly</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JL-3</w:t>
            </w:r>
          </w:p>
        </w:tc>
        <w:tc>
          <w:tcPr>
            <w:tcW w:w="3505" w:type="dxa"/>
          </w:tcPr>
          <w:p w:rsidR="000E4F5A" w:rsidRPr="00BC59ED" w:rsidRDefault="000E4F5A" w:rsidP="00D90F41">
            <w:pPr>
              <w:suppressAutoHyphens/>
              <w:rPr>
                <w:spacing w:val="-3"/>
              </w:rPr>
            </w:pPr>
            <w:r w:rsidRPr="00BC59ED">
              <w:t>Comparison of EIA Reference Case Henry Hub Natural Gas Price Forecasts</w:t>
            </w:r>
          </w:p>
        </w:tc>
      </w:tr>
      <w:tr w:rsidR="000E4F5A" w:rsidRPr="00701945" w:rsidTr="004D74F1">
        <w:trPr>
          <w:cantSplit/>
          <w:trHeight w:val="288"/>
        </w:trPr>
        <w:tc>
          <w:tcPr>
            <w:tcW w:w="3198" w:type="dxa"/>
          </w:tcPr>
          <w:p w:rsidR="000E4F5A" w:rsidRPr="00701945" w:rsidRDefault="000E4F5A" w:rsidP="00D90F41">
            <w:r>
              <w:t>Jeff Pollock</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JP-1</w:t>
            </w:r>
          </w:p>
        </w:tc>
        <w:tc>
          <w:tcPr>
            <w:tcW w:w="3505" w:type="dxa"/>
          </w:tcPr>
          <w:p w:rsidR="000E4F5A" w:rsidRPr="004657C7" w:rsidRDefault="000E4F5A" w:rsidP="00D90F41">
            <w:pPr>
              <w:suppressAutoHyphens/>
              <w:rPr>
                <w:spacing w:val="-3"/>
              </w:rPr>
            </w:pPr>
            <w:r w:rsidRPr="004657C7">
              <w:rPr>
                <w:spacing w:val="-3"/>
              </w:rPr>
              <w:t>Authorized Return on Equity for Vertically Integrated Electric Utilities in Rate Cases Decided in 2023 and 2024</w:t>
            </w:r>
          </w:p>
        </w:tc>
      </w:tr>
      <w:tr w:rsidR="000E4F5A" w:rsidRPr="00701945" w:rsidTr="004D74F1">
        <w:trPr>
          <w:cantSplit/>
          <w:trHeight w:val="288"/>
        </w:trPr>
        <w:tc>
          <w:tcPr>
            <w:tcW w:w="3198" w:type="dxa"/>
          </w:tcPr>
          <w:p w:rsidR="000E4F5A" w:rsidRPr="00701945" w:rsidRDefault="000E4F5A" w:rsidP="00D90F41">
            <w:r>
              <w:t>Jeff Pollock</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JP-2</w:t>
            </w:r>
          </w:p>
        </w:tc>
        <w:tc>
          <w:tcPr>
            <w:tcW w:w="3505" w:type="dxa"/>
          </w:tcPr>
          <w:p w:rsidR="000E4F5A" w:rsidRPr="004657C7" w:rsidRDefault="000E4F5A" w:rsidP="00D90F41">
            <w:pPr>
              <w:suppressAutoHyphens/>
              <w:rPr>
                <w:spacing w:val="-3"/>
              </w:rPr>
            </w:pPr>
            <w:r w:rsidRPr="004657C7">
              <w:rPr>
                <w:spacing w:val="-3"/>
              </w:rPr>
              <w:t>Monthly System Peaks as a Percent of the Annual System Peak</w:t>
            </w:r>
          </w:p>
        </w:tc>
      </w:tr>
      <w:tr w:rsidR="000E4F5A" w:rsidRPr="00701945" w:rsidTr="004D74F1">
        <w:trPr>
          <w:cantSplit/>
          <w:trHeight w:val="288"/>
        </w:trPr>
        <w:tc>
          <w:tcPr>
            <w:tcW w:w="3198" w:type="dxa"/>
          </w:tcPr>
          <w:p w:rsidR="000E4F5A" w:rsidRPr="00701945" w:rsidRDefault="000E4F5A" w:rsidP="00D90F41">
            <w:r>
              <w:t>Jeff Pollock</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JP-3</w:t>
            </w:r>
          </w:p>
        </w:tc>
        <w:tc>
          <w:tcPr>
            <w:tcW w:w="3505" w:type="dxa"/>
          </w:tcPr>
          <w:p w:rsidR="000E4F5A" w:rsidRPr="0048148E" w:rsidRDefault="000E4F5A" w:rsidP="00D90F41">
            <w:pPr>
              <w:suppressAutoHyphens/>
              <w:rPr>
                <w:rFonts w:cs="Arial"/>
                <w:spacing w:val="-3"/>
              </w:rPr>
            </w:pPr>
            <w:r w:rsidRPr="004657C7">
              <w:rPr>
                <w:rFonts w:cs="Arial"/>
                <w:spacing w:val="-3"/>
              </w:rPr>
              <w:t>Derivation of 4CP and Energy Allocation Factors</w:t>
            </w:r>
          </w:p>
        </w:tc>
      </w:tr>
      <w:tr w:rsidR="000E4F5A" w:rsidRPr="00701945" w:rsidTr="004D74F1">
        <w:trPr>
          <w:cantSplit/>
          <w:trHeight w:val="288"/>
        </w:trPr>
        <w:tc>
          <w:tcPr>
            <w:tcW w:w="3198" w:type="dxa"/>
          </w:tcPr>
          <w:p w:rsidR="000E4F5A" w:rsidRPr="00701945" w:rsidRDefault="000E4F5A" w:rsidP="00D90F41">
            <w:r>
              <w:t>Jeff Pollock</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JP-4</w:t>
            </w:r>
          </w:p>
        </w:tc>
        <w:tc>
          <w:tcPr>
            <w:tcW w:w="3505" w:type="dxa"/>
          </w:tcPr>
          <w:p w:rsidR="000E4F5A" w:rsidRPr="0048148E" w:rsidRDefault="000E4F5A" w:rsidP="00D90F41">
            <w:pPr>
              <w:suppressAutoHyphens/>
              <w:rPr>
                <w:rFonts w:cs="Arial"/>
                <w:spacing w:val="-3"/>
              </w:rPr>
            </w:pPr>
            <w:r w:rsidRPr="004657C7">
              <w:rPr>
                <w:rFonts w:cs="Arial"/>
                <w:spacing w:val="-3"/>
              </w:rPr>
              <w:t>FIPUG’s Revised Class Cost-of-Service Study</w:t>
            </w:r>
          </w:p>
        </w:tc>
      </w:tr>
      <w:tr w:rsidR="000E4F5A" w:rsidRPr="00701945" w:rsidTr="004D74F1">
        <w:trPr>
          <w:cantSplit/>
          <w:trHeight w:val="288"/>
        </w:trPr>
        <w:tc>
          <w:tcPr>
            <w:tcW w:w="3198" w:type="dxa"/>
          </w:tcPr>
          <w:p w:rsidR="000E4F5A" w:rsidRPr="00701945" w:rsidRDefault="000E4F5A" w:rsidP="00D90F41">
            <w:r>
              <w:t>Jeff Pollock</w:t>
            </w:r>
          </w:p>
        </w:tc>
        <w:tc>
          <w:tcPr>
            <w:tcW w:w="1512" w:type="dxa"/>
          </w:tcPr>
          <w:p w:rsidR="000E4F5A" w:rsidRPr="00701945" w:rsidRDefault="000E4F5A" w:rsidP="00813D49">
            <w:pPr>
              <w:jc w:val="center"/>
            </w:pPr>
            <w:r>
              <w:t>FIPUG</w:t>
            </w:r>
          </w:p>
        </w:tc>
        <w:tc>
          <w:tcPr>
            <w:tcW w:w="1350" w:type="dxa"/>
          </w:tcPr>
          <w:p w:rsidR="000E4F5A" w:rsidRPr="004515FB" w:rsidRDefault="000E4F5A" w:rsidP="00813D49">
            <w:pPr>
              <w:jc w:val="center"/>
            </w:pPr>
            <w:r>
              <w:t>JP-5</w:t>
            </w:r>
          </w:p>
        </w:tc>
        <w:tc>
          <w:tcPr>
            <w:tcW w:w="3505" w:type="dxa"/>
          </w:tcPr>
          <w:p w:rsidR="000E4F5A" w:rsidRPr="0048148E" w:rsidRDefault="000E4F5A" w:rsidP="00D90F41">
            <w:pPr>
              <w:suppressAutoHyphens/>
              <w:rPr>
                <w:rFonts w:cs="Arial"/>
                <w:spacing w:val="-3"/>
              </w:rPr>
            </w:pPr>
            <w:r w:rsidRPr="004657C7">
              <w:rPr>
                <w:rFonts w:cs="Arial"/>
                <w:spacing w:val="-3"/>
              </w:rPr>
              <w:t>Class Revenue Allocation Based on FIPUG’s Revised Class Cost-of-Service Study</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SWC-1</w:t>
            </w:r>
          </w:p>
        </w:tc>
        <w:tc>
          <w:tcPr>
            <w:tcW w:w="3505" w:type="dxa"/>
          </w:tcPr>
          <w:p w:rsidR="00AF3C82" w:rsidRPr="0048148E" w:rsidRDefault="00AF3C82" w:rsidP="00D90F41">
            <w:pPr>
              <w:suppressAutoHyphens/>
              <w:rPr>
                <w:rFonts w:cs="Arial"/>
                <w:spacing w:val="-3"/>
              </w:rPr>
            </w:pPr>
            <w:r>
              <w:rPr>
                <w:color w:val="313131"/>
                <w:sz w:val="23"/>
                <w:szCs w:val="23"/>
              </w:rPr>
              <w:t>Witness Qualifications Statement</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SWC-2</w:t>
            </w:r>
          </w:p>
        </w:tc>
        <w:tc>
          <w:tcPr>
            <w:tcW w:w="3505" w:type="dxa"/>
          </w:tcPr>
          <w:p w:rsidR="00AF3C82" w:rsidRPr="0048148E" w:rsidRDefault="00AF3C82" w:rsidP="00D90F41">
            <w:pPr>
              <w:autoSpaceDE w:val="0"/>
              <w:autoSpaceDN w:val="0"/>
              <w:adjustRightInd w:val="0"/>
              <w:rPr>
                <w:rFonts w:cs="Arial"/>
                <w:spacing w:val="-3"/>
              </w:rPr>
            </w:pPr>
            <w:r>
              <w:rPr>
                <w:color w:val="313131"/>
                <w:sz w:val="23"/>
                <w:szCs w:val="23"/>
              </w:rPr>
              <w:t>Impact of</w:t>
            </w:r>
            <w:r w:rsidR="00A72240">
              <w:rPr>
                <w:color w:val="313131"/>
                <w:sz w:val="23"/>
                <w:szCs w:val="23"/>
              </w:rPr>
              <w:t xml:space="preserve"> </w:t>
            </w:r>
            <w:r>
              <w:rPr>
                <w:color w:val="313131"/>
                <w:sz w:val="23"/>
                <w:szCs w:val="23"/>
              </w:rPr>
              <w:t>DEF's Proposed Increase in Return on Equity ($000) vs. Originally Approved, PTY 2025</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SWC-3</w:t>
            </w:r>
          </w:p>
        </w:tc>
        <w:tc>
          <w:tcPr>
            <w:tcW w:w="3505" w:type="dxa"/>
          </w:tcPr>
          <w:p w:rsidR="00AF3C82" w:rsidRPr="0048148E" w:rsidRDefault="00AF3C82" w:rsidP="00D90F41">
            <w:pPr>
              <w:autoSpaceDE w:val="0"/>
              <w:autoSpaceDN w:val="0"/>
              <w:adjustRightInd w:val="0"/>
              <w:rPr>
                <w:rFonts w:cs="Arial"/>
                <w:spacing w:val="-3"/>
              </w:rPr>
            </w:pPr>
            <w:r>
              <w:rPr>
                <w:color w:val="313131"/>
                <w:sz w:val="23"/>
                <w:szCs w:val="23"/>
              </w:rPr>
              <w:t>Impact of</w:t>
            </w:r>
            <w:r w:rsidR="00A72240">
              <w:rPr>
                <w:color w:val="313131"/>
                <w:sz w:val="23"/>
                <w:szCs w:val="23"/>
              </w:rPr>
              <w:t xml:space="preserve"> </w:t>
            </w:r>
            <w:r>
              <w:rPr>
                <w:color w:val="313131"/>
                <w:sz w:val="23"/>
                <w:szCs w:val="23"/>
              </w:rPr>
              <w:t>DEF's Proposed Increase in Return on Equity ($000) vs. Originally Approved, PTY 2026</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SWC-4</w:t>
            </w:r>
          </w:p>
        </w:tc>
        <w:tc>
          <w:tcPr>
            <w:tcW w:w="3505" w:type="dxa"/>
          </w:tcPr>
          <w:p w:rsidR="00AF3C82" w:rsidRPr="0048148E" w:rsidRDefault="00AF3C82" w:rsidP="00D90F41">
            <w:pPr>
              <w:autoSpaceDE w:val="0"/>
              <w:autoSpaceDN w:val="0"/>
              <w:adjustRightInd w:val="0"/>
              <w:rPr>
                <w:rFonts w:cs="Arial"/>
                <w:spacing w:val="-3"/>
              </w:rPr>
            </w:pPr>
            <w:r>
              <w:rPr>
                <w:color w:val="313131"/>
                <w:sz w:val="23"/>
                <w:szCs w:val="23"/>
              </w:rPr>
              <w:t>Impact of</w:t>
            </w:r>
            <w:r w:rsidR="00A72240">
              <w:rPr>
                <w:color w:val="313131"/>
                <w:sz w:val="23"/>
                <w:szCs w:val="23"/>
              </w:rPr>
              <w:t xml:space="preserve"> </w:t>
            </w:r>
            <w:r>
              <w:rPr>
                <w:color w:val="313131"/>
                <w:sz w:val="23"/>
                <w:szCs w:val="23"/>
              </w:rPr>
              <w:t>DEF's Proposed Increase in Return on Equity ($000) vs. Originally Approved, PTY 2027</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SWC-5</w:t>
            </w:r>
          </w:p>
        </w:tc>
        <w:tc>
          <w:tcPr>
            <w:tcW w:w="3505" w:type="dxa"/>
          </w:tcPr>
          <w:p w:rsidR="00AF3C82" w:rsidRPr="0048148E" w:rsidRDefault="00AF3C82" w:rsidP="00D90F41">
            <w:pPr>
              <w:autoSpaceDE w:val="0"/>
              <w:autoSpaceDN w:val="0"/>
              <w:adjustRightInd w:val="0"/>
              <w:rPr>
                <w:rFonts w:cs="Arial"/>
                <w:spacing w:val="-3"/>
              </w:rPr>
            </w:pPr>
            <w:r>
              <w:rPr>
                <w:color w:val="313131"/>
                <w:sz w:val="23"/>
                <w:szCs w:val="23"/>
              </w:rPr>
              <w:t>Impact of DEF's Proposed Increase in Return on Equity ($000) vs. ROE Trigger, PTY 2025</w:t>
            </w:r>
          </w:p>
        </w:tc>
      </w:tr>
      <w:tr w:rsidR="00AF3C82" w:rsidRPr="00701945" w:rsidTr="004D74F1">
        <w:trPr>
          <w:cantSplit/>
          <w:trHeight w:val="288"/>
        </w:trPr>
        <w:tc>
          <w:tcPr>
            <w:tcW w:w="3198" w:type="dxa"/>
          </w:tcPr>
          <w:p w:rsidR="00AF3C82" w:rsidRPr="00701945" w:rsidRDefault="00AF3C82" w:rsidP="00D90F41">
            <w:r>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SWC-6</w:t>
            </w:r>
          </w:p>
        </w:tc>
        <w:tc>
          <w:tcPr>
            <w:tcW w:w="3505" w:type="dxa"/>
          </w:tcPr>
          <w:p w:rsidR="00AF3C82" w:rsidRPr="0048148E" w:rsidRDefault="00AF3C82" w:rsidP="00D90F41">
            <w:pPr>
              <w:autoSpaceDE w:val="0"/>
              <w:autoSpaceDN w:val="0"/>
              <w:adjustRightInd w:val="0"/>
              <w:rPr>
                <w:rFonts w:cs="Arial"/>
                <w:spacing w:val="-3"/>
              </w:rPr>
            </w:pPr>
            <w:r>
              <w:rPr>
                <w:color w:val="313131"/>
                <w:sz w:val="23"/>
                <w:szCs w:val="23"/>
              </w:rPr>
              <w:t>Reported Authorized Returns on Equity, Electric Utility Rate Cases Completed, 2021 to Present</w:t>
            </w:r>
          </w:p>
        </w:tc>
      </w:tr>
      <w:tr w:rsidR="00AF3C82" w:rsidRPr="00701945" w:rsidTr="004D74F1">
        <w:trPr>
          <w:cantSplit/>
          <w:trHeight w:val="288"/>
        </w:trPr>
        <w:tc>
          <w:tcPr>
            <w:tcW w:w="3198" w:type="dxa"/>
          </w:tcPr>
          <w:p w:rsidR="00AF3C82" w:rsidRPr="00701945" w:rsidRDefault="00AF3C82" w:rsidP="00D90F41">
            <w:r>
              <w:lastRenderedPageBreak/>
              <w:t>Steve W. Chriss</w:t>
            </w:r>
          </w:p>
        </w:tc>
        <w:tc>
          <w:tcPr>
            <w:tcW w:w="1512" w:type="dxa"/>
          </w:tcPr>
          <w:p w:rsidR="00AF3C82" w:rsidRPr="00701945" w:rsidRDefault="00AF3C82" w:rsidP="00813D49">
            <w:pPr>
              <w:jc w:val="center"/>
            </w:pPr>
            <w:r>
              <w:t>FRF</w:t>
            </w:r>
          </w:p>
        </w:tc>
        <w:tc>
          <w:tcPr>
            <w:tcW w:w="1350" w:type="dxa"/>
          </w:tcPr>
          <w:p w:rsidR="00AF3C82" w:rsidRPr="004515FB" w:rsidRDefault="00AF3C82" w:rsidP="00813D49">
            <w:pPr>
              <w:jc w:val="center"/>
            </w:pPr>
            <w:r>
              <w:t>SWC-7</w:t>
            </w:r>
          </w:p>
        </w:tc>
        <w:tc>
          <w:tcPr>
            <w:tcW w:w="3505" w:type="dxa"/>
          </w:tcPr>
          <w:p w:rsidR="00AF3C82" w:rsidRPr="00D831F0" w:rsidRDefault="00AF3C82" w:rsidP="00D90F41">
            <w:pPr>
              <w:autoSpaceDE w:val="0"/>
              <w:autoSpaceDN w:val="0"/>
              <w:adjustRightInd w:val="0"/>
              <w:rPr>
                <w:rFonts w:cs="Arial"/>
                <w:spacing w:val="-3"/>
              </w:rPr>
            </w:pPr>
            <w:r w:rsidRPr="00D831F0">
              <w:rPr>
                <w:bCs/>
                <w:color w:val="383838"/>
              </w:rPr>
              <w:t>Impact of</w:t>
            </w:r>
            <w:r>
              <w:rPr>
                <w:bCs/>
                <w:color w:val="383838"/>
              </w:rPr>
              <w:t xml:space="preserve"> </w:t>
            </w:r>
            <w:r w:rsidRPr="00D831F0">
              <w:rPr>
                <w:bCs/>
                <w:color w:val="383838"/>
              </w:rPr>
              <w:t xml:space="preserve">DEF's Proposed Increase </w:t>
            </w:r>
            <w:r w:rsidRPr="00D831F0">
              <w:rPr>
                <w:color w:val="383838"/>
              </w:rPr>
              <w:t xml:space="preserve">in </w:t>
            </w:r>
            <w:r w:rsidRPr="00D831F0">
              <w:rPr>
                <w:bCs/>
                <w:color w:val="383838"/>
              </w:rPr>
              <w:t>Return on Equity ($000) vs. 2024 National Average, Vertically Integrated</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MM-1</w:t>
            </w:r>
          </w:p>
        </w:tc>
        <w:tc>
          <w:tcPr>
            <w:tcW w:w="3505" w:type="dxa"/>
          </w:tcPr>
          <w:p w:rsidR="00AF3C82" w:rsidRPr="0048148E" w:rsidRDefault="00AF3C82" w:rsidP="00D90F41">
            <w:pPr>
              <w:suppressAutoHyphens/>
              <w:rPr>
                <w:rFonts w:cs="Arial"/>
                <w:spacing w:val="-3"/>
              </w:rPr>
            </w:pPr>
            <w:r w:rsidRPr="003822C1">
              <w:rPr>
                <w:rFonts w:cs="Arial"/>
                <w:spacing w:val="-3"/>
              </w:rPr>
              <w:t>2023 Utility Average Monthly Bill - Residential</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MM-2</w:t>
            </w:r>
          </w:p>
        </w:tc>
        <w:tc>
          <w:tcPr>
            <w:tcW w:w="3505" w:type="dxa"/>
          </w:tcPr>
          <w:p w:rsidR="00AF3C82" w:rsidRPr="003822C1" w:rsidRDefault="00AF3C82" w:rsidP="00D90F41">
            <w:pPr>
              <w:suppressAutoHyphens/>
              <w:rPr>
                <w:rFonts w:cs="Arial"/>
                <w:spacing w:val="-3"/>
              </w:rPr>
            </w:pPr>
            <w:r w:rsidRPr="003822C1">
              <w:rPr>
                <w:rFonts w:ascii="TimesNewRoman" w:hAnsi="TimesNewRoman" w:cs="TimesNewRoman"/>
              </w:rPr>
              <w:t>DEF DSM Annual Report (2023)</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MM-3</w:t>
            </w:r>
          </w:p>
        </w:tc>
        <w:tc>
          <w:tcPr>
            <w:tcW w:w="3505" w:type="dxa"/>
          </w:tcPr>
          <w:p w:rsidR="00AF3C82" w:rsidRPr="0048148E" w:rsidRDefault="00AF3C82" w:rsidP="00D90F41">
            <w:pPr>
              <w:suppressAutoHyphens/>
              <w:rPr>
                <w:rFonts w:cs="Arial"/>
                <w:spacing w:val="-3"/>
              </w:rPr>
            </w:pPr>
            <w:r w:rsidRPr="003822C1">
              <w:rPr>
                <w:rFonts w:cs="Arial"/>
                <w:spacing w:val="-3"/>
              </w:rPr>
              <w:t>SACE Energy Efficiency in the Southeast 5th Report (2023)</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MM-4</w:t>
            </w:r>
          </w:p>
        </w:tc>
        <w:tc>
          <w:tcPr>
            <w:tcW w:w="3505" w:type="dxa"/>
          </w:tcPr>
          <w:p w:rsidR="00AF3C82" w:rsidRPr="0048148E" w:rsidRDefault="00AF3C82" w:rsidP="00D90F41">
            <w:pPr>
              <w:suppressAutoHyphens/>
              <w:rPr>
                <w:rFonts w:cs="Arial"/>
                <w:spacing w:val="-3"/>
              </w:rPr>
            </w:pPr>
            <w:r w:rsidRPr="003822C1">
              <w:rPr>
                <w:rFonts w:cs="Arial"/>
                <w:spacing w:val="-3"/>
              </w:rPr>
              <w:t>Utility Energy Efficiency Performance</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MM-5</w:t>
            </w:r>
          </w:p>
        </w:tc>
        <w:tc>
          <w:tcPr>
            <w:tcW w:w="3505" w:type="dxa"/>
          </w:tcPr>
          <w:p w:rsidR="00AF3C82" w:rsidRPr="0048148E" w:rsidRDefault="00AF3C82" w:rsidP="00D90F41">
            <w:pPr>
              <w:suppressAutoHyphens/>
              <w:rPr>
                <w:rFonts w:cs="Arial"/>
                <w:spacing w:val="-3"/>
              </w:rPr>
            </w:pPr>
            <w:r w:rsidRPr="003822C1">
              <w:rPr>
                <w:rFonts w:cs="Arial"/>
                <w:spacing w:val="-3"/>
              </w:rPr>
              <w:t>Duke Spending on Industrial and Commercial Customers</w:t>
            </w:r>
          </w:p>
        </w:tc>
      </w:tr>
      <w:tr w:rsidR="00AF3C82" w:rsidRPr="00701945" w:rsidTr="004D74F1">
        <w:trPr>
          <w:cantSplit/>
          <w:trHeight w:val="288"/>
        </w:trPr>
        <w:tc>
          <w:tcPr>
            <w:tcW w:w="3198" w:type="dxa"/>
          </w:tcPr>
          <w:p w:rsidR="00AF3C82" w:rsidRPr="00701945" w:rsidRDefault="00AF3C82" w:rsidP="00D90F41">
            <w:r>
              <w:t>MacKenzie Marcelin</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MM-6</w:t>
            </w:r>
          </w:p>
        </w:tc>
        <w:tc>
          <w:tcPr>
            <w:tcW w:w="3505" w:type="dxa"/>
          </w:tcPr>
          <w:p w:rsidR="00AF3C82" w:rsidRPr="0048148E" w:rsidRDefault="00AF3C82" w:rsidP="00D90F41">
            <w:pPr>
              <w:suppressAutoHyphens/>
              <w:rPr>
                <w:rFonts w:cs="Arial"/>
                <w:spacing w:val="-3"/>
              </w:rPr>
            </w:pPr>
            <w:r w:rsidRPr="003822C1">
              <w:rPr>
                <w:rFonts w:cs="Arial"/>
                <w:spacing w:val="-3"/>
              </w:rPr>
              <w:t>Duke Response to FLL's 1st Interrogatories</w:t>
            </w:r>
          </w:p>
        </w:tc>
      </w:tr>
      <w:tr w:rsidR="00AF3C82" w:rsidRPr="00701945" w:rsidTr="004D74F1">
        <w:trPr>
          <w:cantSplit/>
          <w:trHeight w:val="288"/>
        </w:trPr>
        <w:tc>
          <w:tcPr>
            <w:tcW w:w="3198" w:type="dxa"/>
          </w:tcPr>
          <w:p w:rsidR="00AF3C82" w:rsidRPr="00701945" w:rsidRDefault="00AF3C82" w:rsidP="00D90F41">
            <w:r>
              <w:t>Karl R. Rabago</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KRR-1</w:t>
            </w:r>
          </w:p>
        </w:tc>
        <w:tc>
          <w:tcPr>
            <w:tcW w:w="3505" w:type="dxa"/>
          </w:tcPr>
          <w:p w:rsidR="00AF3C82" w:rsidRPr="0048148E" w:rsidRDefault="00AF3C82" w:rsidP="00D90F41">
            <w:pPr>
              <w:suppressAutoHyphens/>
              <w:rPr>
                <w:rFonts w:cs="Arial"/>
                <w:spacing w:val="-3"/>
              </w:rPr>
            </w:pPr>
            <w:r>
              <w:rPr>
                <w:rFonts w:cs="Arial"/>
                <w:spacing w:val="-3"/>
              </w:rPr>
              <w:t>Resume</w:t>
            </w:r>
          </w:p>
        </w:tc>
      </w:tr>
      <w:tr w:rsidR="00AF3C82" w:rsidRPr="00701945" w:rsidTr="004D74F1">
        <w:trPr>
          <w:cantSplit/>
          <w:trHeight w:val="288"/>
        </w:trPr>
        <w:tc>
          <w:tcPr>
            <w:tcW w:w="3198" w:type="dxa"/>
          </w:tcPr>
          <w:p w:rsidR="00AF3C82" w:rsidRPr="00701945" w:rsidRDefault="00AF3C82" w:rsidP="00D90F41">
            <w:r>
              <w:t>Karl R. Rabago</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KRR-2</w:t>
            </w:r>
          </w:p>
        </w:tc>
        <w:tc>
          <w:tcPr>
            <w:tcW w:w="3505" w:type="dxa"/>
          </w:tcPr>
          <w:p w:rsidR="00AF3C82" w:rsidRPr="0048148E" w:rsidRDefault="00AF3C82" w:rsidP="00D90F41">
            <w:pPr>
              <w:suppressAutoHyphens/>
              <w:rPr>
                <w:rFonts w:cs="Arial"/>
                <w:spacing w:val="-3"/>
              </w:rPr>
            </w:pPr>
            <w:r w:rsidRPr="00EA663C">
              <w:rPr>
                <w:rFonts w:cs="Arial"/>
                <w:spacing w:val="-3"/>
              </w:rPr>
              <w:t>List of Prior Testimony</w:t>
            </w:r>
          </w:p>
        </w:tc>
      </w:tr>
      <w:tr w:rsidR="00AF3C82" w:rsidRPr="00701945" w:rsidTr="004D74F1">
        <w:trPr>
          <w:cantSplit/>
          <w:trHeight w:val="288"/>
        </w:trPr>
        <w:tc>
          <w:tcPr>
            <w:tcW w:w="3198" w:type="dxa"/>
          </w:tcPr>
          <w:p w:rsidR="00AF3C82" w:rsidRPr="00701945" w:rsidRDefault="00AF3C82" w:rsidP="00D90F41">
            <w:r>
              <w:t>Karl R. Rabago</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KRR-3</w:t>
            </w:r>
          </w:p>
        </w:tc>
        <w:tc>
          <w:tcPr>
            <w:tcW w:w="3505" w:type="dxa"/>
          </w:tcPr>
          <w:p w:rsidR="00AF3C82" w:rsidRPr="0048148E" w:rsidRDefault="00AF3C82" w:rsidP="00D90F41">
            <w:pPr>
              <w:suppressAutoHyphens/>
              <w:rPr>
                <w:rFonts w:cs="Arial"/>
                <w:spacing w:val="-3"/>
              </w:rPr>
            </w:pPr>
            <w:r w:rsidRPr="00EA663C">
              <w:rPr>
                <w:rFonts w:cs="Arial"/>
                <w:spacing w:val="-3"/>
              </w:rPr>
              <w:t>12 CP and 50 AD Cost of Service Study with 9.5 ROE</w:t>
            </w:r>
          </w:p>
        </w:tc>
      </w:tr>
      <w:tr w:rsidR="00AF3C82" w:rsidRPr="00701945" w:rsidTr="004D74F1">
        <w:trPr>
          <w:cantSplit/>
          <w:trHeight w:val="288"/>
        </w:trPr>
        <w:tc>
          <w:tcPr>
            <w:tcW w:w="3198" w:type="dxa"/>
          </w:tcPr>
          <w:p w:rsidR="00AF3C82" w:rsidRPr="00701945" w:rsidRDefault="00AF3C82" w:rsidP="00D90F41">
            <w:r>
              <w:t>Karl R. Rabago</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KRR-4</w:t>
            </w:r>
          </w:p>
        </w:tc>
        <w:tc>
          <w:tcPr>
            <w:tcW w:w="3505" w:type="dxa"/>
            <w:tcBorders>
              <w:bottom w:val="single" w:sz="4" w:space="0" w:color="auto"/>
            </w:tcBorders>
          </w:tcPr>
          <w:p w:rsidR="00AF3C82" w:rsidRPr="0048148E" w:rsidRDefault="00AF3C82" w:rsidP="00D90F41">
            <w:pPr>
              <w:suppressAutoHyphens/>
              <w:rPr>
                <w:rFonts w:cs="Arial"/>
                <w:spacing w:val="-3"/>
              </w:rPr>
            </w:pPr>
            <w:r w:rsidRPr="00EA663C">
              <w:rPr>
                <w:rFonts w:cs="Arial"/>
                <w:spacing w:val="-3"/>
              </w:rPr>
              <w:t>DEF's Response to Staff's 1st Interrogatories No. 1</w:t>
            </w:r>
          </w:p>
        </w:tc>
      </w:tr>
      <w:tr w:rsidR="00AF3C82" w:rsidRPr="00701945" w:rsidTr="004D74F1">
        <w:trPr>
          <w:cantSplit/>
          <w:trHeight w:val="288"/>
        </w:trPr>
        <w:tc>
          <w:tcPr>
            <w:tcW w:w="3198" w:type="dxa"/>
          </w:tcPr>
          <w:p w:rsidR="00AF3C82" w:rsidRPr="00701945" w:rsidRDefault="00AF3C82" w:rsidP="00D90F41">
            <w:r>
              <w:t>Karl R. Rabago</w:t>
            </w:r>
          </w:p>
        </w:tc>
        <w:tc>
          <w:tcPr>
            <w:tcW w:w="1512" w:type="dxa"/>
          </w:tcPr>
          <w:p w:rsidR="00AF3C82" w:rsidRDefault="00AF3C82" w:rsidP="00813D49">
            <w:pPr>
              <w:jc w:val="center"/>
            </w:pPr>
            <w:r>
              <w:t>FL Rising/</w:t>
            </w:r>
          </w:p>
          <w:p w:rsidR="00AF3C82" w:rsidRPr="00701945" w:rsidRDefault="00AF3C82" w:rsidP="00813D49">
            <w:pPr>
              <w:jc w:val="center"/>
            </w:pPr>
            <w:r>
              <w:t>LULAC</w:t>
            </w:r>
          </w:p>
        </w:tc>
        <w:tc>
          <w:tcPr>
            <w:tcW w:w="1350" w:type="dxa"/>
          </w:tcPr>
          <w:p w:rsidR="00AF3C82" w:rsidRPr="004515FB" w:rsidRDefault="00AF3C82" w:rsidP="00813D49">
            <w:pPr>
              <w:jc w:val="center"/>
            </w:pPr>
            <w:r>
              <w:t>KRR-5</w:t>
            </w:r>
          </w:p>
        </w:tc>
        <w:tc>
          <w:tcPr>
            <w:tcW w:w="3505" w:type="dxa"/>
            <w:tcBorders>
              <w:bottom w:val="single" w:sz="4" w:space="0" w:color="auto"/>
            </w:tcBorders>
          </w:tcPr>
          <w:p w:rsidR="00AF3C82" w:rsidRPr="0048148E" w:rsidRDefault="00AF3C82" w:rsidP="00D90F41">
            <w:pPr>
              <w:suppressAutoHyphens/>
              <w:rPr>
                <w:rFonts w:cs="Arial"/>
                <w:spacing w:val="-3"/>
              </w:rPr>
            </w:pPr>
            <w:r w:rsidRPr="00EA663C">
              <w:rPr>
                <w:rFonts w:cs="Arial"/>
                <w:spacing w:val="-3"/>
              </w:rPr>
              <w:t>Duke Spending on Industrial and Commercial Customers</w:t>
            </w:r>
          </w:p>
        </w:tc>
      </w:tr>
      <w:tr w:rsidR="00AF3C82" w:rsidRPr="00701945" w:rsidTr="004D74F1">
        <w:trPr>
          <w:cantSplit/>
          <w:trHeight w:val="288"/>
        </w:trPr>
        <w:tc>
          <w:tcPr>
            <w:tcW w:w="3198" w:type="dxa"/>
          </w:tcPr>
          <w:p w:rsidR="00AF3C82" w:rsidRPr="00701945" w:rsidRDefault="00AF3C82" w:rsidP="00D90F41">
            <w:r>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TMG-1</w:t>
            </w:r>
          </w:p>
        </w:tc>
        <w:tc>
          <w:tcPr>
            <w:tcW w:w="3505" w:type="dxa"/>
          </w:tcPr>
          <w:p w:rsidR="00AF3C82" w:rsidRPr="0048148E" w:rsidRDefault="00AF3C82" w:rsidP="00D90F41">
            <w:pPr>
              <w:suppressAutoHyphens/>
              <w:rPr>
                <w:rFonts w:cs="Arial"/>
                <w:spacing w:val="-3"/>
              </w:rPr>
            </w:pPr>
            <w:r>
              <w:rPr>
                <w:rFonts w:ascii="TimesNewRomanPSMT" w:hAnsi="TimesNewRomanPSMT" w:cs="TimesNewRomanPSMT"/>
              </w:rPr>
              <w:t>Resume and Record of Testimony of Tony Georgis</w:t>
            </w:r>
          </w:p>
        </w:tc>
      </w:tr>
      <w:tr w:rsidR="00AF3C82" w:rsidRPr="00701945" w:rsidTr="004D74F1">
        <w:trPr>
          <w:cantSplit/>
          <w:trHeight w:val="288"/>
        </w:trPr>
        <w:tc>
          <w:tcPr>
            <w:tcW w:w="3198" w:type="dxa"/>
          </w:tcPr>
          <w:p w:rsidR="00AF3C82" w:rsidRPr="00701945" w:rsidRDefault="00AF3C82" w:rsidP="00D90F41">
            <w:r>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TMG-2</w:t>
            </w:r>
          </w:p>
        </w:tc>
        <w:tc>
          <w:tcPr>
            <w:tcW w:w="3505" w:type="dxa"/>
          </w:tcPr>
          <w:p w:rsidR="00AF3C82" w:rsidRPr="0048148E" w:rsidRDefault="00AF3C82" w:rsidP="00D90F41">
            <w:pPr>
              <w:suppressAutoHyphens/>
              <w:rPr>
                <w:rFonts w:cs="Arial"/>
                <w:spacing w:val="-3"/>
              </w:rPr>
            </w:pPr>
            <w:r w:rsidRPr="00A9560D">
              <w:rPr>
                <w:rFonts w:cs="Arial"/>
                <w:spacing w:val="-3"/>
              </w:rPr>
              <w:t>Embedded Cost Value for CS and IS Capacity</w:t>
            </w:r>
          </w:p>
        </w:tc>
      </w:tr>
      <w:tr w:rsidR="00AF3C82" w:rsidRPr="00701945" w:rsidTr="004D74F1">
        <w:trPr>
          <w:cantSplit/>
          <w:trHeight w:val="288"/>
        </w:trPr>
        <w:tc>
          <w:tcPr>
            <w:tcW w:w="3198" w:type="dxa"/>
          </w:tcPr>
          <w:p w:rsidR="00AF3C82" w:rsidRPr="00701945" w:rsidRDefault="00AF3C82" w:rsidP="00D90F41">
            <w:r>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TMG-3</w:t>
            </w:r>
          </w:p>
        </w:tc>
        <w:tc>
          <w:tcPr>
            <w:tcW w:w="3505" w:type="dxa"/>
          </w:tcPr>
          <w:p w:rsidR="00AF3C82" w:rsidRPr="0048148E" w:rsidRDefault="00AF3C82" w:rsidP="00D90F41">
            <w:pPr>
              <w:suppressAutoHyphens/>
              <w:rPr>
                <w:rFonts w:cs="Arial"/>
                <w:spacing w:val="-3"/>
              </w:rPr>
            </w:pPr>
            <w:r w:rsidRPr="00A9560D">
              <w:rPr>
                <w:rFonts w:cs="Arial"/>
                <w:spacing w:val="-3"/>
              </w:rPr>
              <w:t>Cost of Service Adjustments</w:t>
            </w:r>
          </w:p>
        </w:tc>
      </w:tr>
      <w:tr w:rsidR="00AF3C82" w:rsidRPr="00701945" w:rsidTr="004D74F1">
        <w:trPr>
          <w:cantSplit/>
          <w:trHeight w:val="288"/>
        </w:trPr>
        <w:tc>
          <w:tcPr>
            <w:tcW w:w="3198" w:type="dxa"/>
          </w:tcPr>
          <w:p w:rsidR="00AF3C82" w:rsidRPr="00701945" w:rsidRDefault="00AF3C82" w:rsidP="00D90F41">
            <w:r>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TMG-4</w:t>
            </w:r>
          </w:p>
        </w:tc>
        <w:tc>
          <w:tcPr>
            <w:tcW w:w="3505" w:type="dxa"/>
          </w:tcPr>
          <w:p w:rsidR="00AF3C82" w:rsidRPr="0048148E" w:rsidRDefault="00AF3C82" w:rsidP="00D90F41">
            <w:pPr>
              <w:suppressAutoHyphens/>
              <w:rPr>
                <w:rFonts w:cs="Arial"/>
                <w:spacing w:val="-3"/>
              </w:rPr>
            </w:pPr>
            <w:r w:rsidRPr="00A9560D">
              <w:rPr>
                <w:rFonts w:cs="Arial"/>
                <w:spacing w:val="-3"/>
              </w:rPr>
              <w:t>Total Installed Costs of Historical Generation Additions</w:t>
            </w:r>
          </w:p>
        </w:tc>
      </w:tr>
      <w:tr w:rsidR="00AF3C82" w:rsidRPr="00701945" w:rsidTr="004D74F1">
        <w:trPr>
          <w:cantSplit/>
          <w:trHeight w:val="288"/>
        </w:trPr>
        <w:tc>
          <w:tcPr>
            <w:tcW w:w="3198" w:type="dxa"/>
          </w:tcPr>
          <w:p w:rsidR="00AF3C82" w:rsidRPr="00701945" w:rsidRDefault="00AF3C82" w:rsidP="00D90F41">
            <w:r>
              <w:lastRenderedPageBreak/>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TMG-5</w:t>
            </w:r>
          </w:p>
        </w:tc>
        <w:tc>
          <w:tcPr>
            <w:tcW w:w="3505" w:type="dxa"/>
          </w:tcPr>
          <w:p w:rsidR="00AF3C82" w:rsidRPr="0048148E" w:rsidRDefault="00AF3C82" w:rsidP="00D90F41">
            <w:pPr>
              <w:suppressAutoHyphens/>
              <w:rPr>
                <w:rFonts w:cs="Arial"/>
                <w:spacing w:val="-3"/>
              </w:rPr>
            </w:pPr>
            <w:r w:rsidRPr="00A9560D">
              <w:rPr>
                <w:rFonts w:cs="Arial"/>
                <w:spacing w:val="-3"/>
              </w:rPr>
              <w:t>CS and IS Demand Credit Valuation</w:t>
            </w:r>
          </w:p>
        </w:tc>
      </w:tr>
      <w:tr w:rsidR="00AF3C82" w:rsidRPr="00701945" w:rsidTr="004D74F1">
        <w:trPr>
          <w:cantSplit/>
          <w:trHeight w:val="288"/>
        </w:trPr>
        <w:tc>
          <w:tcPr>
            <w:tcW w:w="3198" w:type="dxa"/>
          </w:tcPr>
          <w:p w:rsidR="00AF3C82" w:rsidRPr="00701945" w:rsidRDefault="00AF3C82" w:rsidP="00D90F41">
            <w:r>
              <w:t>Tony Georgis</w:t>
            </w:r>
          </w:p>
        </w:tc>
        <w:tc>
          <w:tcPr>
            <w:tcW w:w="1512" w:type="dxa"/>
          </w:tcPr>
          <w:p w:rsidR="00AF3C82" w:rsidRPr="00701945" w:rsidRDefault="00AF3C82" w:rsidP="00813D49">
            <w:pPr>
              <w:jc w:val="center"/>
            </w:pPr>
            <w:r>
              <w:t>Nucor/PCS Phosphate</w:t>
            </w:r>
          </w:p>
        </w:tc>
        <w:tc>
          <w:tcPr>
            <w:tcW w:w="1350" w:type="dxa"/>
          </w:tcPr>
          <w:p w:rsidR="00AF3C82" w:rsidRPr="004515FB" w:rsidRDefault="00AF3C82" w:rsidP="00813D49">
            <w:pPr>
              <w:jc w:val="center"/>
            </w:pPr>
            <w:r>
              <w:t>TMG-6</w:t>
            </w:r>
          </w:p>
        </w:tc>
        <w:tc>
          <w:tcPr>
            <w:tcW w:w="3505" w:type="dxa"/>
          </w:tcPr>
          <w:p w:rsidR="00AF3C82" w:rsidRPr="0048148E" w:rsidRDefault="00AF3C82" w:rsidP="00D90F41">
            <w:pPr>
              <w:suppressAutoHyphens/>
              <w:rPr>
                <w:rFonts w:cs="Arial"/>
                <w:spacing w:val="-3"/>
              </w:rPr>
            </w:pPr>
            <w:r w:rsidRPr="00A9560D">
              <w:rPr>
                <w:rFonts w:cs="Arial"/>
                <w:spacing w:val="-3"/>
              </w:rPr>
              <w:t>Duke Energy Florida, LLC’s 2024 Ten-Year Site Plan</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RA-1</w:t>
            </w:r>
          </w:p>
        </w:tc>
        <w:tc>
          <w:tcPr>
            <w:tcW w:w="3505" w:type="dxa"/>
          </w:tcPr>
          <w:p w:rsidR="00AF3C82" w:rsidRPr="0048148E" w:rsidRDefault="00AF3C82" w:rsidP="00D90F41">
            <w:pPr>
              <w:suppressAutoHyphens/>
              <w:rPr>
                <w:rFonts w:cs="Arial"/>
                <w:spacing w:val="-3"/>
              </w:rPr>
            </w:pPr>
            <w:r w:rsidRPr="00D86C65">
              <w:rPr>
                <w:rFonts w:cs="Arial"/>
                <w:spacing w:val="-3"/>
              </w:rPr>
              <w:t>Resume of Rose Anderson</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RA-2</w:t>
            </w:r>
          </w:p>
        </w:tc>
        <w:tc>
          <w:tcPr>
            <w:tcW w:w="3505" w:type="dxa"/>
          </w:tcPr>
          <w:p w:rsidR="00AF3C82" w:rsidRPr="0048148E" w:rsidRDefault="00AF3C82" w:rsidP="00D90F41">
            <w:pPr>
              <w:suppressAutoHyphens/>
              <w:rPr>
                <w:rFonts w:cs="Arial"/>
                <w:spacing w:val="-3"/>
              </w:rPr>
            </w:pPr>
            <w:r w:rsidRPr="00D86C65">
              <w:rPr>
                <w:rFonts w:cs="Arial"/>
                <w:spacing w:val="-3"/>
              </w:rPr>
              <w:t>Duke Energy Florida’s Public Responses to Sierra Club Interrogatories</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RA-3</w:t>
            </w:r>
          </w:p>
        </w:tc>
        <w:tc>
          <w:tcPr>
            <w:tcW w:w="3505" w:type="dxa"/>
          </w:tcPr>
          <w:p w:rsidR="00AF3C82" w:rsidRPr="0048148E" w:rsidRDefault="00AF3C82" w:rsidP="00D90F41">
            <w:pPr>
              <w:suppressAutoHyphens/>
              <w:rPr>
                <w:rFonts w:cs="Arial"/>
                <w:spacing w:val="-3"/>
              </w:rPr>
            </w:pPr>
            <w:r w:rsidRPr="00D86C65">
              <w:rPr>
                <w:rFonts w:cs="Arial"/>
                <w:spacing w:val="-3"/>
              </w:rPr>
              <w:t>Duke Energy Florida’s 2024 Ten-Year Site Plan</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RA-4</w:t>
            </w:r>
          </w:p>
        </w:tc>
        <w:tc>
          <w:tcPr>
            <w:tcW w:w="3505" w:type="dxa"/>
          </w:tcPr>
          <w:p w:rsidR="00AF3C82" w:rsidRPr="0048148E" w:rsidRDefault="00AF3C82" w:rsidP="00D90F41">
            <w:pPr>
              <w:suppressAutoHyphens/>
              <w:rPr>
                <w:rFonts w:cs="Arial"/>
                <w:spacing w:val="-3"/>
              </w:rPr>
            </w:pPr>
            <w:r w:rsidRPr="00D86C65">
              <w:rPr>
                <w:rFonts w:cs="Arial"/>
                <w:spacing w:val="-3"/>
              </w:rPr>
              <w:t>2020 Crystal River North Retirement Study</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RA-5</w:t>
            </w:r>
          </w:p>
        </w:tc>
        <w:tc>
          <w:tcPr>
            <w:tcW w:w="3505" w:type="dxa"/>
          </w:tcPr>
          <w:p w:rsidR="00AF3C82" w:rsidRPr="0048148E" w:rsidRDefault="00AF3C82" w:rsidP="00D90F41">
            <w:pPr>
              <w:suppressAutoHyphens/>
              <w:rPr>
                <w:rFonts w:cs="Arial"/>
                <w:spacing w:val="-3"/>
              </w:rPr>
            </w:pPr>
            <w:r>
              <w:rPr>
                <w:rFonts w:cs="Arial"/>
                <w:spacing w:val="-3"/>
              </w:rPr>
              <w:t>DEF</w:t>
            </w:r>
            <w:r w:rsidRPr="00D86C65">
              <w:rPr>
                <w:rFonts w:cs="Arial"/>
                <w:spacing w:val="-3"/>
              </w:rPr>
              <w:t>’s Response to OPC POD 1-7</w:t>
            </w:r>
            <w:r>
              <w:rPr>
                <w:rFonts w:cs="Arial"/>
                <w:spacing w:val="-3"/>
              </w:rPr>
              <w:t xml:space="preserve"> </w:t>
            </w:r>
            <w:r w:rsidRPr="00D86C65">
              <w:rPr>
                <w:rFonts w:cs="Arial"/>
                <w:spacing w:val="-3"/>
              </w:rPr>
              <w:t>attach. “B-13 CWIP – REDACTED.xlsx</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RA-6</w:t>
            </w:r>
          </w:p>
        </w:tc>
        <w:tc>
          <w:tcPr>
            <w:tcW w:w="3505" w:type="dxa"/>
          </w:tcPr>
          <w:p w:rsidR="00AF3C82" w:rsidRPr="0048148E" w:rsidRDefault="00AF3C82" w:rsidP="00D90F41">
            <w:pPr>
              <w:suppressAutoHyphens/>
              <w:rPr>
                <w:rFonts w:cs="Arial"/>
                <w:spacing w:val="-3"/>
              </w:rPr>
            </w:pPr>
            <w:r w:rsidRPr="00D86C65">
              <w:rPr>
                <w:rFonts w:cs="Arial"/>
                <w:spacing w:val="-3"/>
              </w:rPr>
              <w:t>Benjamin Borsch Deposition Transcript (Excerpted)</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RA-7</w:t>
            </w:r>
          </w:p>
        </w:tc>
        <w:tc>
          <w:tcPr>
            <w:tcW w:w="3505" w:type="dxa"/>
          </w:tcPr>
          <w:p w:rsidR="00AF3C82" w:rsidRPr="0048148E" w:rsidRDefault="00AF3C82" w:rsidP="00D90F41">
            <w:pPr>
              <w:suppressAutoHyphens/>
              <w:rPr>
                <w:rFonts w:cs="Arial"/>
                <w:spacing w:val="-3"/>
              </w:rPr>
            </w:pPr>
            <w:r w:rsidRPr="00D86C65">
              <w:rPr>
                <w:rFonts w:cs="Arial"/>
                <w:spacing w:val="-3"/>
              </w:rPr>
              <w:t>Reginald Anderson Deposition Transcript (Excerpted)</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RA-8</w:t>
            </w:r>
          </w:p>
        </w:tc>
        <w:tc>
          <w:tcPr>
            <w:tcW w:w="3505" w:type="dxa"/>
          </w:tcPr>
          <w:p w:rsidR="00AF3C82" w:rsidRPr="0048148E" w:rsidRDefault="00AF3C82" w:rsidP="00D90F41">
            <w:pPr>
              <w:suppressAutoHyphens/>
              <w:rPr>
                <w:rFonts w:cs="Arial"/>
                <w:spacing w:val="-3"/>
              </w:rPr>
            </w:pPr>
            <w:r w:rsidRPr="00D86C65">
              <w:rPr>
                <w:rFonts w:cs="Arial"/>
                <w:spacing w:val="-3"/>
              </w:rPr>
              <w:t>U.S. EPA, Final Carbon Pollution Standards to Reduce Greenhouse Gas</w:t>
            </w:r>
            <w:r>
              <w:rPr>
                <w:rFonts w:cs="Arial"/>
                <w:spacing w:val="-3"/>
              </w:rPr>
              <w:t xml:space="preserve"> </w:t>
            </w:r>
            <w:r w:rsidRPr="00D86C65">
              <w:rPr>
                <w:rFonts w:cs="Arial"/>
                <w:spacing w:val="-3"/>
              </w:rPr>
              <w:t>Emissions from Power Plants, Apr. 25, 2024</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RA-9</w:t>
            </w:r>
          </w:p>
        </w:tc>
        <w:tc>
          <w:tcPr>
            <w:tcW w:w="3505" w:type="dxa"/>
          </w:tcPr>
          <w:p w:rsidR="00AF3C82" w:rsidRPr="0048148E" w:rsidRDefault="00AF3C82" w:rsidP="00D90F41">
            <w:pPr>
              <w:suppressAutoHyphens/>
              <w:rPr>
                <w:rFonts w:cs="Arial"/>
                <w:spacing w:val="-3"/>
              </w:rPr>
            </w:pPr>
            <w:r w:rsidRPr="00D86C65">
              <w:rPr>
                <w:rFonts w:cs="Arial"/>
                <w:spacing w:val="-3"/>
              </w:rPr>
              <w:t>Florida Reliability Coordinating Council, 2022 Load &amp; Resource Reliability</w:t>
            </w:r>
            <w:r>
              <w:rPr>
                <w:rFonts w:cs="Arial"/>
                <w:spacing w:val="-3"/>
              </w:rPr>
              <w:t xml:space="preserve"> </w:t>
            </w:r>
            <w:r w:rsidRPr="00D86C65">
              <w:rPr>
                <w:rFonts w:cs="Arial"/>
                <w:spacing w:val="-3"/>
              </w:rPr>
              <w:t>Assessment Report, FRCC-MS-PL-397</w:t>
            </w:r>
          </w:p>
        </w:tc>
      </w:tr>
      <w:tr w:rsidR="00AF3C82" w:rsidRPr="00701945" w:rsidTr="004D74F1">
        <w:trPr>
          <w:cantSplit/>
          <w:trHeight w:val="288"/>
        </w:trPr>
        <w:tc>
          <w:tcPr>
            <w:tcW w:w="3198" w:type="dxa"/>
          </w:tcPr>
          <w:p w:rsidR="00AF3C82" w:rsidRPr="00701945" w:rsidRDefault="00AF3C82" w:rsidP="00D90F41">
            <w:r>
              <w:t>Rose Anderson</w:t>
            </w:r>
          </w:p>
        </w:tc>
        <w:tc>
          <w:tcPr>
            <w:tcW w:w="1512" w:type="dxa"/>
          </w:tcPr>
          <w:p w:rsidR="00AF3C82" w:rsidRPr="00701945" w:rsidRDefault="00AF3C82" w:rsidP="00813D49">
            <w:pPr>
              <w:jc w:val="center"/>
            </w:pPr>
            <w:r>
              <w:t>Sierra Club</w:t>
            </w:r>
          </w:p>
        </w:tc>
        <w:tc>
          <w:tcPr>
            <w:tcW w:w="1350" w:type="dxa"/>
          </w:tcPr>
          <w:p w:rsidR="00AF3C82" w:rsidRPr="004515FB" w:rsidRDefault="00AF3C82" w:rsidP="00813D49">
            <w:pPr>
              <w:jc w:val="center"/>
            </w:pPr>
            <w:r>
              <w:t>RA-10</w:t>
            </w:r>
          </w:p>
        </w:tc>
        <w:tc>
          <w:tcPr>
            <w:tcW w:w="3505" w:type="dxa"/>
          </w:tcPr>
          <w:p w:rsidR="00AF3C82" w:rsidRPr="0048148E" w:rsidRDefault="00AF3C82" w:rsidP="00D90F41">
            <w:pPr>
              <w:suppressAutoHyphens/>
              <w:rPr>
                <w:rFonts w:cs="Arial"/>
                <w:spacing w:val="-3"/>
              </w:rPr>
            </w:pPr>
            <w:r w:rsidRPr="00D86C65">
              <w:rPr>
                <w:rFonts w:cs="Arial"/>
                <w:spacing w:val="-3"/>
              </w:rPr>
              <w:t>Duke Energy Carolinas and Duke Energy Progress, Effective Load Carrying</w:t>
            </w:r>
            <w:r>
              <w:rPr>
                <w:rFonts w:cs="Arial"/>
                <w:spacing w:val="-3"/>
              </w:rPr>
              <w:t xml:space="preserve"> </w:t>
            </w:r>
            <w:r w:rsidRPr="00D86C65">
              <w:rPr>
                <w:rFonts w:cs="Arial"/>
                <w:spacing w:val="-3"/>
              </w:rPr>
              <w:t>Capability (ELCC) Study, Astrapé Consulting, Apr. 25, 2022</w:t>
            </w:r>
          </w:p>
        </w:tc>
      </w:tr>
      <w:tr w:rsidR="009B3911" w:rsidRPr="00701945" w:rsidTr="004D74F1">
        <w:trPr>
          <w:cantSplit/>
          <w:trHeight w:val="288"/>
        </w:trPr>
        <w:tc>
          <w:tcPr>
            <w:tcW w:w="3198" w:type="dxa"/>
          </w:tcPr>
          <w:p w:rsidR="009B3911" w:rsidRPr="00701945" w:rsidRDefault="009B3911" w:rsidP="00D90F41">
            <w:r>
              <w:t>Angela L. Calhoun</w:t>
            </w:r>
          </w:p>
        </w:tc>
        <w:tc>
          <w:tcPr>
            <w:tcW w:w="1512" w:type="dxa"/>
          </w:tcPr>
          <w:p w:rsidR="009B3911" w:rsidRPr="00701945" w:rsidRDefault="009B3911" w:rsidP="00813D49">
            <w:pPr>
              <w:jc w:val="center"/>
            </w:pPr>
            <w:r>
              <w:t>Staff</w:t>
            </w:r>
          </w:p>
        </w:tc>
        <w:tc>
          <w:tcPr>
            <w:tcW w:w="1350" w:type="dxa"/>
          </w:tcPr>
          <w:p w:rsidR="009B3911" w:rsidRPr="004515FB" w:rsidRDefault="009B3911" w:rsidP="00813D49">
            <w:pPr>
              <w:jc w:val="center"/>
            </w:pPr>
            <w:r>
              <w:t>ALC-1</w:t>
            </w:r>
          </w:p>
        </w:tc>
        <w:tc>
          <w:tcPr>
            <w:tcW w:w="3505" w:type="dxa"/>
            <w:tcBorders>
              <w:bottom w:val="single" w:sz="4" w:space="0" w:color="auto"/>
            </w:tcBorders>
          </w:tcPr>
          <w:p w:rsidR="009B3911" w:rsidRPr="00F31820" w:rsidRDefault="009B3911" w:rsidP="00D90F41">
            <w:pPr>
              <w:suppressAutoHyphens/>
              <w:rPr>
                <w:rFonts w:cs="Arial"/>
              </w:rPr>
            </w:pPr>
            <w:r>
              <w:rPr>
                <w:rFonts w:cs="Arial"/>
              </w:rPr>
              <w:t xml:space="preserve">List of </w:t>
            </w:r>
            <w:r w:rsidRPr="00CE1C7A">
              <w:rPr>
                <w:rFonts w:cs="Arial"/>
              </w:rPr>
              <w:t>Quality Of Service Complaints</w:t>
            </w:r>
          </w:p>
        </w:tc>
      </w:tr>
      <w:tr w:rsidR="009B3911" w:rsidRPr="00701945" w:rsidTr="004D74F1">
        <w:trPr>
          <w:cantSplit/>
          <w:trHeight w:val="288"/>
        </w:trPr>
        <w:tc>
          <w:tcPr>
            <w:tcW w:w="3198" w:type="dxa"/>
          </w:tcPr>
          <w:p w:rsidR="009B3911" w:rsidRPr="00701945" w:rsidRDefault="009B3911" w:rsidP="00D90F41">
            <w:r>
              <w:t>Angela L. Calhoun</w:t>
            </w:r>
          </w:p>
        </w:tc>
        <w:tc>
          <w:tcPr>
            <w:tcW w:w="1512" w:type="dxa"/>
          </w:tcPr>
          <w:p w:rsidR="009B3911" w:rsidRPr="00701945" w:rsidRDefault="009B3911" w:rsidP="00813D49">
            <w:pPr>
              <w:jc w:val="center"/>
            </w:pPr>
            <w:r>
              <w:t>Staff</w:t>
            </w:r>
          </w:p>
        </w:tc>
        <w:tc>
          <w:tcPr>
            <w:tcW w:w="1350" w:type="dxa"/>
          </w:tcPr>
          <w:p w:rsidR="009B3911" w:rsidRPr="004515FB" w:rsidRDefault="009B3911" w:rsidP="00813D49">
            <w:pPr>
              <w:jc w:val="center"/>
            </w:pPr>
            <w:r>
              <w:t>ALC-2</w:t>
            </w:r>
          </w:p>
        </w:tc>
        <w:tc>
          <w:tcPr>
            <w:tcW w:w="3505" w:type="dxa"/>
            <w:tcBorders>
              <w:bottom w:val="single" w:sz="4" w:space="0" w:color="auto"/>
            </w:tcBorders>
          </w:tcPr>
          <w:p w:rsidR="009B3911" w:rsidRPr="00F267CF" w:rsidRDefault="009B3911" w:rsidP="00D90F41">
            <w:pPr>
              <w:suppressAutoHyphens/>
              <w:rPr>
                <w:rFonts w:cs="Arial"/>
                <w:spacing w:val="-3"/>
              </w:rPr>
            </w:pPr>
            <w:r>
              <w:rPr>
                <w:rFonts w:cs="Arial"/>
                <w:spacing w:val="-3"/>
              </w:rPr>
              <w:t xml:space="preserve">List of </w:t>
            </w:r>
            <w:r w:rsidRPr="00CE1C7A">
              <w:rPr>
                <w:rFonts w:cs="Arial"/>
                <w:spacing w:val="-3"/>
              </w:rPr>
              <w:t>Billing Complaints</w:t>
            </w:r>
          </w:p>
        </w:tc>
      </w:tr>
      <w:tr w:rsidR="009B3911" w:rsidRPr="00701945" w:rsidTr="004D74F1">
        <w:trPr>
          <w:cantSplit/>
          <w:trHeight w:val="288"/>
        </w:trPr>
        <w:tc>
          <w:tcPr>
            <w:tcW w:w="3198" w:type="dxa"/>
          </w:tcPr>
          <w:p w:rsidR="009B3911" w:rsidRPr="00701945" w:rsidRDefault="009B3911" w:rsidP="00D90F41">
            <w:r>
              <w:lastRenderedPageBreak/>
              <w:t>Angela L. Calhoun</w:t>
            </w:r>
          </w:p>
        </w:tc>
        <w:tc>
          <w:tcPr>
            <w:tcW w:w="1512" w:type="dxa"/>
          </w:tcPr>
          <w:p w:rsidR="009B3911" w:rsidRPr="00701945" w:rsidRDefault="009B3911" w:rsidP="00813D49">
            <w:pPr>
              <w:jc w:val="center"/>
            </w:pPr>
            <w:r>
              <w:t>Staff</w:t>
            </w:r>
          </w:p>
        </w:tc>
        <w:tc>
          <w:tcPr>
            <w:tcW w:w="1350" w:type="dxa"/>
          </w:tcPr>
          <w:p w:rsidR="009B3911" w:rsidRPr="004515FB" w:rsidRDefault="009B3911" w:rsidP="00813D49">
            <w:pPr>
              <w:jc w:val="center"/>
            </w:pPr>
            <w:r>
              <w:t>ALC-3</w:t>
            </w:r>
          </w:p>
        </w:tc>
        <w:tc>
          <w:tcPr>
            <w:tcW w:w="3505" w:type="dxa"/>
            <w:tcBorders>
              <w:bottom w:val="single" w:sz="4" w:space="0" w:color="auto"/>
            </w:tcBorders>
          </w:tcPr>
          <w:p w:rsidR="009B3911" w:rsidRPr="00F267CF" w:rsidRDefault="009B3911" w:rsidP="00D90F41">
            <w:pPr>
              <w:suppressAutoHyphens/>
              <w:rPr>
                <w:rFonts w:cs="Arial"/>
                <w:spacing w:val="-3"/>
              </w:rPr>
            </w:pPr>
            <w:r>
              <w:rPr>
                <w:rFonts w:cs="Arial"/>
                <w:spacing w:val="-3"/>
              </w:rPr>
              <w:t xml:space="preserve">List of </w:t>
            </w:r>
            <w:r w:rsidRPr="00CE1C7A">
              <w:rPr>
                <w:rFonts w:cs="Arial"/>
                <w:spacing w:val="-3"/>
              </w:rPr>
              <w:t>Warm Transfer</w:t>
            </w:r>
            <w:r>
              <w:rPr>
                <w:rFonts w:cs="Arial"/>
                <w:spacing w:val="-3"/>
              </w:rPr>
              <w:t>s</w:t>
            </w:r>
          </w:p>
        </w:tc>
      </w:tr>
      <w:tr w:rsidR="009B3911" w:rsidRPr="00701945" w:rsidTr="004D74F1">
        <w:trPr>
          <w:cantSplit/>
          <w:trHeight w:val="288"/>
        </w:trPr>
        <w:tc>
          <w:tcPr>
            <w:tcW w:w="3198" w:type="dxa"/>
          </w:tcPr>
          <w:p w:rsidR="009B3911" w:rsidRPr="00701945" w:rsidRDefault="009B3911" w:rsidP="00D90F41">
            <w:r>
              <w:t>Simon Ojada</w:t>
            </w:r>
          </w:p>
        </w:tc>
        <w:tc>
          <w:tcPr>
            <w:tcW w:w="1512" w:type="dxa"/>
          </w:tcPr>
          <w:p w:rsidR="009B3911" w:rsidRPr="00701945" w:rsidRDefault="009B3911" w:rsidP="00813D49">
            <w:pPr>
              <w:jc w:val="center"/>
            </w:pPr>
            <w:r>
              <w:t>Staff</w:t>
            </w:r>
          </w:p>
        </w:tc>
        <w:tc>
          <w:tcPr>
            <w:tcW w:w="1350" w:type="dxa"/>
          </w:tcPr>
          <w:p w:rsidR="009B3911" w:rsidRPr="004515FB" w:rsidRDefault="009B3911" w:rsidP="00813D49">
            <w:pPr>
              <w:jc w:val="center"/>
            </w:pPr>
            <w:r>
              <w:t>SO-1</w:t>
            </w:r>
          </w:p>
        </w:tc>
        <w:tc>
          <w:tcPr>
            <w:tcW w:w="3505" w:type="dxa"/>
            <w:tcBorders>
              <w:bottom w:val="single" w:sz="4" w:space="0" w:color="auto"/>
            </w:tcBorders>
          </w:tcPr>
          <w:p w:rsidR="009B3911" w:rsidRPr="00F267CF" w:rsidRDefault="009B3911" w:rsidP="00D90F41">
            <w:pPr>
              <w:suppressAutoHyphens/>
              <w:rPr>
                <w:rFonts w:cs="Arial"/>
                <w:spacing w:val="-3"/>
              </w:rPr>
            </w:pPr>
            <w:r w:rsidRPr="002130F0">
              <w:rPr>
                <w:rFonts w:cs="Arial"/>
                <w:spacing w:val="-3"/>
              </w:rPr>
              <w:t>Auditor's Report</w:t>
            </w:r>
          </w:p>
        </w:tc>
      </w:tr>
      <w:tr w:rsidR="000E4F5A" w:rsidRPr="00701945" w:rsidTr="004D74F1">
        <w:trPr>
          <w:cantSplit/>
          <w:trHeight w:val="288"/>
        </w:trPr>
        <w:tc>
          <w:tcPr>
            <w:tcW w:w="3198" w:type="dxa"/>
          </w:tcPr>
          <w:p w:rsidR="000E4F5A" w:rsidRPr="00701945" w:rsidRDefault="000E4F5A" w:rsidP="00D90F41">
            <w:r w:rsidRPr="00701945">
              <w:tab/>
            </w:r>
            <w:r w:rsidRPr="00701945">
              <w:rPr>
                <w:u w:val="single"/>
              </w:rPr>
              <w:t>Rebuttal</w:t>
            </w:r>
          </w:p>
        </w:tc>
        <w:tc>
          <w:tcPr>
            <w:tcW w:w="1512" w:type="dxa"/>
          </w:tcPr>
          <w:p w:rsidR="000E4F5A" w:rsidRPr="00701945" w:rsidRDefault="000E4F5A" w:rsidP="00813D49">
            <w:pPr>
              <w:jc w:val="center"/>
            </w:pPr>
          </w:p>
        </w:tc>
        <w:tc>
          <w:tcPr>
            <w:tcW w:w="1350" w:type="dxa"/>
          </w:tcPr>
          <w:p w:rsidR="000E4F5A" w:rsidRPr="004515FB" w:rsidRDefault="000E4F5A" w:rsidP="00813D49">
            <w:pPr>
              <w:jc w:val="center"/>
            </w:pPr>
          </w:p>
        </w:tc>
        <w:tc>
          <w:tcPr>
            <w:tcW w:w="3505" w:type="dxa"/>
          </w:tcPr>
          <w:p w:rsidR="000E4F5A" w:rsidRPr="00701945" w:rsidRDefault="000E4F5A" w:rsidP="00D90F41"/>
        </w:tc>
      </w:tr>
      <w:tr w:rsidR="00BE7D3F" w:rsidRPr="00701945" w:rsidTr="004D74F1">
        <w:trPr>
          <w:cantSplit/>
          <w:trHeight w:val="288"/>
        </w:trPr>
        <w:tc>
          <w:tcPr>
            <w:tcW w:w="3198" w:type="dxa"/>
            <w:tcBorders>
              <w:bottom w:val="single" w:sz="4" w:space="0" w:color="auto"/>
            </w:tcBorders>
          </w:tcPr>
          <w:p w:rsidR="00BE7D3F" w:rsidRDefault="00BE7D3F" w:rsidP="00D90F41">
            <w:pPr>
              <w:rPr>
                <w:rFonts w:cs="Arial"/>
              </w:rPr>
            </w:pPr>
            <w:r>
              <w:rPr>
                <w:rFonts w:cs="Arial"/>
              </w:rPr>
              <w:t>Ned W. Allis</w:t>
            </w:r>
          </w:p>
        </w:tc>
        <w:tc>
          <w:tcPr>
            <w:tcW w:w="1512" w:type="dxa"/>
          </w:tcPr>
          <w:p w:rsidR="00BE7D3F" w:rsidRPr="00701945" w:rsidRDefault="004D74F1" w:rsidP="00813D49">
            <w:pPr>
              <w:jc w:val="center"/>
            </w:pPr>
            <w:r>
              <w:t>DEF</w:t>
            </w:r>
          </w:p>
        </w:tc>
        <w:tc>
          <w:tcPr>
            <w:tcW w:w="1350" w:type="dxa"/>
            <w:tcBorders>
              <w:bottom w:val="single" w:sz="4" w:space="0" w:color="auto"/>
            </w:tcBorders>
          </w:tcPr>
          <w:p w:rsidR="00BE7D3F" w:rsidRDefault="00BE7D3F" w:rsidP="00813D49">
            <w:pPr>
              <w:jc w:val="center"/>
              <w:rPr>
                <w:rFonts w:cs="Arial"/>
                <w:spacing w:val="-3"/>
              </w:rPr>
            </w:pPr>
            <w:r>
              <w:rPr>
                <w:rFonts w:cs="Arial"/>
                <w:spacing w:val="-3"/>
              </w:rPr>
              <w:t>NWA-4</w:t>
            </w:r>
          </w:p>
        </w:tc>
        <w:tc>
          <w:tcPr>
            <w:tcW w:w="3505" w:type="dxa"/>
            <w:tcBorders>
              <w:bottom w:val="single" w:sz="4" w:space="0" w:color="auto"/>
            </w:tcBorders>
          </w:tcPr>
          <w:p w:rsidR="00BE7D3F" w:rsidRPr="00F31820" w:rsidRDefault="00BE7D3F" w:rsidP="00D90F41">
            <w:pPr>
              <w:suppressAutoHyphens/>
              <w:rPr>
                <w:rFonts w:cs="Arial"/>
              </w:rPr>
            </w:pPr>
            <w:r>
              <w:rPr>
                <w:rFonts w:cs="Arial"/>
              </w:rPr>
              <w:t>D</w:t>
            </w:r>
            <w:r w:rsidRPr="00973227">
              <w:rPr>
                <w:rFonts w:cs="Arial"/>
              </w:rPr>
              <w:t xml:space="preserve">epreciation tables </w:t>
            </w:r>
            <w:r>
              <w:rPr>
                <w:rFonts w:cs="Arial"/>
              </w:rPr>
              <w:t xml:space="preserve">for </w:t>
            </w:r>
            <w:r w:rsidRPr="00973227">
              <w:rPr>
                <w:rFonts w:cs="Arial"/>
              </w:rPr>
              <w:t>revised depreciation rates</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rPr>
              <w:t>Ned W. Allis</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NWA-5</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Depreciation rates that would result from OPC’s proposed retirement dates and net salvage estimates</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Benjamin M.H. Borsch</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BMHB-7</w:t>
            </w:r>
          </w:p>
        </w:tc>
        <w:tc>
          <w:tcPr>
            <w:tcW w:w="3505" w:type="dxa"/>
            <w:tcBorders>
              <w:bottom w:val="single" w:sz="4" w:space="0" w:color="auto"/>
            </w:tcBorders>
          </w:tcPr>
          <w:p w:rsidR="004D74F1" w:rsidRPr="00F267CF" w:rsidRDefault="004D74F1" w:rsidP="004D74F1">
            <w:pPr>
              <w:suppressAutoHyphens/>
              <w:rPr>
                <w:rFonts w:cs="Arial"/>
                <w:spacing w:val="-3"/>
              </w:rPr>
            </w:pPr>
            <w:r>
              <w:rPr>
                <w:rFonts w:cs="Arial"/>
                <w:spacing w:val="-3"/>
              </w:rPr>
              <w:t>C</w:t>
            </w:r>
            <w:r w:rsidRPr="00973227">
              <w:rPr>
                <w:rFonts w:cs="Arial"/>
                <w:spacing w:val="-3"/>
              </w:rPr>
              <w:t>ost-effectiveness analysis for the University of Florida</w:t>
            </w:r>
            <w:r>
              <w:rPr>
                <w:rFonts w:cs="Arial"/>
                <w:spacing w:val="-3"/>
              </w:rPr>
              <w:t xml:space="preserve"> </w:t>
            </w:r>
            <w:r w:rsidRPr="00973227">
              <w:rPr>
                <w:rFonts w:cs="Arial"/>
                <w:spacing w:val="-3"/>
              </w:rPr>
              <w:t>Cogeneration facility</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Timothy J. Duff</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TJD-2</w:t>
            </w:r>
          </w:p>
        </w:tc>
        <w:tc>
          <w:tcPr>
            <w:tcW w:w="3505" w:type="dxa"/>
            <w:tcBorders>
              <w:bottom w:val="single" w:sz="4" w:space="0" w:color="auto"/>
            </w:tcBorders>
          </w:tcPr>
          <w:p w:rsidR="004D74F1" w:rsidRDefault="004D74F1" w:rsidP="004D74F1">
            <w:pPr>
              <w:suppressAutoHyphens/>
              <w:rPr>
                <w:rFonts w:cs="Arial"/>
                <w:spacing w:val="-3"/>
              </w:rPr>
            </w:pPr>
            <w:r w:rsidRPr="00973227">
              <w:rPr>
                <w:rFonts w:cs="Arial"/>
                <w:spacing w:val="-3"/>
              </w:rPr>
              <w:t>“Commercial Make-Ready Credit Program</w:t>
            </w:r>
            <w:r>
              <w:rPr>
                <w:rFonts w:cs="Arial"/>
                <w:spacing w:val="-3"/>
              </w:rPr>
              <w:t xml:space="preserve"> </w:t>
            </w:r>
            <w:r w:rsidRPr="00973227">
              <w:rPr>
                <w:rFonts w:cs="Arial"/>
                <w:spacing w:val="-3"/>
              </w:rPr>
              <w:t>Incentive Custom Calculation”</w:t>
            </w:r>
            <w:r>
              <w:rPr>
                <w:rFonts w:cs="Arial"/>
                <w:spacing w:val="-3"/>
              </w:rPr>
              <w:t xml:space="preserve"> </w:t>
            </w:r>
          </w:p>
          <w:p w:rsidR="004D74F1" w:rsidRPr="00F267CF" w:rsidRDefault="004D74F1" w:rsidP="004D74F1">
            <w:pPr>
              <w:suppressAutoHyphens/>
              <w:rPr>
                <w:rFonts w:cs="Arial"/>
                <w:spacing w:val="-3"/>
              </w:rPr>
            </w:pPr>
            <w:r>
              <w:rPr>
                <w:rFonts w:cs="Arial"/>
                <w:spacing w:val="-3"/>
              </w:rPr>
              <w:t>DEF’s Response to EVgo’s First Set of Interrogatories Nos. 5 &amp; 7</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AMM-14</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Implied Cost of Equity—National Allowed ROEs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AMM-15</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Implied Cost of Equity—Commission Approved ROEs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AMM-16</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Implied Cost of Equity—Duke Energy Approved ROEs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AMM-17</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Allowed ROEs—Lawton Proxy Groups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AMM-18</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Lawton Constant Growth DCF—EPS Growth Rates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AMM-19</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Lawton CAPM Models—Corrected</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D5605D">
              <w:rPr>
                <w:rFonts w:cs="Arial"/>
                <w:spacing w:val="-3"/>
              </w:rPr>
              <w:t>Adrien M. McKenzie</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AMM-20</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Lawton Risk Premium Model—Corrected</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Karl W. Newlin</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KWN-1</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Moody’s Investor Service May 29, 2024, DEF Credit Opinion</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30960">
              <w:rPr>
                <w:rFonts w:cs="Arial"/>
                <w:spacing w:val="-3"/>
              </w:rPr>
              <w:lastRenderedPageBreak/>
              <w:t>Karl W. Newlin</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KWN-2</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S&amp;P Global March 1, 2024 RRA State Regulatory Evaluations – Energy</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30960">
              <w:rPr>
                <w:rFonts w:cs="Arial"/>
                <w:spacing w:val="-3"/>
              </w:rPr>
              <w:t>Karl W. Newlin</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KWN-3</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color w:val="000000"/>
              </w:rPr>
              <w:t>S&amp;P Global RRA Regulatory Focus – Quarterly update on decided rate cases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30960">
              <w:rPr>
                <w:rFonts w:cs="Arial"/>
                <w:spacing w:val="-3"/>
              </w:rPr>
              <w:t>Karl W. Newlin</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KWN-4</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Moody’s Investor Service (“Moody’s”) May 22, 2023, DEF Credit Opinion</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30960">
              <w:rPr>
                <w:rFonts w:cs="Arial"/>
                <w:spacing w:val="-3"/>
              </w:rPr>
              <w:t>Karl W. Newlin</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KWN-5</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S&amp;P Global February 14, 2024 Ratings Rising Risks: Outlook for North American Investor-Owned Regulated Utilities Weakens</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Michael T. O’Hara</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MTO-2</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O&amp;M – A&amp;G</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533E1">
              <w:rPr>
                <w:rFonts w:cs="Arial"/>
                <w:spacing w:val="-3"/>
              </w:rPr>
              <w:t>Michael T. O’Hara</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MTO-3</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Capitalization of Payroll Expense</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533E1">
              <w:rPr>
                <w:rFonts w:cs="Arial"/>
                <w:spacing w:val="-3"/>
              </w:rPr>
              <w:t>Michael T. O’Hara</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Default="004D74F1" w:rsidP="004D74F1">
            <w:pPr>
              <w:jc w:val="center"/>
            </w:pPr>
            <w:r w:rsidRPr="00370E4D">
              <w:rPr>
                <w:rFonts w:cs="Arial"/>
                <w:spacing w:val="-3"/>
              </w:rPr>
              <w:t>MTO-</w:t>
            </w:r>
            <w:r>
              <w:rPr>
                <w:rFonts w:cs="Arial"/>
                <w:spacing w:val="-3"/>
              </w:rPr>
              <w:t>4</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Unredacted Regulated O&amp;M and Capital Reports</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9533E1">
              <w:rPr>
                <w:rFonts w:cs="Arial"/>
                <w:spacing w:val="-3"/>
              </w:rPr>
              <w:t>Michael T. O’Hara</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Default="004D74F1" w:rsidP="004D74F1">
            <w:pPr>
              <w:jc w:val="center"/>
            </w:pPr>
            <w:r w:rsidRPr="00370E4D">
              <w:rPr>
                <w:rFonts w:cs="Arial"/>
                <w:spacing w:val="-3"/>
              </w:rPr>
              <w:t>MTO-</w:t>
            </w:r>
            <w:r>
              <w:rPr>
                <w:rFonts w:cs="Arial"/>
                <w:spacing w:val="-3"/>
              </w:rPr>
              <w:t>5</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Capital In-Service</w:t>
            </w:r>
          </w:p>
        </w:tc>
      </w:tr>
      <w:tr w:rsidR="004D74F1" w:rsidRPr="00701945" w:rsidTr="004D74F1">
        <w:trPr>
          <w:cantSplit/>
          <w:trHeight w:val="288"/>
        </w:trPr>
        <w:tc>
          <w:tcPr>
            <w:tcW w:w="3198" w:type="dxa"/>
            <w:tcBorders>
              <w:bottom w:val="single" w:sz="4" w:space="0" w:color="auto"/>
            </w:tcBorders>
          </w:tcPr>
          <w:p w:rsidR="004D74F1" w:rsidRPr="00C5688E" w:rsidRDefault="004D74F1" w:rsidP="004D74F1">
            <w:pPr>
              <w:rPr>
                <w:rFonts w:cs="Arial"/>
                <w:spacing w:val="-3"/>
              </w:rPr>
            </w:pPr>
            <w:r>
              <w:rPr>
                <w:rFonts w:cs="Arial"/>
                <w:spacing w:val="-3"/>
              </w:rPr>
              <w:t>Marcia J. Olivier</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MJO-9</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DEF’s Response in Opposition to OPC’s Response to DEF’s Test Year Letter, filed February 29, 2024</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03196E">
              <w:rPr>
                <w:rFonts w:cs="Arial"/>
                <w:spacing w:val="-3"/>
              </w:rPr>
              <w:t>Marcia J. Olivier</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MJO-10</w:t>
            </w:r>
          </w:p>
        </w:tc>
        <w:tc>
          <w:tcPr>
            <w:tcW w:w="3505" w:type="dxa"/>
            <w:tcBorders>
              <w:bottom w:val="single" w:sz="4" w:space="0" w:color="auto"/>
            </w:tcBorders>
          </w:tcPr>
          <w:p w:rsidR="004D74F1" w:rsidRPr="00F267CF" w:rsidRDefault="004D74F1" w:rsidP="004D74F1">
            <w:pPr>
              <w:suppressAutoHyphens/>
              <w:rPr>
                <w:rFonts w:cs="Arial"/>
                <w:spacing w:val="-3"/>
              </w:rPr>
            </w:pPr>
            <w:r>
              <w:rPr>
                <w:rFonts w:ascii="TimesNewRomanPSMT" w:hAnsi="TimesNewRomanPSMT" w:cs="TimesNewRomanPSMT"/>
              </w:rPr>
              <w:t>DEF’s Response to OPC Interrogatory No. 7-150</w:t>
            </w:r>
          </w:p>
        </w:tc>
      </w:tr>
      <w:tr w:rsidR="004D74F1" w:rsidRPr="00701945" w:rsidTr="004D74F1">
        <w:trPr>
          <w:cantSplit/>
          <w:trHeight w:val="288"/>
        </w:trPr>
        <w:tc>
          <w:tcPr>
            <w:tcW w:w="3198" w:type="dxa"/>
            <w:tcBorders>
              <w:bottom w:val="single" w:sz="4" w:space="0" w:color="auto"/>
            </w:tcBorders>
          </w:tcPr>
          <w:p w:rsidR="004D74F1" w:rsidRDefault="004D74F1" w:rsidP="004D74F1">
            <w:r w:rsidRPr="0003196E">
              <w:rPr>
                <w:rFonts w:cs="Arial"/>
                <w:spacing w:val="-3"/>
              </w:rPr>
              <w:t>Marcia J. Olivier</w:t>
            </w:r>
          </w:p>
        </w:tc>
        <w:tc>
          <w:tcPr>
            <w:tcW w:w="1512" w:type="dxa"/>
          </w:tcPr>
          <w:p w:rsidR="004D74F1" w:rsidRPr="00701945" w:rsidRDefault="004D74F1" w:rsidP="004D74F1">
            <w:pPr>
              <w:jc w:val="center"/>
            </w:pPr>
            <w:r>
              <w:t>DEF</w:t>
            </w:r>
          </w:p>
        </w:tc>
        <w:tc>
          <w:tcPr>
            <w:tcW w:w="1350" w:type="dxa"/>
            <w:tcBorders>
              <w:bottom w:val="single" w:sz="4" w:space="0" w:color="auto"/>
            </w:tcBorders>
          </w:tcPr>
          <w:p w:rsidR="004D74F1" w:rsidRPr="00C5688E" w:rsidRDefault="004D74F1" w:rsidP="004D74F1">
            <w:pPr>
              <w:jc w:val="center"/>
              <w:rPr>
                <w:rFonts w:cs="Arial"/>
                <w:spacing w:val="-3"/>
              </w:rPr>
            </w:pPr>
            <w:r>
              <w:rPr>
                <w:rFonts w:cs="Arial"/>
                <w:spacing w:val="-3"/>
              </w:rPr>
              <w:t>MJO-11</w:t>
            </w:r>
          </w:p>
        </w:tc>
        <w:tc>
          <w:tcPr>
            <w:tcW w:w="3505" w:type="dxa"/>
            <w:tcBorders>
              <w:bottom w:val="single" w:sz="4" w:space="0" w:color="auto"/>
            </w:tcBorders>
          </w:tcPr>
          <w:p w:rsidR="004D74F1" w:rsidRPr="00F267CF" w:rsidRDefault="004D74F1" w:rsidP="004D74F1">
            <w:pPr>
              <w:autoSpaceDE w:val="0"/>
              <w:autoSpaceDN w:val="0"/>
              <w:adjustRightInd w:val="0"/>
              <w:rPr>
                <w:rFonts w:cs="Arial"/>
                <w:spacing w:val="-3"/>
              </w:rPr>
            </w:pPr>
            <w:r>
              <w:rPr>
                <w:rFonts w:ascii="TimesNewRomanPSMT" w:hAnsi="TimesNewRomanPSMT" w:cs="TimesNewRomanPSMT"/>
              </w:rPr>
              <w:t>DEF’s Notice of Identified Adjustments, filed June 6, 2024</w:t>
            </w:r>
          </w:p>
        </w:tc>
      </w:tr>
    </w:tbl>
    <w:p w:rsidR="00B159CE" w:rsidRDefault="00B159CE" w:rsidP="00B159CE">
      <w:pPr>
        <w:jc w:val="both"/>
      </w:pPr>
    </w:p>
    <w:p w:rsidR="00FC2776" w:rsidRPr="00701945" w:rsidRDefault="00FC2776" w:rsidP="00B159CE">
      <w:pPr>
        <w:jc w:val="both"/>
      </w:pPr>
    </w:p>
    <w:p w:rsidR="009133A3" w:rsidRPr="009133A3" w:rsidRDefault="009133A3" w:rsidP="00B159CE">
      <w:pPr>
        <w:jc w:val="both"/>
        <w:rPr>
          <w:b/>
          <w:u w:val="single"/>
        </w:rPr>
      </w:pPr>
      <w:r w:rsidRPr="009133A3">
        <w:rPr>
          <w:b/>
        </w:rPr>
        <w:t>VII.</w:t>
      </w:r>
      <w:r w:rsidRPr="009133A3">
        <w:rPr>
          <w:b/>
        </w:rPr>
        <w:tab/>
      </w:r>
      <w:r w:rsidRPr="009133A3">
        <w:rPr>
          <w:b/>
          <w:u w:val="single"/>
        </w:rPr>
        <w:t>COMPREHENSIVE EXHIBIT LIST</w:t>
      </w:r>
    </w:p>
    <w:p w:rsidR="009133A3" w:rsidRDefault="009133A3" w:rsidP="00B159CE">
      <w:pPr>
        <w:jc w:val="both"/>
      </w:pPr>
    </w:p>
    <w:p w:rsidR="00B159CE" w:rsidRDefault="009133A3" w:rsidP="00B159CE">
      <w:pPr>
        <w:jc w:val="both"/>
      </w:pPr>
      <w:r>
        <w:tab/>
      </w:r>
      <w:r w:rsidR="00DC1996">
        <w:t>Commission s</w:t>
      </w:r>
      <w:r w:rsidR="00DC1996" w:rsidRPr="00E36D7D">
        <w:t xml:space="preserve">taff has prepared </w:t>
      </w:r>
      <w:r w:rsidR="00DC1996">
        <w:t xml:space="preserve">and circulated to the parties </w:t>
      </w:r>
      <w:r w:rsidR="00DC1996" w:rsidRPr="00E36D7D">
        <w:t>a Comprehensive Exhibit List which lists all pre</w:t>
      </w:r>
      <w:r w:rsidR="00DC1996">
        <w:t>-</w:t>
      </w:r>
      <w:r w:rsidR="00DC1996" w:rsidRPr="00E36D7D">
        <w:t>filed exhibits and those exhibits staff wishes to include in the record. Staff will continue to work with the parties to work toward stipulating the exhibit list prior to the hearing.</w:t>
      </w:r>
      <w:r w:rsidR="00B159CE" w:rsidRPr="00701945">
        <w:tab/>
      </w:r>
    </w:p>
    <w:p w:rsidR="009133A3" w:rsidRDefault="009133A3" w:rsidP="00B159CE">
      <w:pPr>
        <w:jc w:val="both"/>
      </w:pPr>
    </w:p>
    <w:p w:rsidR="00753796" w:rsidRDefault="00753796">
      <w:pPr>
        <w:rPr>
          <w:b/>
        </w:rPr>
      </w:pPr>
      <w:r>
        <w:rPr>
          <w:b/>
        </w:rPr>
        <w:br w:type="page"/>
      </w:r>
    </w:p>
    <w:p w:rsidR="00B159CE" w:rsidRPr="00A32DC5" w:rsidRDefault="00A72196" w:rsidP="00B159CE">
      <w:pPr>
        <w:jc w:val="both"/>
        <w:rPr>
          <w:b/>
        </w:rPr>
      </w:pPr>
      <w:r>
        <w:rPr>
          <w:b/>
        </w:rPr>
        <w:lastRenderedPageBreak/>
        <w:t>VII</w:t>
      </w:r>
      <w:r w:rsidR="00B159CE" w:rsidRPr="00A32DC5">
        <w:rPr>
          <w:b/>
        </w:rPr>
        <w:t>I.</w:t>
      </w:r>
      <w:r w:rsidR="00B159CE" w:rsidRPr="00A32DC5">
        <w:rPr>
          <w:b/>
        </w:rPr>
        <w:tab/>
      </w:r>
      <w:r w:rsidR="00B159CE" w:rsidRPr="00A32DC5">
        <w:rPr>
          <w:b/>
          <w:u w:val="single"/>
        </w:rPr>
        <w:t>PENDING MOTIONS</w:t>
      </w:r>
    </w:p>
    <w:p w:rsidR="00B159CE" w:rsidRPr="00701945" w:rsidRDefault="00B159CE" w:rsidP="00B159CE">
      <w:pPr>
        <w:jc w:val="both"/>
      </w:pPr>
    </w:p>
    <w:p w:rsidR="00B159CE" w:rsidRPr="004654E7" w:rsidRDefault="005D49CA" w:rsidP="00B159CE">
      <w:pPr>
        <w:ind w:firstLine="720"/>
        <w:jc w:val="both"/>
      </w:pPr>
      <w:r w:rsidRPr="005D49CA">
        <w:t xml:space="preserve"> </w:t>
      </w:r>
      <w:r>
        <w:t>The Joint Motion for Approval of 2024 Settlement Agreement, with the attached 2024 Settlement Agreement appended thereto as Attachment 1, is pending.</w:t>
      </w:r>
    </w:p>
    <w:p w:rsidR="00B159CE" w:rsidRDefault="00B159CE" w:rsidP="00B159CE">
      <w:pPr>
        <w:jc w:val="both"/>
      </w:pPr>
    </w:p>
    <w:p w:rsidR="00753796" w:rsidRPr="00701945" w:rsidRDefault="00753796" w:rsidP="00B159CE">
      <w:pPr>
        <w:jc w:val="both"/>
      </w:pPr>
    </w:p>
    <w:p w:rsidR="00B159CE" w:rsidRPr="00A32DC5" w:rsidRDefault="00A72196" w:rsidP="00B159CE">
      <w:pPr>
        <w:jc w:val="both"/>
        <w:rPr>
          <w:b/>
        </w:rPr>
      </w:pPr>
      <w:r>
        <w:rPr>
          <w:b/>
        </w:rPr>
        <w:t>IX</w:t>
      </w:r>
      <w:r w:rsidR="00B159CE" w:rsidRPr="00A32DC5">
        <w:rPr>
          <w:b/>
        </w:rPr>
        <w:t>.</w:t>
      </w:r>
      <w:r w:rsidR="00B159CE" w:rsidRPr="00A32DC5">
        <w:rPr>
          <w:b/>
        </w:rPr>
        <w:tab/>
      </w:r>
      <w:r w:rsidR="00B159CE" w:rsidRPr="00A32DC5">
        <w:rPr>
          <w:b/>
          <w:u w:val="single"/>
        </w:rPr>
        <w:t>PENDING CONFIDENTIALITY MATTERS</w:t>
      </w:r>
    </w:p>
    <w:p w:rsidR="00B159CE" w:rsidRDefault="00B159CE" w:rsidP="00B159CE">
      <w:pPr>
        <w:jc w:val="both"/>
      </w:pPr>
    </w:p>
    <w:p w:rsidR="00DC1996" w:rsidRDefault="00DC1996" w:rsidP="00621EF4">
      <w:pPr>
        <w:jc w:val="both"/>
      </w:pPr>
      <w:r>
        <w:tab/>
      </w:r>
      <w:r w:rsidR="00B159CE" w:rsidRPr="004654E7">
        <w:t>The</w:t>
      </w:r>
      <w:r w:rsidR="004654E7" w:rsidRPr="004654E7">
        <w:t xml:space="preserve"> following</w:t>
      </w:r>
      <w:r w:rsidR="00B159CE" w:rsidRPr="004654E7">
        <w:t xml:space="preserve"> confidentiality matter</w:t>
      </w:r>
      <w:r>
        <w:t xml:space="preserve"> i</w:t>
      </w:r>
      <w:r w:rsidR="00B159CE" w:rsidRPr="004654E7">
        <w:t xml:space="preserve">s </w:t>
      </w:r>
      <w:r w:rsidR="004654E7" w:rsidRPr="004654E7">
        <w:t>pending:</w:t>
      </w:r>
      <w:r>
        <w:t xml:space="preserve"> DEF’s Request for Confidential Classification (Doc. 07014-2024) of Response to Staff’s Fifth Set of Interrogatories (Doc. 08340-2024), redacted document filed August 8, 2024.</w:t>
      </w:r>
    </w:p>
    <w:p w:rsidR="00B159CE" w:rsidRDefault="00B159CE" w:rsidP="00B159CE">
      <w:pPr>
        <w:jc w:val="both"/>
      </w:pPr>
    </w:p>
    <w:p w:rsidR="00753796" w:rsidRDefault="00753796" w:rsidP="00B159CE">
      <w:pPr>
        <w:jc w:val="both"/>
      </w:pPr>
    </w:p>
    <w:p w:rsidR="00B159CE" w:rsidRPr="00A32DC5" w:rsidRDefault="00A72196" w:rsidP="00B159CE">
      <w:pPr>
        <w:jc w:val="both"/>
        <w:rPr>
          <w:b/>
        </w:rPr>
      </w:pPr>
      <w:r>
        <w:rPr>
          <w:b/>
        </w:rPr>
        <w:t>X</w:t>
      </w:r>
      <w:r w:rsidR="00B159CE" w:rsidRPr="00A32DC5">
        <w:rPr>
          <w:b/>
        </w:rPr>
        <w:t>.</w:t>
      </w:r>
      <w:r w:rsidR="00B159CE" w:rsidRPr="00A32DC5">
        <w:rPr>
          <w:b/>
        </w:rPr>
        <w:tab/>
      </w:r>
      <w:r w:rsidR="00B159CE" w:rsidRPr="00A32DC5">
        <w:rPr>
          <w:b/>
          <w:u w:val="single"/>
        </w:rPr>
        <w:t>POST-HEARING PROCEDURES</w:t>
      </w:r>
    </w:p>
    <w:p w:rsidR="00B159CE" w:rsidRPr="00701945" w:rsidRDefault="00B159CE" w:rsidP="00B159CE">
      <w:pPr>
        <w:jc w:val="both"/>
      </w:pPr>
    </w:p>
    <w:p w:rsidR="00834B39" w:rsidRPr="00701945" w:rsidRDefault="00B159CE" w:rsidP="00B159CE">
      <w:pPr>
        <w:jc w:val="both"/>
      </w:pPr>
      <w:r w:rsidRPr="00701945">
        <w:tab/>
      </w:r>
      <w:r w:rsidR="004654E7">
        <w:t>E</w:t>
      </w:r>
      <w:r w:rsidRPr="00701945">
        <w:t xml:space="preserve">ach party </w:t>
      </w:r>
      <w:r w:rsidR="004654E7">
        <w:t>may</w:t>
      </w:r>
      <w:r w:rsidRPr="00701945">
        <w:t xml:space="preserve"> file a post-hearing </w:t>
      </w:r>
      <w:r w:rsidR="00A72196">
        <w:t xml:space="preserve">brief with </w:t>
      </w:r>
      <w:r w:rsidR="008C10C0">
        <w:t xml:space="preserve">a brief statement of position on each issue, </w:t>
      </w:r>
      <w:r w:rsidR="00A72196">
        <w:t>proposed findings of fact, conclusions of law, and disposition</w:t>
      </w:r>
      <w:r w:rsidRPr="00701945">
        <w:t>.</w:t>
      </w:r>
      <w:r w:rsidR="00A72196">
        <w:t xml:space="preserve"> </w:t>
      </w:r>
      <w:r w:rsidRPr="00701945">
        <w:t xml:space="preserve">Pursuant to Rule 28-106.215, </w:t>
      </w:r>
      <w:r>
        <w:t>F.A.C.</w:t>
      </w:r>
      <w:r w:rsidRPr="00701945">
        <w:t xml:space="preserve">, a party's </w:t>
      </w:r>
      <w:r w:rsidR="00A72196">
        <w:t xml:space="preserve">post-hearing brief </w:t>
      </w:r>
      <w:r w:rsidRPr="00701945">
        <w:t xml:space="preserve">shall total no more than </w:t>
      </w:r>
      <w:r>
        <w:t>40</w:t>
      </w:r>
      <w:r w:rsidRPr="00701945">
        <w:t xml:space="preserve"> pages.</w:t>
      </w:r>
    </w:p>
    <w:p w:rsidR="00A72196" w:rsidRDefault="00A72196" w:rsidP="00B159CE">
      <w:pPr>
        <w:jc w:val="both"/>
      </w:pPr>
    </w:p>
    <w:p w:rsidR="00B159CE" w:rsidRPr="00701945" w:rsidRDefault="00B159CE" w:rsidP="00B159CE">
      <w:pPr>
        <w:jc w:val="both"/>
      </w:pPr>
      <w:r w:rsidRPr="00701945">
        <w:tab/>
        <w:t>It is therefore,</w:t>
      </w:r>
    </w:p>
    <w:p w:rsidR="00B159CE" w:rsidRPr="00701945" w:rsidRDefault="00B159CE" w:rsidP="00B159CE">
      <w:pPr>
        <w:jc w:val="both"/>
      </w:pPr>
    </w:p>
    <w:p w:rsidR="00B159CE" w:rsidRDefault="00B159CE" w:rsidP="00A72196">
      <w:pPr>
        <w:keepNext/>
        <w:keepLines/>
        <w:jc w:val="both"/>
      </w:pPr>
      <w:r w:rsidRPr="00701945">
        <w:tab/>
        <w:t>ORDERED by Commissioner</w:t>
      </w:r>
      <w:r w:rsidR="00A72196" w:rsidRPr="00A72196">
        <w:t xml:space="preserve"> </w:t>
      </w:r>
      <w:r w:rsidR="00A72196">
        <w:t>Gabriella Passidomo</w:t>
      </w:r>
      <w:r w:rsidRPr="00701945">
        <w:t>, as Prehearing Officer, that this Prehearing Order shall govern the conduct of these proceedings as set forth above unless modified by the Commission.</w:t>
      </w:r>
    </w:p>
    <w:p w:rsidR="008B218F" w:rsidRDefault="008B218F" w:rsidP="00B159CE">
      <w:pPr>
        <w:jc w:val="both"/>
      </w:pPr>
    </w:p>
    <w:p w:rsidR="008B218F" w:rsidRDefault="008B218F" w:rsidP="008B218F">
      <w:pPr>
        <w:keepNext/>
        <w:keepLines/>
        <w:jc w:val="both"/>
      </w:pPr>
      <w:r>
        <w:lastRenderedPageBreak/>
        <w:tab/>
        <w:t xml:space="preserve">By ORDER of Commissioner Gabriella Passidomo, as Prehearing Officer, this </w:t>
      </w:r>
      <w:bookmarkStart w:id="5" w:name="replaceDate"/>
      <w:bookmarkEnd w:id="5"/>
      <w:r w:rsidR="00C36E11">
        <w:rPr>
          <w:u w:val="single"/>
        </w:rPr>
        <w:t>15th</w:t>
      </w:r>
      <w:r w:rsidR="00C36E11">
        <w:t xml:space="preserve"> day of </w:t>
      </w:r>
      <w:r w:rsidR="00C36E11">
        <w:rPr>
          <w:u w:val="single"/>
        </w:rPr>
        <w:t>August</w:t>
      </w:r>
      <w:r w:rsidR="00C36E11">
        <w:t xml:space="preserve">, </w:t>
      </w:r>
      <w:r w:rsidR="00C36E11">
        <w:rPr>
          <w:u w:val="single"/>
        </w:rPr>
        <w:t>2024</w:t>
      </w:r>
      <w:r w:rsidR="00C36E11">
        <w:t>.</w:t>
      </w:r>
    </w:p>
    <w:p w:rsidR="00C36E11" w:rsidRPr="00C36E11" w:rsidRDefault="00C36E11" w:rsidP="008B218F">
      <w:pPr>
        <w:keepNext/>
        <w:keepLines/>
        <w:jc w:val="both"/>
      </w:pPr>
    </w:p>
    <w:p w:rsidR="008B218F" w:rsidRDefault="008B218F" w:rsidP="008B218F">
      <w:pPr>
        <w:keepNext/>
        <w:keepLines/>
        <w:jc w:val="both"/>
      </w:pPr>
    </w:p>
    <w:p w:rsidR="008B218F" w:rsidRDefault="008B218F" w:rsidP="008B218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218F" w:rsidTr="008B218F">
        <w:tc>
          <w:tcPr>
            <w:tcW w:w="720" w:type="dxa"/>
            <w:shd w:val="clear" w:color="auto" w:fill="auto"/>
          </w:tcPr>
          <w:p w:rsidR="008B218F" w:rsidRDefault="008B218F" w:rsidP="008B218F">
            <w:pPr>
              <w:keepNext/>
              <w:keepLines/>
              <w:jc w:val="both"/>
            </w:pPr>
            <w:bookmarkStart w:id="6" w:name="bkmrkSignature" w:colFirst="0" w:colLast="0"/>
          </w:p>
        </w:tc>
        <w:tc>
          <w:tcPr>
            <w:tcW w:w="4320" w:type="dxa"/>
            <w:tcBorders>
              <w:bottom w:val="single" w:sz="4" w:space="0" w:color="auto"/>
            </w:tcBorders>
            <w:shd w:val="clear" w:color="auto" w:fill="auto"/>
          </w:tcPr>
          <w:p w:rsidR="008B218F" w:rsidRDefault="00C36E11" w:rsidP="008B218F">
            <w:pPr>
              <w:keepNext/>
              <w:keepLines/>
              <w:jc w:val="both"/>
            </w:pPr>
            <w:r>
              <w:t>/s/ Gabriella Passidomo</w:t>
            </w:r>
            <w:bookmarkStart w:id="7" w:name="_GoBack"/>
            <w:bookmarkEnd w:id="7"/>
          </w:p>
        </w:tc>
      </w:tr>
      <w:bookmarkEnd w:id="6"/>
      <w:tr w:rsidR="008B218F" w:rsidTr="008B218F">
        <w:tc>
          <w:tcPr>
            <w:tcW w:w="720" w:type="dxa"/>
            <w:shd w:val="clear" w:color="auto" w:fill="auto"/>
          </w:tcPr>
          <w:p w:rsidR="008B218F" w:rsidRDefault="008B218F" w:rsidP="008B218F">
            <w:pPr>
              <w:keepNext/>
              <w:keepLines/>
              <w:jc w:val="both"/>
            </w:pPr>
          </w:p>
        </w:tc>
        <w:tc>
          <w:tcPr>
            <w:tcW w:w="4320" w:type="dxa"/>
            <w:tcBorders>
              <w:top w:val="single" w:sz="4" w:space="0" w:color="auto"/>
            </w:tcBorders>
            <w:shd w:val="clear" w:color="auto" w:fill="auto"/>
          </w:tcPr>
          <w:p w:rsidR="008B218F" w:rsidRDefault="008B218F" w:rsidP="008B218F">
            <w:pPr>
              <w:keepNext/>
              <w:keepLines/>
              <w:jc w:val="both"/>
            </w:pPr>
            <w:r>
              <w:t>Gabriella Passidomo</w:t>
            </w:r>
          </w:p>
          <w:p w:rsidR="008B218F" w:rsidRDefault="008B218F" w:rsidP="008B218F">
            <w:pPr>
              <w:keepNext/>
              <w:keepLines/>
              <w:jc w:val="both"/>
            </w:pPr>
            <w:r>
              <w:t>Commissioner and Prehearing Officer</w:t>
            </w:r>
          </w:p>
        </w:tc>
      </w:tr>
    </w:tbl>
    <w:p w:rsidR="008B218F" w:rsidRDefault="008B218F" w:rsidP="008B218F">
      <w:pPr>
        <w:pStyle w:val="OrderSigInfo"/>
        <w:keepNext/>
        <w:keepLines/>
      </w:pPr>
      <w:r>
        <w:t>Florida Public Service Commission</w:t>
      </w:r>
    </w:p>
    <w:p w:rsidR="008B218F" w:rsidRDefault="008B218F" w:rsidP="008B218F">
      <w:pPr>
        <w:pStyle w:val="OrderSigInfo"/>
        <w:keepNext/>
        <w:keepLines/>
      </w:pPr>
      <w:r>
        <w:t>2540 Shumard Oak Boulevard</w:t>
      </w:r>
    </w:p>
    <w:p w:rsidR="008B218F" w:rsidRDefault="008B218F" w:rsidP="008B218F">
      <w:pPr>
        <w:pStyle w:val="OrderSigInfo"/>
        <w:keepNext/>
        <w:keepLines/>
      </w:pPr>
      <w:r>
        <w:t>Tallahassee, Florida 32399</w:t>
      </w:r>
    </w:p>
    <w:p w:rsidR="008B218F" w:rsidRDefault="008B218F" w:rsidP="008B218F">
      <w:pPr>
        <w:pStyle w:val="OrderSigInfo"/>
        <w:keepNext/>
        <w:keepLines/>
      </w:pPr>
      <w:r>
        <w:t>(850) 413</w:t>
      </w:r>
      <w:r>
        <w:noBreakHyphen/>
        <w:t>6770</w:t>
      </w:r>
    </w:p>
    <w:p w:rsidR="008B218F" w:rsidRDefault="008B218F" w:rsidP="008B218F">
      <w:pPr>
        <w:pStyle w:val="OrderSigInfo"/>
        <w:keepNext/>
        <w:keepLines/>
      </w:pPr>
      <w:r>
        <w:t>www.floridapsc.com</w:t>
      </w:r>
    </w:p>
    <w:p w:rsidR="008B218F" w:rsidRDefault="008B218F" w:rsidP="008B218F">
      <w:pPr>
        <w:pStyle w:val="OrderSigInfo"/>
        <w:keepNext/>
        <w:keepLines/>
      </w:pPr>
    </w:p>
    <w:p w:rsidR="008B218F" w:rsidRDefault="008B218F" w:rsidP="008B218F">
      <w:pPr>
        <w:pStyle w:val="OrderSigInfo"/>
        <w:keepNext/>
        <w:keepLines/>
      </w:pPr>
      <w:r>
        <w:t>Copies furnished:  A copy of this document is provided to the parties of record at the time of issuance and, if applicable, interested persons.</w:t>
      </w:r>
    </w:p>
    <w:p w:rsidR="008B218F" w:rsidRDefault="008B218F" w:rsidP="008B218F">
      <w:pPr>
        <w:pStyle w:val="OrderBody"/>
        <w:keepNext/>
        <w:keepLines/>
      </w:pPr>
    </w:p>
    <w:p w:rsidR="008B218F" w:rsidRDefault="008B218F" w:rsidP="008B218F">
      <w:pPr>
        <w:keepNext/>
        <w:keepLines/>
        <w:jc w:val="both"/>
      </w:pPr>
    </w:p>
    <w:p w:rsidR="008B218F" w:rsidRDefault="008B218F" w:rsidP="008B218F">
      <w:pPr>
        <w:keepNext/>
        <w:keepLines/>
        <w:jc w:val="both"/>
      </w:pPr>
      <w:r>
        <w:t>SPS</w:t>
      </w:r>
    </w:p>
    <w:p w:rsidR="008B218F" w:rsidRDefault="008B218F" w:rsidP="008B218F">
      <w:pPr>
        <w:jc w:val="both"/>
      </w:pPr>
    </w:p>
    <w:p w:rsidR="008B218F" w:rsidRDefault="008B218F" w:rsidP="008B218F">
      <w:pPr>
        <w:jc w:val="both"/>
      </w:pPr>
    </w:p>
    <w:p w:rsidR="008B218F" w:rsidRDefault="008B218F" w:rsidP="008B218F">
      <w:pPr>
        <w:pStyle w:val="CenterUnderline"/>
      </w:pPr>
      <w:r>
        <w:t>NOTICE OF FURTHER PROCEEDINGS OR JUDICIAL REVIEW</w:t>
      </w:r>
    </w:p>
    <w:p w:rsidR="008B218F" w:rsidRDefault="008B218F" w:rsidP="008B218F">
      <w:pPr>
        <w:pStyle w:val="CenterUnderline"/>
      </w:pPr>
    </w:p>
    <w:p w:rsidR="008B218F" w:rsidRDefault="008B218F" w:rsidP="008B21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218F" w:rsidRDefault="008B218F" w:rsidP="008B218F">
      <w:pPr>
        <w:pStyle w:val="OrderBody"/>
      </w:pPr>
    </w:p>
    <w:p w:rsidR="008B218F" w:rsidRDefault="008B218F" w:rsidP="008B218F">
      <w:pPr>
        <w:pStyle w:val="OrderBody"/>
      </w:pPr>
      <w:r>
        <w:tab/>
        <w:t>Mediation may be available on a case-by-case basis.  If mediation is conducted, it does not affect a substantially interested person's right to a hearing.</w:t>
      </w:r>
    </w:p>
    <w:p w:rsidR="008B218F" w:rsidRDefault="008B218F" w:rsidP="008B218F">
      <w:pPr>
        <w:pStyle w:val="OrderBody"/>
      </w:pPr>
    </w:p>
    <w:p w:rsidR="008B218F" w:rsidRDefault="008B218F" w:rsidP="008B21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rsidSect="00DC71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FE" w:rsidRDefault="006658FE">
      <w:r>
        <w:separator/>
      </w:r>
    </w:p>
  </w:endnote>
  <w:endnote w:type="continuationSeparator" w:id="0">
    <w:p w:rsidR="006658FE" w:rsidRDefault="0066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7C" w:rsidRDefault="00E6667C">
    <w:pPr>
      <w:pStyle w:val="Footer"/>
    </w:pPr>
  </w:p>
  <w:p w:rsidR="00E6667C" w:rsidRDefault="00E6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FE" w:rsidRDefault="006658FE">
      <w:r>
        <w:separator/>
      </w:r>
    </w:p>
  </w:footnote>
  <w:footnote w:type="continuationSeparator" w:id="0">
    <w:p w:rsidR="006658FE" w:rsidRDefault="006658FE">
      <w:r>
        <w:continuationSeparator/>
      </w:r>
    </w:p>
  </w:footnote>
  <w:footnote w:id="1">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PSC-2024-0106-PCO-EI, issued April 19, 2024.</w:t>
      </w:r>
    </w:p>
  </w:footnote>
  <w:footnote w:id="2">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PSC-2024-0107-PCO-EI, issued April 19, 2024.</w:t>
      </w:r>
    </w:p>
  </w:footnote>
  <w:footnote w:id="3">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PSC-2024-0108-PCO-EI, issued April 19, 2024.</w:t>
      </w:r>
    </w:p>
  </w:footnote>
  <w:footnote w:id="4">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PSC-2024-0109-PCO-EI, issued April 19, 2024.</w:t>
      </w:r>
    </w:p>
  </w:footnote>
  <w:footnote w:id="5">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PSC-2024-0129-PCO-EI, issued April 24, 2024.</w:t>
      </w:r>
    </w:p>
  </w:footnote>
  <w:footnote w:id="6">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PSC-2024-0130-PCO-EI, issued April 24, 2024.</w:t>
      </w:r>
    </w:p>
  </w:footnote>
  <w:footnote w:id="7">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PSC-2024-0150-PCO-EI, issued May 13, 2024.</w:t>
      </w:r>
    </w:p>
  </w:footnote>
  <w:footnote w:id="8">
    <w:p w:rsidR="00E6667C" w:rsidRPr="00FD4D13" w:rsidRDefault="00E6667C" w:rsidP="00042143">
      <w:pPr>
        <w:pStyle w:val="FootnoteText"/>
      </w:pPr>
      <w:r w:rsidRPr="00FD4D13">
        <w:rPr>
          <w:rStyle w:val="FootnoteReference"/>
        </w:rPr>
        <w:footnoteRef/>
      </w:r>
      <w:r w:rsidRPr="00FD4D13">
        <w:t xml:space="preserve"> Order </w:t>
      </w:r>
      <w:r>
        <w:t xml:space="preserve">No. </w:t>
      </w:r>
      <w:r w:rsidRPr="00FD4D13">
        <w:t>PSC-2024-0184-PCO-EI, issued June 4, 2024.</w:t>
      </w:r>
    </w:p>
  </w:footnote>
  <w:footnote w:id="9">
    <w:p w:rsidR="00E6667C" w:rsidRDefault="00E6667C" w:rsidP="00042143">
      <w:pPr>
        <w:pStyle w:val="FootnoteText"/>
      </w:pPr>
      <w:r w:rsidRPr="00FD4D13">
        <w:rPr>
          <w:rStyle w:val="FootnoteReference"/>
        </w:rPr>
        <w:footnoteRef/>
      </w:r>
      <w:r w:rsidRPr="00FD4D13">
        <w:t xml:space="preserve"> Order </w:t>
      </w:r>
      <w:r>
        <w:t xml:space="preserve">No. </w:t>
      </w:r>
      <w:r w:rsidRPr="00FD4D13">
        <w:t>PSC-2024-0185-PCO-EI, issued June 4, 2024.</w:t>
      </w:r>
    </w:p>
  </w:footnote>
  <w:footnote w:id="10">
    <w:p w:rsidR="00E6667C" w:rsidRDefault="00E6667C" w:rsidP="00042143">
      <w:pPr>
        <w:pStyle w:val="FootnoteText"/>
      </w:pPr>
      <w:r>
        <w:rPr>
          <w:rStyle w:val="FootnoteReference"/>
        </w:rPr>
        <w:footnoteRef/>
      </w:r>
      <w:r>
        <w:t xml:space="preserve"> </w:t>
      </w:r>
      <w:r w:rsidRPr="00FD4D13">
        <w:t xml:space="preserve">Order </w:t>
      </w:r>
      <w:r>
        <w:t xml:space="preserve">No. </w:t>
      </w:r>
      <w:r w:rsidRPr="00FD4D13">
        <w:t>PSC</w:t>
      </w:r>
      <w:r>
        <w:t>-2024-0256-PCO-EI, issued July 22</w:t>
      </w:r>
      <w:r w:rsidRPr="00FD4D13">
        <w:t>, 2024.</w:t>
      </w:r>
    </w:p>
  </w:footnote>
  <w:footnote w:id="11">
    <w:p w:rsidR="00E6667C" w:rsidRDefault="00E6667C" w:rsidP="00042143">
      <w:pPr>
        <w:pStyle w:val="FootnoteText"/>
      </w:pPr>
      <w:r>
        <w:rPr>
          <w:rStyle w:val="FootnoteReference"/>
        </w:rPr>
        <w:footnoteRef/>
      </w:r>
      <w:r>
        <w:t xml:space="preserve"> </w:t>
      </w:r>
      <w:r w:rsidRPr="00FD4D13">
        <w:t xml:space="preserve">Order </w:t>
      </w:r>
      <w:r>
        <w:t xml:space="preserve">No. </w:t>
      </w:r>
      <w:r w:rsidRPr="00FD4D13">
        <w:t>PSC</w:t>
      </w:r>
      <w:r>
        <w:t>-2024-0257-PCO-EI, issued July 22</w:t>
      </w:r>
      <w:r w:rsidRPr="00FD4D13">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7C" w:rsidRDefault="00E6667C">
    <w:pPr>
      <w:pStyle w:val="OrderHeader"/>
    </w:pPr>
    <w:r>
      <w:t xml:space="preserve">ORDER NO. </w:t>
    </w:r>
    <w:fldSimple w:instr=" REF OrderNo0360 ">
      <w:r w:rsidR="00C36E11">
        <w:t>PSC-2024-0360-PHO-EI</w:t>
      </w:r>
    </w:fldSimple>
  </w:p>
  <w:p w:rsidR="00E6667C" w:rsidRDefault="00E6667C">
    <w:pPr>
      <w:pStyle w:val="OrderHeader"/>
    </w:pPr>
    <w:bookmarkStart w:id="8" w:name="HeaderDocketNo"/>
    <w:bookmarkEnd w:id="8"/>
    <w:r>
      <w:t>DOCKET NO. 20240025-EI</w:t>
    </w:r>
  </w:p>
  <w:p w:rsidR="00E6667C" w:rsidRDefault="00E6667C">
    <w:pPr>
      <w:pStyle w:val="OrderHeader"/>
      <w:rPr>
        <w:rStyle w:val="PageNumber"/>
      </w:rPr>
    </w:pPr>
    <w:r>
      <w:t xml:space="preserve">PAGE </w:t>
    </w:r>
    <w:r w:rsidR="00DC7169">
      <w:rPr>
        <w:rStyle w:val="PageNumber"/>
      </w:rPr>
      <w:fldChar w:fldCharType="begin"/>
    </w:r>
    <w:r>
      <w:rPr>
        <w:rStyle w:val="PageNumber"/>
      </w:rPr>
      <w:instrText xml:space="preserve"> PAGE </w:instrText>
    </w:r>
    <w:r w:rsidR="00DC7169">
      <w:rPr>
        <w:rStyle w:val="PageNumber"/>
      </w:rPr>
      <w:fldChar w:fldCharType="separate"/>
    </w:r>
    <w:r w:rsidR="00C36E11">
      <w:rPr>
        <w:rStyle w:val="PageNumber"/>
        <w:noProof/>
      </w:rPr>
      <w:t>23</w:t>
    </w:r>
    <w:r w:rsidR="00DC7169">
      <w:rPr>
        <w:rStyle w:val="PageNumber"/>
      </w:rPr>
      <w:fldChar w:fldCharType="end"/>
    </w:r>
  </w:p>
  <w:p w:rsidR="00E6667C" w:rsidRDefault="00E6667C">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72645A3"/>
    <w:multiLevelType w:val="hybridMultilevel"/>
    <w:tmpl w:val="E8D0F726"/>
    <w:lvl w:ilvl="0" w:tplc="1EB8C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40025-EI"/>
  </w:docVars>
  <w:rsids>
    <w:rsidRoot w:val="00B159CE"/>
    <w:rsid w:val="000022B8"/>
    <w:rsid w:val="00003883"/>
    <w:rsid w:val="00011251"/>
    <w:rsid w:val="00013CFA"/>
    <w:rsid w:val="00025C2A"/>
    <w:rsid w:val="00025C9D"/>
    <w:rsid w:val="0003433F"/>
    <w:rsid w:val="00035A8C"/>
    <w:rsid w:val="00036BDD"/>
    <w:rsid w:val="00041E90"/>
    <w:rsid w:val="00041FFD"/>
    <w:rsid w:val="00042143"/>
    <w:rsid w:val="00042C99"/>
    <w:rsid w:val="00053AB9"/>
    <w:rsid w:val="00056229"/>
    <w:rsid w:val="00057AF1"/>
    <w:rsid w:val="00065FC2"/>
    <w:rsid w:val="00066D34"/>
    <w:rsid w:val="00066D4B"/>
    <w:rsid w:val="00067685"/>
    <w:rsid w:val="00067B07"/>
    <w:rsid w:val="000730D7"/>
    <w:rsid w:val="00076E6B"/>
    <w:rsid w:val="00081AE4"/>
    <w:rsid w:val="0008221C"/>
    <w:rsid w:val="0008247D"/>
    <w:rsid w:val="00087DCA"/>
    <w:rsid w:val="00090AFC"/>
    <w:rsid w:val="00096507"/>
    <w:rsid w:val="000A774F"/>
    <w:rsid w:val="000B1603"/>
    <w:rsid w:val="000B7284"/>
    <w:rsid w:val="000B783E"/>
    <w:rsid w:val="000B7D81"/>
    <w:rsid w:val="000C0811"/>
    <w:rsid w:val="000C1994"/>
    <w:rsid w:val="000C5EA8"/>
    <w:rsid w:val="000C6926"/>
    <w:rsid w:val="000D02B8"/>
    <w:rsid w:val="000D06E8"/>
    <w:rsid w:val="000D0BDF"/>
    <w:rsid w:val="000D52C1"/>
    <w:rsid w:val="000D5F93"/>
    <w:rsid w:val="000D6E65"/>
    <w:rsid w:val="000D78FB"/>
    <w:rsid w:val="000E050C"/>
    <w:rsid w:val="000E20F0"/>
    <w:rsid w:val="000E2593"/>
    <w:rsid w:val="000E344D"/>
    <w:rsid w:val="000E3F6D"/>
    <w:rsid w:val="000E4F5A"/>
    <w:rsid w:val="000E54C9"/>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6A8"/>
    <w:rsid w:val="001760BF"/>
    <w:rsid w:val="001824BB"/>
    <w:rsid w:val="00187E32"/>
    <w:rsid w:val="001918FF"/>
    <w:rsid w:val="00194A97"/>
    <w:rsid w:val="00194E81"/>
    <w:rsid w:val="001A15E7"/>
    <w:rsid w:val="001A33C9"/>
    <w:rsid w:val="001A58F3"/>
    <w:rsid w:val="001B034E"/>
    <w:rsid w:val="001B310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D76"/>
    <w:rsid w:val="002170E5"/>
    <w:rsid w:val="00220D57"/>
    <w:rsid w:val="00223B99"/>
    <w:rsid w:val="0022721A"/>
    <w:rsid w:val="00230BB9"/>
    <w:rsid w:val="00241467"/>
    <w:rsid w:val="00241CEF"/>
    <w:rsid w:val="0025124E"/>
    <w:rsid w:val="00252B30"/>
    <w:rsid w:val="00255291"/>
    <w:rsid w:val="002613E4"/>
    <w:rsid w:val="00262C43"/>
    <w:rsid w:val="0026544B"/>
    <w:rsid w:val="00270F89"/>
    <w:rsid w:val="00273B02"/>
    <w:rsid w:val="00276CDC"/>
    <w:rsid w:val="00277655"/>
    <w:rsid w:val="002824B7"/>
    <w:rsid w:val="00282AC4"/>
    <w:rsid w:val="00293DC9"/>
    <w:rsid w:val="00297C37"/>
    <w:rsid w:val="002A11AC"/>
    <w:rsid w:val="002A1893"/>
    <w:rsid w:val="002A6F30"/>
    <w:rsid w:val="002A7884"/>
    <w:rsid w:val="002B3111"/>
    <w:rsid w:val="002C09F5"/>
    <w:rsid w:val="002C118E"/>
    <w:rsid w:val="002C2096"/>
    <w:rsid w:val="002C7908"/>
    <w:rsid w:val="002D391B"/>
    <w:rsid w:val="002D4B1F"/>
    <w:rsid w:val="002D7D15"/>
    <w:rsid w:val="002E1B2E"/>
    <w:rsid w:val="002E27EB"/>
    <w:rsid w:val="002E4EF4"/>
    <w:rsid w:val="002E688D"/>
    <w:rsid w:val="002E78B6"/>
    <w:rsid w:val="002F0F1C"/>
    <w:rsid w:val="002F2A9D"/>
    <w:rsid w:val="002F31C2"/>
    <w:rsid w:val="002F4072"/>
    <w:rsid w:val="002F7BF6"/>
    <w:rsid w:val="00303FDE"/>
    <w:rsid w:val="00313C5B"/>
    <w:rsid w:val="003140E8"/>
    <w:rsid w:val="00320532"/>
    <w:rsid w:val="003231C7"/>
    <w:rsid w:val="00323839"/>
    <w:rsid w:val="003270C4"/>
    <w:rsid w:val="00331ED0"/>
    <w:rsid w:val="00332B0A"/>
    <w:rsid w:val="00333A41"/>
    <w:rsid w:val="003353D4"/>
    <w:rsid w:val="00341036"/>
    <w:rsid w:val="00341A45"/>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3B26"/>
    <w:rsid w:val="003B6F02"/>
    <w:rsid w:val="003B73AE"/>
    <w:rsid w:val="003C0431"/>
    <w:rsid w:val="003C29BB"/>
    <w:rsid w:val="003D3989"/>
    <w:rsid w:val="003D4CCA"/>
    <w:rsid w:val="003D52A6"/>
    <w:rsid w:val="003D6416"/>
    <w:rsid w:val="003D6B14"/>
    <w:rsid w:val="003E1D48"/>
    <w:rsid w:val="003E1D96"/>
    <w:rsid w:val="003E711F"/>
    <w:rsid w:val="003F1D2B"/>
    <w:rsid w:val="003F49A6"/>
    <w:rsid w:val="003F518F"/>
    <w:rsid w:val="003F6BA7"/>
    <w:rsid w:val="003F6E49"/>
    <w:rsid w:val="003F7445"/>
    <w:rsid w:val="00411DF2"/>
    <w:rsid w:val="00411E8F"/>
    <w:rsid w:val="004247F5"/>
    <w:rsid w:val="0042527B"/>
    <w:rsid w:val="00426DAA"/>
    <w:rsid w:val="00427EAC"/>
    <w:rsid w:val="004431B4"/>
    <w:rsid w:val="00445604"/>
    <w:rsid w:val="00451158"/>
    <w:rsid w:val="0045537F"/>
    <w:rsid w:val="00457DC7"/>
    <w:rsid w:val="004640B3"/>
    <w:rsid w:val="004654E7"/>
    <w:rsid w:val="00472BCC"/>
    <w:rsid w:val="00477699"/>
    <w:rsid w:val="00480526"/>
    <w:rsid w:val="004A25CD"/>
    <w:rsid w:val="004A26CC"/>
    <w:rsid w:val="004B2108"/>
    <w:rsid w:val="004B3A2B"/>
    <w:rsid w:val="004B70D3"/>
    <w:rsid w:val="004C312D"/>
    <w:rsid w:val="004D2D1B"/>
    <w:rsid w:val="004D404B"/>
    <w:rsid w:val="004D5067"/>
    <w:rsid w:val="004D6838"/>
    <w:rsid w:val="004D72BC"/>
    <w:rsid w:val="004D74F1"/>
    <w:rsid w:val="004E2C79"/>
    <w:rsid w:val="004E469D"/>
    <w:rsid w:val="004E7F4F"/>
    <w:rsid w:val="004F2DDE"/>
    <w:rsid w:val="004F5A55"/>
    <w:rsid w:val="004F6426"/>
    <w:rsid w:val="004F7826"/>
    <w:rsid w:val="0050097F"/>
    <w:rsid w:val="00514B1F"/>
    <w:rsid w:val="00521307"/>
    <w:rsid w:val="00523C5C"/>
    <w:rsid w:val="00524884"/>
    <w:rsid w:val="00525E93"/>
    <w:rsid w:val="0052671D"/>
    <w:rsid w:val="005300C0"/>
    <w:rsid w:val="00533EF6"/>
    <w:rsid w:val="00535F2D"/>
    <w:rsid w:val="00540E6B"/>
    <w:rsid w:val="0054109E"/>
    <w:rsid w:val="00545C6A"/>
    <w:rsid w:val="00552F4A"/>
    <w:rsid w:val="0055595D"/>
    <w:rsid w:val="00556A10"/>
    <w:rsid w:val="00557F50"/>
    <w:rsid w:val="00571D3D"/>
    <w:rsid w:val="0058264B"/>
    <w:rsid w:val="00586368"/>
    <w:rsid w:val="005868AA"/>
    <w:rsid w:val="00590845"/>
    <w:rsid w:val="00591E52"/>
    <w:rsid w:val="005963C2"/>
    <w:rsid w:val="005A0D69"/>
    <w:rsid w:val="005A31F4"/>
    <w:rsid w:val="005A3F86"/>
    <w:rsid w:val="005A3FBF"/>
    <w:rsid w:val="005A73EA"/>
    <w:rsid w:val="005B45F7"/>
    <w:rsid w:val="005B63EA"/>
    <w:rsid w:val="005C1A88"/>
    <w:rsid w:val="005C5033"/>
    <w:rsid w:val="005D49CA"/>
    <w:rsid w:val="005D4E1B"/>
    <w:rsid w:val="005D5504"/>
    <w:rsid w:val="005E751B"/>
    <w:rsid w:val="005F00B6"/>
    <w:rsid w:val="005F2751"/>
    <w:rsid w:val="005F3354"/>
    <w:rsid w:val="005F4AD6"/>
    <w:rsid w:val="0060005E"/>
    <w:rsid w:val="0060095B"/>
    <w:rsid w:val="00601266"/>
    <w:rsid w:val="00610221"/>
    <w:rsid w:val="00610E73"/>
    <w:rsid w:val="00613587"/>
    <w:rsid w:val="00615F9B"/>
    <w:rsid w:val="00616DF2"/>
    <w:rsid w:val="00620664"/>
    <w:rsid w:val="00621EF4"/>
    <w:rsid w:val="0062385D"/>
    <w:rsid w:val="00623AEE"/>
    <w:rsid w:val="0063168D"/>
    <w:rsid w:val="00635C79"/>
    <w:rsid w:val="006423A7"/>
    <w:rsid w:val="006434C1"/>
    <w:rsid w:val="006455DF"/>
    <w:rsid w:val="00645AF6"/>
    <w:rsid w:val="00647025"/>
    <w:rsid w:val="0064730A"/>
    <w:rsid w:val="006507DA"/>
    <w:rsid w:val="006531A4"/>
    <w:rsid w:val="00653F11"/>
    <w:rsid w:val="006603DB"/>
    <w:rsid w:val="00660774"/>
    <w:rsid w:val="0066389A"/>
    <w:rsid w:val="0066495C"/>
    <w:rsid w:val="006658FE"/>
    <w:rsid w:val="00665CC7"/>
    <w:rsid w:val="00667F90"/>
    <w:rsid w:val="00672612"/>
    <w:rsid w:val="00674B53"/>
    <w:rsid w:val="00674ECC"/>
    <w:rsid w:val="00677F18"/>
    <w:rsid w:val="006905B2"/>
    <w:rsid w:val="00693483"/>
    <w:rsid w:val="006A0BF3"/>
    <w:rsid w:val="006B0036"/>
    <w:rsid w:val="006B0DA6"/>
    <w:rsid w:val="006B3FA9"/>
    <w:rsid w:val="006C0A5E"/>
    <w:rsid w:val="006C547E"/>
    <w:rsid w:val="006D2B51"/>
    <w:rsid w:val="006D5575"/>
    <w:rsid w:val="006D7191"/>
    <w:rsid w:val="006E21C4"/>
    <w:rsid w:val="006E42BE"/>
    <w:rsid w:val="006E5D4D"/>
    <w:rsid w:val="006E6D16"/>
    <w:rsid w:val="006F33D3"/>
    <w:rsid w:val="006F651F"/>
    <w:rsid w:val="00703F2A"/>
    <w:rsid w:val="00704C5D"/>
    <w:rsid w:val="007072BC"/>
    <w:rsid w:val="00715275"/>
    <w:rsid w:val="00721B44"/>
    <w:rsid w:val="007232A2"/>
    <w:rsid w:val="00726366"/>
    <w:rsid w:val="00731AB6"/>
    <w:rsid w:val="00733B6B"/>
    <w:rsid w:val="00740808"/>
    <w:rsid w:val="00740A1B"/>
    <w:rsid w:val="007467C4"/>
    <w:rsid w:val="00751565"/>
    <w:rsid w:val="00753796"/>
    <w:rsid w:val="0076170F"/>
    <w:rsid w:val="0076669C"/>
    <w:rsid w:val="00766E46"/>
    <w:rsid w:val="00772CCB"/>
    <w:rsid w:val="00774633"/>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D15"/>
    <w:rsid w:val="007C7ECF"/>
    <w:rsid w:val="007D3D20"/>
    <w:rsid w:val="007D44F9"/>
    <w:rsid w:val="007D742E"/>
    <w:rsid w:val="007E3AFD"/>
    <w:rsid w:val="00801DAD"/>
    <w:rsid w:val="00803189"/>
    <w:rsid w:val="00804E7A"/>
    <w:rsid w:val="00805FBB"/>
    <w:rsid w:val="008107C3"/>
    <w:rsid w:val="00813D49"/>
    <w:rsid w:val="00814292"/>
    <w:rsid w:val="008169A4"/>
    <w:rsid w:val="008278FE"/>
    <w:rsid w:val="00832598"/>
    <w:rsid w:val="0083397E"/>
    <w:rsid w:val="00834B39"/>
    <w:rsid w:val="0083534B"/>
    <w:rsid w:val="008357F8"/>
    <w:rsid w:val="00842035"/>
    <w:rsid w:val="00842602"/>
    <w:rsid w:val="008449F0"/>
    <w:rsid w:val="00846F11"/>
    <w:rsid w:val="00847B45"/>
    <w:rsid w:val="00863A66"/>
    <w:rsid w:val="008703D7"/>
    <w:rsid w:val="00874429"/>
    <w:rsid w:val="00875D22"/>
    <w:rsid w:val="00877302"/>
    <w:rsid w:val="00883D9A"/>
    <w:rsid w:val="0089186B"/>
    <w:rsid w:val="008919EF"/>
    <w:rsid w:val="00892B20"/>
    <w:rsid w:val="008931BC"/>
    <w:rsid w:val="0089695B"/>
    <w:rsid w:val="00897740"/>
    <w:rsid w:val="008A12EC"/>
    <w:rsid w:val="008B14BE"/>
    <w:rsid w:val="008B19A6"/>
    <w:rsid w:val="008B218F"/>
    <w:rsid w:val="008B4A7B"/>
    <w:rsid w:val="008B4EFB"/>
    <w:rsid w:val="008B7615"/>
    <w:rsid w:val="008C10C0"/>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3A3"/>
    <w:rsid w:val="009163E8"/>
    <w:rsid w:val="00921BD3"/>
    <w:rsid w:val="009228C7"/>
    <w:rsid w:val="00922A7F"/>
    <w:rsid w:val="00923A5E"/>
    <w:rsid w:val="00924FE7"/>
    <w:rsid w:val="00926E27"/>
    <w:rsid w:val="00931C8C"/>
    <w:rsid w:val="00943D21"/>
    <w:rsid w:val="0094504B"/>
    <w:rsid w:val="009459D4"/>
    <w:rsid w:val="00964A38"/>
    <w:rsid w:val="00966A9D"/>
    <w:rsid w:val="0096742B"/>
    <w:rsid w:val="00967C64"/>
    <w:rsid w:val="009718C5"/>
    <w:rsid w:val="00976AFF"/>
    <w:rsid w:val="00986AED"/>
    <w:rsid w:val="00991463"/>
    <w:rsid w:val="009924CF"/>
    <w:rsid w:val="00994100"/>
    <w:rsid w:val="009A04B7"/>
    <w:rsid w:val="009A1CFD"/>
    <w:rsid w:val="009A6B17"/>
    <w:rsid w:val="009B052E"/>
    <w:rsid w:val="009B3911"/>
    <w:rsid w:val="009B4E00"/>
    <w:rsid w:val="009B52C8"/>
    <w:rsid w:val="009D4C29"/>
    <w:rsid w:val="009E58E9"/>
    <w:rsid w:val="009E6803"/>
    <w:rsid w:val="009F56B9"/>
    <w:rsid w:val="009F6AD2"/>
    <w:rsid w:val="009F7C1B"/>
    <w:rsid w:val="00A00B5B"/>
    <w:rsid w:val="00A00D8D"/>
    <w:rsid w:val="00A01BB6"/>
    <w:rsid w:val="00A108A7"/>
    <w:rsid w:val="00A16410"/>
    <w:rsid w:val="00A228DA"/>
    <w:rsid w:val="00A22B28"/>
    <w:rsid w:val="00A24BAC"/>
    <w:rsid w:val="00A3351E"/>
    <w:rsid w:val="00A4303C"/>
    <w:rsid w:val="00A46CAF"/>
    <w:rsid w:val="00A470FD"/>
    <w:rsid w:val="00A50B5E"/>
    <w:rsid w:val="00A60387"/>
    <w:rsid w:val="00A62DAB"/>
    <w:rsid w:val="00A6757A"/>
    <w:rsid w:val="00A72196"/>
    <w:rsid w:val="00A72240"/>
    <w:rsid w:val="00A726A6"/>
    <w:rsid w:val="00A74842"/>
    <w:rsid w:val="00A8269A"/>
    <w:rsid w:val="00A86A50"/>
    <w:rsid w:val="00A9178A"/>
    <w:rsid w:val="00A9515B"/>
    <w:rsid w:val="00A95610"/>
    <w:rsid w:val="00A97535"/>
    <w:rsid w:val="00AA2BAA"/>
    <w:rsid w:val="00AA6516"/>
    <w:rsid w:val="00AA73F1"/>
    <w:rsid w:val="00AA7D7F"/>
    <w:rsid w:val="00AB0E1A"/>
    <w:rsid w:val="00AB1A30"/>
    <w:rsid w:val="00AB3C36"/>
    <w:rsid w:val="00AB3D30"/>
    <w:rsid w:val="00AC4B09"/>
    <w:rsid w:val="00AC5A01"/>
    <w:rsid w:val="00AD10EB"/>
    <w:rsid w:val="00AD1ED3"/>
    <w:rsid w:val="00AD3717"/>
    <w:rsid w:val="00AD74F4"/>
    <w:rsid w:val="00AF3C82"/>
    <w:rsid w:val="00B001D5"/>
    <w:rsid w:val="00B019C1"/>
    <w:rsid w:val="00B02001"/>
    <w:rsid w:val="00B03C50"/>
    <w:rsid w:val="00B0777D"/>
    <w:rsid w:val="00B11576"/>
    <w:rsid w:val="00B1195F"/>
    <w:rsid w:val="00B14D10"/>
    <w:rsid w:val="00B1590F"/>
    <w:rsid w:val="00B159CE"/>
    <w:rsid w:val="00B209C7"/>
    <w:rsid w:val="00B26480"/>
    <w:rsid w:val="00B3644F"/>
    <w:rsid w:val="00B4057A"/>
    <w:rsid w:val="00B40894"/>
    <w:rsid w:val="00B41039"/>
    <w:rsid w:val="00B41F37"/>
    <w:rsid w:val="00B42987"/>
    <w:rsid w:val="00B444AE"/>
    <w:rsid w:val="00B44657"/>
    <w:rsid w:val="00B45E75"/>
    <w:rsid w:val="00B50876"/>
    <w:rsid w:val="00B51074"/>
    <w:rsid w:val="00B54DAA"/>
    <w:rsid w:val="00B552E0"/>
    <w:rsid w:val="00B55AB0"/>
    <w:rsid w:val="00B55EE5"/>
    <w:rsid w:val="00B61D42"/>
    <w:rsid w:val="00B62109"/>
    <w:rsid w:val="00B67A43"/>
    <w:rsid w:val="00B71D1F"/>
    <w:rsid w:val="00B72CFF"/>
    <w:rsid w:val="00B73DE6"/>
    <w:rsid w:val="00B761CD"/>
    <w:rsid w:val="00B76B66"/>
    <w:rsid w:val="00B835BC"/>
    <w:rsid w:val="00B86DAC"/>
    <w:rsid w:val="00B86EF0"/>
    <w:rsid w:val="00B91B9B"/>
    <w:rsid w:val="00B96969"/>
    <w:rsid w:val="00B97900"/>
    <w:rsid w:val="00BA0664"/>
    <w:rsid w:val="00BA1229"/>
    <w:rsid w:val="00BA44A8"/>
    <w:rsid w:val="00BA49C5"/>
    <w:rsid w:val="00BB0182"/>
    <w:rsid w:val="00BB2F4A"/>
    <w:rsid w:val="00BC786E"/>
    <w:rsid w:val="00BD5C92"/>
    <w:rsid w:val="00BE50E6"/>
    <w:rsid w:val="00BE7A0C"/>
    <w:rsid w:val="00BE7D3F"/>
    <w:rsid w:val="00BF14C6"/>
    <w:rsid w:val="00BF2928"/>
    <w:rsid w:val="00BF5D60"/>
    <w:rsid w:val="00BF6691"/>
    <w:rsid w:val="00C028FC"/>
    <w:rsid w:val="00C037F2"/>
    <w:rsid w:val="00C0386D"/>
    <w:rsid w:val="00C065A1"/>
    <w:rsid w:val="00C10ED5"/>
    <w:rsid w:val="00C12574"/>
    <w:rsid w:val="00C151A6"/>
    <w:rsid w:val="00C24098"/>
    <w:rsid w:val="00C30A4E"/>
    <w:rsid w:val="00C36E11"/>
    <w:rsid w:val="00C411F3"/>
    <w:rsid w:val="00C44105"/>
    <w:rsid w:val="00C523EC"/>
    <w:rsid w:val="00C55A33"/>
    <w:rsid w:val="00C64D49"/>
    <w:rsid w:val="00C66692"/>
    <w:rsid w:val="00C673B5"/>
    <w:rsid w:val="00C7063D"/>
    <w:rsid w:val="00C72339"/>
    <w:rsid w:val="00C75CEA"/>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00AC"/>
    <w:rsid w:val="00CD3D74"/>
    <w:rsid w:val="00CD7132"/>
    <w:rsid w:val="00CE0E6F"/>
    <w:rsid w:val="00CE15E2"/>
    <w:rsid w:val="00CE3B21"/>
    <w:rsid w:val="00CE40BC"/>
    <w:rsid w:val="00CE56FC"/>
    <w:rsid w:val="00CE7A4D"/>
    <w:rsid w:val="00CF32D2"/>
    <w:rsid w:val="00CF4CFE"/>
    <w:rsid w:val="00D00E8E"/>
    <w:rsid w:val="00D0197C"/>
    <w:rsid w:val="00D02E0F"/>
    <w:rsid w:val="00D03EE8"/>
    <w:rsid w:val="00D10250"/>
    <w:rsid w:val="00D13535"/>
    <w:rsid w:val="00D15497"/>
    <w:rsid w:val="00D17B79"/>
    <w:rsid w:val="00D205F5"/>
    <w:rsid w:val="00D23FEA"/>
    <w:rsid w:val="00D269CA"/>
    <w:rsid w:val="00D30B48"/>
    <w:rsid w:val="00D315EF"/>
    <w:rsid w:val="00D3168A"/>
    <w:rsid w:val="00D350D1"/>
    <w:rsid w:val="00D46FAA"/>
    <w:rsid w:val="00D47A40"/>
    <w:rsid w:val="00D50B53"/>
    <w:rsid w:val="00D51D33"/>
    <w:rsid w:val="00D57BB2"/>
    <w:rsid w:val="00D57E57"/>
    <w:rsid w:val="00D70752"/>
    <w:rsid w:val="00D80E2D"/>
    <w:rsid w:val="00D84D5E"/>
    <w:rsid w:val="00D8560E"/>
    <w:rsid w:val="00D8586E"/>
    <w:rsid w:val="00D8758F"/>
    <w:rsid w:val="00D90F41"/>
    <w:rsid w:val="00DA3F4B"/>
    <w:rsid w:val="00DA4EDD"/>
    <w:rsid w:val="00DA6B78"/>
    <w:rsid w:val="00DB122B"/>
    <w:rsid w:val="00DC1996"/>
    <w:rsid w:val="00DC1D94"/>
    <w:rsid w:val="00DC42CF"/>
    <w:rsid w:val="00DC7169"/>
    <w:rsid w:val="00DC738A"/>
    <w:rsid w:val="00DD382A"/>
    <w:rsid w:val="00DD592E"/>
    <w:rsid w:val="00DE057F"/>
    <w:rsid w:val="00DE2082"/>
    <w:rsid w:val="00DE2289"/>
    <w:rsid w:val="00DF09A7"/>
    <w:rsid w:val="00DF2B51"/>
    <w:rsid w:val="00DF5FD0"/>
    <w:rsid w:val="00E001D6"/>
    <w:rsid w:val="00E03A76"/>
    <w:rsid w:val="00E03CE8"/>
    <w:rsid w:val="00E04410"/>
    <w:rsid w:val="00E07484"/>
    <w:rsid w:val="00E11351"/>
    <w:rsid w:val="00E33F44"/>
    <w:rsid w:val="00E37D48"/>
    <w:rsid w:val="00E4225C"/>
    <w:rsid w:val="00E44879"/>
    <w:rsid w:val="00E6667C"/>
    <w:rsid w:val="00E72914"/>
    <w:rsid w:val="00E75AE0"/>
    <w:rsid w:val="00E83C1F"/>
    <w:rsid w:val="00E85684"/>
    <w:rsid w:val="00E8794B"/>
    <w:rsid w:val="00E90FA3"/>
    <w:rsid w:val="00E97656"/>
    <w:rsid w:val="00EA004A"/>
    <w:rsid w:val="00EA172C"/>
    <w:rsid w:val="00EA259B"/>
    <w:rsid w:val="00EA35A3"/>
    <w:rsid w:val="00EA3E6A"/>
    <w:rsid w:val="00EB18EF"/>
    <w:rsid w:val="00EB58F4"/>
    <w:rsid w:val="00EB6143"/>
    <w:rsid w:val="00EB6E3E"/>
    <w:rsid w:val="00EB7951"/>
    <w:rsid w:val="00ED1355"/>
    <w:rsid w:val="00ED6A79"/>
    <w:rsid w:val="00EE17DF"/>
    <w:rsid w:val="00EF1482"/>
    <w:rsid w:val="00EF4621"/>
    <w:rsid w:val="00EF4D52"/>
    <w:rsid w:val="00EF6312"/>
    <w:rsid w:val="00F02782"/>
    <w:rsid w:val="00F038B0"/>
    <w:rsid w:val="00F05F34"/>
    <w:rsid w:val="00F16D1A"/>
    <w:rsid w:val="00F22B27"/>
    <w:rsid w:val="00F234A7"/>
    <w:rsid w:val="00F27480"/>
    <w:rsid w:val="00F277B6"/>
    <w:rsid w:val="00F27DA5"/>
    <w:rsid w:val="00F37E07"/>
    <w:rsid w:val="00F4182A"/>
    <w:rsid w:val="00F464ED"/>
    <w:rsid w:val="00F54380"/>
    <w:rsid w:val="00F54B47"/>
    <w:rsid w:val="00F61247"/>
    <w:rsid w:val="00F61F61"/>
    <w:rsid w:val="00F63191"/>
    <w:rsid w:val="00F6702E"/>
    <w:rsid w:val="00F70E84"/>
    <w:rsid w:val="00F770B9"/>
    <w:rsid w:val="00F77AEA"/>
    <w:rsid w:val="00F80685"/>
    <w:rsid w:val="00F84EFC"/>
    <w:rsid w:val="00F94968"/>
    <w:rsid w:val="00FA002A"/>
    <w:rsid w:val="00FA092B"/>
    <w:rsid w:val="00FA4F6C"/>
    <w:rsid w:val="00FA6EFD"/>
    <w:rsid w:val="00FB3791"/>
    <w:rsid w:val="00FB6780"/>
    <w:rsid w:val="00FB74EA"/>
    <w:rsid w:val="00FC2776"/>
    <w:rsid w:val="00FD0ADB"/>
    <w:rsid w:val="00FD2C9E"/>
    <w:rsid w:val="00FD3181"/>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159CE"/>
    <w:pPr>
      <w:autoSpaceDE w:val="0"/>
      <w:autoSpaceDN w:val="0"/>
      <w:adjustRightInd w:val="0"/>
      <w:ind w:left="1440"/>
    </w:pPr>
    <w:rPr>
      <w:sz w:val="24"/>
      <w:szCs w:val="24"/>
    </w:rPr>
  </w:style>
  <w:style w:type="paragraph" w:customStyle="1" w:styleId="PrehearingBody">
    <w:name w:val="Prehearing Body"/>
    <w:basedOn w:val="Normal"/>
    <w:link w:val="PrehearingBodyCharChar"/>
    <w:rsid w:val="000C5EA8"/>
    <w:pPr>
      <w:spacing w:after="240"/>
      <w:ind w:firstLine="720"/>
      <w:jc w:val="both"/>
    </w:pPr>
  </w:style>
  <w:style w:type="character" w:customStyle="1" w:styleId="PrehearingBodyCharChar">
    <w:name w:val="Prehearing Body Char Char"/>
    <w:link w:val="PrehearingBody"/>
    <w:rsid w:val="000C5EA8"/>
    <w:rPr>
      <w:sz w:val="24"/>
      <w:szCs w:val="24"/>
    </w:rPr>
  </w:style>
  <w:style w:type="paragraph" w:customStyle="1" w:styleId="Default">
    <w:name w:val="Default"/>
    <w:rsid w:val="00EB6E3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042143"/>
  </w:style>
  <w:style w:type="paragraph" w:styleId="ListParagraph">
    <w:name w:val="List Paragraph"/>
    <w:basedOn w:val="Normal"/>
    <w:uiPriority w:val="34"/>
    <w:qFormat/>
    <w:rsid w:val="00D8586E"/>
    <w:pPr>
      <w:ind w:left="720"/>
      <w:contextualSpacing/>
    </w:pPr>
  </w:style>
  <w:style w:type="paragraph" w:customStyle="1" w:styleId="IssueSubsectionHeading">
    <w:name w:val="Issue Subsection Heading"/>
    <w:basedOn w:val="Heading2"/>
    <w:next w:val="BodyText"/>
    <w:link w:val="IssueSubsectionHeadingChar"/>
    <w:qFormat/>
    <w:rsid w:val="00834B39"/>
    <w:pPr>
      <w:keepNext w:val="0"/>
    </w:pPr>
    <w:rPr>
      <w:rFonts w:ascii="Arial" w:hAnsi="Arial"/>
      <w:b/>
      <w:i/>
    </w:rPr>
  </w:style>
  <w:style w:type="character" w:customStyle="1" w:styleId="IssueSubsectionHeadingChar">
    <w:name w:val="Issue Subsection Heading Char"/>
    <w:link w:val="IssueSubsectionHeading"/>
    <w:rsid w:val="00834B39"/>
    <w:rPr>
      <w:rFonts w:ascii="Arial" w:hAnsi="Arial" w:cs="Arial"/>
      <w:b/>
      <w:bCs/>
      <w:i/>
      <w:iCs/>
      <w:sz w:val="24"/>
      <w:szCs w:val="28"/>
    </w:rPr>
  </w:style>
  <w:style w:type="character" w:styleId="CommentReference">
    <w:name w:val="annotation reference"/>
    <w:basedOn w:val="DefaultParagraphFont"/>
    <w:semiHidden/>
    <w:unhideWhenUsed/>
    <w:rsid w:val="00480526"/>
    <w:rPr>
      <w:sz w:val="16"/>
      <w:szCs w:val="16"/>
    </w:rPr>
  </w:style>
  <w:style w:type="paragraph" w:styleId="CommentText">
    <w:name w:val="annotation text"/>
    <w:basedOn w:val="Normal"/>
    <w:link w:val="CommentTextChar"/>
    <w:semiHidden/>
    <w:unhideWhenUsed/>
    <w:rsid w:val="00480526"/>
    <w:rPr>
      <w:sz w:val="20"/>
      <w:szCs w:val="20"/>
    </w:rPr>
  </w:style>
  <w:style w:type="character" w:customStyle="1" w:styleId="CommentTextChar">
    <w:name w:val="Comment Text Char"/>
    <w:basedOn w:val="DefaultParagraphFont"/>
    <w:link w:val="CommentText"/>
    <w:semiHidden/>
    <w:rsid w:val="00480526"/>
  </w:style>
  <w:style w:type="paragraph" w:styleId="CommentSubject">
    <w:name w:val="annotation subject"/>
    <w:basedOn w:val="CommentText"/>
    <w:next w:val="CommentText"/>
    <w:link w:val="CommentSubjectChar"/>
    <w:semiHidden/>
    <w:unhideWhenUsed/>
    <w:rsid w:val="00480526"/>
    <w:rPr>
      <w:b/>
      <w:bCs/>
    </w:rPr>
  </w:style>
  <w:style w:type="character" w:customStyle="1" w:styleId="CommentSubjectChar">
    <w:name w:val="Comment Subject Char"/>
    <w:basedOn w:val="CommentTextChar"/>
    <w:link w:val="CommentSubject"/>
    <w:semiHidden/>
    <w:rsid w:val="00480526"/>
    <w:rPr>
      <w:b/>
      <w:bCs/>
    </w:rPr>
  </w:style>
  <w:style w:type="paragraph" w:styleId="BalloonText">
    <w:name w:val="Balloon Text"/>
    <w:basedOn w:val="Normal"/>
    <w:link w:val="BalloonTextChar"/>
    <w:semiHidden/>
    <w:unhideWhenUsed/>
    <w:rsid w:val="00480526"/>
    <w:rPr>
      <w:rFonts w:ascii="Segoe UI" w:hAnsi="Segoe UI" w:cs="Segoe UI"/>
      <w:sz w:val="18"/>
      <w:szCs w:val="18"/>
    </w:rPr>
  </w:style>
  <w:style w:type="character" w:customStyle="1" w:styleId="BalloonTextChar">
    <w:name w:val="Balloon Text Char"/>
    <w:basedOn w:val="DefaultParagraphFont"/>
    <w:link w:val="BalloonText"/>
    <w:semiHidden/>
    <w:rsid w:val="00480526"/>
    <w:rPr>
      <w:rFonts w:ascii="Segoe UI" w:hAnsi="Segoe UI" w:cs="Segoe UI"/>
      <w:sz w:val="18"/>
      <w:szCs w:val="18"/>
    </w:rPr>
  </w:style>
  <w:style w:type="paragraph" w:styleId="Revision">
    <w:name w:val="Revision"/>
    <w:hidden/>
    <w:uiPriority w:val="99"/>
    <w:semiHidden/>
    <w:rsid w:val="002414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23</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2024-08-15T16:39:00Z</dcterms:created>
  <dcterms:modified xsi:type="dcterms:W3CDTF">2024-08-15T16:54:00Z</dcterms:modified>
</cp:coreProperties>
</file>