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71B5" w14:textId="77777777" w:rsidR="00CB5276" w:rsidRDefault="00D26922" w:rsidP="00D26922">
      <w:pPr>
        <w:pStyle w:val="OrderHeading"/>
      </w:pPr>
      <w:r>
        <w:t>BEFORE THE FLORIDA PUBLIC SERVICE COMMISSION</w:t>
      </w:r>
    </w:p>
    <w:p w14:paraId="5A3F0C36" w14:textId="77777777" w:rsidR="00D26922" w:rsidRDefault="00D26922" w:rsidP="00D26922">
      <w:pPr>
        <w:pStyle w:val="OrderBody"/>
      </w:pPr>
    </w:p>
    <w:p w14:paraId="3FC45D31" w14:textId="77777777" w:rsidR="00D26922" w:rsidRDefault="00D26922" w:rsidP="00D269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6922" w:rsidRPr="00C63FCF" w14:paraId="590E5920" w14:textId="77777777" w:rsidTr="00C63FCF">
        <w:trPr>
          <w:trHeight w:val="828"/>
        </w:trPr>
        <w:tc>
          <w:tcPr>
            <w:tcW w:w="4788" w:type="dxa"/>
            <w:tcBorders>
              <w:bottom w:val="single" w:sz="8" w:space="0" w:color="auto"/>
              <w:right w:val="double" w:sz="6" w:space="0" w:color="auto"/>
            </w:tcBorders>
            <w:shd w:val="clear" w:color="auto" w:fill="auto"/>
          </w:tcPr>
          <w:p w14:paraId="6B37F804" w14:textId="77777777" w:rsidR="00D26922" w:rsidRDefault="00D26922" w:rsidP="0048292E">
            <w:pPr>
              <w:pStyle w:val="OrderBody"/>
              <w:tabs>
                <w:tab w:val="center" w:pos="4320"/>
                <w:tab w:val="right" w:pos="8640"/>
              </w:tabs>
              <w:jc w:val="left"/>
            </w:pPr>
            <w:r>
              <w:t xml:space="preserve">In re: </w:t>
            </w:r>
            <w:bookmarkStart w:id="0" w:name="SSInRe"/>
            <w:bookmarkEnd w:id="0"/>
            <w:r>
              <w:t>Commission review of numeric conservation goals (</w:t>
            </w:r>
            <w:r w:rsidR="0048292E">
              <w:t>Florida Public Utilities Company</w:t>
            </w:r>
            <w:r w:rsidR="00A00F49">
              <w:t>).</w:t>
            </w:r>
          </w:p>
          <w:p w14:paraId="5D329BC6" w14:textId="77777777" w:rsidR="0048292E" w:rsidRDefault="0048292E" w:rsidP="0048292E">
            <w:pPr>
              <w:pStyle w:val="OrderBody"/>
              <w:tabs>
                <w:tab w:val="center" w:pos="4320"/>
                <w:tab w:val="right" w:pos="8640"/>
              </w:tabs>
              <w:jc w:val="left"/>
            </w:pPr>
          </w:p>
        </w:tc>
        <w:tc>
          <w:tcPr>
            <w:tcW w:w="4788" w:type="dxa"/>
            <w:tcBorders>
              <w:left w:val="double" w:sz="6" w:space="0" w:color="auto"/>
            </w:tcBorders>
            <w:shd w:val="clear" w:color="auto" w:fill="auto"/>
          </w:tcPr>
          <w:p w14:paraId="798EF18A" w14:textId="77777777" w:rsidR="00D26922" w:rsidRDefault="00D26922" w:rsidP="00D26922">
            <w:pPr>
              <w:pStyle w:val="OrderBody"/>
            </w:pPr>
            <w:r>
              <w:t xml:space="preserve">DOCKET NO. </w:t>
            </w:r>
            <w:bookmarkStart w:id="1" w:name="SSDocketNo"/>
            <w:bookmarkEnd w:id="1"/>
            <w:r w:rsidR="00A00F49">
              <w:t>2024001</w:t>
            </w:r>
            <w:r w:rsidR="0048292E">
              <w:t>5</w:t>
            </w:r>
            <w:r>
              <w:t>-EG</w:t>
            </w:r>
          </w:p>
          <w:p w14:paraId="7BD52993" w14:textId="4429C3E9" w:rsidR="00D26922" w:rsidRDefault="00D26922" w:rsidP="00C63FCF">
            <w:pPr>
              <w:pStyle w:val="OrderBody"/>
              <w:tabs>
                <w:tab w:val="center" w:pos="4320"/>
                <w:tab w:val="right" w:pos="8640"/>
              </w:tabs>
              <w:jc w:val="left"/>
            </w:pPr>
            <w:r>
              <w:t xml:space="preserve">ORDER NO. </w:t>
            </w:r>
            <w:bookmarkStart w:id="2" w:name="OrderNo0431"/>
            <w:r w:rsidR="0029291E">
              <w:t>PSC-2024-0431-FOF-EG</w:t>
            </w:r>
            <w:bookmarkEnd w:id="2"/>
          </w:p>
          <w:p w14:paraId="3BA8E2B7" w14:textId="1964ABCB" w:rsidR="00D26922" w:rsidRDefault="00D26922" w:rsidP="00C63FCF">
            <w:pPr>
              <w:pStyle w:val="OrderBody"/>
              <w:tabs>
                <w:tab w:val="center" w:pos="4320"/>
                <w:tab w:val="right" w:pos="8640"/>
              </w:tabs>
              <w:jc w:val="left"/>
            </w:pPr>
            <w:r>
              <w:t xml:space="preserve">ISSUED: </w:t>
            </w:r>
            <w:r w:rsidR="0029291E">
              <w:t>September 20, 2024</w:t>
            </w:r>
          </w:p>
        </w:tc>
      </w:tr>
    </w:tbl>
    <w:p w14:paraId="167E07E1" w14:textId="77777777" w:rsidR="00D26922" w:rsidRDefault="00D26922" w:rsidP="00D26922"/>
    <w:p w14:paraId="7C0101C0" w14:textId="77777777" w:rsidR="00D26922" w:rsidRDefault="00D26922" w:rsidP="00D26922"/>
    <w:p w14:paraId="4DAD19BC" w14:textId="77777777" w:rsidR="00D26922" w:rsidRDefault="00D26922" w:rsidP="00B67A43">
      <w:pPr>
        <w:ind w:firstLine="720"/>
        <w:jc w:val="both"/>
      </w:pPr>
      <w:bookmarkStart w:id="3" w:name="Commissioners"/>
      <w:bookmarkEnd w:id="3"/>
      <w:r>
        <w:t>The following Commissioners participated in the disposition of this matter:</w:t>
      </w:r>
    </w:p>
    <w:p w14:paraId="04C12C39" w14:textId="77777777" w:rsidR="00D26922" w:rsidRDefault="00D26922" w:rsidP="00B67A43"/>
    <w:p w14:paraId="01CA41E8" w14:textId="77777777" w:rsidR="00D26922" w:rsidRDefault="00D26922" w:rsidP="00477699">
      <w:pPr>
        <w:jc w:val="center"/>
      </w:pPr>
      <w:r>
        <w:t>MIKE LA ROSA, Chairman</w:t>
      </w:r>
    </w:p>
    <w:p w14:paraId="474F016D" w14:textId="77777777" w:rsidR="00D26922" w:rsidRDefault="00D26922" w:rsidP="00B67A43">
      <w:pPr>
        <w:jc w:val="center"/>
      </w:pPr>
      <w:r>
        <w:t>ART GRAHAM</w:t>
      </w:r>
    </w:p>
    <w:p w14:paraId="3CF68984" w14:textId="77777777" w:rsidR="00D26922" w:rsidRDefault="00D26922" w:rsidP="00B67A43">
      <w:pPr>
        <w:jc w:val="center"/>
      </w:pPr>
      <w:r>
        <w:t>GARY F. CLARK</w:t>
      </w:r>
    </w:p>
    <w:p w14:paraId="59067268" w14:textId="77777777" w:rsidR="00D26922" w:rsidRDefault="00D26922" w:rsidP="00B67A43">
      <w:pPr>
        <w:jc w:val="center"/>
      </w:pPr>
      <w:r>
        <w:t>ANDREW GILES FAY</w:t>
      </w:r>
    </w:p>
    <w:p w14:paraId="675FD75F" w14:textId="77777777" w:rsidR="00D26922" w:rsidRPr="005F2751" w:rsidRDefault="00D26922" w:rsidP="00B67A43">
      <w:pPr>
        <w:jc w:val="center"/>
      </w:pPr>
      <w:r w:rsidRPr="005F2751">
        <w:rPr>
          <w:lang w:val="en"/>
        </w:rPr>
        <w:t>GABRIELLA PASSIDOMO</w:t>
      </w:r>
    </w:p>
    <w:p w14:paraId="2C2C4DA0" w14:textId="5AB2412F" w:rsidR="00CB5276" w:rsidRDefault="00CB5276">
      <w:pPr>
        <w:pStyle w:val="OrderBody"/>
      </w:pPr>
    </w:p>
    <w:p w14:paraId="3AAAB570" w14:textId="77777777" w:rsidR="00D26922" w:rsidRPr="00692EBC" w:rsidRDefault="00D26922" w:rsidP="00D26922">
      <w:pPr>
        <w:jc w:val="center"/>
      </w:pPr>
    </w:p>
    <w:p w14:paraId="41FF5A03" w14:textId="77777777" w:rsidR="008A3A36" w:rsidRDefault="00D26922" w:rsidP="00D26922">
      <w:pPr>
        <w:jc w:val="center"/>
        <w:rPr>
          <w:u w:val="single"/>
        </w:rPr>
      </w:pPr>
      <w:r>
        <w:rPr>
          <w:u w:val="single"/>
        </w:rPr>
        <w:t xml:space="preserve">FINAL </w:t>
      </w:r>
      <w:r w:rsidRPr="00692EBC">
        <w:rPr>
          <w:u w:val="single"/>
        </w:rPr>
        <w:t>ORDER</w:t>
      </w:r>
      <w:r>
        <w:rPr>
          <w:u w:val="single"/>
        </w:rPr>
        <w:t> </w:t>
      </w:r>
      <w:r w:rsidR="008A3A36">
        <w:rPr>
          <w:u w:val="single"/>
        </w:rPr>
        <w:t>APPROVING NUMERIC CONSERVATIONS GOALS</w:t>
      </w:r>
    </w:p>
    <w:p w14:paraId="7C2CF423" w14:textId="77777777" w:rsidR="00D26922" w:rsidRDefault="008A3A36" w:rsidP="00D26922">
      <w:pPr>
        <w:jc w:val="center"/>
      </w:pPr>
      <w:r>
        <w:rPr>
          <w:u w:val="single"/>
        </w:rPr>
        <w:t>FOR FLORIDA PUBLIC UTILITIES COMPANY</w:t>
      </w:r>
      <w:r w:rsidR="00D26922">
        <w:t xml:space="preserve"> </w:t>
      </w:r>
    </w:p>
    <w:p w14:paraId="5F11BD38" w14:textId="22ACF8C5" w:rsidR="003E2982" w:rsidRPr="00620885" w:rsidRDefault="003E2982" w:rsidP="003E2982"/>
    <w:p w14:paraId="4694E5FC" w14:textId="77777777" w:rsidR="003E2982" w:rsidRPr="00701945" w:rsidRDefault="003E2982" w:rsidP="003E2982">
      <w:pPr>
        <w:jc w:val="both"/>
      </w:pPr>
      <w:r w:rsidRPr="00701945">
        <w:t>APPEARANCES:</w:t>
      </w:r>
    </w:p>
    <w:p w14:paraId="5947C9D0" w14:textId="77777777" w:rsidR="003E2982" w:rsidRDefault="003E2982" w:rsidP="003E2982">
      <w:pPr>
        <w:jc w:val="both"/>
      </w:pPr>
    </w:p>
    <w:p w14:paraId="32162587" w14:textId="77777777" w:rsidR="003E2982" w:rsidRDefault="003E2982" w:rsidP="003E2982">
      <w:pPr>
        <w:ind w:left="1440"/>
        <w:jc w:val="both"/>
      </w:pPr>
      <w:r>
        <w:t>BETH KEATING</w:t>
      </w:r>
      <w:r w:rsidRPr="00701945">
        <w:t xml:space="preserve">, ESQUIRE, </w:t>
      </w:r>
      <w:r>
        <w:t>Gunster, Yoakley &amp; Stewart, P.A., 215 South Monroe Street, Suite 601, Tallahassee, Florida  32301</w:t>
      </w:r>
    </w:p>
    <w:p w14:paraId="16AA7447" w14:textId="00881613" w:rsidR="003E2982" w:rsidRDefault="003E2982" w:rsidP="003E2982">
      <w:pPr>
        <w:ind w:left="1440"/>
        <w:jc w:val="both"/>
      </w:pPr>
      <w:r w:rsidRPr="00701945">
        <w:rPr>
          <w:u w:val="single"/>
        </w:rPr>
        <w:t xml:space="preserve">On behalf of </w:t>
      </w:r>
      <w:r>
        <w:rPr>
          <w:u w:val="single"/>
        </w:rPr>
        <w:t>Florida Public Utilities Company (FPUC)</w:t>
      </w:r>
      <w:r w:rsidRPr="00701945">
        <w:t>.</w:t>
      </w:r>
    </w:p>
    <w:p w14:paraId="243B7F2B" w14:textId="77777777" w:rsidR="003E2982" w:rsidRDefault="003E2982" w:rsidP="003E2982">
      <w:pPr>
        <w:jc w:val="both"/>
      </w:pPr>
    </w:p>
    <w:p w14:paraId="198A5104" w14:textId="40AEB126" w:rsidR="003E2982" w:rsidRPr="00701945" w:rsidRDefault="003E2982" w:rsidP="003E2982">
      <w:pPr>
        <w:ind w:left="1440"/>
        <w:jc w:val="both"/>
      </w:pPr>
      <w:r>
        <w:t>SEAN T. GARNER, ERIK SAYLER and KELLY WRIGHT</w:t>
      </w:r>
      <w:r w:rsidRPr="00701945">
        <w:t>, ESQUIRE</w:t>
      </w:r>
      <w:r>
        <w:t>S</w:t>
      </w:r>
      <w:r w:rsidRPr="00701945">
        <w:t xml:space="preserve">, </w:t>
      </w:r>
      <w:r>
        <w:t>Florida Department of Agriculture &amp; Consumer Service, Office of General Counsel, The Mayo Building, 407 S. Calhoun Street, Suite 520, Tallahassee, Florida 32399-0800</w:t>
      </w:r>
    </w:p>
    <w:p w14:paraId="6A52C95D" w14:textId="77777777" w:rsidR="003E2982" w:rsidRDefault="003E2982" w:rsidP="003E2982">
      <w:pPr>
        <w:ind w:left="1440"/>
        <w:jc w:val="both"/>
      </w:pPr>
      <w:r w:rsidRPr="00701945">
        <w:rPr>
          <w:u w:val="single"/>
        </w:rPr>
        <w:t xml:space="preserve">On behalf of </w:t>
      </w:r>
      <w:r>
        <w:rPr>
          <w:u w:val="single"/>
        </w:rPr>
        <w:t>Florida Department of Agriculture &amp; Consumer Services (FDACS)</w:t>
      </w:r>
      <w:r w:rsidRPr="00701945">
        <w:t>.</w:t>
      </w:r>
    </w:p>
    <w:p w14:paraId="617B693D" w14:textId="52AB74C0" w:rsidR="00620885" w:rsidRDefault="00620885" w:rsidP="003E2982">
      <w:pPr>
        <w:jc w:val="both"/>
      </w:pPr>
    </w:p>
    <w:p w14:paraId="7F487437" w14:textId="77777777" w:rsidR="003E2982" w:rsidRDefault="003E2982" w:rsidP="003E2982">
      <w:pPr>
        <w:ind w:left="1440"/>
        <w:jc w:val="both"/>
      </w:pPr>
      <w:r>
        <w:t>STEPHANIE U. EATON</w:t>
      </w:r>
      <w:r w:rsidRPr="00701945">
        <w:t xml:space="preserve">, ESQUIRE, </w:t>
      </w:r>
      <w:r>
        <w:t>Spilman, Thomas &amp; Battle, PLLC, 110 Oakwood Drive, Suite 500, Winston-Salem, North Carolina  27103</w:t>
      </w:r>
    </w:p>
    <w:p w14:paraId="199F5705" w14:textId="1B1D0618" w:rsidR="003E2982" w:rsidRPr="00701945" w:rsidRDefault="003E2982" w:rsidP="003E2982">
      <w:pPr>
        <w:ind w:left="1440"/>
        <w:jc w:val="both"/>
      </w:pPr>
      <w:r>
        <w:t>STEVEN W. LEE, ESQUIRE, Qualified Representative, Spilman, Thomas &amp; Battle, PLLC, 1100 Bent Creek Blvd., Suite 101, Mechanicsburg, Pennsylvania 17050</w:t>
      </w:r>
    </w:p>
    <w:p w14:paraId="10DA2A2B" w14:textId="77777777" w:rsidR="003E2982" w:rsidRPr="00701945" w:rsidRDefault="003E2982" w:rsidP="008A3A36">
      <w:pPr>
        <w:ind w:left="1440"/>
        <w:jc w:val="both"/>
      </w:pPr>
      <w:r w:rsidRPr="00701945">
        <w:rPr>
          <w:u w:val="single"/>
        </w:rPr>
        <w:t xml:space="preserve">On behalf of </w:t>
      </w:r>
      <w:r>
        <w:rPr>
          <w:u w:val="single"/>
        </w:rPr>
        <w:t>Walmart, Inc. (Walmart)</w:t>
      </w:r>
      <w:r w:rsidRPr="00701945">
        <w:t>.</w:t>
      </w:r>
    </w:p>
    <w:p w14:paraId="37EF3566" w14:textId="77777777" w:rsidR="00620885" w:rsidRDefault="00620885" w:rsidP="003E2982">
      <w:pPr>
        <w:ind w:left="1440"/>
        <w:jc w:val="both"/>
      </w:pPr>
    </w:p>
    <w:p w14:paraId="1C9074D0" w14:textId="5489B8CA" w:rsidR="003E2982" w:rsidRPr="00701945" w:rsidRDefault="008A3A36" w:rsidP="003E2982">
      <w:pPr>
        <w:ind w:left="1440"/>
        <w:jc w:val="both"/>
      </w:pPr>
      <w:r>
        <w:t>JACOB IMIG,</w:t>
      </w:r>
      <w:r w:rsidR="003E2982">
        <w:t xml:space="preserve"> JON RUBOTTOM</w:t>
      </w:r>
      <w:r>
        <w:t>, and ADRIA HARPER</w:t>
      </w:r>
      <w:r w:rsidR="006C660C">
        <w:t>,</w:t>
      </w:r>
      <w:r w:rsidR="003E2982" w:rsidRPr="00701945">
        <w:t xml:space="preserve"> ESQUIRE</w:t>
      </w:r>
      <w:r w:rsidR="003E2982">
        <w:t>S</w:t>
      </w:r>
      <w:r w:rsidR="003E2982" w:rsidRPr="00701945">
        <w:t>, Florida Public Service Commission, 2540 Shumard Oak Boulevard, Tallahassee, Florida 32399-0850</w:t>
      </w:r>
    </w:p>
    <w:p w14:paraId="1C4FA67F" w14:textId="08BD7DAF" w:rsidR="003E2982" w:rsidRPr="00701945" w:rsidRDefault="003E2982" w:rsidP="00D76E51">
      <w:pPr>
        <w:ind w:left="720" w:firstLine="720"/>
        <w:jc w:val="both"/>
      </w:pPr>
      <w:r w:rsidRPr="00701945">
        <w:rPr>
          <w:u w:val="single"/>
        </w:rPr>
        <w:t>On behalf of the Florida Public Service Commission</w:t>
      </w:r>
      <w:r>
        <w:rPr>
          <w:u w:val="single"/>
        </w:rPr>
        <w:t xml:space="preserve"> (Staff)</w:t>
      </w:r>
      <w:r w:rsidRPr="00701945">
        <w:t>.</w:t>
      </w:r>
    </w:p>
    <w:p w14:paraId="36B31C32" w14:textId="77777777" w:rsidR="003E2982" w:rsidRPr="00701945" w:rsidRDefault="003E2982" w:rsidP="003E2982">
      <w:pPr>
        <w:ind w:left="1440"/>
        <w:jc w:val="both"/>
      </w:pPr>
      <w:r>
        <w:lastRenderedPageBreak/>
        <w:t>MARY ANNE HELTON, ESQUIRE, Deputy General Counsel,</w:t>
      </w:r>
      <w:r w:rsidRPr="00701945">
        <w:t xml:space="preserve"> Florida Public Service Commission, 2540 Shumard Oak Boulevard, Tallahassee, Florida 32399-0850</w:t>
      </w:r>
    </w:p>
    <w:p w14:paraId="104D7DA3" w14:textId="77777777" w:rsidR="003E2982" w:rsidRPr="00701945" w:rsidRDefault="003E2982" w:rsidP="003E298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07D99708" w14:textId="77777777" w:rsidR="003E2982" w:rsidRPr="00701945" w:rsidRDefault="003E2982" w:rsidP="003E2982">
      <w:pPr>
        <w:jc w:val="center"/>
        <w:rPr>
          <w:b/>
          <w:bCs/>
          <w:u w:val="single"/>
        </w:rPr>
      </w:pPr>
    </w:p>
    <w:p w14:paraId="4183C5F4" w14:textId="77777777" w:rsidR="003E2982" w:rsidRPr="00D033EB" w:rsidRDefault="003E2982" w:rsidP="003E2982">
      <w:pPr>
        <w:ind w:left="1440"/>
        <w:jc w:val="both"/>
      </w:pPr>
      <w:r w:rsidRPr="00D033EB">
        <w:t>K</w:t>
      </w:r>
      <w:r>
        <w:t>EITH C. HETRICK</w:t>
      </w:r>
      <w:r w:rsidRPr="00D033EB">
        <w:t>, ESQUIRE, General Counsel, Florida Public Service Commission, 2540 Shumard Oak Boulevard, Tallahassee, Florida 32399-0850</w:t>
      </w:r>
    </w:p>
    <w:p w14:paraId="774DF662" w14:textId="77777777" w:rsidR="00D26922" w:rsidRPr="00620885" w:rsidRDefault="003E2982" w:rsidP="003E2982">
      <w:pPr>
        <w:ind w:left="720" w:firstLine="720"/>
      </w:pPr>
      <w:r w:rsidRPr="00D033EB">
        <w:rPr>
          <w:u w:val="single"/>
        </w:rPr>
        <w:t>Florida Public Service Commission General Counsel</w:t>
      </w:r>
    </w:p>
    <w:p w14:paraId="04F1F827" w14:textId="77777777" w:rsidR="00D26922" w:rsidRPr="00620885" w:rsidRDefault="00D26922" w:rsidP="00D26922"/>
    <w:p w14:paraId="441F5A64" w14:textId="77777777" w:rsidR="00E25D6E" w:rsidRDefault="00E25D6E" w:rsidP="00FC60AE"/>
    <w:p w14:paraId="51C9AF08" w14:textId="314BCDB5" w:rsidR="00FC60AE" w:rsidRPr="00692EBC" w:rsidRDefault="00FC60AE" w:rsidP="00FC60AE">
      <w:r w:rsidRPr="00692EBC">
        <w:t>BY THE COMMISSION:</w:t>
      </w:r>
    </w:p>
    <w:p w14:paraId="414CAEF5" w14:textId="77777777" w:rsidR="00FC60AE" w:rsidRDefault="00FC60AE" w:rsidP="00FC60AE"/>
    <w:p w14:paraId="35E0B9CE" w14:textId="77777777" w:rsidR="00FC60AE" w:rsidRPr="001C6FD7" w:rsidRDefault="00FC60AE" w:rsidP="00FC60AE">
      <w:pPr>
        <w:keepNext/>
        <w:spacing w:after="240"/>
        <w:jc w:val="center"/>
        <w:outlineLvl w:val="0"/>
        <w:rPr>
          <w:bCs/>
          <w:kern w:val="32"/>
          <w:szCs w:val="32"/>
          <w:u w:val="single"/>
        </w:rPr>
      </w:pPr>
      <w:r>
        <w:rPr>
          <w:color w:val="FF0000"/>
        </w:rPr>
        <w:tab/>
      </w:r>
      <w:r w:rsidRPr="001C6FD7">
        <w:rPr>
          <w:bCs/>
          <w:kern w:val="32"/>
          <w:szCs w:val="32"/>
          <w:u w:val="single"/>
        </w:rPr>
        <w:t>Background</w:t>
      </w:r>
    </w:p>
    <w:p w14:paraId="0944F4A6" w14:textId="46FB3A5B" w:rsidR="00FC60AE" w:rsidRPr="001C6FD7" w:rsidRDefault="00FC60AE" w:rsidP="00FC60AE">
      <w:pPr>
        <w:spacing w:after="240"/>
        <w:jc w:val="both"/>
      </w:pPr>
      <w:r w:rsidRPr="001C6FD7">
        <w:tab/>
        <w:t xml:space="preserve">Enacted in 1980, Sections 366.80 through 366.83, and 403.519, Florida Statutes (F.S.), are known collectively as the Florida Energy Efficiency and Conservation Act (FEECA). FEECA </w:t>
      </w:r>
      <w:r w:rsidR="00384F9A">
        <w:t>requires</w:t>
      </w:r>
      <w:r w:rsidR="00786FBD">
        <w:t xml:space="preserve"> us to adopt appropriate</w:t>
      </w:r>
      <w:r w:rsidRPr="001C6FD7">
        <w:t xml:space="preserve"> goals to increase the e</w:t>
      </w:r>
      <w:r w:rsidR="00384F9A">
        <w:t>fficiency of energy consumption and, p</w:t>
      </w:r>
      <w:r w:rsidRPr="001C6FD7">
        <w:t>ursuant to Section 366.82(6), F.S.,</w:t>
      </w:r>
      <w:r w:rsidR="00786FBD">
        <w:t xml:space="preserve"> we must review the</w:t>
      </w:r>
      <w:r w:rsidRPr="001C6FD7">
        <w:t xml:space="preserve"> goals of each utility subject to FEECA at least every five years.</w:t>
      </w:r>
    </w:p>
    <w:p w14:paraId="356A2B7E" w14:textId="696D610D" w:rsidR="00FC60AE" w:rsidRDefault="00FC60AE" w:rsidP="00FC60AE">
      <w:pPr>
        <w:ind w:firstLine="720"/>
        <w:jc w:val="both"/>
      </w:pPr>
      <w:r w:rsidRPr="001C6FD7">
        <w:t>T</w:t>
      </w:r>
      <w:r>
        <w:t>he six</w:t>
      </w:r>
      <w:r w:rsidRPr="001C6FD7">
        <w:t xml:space="preserve"> electric utilities subject to FEECA, collectively known as the FEECA Utilities, are Florida Power &amp; Light Company (FPL), Duke Energy Florida, LLC (DEF),</w:t>
      </w:r>
      <w:r>
        <w:t xml:space="preserve"> Tampa Electric Company (TECO),</w:t>
      </w:r>
      <w:r w:rsidRPr="001C6FD7">
        <w:t xml:space="preserve"> Florida Public Utilities Company (FPUC), JEA, and Orlando Utiliti</w:t>
      </w:r>
      <w:r w:rsidR="00786FBD">
        <w:t xml:space="preserve">es Commission (OUC). Pursuant to Rule 25-17.0021 Florida Administrative Code (F.A.C.), </w:t>
      </w:r>
      <w:r w:rsidRPr="001C6FD7">
        <w:t>n</w:t>
      </w:r>
      <w:r w:rsidR="00786FBD">
        <w:t>umeric</w:t>
      </w:r>
      <w:r w:rsidRPr="001C6FD7">
        <w:t xml:space="preserve"> goals were last established for the FEE</w:t>
      </w:r>
      <w:r>
        <w:t>CA Utilities by Order No. PSC-19</w:t>
      </w:r>
      <w:r w:rsidRPr="001C6FD7">
        <w:t>-0</w:t>
      </w:r>
      <w:r w:rsidR="00862681">
        <w:t>509-FOF-EU</w:t>
      </w:r>
      <w:r w:rsidRPr="001C6FD7">
        <w:t>, issued</w:t>
      </w:r>
      <w:r>
        <w:t xml:space="preserve"> November 26, 2019. </w:t>
      </w:r>
      <w:r w:rsidRPr="00E3198A">
        <w:t>Therefore, new goals mus</w:t>
      </w:r>
      <w:r>
        <w:t>t be established by January 2025</w:t>
      </w:r>
      <w:r w:rsidRPr="00E3198A">
        <w:t>.</w:t>
      </w:r>
    </w:p>
    <w:p w14:paraId="45135A8A" w14:textId="77777777" w:rsidR="002E395C" w:rsidRDefault="002E395C" w:rsidP="00FC60AE">
      <w:pPr>
        <w:ind w:firstLine="720"/>
        <w:jc w:val="both"/>
      </w:pPr>
    </w:p>
    <w:p w14:paraId="56735876" w14:textId="1AEACBB6" w:rsidR="00FC60AE" w:rsidRDefault="00FC60AE" w:rsidP="00FC60AE">
      <w:pPr>
        <w:jc w:val="both"/>
      </w:pPr>
      <w:r>
        <w:tab/>
        <w:t>By Order No. PSC-2024-0022-PCO-EG , issued February 28, 2024, the dockets for each of the FEECA Utilities were consolidated for purpose</w:t>
      </w:r>
      <w:r w:rsidR="00DA7ED0">
        <w:t>s</w:t>
      </w:r>
      <w:r>
        <w:t xml:space="preserve"> of hearing and controlling dates and a tentative list of issues was established. </w:t>
      </w:r>
    </w:p>
    <w:p w14:paraId="22159C82" w14:textId="77777777" w:rsidR="00FC60AE" w:rsidRDefault="00FC60AE" w:rsidP="00FC60AE">
      <w:pPr>
        <w:jc w:val="both"/>
      </w:pPr>
    </w:p>
    <w:p w14:paraId="3221E172" w14:textId="090CD90E" w:rsidR="00FC60AE" w:rsidRDefault="00FC60AE" w:rsidP="00862681">
      <w:pPr>
        <w:ind w:firstLine="720"/>
        <w:jc w:val="both"/>
      </w:pPr>
      <w:r>
        <w:t>We acknowledged the intervention of t</w:t>
      </w:r>
      <w:r w:rsidRPr="00E3198A">
        <w:t>he Florida Department of Agriculture and Consu</w:t>
      </w:r>
      <w:r>
        <w:t>mer Services (FDACS) on April 24</w:t>
      </w:r>
      <w:r w:rsidRPr="00E3198A">
        <w:t>, 20</w:t>
      </w:r>
      <w:r>
        <w:t>24</w:t>
      </w:r>
      <w:r w:rsidRPr="00E3198A">
        <w:t>.</w:t>
      </w:r>
      <w:r w:rsidRPr="00E3198A">
        <w:rPr>
          <w:vertAlign w:val="superscript"/>
        </w:rPr>
        <w:footnoteReference w:id="1"/>
      </w:r>
      <w:r>
        <w:t xml:space="preserve"> </w:t>
      </w:r>
      <w:r w:rsidRPr="00E3198A">
        <w:t>Walmart Inc. (Walmart)</w:t>
      </w:r>
      <w:r w:rsidR="00384F9A">
        <w:t xml:space="preserve"> was</w:t>
      </w:r>
      <w:r w:rsidRPr="00E3198A">
        <w:t xml:space="preserve"> g</w:t>
      </w:r>
      <w:r>
        <w:t xml:space="preserve">ranted leave to intervene on April </w:t>
      </w:r>
      <w:r w:rsidRPr="00E3198A">
        <w:t>3</w:t>
      </w:r>
      <w:r>
        <w:t>0</w:t>
      </w:r>
      <w:r w:rsidRPr="00E3198A">
        <w:t>, 20</w:t>
      </w:r>
      <w:r>
        <w:t>24</w:t>
      </w:r>
      <w:r w:rsidRPr="00E3198A">
        <w:t>.</w:t>
      </w:r>
      <w:r w:rsidRPr="00E3198A">
        <w:rPr>
          <w:vertAlign w:val="superscript"/>
        </w:rPr>
        <w:footnoteReference w:id="2"/>
      </w:r>
      <w:r>
        <w:t xml:space="preserve"> </w:t>
      </w:r>
    </w:p>
    <w:p w14:paraId="58D2B16C" w14:textId="77777777" w:rsidR="002E395C" w:rsidRPr="00FC60AE" w:rsidRDefault="002E395C" w:rsidP="00862681">
      <w:pPr>
        <w:ind w:firstLine="720"/>
        <w:jc w:val="both"/>
      </w:pPr>
    </w:p>
    <w:p w14:paraId="1EE3535E" w14:textId="01FADB4E" w:rsidR="00FC60AE" w:rsidRDefault="00FC60AE" w:rsidP="00862681">
      <w:pPr>
        <w:ind w:firstLine="720"/>
        <w:jc w:val="both"/>
      </w:pPr>
      <w:r w:rsidRPr="00701945">
        <w:t xml:space="preserve">Pursuant to Notice and in accordance with Rule 28-106.209, </w:t>
      </w:r>
      <w:r w:rsidR="00786FBD">
        <w:t>F.A.C.</w:t>
      </w:r>
      <w:r w:rsidRPr="00701945">
        <w:t xml:space="preserve">, a </w:t>
      </w:r>
      <w:r w:rsidR="00620885">
        <w:t>h</w:t>
      </w:r>
      <w:r>
        <w:t>earing</w:t>
      </w:r>
      <w:r w:rsidRPr="00701945">
        <w:t xml:space="preserve"> was held on </w:t>
      </w:r>
      <w:r>
        <w:t>August 8, 2024</w:t>
      </w:r>
      <w:r w:rsidRPr="00701945">
        <w:t xml:space="preserve">, in Tallahassee, Florida, before </w:t>
      </w:r>
      <w:r>
        <w:t>the above commissioners</w:t>
      </w:r>
      <w:r w:rsidRPr="00701945">
        <w:t>.</w:t>
      </w:r>
    </w:p>
    <w:p w14:paraId="0FBBE16E" w14:textId="008FA775" w:rsidR="00D76E51" w:rsidRDefault="00D76E51" w:rsidP="00862681">
      <w:pPr>
        <w:ind w:firstLine="720"/>
        <w:jc w:val="both"/>
      </w:pPr>
    </w:p>
    <w:p w14:paraId="2217D7B2" w14:textId="4F7F76E3" w:rsidR="00E25D6E" w:rsidRDefault="00E25D6E" w:rsidP="00862681">
      <w:pPr>
        <w:ind w:firstLine="720"/>
        <w:jc w:val="both"/>
      </w:pPr>
    </w:p>
    <w:p w14:paraId="6800B449" w14:textId="3D6735E9" w:rsidR="00E25D6E" w:rsidRDefault="00E25D6E" w:rsidP="00862681">
      <w:pPr>
        <w:ind w:firstLine="720"/>
        <w:jc w:val="both"/>
      </w:pPr>
    </w:p>
    <w:p w14:paraId="3B8BF2C1" w14:textId="3DB3EDD8" w:rsidR="00E25D6E" w:rsidRDefault="00E25D6E" w:rsidP="00862681">
      <w:pPr>
        <w:ind w:firstLine="720"/>
        <w:jc w:val="both"/>
      </w:pPr>
    </w:p>
    <w:p w14:paraId="3AB84612" w14:textId="44940B9C" w:rsidR="00E25D6E" w:rsidRDefault="00E25D6E" w:rsidP="00862681">
      <w:pPr>
        <w:ind w:firstLine="720"/>
        <w:jc w:val="both"/>
      </w:pPr>
    </w:p>
    <w:p w14:paraId="7E8E3131" w14:textId="77777777" w:rsidR="00E25D6E" w:rsidRPr="00620885" w:rsidRDefault="00E25D6E" w:rsidP="00862681">
      <w:pPr>
        <w:ind w:firstLine="720"/>
        <w:jc w:val="both"/>
      </w:pPr>
    </w:p>
    <w:p w14:paraId="1201FEDD" w14:textId="77777777" w:rsidR="00FC60AE" w:rsidRDefault="00FC60AE" w:rsidP="00FC60AE">
      <w:pPr>
        <w:jc w:val="center"/>
        <w:rPr>
          <w:u w:val="single"/>
        </w:rPr>
      </w:pPr>
      <w:r>
        <w:rPr>
          <w:u w:val="single"/>
        </w:rPr>
        <w:lastRenderedPageBreak/>
        <w:t>Decision</w:t>
      </w:r>
    </w:p>
    <w:p w14:paraId="719B2339" w14:textId="77777777" w:rsidR="00FC60AE" w:rsidRDefault="00FC60AE" w:rsidP="00FC60AE">
      <w:pPr>
        <w:jc w:val="both"/>
        <w:rPr>
          <w:u w:val="single"/>
        </w:rPr>
      </w:pPr>
    </w:p>
    <w:p w14:paraId="6E7EE09D" w14:textId="45E09C73" w:rsidR="00B87A36" w:rsidRDefault="00B87A36" w:rsidP="00843E7E">
      <w:pPr>
        <w:shd w:val="clear" w:color="auto" w:fill="FFFFFF"/>
        <w:jc w:val="both"/>
        <w:rPr>
          <w:u w:val="single"/>
        </w:rPr>
      </w:pPr>
      <w:r w:rsidRPr="00843E7E">
        <w:rPr>
          <w:u w:val="single"/>
        </w:rPr>
        <w:t xml:space="preserve">Legal </w:t>
      </w:r>
      <w:r w:rsidR="009E1917">
        <w:rPr>
          <w:u w:val="single"/>
        </w:rPr>
        <w:t>Background</w:t>
      </w:r>
    </w:p>
    <w:p w14:paraId="056BE6DB" w14:textId="5E6B4F8E" w:rsidR="00B87A36" w:rsidRDefault="00B87A36" w:rsidP="00843E7E">
      <w:pPr>
        <w:shd w:val="clear" w:color="auto" w:fill="FFFFFF"/>
        <w:jc w:val="both"/>
        <w:rPr>
          <w:u w:val="single"/>
        </w:rPr>
      </w:pPr>
    </w:p>
    <w:p w14:paraId="25FE4945" w14:textId="7A9B3046" w:rsidR="00C73F18" w:rsidRDefault="009E1917" w:rsidP="00843E7E">
      <w:pPr>
        <w:shd w:val="clear" w:color="auto" w:fill="FFFFFF"/>
        <w:jc w:val="both"/>
        <w:rPr>
          <w:rStyle w:val="text"/>
        </w:rPr>
      </w:pPr>
      <w:r w:rsidRPr="00843E7E">
        <w:tab/>
        <w:t>FEECA directs us to promote four key priorities: (1) reducing</w:t>
      </w:r>
      <w:r w:rsidR="00786FBD">
        <w:t xml:space="preserve"> and controlling</w:t>
      </w:r>
      <w:r w:rsidRPr="00843E7E">
        <w:t xml:space="preserve"> the growth rates of weather-sensitive peak demand and electricity usage, (2) increasing the efficiency </w:t>
      </w:r>
      <w:r w:rsidR="00786FBD">
        <w:t xml:space="preserve">and cost-effectiveness </w:t>
      </w:r>
      <w:r w:rsidRPr="00843E7E">
        <w:t>of the production and consumption of electricity and natural gas, (3) encouraging demand-side renewable energy systems, and (4) conserving expensive resources, particularly petroleum fuel.</w:t>
      </w:r>
      <w:r w:rsidR="00A12C40">
        <w:rPr>
          <w:rStyle w:val="FootnoteReference"/>
        </w:rPr>
        <w:footnoteReference w:id="3"/>
      </w:r>
      <w:r w:rsidRPr="00843E7E">
        <w:t xml:space="preserve"> </w:t>
      </w:r>
      <w:r w:rsidR="00A12C40" w:rsidRPr="00A12C40">
        <w:t>The Legislature emphasized that it is critical to utilize “efficient and cost-effective” conservation</w:t>
      </w:r>
      <w:r w:rsidR="00A12C40">
        <w:t xml:space="preserve"> systems.</w:t>
      </w:r>
      <w:r w:rsidR="00A12C40">
        <w:rPr>
          <w:rStyle w:val="FootnoteReference"/>
        </w:rPr>
        <w:footnoteReference w:id="4"/>
      </w:r>
      <w:r w:rsidR="00A12C40" w:rsidRPr="00A12C40">
        <w:t xml:space="preserve"> Section 366.82, F.S., bifurcates our responsibility under FEECA into two </w:t>
      </w:r>
      <w:r w:rsidR="00A01B2F" w:rsidRPr="00A12C40">
        <w:t>separately</w:t>
      </w:r>
      <w:r w:rsidR="00A12C40" w:rsidRPr="00A12C40">
        <w:t xml:space="preserve"> docketed proceedings. First, in the goalsetting dockets, we must establish appropriate goals for increasing the efficiency of energy consumption and increasing the development of demand-side renewable energy systems. Following the adoption of goals, in the plan approval dockets, each FEECA </w:t>
      </w:r>
      <w:r w:rsidR="00DF6F7F">
        <w:t>U</w:t>
      </w:r>
      <w:r w:rsidR="00A12C40" w:rsidRPr="00A12C40">
        <w:t xml:space="preserve">tility must file plans and programs to meet the </w:t>
      </w:r>
      <w:r w:rsidR="00835404">
        <w:t xml:space="preserve">goals within its service area. </w:t>
      </w:r>
      <w:r w:rsidR="00A12C40" w:rsidRPr="00A12C40">
        <w:t>The present docket</w:t>
      </w:r>
      <w:r w:rsidR="00862681">
        <w:t xml:space="preserve"> was</w:t>
      </w:r>
      <w:r w:rsidR="00A12C40" w:rsidRPr="00A12C40">
        <w:t xml:space="preserve"> opened to address the first, goalsetting portion of our FEECA proceedings</w:t>
      </w:r>
      <w:r w:rsidR="00862681">
        <w:t xml:space="preserve"> for FPUC</w:t>
      </w:r>
      <w:r w:rsidR="00A12C40" w:rsidRPr="00A12C40">
        <w:t>.</w:t>
      </w:r>
    </w:p>
    <w:p w14:paraId="1AB90ACF" w14:textId="77777777" w:rsidR="00C73F18" w:rsidRDefault="00C73F18" w:rsidP="00843E7E">
      <w:pPr>
        <w:shd w:val="clear" w:color="auto" w:fill="FFFFFF"/>
        <w:jc w:val="both"/>
        <w:rPr>
          <w:rStyle w:val="text"/>
        </w:rPr>
      </w:pPr>
    </w:p>
    <w:p w14:paraId="67A331B9" w14:textId="4E95D13C" w:rsidR="000A2A9A" w:rsidRDefault="00C73F18" w:rsidP="00843E7E">
      <w:pPr>
        <w:shd w:val="clear" w:color="auto" w:fill="FFFFFF"/>
        <w:ind w:firstLine="720"/>
        <w:jc w:val="both"/>
        <w:rPr>
          <w:rStyle w:val="text"/>
        </w:rPr>
      </w:pPr>
      <w:r>
        <w:rPr>
          <w:rStyle w:val="text"/>
        </w:rPr>
        <w:t xml:space="preserve">FEECA requires that </w:t>
      </w:r>
      <w:r w:rsidR="00145297">
        <w:rPr>
          <w:rStyle w:val="text"/>
        </w:rPr>
        <w:t>we establish</w:t>
      </w:r>
      <w:r w:rsidR="000A2A9A" w:rsidRPr="00843E7E">
        <w:rPr>
          <w:rStyle w:val="text"/>
        </w:rPr>
        <w:t xml:space="preserve"> goals designed to increase the conservation of expensive resources, such as petroleum fuels</w:t>
      </w:r>
      <w:r w:rsidR="00AD57ED">
        <w:rPr>
          <w:rStyle w:val="text"/>
        </w:rPr>
        <w:t>;</w:t>
      </w:r>
      <w:r w:rsidR="000A2A9A" w:rsidRPr="00843E7E">
        <w:rPr>
          <w:rStyle w:val="text"/>
        </w:rPr>
        <w:t xml:space="preserve"> reduce and control the growth rates of electric consumption</w:t>
      </w:r>
      <w:r w:rsidR="00AD57ED">
        <w:rPr>
          <w:rStyle w:val="text"/>
        </w:rPr>
        <w:t>;</w:t>
      </w:r>
      <w:r w:rsidR="000A2A9A" w:rsidRPr="00843E7E">
        <w:rPr>
          <w:rStyle w:val="text"/>
        </w:rPr>
        <w:t xml:space="preserve"> reduce the growth rates of weather-sensitive peak demand</w:t>
      </w:r>
      <w:r w:rsidR="00AD57ED">
        <w:rPr>
          <w:rStyle w:val="text"/>
        </w:rPr>
        <w:t>;</w:t>
      </w:r>
      <w:r w:rsidR="000A2A9A" w:rsidRPr="00843E7E">
        <w:rPr>
          <w:rStyle w:val="text"/>
        </w:rPr>
        <w:t xml:space="preserve"> and encourage development of demand-side renewable energy resources.</w:t>
      </w:r>
      <w:r w:rsidR="00AD57ED">
        <w:rPr>
          <w:rStyle w:val="FootnoteReference"/>
        </w:rPr>
        <w:footnoteReference w:id="5"/>
      </w:r>
      <w:r w:rsidR="000A2A9A" w:rsidRPr="00843E7E">
        <w:rPr>
          <w:rStyle w:val="text"/>
        </w:rPr>
        <w:t xml:space="preserve"> </w:t>
      </w:r>
      <w:r w:rsidR="00862681">
        <w:rPr>
          <w:rStyle w:val="text"/>
        </w:rPr>
        <w:t>Section 366.82(3), F.S.,</w:t>
      </w:r>
      <w:r w:rsidR="000A2A9A" w:rsidRPr="00843E7E">
        <w:rPr>
          <w:rStyle w:val="text"/>
        </w:rPr>
        <w:t xml:space="preserve"> prescribes </w:t>
      </w:r>
      <w:r w:rsidR="00AD57ED">
        <w:rPr>
          <w:rStyle w:val="text"/>
        </w:rPr>
        <w:t>the following</w:t>
      </w:r>
      <w:r w:rsidR="000A2A9A" w:rsidRPr="00843E7E">
        <w:rPr>
          <w:rStyle w:val="text"/>
        </w:rPr>
        <w:t xml:space="preserve"> criteria for </w:t>
      </w:r>
      <w:r>
        <w:rPr>
          <w:rStyle w:val="text"/>
        </w:rPr>
        <w:t xml:space="preserve">our </w:t>
      </w:r>
      <w:r w:rsidR="003F1378" w:rsidRPr="000A2A9A">
        <w:rPr>
          <w:rStyle w:val="text"/>
        </w:rPr>
        <w:t>evaluati</w:t>
      </w:r>
      <w:r>
        <w:rPr>
          <w:rStyle w:val="text"/>
        </w:rPr>
        <w:t>on of</w:t>
      </w:r>
      <w:r w:rsidR="000A2A9A" w:rsidRPr="00843E7E">
        <w:rPr>
          <w:rStyle w:val="text"/>
        </w:rPr>
        <w:t xml:space="preserve"> </w:t>
      </w:r>
      <w:r w:rsidR="00AD57ED">
        <w:rPr>
          <w:rStyle w:val="text"/>
        </w:rPr>
        <w:t xml:space="preserve">the conservation </w:t>
      </w:r>
      <w:r w:rsidR="000A2A9A" w:rsidRPr="00843E7E">
        <w:rPr>
          <w:rStyle w:val="text"/>
        </w:rPr>
        <w:t xml:space="preserve">goals: </w:t>
      </w:r>
    </w:p>
    <w:p w14:paraId="5F4C656B" w14:textId="77777777" w:rsidR="00AD57ED" w:rsidRPr="00843E7E" w:rsidRDefault="00AD57ED" w:rsidP="00843E7E">
      <w:pPr>
        <w:shd w:val="clear" w:color="auto" w:fill="FFFFFF"/>
        <w:jc w:val="both"/>
      </w:pPr>
    </w:p>
    <w:p w14:paraId="7AB77553" w14:textId="37A486F3" w:rsidR="000A2A9A" w:rsidRPr="00843E7E" w:rsidRDefault="000A2A9A" w:rsidP="00843E7E">
      <w:pPr>
        <w:shd w:val="clear" w:color="auto" w:fill="FFFFFF"/>
        <w:ind w:left="720" w:right="720"/>
        <w:jc w:val="both"/>
      </w:pPr>
      <w:r w:rsidRPr="00843E7E">
        <w:rPr>
          <w:rStyle w:val="text"/>
        </w:rPr>
        <w:t>In developing the goals, the commission shall evaluate the full technical potential of all available demand-side and supply-side conservation and efficiency measures, including demand-side renewable energy systems. In establishing the goals, the commission shall take into consideration:</w:t>
      </w:r>
    </w:p>
    <w:p w14:paraId="6B1CD94D" w14:textId="77777777" w:rsidR="000A2A9A" w:rsidRPr="00843E7E" w:rsidRDefault="000A2A9A" w:rsidP="00843E7E">
      <w:pPr>
        <w:shd w:val="clear" w:color="auto" w:fill="FFFFFF"/>
        <w:ind w:left="720" w:right="720"/>
        <w:jc w:val="both"/>
      </w:pPr>
      <w:r w:rsidRPr="00843E7E">
        <w:rPr>
          <w:rStyle w:val="number"/>
        </w:rPr>
        <w:t>(a)</w:t>
      </w:r>
      <w:r w:rsidRPr="00843E7E">
        <w:rPr>
          <w:rStyle w:val="number"/>
        </w:rPr>
        <w:t> </w:t>
      </w:r>
      <w:r w:rsidRPr="00843E7E">
        <w:rPr>
          <w:rStyle w:val="text"/>
        </w:rPr>
        <w:t>The costs and benefits to customers participating in the measure.</w:t>
      </w:r>
    </w:p>
    <w:p w14:paraId="4CC94B65" w14:textId="77777777" w:rsidR="000A2A9A" w:rsidRPr="00843E7E" w:rsidRDefault="000A2A9A" w:rsidP="00843E7E">
      <w:pPr>
        <w:shd w:val="clear" w:color="auto" w:fill="FFFFFF"/>
        <w:ind w:left="720" w:right="720"/>
        <w:jc w:val="both"/>
      </w:pPr>
      <w:r w:rsidRPr="00843E7E">
        <w:rPr>
          <w:rStyle w:val="number"/>
        </w:rPr>
        <w:t>(b)</w:t>
      </w:r>
      <w:r w:rsidRPr="00843E7E">
        <w:rPr>
          <w:rStyle w:val="number"/>
        </w:rPr>
        <w:t> </w:t>
      </w:r>
      <w:r w:rsidRPr="00843E7E">
        <w:rPr>
          <w:rStyle w:val="text"/>
        </w:rPr>
        <w:t>The costs and benefits to the general body of ratepayers as a whole, including utility incentives and participant contributions.</w:t>
      </w:r>
    </w:p>
    <w:p w14:paraId="615E353C" w14:textId="77777777" w:rsidR="000A2A9A" w:rsidRPr="00843E7E" w:rsidRDefault="000A2A9A" w:rsidP="00843E7E">
      <w:pPr>
        <w:shd w:val="clear" w:color="auto" w:fill="FFFFFF"/>
        <w:ind w:left="720" w:right="720"/>
        <w:jc w:val="both"/>
      </w:pPr>
      <w:r w:rsidRPr="00843E7E">
        <w:rPr>
          <w:rStyle w:val="number"/>
        </w:rPr>
        <w:t>(c)</w:t>
      </w:r>
      <w:r w:rsidRPr="00843E7E">
        <w:rPr>
          <w:rStyle w:val="number"/>
        </w:rPr>
        <w:t> </w:t>
      </w:r>
      <w:r w:rsidRPr="00843E7E">
        <w:rPr>
          <w:rStyle w:val="text"/>
        </w:rPr>
        <w:t>The need for incentives to promote both customer-owned and utility-owned energy efficiency and demand-side renewable energy systems.</w:t>
      </w:r>
    </w:p>
    <w:p w14:paraId="762D2CF0" w14:textId="587A07D5" w:rsidR="000A2A9A" w:rsidRPr="00843E7E" w:rsidRDefault="000A2A9A" w:rsidP="00843E7E">
      <w:pPr>
        <w:shd w:val="clear" w:color="auto" w:fill="FFFFFF"/>
        <w:ind w:left="720" w:right="720"/>
        <w:jc w:val="both"/>
      </w:pPr>
      <w:r w:rsidRPr="00843E7E">
        <w:rPr>
          <w:rStyle w:val="number"/>
        </w:rPr>
        <w:t>(d)</w:t>
      </w:r>
      <w:r w:rsidRPr="00843E7E">
        <w:rPr>
          <w:rStyle w:val="number"/>
        </w:rPr>
        <w:t> </w:t>
      </w:r>
      <w:r w:rsidRPr="00843E7E">
        <w:rPr>
          <w:rStyle w:val="text"/>
        </w:rPr>
        <w:t>The costs imposed by state and federal regulations on the emission of greenhouse gases.</w:t>
      </w:r>
    </w:p>
    <w:p w14:paraId="17D36F53" w14:textId="77777777" w:rsidR="00C73F18" w:rsidRDefault="00C73F18" w:rsidP="00843E7E">
      <w:pPr>
        <w:jc w:val="both"/>
      </w:pPr>
    </w:p>
    <w:p w14:paraId="2BBB41B0" w14:textId="60F11470" w:rsidR="008C7345" w:rsidRDefault="009E242B" w:rsidP="00843E7E">
      <w:pPr>
        <w:ind w:firstLine="720"/>
        <w:jc w:val="both"/>
      </w:pPr>
      <w:r>
        <w:t>We implement</w:t>
      </w:r>
      <w:r w:rsidR="00F37884">
        <w:t xml:space="preserve"> </w:t>
      </w:r>
      <w:r w:rsidR="00C4713A">
        <w:t xml:space="preserve">FEECA for electric utilities through Rule 25-17.0021, F.A.C. </w:t>
      </w:r>
      <w:r w:rsidR="00AD57ED">
        <w:t>Pursuant to</w:t>
      </w:r>
      <w:r w:rsidR="00C4713A">
        <w:t xml:space="preserve"> that rule</w:t>
      </w:r>
      <w:r w:rsidR="00862681">
        <w:t>,</w:t>
      </w:r>
      <w:r w:rsidR="00AD57ED">
        <w:t xml:space="preserve"> </w:t>
      </w:r>
      <w:r w:rsidR="002C6B7B">
        <w:t xml:space="preserve">for each FEECA Utility, </w:t>
      </w:r>
      <w:r w:rsidR="00AD57ED">
        <w:t>we establish annual</w:t>
      </w:r>
      <w:r w:rsidR="00D6776A">
        <w:t xml:space="preserve"> </w:t>
      </w:r>
      <w:r w:rsidR="00AD57ED">
        <w:t>kilowatt (KW) and kilowatt-hour (KWh) goals for Residential and Commercial/Industrial customer classes.</w:t>
      </w:r>
      <w:r w:rsidR="00C73F18">
        <w:rPr>
          <w:rStyle w:val="FootnoteReference"/>
        </w:rPr>
        <w:footnoteReference w:id="6"/>
      </w:r>
      <w:r w:rsidR="00AD57ED">
        <w:t xml:space="preserve"> The goals are based on (1) an assessment of the technical potential of available conservation and efficiency measures, and (2) an estimate of the total cost-effective KW and KWh savings reasonably achievable through </w:t>
      </w:r>
      <w:r w:rsidR="00AD57ED">
        <w:lastRenderedPageBreak/>
        <w:t>demand-side management (DSM) programs in each utility’s service area over a ten-year period.</w:t>
      </w:r>
      <w:r w:rsidR="00AD57ED">
        <w:rPr>
          <w:rStyle w:val="FootnoteReference"/>
        </w:rPr>
        <w:footnoteReference w:id="7"/>
      </w:r>
      <w:r w:rsidR="00AD57ED">
        <w:t xml:space="preserve"> </w:t>
      </w:r>
      <w:r w:rsidR="00F37884">
        <w:t xml:space="preserve">The goals </w:t>
      </w:r>
      <w:r w:rsidR="00862681">
        <w:t>we establish are</w:t>
      </w:r>
      <w:r w:rsidR="00F37884">
        <w:t xml:space="preserve"> annual targets for conservation, with KW goals relating to seasonal—summer and winter—demand savings, and annual KWh goals relating to annual energy savings.</w:t>
      </w:r>
    </w:p>
    <w:p w14:paraId="1F2359BC" w14:textId="77777777" w:rsidR="008C7345" w:rsidRDefault="008C7345" w:rsidP="00843E7E">
      <w:pPr>
        <w:ind w:firstLine="720"/>
        <w:jc w:val="both"/>
      </w:pPr>
    </w:p>
    <w:p w14:paraId="3794544D" w14:textId="299D6D6F" w:rsidR="000A2A9A" w:rsidRDefault="00F37884" w:rsidP="00843E7E">
      <w:pPr>
        <w:ind w:firstLine="720"/>
        <w:jc w:val="both"/>
      </w:pPr>
      <w:r w:rsidRPr="00F37884">
        <w:t>Following the last goalsetting proceedings in 2019, after receiving feedback from the utilities, intervenors, and interested persons, we amended Rule 25-17.0021, F.A.C., to streamline our FEECA process by requiring utilities to file potential conservation programs along with their proposed goals. This allows us to analyze th</w:t>
      </w:r>
      <w:r w:rsidR="00786FBD">
        <w:t>e utilities’ proposed goals based upon energy (KWH) and demand (KW) savings from customer participation in</w:t>
      </w:r>
      <w:r w:rsidRPr="00F37884">
        <w:t xml:space="preserve"> potential programs it plans to implement, thus giving us better information as to the appropriateness of the goals.</w:t>
      </w:r>
      <w:r>
        <w:t xml:space="preserve"> </w:t>
      </w:r>
      <w:r w:rsidR="00145297">
        <w:t xml:space="preserve">Thus, </w:t>
      </w:r>
      <w:r w:rsidR="00A01B2F">
        <w:t>although</w:t>
      </w:r>
      <w:r w:rsidR="00145297">
        <w:t xml:space="preserve"> utility </w:t>
      </w:r>
      <w:r w:rsidR="00CC55D1">
        <w:t xml:space="preserve">conservation </w:t>
      </w:r>
      <w:r w:rsidR="00145297">
        <w:t xml:space="preserve">plans and the underlying programs and measures to implement those plans are not approved </w:t>
      </w:r>
      <w:r w:rsidR="00A01B2F">
        <w:t>at this time</w:t>
      </w:r>
      <w:r w:rsidR="00145297">
        <w:t xml:space="preserve">, each utility must include sufficient information </w:t>
      </w:r>
      <w:r w:rsidR="009E270D">
        <w:t xml:space="preserve">related to </w:t>
      </w:r>
      <w:r w:rsidR="00E80BD6">
        <w:t xml:space="preserve">the </w:t>
      </w:r>
      <w:r w:rsidR="009E270D">
        <w:t xml:space="preserve">cost-effectiveness of its potential DSM programs to support the </w:t>
      </w:r>
      <w:r w:rsidR="00E80BD6">
        <w:t xml:space="preserve">appropriateness of </w:t>
      </w:r>
      <w:r w:rsidR="009E270D">
        <w:t>its proposed</w:t>
      </w:r>
      <w:r w:rsidR="00E80BD6">
        <w:t xml:space="preserve"> goals</w:t>
      </w:r>
      <w:r w:rsidR="00145297">
        <w:t>.</w:t>
      </w:r>
      <w:r w:rsidR="00CC55D1">
        <w:rPr>
          <w:rStyle w:val="FootnoteReference"/>
        </w:rPr>
        <w:footnoteReference w:id="8"/>
      </w:r>
      <w:r w:rsidR="00145297">
        <w:t xml:space="preserve"> </w:t>
      </w:r>
    </w:p>
    <w:p w14:paraId="03C72469" w14:textId="2660F7C0" w:rsidR="00B87A36" w:rsidRDefault="00B87A36" w:rsidP="00843E7E">
      <w:pPr>
        <w:jc w:val="both"/>
        <w:rPr>
          <w:u w:val="single"/>
        </w:rPr>
      </w:pPr>
    </w:p>
    <w:p w14:paraId="11D594B7" w14:textId="14F25814" w:rsidR="00B87A36" w:rsidRDefault="00B87A36" w:rsidP="00843E7E">
      <w:pPr>
        <w:jc w:val="both"/>
        <w:rPr>
          <w:u w:val="single"/>
        </w:rPr>
      </w:pPr>
      <w:r w:rsidRPr="00843E7E">
        <w:rPr>
          <w:u w:val="single"/>
        </w:rPr>
        <w:t>Analysis</w:t>
      </w:r>
    </w:p>
    <w:p w14:paraId="3A93793F" w14:textId="3BD24133" w:rsidR="00082F70" w:rsidRDefault="00082F70" w:rsidP="00082F70">
      <w:pPr>
        <w:ind w:firstLine="720"/>
        <w:jc w:val="both"/>
      </w:pPr>
    </w:p>
    <w:p w14:paraId="25E6E43B" w14:textId="0D9C130D" w:rsidR="00C4713A" w:rsidRDefault="002C6B7B" w:rsidP="000D4E2E">
      <w:pPr>
        <w:ind w:firstLine="720"/>
        <w:jc w:val="both"/>
      </w:pPr>
      <w:r>
        <w:t xml:space="preserve">Pursuant to Section </w:t>
      </w:r>
      <w:r w:rsidRPr="001C6FD7">
        <w:t>366.82</w:t>
      </w:r>
      <w:r>
        <w:t>, F</w:t>
      </w:r>
      <w:r w:rsidR="009E242B">
        <w:t>.S</w:t>
      </w:r>
      <w:r>
        <w:t>.</w:t>
      </w:r>
      <w:r w:rsidR="00A236B6">
        <w:t>,</w:t>
      </w:r>
      <w:r>
        <w:t xml:space="preserve"> we must evaluate whether the goals </w:t>
      </w:r>
      <w:r w:rsidR="00862681">
        <w:t>requested</w:t>
      </w:r>
      <w:r>
        <w:t xml:space="preserve"> by FPUC are appropriate. </w:t>
      </w:r>
      <w:r w:rsidR="00C4713A">
        <w:t>Pursuant to the Prehearing Order, Order No. PSC-2024-0293-PHO-EG, issued August 2, 2024, a final list of issues was established for the consolidated hearing. Issues 1-7 address whether each utility, in developing its proposed goals, adequately addressed the considerations prescribed by statute and Commission rule. Issue 8 addresses, for the purpose of establishing goals for rate-regulated utilities, whether we should consider changing credit levels for demand response programs in the FEECA goalsetting proceedings or in their base rate proceedings.</w:t>
      </w:r>
      <w:r w:rsidR="00B60FDB">
        <w:t xml:space="preserve"> Because FPUC has no such demand response programs, Issue 8 was moot for </w:t>
      </w:r>
      <w:r w:rsidR="00862681">
        <w:t>FPUC</w:t>
      </w:r>
      <w:r w:rsidR="00B60FDB">
        <w:t>. Issues 9-11 were specific only to FPL’s docket and thus not at issue for FPUC. Issues 12 and 13 are the ultimate issues addressing, in light of the preceding issues, what conservation goals we should establish for FPUC as required by Section 366.82, F.S.</w:t>
      </w:r>
    </w:p>
    <w:p w14:paraId="54105447" w14:textId="77777777" w:rsidR="00C4713A" w:rsidRDefault="00C4713A" w:rsidP="000D4E2E">
      <w:pPr>
        <w:ind w:firstLine="720"/>
        <w:jc w:val="both"/>
      </w:pPr>
    </w:p>
    <w:p w14:paraId="4EA27526" w14:textId="46468632" w:rsidR="00843E7E" w:rsidRDefault="002C6B7B" w:rsidP="000D4E2E">
      <w:pPr>
        <w:ind w:firstLine="720"/>
        <w:jc w:val="both"/>
      </w:pPr>
      <w:r>
        <w:t>Following</w:t>
      </w:r>
      <w:r w:rsidR="00E97C3D">
        <w:t xml:space="preserve"> a robust discovery process</w:t>
      </w:r>
      <w:r>
        <w:t xml:space="preserve">, </w:t>
      </w:r>
      <w:r w:rsidR="00620885">
        <w:t xml:space="preserve">we were </w:t>
      </w:r>
      <w:r>
        <w:t>presented</w:t>
      </w:r>
      <w:r w:rsidR="000A2A9A">
        <w:t xml:space="preserve"> </w:t>
      </w:r>
      <w:r w:rsidR="00620885">
        <w:t xml:space="preserve">with </w:t>
      </w:r>
      <w:r w:rsidR="000A2A9A">
        <w:t xml:space="preserve">a series of </w:t>
      </w:r>
      <w:r>
        <w:t xml:space="preserve">proposed </w:t>
      </w:r>
      <w:r w:rsidRPr="00E97C3D">
        <w:t xml:space="preserve">Type </w:t>
      </w:r>
      <w:r>
        <w:t>II</w:t>
      </w:r>
      <w:r w:rsidRPr="00E97C3D">
        <w:t xml:space="preserve"> </w:t>
      </w:r>
      <w:r w:rsidR="000A2A9A">
        <w:t>stipulations</w:t>
      </w:r>
      <w:r>
        <w:t>,</w:t>
      </w:r>
      <w:r w:rsidR="00A12C40" w:rsidRPr="00E97C3D">
        <w:rPr>
          <w:bCs/>
          <w:vertAlign w:val="superscript"/>
        </w:rPr>
        <w:footnoteReference w:id="9"/>
      </w:r>
      <w:r>
        <w:t xml:space="preserve"> set forth below in Attachment A, that fully resolved all issues in this docket</w:t>
      </w:r>
      <w:r w:rsidR="00176280">
        <w:t>.</w:t>
      </w:r>
      <w:r w:rsidR="00592C71" w:rsidRPr="00592C71">
        <w:t xml:space="preserve"> </w:t>
      </w:r>
      <w:r w:rsidR="00620885">
        <w:t xml:space="preserve">FPUC supported the stipulations, </w:t>
      </w:r>
      <w:r w:rsidR="00592C71">
        <w:t>Walmart and FDACS took no position on all issues</w:t>
      </w:r>
      <w:r w:rsidR="00B60FDB">
        <w:t xml:space="preserve">, and </w:t>
      </w:r>
      <w:r w:rsidR="001C0F95">
        <w:t>Commission</w:t>
      </w:r>
      <w:r w:rsidR="00B60FDB">
        <w:t xml:space="preserve"> staff recommended approval of the proposed stipulations</w:t>
      </w:r>
      <w:r w:rsidR="00592C71">
        <w:t xml:space="preserve">. </w:t>
      </w:r>
      <w:r>
        <w:t>We</w:t>
      </w:r>
      <w:r w:rsidR="00592C71">
        <w:t xml:space="preserve"> approved</w:t>
      </w:r>
      <w:r>
        <w:t xml:space="preserve"> the </w:t>
      </w:r>
      <w:r w:rsidR="009E270D">
        <w:t xml:space="preserve">proposed </w:t>
      </w:r>
      <w:r>
        <w:t>stipulations</w:t>
      </w:r>
      <w:r w:rsidR="00592C71">
        <w:t xml:space="preserve"> </w:t>
      </w:r>
      <w:r>
        <w:t xml:space="preserve">by a bench vote </w:t>
      </w:r>
      <w:r w:rsidR="00592C71">
        <w:t xml:space="preserve">at the </w:t>
      </w:r>
      <w:r>
        <w:t>August 8</w:t>
      </w:r>
      <w:r w:rsidR="00DF6F7F">
        <w:t>, 2024</w:t>
      </w:r>
      <w:r w:rsidR="00620885">
        <w:t>,</w:t>
      </w:r>
      <w:r w:rsidR="00592C71">
        <w:t xml:space="preserve"> </w:t>
      </w:r>
      <w:r w:rsidR="00620885">
        <w:t>h</w:t>
      </w:r>
      <w:r w:rsidR="00592C71">
        <w:t xml:space="preserve">earing. </w:t>
      </w:r>
    </w:p>
    <w:p w14:paraId="7381377D" w14:textId="77777777" w:rsidR="00843E7E" w:rsidRDefault="00843E7E" w:rsidP="00843E7E">
      <w:pPr>
        <w:shd w:val="clear" w:color="auto" w:fill="FFFFFF"/>
        <w:ind w:firstLine="720"/>
        <w:jc w:val="both"/>
      </w:pPr>
    </w:p>
    <w:p w14:paraId="5FEB04C5" w14:textId="39B95F07" w:rsidR="00176280" w:rsidRPr="001C0F95" w:rsidRDefault="009E270D" w:rsidP="003F6D3E">
      <w:pPr>
        <w:shd w:val="clear" w:color="auto" w:fill="FFFFFF"/>
        <w:ind w:firstLine="720"/>
        <w:jc w:val="both"/>
      </w:pPr>
      <w:r>
        <w:t>We find that each of the</w:t>
      </w:r>
      <w:r w:rsidR="00B87A36">
        <w:t xml:space="preserve"> stipulations are supported by </w:t>
      </w:r>
      <w:r>
        <w:t xml:space="preserve">evidence in the </w:t>
      </w:r>
      <w:r w:rsidR="00B87A36">
        <w:t>record</w:t>
      </w:r>
      <w:r>
        <w:t>.</w:t>
      </w:r>
      <w:r w:rsidR="00B87A36">
        <w:t xml:space="preserve"> </w:t>
      </w:r>
      <w:r w:rsidR="00707593">
        <w:t>W</w:t>
      </w:r>
      <w:r>
        <w:t>e</w:t>
      </w:r>
      <w:r w:rsidR="00707593">
        <w:t xml:space="preserve"> also</w:t>
      </w:r>
      <w:r>
        <w:t xml:space="preserve"> find that the </w:t>
      </w:r>
      <w:r w:rsidR="00C97701">
        <w:t xml:space="preserve">testimony and exhibits </w:t>
      </w:r>
      <w:r w:rsidR="00707593">
        <w:t>in the record</w:t>
      </w:r>
      <w:r w:rsidR="00C97701">
        <w:t xml:space="preserve"> adequately address the statutory considerations required by Section 366.82(3), F.S., and demonstrate that </w:t>
      </w:r>
      <w:r w:rsidR="00707593">
        <w:t xml:space="preserve">the </w:t>
      </w:r>
      <w:r w:rsidR="00F57670">
        <w:t xml:space="preserve">goals </w:t>
      </w:r>
      <w:r w:rsidR="001C0F95">
        <w:t xml:space="preserve">stipulated </w:t>
      </w:r>
      <w:r w:rsidR="00F57670">
        <w:t xml:space="preserve">for Issues 12 and </w:t>
      </w:r>
      <w:r w:rsidR="00F57670">
        <w:lastRenderedPageBreak/>
        <w:t>13</w:t>
      </w:r>
      <w:r w:rsidR="000D4E2E">
        <w:t xml:space="preserve">, as </w:t>
      </w:r>
      <w:r w:rsidR="00F57670">
        <w:t>set forth</w:t>
      </w:r>
      <w:r w:rsidR="000D4E2E">
        <w:t xml:space="preserve"> in </w:t>
      </w:r>
      <w:r w:rsidR="00F57670">
        <w:t xml:space="preserve">Attachments A and </w:t>
      </w:r>
      <w:r w:rsidR="000D4E2E">
        <w:t xml:space="preserve">B, </w:t>
      </w:r>
      <w:r w:rsidR="00707593">
        <w:t>will</w:t>
      </w:r>
      <w:r w:rsidR="00C97701">
        <w:t xml:space="preserve"> </w:t>
      </w:r>
      <w:r w:rsidR="00707593" w:rsidRPr="00707593">
        <w:t>increase the conservation of expensive resources, such as petroleum fuels; reduce and control the growth rates of electric consumption; reduce the growth rates of weather-sensitive peak demand; and encourage development of demand-side renewable energy resources</w:t>
      </w:r>
      <w:r w:rsidR="00F865CC">
        <w:t xml:space="preserve">. </w:t>
      </w:r>
      <w:r w:rsidR="00707593">
        <w:t xml:space="preserve">In particular, </w:t>
      </w:r>
      <w:r w:rsidR="00977F77">
        <w:t xml:space="preserve">we found the testimony and exhibits of </w:t>
      </w:r>
      <w:r w:rsidR="00707593">
        <w:t>FPUC witness</w:t>
      </w:r>
      <w:r w:rsidR="003E5509">
        <w:t>es Jim Herndon and</w:t>
      </w:r>
      <w:r w:rsidR="00707593">
        <w:t xml:space="preserve"> </w:t>
      </w:r>
      <w:r w:rsidR="00977F77">
        <w:t>Derrick Craig, as well as the discovery responses provided by FPUC,</w:t>
      </w:r>
      <w:r w:rsidR="001C0F95">
        <w:t xml:space="preserve"> support our finding that</w:t>
      </w:r>
      <w:r w:rsidR="00977F77">
        <w:t xml:space="preserve"> the stipulated goals are reasonable and consistent with the requirements of Section 366.82, F.</w:t>
      </w:r>
      <w:r w:rsidR="00835404">
        <w:t>S., and Rule 25-17.0021, F.A.C.</w:t>
      </w:r>
      <w:r w:rsidR="00977F77">
        <w:t xml:space="preserve"> </w:t>
      </w:r>
      <w:r w:rsidR="00B87A36">
        <w:t>For these reasons,</w:t>
      </w:r>
      <w:r w:rsidR="00176280" w:rsidRPr="00F71768">
        <w:t xml:space="preserve"> </w:t>
      </w:r>
      <w:r w:rsidR="0068608A">
        <w:t>we</w:t>
      </w:r>
      <w:r w:rsidR="00176280" w:rsidRPr="00F71768">
        <w:t xml:space="preserve"> find </w:t>
      </w:r>
      <w:r w:rsidR="0068608A">
        <w:t xml:space="preserve">the stipulated goals to be </w:t>
      </w:r>
      <w:r w:rsidR="00707593">
        <w:t>appropriate</w:t>
      </w:r>
      <w:r w:rsidR="0068608A">
        <w:t>.</w:t>
      </w:r>
    </w:p>
    <w:p w14:paraId="2179E917" w14:textId="77777777" w:rsidR="00DF6F7F" w:rsidRPr="003F6D3E" w:rsidRDefault="00DF6F7F" w:rsidP="003F6D3E">
      <w:pPr>
        <w:shd w:val="clear" w:color="auto" w:fill="FFFFFF"/>
        <w:ind w:firstLine="720"/>
        <w:jc w:val="both"/>
      </w:pPr>
    </w:p>
    <w:p w14:paraId="145C68B1" w14:textId="0B8DBD61" w:rsidR="00263560" w:rsidRDefault="00263560" w:rsidP="00263560">
      <w:pPr>
        <w:pStyle w:val="BodyText"/>
        <w:spacing w:after="0"/>
        <w:ind w:left="720" w:hanging="720"/>
        <w:jc w:val="center"/>
        <w:rPr>
          <w:u w:val="single"/>
        </w:rPr>
      </w:pPr>
      <w:r>
        <w:rPr>
          <w:u w:val="single"/>
        </w:rPr>
        <w:t>Conclusion</w:t>
      </w:r>
    </w:p>
    <w:p w14:paraId="3829199B" w14:textId="77777777" w:rsidR="00263560" w:rsidRDefault="00263560" w:rsidP="00263560">
      <w:pPr>
        <w:pStyle w:val="BodyText"/>
        <w:spacing w:after="0"/>
        <w:ind w:left="720" w:hanging="720"/>
        <w:jc w:val="center"/>
        <w:rPr>
          <w:u w:val="single"/>
        </w:rPr>
      </w:pPr>
    </w:p>
    <w:p w14:paraId="1BC817D7" w14:textId="57D54D87" w:rsidR="00263560" w:rsidRPr="00625132" w:rsidRDefault="00263560" w:rsidP="00263560">
      <w:pPr>
        <w:pStyle w:val="BodyText"/>
        <w:spacing w:after="0"/>
        <w:jc w:val="both"/>
      </w:pPr>
      <w:r>
        <w:tab/>
        <w:t xml:space="preserve">The stipulations listed </w:t>
      </w:r>
      <w:r w:rsidR="00F57670">
        <w:t>in Attachment A</w:t>
      </w:r>
      <w:r>
        <w:t xml:space="preserve"> address all the requirements of FEECA</w:t>
      </w:r>
      <w:r w:rsidR="00977F77">
        <w:t xml:space="preserve"> </w:t>
      </w:r>
      <w:r w:rsidR="00D6776A">
        <w:t>enumerated</w:t>
      </w:r>
      <w:r w:rsidR="00977F77">
        <w:t xml:space="preserve"> in Section 366.82, F.S., and satisfy the requirements of Rule 25-17.0021, F.A.C</w:t>
      </w:r>
      <w:r>
        <w:t xml:space="preserve">. </w:t>
      </w:r>
      <w:r w:rsidR="00F040DB">
        <w:t>Further, the</w:t>
      </w:r>
      <w:r>
        <w:t xml:space="preserve"> </w:t>
      </w:r>
      <w:r w:rsidR="00F040DB">
        <w:t xml:space="preserve">conservation </w:t>
      </w:r>
      <w:r>
        <w:t xml:space="preserve">goals </w:t>
      </w:r>
      <w:r w:rsidR="00F040DB">
        <w:t>stipulated in Issues 12 and 13 are appropriate to advance the priorities of FEECA</w:t>
      </w:r>
      <w:r>
        <w:t>.</w:t>
      </w:r>
      <w:r w:rsidR="00F040DB">
        <w:t xml:space="preserve"> Therefore, the goals stipulated in Issues 12 and 13 are adopted for FPUC for the period 2025-2034.</w:t>
      </w:r>
    </w:p>
    <w:p w14:paraId="66476659" w14:textId="77777777" w:rsidR="00D26922" w:rsidRPr="00692EBC" w:rsidRDefault="00D26922" w:rsidP="00FC60AE"/>
    <w:p w14:paraId="5C2E5CF7" w14:textId="77777777" w:rsidR="00D26922" w:rsidRDefault="00D26922" w:rsidP="003F6D3E">
      <w:pPr>
        <w:ind w:firstLine="720"/>
        <w:jc w:val="both"/>
      </w:pPr>
      <w:r>
        <w:t>Based on the foregoing, it is</w:t>
      </w:r>
    </w:p>
    <w:p w14:paraId="79B15A80" w14:textId="77777777" w:rsidR="00D26922" w:rsidRDefault="00D26922" w:rsidP="003F6D3E">
      <w:pPr>
        <w:jc w:val="both"/>
      </w:pPr>
    </w:p>
    <w:p w14:paraId="23E9DA7C" w14:textId="77777777" w:rsidR="00D26922" w:rsidRDefault="00D26922" w:rsidP="003F6D3E">
      <w:pPr>
        <w:ind w:firstLine="720"/>
        <w:jc w:val="both"/>
      </w:pPr>
      <w:r w:rsidRPr="00692EBC">
        <w:t xml:space="preserve">ORDERED by the Florida Public Service Commission that </w:t>
      </w:r>
      <w:r>
        <w:t>the stipulations, findings, and rulings herein are hereby approved.   It is further</w:t>
      </w:r>
    </w:p>
    <w:p w14:paraId="5D6F95CC" w14:textId="77777777" w:rsidR="00D26922" w:rsidRDefault="00D26922" w:rsidP="003F6D3E">
      <w:pPr>
        <w:jc w:val="both"/>
      </w:pPr>
    </w:p>
    <w:p w14:paraId="1CD28948" w14:textId="30BA8452" w:rsidR="00D26922" w:rsidRDefault="00D26922" w:rsidP="003F6D3E">
      <w:pPr>
        <w:jc w:val="both"/>
      </w:pPr>
      <w:r>
        <w:tab/>
        <w:t xml:space="preserve">ORDERED that </w:t>
      </w:r>
      <w:r w:rsidR="003E5509">
        <w:t>F</w:t>
      </w:r>
      <w:r w:rsidR="00FF55BD">
        <w:t xml:space="preserve">lorida </w:t>
      </w:r>
      <w:r w:rsidR="003E5509">
        <w:t>P</w:t>
      </w:r>
      <w:r w:rsidR="00FF55BD">
        <w:t xml:space="preserve">ublic </w:t>
      </w:r>
      <w:r w:rsidR="003E5509">
        <w:t>U</w:t>
      </w:r>
      <w:r w:rsidR="00FF55BD">
        <w:t xml:space="preserve">tilities </w:t>
      </w:r>
      <w:r w:rsidR="003E5509">
        <w:t>C</w:t>
      </w:r>
      <w:r w:rsidR="00FF55BD">
        <w:t>ompany</w:t>
      </w:r>
      <w:r>
        <w:t xml:space="preserve"> shall abide by the stipulations, findings, and rulings herein.  </w:t>
      </w:r>
      <w:r w:rsidR="00620885">
        <w:t xml:space="preserve"> </w:t>
      </w:r>
      <w:r>
        <w:t>It is further</w:t>
      </w:r>
    </w:p>
    <w:p w14:paraId="53E93E49" w14:textId="77777777" w:rsidR="00D26922" w:rsidRDefault="00D26922" w:rsidP="003F6D3E">
      <w:pPr>
        <w:jc w:val="both"/>
      </w:pPr>
    </w:p>
    <w:p w14:paraId="36075A06" w14:textId="0DF34693" w:rsidR="00D26922" w:rsidRPr="00626120" w:rsidRDefault="00D26922" w:rsidP="003F6D3E">
      <w:pPr>
        <w:jc w:val="both"/>
      </w:pPr>
      <w:r>
        <w:tab/>
      </w:r>
      <w:r w:rsidRPr="00626120">
        <w:t xml:space="preserve">ORDERED that </w:t>
      </w:r>
      <w:r w:rsidR="00FF55BD">
        <w:t>Florida Public Utilities Company</w:t>
      </w:r>
      <w:r w:rsidR="003E5509" w:rsidRPr="00626120">
        <w:t xml:space="preserve">’s residential and commercial/industrial summer and winter MW and annual gigawatt-hour (GWh) goals are adopted as set forth in </w:t>
      </w:r>
      <w:r w:rsidR="000D4E2E" w:rsidRPr="00626120">
        <w:t xml:space="preserve">Tables 1-3 of </w:t>
      </w:r>
      <w:r w:rsidR="003E5509" w:rsidRPr="00626120">
        <w:t xml:space="preserve">Attachment </w:t>
      </w:r>
      <w:r w:rsidR="00DF6F7F">
        <w:t>B</w:t>
      </w:r>
      <w:r w:rsidR="003E5509" w:rsidRPr="00626120">
        <w:t xml:space="preserve">.   </w:t>
      </w:r>
      <w:r w:rsidRPr="00626120">
        <w:t>It is further</w:t>
      </w:r>
    </w:p>
    <w:p w14:paraId="555F3073" w14:textId="23AD7A2C" w:rsidR="000D4E2E" w:rsidRPr="00626120" w:rsidRDefault="000D4E2E" w:rsidP="003F6D3E">
      <w:pPr>
        <w:jc w:val="both"/>
      </w:pPr>
    </w:p>
    <w:p w14:paraId="5AFB7C37" w14:textId="56ED12CA" w:rsidR="00A518B5" w:rsidRDefault="000D4E2E" w:rsidP="00A518B5">
      <w:pPr>
        <w:jc w:val="both"/>
      </w:pPr>
      <w:r w:rsidRPr="00626120">
        <w:tab/>
        <w:t xml:space="preserve">ORDERED that </w:t>
      </w:r>
      <w:r w:rsidR="00FF55BD">
        <w:t>Florida Public Utilities Company</w:t>
      </w:r>
      <w:r w:rsidR="00384F9A" w:rsidRPr="00626120">
        <w:t xml:space="preserve"> should continue to implement the provisions of Rule 25-6.065, F.A.C., Interconnection and Net Metering of Customer-Owned Renewable Generation, as an appropriate means to encourage the development of demand-side renewable energy.</w:t>
      </w:r>
      <w:r w:rsidR="00A518B5" w:rsidRPr="00A518B5">
        <w:t xml:space="preserve"> </w:t>
      </w:r>
      <w:r w:rsidR="00E328B0">
        <w:t>It</w:t>
      </w:r>
      <w:r w:rsidR="00A518B5">
        <w:t xml:space="preserve"> is further</w:t>
      </w:r>
    </w:p>
    <w:p w14:paraId="7CD938DF" w14:textId="77777777" w:rsidR="00A518B5" w:rsidRDefault="00A518B5" w:rsidP="00A518B5">
      <w:pPr>
        <w:jc w:val="both"/>
      </w:pPr>
    </w:p>
    <w:p w14:paraId="3467BC9F" w14:textId="77777777" w:rsidR="00A518B5" w:rsidRDefault="00A518B5" w:rsidP="00A518B5">
      <w:pPr>
        <w:jc w:val="both"/>
      </w:pPr>
      <w:r>
        <w:tab/>
        <w:t>ORDERED that this docket shall be closed after the time for filing an appeal has run.</w:t>
      </w:r>
    </w:p>
    <w:p w14:paraId="5134B609" w14:textId="33AE2304" w:rsidR="000D4E2E" w:rsidRDefault="000D4E2E" w:rsidP="003F6D3E">
      <w:pPr>
        <w:jc w:val="both"/>
      </w:pPr>
    </w:p>
    <w:p w14:paraId="53157A69" w14:textId="77777777" w:rsidR="00D26922" w:rsidRDefault="00D26922" w:rsidP="00D26922"/>
    <w:p w14:paraId="5062178E" w14:textId="4ECBA99C" w:rsidR="006C33D5" w:rsidRDefault="006C33D5" w:rsidP="0029291E">
      <w:pPr>
        <w:keepNext/>
        <w:keepLines/>
        <w:ind w:firstLine="720"/>
        <w:jc w:val="both"/>
      </w:pPr>
      <w:r>
        <w:lastRenderedPageBreak/>
        <w:t xml:space="preserve">By ORDER of the Florida Public Service Commission this </w:t>
      </w:r>
      <w:bookmarkStart w:id="4" w:name="replaceDate"/>
      <w:bookmarkEnd w:id="4"/>
      <w:r w:rsidR="0029291E">
        <w:rPr>
          <w:u w:val="single"/>
        </w:rPr>
        <w:t>20th</w:t>
      </w:r>
      <w:r w:rsidR="0029291E">
        <w:t xml:space="preserve"> day of </w:t>
      </w:r>
      <w:r w:rsidR="0029291E">
        <w:rPr>
          <w:u w:val="single"/>
        </w:rPr>
        <w:t>September</w:t>
      </w:r>
      <w:r w:rsidR="0029291E">
        <w:t xml:space="preserve">, </w:t>
      </w:r>
      <w:r w:rsidR="0029291E">
        <w:rPr>
          <w:u w:val="single"/>
        </w:rPr>
        <w:t>2024</w:t>
      </w:r>
      <w:r w:rsidR="0029291E">
        <w:t>.</w:t>
      </w:r>
    </w:p>
    <w:p w14:paraId="7636A474" w14:textId="77777777" w:rsidR="0029291E" w:rsidRPr="0029291E" w:rsidRDefault="0029291E" w:rsidP="0029291E">
      <w:pPr>
        <w:keepNext/>
        <w:keepLines/>
        <w:ind w:firstLine="720"/>
        <w:jc w:val="both"/>
      </w:pPr>
    </w:p>
    <w:p w14:paraId="5E2E747B" w14:textId="77777777" w:rsidR="006C33D5" w:rsidRDefault="006C33D5" w:rsidP="006C33D5">
      <w:pPr>
        <w:keepNext/>
        <w:keepLines/>
        <w:jc w:val="both"/>
      </w:pPr>
    </w:p>
    <w:p w14:paraId="373780FB" w14:textId="77777777" w:rsidR="006C33D5" w:rsidRDefault="006C33D5" w:rsidP="006C33D5">
      <w:pPr>
        <w:keepNext/>
        <w:keepLines/>
        <w:jc w:val="both"/>
      </w:pPr>
    </w:p>
    <w:p w14:paraId="675BDF0B" w14:textId="77777777" w:rsidR="006C33D5" w:rsidRDefault="006C33D5" w:rsidP="006C33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C33D5" w14:paraId="76837DD4" w14:textId="77777777" w:rsidTr="00924ECD">
        <w:tc>
          <w:tcPr>
            <w:tcW w:w="720" w:type="dxa"/>
            <w:shd w:val="clear" w:color="auto" w:fill="auto"/>
          </w:tcPr>
          <w:p w14:paraId="4A889C3C" w14:textId="77777777" w:rsidR="006C33D5" w:rsidRDefault="006C33D5" w:rsidP="00924ECD">
            <w:pPr>
              <w:keepNext/>
              <w:keepLines/>
              <w:jc w:val="both"/>
            </w:pPr>
            <w:bookmarkStart w:id="5" w:name="bkmrkSignature" w:colFirst="0" w:colLast="0"/>
          </w:p>
        </w:tc>
        <w:tc>
          <w:tcPr>
            <w:tcW w:w="4320" w:type="dxa"/>
            <w:tcBorders>
              <w:bottom w:val="single" w:sz="4" w:space="0" w:color="auto"/>
            </w:tcBorders>
            <w:shd w:val="clear" w:color="auto" w:fill="auto"/>
          </w:tcPr>
          <w:p w14:paraId="75DE9192" w14:textId="629C9F79" w:rsidR="006C33D5" w:rsidRDefault="0029291E" w:rsidP="00924ECD">
            <w:pPr>
              <w:keepNext/>
              <w:keepLines/>
              <w:jc w:val="both"/>
            </w:pPr>
            <w:r>
              <w:t>/s/ Adam J. Teitzman</w:t>
            </w:r>
            <w:bookmarkStart w:id="6" w:name="_GoBack"/>
            <w:bookmarkEnd w:id="6"/>
          </w:p>
        </w:tc>
      </w:tr>
      <w:bookmarkEnd w:id="5"/>
      <w:tr w:rsidR="006C33D5" w14:paraId="49648D66" w14:textId="77777777" w:rsidTr="00924ECD">
        <w:tc>
          <w:tcPr>
            <w:tcW w:w="720" w:type="dxa"/>
            <w:shd w:val="clear" w:color="auto" w:fill="auto"/>
          </w:tcPr>
          <w:p w14:paraId="2D7F2E85" w14:textId="77777777" w:rsidR="006C33D5" w:rsidRDefault="006C33D5" w:rsidP="00924ECD">
            <w:pPr>
              <w:keepNext/>
              <w:keepLines/>
              <w:jc w:val="both"/>
            </w:pPr>
          </w:p>
        </w:tc>
        <w:tc>
          <w:tcPr>
            <w:tcW w:w="4320" w:type="dxa"/>
            <w:tcBorders>
              <w:top w:val="single" w:sz="4" w:space="0" w:color="auto"/>
            </w:tcBorders>
            <w:shd w:val="clear" w:color="auto" w:fill="auto"/>
          </w:tcPr>
          <w:p w14:paraId="03286B94" w14:textId="77777777" w:rsidR="006C33D5" w:rsidRDefault="006C33D5" w:rsidP="00924ECD">
            <w:pPr>
              <w:keepNext/>
              <w:keepLines/>
              <w:jc w:val="both"/>
            </w:pPr>
            <w:r>
              <w:t>ADAM J. TEITZMAN</w:t>
            </w:r>
          </w:p>
          <w:p w14:paraId="40B3B647" w14:textId="77777777" w:rsidR="006C33D5" w:rsidRDefault="006C33D5" w:rsidP="00924ECD">
            <w:pPr>
              <w:keepNext/>
              <w:keepLines/>
              <w:jc w:val="both"/>
            </w:pPr>
            <w:r>
              <w:t>Commission Clerk</w:t>
            </w:r>
          </w:p>
        </w:tc>
      </w:tr>
    </w:tbl>
    <w:p w14:paraId="31915719" w14:textId="77777777" w:rsidR="006C33D5" w:rsidRDefault="006C33D5" w:rsidP="006C33D5">
      <w:pPr>
        <w:pStyle w:val="OrderSigInfo"/>
        <w:keepNext/>
        <w:keepLines/>
      </w:pPr>
      <w:r>
        <w:t>Florida Public Service Commission</w:t>
      </w:r>
    </w:p>
    <w:p w14:paraId="2FC73A24" w14:textId="77777777" w:rsidR="006C33D5" w:rsidRDefault="006C33D5" w:rsidP="006C33D5">
      <w:pPr>
        <w:pStyle w:val="OrderSigInfo"/>
        <w:keepNext/>
        <w:keepLines/>
      </w:pPr>
      <w:r>
        <w:t>2540 Shumard Oak Boulevard</w:t>
      </w:r>
    </w:p>
    <w:p w14:paraId="090E4BAD" w14:textId="77777777" w:rsidR="006C33D5" w:rsidRDefault="006C33D5" w:rsidP="006C33D5">
      <w:pPr>
        <w:pStyle w:val="OrderSigInfo"/>
        <w:keepNext/>
        <w:keepLines/>
      </w:pPr>
      <w:r>
        <w:t>Tallahassee, Florida 32399</w:t>
      </w:r>
    </w:p>
    <w:p w14:paraId="0479E21A" w14:textId="77777777" w:rsidR="006C33D5" w:rsidRDefault="006C33D5" w:rsidP="006C33D5">
      <w:pPr>
        <w:pStyle w:val="OrderSigInfo"/>
        <w:keepNext/>
        <w:keepLines/>
      </w:pPr>
      <w:r>
        <w:t>(850) 413</w:t>
      </w:r>
      <w:r>
        <w:noBreakHyphen/>
        <w:t>6770</w:t>
      </w:r>
    </w:p>
    <w:p w14:paraId="52E3A00A" w14:textId="77777777" w:rsidR="006C33D5" w:rsidRDefault="006C33D5" w:rsidP="006C33D5">
      <w:pPr>
        <w:pStyle w:val="OrderSigInfo"/>
        <w:keepNext/>
        <w:keepLines/>
      </w:pPr>
      <w:r>
        <w:t>www.floridapsc.com</w:t>
      </w:r>
    </w:p>
    <w:p w14:paraId="017F7A00" w14:textId="77777777" w:rsidR="006C33D5" w:rsidRDefault="006C33D5" w:rsidP="006C33D5">
      <w:pPr>
        <w:pStyle w:val="OrderSigInfo"/>
        <w:keepNext/>
        <w:keepLines/>
      </w:pPr>
    </w:p>
    <w:p w14:paraId="127807BA" w14:textId="77777777" w:rsidR="006C33D5" w:rsidRDefault="006C33D5" w:rsidP="006C33D5">
      <w:pPr>
        <w:pStyle w:val="OrderSigInfo"/>
        <w:keepNext/>
        <w:keepLines/>
      </w:pPr>
      <w:r>
        <w:t>Copies furnished:  A copy of this document is provided to the parties of record at the time of issuance and, if applicable, interested persons.</w:t>
      </w:r>
    </w:p>
    <w:p w14:paraId="21CD271E" w14:textId="77777777" w:rsidR="006C33D5" w:rsidRDefault="006C33D5" w:rsidP="006C33D5">
      <w:pPr>
        <w:pStyle w:val="OrderBody"/>
        <w:keepNext/>
        <w:keepLines/>
      </w:pPr>
    </w:p>
    <w:p w14:paraId="56625FE2" w14:textId="77777777" w:rsidR="006C33D5" w:rsidRDefault="006C33D5" w:rsidP="006C33D5">
      <w:pPr>
        <w:keepNext/>
        <w:keepLines/>
        <w:jc w:val="both"/>
      </w:pPr>
    </w:p>
    <w:p w14:paraId="17054938" w14:textId="29CE9036" w:rsidR="006C33D5" w:rsidRDefault="006C33D5" w:rsidP="006C33D5">
      <w:pPr>
        <w:keepNext/>
        <w:keepLines/>
        <w:jc w:val="both"/>
      </w:pPr>
      <w:r>
        <w:t>JDI</w:t>
      </w:r>
      <w:r w:rsidR="00384F9A">
        <w:t>/jhr</w:t>
      </w:r>
    </w:p>
    <w:p w14:paraId="40D6988D" w14:textId="77777777" w:rsidR="006C33D5" w:rsidRDefault="006C33D5" w:rsidP="006C33D5">
      <w:pPr>
        <w:jc w:val="both"/>
      </w:pPr>
    </w:p>
    <w:p w14:paraId="03A71D56" w14:textId="77777777" w:rsidR="006C33D5" w:rsidRDefault="006C33D5" w:rsidP="006C33D5">
      <w:pPr>
        <w:jc w:val="both"/>
      </w:pPr>
    </w:p>
    <w:p w14:paraId="3D1D23FD" w14:textId="77777777" w:rsidR="006C33D5" w:rsidRDefault="006C33D5" w:rsidP="006C33D5">
      <w:pPr>
        <w:jc w:val="both"/>
      </w:pPr>
    </w:p>
    <w:p w14:paraId="2212E01D" w14:textId="1C799AFB" w:rsidR="006C33D5" w:rsidRDefault="006C33D5" w:rsidP="003F6D3E">
      <w:r>
        <w:br w:type="page"/>
      </w:r>
    </w:p>
    <w:p w14:paraId="492C75C0" w14:textId="77777777" w:rsidR="006C33D5" w:rsidRDefault="006C33D5" w:rsidP="006C33D5">
      <w:pPr>
        <w:pStyle w:val="CenterUnderline"/>
      </w:pPr>
      <w:r>
        <w:lastRenderedPageBreak/>
        <w:t>NOTICE OF FURTHER PROCEEDINGS OR JUDICIAL REVIEW</w:t>
      </w:r>
    </w:p>
    <w:p w14:paraId="49AE2FF3" w14:textId="77777777" w:rsidR="006C33D5" w:rsidRDefault="006C33D5" w:rsidP="006C33D5">
      <w:pPr>
        <w:pStyle w:val="CenterUnderline"/>
        <w:rPr>
          <w:u w:val="none"/>
        </w:rPr>
      </w:pPr>
    </w:p>
    <w:p w14:paraId="3A725804" w14:textId="77777777" w:rsidR="006C33D5" w:rsidRDefault="006C33D5" w:rsidP="006C33D5">
      <w:pPr>
        <w:pStyle w:val="OrderBody"/>
      </w:pPr>
    </w:p>
    <w:p w14:paraId="4FA76A05" w14:textId="77777777" w:rsidR="006C33D5" w:rsidRDefault="006C33D5" w:rsidP="006C33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49B101D" w14:textId="77777777" w:rsidR="006C33D5" w:rsidRDefault="006C33D5" w:rsidP="006C33D5">
      <w:pPr>
        <w:pStyle w:val="OrderBody"/>
      </w:pPr>
    </w:p>
    <w:p w14:paraId="2BC6219F" w14:textId="77777777" w:rsidR="006C33D5" w:rsidRDefault="006C33D5" w:rsidP="006C33D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B04989E" w14:textId="77777777" w:rsidR="006C33D5" w:rsidRDefault="006C33D5" w:rsidP="006C33D5"/>
    <w:p w14:paraId="3754EC2E" w14:textId="2F0DD357" w:rsidR="005F2751" w:rsidRDefault="005F2751"/>
    <w:p w14:paraId="1F89F02A" w14:textId="77777777" w:rsidR="002B41C1" w:rsidRDefault="002B41C1">
      <w:pPr>
        <w:sectPr w:rsidR="002B41C1">
          <w:headerReference w:type="default" r:id="rId6"/>
          <w:footerReference w:type="first" r:id="rId7"/>
          <w:pgSz w:w="12240" w:h="15840" w:code="1"/>
          <w:pgMar w:top="1440" w:right="1440" w:bottom="1440" w:left="1440" w:header="720" w:footer="720" w:gutter="0"/>
          <w:cols w:space="720"/>
          <w:titlePg/>
          <w:docGrid w:linePitch="360"/>
        </w:sectPr>
      </w:pPr>
    </w:p>
    <w:p w14:paraId="1526D9E2" w14:textId="77777777" w:rsidR="002B41C1" w:rsidRPr="00D57DE3" w:rsidRDefault="002B41C1" w:rsidP="002B41C1">
      <w:pPr>
        <w:jc w:val="both"/>
        <w:rPr>
          <w:b/>
        </w:rPr>
      </w:pPr>
      <w:r w:rsidRPr="00D57DE3">
        <w:rPr>
          <w:b/>
          <w:u w:val="single"/>
        </w:rPr>
        <w:lastRenderedPageBreak/>
        <w:t>FPUC</w:t>
      </w:r>
      <w:r w:rsidRPr="00D57DE3">
        <w:rPr>
          <w:b/>
        </w:rPr>
        <w:t xml:space="preserve"> – Docket 20240015-EG</w:t>
      </w:r>
    </w:p>
    <w:p w14:paraId="0E81823B" w14:textId="77777777" w:rsidR="002B41C1" w:rsidRDefault="002B41C1" w:rsidP="002B41C1">
      <w:pPr>
        <w:ind w:left="1440" w:hanging="1440"/>
        <w:jc w:val="both"/>
        <w:rPr>
          <w:b/>
          <w:u w:val="single"/>
        </w:rPr>
      </w:pPr>
    </w:p>
    <w:p w14:paraId="196DBDB8" w14:textId="77777777" w:rsidR="002B41C1" w:rsidRPr="007E3C9A" w:rsidRDefault="002B41C1" w:rsidP="002B41C1">
      <w:pPr>
        <w:ind w:left="720" w:hanging="720"/>
        <w:jc w:val="both"/>
      </w:pPr>
      <w:r>
        <w:tab/>
        <w:t>The parties have agreed to Type II stipulations for all issues as follows:</w:t>
      </w:r>
    </w:p>
    <w:p w14:paraId="2213FCBC" w14:textId="77777777" w:rsidR="002B41C1" w:rsidRDefault="002B41C1" w:rsidP="002B41C1">
      <w:pPr>
        <w:ind w:left="1440" w:hanging="1440"/>
        <w:jc w:val="both"/>
        <w:rPr>
          <w:b/>
          <w:u w:val="single"/>
        </w:rPr>
      </w:pPr>
    </w:p>
    <w:p w14:paraId="73D3774F" w14:textId="77777777" w:rsidR="002B41C1" w:rsidRPr="009A7248" w:rsidRDefault="002B41C1" w:rsidP="002B41C1">
      <w:pPr>
        <w:ind w:left="1440" w:hanging="1440"/>
        <w:jc w:val="both"/>
        <w:rPr>
          <w:b/>
        </w:rPr>
      </w:pPr>
      <w:r w:rsidRPr="00D57DE3">
        <w:rPr>
          <w:b/>
          <w:u w:val="single"/>
        </w:rPr>
        <w:t>ISSUE 1</w:t>
      </w:r>
      <w:r w:rsidRPr="00D57DE3">
        <w:rPr>
          <w:b/>
        </w:rPr>
        <w:t>:</w:t>
      </w:r>
      <w:r w:rsidRPr="00D57DE3">
        <w:rPr>
          <w:b/>
        </w:rPr>
        <w:tab/>
      </w:r>
      <w:r w:rsidRPr="009A7248">
        <w:rPr>
          <w:b/>
        </w:rPr>
        <w:t>Are the utility’s proposed goals based on an adequate assessment of the full technical potential of all available demand-side and supply-side conservation and efficiency measures, including demand-side renewable energy systems?</w:t>
      </w:r>
    </w:p>
    <w:p w14:paraId="129508B0" w14:textId="77777777" w:rsidR="002B41C1" w:rsidRPr="00D57DE3" w:rsidRDefault="002B41C1" w:rsidP="002B41C1">
      <w:pPr>
        <w:ind w:left="1440" w:hanging="1440"/>
        <w:jc w:val="both"/>
      </w:pPr>
    </w:p>
    <w:p w14:paraId="7A7B0C7E" w14:textId="77777777" w:rsidR="002B41C1" w:rsidRPr="00D57DE3" w:rsidRDefault="002B41C1" w:rsidP="002B41C1">
      <w:pPr>
        <w:spacing w:after="200" w:line="276" w:lineRule="auto"/>
        <w:jc w:val="both"/>
        <w:rPr>
          <w:rFonts w:eastAsiaTheme="minorHAnsi" w:cstheme="minorBidi"/>
          <w:b/>
          <w:i/>
          <w:szCs w:val="22"/>
          <w:u w:val="single"/>
        </w:rPr>
      </w:pPr>
      <w:r w:rsidRPr="00D57DE3">
        <w:rPr>
          <w:i/>
        </w:rPr>
        <w:t>Yes. The utility’s proposed goals are based on an assessment of the full technical potential of all available demand-side and supply-side conservation and efficiency measures as required by Section 366.82(3), F.S.</w:t>
      </w:r>
    </w:p>
    <w:p w14:paraId="5D9B45B1" w14:textId="77777777" w:rsidR="002B41C1" w:rsidRPr="00D57DE3" w:rsidRDefault="002B41C1" w:rsidP="002B41C1">
      <w:pPr>
        <w:ind w:left="1440" w:hanging="1440"/>
        <w:jc w:val="both"/>
      </w:pPr>
      <w:r w:rsidRPr="00D57DE3">
        <w:rPr>
          <w:b/>
          <w:u w:val="single"/>
        </w:rPr>
        <w:t>ISSUE 2:</w:t>
      </w:r>
      <w:r w:rsidRPr="00D57DE3">
        <w:tab/>
      </w:r>
      <w:r w:rsidRPr="009A7248">
        <w:rPr>
          <w:b/>
        </w:rPr>
        <w:t>Are the utility’s proposed goals based on savings reasonably achievable through demand-side management programs over a ten year period?</w:t>
      </w:r>
    </w:p>
    <w:p w14:paraId="28CD8453" w14:textId="77777777" w:rsidR="002B41C1" w:rsidRPr="00D57DE3" w:rsidRDefault="002B41C1" w:rsidP="002B41C1">
      <w:pPr>
        <w:ind w:left="1440" w:hanging="1440"/>
        <w:jc w:val="both"/>
      </w:pPr>
    </w:p>
    <w:p w14:paraId="6F5A22A4" w14:textId="77777777" w:rsidR="002B41C1" w:rsidRDefault="002B41C1" w:rsidP="002B41C1">
      <w:pPr>
        <w:spacing w:after="200" w:line="276" w:lineRule="auto"/>
        <w:jc w:val="both"/>
        <w:rPr>
          <w:i/>
        </w:rPr>
      </w:pPr>
      <w:r w:rsidRPr="00D57DE3">
        <w:rPr>
          <w:i/>
        </w:rPr>
        <w:t>Yes. The utility’s proposed goals are based on savings reasonably achievable through demand-side management programs over the period 2025-2034 as required by Rule 25-17.0021(1)(b), F.A.C.</w:t>
      </w:r>
    </w:p>
    <w:p w14:paraId="5F90C549" w14:textId="77777777" w:rsidR="002B41C1" w:rsidRPr="00D57DE3" w:rsidRDefault="002B41C1" w:rsidP="002B41C1">
      <w:pPr>
        <w:ind w:left="1440" w:hanging="1440"/>
        <w:jc w:val="both"/>
      </w:pPr>
      <w:r w:rsidRPr="00D57DE3">
        <w:rPr>
          <w:b/>
          <w:u w:val="single"/>
        </w:rPr>
        <w:t>ISSUE 3</w:t>
      </w:r>
      <w:r w:rsidRPr="00D57DE3">
        <w:rPr>
          <w:b/>
        </w:rPr>
        <w:t>:</w:t>
      </w:r>
      <w:r w:rsidRPr="00D57DE3">
        <w:tab/>
      </w:r>
      <w:r w:rsidRPr="009A7248">
        <w:rPr>
          <w:b/>
        </w:rPr>
        <w:t>Do the utility’s proposed goals adequately reflect the costs and benefits to customers participating?</w:t>
      </w:r>
    </w:p>
    <w:p w14:paraId="4FED677F" w14:textId="77777777" w:rsidR="002B41C1" w:rsidRPr="00D57DE3" w:rsidRDefault="002B41C1" w:rsidP="002B41C1">
      <w:pPr>
        <w:ind w:left="1440" w:hanging="1440"/>
        <w:jc w:val="both"/>
      </w:pPr>
    </w:p>
    <w:p w14:paraId="61A85524" w14:textId="77777777" w:rsidR="002B41C1" w:rsidRPr="00D57DE3" w:rsidRDefault="002B41C1" w:rsidP="002B41C1">
      <w:pPr>
        <w:spacing w:after="200" w:line="276" w:lineRule="auto"/>
        <w:jc w:val="both"/>
        <w:rPr>
          <w:rFonts w:eastAsiaTheme="minorHAnsi" w:cstheme="minorBidi"/>
          <w:b/>
          <w:i/>
          <w:szCs w:val="22"/>
          <w:u w:val="single"/>
        </w:rPr>
      </w:pPr>
      <w:r w:rsidRPr="00D57DE3">
        <w:rPr>
          <w:i/>
        </w:rPr>
        <w:t>Yes. The utility’s proposed goals reflect the costs and benefits to customers of the proposed programs as required by Section 366.82(3)(a), F.S.</w:t>
      </w:r>
    </w:p>
    <w:p w14:paraId="11D73666" w14:textId="77777777" w:rsidR="002B41C1" w:rsidRPr="009A7248" w:rsidRDefault="002B41C1" w:rsidP="002B41C1">
      <w:pPr>
        <w:ind w:left="1440" w:hanging="1440"/>
        <w:jc w:val="both"/>
        <w:rPr>
          <w:b/>
        </w:rPr>
      </w:pPr>
      <w:r w:rsidRPr="00D57DE3">
        <w:rPr>
          <w:b/>
          <w:u w:val="single"/>
        </w:rPr>
        <w:t>ISSUE 4</w:t>
      </w:r>
      <w:r w:rsidRPr="00D57DE3">
        <w:rPr>
          <w:b/>
        </w:rPr>
        <w:t>:</w:t>
      </w:r>
      <w:r w:rsidRPr="00D57DE3">
        <w:rPr>
          <w:b/>
        </w:rPr>
        <w:tab/>
      </w:r>
      <w:r w:rsidRPr="009A7248">
        <w:rPr>
          <w:b/>
        </w:rPr>
        <w:t>Do the utility’s proposed goals adequately reflect the costs and benefits to the general body of rate payers as a whole, including utility incentives and participant contributions?</w:t>
      </w:r>
    </w:p>
    <w:p w14:paraId="084EA540" w14:textId="77777777" w:rsidR="002B41C1" w:rsidRPr="00D57DE3" w:rsidRDefault="002B41C1" w:rsidP="002B41C1">
      <w:pPr>
        <w:ind w:left="1440" w:hanging="1440"/>
        <w:jc w:val="both"/>
      </w:pPr>
    </w:p>
    <w:p w14:paraId="4C263296" w14:textId="77777777" w:rsidR="002B41C1" w:rsidRPr="00D57DE3" w:rsidRDefault="002B41C1" w:rsidP="002B41C1">
      <w:pPr>
        <w:spacing w:after="200" w:line="276" w:lineRule="auto"/>
        <w:jc w:val="both"/>
        <w:rPr>
          <w:rFonts w:eastAsiaTheme="minorHAnsi" w:cstheme="minorBidi"/>
          <w:b/>
          <w:i/>
          <w:szCs w:val="22"/>
          <w:u w:val="single"/>
        </w:rPr>
      </w:pPr>
      <w:r w:rsidRPr="00D57DE3">
        <w:rPr>
          <w:i/>
        </w:rPr>
        <w:t>Yes. The utility’s proposed goals reflect the costs and benefits of the proposed programs to the general body of ratepayer as a whole as required by Section 366.82(3)(b), F.S.</w:t>
      </w:r>
    </w:p>
    <w:p w14:paraId="706F7004" w14:textId="77777777" w:rsidR="002B41C1" w:rsidRPr="009A7248" w:rsidRDefault="002B41C1" w:rsidP="002B41C1">
      <w:pPr>
        <w:ind w:left="1440" w:hanging="1440"/>
        <w:jc w:val="both"/>
        <w:rPr>
          <w:b/>
        </w:rPr>
      </w:pPr>
      <w:r w:rsidRPr="00D57DE3">
        <w:rPr>
          <w:b/>
          <w:u w:val="single"/>
        </w:rPr>
        <w:t>ISSUE 5</w:t>
      </w:r>
      <w:r w:rsidRPr="00D57DE3">
        <w:rPr>
          <w:b/>
        </w:rPr>
        <w:t>:</w:t>
      </w:r>
      <w:r w:rsidRPr="00D57DE3">
        <w:t xml:space="preserve"> </w:t>
      </w:r>
      <w:r w:rsidRPr="00D57DE3">
        <w:tab/>
      </w:r>
      <w:r w:rsidRPr="009A7248">
        <w:rPr>
          <w:b/>
        </w:rPr>
        <w:t>Do the utility’s proposed goals adequately reflect the need for incentives to promote both customer-owned and utility-owned energy efficiency and demand-side renewable energy systems?</w:t>
      </w:r>
    </w:p>
    <w:p w14:paraId="7E294D40" w14:textId="77777777" w:rsidR="002B41C1" w:rsidRPr="00D57DE3" w:rsidRDefault="002B41C1" w:rsidP="002B41C1">
      <w:pPr>
        <w:ind w:left="1440" w:hanging="1440"/>
        <w:jc w:val="both"/>
      </w:pPr>
    </w:p>
    <w:p w14:paraId="11857D93" w14:textId="77777777" w:rsidR="002B41C1" w:rsidRPr="00D57DE3" w:rsidRDefault="002B41C1" w:rsidP="002B41C1">
      <w:pPr>
        <w:spacing w:after="200" w:line="276" w:lineRule="auto"/>
        <w:jc w:val="both"/>
        <w:rPr>
          <w:i/>
        </w:rPr>
      </w:pPr>
      <w:r w:rsidRPr="00D57DE3">
        <w:rPr>
          <w:i/>
        </w:rPr>
        <w:t>Yes. The proposed goals reflect the need for incentives as required by Section 366.82(3)(c), F.S.</w:t>
      </w:r>
    </w:p>
    <w:p w14:paraId="492F247A" w14:textId="77777777" w:rsidR="002B41C1" w:rsidRPr="00D57DE3" w:rsidRDefault="002B41C1" w:rsidP="002B41C1">
      <w:pPr>
        <w:ind w:left="1440" w:hanging="1440"/>
        <w:jc w:val="both"/>
      </w:pPr>
      <w:r w:rsidRPr="00D57DE3">
        <w:rPr>
          <w:b/>
          <w:u w:val="single"/>
        </w:rPr>
        <w:t>ISSUE 6</w:t>
      </w:r>
      <w:r w:rsidRPr="00D57DE3">
        <w:rPr>
          <w:b/>
        </w:rPr>
        <w:t xml:space="preserve">: </w:t>
      </w:r>
      <w:r w:rsidRPr="00D57DE3">
        <w:rPr>
          <w:b/>
        </w:rPr>
        <w:tab/>
      </w:r>
      <w:r w:rsidRPr="009A7248">
        <w:rPr>
          <w:b/>
        </w:rPr>
        <w:t>Do the utility’s proposed goals adequately reflect the costs imposed by state and federal regulations on the emissions of greenhouse gases?</w:t>
      </w:r>
    </w:p>
    <w:p w14:paraId="30973F60" w14:textId="77777777" w:rsidR="002B41C1" w:rsidRPr="00D57DE3" w:rsidRDefault="002B41C1" w:rsidP="002B41C1">
      <w:pPr>
        <w:ind w:left="1440" w:hanging="1440"/>
        <w:jc w:val="both"/>
      </w:pPr>
    </w:p>
    <w:p w14:paraId="36BE94F4" w14:textId="19F74434" w:rsidR="002B41C1" w:rsidRDefault="002B41C1" w:rsidP="008A3E1D">
      <w:pPr>
        <w:spacing w:after="200" w:line="276" w:lineRule="auto"/>
        <w:jc w:val="both"/>
        <w:rPr>
          <w:i/>
        </w:rPr>
      </w:pPr>
      <w:r w:rsidRPr="00D57DE3">
        <w:rPr>
          <w:i/>
        </w:rPr>
        <w:t>Yes. There are no current costs imposed by state and federal regulations on the emission of greenhouse gases to consider as required by Section 366.82(3)(d), F.S.</w:t>
      </w:r>
    </w:p>
    <w:p w14:paraId="31122899" w14:textId="77777777" w:rsidR="008A3E1D" w:rsidRDefault="008A3E1D" w:rsidP="008A3E1D">
      <w:pPr>
        <w:spacing w:after="200" w:line="276" w:lineRule="auto"/>
        <w:jc w:val="both"/>
        <w:sectPr w:rsidR="008A3E1D">
          <w:headerReference w:type="default" r:id="rId8"/>
          <w:headerReference w:type="first" r:id="rId9"/>
          <w:pgSz w:w="12240" w:h="15840" w:code="1"/>
          <w:pgMar w:top="1440" w:right="1440" w:bottom="1440" w:left="1440" w:header="720" w:footer="720" w:gutter="0"/>
          <w:cols w:space="720"/>
          <w:titlePg/>
          <w:docGrid w:linePitch="360"/>
        </w:sectPr>
      </w:pPr>
    </w:p>
    <w:p w14:paraId="08670D1A" w14:textId="77777777" w:rsidR="004050C5" w:rsidRPr="00D57DE3" w:rsidRDefault="004050C5" w:rsidP="004050C5">
      <w:pPr>
        <w:ind w:left="1440" w:hanging="1440"/>
        <w:jc w:val="both"/>
      </w:pPr>
      <w:r w:rsidRPr="00D57DE3">
        <w:rPr>
          <w:b/>
          <w:u w:val="single"/>
        </w:rPr>
        <w:lastRenderedPageBreak/>
        <w:t>ISSUE 7</w:t>
      </w:r>
      <w:r w:rsidRPr="00D57DE3">
        <w:rPr>
          <w:b/>
        </w:rPr>
        <w:t>:</w:t>
      </w:r>
      <w:r w:rsidRPr="00D57DE3">
        <w:rPr>
          <w:b/>
        </w:rPr>
        <w:tab/>
      </w:r>
      <w:r w:rsidRPr="009A7248">
        <w:rPr>
          <w:b/>
        </w:rPr>
        <w:t>Do the utility’s proposed goals appropriately reflect consideration of free riders?</w:t>
      </w:r>
    </w:p>
    <w:p w14:paraId="746E5644" w14:textId="77777777" w:rsidR="004050C5" w:rsidRPr="00D57DE3" w:rsidRDefault="004050C5" w:rsidP="004050C5">
      <w:pPr>
        <w:ind w:left="1440" w:hanging="1440"/>
        <w:jc w:val="both"/>
      </w:pPr>
    </w:p>
    <w:p w14:paraId="47F054E8" w14:textId="77777777" w:rsidR="004050C5" w:rsidRPr="00D57DE3" w:rsidRDefault="004050C5" w:rsidP="004050C5">
      <w:pPr>
        <w:spacing w:after="200" w:line="276" w:lineRule="auto"/>
        <w:jc w:val="both"/>
        <w:rPr>
          <w:i/>
        </w:rPr>
      </w:pPr>
      <w:r w:rsidRPr="00D57DE3">
        <w:rPr>
          <w:i/>
        </w:rPr>
        <w:t>Yes. The utility’s proposed goals reflect consideration of free riders in their program design as required by Rule 25-17.0021(3), F.A.C.</w:t>
      </w:r>
    </w:p>
    <w:p w14:paraId="69F618D4" w14:textId="77777777" w:rsidR="004050C5" w:rsidRPr="00D57DE3" w:rsidRDefault="004050C5" w:rsidP="004050C5">
      <w:pPr>
        <w:ind w:left="1440" w:hanging="1440"/>
        <w:jc w:val="both"/>
      </w:pPr>
      <w:r w:rsidRPr="00D57DE3">
        <w:rPr>
          <w:b/>
          <w:u w:val="single"/>
        </w:rPr>
        <w:t>ISSUE 8</w:t>
      </w:r>
      <w:r w:rsidRPr="00D57DE3">
        <w:rPr>
          <w:b/>
        </w:rPr>
        <w:t>:</w:t>
      </w:r>
      <w:r w:rsidRPr="00D57DE3">
        <w:tab/>
      </w:r>
      <w:r w:rsidRPr="009A7248">
        <w:rPr>
          <w:b/>
        </w:rPr>
        <w:t>Should demand credit rates for interruptible service, curtailable service, stand-by generation, or similar potential demand response programs be addressed in this proceeding or in the base rate proceedings for the rate regulated FEECA Utilities? If this proceeding, what demand credit rates are appropriate for purposes of establishing the utilities’ goals?</w:t>
      </w:r>
    </w:p>
    <w:p w14:paraId="212360F9" w14:textId="77777777" w:rsidR="004050C5" w:rsidRPr="00D57DE3" w:rsidRDefault="004050C5" w:rsidP="004050C5">
      <w:pPr>
        <w:ind w:left="1440" w:hanging="1440"/>
        <w:jc w:val="both"/>
      </w:pPr>
    </w:p>
    <w:p w14:paraId="2F785141" w14:textId="3CC27C35" w:rsidR="004050C5" w:rsidRPr="00F57670" w:rsidRDefault="004050C5" w:rsidP="004050C5">
      <w:pPr>
        <w:spacing w:after="200" w:line="276" w:lineRule="auto"/>
        <w:jc w:val="both"/>
        <w:rPr>
          <w:i/>
        </w:rPr>
      </w:pPr>
      <w:r w:rsidRPr="00D57DE3">
        <w:rPr>
          <w:i/>
        </w:rPr>
        <w:t>Demand credits are not included in FPUC’s proposed goals, and therefore this issue is moot.</w:t>
      </w:r>
    </w:p>
    <w:p w14:paraId="35D1E74E" w14:textId="77777777" w:rsidR="004050C5" w:rsidRPr="00D57DE3" w:rsidRDefault="004050C5" w:rsidP="004050C5">
      <w:pPr>
        <w:ind w:left="1440" w:hanging="1440"/>
        <w:jc w:val="both"/>
      </w:pPr>
      <w:r w:rsidRPr="00D57DE3">
        <w:rPr>
          <w:b/>
          <w:u w:val="single"/>
        </w:rPr>
        <w:t>ISSUE 12</w:t>
      </w:r>
      <w:r w:rsidRPr="00D57DE3">
        <w:rPr>
          <w:b/>
        </w:rPr>
        <w:t>:</w:t>
      </w:r>
      <w:r w:rsidRPr="00D57DE3">
        <w:tab/>
      </w:r>
      <w:r w:rsidRPr="009A7248">
        <w:rPr>
          <w:b/>
        </w:rPr>
        <w:t>What residential and commercial/industrial summer and winter megawatt (MW) and annual Gigawatt-hour (GWh) goals should be established for the period 2025-2034?</w:t>
      </w:r>
    </w:p>
    <w:p w14:paraId="50A37A1F" w14:textId="77777777" w:rsidR="004050C5" w:rsidRPr="00D57DE3" w:rsidRDefault="004050C5" w:rsidP="004050C5">
      <w:pPr>
        <w:ind w:left="1440" w:hanging="1440"/>
        <w:jc w:val="both"/>
      </w:pPr>
    </w:p>
    <w:p w14:paraId="2A90C87C" w14:textId="77777777" w:rsidR="004050C5" w:rsidRPr="00D57DE3" w:rsidRDefault="004050C5" w:rsidP="004050C5">
      <w:pPr>
        <w:spacing w:after="200" w:line="276" w:lineRule="auto"/>
        <w:jc w:val="both"/>
        <w:rPr>
          <w:i/>
        </w:rPr>
      </w:pPr>
      <w:r w:rsidRPr="00D57DE3">
        <w:rPr>
          <w:i/>
        </w:rPr>
        <w:t>The Commission should adopt the goals based on the studies by witness Herndon, and the annual summer demand, winter demand, and annual energy savings should reflect the residential and commercial/industrial subtotals reflected on pages 3 and 4 of Exhibit JH-14.</w:t>
      </w:r>
    </w:p>
    <w:p w14:paraId="0F6812FE" w14:textId="77777777" w:rsidR="004050C5" w:rsidRPr="00D57DE3" w:rsidRDefault="004050C5" w:rsidP="004050C5">
      <w:pPr>
        <w:ind w:left="1440" w:hanging="1440"/>
        <w:jc w:val="both"/>
      </w:pPr>
      <w:r w:rsidRPr="00D57DE3">
        <w:rPr>
          <w:b/>
          <w:u w:val="single"/>
        </w:rPr>
        <w:t>ISSUE 13</w:t>
      </w:r>
      <w:r w:rsidRPr="00D57DE3">
        <w:rPr>
          <w:b/>
        </w:rPr>
        <w:t>:</w:t>
      </w:r>
      <w:r w:rsidRPr="00D57DE3">
        <w:tab/>
      </w:r>
      <w:r w:rsidRPr="009A7248">
        <w:rPr>
          <w:b/>
        </w:rPr>
        <w:t>What goals are appropriate for increasing the development of demand-side renewable energy systems?</w:t>
      </w:r>
    </w:p>
    <w:p w14:paraId="26AD5ADD" w14:textId="77777777" w:rsidR="004050C5" w:rsidRPr="00D57DE3" w:rsidRDefault="004050C5" w:rsidP="004050C5">
      <w:pPr>
        <w:ind w:left="1440" w:hanging="1440"/>
        <w:jc w:val="both"/>
      </w:pPr>
    </w:p>
    <w:p w14:paraId="638399CA" w14:textId="77777777" w:rsidR="004050C5" w:rsidRDefault="004050C5" w:rsidP="004050C5">
      <w:pPr>
        <w:jc w:val="both"/>
        <w:rPr>
          <w:bCs/>
        </w:rPr>
      </w:pPr>
      <w:r w:rsidRPr="00D57DE3">
        <w:rPr>
          <w:i/>
        </w:rPr>
        <w:t>The utility should continue to implement the provisions of Rule 25-6.065, F.A.C., Interconnection and Net Metering of Customer-Owned Renewable Generation. The rule is an appropriate means to encourage the development of demand-side renewable energy</w:t>
      </w:r>
      <w:r>
        <w:rPr>
          <w:i/>
        </w:rPr>
        <w:t>.</w:t>
      </w:r>
    </w:p>
    <w:p w14:paraId="3E003B22" w14:textId="1D4C4FF4" w:rsidR="008A3E1D" w:rsidRDefault="008A3E1D" w:rsidP="008A3E1D">
      <w:pPr>
        <w:spacing w:after="200" w:line="276" w:lineRule="auto"/>
        <w:jc w:val="both"/>
      </w:pPr>
    </w:p>
    <w:p w14:paraId="7CD254D4" w14:textId="77777777" w:rsidR="009D66F3" w:rsidRDefault="009D66F3" w:rsidP="008A3E1D">
      <w:pPr>
        <w:spacing w:after="200" w:line="276" w:lineRule="auto"/>
        <w:jc w:val="both"/>
        <w:sectPr w:rsidR="009D66F3">
          <w:headerReference w:type="first" r:id="rId10"/>
          <w:pgSz w:w="12240" w:h="15840" w:code="1"/>
          <w:pgMar w:top="1440" w:right="1440" w:bottom="1440" w:left="1440" w:header="720" w:footer="720" w:gutter="0"/>
          <w:cols w:space="720"/>
          <w:titlePg/>
          <w:docGrid w:linePitch="360"/>
        </w:sectPr>
      </w:pPr>
    </w:p>
    <w:p w14:paraId="13A40F8C" w14:textId="28E82499" w:rsidR="009D66F3" w:rsidRDefault="007735D9" w:rsidP="006A1892">
      <w:pPr>
        <w:jc w:val="both"/>
      </w:pPr>
      <w:r>
        <w:rPr>
          <w:noProof/>
        </w:rPr>
        <w:lastRenderedPageBreak/>
        <mc:AlternateContent>
          <mc:Choice Requires="wps">
            <w:drawing>
              <wp:anchor distT="0" distB="0" distL="114300" distR="114300" simplePos="0" relativeHeight="251659264" behindDoc="0" locked="0" layoutInCell="1" allowOverlap="1" wp14:anchorId="6CD0CADC" wp14:editId="571C567E">
                <wp:simplePos x="0" y="0"/>
                <wp:positionH relativeFrom="column">
                  <wp:posOffset>201930</wp:posOffset>
                </wp:positionH>
                <wp:positionV relativeFrom="paragraph">
                  <wp:posOffset>12065</wp:posOffset>
                </wp:positionV>
                <wp:extent cx="5653377" cy="6846073"/>
                <wp:effectExtent l="0" t="0" r="24130" b="12065"/>
                <wp:wrapNone/>
                <wp:docPr id="2" name="Rectangle 2"/>
                <wp:cNvGraphicFramePr/>
                <a:graphic xmlns:a="http://schemas.openxmlformats.org/drawingml/2006/main">
                  <a:graphicData uri="http://schemas.microsoft.com/office/word/2010/wordprocessingShape">
                    <wps:wsp>
                      <wps:cNvSpPr/>
                      <wps:spPr>
                        <a:xfrm>
                          <a:off x="0" y="0"/>
                          <a:ext cx="5653377" cy="6846073"/>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8807A" id="Rectangle 2" o:spid="_x0000_s1026" style="position:absolute;margin-left:15.9pt;margin-top:.95pt;width:445.15pt;height:53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" filled="f" strokecolor="black [3200]" strokeweight="1pt"/>
            </w:pict>
          </mc:Fallback>
        </mc:AlternateContent>
      </w:r>
      <w:r w:rsidR="004741CD">
        <w:rPr>
          <w:noProof/>
        </w:rPr>
        <w:drawing>
          <wp:inline distT="0" distB="0" distL="0" distR="0" wp14:anchorId="22207F3D" wp14:editId="0D52B815">
            <wp:extent cx="5558790" cy="41013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26991" r="-1003" b="2086"/>
                    <a:stretch/>
                  </pic:blipFill>
                  <pic:spPr bwMode="auto">
                    <a:xfrm>
                      <a:off x="0" y="0"/>
                      <a:ext cx="5562243" cy="4103932"/>
                    </a:xfrm>
                    <a:prstGeom prst="rect">
                      <a:avLst/>
                    </a:prstGeom>
                    <a:ln>
                      <a:noFill/>
                    </a:ln>
                    <a:extLst>
                      <a:ext uri="{53640926-AAD7-44D8-BBD7-CCE9431645EC}">
                        <a14:shadowObscured xmlns:a14="http://schemas.microsoft.com/office/drawing/2010/main"/>
                      </a:ext>
                    </a:extLst>
                  </pic:spPr>
                </pic:pic>
              </a:graphicData>
            </a:graphic>
          </wp:inline>
        </w:drawing>
      </w:r>
    </w:p>
    <w:p w14:paraId="3CA0524C" w14:textId="69E0B124" w:rsidR="006A1892" w:rsidRDefault="006A1892" w:rsidP="006A1892">
      <w:pPr>
        <w:jc w:val="both"/>
      </w:pPr>
    </w:p>
    <w:p w14:paraId="6BF89581" w14:textId="77777777" w:rsidR="006A1892" w:rsidRDefault="006A1892" w:rsidP="006A1892">
      <w:pPr>
        <w:jc w:val="both"/>
      </w:pPr>
    </w:p>
    <w:p w14:paraId="0103ED6C" w14:textId="55B91866" w:rsidR="006A1892" w:rsidRDefault="006A1892" w:rsidP="006A1892">
      <w:pPr>
        <w:jc w:val="both"/>
      </w:pPr>
      <w:r>
        <w:rPr>
          <w:noProof/>
        </w:rPr>
        <w:drawing>
          <wp:inline distT="0" distB="0" distL="0" distR="0" wp14:anchorId="4A32EB29" wp14:editId="4553D489">
            <wp:extent cx="5516669" cy="19335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353" b="63722"/>
                    <a:stretch/>
                  </pic:blipFill>
                  <pic:spPr bwMode="auto">
                    <a:xfrm>
                      <a:off x="0" y="0"/>
                      <a:ext cx="5525376" cy="1936627"/>
                    </a:xfrm>
                    <a:prstGeom prst="rect">
                      <a:avLst/>
                    </a:prstGeom>
                    <a:ln>
                      <a:noFill/>
                    </a:ln>
                    <a:extLst>
                      <a:ext uri="{53640926-AAD7-44D8-BBD7-CCE9431645EC}">
                        <a14:shadowObscured xmlns:a14="http://schemas.microsoft.com/office/drawing/2010/main"/>
                      </a:ext>
                    </a:extLst>
                  </pic:spPr>
                </pic:pic>
              </a:graphicData>
            </a:graphic>
          </wp:inline>
        </w:drawing>
      </w:r>
    </w:p>
    <w:p w14:paraId="463C1275" w14:textId="496658C4" w:rsidR="004741CD" w:rsidRPr="008A3E1D" w:rsidRDefault="006A1892" w:rsidP="008A3E1D">
      <w:pPr>
        <w:spacing w:after="200" w:line="276" w:lineRule="auto"/>
        <w:jc w:val="both"/>
      </w:pPr>
      <w:r>
        <w:tab/>
        <w:t>Source: Exhibit 57</w:t>
      </w:r>
      <w:r w:rsidR="00F57670">
        <w:t xml:space="preserve"> [Exh. JH-14]</w:t>
      </w:r>
    </w:p>
    <w:sectPr w:rsidR="004741CD" w:rsidRPr="008A3E1D">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DFAD4" w14:textId="77777777" w:rsidR="005A7514" w:rsidRDefault="005A7514">
      <w:r>
        <w:separator/>
      </w:r>
    </w:p>
  </w:endnote>
  <w:endnote w:type="continuationSeparator" w:id="0">
    <w:p w14:paraId="0E523E6E" w14:textId="77777777" w:rsidR="005A7514" w:rsidRDefault="005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980" w14:textId="77777777" w:rsidR="00FA6EFD" w:rsidRDefault="00FA6EFD">
    <w:pPr>
      <w:pStyle w:val="Footer"/>
    </w:pPr>
  </w:p>
  <w:p w14:paraId="3D6B34C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EC30" w14:textId="77777777" w:rsidR="005A7514" w:rsidRDefault="005A7514">
      <w:r>
        <w:separator/>
      </w:r>
    </w:p>
  </w:footnote>
  <w:footnote w:type="continuationSeparator" w:id="0">
    <w:p w14:paraId="065DFEA8" w14:textId="77777777" w:rsidR="005A7514" w:rsidRDefault="005A7514">
      <w:r>
        <w:continuationSeparator/>
      </w:r>
    </w:p>
  </w:footnote>
  <w:footnote w:id="1">
    <w:p w14:paraId="155FD9B6" w14:textId="77777777" w:rsidR="00FC60AE" w:rsidRPr="000C5DD9" w:rsidRDefault="00FC60AE" w:rsidP="00FC60AE">
      <w:pPr>
        <w:pStyle w:val="FootnoteText"/>
      </w:pPr>
      <w:r w:rsidRPr="000C5DD9">
        <w:rPr>
          <w:rStyle w:val="FootnoteReference"/>
        </w:rPr>
        <w:footnoteRef/>
      </w:r>
      <w:r>
        <w:t xml:space="preserve"> </w:t>
      </w:r>
      <w:r w:rsidRPr="000C5DD9">
        <w:t xml:space="preserve">Order No. </w:t>
      </w:r>
      <w:r>
        <w:rPr>
          <w:rFonts w:eastAsiaTheme="minorHAnsi"/>
        </w:rPr>
        <w:t>PSC-2024-0128</w:t>
      </w:r>
      <w:r w:rsidRPr="000C5DD9">
        <w:rPr>
          <w:rFonts w:eastAsiaTheme="minorHAnsi"/>
        </w:rPr>
        <w:t>-PCO-EG</w:t>
      </w:r>
      <w:r w:rsidRPr="000C5DD9">
        <w:t>.</w:t>
      </w:r>
    </w:p>
  </w:footnote>
  <w:footnote w:id="2">
    <w:p w14:paraId="192FDFE7" w14:textId="77777777" w:rsidR="00FC60AE" w:rsidRPr="000C5DD9" w:rsidRDefault="00FC60AE" w:rsidP="00FC60AE">
      <w:pPr>
        <w:pStyle w:val="FootnoteText"/>
      </w:pPr>
      <w:r w:rsidRPr="000C5DD9">
        <w:rPr>
          <w:rStyle w:val="FootnoteReference"/>
        </w:rPr>
        <w:footnoteRef/>
      </w:r>
      <w:r>
        <w:t xml:space="preserve"> </w:t>
      </w:r>
      <w:r w:rsidRPr="000C5DD9">
        <w:t xml:space="preserve">Order No. </w:t>
      </w:r>
      <w:r>
        <w:rPr>
          <w:rFonts w:eastAsiaTheme="minorHAnsi"/>
        </w:rPr>
        <w:t>PSC-2024-0138</w:t>
      </w:r>
      <w:r w:rsidRPr="000C5DD9">
        <w:rPr>
          <w:rFonts w:eastAsiaTheme="minorHAnsi"/>
        </w:rPr>
        <w:t>-PCO-EG</w:t>
      </w:r>
      <w:r w:rsidRPr="000C5DD9">
        <w:t>.</w:t>
      </w:r>
    </w:p>
  </w:footnote>
  <w:footnote w:id="3">
    <w:p w14:paraId="6FC8D3AA" w14:textId="13BAF27C" w:rsidR="00A12C40" w:rsidRPr="00A12C40" w:rsidRDefault="00A12C40">
      <w:pPr>
        <w:pStyle w:val="FootnoteText"/>
      </w:pPr>
      <w:r>
        <w:rPr>
          <w:rStyle w:val="FootnoteReference"/>
        </w:rPr>
        <w:footnoteRef/>
      </w:r>
      <w:r>
        <w:t xml:space="preserve"> </w:t>
      </w:r>
      <w:r>
        <w:rPr>
          <w:i/>
        </w:rPr>
        <w:t>See</w:t>
      </w:r>
      <w:r>
        <w:t xml:space="preserve"> Sections 366.81-366.82, F.S.</w:t>
      </w:r>
    </w:p>
  </w:footnote>
  <w:footnote w:id="4">
    <w:p w14:paraId="6CC168C9" w14:textId="4633C169" w:rsidR="00A12C40" w:rsidRDefault="00A12C40">
      <w:pPr>
        <w:pStyle w:val="FootnoteText"/>
      </w:pPr>
      <w:r>
        <w:rPr>
          <w:rStyle w:val="FootnoteReference"/>
        </w:rPr>
        <w:footnoteRef/>
      </w:r>
      <w:r>
        <w:t xml:space="preserve"> Section 366.81, F.S.</w:t>
      </w:r>
    </w:p>
  </w:footnote>
  <w:footnote w:id="5">
    <w:p w14:paraId="410EF5B6" w14:textId="64FAC407" w:rsidR="00AD57ED" w:rsidRDefault="00AD57ED">
      <w:pPr>
        <w:pStyle w:val="FootnoteText"/>
      </w:pPr>
      <w:r>
        <w:rPr>
          <w:rStyle w:val="FootnoteReference"/>
        </w:rPr>
        <w:footnoteRef/>
      </w:r>
      <w:r>
        <w:t xml:space="preserve"> Section 366.82(2), F.S.</w:t>
      </w:r>
    </w:p>
  </w:footnote>
  <w:footnote w:id="6">
    <w:p w14:paraId="30AE758C" w14:textId="66C0BCBD" w:rsidR="00C73F18" w:rsidRDefault="00C73F18">
      <w:pPr>
        <w:pStyle w:val="FootnoteText"/>
      </w:pPr>
      <w:r>
        <w:rPr>
          <w:rStyle w:val="FootnoteReference"/>
        </w:rPr>
        <w:footnoteRef/>
      </w:r>
      <w:r>
        <w:t xml:space="preserve"> Rule 25-17.0021(1), F.A.C.</w:t>
      </w:r>
    </w:p>
  </w:footnote>
  <w:footnote w:id="7">
    <w:p w14:paraId="0AB5D41A" w14:textId="70FCF498" w:rsidR="00AD57ED" w:rsidRPr="00843E7E" w:rsidRDefault="00AD57ED">
      <w:pPr>
        <w:pStyle w:val="FootnoteText"/>
        <w:rPr>
          <w:i/>
        </w:rPr>
      </w:pPr>
      <w:r>
        <w:rPr>
          <w:rStyle w:val="FootnoteReference"/>
        </w:rPr>
        <w:footnoteRef/>
      </w:r>
      <w:r>
        <w:t xml:space="preserve"> </w:t>
      </w:r>
      <w:r w:rsidR="00C73F18">
        <w:rPr>
          <w:i/>
        </w:rPr>
        <w:t>Id.</w:t>
      </w:r>
    </w:p>
  </w:footnote>
  <w:footnote w:id="8">
    <w:p w14:paraId="42D513FF" w14:textId="5E7F3C6A" w:rsidR="00CC55D1" w:rsidRDefault="00CC55D1">
      <w:pPr>
        <w:pStyle w:val="FootnoteText"/>
      </w:pPr>
      <w:r>
        <w:rPr>
          <w:rStyle w:val="FootnoteReference"/>
        </w:rPr>
        <w:footnoteRef/>
      </w:r>
      <w:r>
        <w:t xml:space="preserve"> Section </w:t>
      </w:r>
      <w:r w:rsidRPr="001C6FD7">
        <w:t>366.82</w:t>
      </w:r>
      <w:r>
        <w:t xml:space="preserve"> (7)</w:t>
      </w:r>
      <w:r w:rsidRPr="001C6FD7">
        <w:t xml:space="preserve"> F.S</w:t>
      </w:r>
      <w:r>
        <w:t>., addresses how we must evaluate and approve the ut</w:t>
      </w:r>
      <w:r w:rsidR="00F32469">
        <w:t>ilities’ plans to implement th</w:t>
      </w:r>
      <w:r>
        <w:t xml:space="preserve">e </w:t>
      </w:r>
      <w:r w:rsidR="00F32469">
        <w:t xml:space="preserve">Commission-established </w:t>
      </w:r>
      <w:r>
        <w:t>goals</w:t>
      </w:r>
      <w:r w:rsidR="00F32469">
        <w:t xml:space="preserve"> during the subsequent plan approval proceeding</w:t>
      </w:r>
      <w:r>
        <w:t>.</w:t>
      </w:r>
    </w:p>
  </w:footnote>
  <w:footnote w:id="9">
    <w:p w14:paraId="67603B1E" w14:textId="77777777" w:rsidR="00A12C40" w:rsidRDefault="00A12C40" w:rsidP="00A12C40">
      <w:pPr>
        <w:pStyle w:val="FootnoteText"/>
      </w:pPr>
      <w:r>
        <w:rPr>
          <w:rStyle w:val="FootnoteReference"/>
        </w:rPr>
        <w:footnoteRef/>
      </w:r>
      <w:r>
        <w:t xml:space="preserve"> A Type II stipulation is one in which the utility and Commission staff, or the utility and at least one party adversarial to the utility, agree on the resolution of an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AD7A" w14:textId="628713C4" w:rsidR="00FA6EFD" w:rsidRDefault="00FA6EFD">
    <w:pPr>
      <w:pStyle w:val="OrderHeader"/>
    </w:pPr>
    <w:r>
      <w:t xml:space="preserve">ORDER NO. </w:t>
    </w:r>
    <w:fldSimple w:instr=" REF OrderNo0431 ">
      <w:r w:rsidR="0029291E">
        <w:t>PSC-2024-0431-FOF-EG</w:t>
      </w:r>
    </w:fldSimple>
  </w:p>
  <w:p w14:paraId="1C25EC07" w14:textId="5FFC4831" w:rsidR="00FA6EFD" w:rsidRDefault="00D26922">
    <w:pPr>
      <w:pStyle w:val="OrderHeader"/>
    </w:pPr>
    <w:bookmarkStart w:id="7" w:name="HeaderDocketNo"/>
    <w:bookmarkEnd w:id="7"/>
    <w:r>
      <w:t>DOCKET NO. 2024001</w:t>
    </w:r>
    <w:r w:rsidR="008A3E1D">
      <w:t>5</w:t>
    </w:r>
    <w:r>
      <w:t>-EG</w:t>
    </w:r>
    <w:r w:rsidR="002B41C1">
      <w:tab/>
    </w:r>
    <w:r w:rsidR="002B41C1">
      <w:tab/>
    </w:r>
  </w:p>
  <w:p w14:paraId="75DC7FB0" w14:textId="28EB91C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291E">
      <w:rPr>
        <w:rStyle w:val="PageNumber"/>
        <w:noProof/>
      </w:rPr>
      <w:t>6</w:t>
    </w:r>
    <w:r>
      <w:rPr>
        <w:rStyle w:val="PageNumber"/>
      </w:rPr>
      <w:fldChar w:fldCharType="end"/>
    </w:r>
  </w:p>
  <w:p w14:paraId="271B7727"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B4A5" w14:textId="63CF0E4E" w:rsidR="008A3E1D" w:rsidRDefault="0029291E">
    <w:pPr>
      <w:pStyle w:val="OrderHeader"/>
    </w:pPr>
    <w:r>
      <w:t>ORDER NO. PSC-2024-0431-FOF-EGPSC-2024-0431-FOF-EGPSC-2024-0431-FOF-EG</w:t>
    </w:r>
  </w:p>
  <w:p w14:paraId="37B60E69" w14:textId="3A921A19" w:rsidR="008A3E1D" w:rsidRDefault="008A3E1D">
    <w:pPr>
      <w:pStyle w:val="OrderHeader"/>
    </w:pPr>
    <w:r>
      <w:t>DOCKET NO. 20240015-EG</w:t>
    </w:r>
    <w:r>
      <w:tab/>
    </w:r>
    <w:r>
      <w:tab/>
      <w:t xml:space="preserve">ATTACHMENT </w:t>
    </w:r>
    <w:r w:rsidR="006A1892">
      <w:t>B</w:t>
    </w:r>
  </w:p>
  <w:p w14:paraId="5E539E45" w14:textId="15EFDBCA" w:rsidR="008A3E1D" w:rsidRDefault="008A3E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892">
      <w:rPr>
        <w:rStyle w:val="PageNumber"/>
        <w:noProof/>
      </w:rPr>
      <w:t>11</w:t>
    </w:r>
    <w:r>
      <w:rPr>
        <w:rStyle w:val="PageNumber"/>
      </w:rPr>
      <w:fldChar w:fldCharType="end"/>
    </w:r>
  </w:p>
  <w:p w14:paraId="48EBABE3" w14:textId="77777777" w:rsidR="008A3E1D" w:rsidRDefault="008A3E1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ABDC" w14:textId="717798A4" w:rsidR="002B41C1" w:rsidRDefault="002B41C1" w:rsidP="002B41C1">
    <w:pPr>
      <w:pStyle w:val="OrderHeader"/>
    </w:pPr>
    <w:r>
      <w:t xml:space="preserve">ORDER NO. </w:t>
    </w:r>
    <w:r w:rsidR="0029291E">
      <w:fldChar w:fldCharType="begin"/>
    </w:r>
    <w:r w:rsidR="0029291E">
      <w:instrText xml:space="preserve"> REF OrderNo0431 </w:instrText>
    </w:r>
    <w:r w:rsidR="0029291E">
      <w:fldChar w:fldCharType="separate"/>
    </w:r>
    <w:r w:rsidR="0029291E">
      <w:t>PSC-2024-0431-FOF-EG</w:t>
    </w:r>
    <w:r w:rsidR="0029291E">
      <w:fldChar w:fldCharType="end"/>
    </w:r>
  </w:p>
  <w:p w14:paraId="6ADDC60D" w14:textId="09298EE7" w:rsidR="002B41C1" w:rsidRDefault="008A3E1D" w:rsidP="002B41C1">
    <w:pPr>
      <w:pStyle w:val="OrderHeader"/>
    </w:pPr>
    <w:r>
      <w:t>DOCKET NO. 20240015</w:t>
    </w:r>
    <w:r w:rsidR="00082F70">
      <w:t>-EG</w:t>
    </w:r>
    <w:r w:rsidR="00082F70">
      <w:tab/>
    </w:r>
    <w:r w:rsidR="00082F70">
      <w:tab/>
    </w:r>
    <w:r w:rsidR="009D66F3">
      <w:t xml:space="preserve">ATTACHMENT </w:t>
    </w:r>
    <w:r w:rsidR="00B560C3">
      <w:t>A</w:t>
    </w:r>
    <w:r w:rsidR="002B41C1">
      <w:tab/>
    </w:r>
  </w:p>
  <w:p w14:paraId="49FAF9BE" w14:textId="679E1A06" w:rsidR="002B41C1" w:rsidRDefault="002B41C1" w:rsidP="00082F70">
    <w:pPr>
      <w:pStyle w:val="OrderHeader"/>
      <w:tabs>
        <w:tab w:val="clear" w:pos="4320"/>
        <w:tab w:val="clear" w:pos="8640"/>
        <w:tab w:val="left" w:pos="6862"/>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291E">
      <w:rPr>
        <w:rStyle w:val="PageNumber"/>
        <w:noProof/>
      </w:rPr>
      <w:t>8</w:t>
    </w:r>
    <w:r>
      <w:rPr>
        <w:rStyle w:val="PageNumber"/>
      </w:rPr>
      <w:fldChar w:fldCharType="end"/>
    </w:r>
  </w:p>
  <w:p w14:paraId="1EA8B2AC" w14:textId="77777777" w:rsidR="002B41C1" w:rsidRDefault="002B41C1" w:rsidP="002B41C1">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CC61" w14:textId="7FD0E6E2" w:rsidR="008A3E1D" w:rsidRDefault="008A3E1D" w:rsidP="002B41C1">
    <w:pPr>
      <w:pStyle w:val="OrderHeader"/>
    </w:pPr>
    <w:r>
      <w:t xml:space="preserve">ORDER NO. </w:t>
    </w:r>
    <w:r w:rsidR="0029291E">
      <w:fldChar w:fldCharType="begin"/>
    </w:r>
    <w:r w:rsidR="0029291E">
      <w:instrText xml:space="preserve"> REF OrderNo0431 </w:instrText>
    </w:r>
    <w:r w:rsidR="0029291E">
      <w:fldChar w:fldCharType="separate"/>
    </w:r>
    <w:r w:rsidR="0029291E">
      <w:t>PSC-2024-0431-FOF-EG</w:t>
    </w:r>
    <w:r w:rsidR="0029291E">
      <w:fldChar w:fldCharType="end"/>
    </w:r>
  </w:p>
  <w:p w14:paraId="53DE8452" w14:textId="0EDF1CD0" w:rsidR="008A3E1D" w:rsidRDefault="008A3E1D" w:rsidP="002B41C1">
    <w:pPr>
      <w:pStyle w:val="OrderHeader"/>
    </w:pPr>
    <w:r>
      <w:t>DOCKET NO. 20240015-EG</w:t>
    </w:r>
    <w:r>
      <w:tab/>
    </w:r>
    <w:r>
      <w:tab/>
    </w:r>
    <w:r w:rsidR="003F6D3E">
      <w:t>ATTACHMENT A</w:t>
    </w:r>
  </w:p>
  <w:p w14:paraId="1A872AE3" w14:textId="6A6B0323" w:rsidR="008A3E1D" w:rsidRDefault="008A3E1D" w:rsidP="00082F70">
    <w:pPr>
      <w:pStyle w:val="OrderHeader"/>
      <w:tabs>
        <w:tab w:val="clear" w:pos="4320"/>
        <w:tab w:val="clear" w:pos="8640"/>
        <w:tab w:val="left" w:pos="6812"/>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291E">
      <w:rPr>
        <w:rStyle w:val="PageNumber"/>
        <w:noProof/>
      </w:rPr>
      <w:t>9</w:t>
    </w:r>
    <w:r>
      <w:rPr>
        <w:rStyle w:val="PageNumber"/>
      </w:rPr>
      <w:fldChar w:fldCharType="end"/>
    </w:r>
  </w:p>
  <w:p w14:paraId="4E850BEC" w14:textId="77777777" w:rsidR="008A3E1D" w:rsidRDefault="008A3E1D" w:rsidP="002B41C1">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EB44" w14:textId="1220FA82" w:rsidR="004741CD" w:rsidRDefault="004741CD" w:rsidP="002B41C1">
    <w:pPr>
      <w:pStyle w:val="OrderHeader"/>
    </w:pPr>
    <w:r>
      <w:t xml:space="preserve">ORDER NO. </w:t>
    </w:r>
    <w:r w:rsidR="0029291E">
      <w:fldChar w:fldCharType="begin"/>
    </w:r>
    <w:r w:rsidR="0029291E">
      <w:instrText xml:space="preserve"> REF OrderNo0431 </w:instrText>
    </w:r>
    <w:r w:rsidR="0029291E">
      <w:fldChar w:fldCharType="separate"/>
    </w:r>
    <w:r w:rsidR="0029291E">
      <w:t>PSC-2024-0431-FOF-EG</w:t>
    </w:r>
    <w:r w:rsidR="0029291E">
      <w:fldChar w:fldCharType="end"/>
    </w:r>
  </w:p>
  <w:p w14:paraId="06EE5D42" w14:textId="423A2571" w:rsidR="004741CD" w:rsidRDefault="004741CD" w:rsidP="002B41C1">
    <w:pPr>
      <w:pStyle w:val="OrderHeader"/>
    </w:pPr>
    <w:r>
      <w:t>DOCK</w:t>
    </w:r>
    <w:r w:rsidR="003F6D3E">
      <w:t>ET NO. 20240015-EG</w:t>
    </w:r>
    <w:r w:rsidR="003F6D3E">
      <w:tab/>
    </w:r>
    <w:r w:rsidR="003F6D3E">
      <w:tab/>
      <w:t>ATTACHMENT B</w:t>
    </w:r>
  </w:p>
  <w:p w14:paraId="017C6062" w14:textId="10E06E7C" w:rsidR="004741CD" w:rsidRDefault="004741CD" w:rsidP="003F6D3E">
    <w:pPr>
      <w:pStyle w:val="OrderHeader"/>
      <w:tabs>
        <w:tab w:val="clear" w:pos="4320"/>
        <w:tab w:val="clear" w:pos="8640"/>
        <w:tab w:val="left" w:pos="6812"/>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291E">
      <w:rPr>
        <w:rStyle w:val="PageNumber"/>
        <w:noProof/>
      </w:rPr>
      <w:t>10</w:t>
    </w:r>
    <w:r>
      <w:rPr>
        <w:rStyle w:val="PageNumber"/>
      </w:rPr>
      <w:fldChar w:fldCharType="end"/>
    </w:r>
  </w:p>
  <w:p w14:paraId="1B8A33F2" w14:textId="77777777" w:rsidR="004741CD" w:rsidRDefault="004741CD" w:rsidP="002B41C1">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D269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2F70"/>
    <w:rsid w:val="00090AFC"/>
    <w:rsid w:val="00096507"/>
    <w:rsid w:val="0009785F"/>
    <w:rsid w:val="000A102D"/>
    <w:rsid w:val="000A2A9A"/>
    <w:rsid w:val="000A774F"/>
    <w:rsid w:val="000B136E"/>
    <w:rsid w:val="000B1603"/>
    <w:rsid w:val="000B783E"/>
    <w:rsid w:val="000B7D81"/>
    <w:rsid w:val="000C1994"/>
    <w:rsid w:val="000C6926"/>
    <w:rsid w:val="000D02B8"/>
    <w:rsid w:val="000D06E8"/>
    <w:rsid w:val="000D4E2E"/>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91B"/>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297"/>
    <w:rsid w:val="001513DE"/>
    <w:rsid w:val="00154A71"/>
    <w:rsid w:val="001655D4"/>
    <w:rsid w:val="00165803"/>
    <w:rsid w:val="00176280"/>
    <w:rsid w:val="00187E32"/>
    <w:rsid w:val="001918FF"/>
    <w:rsid w:val="00194A97"/>
    <w:rsid w:val="00194E81"/>
    <w:rsid w:val="001A15E7"/>
    <w:rsid w:val="001A33C9"/>
    <w:rsid w:val="001A58F3"/>
    <w:rsid w:val="001B034E"/>
    <w:rsid w:val="001C0F95"/>
    <w:rsid w:val="001C2847"/>
    <w:rsid w:val="001C3BB5"/>
    <w:rsid w:val="001C3F8C"/>
    <w:rsid w:val="001C6097"/>
    <w:rsid w:val="001C67DC"/>
    <w:rsid w:val="001C7126"/>
    <w:rsid w:val="001D008A"/>
    <w:rsid w:val="001D1496"/>
    <w:rsid w:val="001D2EAA"/>
    <w:rsid w:val="001E0152"/>
    <w:rsid w:val="001E0FF5"/>
    <w:rsid w:val="001F0095"/>
    <w:rsid w:val="001F36B0"/>
    <w:rsid w:val="001F4CA3"/>
    <w:rsid w:val="001F59E0"/>
    <w:rsid w:val="002002ED"/>
    <w:rsid w:val="002044DD"/>
    <w:rsid w:val="00206A3B"/>
    <w:rsid w:val="002170E5"/>
    <w:rsid w:val="00220D57"/>
    <w:rsid w:val="00223B99"/>
    <w:rsid w:val="0022721A"/>
    <w:rsid w:val="0023012F"/>
    <w:rsid w:val="00230BB9"/>
    <w:rsid w:val="00241CEF"/>
    <w:rsid w:val="0025124E"/>
    <w:rsid w:val="00252B30"/>
    <w:rsid w:val="00255291"/>
    <w:rsid w:val="002613E4"/>
    <w:rsid w:val="00262C43"/>
    <w:rsid w:val="00263560"/>
    <w:rsid w:val="0026544B"/>
    <w:rsid w:val="00270F89"/>
    <w:rsid w:val="00276CDC"/>
    <w:rsid w:val="00277655"/>
    <w:rsid w:val="002824B7"/>
    <w:rsid w:val="00282AC4"/>
    <w:rsid w:val="0029291E"/>
    <w:rsid w:val="00293DC9"/>
    <w:rsid w:val="00297C37"/>
    <w:rsid w:val="002A0952"/>
    <w:rsid w:val="002A11AC"/>
    <w:rsid w:val="002A6F30"/>
    <w:rsid w:val="002A7884"/>
    <w:rsid w:val="002B3111"/>
    <w:rsid w:val="002B41C1"/>
    <w:rsid w:val="002C09F5"/>
    <w:rsid w:val="002C118E"/>
    <w:rsid w:val="002C2096"/>
    <w:rsid w:val="002C6B7B"/>
    <w:rsid w:val="002C7908"/>
    <w:rsid w:val="002D391B"/>
    <w:rsid w:val="002D4B1F"/>
    <w:rsid w:val="002D7D15"/>
    <w:rsid w:val="002E1B2E"/>
    <w:rsid w:val="002E27EB"/>
    <w:rsid w:val="002E395C"/>
    <w:rsid w:val="002E46E4"/>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56A3"/>
    <w:rsid w:val="0037196E"/>
    <w:rsid w:val="00373A7C"/>
    <w:rsid w:val="003744F5"/>
    <w:rsid w:val="00382C6A"/>
    <w:rsid w:val="00384F9A"/>
    <w:rsid w:val="003875A9"/>
    <w:rsid w:val="00387BDE"/>
    <w:rsid w:val="00390DD8"/>
    <w:rsid w:val="00394DC6"/>
    <w:rsid w:val="00397C3E"/>
    <w:rsid w:val="003B1A09"/>
    <w:rsid w:val="003B4FD3"/>
    <w:rsid w:val="003B6F02"/>
    <w:rsid w:val="003C0431"/>
    <w:rsid w:val="003C29BB"/>
    <w:rsid w:val="003D3989"/>
    <w:rsid w:val="003D4CCA"/>
    <w:rsid w:val="003D52A6"/>
    <w:rsid w:val="003D6416"/>
    <w:rsid w:val="003E1D48"/>
    <w:rsid w:val="003E2982"/>
    <w:rsid w:val="003E5509"/>
    <w:rsid w:val="003E711F"/>
    <w:rsid w:val="003F1378"/>
    <w:rsid w:val="003F1D2B"/>
    <w:rsid w:val="003F49A6"/>
    <w:rsid w:val="003F518F"/>
    <w:rsid w:val="003F6BA7"/>
    <w:rsid w:val="003F6D3E"/>
    <w:rsid w:val="003F7445"/>
    <w:rsid w:val="004050C5"/>
    <w:rsid w:val="00407FD5"/>
    <w:rsid w:val="00411DF2"/>
    <w:rsid w:val="00411E8F"/>
    <w:rsid w:val="004142F0"/>
    <w:rsid w:val="004247F5"/>
    <w:rsid w:val="0042527B"/>
    <w:rsid w:val="00427EAC"/>
    <w:rsid w:val="004431B4"/>
    <w:rsid w:val="00445604"/>
    <w:rsid w:val="00451158"/>
    <w:rsid w:val="0045537F"/>
    <w:rsid w:val="00457DC7"/>
    <w:rsid w:val="004640B3"/>
    <w:rsid w:val="00472BCC"/>
    <w:rsid w:val="004741CD"/>
    <w:rsid w:val="00477699"/>
    <w:rsid w:val="0048292E"/>
    <w:rsid w:val="004A25CD"/>
    <w:rsid w:val="004A26CC"/>
    <w:rsid w:val="004B2108"/>
    <w:rsid w:val="004B3A2B"/>
    <w:rsid w:val="004B70D3"/>
    <w:rsid w:val="004C312D"/>
    <w:rsid w:val="004D0A61"/>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63"/>
    <w:rsid w:val="00525E93"/>
    <w:rsid w:val="0052671D"/>
    <w:rsid w:val="005300C0"/>
    <w:rsid w:val="00533EF6"/>
    <w:rsid w:val="00540E6B"/>
    <w:rsid w:val="0054109E"/>
    <w:rsid w:val="00547F82"/>
    <w:rsid w:val="0055595D"/>
    <w:rsid w:val="00556A10"/>
    <w:rsid w:val="00557F50"/>
    <w:rsid w:val="00571D3D"/>
    <w:rsid w:val="0058264B"/>
    <w:rsid w:val="00586368"/>
    <w:rsid w:val="005868AA"/>
    <w:rsid w:val="00590845"/>
    <w:rsid w:val="00592C71"/>
    <w:rsid w:val="005963C2"/>
    <w:rsid w:val="005A0D69"/>
    <w:rsid w:val="005A31F4"/>
    <w:rsid w:val="005A73EA"/>
    <w:rsid w:val="005A7514"/>
    <w:rsid w:val="005B45F7"/>
    <w:rsid w:val="005B462A"/>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885"/>
    <w:rsid w:val="0062385D"/>
    <w:rsid w:val="00626120"/>
    <w:rsid w:val="0063168D"/>
    <w:rsid w:val="00635C79"/>
    <w:rsid w:val="006423A7"/>
    <w:rsid w:val="006455DF"/>
    <w:rsid w:val="00645AF6"/>
    <w:rsid w:val="00647025"/>
    <w:rsid w:val="0064730A"/>
    <w:rsid w:val="006507DA"/>
    <w:rsid w:val="006531A4"/>
    <w:rsid w:val="00660774"/>
    <w:rsid w:val="00660939"/>
    <w:rsid w:val="0066389A"/>
    <w:rsid w:val="0066495C"/>
    <w:rsid w:val="00665CC7"/>
    <w:rsid w:val="00672612"/>
    <w:rsid w:val="00674ECC"/>
    <w:rsid w:val="00677F18"/>
    <w:rsid w:val="0068608A"/>
    <w:rsid w:val="00693483"/>
    <w:rsid w:val="006A0BF3"/>
    <w:rsid w:val="006A1892"/>
    <w:rsid w:val="006A36EC"/>
    <w:rsid w:val="006B0036"/>
    <w:rsid w:val="006B0DA6"/>
    <w:rsid w:val="006B33F8"/>
    <w:rsid w:val="006B3FA9"/>
    <w:rsid w:val="006C2A63"/>
    <w:rsid w:val="006C33D5"/>
    <w:rsid w:val="006C547E"/>
    <w:rsid w:val="006C660C"/>
    <w:rsid w:val="006D2B51"/>
    <w:rsid w:val="006D5575"/>
    <w:rsid w:val="006D7191"/>
    <w:rsid w:val="006E21C4"/>
    <w:rsid w:val="006E42BE"/>
    <w:rsid w:val="006E5D4D"/>
    <w:rsid w:val="006E6D16"/>
    <w:rsid w:val="00703F2A"/>
    <w:rsid w:val="00704C5D"/>
    <w:rsid w:val="007072BC"/>
    <w:rsid w:val="00707593"/>
    <w:rsid w:val="00715275"/>
    <w:rsid w:val="00716277"/>
    <w:rsid w:val="00721B44"/>
    <w:rsid w:val="007232A2"/>
    <w:rsid w:val="00726366"/>
    <w:rsid w:val="00726ACD"/>
    <w:rsid w:val="00731AB6"/>
    <w:rsid w:val="00733B6B"/>
    <w:rsid w:val="00740808"/>
    <w:rsid w:val="00740A1B"/>
    <w:rsid w:val="007467C4"/>
    <w:rsid w:val="0076170F"/>
    <w:rsid w:val="00761F76"/>
    <w:rsid w:val="0076669C"/>
    <w:rsid w:val="00766E46"/>
    <w:rsid w:val="00772CCB"/>
    <w:rsid w:val="007735D9"/>
    <w:rsid w:val="00773BCC"/>
    <w:rsid w:val="00777727"/>
    <w:rsid w:val="0078166A"/>
    <w:rsid w:val="00782B79"/>
    <w:rsid w:val="00783811"/>
    <w:rsid w:val="007865E9"/>
    <w:rsid w:val="00786FBD"/>
    <w:rsid w:val="0079237D"/>
    <w:rsid w:val="00792383"/>
    <w:rsid w:val="00794D5A"/>
    <w:rsid w:val="00794DD9"/>
    <w:rsid w:val="007A060F"/>
    <w:rsid w:val="007A703D"/>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39F7"/>
    <w:rsid w:val="00804E7A"/>
    <w:rsid w:val="00805FBB"/>
    <w:rsid w:val="00814292"/>
    <w:rsid w:val="008169A4"/>
    <w:rsid w:val="0082494E"/>
    <w:rsid w:val="008278FE"/>
    <w:rsid w:val="00832598"/>
    <w:rsid w:val="0083397E"/>
    <w:rsid w:val="0083534B"/>
    <w:rsid w:val="00835404"/>
    <w:rsid w:val="00842035"/>
    <w:rsid w:val="00842602"/>
    <w:rsid w:val="00843E7E"/>
    <w:rsid w:val="008449F0"/>
    <w:rsid w:val="00846F11"/>
    <w:rsid w:val="00847B45"/>
    <w:rsid w:val="00862681"/>
    <w:rsid w:val="00863A66"/>
    <w:rsid w:val="008703D7"/>
    <w:rsid w:val="00874429"/>
    <w:rsid w:val="00875D22"/>
    <w:rsid w:val="00883D9A"/>
    <w:rsid w:val="008919EF"/>
    <w:rsid w:val="00892B20"/>
    <w:rsid w:val="008931BC"/>
    <w:rsid w:val="0089695B"/>
    <w:rsid w:val="00897740"/>
    <w:rsid w:val="008A0CBD"/>
    <w:rsid w:val="008A12EC"/>
    <w:rsid w:val="008A3A36"/>
    <w:rsid w:val="008A3E1D"/>
    <w:rsid w:val="008B14BE"/>
    <w:rsid w:val="008B19A6"/>
    <w:rsid w:val="008B4EFB"/>
    <w:rsid w:val="008B7615"/>
    <w:rsid w:val="008C21C8"/>
    <w:rsid w:val="008C6375"/>
    <w:rsid w:val="008C6A5B"/>
    <w:rsid w:val="008C7345"/>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F77"/>
    <w:rsid w:val="00986AED"/>
    <w:rsid w:val="009924CF"/>
    <w:rsid w:val="00994100"/>
    <w:rsid w:val="009A04B7"/>
    <w:rsid w:val="009A6B17"/>
    <w:rsid w:val="009B052E"/>
    <w:rsid w:val="009B4E00"/>
    <w:rsid w:val="009D4C29"/>
    <w:rsid w:val="009D66F3"/>
    <w:rsid w:val="009E1917"/>
    <w:rsid w:val="009E242B"/>
    <w:rsid w:val="009E270D"/>
    <w:rsid w:val="009E58E9"/>
    <w:rsid w:val="009E6803"/>
    <w:rsid w:val="009F6AD2"/>
    <w:rsid w:val="009F7C1B"/>
    <w:rsid w:val="00A00B5B"/>
    <w:rsid w:val="00A00D8D"/>
    <w:rsid w:val="00A00F1A"/>
    <w:rsid w:val="00A00F49"/>
    <w:rsid w:val="00A01B2F"/>
    <w:rsid w:val="00A01BB6"/>
    <w:rsid w:val="00A108A7"/>
    <w:rsid w:val="00A12C40"/>
    <w:rsid w:val="00A228DA"/>
    <w:rsid w:val="00A22B28"/>
    <w:rsid w:val="00A236B6"/>
    <w:rsid w:val="00A3351E"/>
    <w:rsid w:val="00A4303C"/>
    <w:rsid w:val="00A46CAF"/>
    <w:rsid w:val="00A470FD"/>
    <w:rsid w:val="00A50B5E"/>
    <w:rsid w:val="00A518B5"/>
    <w:rsid w:val="00A54D34"/>
    <w:rsid w:val="00A62DAB"/>
    <w:rsid w:val="00A6757A"/>
    <w:rsid w:val="00A726A6"/>
    <w:rsid w:val="00A74842"/>
    <w:rsid w:val="00A8269A"/>
    <w:rsid w:val="00A86A50"/>
    <w:rsid w:val="00A9178A"/>
    <w:rsid w:val="00A9515B"/>
    <w:rsid w:val="00A9610F"/>
    <w:rsid w:val="00A97535"/>
    <w:rsid w:val="00AA2BAA"/>
    <w:rsid w:val="00AA6516"/>
    <w:rsid w:val="00AA73F1"/>
    <w:rsid w:val="00AB0E1A"/>
    <w:rsid w:val="00AB1A30"/>
    <w:rsid w:val="00AB3C36"/>
    <w:rsid w:val="00AB3D30"/>
    <w:rsid w:val="00AC1FC5"/>
    <w:rsid w:val="00AC4B09"/>
    <w:rsid w:val="00AC5A01"/>
    <w:rsid w:val="00AD10EB"/>
    <w:rsid w:val="00AD1B23"/>
    <w:rsid w:val="00AD1ED3"/>
    <w:rsid w:val="00AD3717"/>
    <w:rsid w:val="00AD57ED"/>
    <w:rsid w:val="00AD74F4"/>
    <w:rsid w:val="00B019C1"/>
    <w:rsid w:val="00B02001"/>
    <w:rsid w:val="00B03C50"/>
    <w:rsid w:val="00B0777D"/>
    <w:rsid w:val="00B11576"/>
    <w:rsid w:val="00B1195F"/>
    <w:rsid w:val="00B14D10"/>
    <w:rsid w:val="00B209C7"/>
    <w:rsid w:val="00B23040"/>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0C3"/>
    <w:rsid w:val="00B60FDB"/>
    <w:rsid w:val="00B61D42"/>
    <w:rsid w:val="00B65E0A"/>
    <w:rsid w:val="00B67A43"/>
    <w:rsid w:val="00B71D1F"/>
    <w:rsid w:val="00B72CFF"/>
    <w:rsid w:val="00B73DE6"/>
    <w:rsid w:val="00B761CD"/>
    <w:rsid w:val="00B76B66"/>
    <w:rsid w:val="00B865F3"/>
    <w:rsid w:val="00B86EF0"/>
    <w:rsid w:val="00B87A36"/>
    <w:rsid w:val="00B96969"/>
    <w:rsid w:val="00B97900"/>
    <w:rsid w:val="00BA1229"/>
    <w:rsid w:val="00BA44A8"/>
    <w:rsid w:val="00BA49C5"/>
    <w:rsid w:val="00BA5B1C"/>
    <w:rsid w:val="00BB0182"/>
    <w:rsid w:val="00BB2EC0"/>
    <w:rsid w:val="00BB2F4A"/>
    <w:rsid w:val="00BC786E"/>
    <w:rsid w:val="00BD5C92"/>
    <w:rsid w:val="00BE209E"/>
    <w:rsid w:val="00BE2468"/>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13A"/>
    <w:rsid w:val="00C523EC"/>
    <w:rsid w:val="00C55A33"/>
    <w:rsid w:val="00C5603B"/>
    <w:rsid w:val="00C64D49"/>
    <w:rsid w:val="00C66692"/>
    <w:rsid w:val="00C673B5"/>
    <w:rsid w:val="00C7063D"/>
    <w:rsid w:val="00C72339"/>
    <w:rsid w:val="00C73F18"/>
    <w:rsid w:val="00C820BC"/>
    <w:rsid w:val="00C830BC"/>
    <w:rsid w:val="00C8524D"/>
    <w:rsid w:val="00C90904"/>
    <w:rsid w:val="00C91123"/>
    <w:rsid w:val="00C923F2"/>
    <w:rsid w:val="00C9416F"/>
    <w:rsid w:val="00C97701"/>
    <w:rsid w:val="00CA6CC2"/>
    <w:rsid w:val="00CA71FF"/>
    <w:rsid w:val="00CA7D73"/>
    <w:rsid w:val="00CB2393"/>
    <w:rsid w:val="00CB2456"/>
    <w:rsid w:val="00CB5276"/>
    <w:rsid w:val="00CB5BFC"/>
    <w:rsid w:val="00CB68D7"/>
    <w:rsid w:val="00CB785B"/>
    <w:rsid w:val="00CC55D1"/>
    <w:rsid w:val="00CC7E68"/>
    <w:rsid w:val="00CD3D74"/>
    <w:rsid w:val="00CD7132"/>
    <w:rsid w:val="00CE0E6F"/>
    <w:rsid w:val="00CE3B21"/>
    <w:rsid w:val="00CE56FC"/>
    <w:rsid w:val="00CE7A4D"/>
    <w:rsid w:val="00CF32D2"/>
    <w:rsid w:val="00CF4CFE"/>
    <w:rsid w:val="00D00DEE"/>
    <w:rsid w:val="00D00E8E"/>
    <w:rsid w:val="00D02E0F"/>
    <w:rsid w:val="00D03EE8"/>
    <w:rsid w:val="00D10250"/>
    <w:rsid w:val="00D13535"/>
    <w:rsid w:val="00D15497"/>
    <w:rsid w:val="00D17B79"/>
    <w:rsid w:val="00D205F5"/>
    <w:rsid w:val="00D205F6"/>
    <w:rsid w:val="00D23FEA"/>
    <w:rsid w:val="00D26922"/>
    <w:rsid w:val="00D269CA"/>
    <w:rsid w:val="00D30B48"/>
    <w:rsid w:val="00D3168A"/>
    <w:rsid w:val="00D350D1"/>
    <w:rsid w:val="00D45920"/>
    <w:rsid w:val="00D46FAA"/>
    <w:rsid w:val="00D47A40"/>
    <w:rsid w:val="00D51D33"/>
    <w:rsid w:val="00D57BB2"/>
    <w:rsid w:val="00D57E57"/>
    <w:rsid w:val="00D675FA"/>
    <w:rsid w:val="00D6776A"/>
    <w:rsid w:val="00D70752"/>
    <w:rsid w:val="00D71348"/>
    <w:rsid w:val="00D76E51"/>
    <w:rsid w:val="00D80E2D"/>
    <w:rsid w:val="00D84D5E"/>
    <w:rsid w:val="00D8560E"/>
    <w:rsid w:val="00D8758F"/>
    <w:rsid w:val="00DA4183"/>
    <w:rsid w:val="00DA4EDD"/>
    <w:rsid w:val="00DA6B78"/>
    <w:rsid w:val="00DA7921"/>
    <w:rsid w:val="00DA7ED0"/>
    <w:rsid w:val="00DB122B"/>
    <w:rsid w:val="00DC1D94"/>
    <w:rsid w:val="00DC42CF"/>
    <w:rsid w:val="00DC738A"/>
    <w:rsid w:val="00DD382A"/>
    <w:rsid w:val="00DD592E"/>
    <w:rsid w:val="00DE057F"/>
    <w:rsid w:val="00DE2082"/>
    <w:rsid w:val="00DE2289"/>
    <w:rsid w:val="00DF09A7"/>
    <w:rsid w:val="00DF2B51"/>
    <w:rsid w:val="00DF5A7A"/>
    <w:rsid w:val="00DF6F7F"/>
    <w:rsid w:val="00E001D6"/>
    <w:rsid w:val="00E03A76"/>
    <w:rsid w:val="00E04410"/>
    <w:rsid w:val="00E07484"/>
    <w:rsid w:val="00E11351"/>
    <w:rsid w:val="00E25D6E"/>
    <w:rsid w:val="00E328B0"/>
    <w:rsid w:val="00E33F44"/>
    <w:rsid w:val="00E35052"/>
    <w:rsid w:val="00E37D48"/>
    <w:rsid w:val="00E4225C"/>
    <w:rsid w:val="00E44879"/>
    <w:rsid w:val="00E50612"/>
    <w:rsid w:val="00E72914"/>
    <w:rsid w:val="00E75AE0"/>
    <w:rsid w:val="00E80BD6"/>
    <w:rsid w:val="00E83C1F"/>
    <w:rsid w:val="00E85684"/>
    <w:rsid w:val="00E8794B"/>
    <w:rsid w:val="00E97656"/>
    <w:rsid w:val="00E97C3D"/>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0DB"/>
    <w:rsid w:val="00F05F34"/>
    <w:rsid w:val="00F22B27"/>
    <w:rsid w:val="00F234A7"/>
    <w:rsid w:val="00F277B6"/>
    <w:rsid w:val="00F27DA5"/>
    <w:rsid w:val="00F32469"/>
    <w:rsid w:val="00F36F20"/>
    <w:rsid w:val="00F37884"/>
    <w:rsid w:val="00F37E07"/>
    <w:rsid w:val="00F4182A"/>
    <w:rsid w:val="00F464ED"/>
    <w:rsid w:val="00F54380"/>
    <w:rsid w:val="00F54B47"/>
    <w:rsid w:val="00F57670"/>
    <w:rsid w:val="00F61247"/>
    <w:rsid w:val="00F61F61"/>
    <w:rsid w:val="00F63191"/>
    <w:rsid w:val="00F665B6"/>
    <w:rsid w:val="00F6702E"/>
    <w:rsid w:val="00F70E84"/>
    <w:rsid w:val="00F80685"/>
    <w:rsid w:val="00F865CC"/>
    <w:rsid w:val="00F94968"/>
    <w:rsid w:val="00FA092B"/>
    <w:rsid w:val="00FA4F6C"/>
    <w:rsid w:val="00FA6EFD"/>
    <w:rsid w:val="00FB3791"/>
    <w:rsid w:val="00FB6780"/>
    <w:rsid w:val="00FB74EA"/>
    <w:rsid w:val="00FC60AE"/>
    <w:rsid w:val="00FD0ADB"/>
    <w:rsid w:val="00FD2C9E"/>
    <w:rsid w:val="00FD4786"/>
    <w:rsid w:val="00FD616C"/>
    <w:rsid w:val="00FE53F2"/>
    <w:rsid w:val="00FF0A00"/>
    <w:rsid w:val="00FF1C57"/>
    <w:rsid w:val="00FF2581"/>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4:docId w14:val="634F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AE"/>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C60AE"/>
  </w:style>
  <w:style w:type="paragraph" w:customStyle="1" w:styleId="TableParagraph">
    <w:name w:val="Table Paragraph"/>
    <w:basedOn w:val="Normal"/>
    <w:uiPriority w:val="1"/>
    <w:qFormat/>
    <w:rsid w:val="00AD1B23"/>
    <w:pPr>
      <w:widowControl w:val="0"/>
      <w:autoSpaceDE w:val="0"/>
      <w:autoSpaceDN w:val="0"/>
      <w:spacing w:before="13" w:line="251" w:lineRule="exact"/>
      <w:ind w:left="26"/>
      <w:jc w:val="center"/>
    </w:pPr>
    <w:rPr>
      <w:rFonts w:ascii="Arial" w:eastAsia="Arial" w:hAnsi="Arial" w:cs="Arial"/>
      <w:sz w:val="22"/>
      <w:szCs w:val="22"/>
    </w:rPr>
  </w:style>
  <w:style w:type="character" w:styleId="CommentReference">
    <w:name w:val="annotation reference"/>
    <w:basedOn w:val="DefaultParagraphFont"/>
    <w:semiHidden/>
    <w:unhideWhenUsed/>
    <w:rsid w:val="0023012F"/>
    <w:rPr>
      <w:sz w:val="16"/>
      <w:szCs w:val="16"/>
    </w:rPr>
  </w:style>
  <w:style w:type="paragraph" w:styleId="CommentText">
    <w:name w:val="annotation text"/>
    <w:basedOn w:val="Normal"/>
    <w:link w:val="CommentTextChar"/>
    <w:semiHidden/>
    <w:unhideWhenUsed/>
    <w:rsid w:val="0023012F"/>
    <w:rPr>
      <w:sz w:val="20"/>
      <w:szCs w:val="20"/>
    </w:rPr>
  </w:style>
  <w:style w:type="character" w:customStyle="1" w:styleId="CommentTextChar">
    <w:name w:val="Comment Text Char"/>
    <w:basedOn w:val="DefaultParagraphFont"/>
    <w:link w:val="CommentText"/>
    <w:semiHidden/>
    <w:rsid w:val="0023012F"/>
  </w:style>
  <w:style w:type="paragraph" w:styleId="CommentSubject">
    <w:name w:val="annotation subject"/>
    <w:basedOn w:val="CommentText"/>
    <w:next w:val="CommentText"/>
    <w:link w:val="CommentSubjectChar"/>
    <w:semiHidden/>
    <w:unhideWhenUsed/>
    <w:rsid w:val="0023012F"/>
    <w:rPr>
      <w:b/>
      <w:bCs/>
    </w:rPr>
  </w:style>
  <w:style w:type="character" w:customStyle="1" w:styleId="CommentSubjectChar">
    <w:name w:val="Comment Subject Char"/>
    <w:basedOn w:val="CommentTextChar"/>
    <w:link w:val="CommentSubject"/>
    <w:semiHidden/>
    <w:rsid w:val="0023012F"/>
    <w:rPr>
      <w:b/>
      <w:bCs/>
    </w:rPr>
  </w:style>
  <w:style w:type="paragraph" w:styleId="BalloonText">
    <w:name w:val="Balloon Text"/>
    <w:basedOn w:val="Normal"/>
    <w:link w:val="BalloonTextChar"/>
    <w:semiHidden/>
    <w:unhideWhenUsed/>
    <w:rsid w:val="0023012F"/>
    <w:rPr>
      <w:rFonts w:ascii="Segoe UI" w:hAnsi="Segoe UI" w:cs="Segoe UI"/>
      <w:sz w:val="18"/>
      <w:szCs w:val="18"/>
    </w:rPr>
  </w:style>
  <w:style w:type="character" w:customStyle="1" w:styleId="BalloonTextChar">
    <w:name w:val="Balloon Text Char"/>
    <w:basedOn w:val="DefaultParagraphFont"/>
    <w:link w:val="BalloonText"/>
    <w:semiHidden/>
    <w:rsid w:val="0023012F"/>
    <w:rPr>
      <w:rFonts w:ascii="Segoe UI" w:hAnsi="Segoe UI" w:cs="Segoe UI"/>
      <w:sz w:val="18"/>
      <w:szCs w:val="18"/>
    </w:rPr>
  </w:style>
  <w:style w:type="character" w:customStyle="1" w:styleId="text">
    <w:name w:val="text"/>
    <w:basedOn w:val="DefaultParagraphFont"/>
    <w:rsid w:val="000A2A9A"/>
  </w:style>
  <w:style w:type="character" w:customStyle="1" w:styleId="number">
    <w:name w:val="number"/>
    <w:basedOn w:val="DefaultParagraphFont"/>
    <w:rsid w:val="000A2A9A"/>
  </w:style>
  <w:style w:type="paragraph" w:styleId="Revision">
    <w:name w:val="Revision"/>
    <w:hidden/>
    <w:uiPriority w:val="99"/>
    <w:semiHidden/>
    <w:rsid w:val="00A236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86912571">
      <w:bodyDiv w:val="1"/>
      <w:marLeft w:val="0"/>
      <w:marRight w:val="0"/>
      <w:marTop w:val="0"/>
      <w:marBottom w:val="0"/>
      <w:divBdr>
        <w:top w:val="none" w:sz="0" w:space="0" w:color="auto"/>
        <w:left w:val="none" w:sz="0" w:space="0" w:color="auto"/>
        <w:bottom w:val="none" w:sz="0" w:space="0" w:color="auto"/>
        <w:right w:val="none" w:sz="0" w:space="0" w:color="auto"/>
      </w:divBdr>
      <w:divsChild>
        <w:div w:id="1299607213">
          <w:marLeft w:val="0"/>
          <w:marRight w:val="0"/>
          <w:marTop w:val="0"/>
          <w:marBottom w:val="0"/>
          <w:divBdr>
            <w:top w:val="none" w:sz="0" w:space="0" w:color="auto"/>
            <w:left w:val="none" w:sz="0" w:space="0" w:color="auto"/>
            <w:bottom w:val="none" w:sz="0" w:space="0" w:color="auto"/>
            <w:right w:val="none" w:sz="0" w:space="0" w:color="auto"/>
          </w:divBdr>
        </w:div>
        <w:div w:id="629897273">
          <w:marLeft w:val="0"/>
          <w:marRight w:val="0"/>
          <w:marTop w:val="0"/>
          <w:marBottom w:val="0"/>
          <w:divBdr>
            <w:top w:val="none" w:sz="0" w:space="0" w:color="auto"/>
            <w:left w:val="none" w:sz="0" w:space="0" w:color="auto"/>
            <w:bottom w:val="none" w:sz="0" w:space="0" w:color="auto"/>
            <w:right w:val="none" w:sz="0" w:space="0" w:color="auto"/>
          </w:divBdr>
          <w:divsChild>
            <w:div w:id="365107440">
              <w:marLeft w:val="0"/>
              <w:marRight w:val="0"/>
              <w:marTop w:val="0"/>
              <w:marBottom w:val="0"/>
              <w:divBdr>
                <w:top w:val="none" w:sz="0" w:space="0" w:color="auto"/>
                <w:left w:val="none" w:sz="0" w:space="0" w:color="auto"/>
                <w:bottom w:val="none" w:sz="0" w:space="0" w:color="auto"/>
                <w:right w:val="none" w:sz="0" w:space="0" w:color="auto"/>
              </w:divBdr>
            </w:div>
            <w:div w:id="931006953">
              <w:marLeft w:val="0"/>
              <w:marRight w:val="0"/>
              <w:marTop w:val="0"/>
              <w:marBottom w:val="0"/>
              <w:divBdr>
                <w:top w:val="none" w:sz="0" w:space="0" w:color="auto"/>
                <w:left w:val="none" w:sz="0" w:space="0" w:color="auto"/>
                <w:bottom w:val="none" w:sz="0" w:space="0" w:color="auto"/>
                <w:right w:val="none" w:sz="0" w:space="0" w:color="auto"/>
              </w:divBdr>
            </w:div>
            <w:div w:id="1237478875">
              <w:marLeft w:val="0"/>
              <w:marRight w:val="0"/>
              <w:marTop w:val="0"/>
              <w:marBottom w:val="0"/>
              <w:divBdr>
                <w:top w:val="none" w:sz="0" w:space="0" w:color="auto"/>
                <w:left w:val="none" w:sz="0" w:space="0" w:color="auto"/>
                <w:bottom w:val="none" w:sz="0" w:space="0" w:color="auto"/>
                <w:right w:val="none" w:sz="0" w:space="0" w:color="auto"/>
              </w:divBdr>
            </w:div>
            <w:div w:id="1311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10</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2024-09-20T17:55:00Z</dcterms:created>
  <dcterms:modified xsi:type="dcterms:W3CDTF">2024-09-20T18:54:00Z</dcterms:modified>
</cp:coreProperties>
</file>