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D840F" w14:textId="77777777" w:rsidR="00CB5276" w:rsidRDefault="0065431C" w:rsidP="0065431C">
      <w:pPr>
        <w:pStyle w:val="OrderHeading"/>
      </w:pPr>
      <w:r>
        <w:t>BEFORE THE FLORIDA PUBLIC SERVICE COMMISSION</w:t>
      </w:r>
    </w:p>
    <w:p w14:paraId="14F00B45" w14:textId="77777777" w:rsidR="0065431C" w:rsidRDefault="0065431C" w:rsidP="0065431C">
      <w:pPr>
        <w:pStyle w:val="OrderBody"/>
      </w:pPr>
    </w:p>
    <w:p w14:paraId="57ED050C" w14:textId="77777777" w:rsidR="0065431C" w:rsidRDefault="0065431C" w:rsidP="006543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431C" w:rsidRPr="00C63FCF" w14:paraId="2652304E" w14:textId="77777777" w:rsidTr="00C63FCF">
        <w:trPr>
          <w:trHeight w:val="828"/>
        </w:trPr>
        <w:tc>
          <w:tcPr>
            <w:tcW w:w="4788" w:type="dxa"/>
            <w:tcBorders>
              <w:bottom w:val="single" w:sz="8" w:space="0" w:color="auto"/>
              <w:right w:val="double" w:sz="6" w:space="0" w:color="auto"/>
            </w:tcBorders>
            <w:shd w:val="clear" w:color="auto" w:fill="auto"/>
          </w:tcPr>
          <w:p w14:paraId="3AE772EE" w14:textId="77777777" w:rsidR="0065431C" w:rsidRDefault="0065431C"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5C30D892" w14:textId="77777777" w:rsidR="0065431C" w:rsidRDefault="0065431C" w:rsidP="0065431C">
            <w:pPr>
              <w:pStyle w:val="OrderBody"/>
            </w:pPr>
            <w:r>
              <w:t xml:space="preserve">DOCKET NO. </w:t>
            </w:r>
            <w:bookmarkStart w:id="1" w:name="SSDocketNo"/>
            <w:bookmarkEnd w:id="1"/>
            <w:r>
              <w:t>20250011-EI</w:t>
            </w:r>
          </w:p>
          <w:p w14:paraId="58F13726" w14:textId="2A8A5BF7" w:rsidR="0065431C" w:rsidRDefault="0065431C" w:rsidP="00C63FCF">
            <w:pPr>
              <w:pStyle w:val="OrderBody"/>
              <w:tabs>
                <w:tab w:val="center" w:pos="4320"/>
                <w:tab w:val="right" w:pos="8640"/>
              </w:tabs>
              <w:jc w:val="left"/>
            </w:pPr>
            <w:r>
              <w:t xml:space="preserve">ORDER NO. </w:t>
            </w:r>
            <w:bookmarkStart w:id="2" w:name="OrderNo0345"/>
            <w:r w:rsidR="00FE4D5F">
              <w:t>PSC-2025-0345-PCO-EI</w:t>
            </w:r>
            <w:bookmarkEnd w:id="2"/>
          </w:p>
          <w:p w14:paraId="38DD8C0A" w14:textId="52C5275F" w:rsidR="0065431C" w:rsidRDefault="0065431C" w:rsidP="00C63FCF">
            <w:pPr>
              <w:pStyle w:val="OrderBody"/>
              <w:tabs>
                <w:tab w:val="center" w:pos="4320"/>
                <w:tab w:val="right" w:pos="8640"/>
              </w:tabs>
              <w:jc w:val="left"/>
            </w:pPr>
            <w:r>
              <w:t xml:space="preserve">ISSUED: </w:t>
            </w:r>
            <w:r w:rsidR="00FE4D5F">
              <w:t>September 12, 2025</w:t>
            </w:r>
          </w:p>
        </w:tc>
      </w:tr>
    </w:tbl>
    <w:p w14:paraId="3A13DD8E" w14:textId="77777777" w:rsidR="0065431C" w:rsidRDefault="0065431C" w:rsidP="0065431C"/>
    <w:p w14:paraId="2727536C" w14:textId="77777777" w:rsidR="0065431C" w:rsidRDefault="0065431C" w:rsidP="0065431C"/>
    <w:p w14:paraId="2AB830F9" w14:textId="494FE146" w:rsidR="00682F98" w:rsidRDefault="0065431C" w:rsidP="0065431C">
      <w:pPr>
        <w:pStyle w:val="CenterUnderline"/>
      </w:pPr>
      <w:bookmarkStart w:id="3" w:name="Commissioners"/>
      <w:bookmarkEnd w:id="3"/>
      <w:r>
        <w:t>ORDER</w:t>
      </w:r>
      <w:bookmarkStart w:id="4" w:name="OrderTitle"/>
      <w:r>
        <w:t xml:space="preserve"> </w:t>
      </w:r>
      <w:r w:rsidR="0033289A">
        <w:t>DISMISSING</w:t>
      </w:r>
      <w:r>
        <w:t xml:space="preserve"> CUSTOMER MAJORITY PARTIES’</w:t>
      </w:r>
      <w:r w:rsidR="00EB628A">
        <w:t xml:space="preserve"> </w:t>
      </w:r>
      <w:r w:rsidR="00682F98">
        <w:t>JOINT</w:t>
      </w:r>
    </w:p>
    <w:p w14:paraId="773B9905" w14:textId="77777777" w:rsidR="0018368D" w:rsidRDefault="00EB628A" w:rsidP="0065431C">
      <w:pPr>
        <w:pStyle w:val="CenterUnderline"/>
      </w:pPr>
      <w:r>
        <w:t xml:space="preserve">MOTION </w:t>
      </w:r>
      <w:r w:rsidR="0018368D">
        <w:t>TO APPROVE STIPULATION AND SETTLEMENT</w:t>
      </w:r>
    </w:p>
    <w:p w14:paraId="446A497B" w14:textId="7E80F2A3" w:rsidR="0018368D" w:rsidRDefault="0018368D" w:rsidP="0065431C">
      <w:pPr>
        <w:pStyle w:val="CenterUnderline"/>
      </w:pPr>
      <w:r>
        <w:t>AGREEMENT</w:t>
      </w:r>
      <w:r w:rsidR="0065678C">
        <w:t>,</w:t>
      </w:r>
      <w:r>
        <w:t xml:space="preserve"> DENYING</w:t>
      </w:r>
      <w:r w:rsidR="0065431C">
        <w:t xml:space="preserve"> MOTION FOR</w:t>
      </w:r>
      <w:r w:rsidR="0065678C">
        <w:t xml:space="preserve"> SCHEDULING</w:t>
      </w:r>
      <w:r w:rsidR="006518F4">
        <w:t xml:space="preserve"> </w:t>
      </w:r>
    </w:p>
    <w:p w14:paraId="3C91C67B" w14:textId="77777777" w:rsidR="0065678C" w:rsidRDefault="0065431C" w:rsidP="0065431C">
      <w:pPr>
        <w:pStyle w:val="CenterUnderline"/>
      </w:pPr>
      <w:r>
        <w:t>ORDER</w:t>
      </w:r>
      <w:r w:rsidR="0018368D">
        <w:t xml:space="preserve"> AS MOOT</w:t>
      </w:r>
      <w:r w:rsidR="0065678C">
        <w:t>, AND ESTABLISHING</w:t>
      </w:r>
      <w:r w:rsidR="006518F4">
        <w:t xml:space="preserve"> MAJOR ELEMENTS</w:t>
      </w:r>
    </w:p>
    <w:bookmarkEnd w:id="4"/>
    <w:p w14:paraId="3F782B82" w14:textId="77777777" w:rsidR="0065431C" w:rsidRDefault="0065431C" w:rsidP="0065431C">
      <w:pPr>
        <w:pStyle w:val="CenterUnderline"/>
      </w:pPr>
    </w:p>
    <w:p w14:paraId="0029F75E" w14:textId="77777777" w:rsidR="00FB4653" w:rsidRPr="00FB4653" w:rsidRDefault="00AF751E" w:rsidP="00FB4653">
      <w:pPr>
        <w:pStyle w:val="CenterUnderline"/>
      </w:pPr>
      <w:r>
        <w:t xml:space="preserve">Case </w:t>
      </w:r>
      <w:r w:rsidR="00FB4653">
        <w:t>Background</w:t>
      </w:r>
    </w:p>
    <w:p w14:paraId="65037C28" w14:textId="77777777" w:rsidR="00AF751E" w:rsidRDefault="00AF751E" w:rsidP="0065431C">
      <w:pPr>
        <w:pStyle w:val="CenterUnderline"/>
        <w:jc w:val="left"/>
        <w:rPr>
          <w:u w:val="none"/>
        </w:rPr>
      </w:pPr>
    </w:p>
    <w:p w14:paraId="51BEEE69" w14:textId="49E6CC85" w:rsidR="00FB4653" w:rsidRDefault="00AF751E" w:rsidP="00AF751E">
      <w:pPr>
        <w:autoSpaceDE w:val="0"/>
        <w:autoSpaceDN w:val="0"/>
        <w:adjustRightInd w:val="0"/>
        <w:ind w:firstLine="720"/>
        <w:jc w:val="both"/>
      </w:pPr>
      <w:r>
        <w:t xml:space="preserve">This proceeding was set for final hearing on August 11-22, 2025, by Order No. PSC-2025-0075-PCO-EI, issued March 14, 2025. On August 8, 2025, Florida Power &amp; Light Company </w:t>
      </w:r>
      <w:r w:rsidR="006518F4">
        <w:t xml:space="preserve">(FPL) </w:t>
      </w:r>
      <w:r>
        <w:t>filed a Notic</w:t>
      </w:r>
      <w:r w:rsidRPr="00CC741A">
        <w:t xml:space="preserve">e of Settlement in Principle and Joint Motion to Suspend Schedule and Amend Procedural Order. The Florida Industrial Power Users Group, Florida Retail Federation, </w:t>
      </w:r>
      <w:r>
        <w:t>Florida</w:t>
      </w:r>
      <w:r w:rsidRPr="00CC741A">
        <w:t xml:space="preserve"> Energy</w:t>
      </w:r>
      <w:r>
        <w:t xml:space="preserve"> for</w:t>
      </w:r>
      <w:r w:rsidRPr="00CC741A">
        <w:t xml:space="preserve"> Innovation Association, Walmart Inc., E</w:t>
      </w:r>
      <w:r>
        <w:t>V</w:t>
      </w:r>
      <w:r w:rsidRPr="00CC741A">
        <w:t>go</w:t>
      </w:r>
      <w:r>
        <w:t xml:space="preserve"> Services, </w:t>
      </w:r>
      <w:r w:rsidRPr="00CC741A">
        <w:t>Americans for Affordable C</w:t>
      </w:r>
      <w:r>
        <w:t>lean Energy, Circle K, RaceTrac</w:t>
      </w:r>
      <w:r w:rsidRPr="00CC741A">
        <w:t xml:space="preserve">, Wawa, Electrify America, Federal Executive Agencies, Armstrong World Industries, and the Southern Alliance for Clean Energy </w:t>
      </w:r>
      <w:r>
        <w:t xml:space="preserve">(collectively </w:t>
      </w:r>
      <w:r w:rsidR="00ED772F">
        <w:t xml:space="preserve">FPL </w:t>
      </w:r>
      <w:r>
        <w:t xml:space="preserve">Signatories) </w:t>
      </w:r>
      <w:r w:rsidRPr="00CC741A">
        <w:t xml:space="preserve">joined in the Joint Motion to Suspend. </w:t>
      </w:r>
      <w:r>
        <w:t>On August 11, 2025, t</w:t>
      </w:r>
      <w:r w:rsidRPr="00CC741A">
        <w:t>he Office of Public Counsel</w:t>
      </w:r>
      <w:r w:rsidR="004F29B3">
        <w:t xml:space="preserve"> (OPC)</w:t>
      </w:r>
      <w:r w:rsidRPr="00CC741A">
        <w:t xml:space="preserve">, Florida Rising, League of United Latin American Citizens Florida, Environmental Confederation of Southwest Florida, and Floridians Against Increased Rates </w:t>
      </w:r>
      <w:r>
        <w:t xml:space="preserve">(collectively </w:t>
      </w:r>
      <w:r w:rsidR="00ED772F">
        <w:t xml:space="preserve">FPL </w:t>
      </w:r>
      <w:r>
        <w:t xml:space="preserve">Non-Signatories) </w:t>
      </w:r>
      <w:r w:rsidRPr="00CC741A">
        <w:t>filed a Joint Response in Opposition</w:t>
      </w:r>
      <w:r>
        <w:t xml:space="preserve"> to the</w:t>
      </w:r>
      <w:r w:rsidRPr="00430DDC">
        <w:t xml:space="preserve"> </w:t>
      </w:r>
      <w:r>
        <w:t>Joint Motion to Suspend</w:t>
      </w:r>
      <w:r w:rsidRPr="00CC741A">
        <w:t>.</w:t>
      </w:r>
      <w:r>
        <w:t xml:space="preserve"> </w:t>
      </w:r>
      <w:r w:rsidRPr="00AF751E">
        <w:t>After hearing argument from the parties, the Commission voted to grant the Joint Motion and suspend the schedule in order to allow the parties time to finalize the settlement. On August 12, 2025, Order No. PSC-2025-0304-PCO-EI memorializing this vote was issued in the docket.</w:t>
      </w:r>
    </w:p>
    <w:p w14:paraId="24CD1F3E" w14:textId="77777777" w:rsidR="00AF751E" w:rsidRDefault="00AF751E" w:rsidP="00AF751E">
      <w:pPr>
        <w:pStyle w:val="CenterUnderline"/>
        <w:jc w:val="both"/>
        <w:rPr>
          <w:u w:val="none"/>
        </w:rPr>
      </w:pPr>
    </w:p>
    <w:p w14:paraId="6C3452FB" w14:textId="70C5D7FD" w:rsidR="00AF751E" w:rsidRPr="00AF751E" w:rsidRDefault="00AF751E" w:rsidP="00AF751E">
      <w:pPr>
        <w:pStyle w:val="CenterUnderline"/>
        <w:jc w:val="both"/>
        <w:rPr>
          <w:u w:val="none"/>
        </w:rPr>
      </w:pPr>
      <w:r w:rsidRPr="00AF751E">
        <w:rPr>
          <w:u w:val="none"/>
        </w:rPr>
        <w:tab/>
        <w:t xml:space="preserve">On August 20, 2025, FPL and the </w:t>
      </w:r>
      <w:r w:rsidR="00ED772F">
        <w:rPr>
          <w:u w:val="none"/>
        </w:rPr>
        <w:t xml:space="preserve">FPL </w:t>
      </w:r>
      <w:r w:rsidRPr="00AF751E">
        <w:rPr>
          <w:u w:val="none"/>
        </w:rPr>
        <w:t xml:space="preserve">Signatories filed a Joint Motion for Approval of </w:t>
      </w:r>
      <w:r w:rsidR="007E39DD">
        <w:rPr>
          <w:u w:val="none"/>
        </w:rPr>
        <w:t xml:space="preserve">2025 Stipulation and </w:t>
      </w:r>
      <w:r w:rsidRPr="00AF751E">
        <w:rPr>
          <w:u w:val="none"/>
        </w:rPr>
        <w:t xml:space="preserve">Settlement Agreement. The </w:t>
      </w:r>
      <w:r w:rsidR="00ED772F">
        <w:rPr>
          <w:u w:val="none"/>
        </w:rPr>
        <w:t xml:space="preserve">FPL </w:t>
      </w:r>
      <w:r w:rsidRPr="00AF751E">
        <w:rPr>
          <w:u w:val="none"/>
        </w:rPr>
        <w:t xml:space="preserve">Non-Signatories did not sign or otherwise join in the </w:t>
      </w:r>
      <w:r w:rsidR="007E39DD">
        <w:rPr>
          <w:u w:val="none"/>
        </w:rPr>
        <w:t>2025 Stipulation and S</w:t>
      </w:r>
      <w:r w:rsidRPr="00AF751E">
        <w:rPr>
          <w:u w:val="none"/>
        </w:rPr>
        <w:t>ettlement Agreement</w:t>
      </w:r>
      <w:r w:rsidR="007E39DD">
        <w:rPr>
          <w:u w:val="none"/>
        </w:rPr>
        <w:t xml:space="preserve"> (2025 SSA)</w:t>
      </w:r>
      <w:r w:rsidRPr="00AF751E">
        <w:rPr>
          <w:u w:val="none"/>
        </w:rPr>
        <w:t xml:space="preserve">. </w:t>
      </w:r>
      <w:r>
        <w:rPr>
          <w:u w:val="none"/>
        </w:rPr>
        <w:t xml:space="preserve">Because </w:t>
      </w:r>
      <w:r w:rsidR="004F29B3">
        <w:rPr>
          <w:u w:val="none"/>
        </w:rPr>
        <w:t xml:space="preserve">the </w:t>
      </w:r>
      <w:r w:rsidR="007E39DD">
        <w:rPr>
          <w:u w:val="none"/>
        </w:rPr>
        <w:t>2025 SSA</w:t>
      </w:r>
      <w:r w:rsidRPr="00AF751E">
        <w:rPr>
          <w:u w:val="none"/>
        </w:rPr>
        <w:t xml:space="preserve"> is not unanimous, further proceedings under Section 120.57(1), Florida Statutes, are necessary to address the disputed issues of material fact.</w:t>
      </w:r>
      <w:r>
        <w:rPr>
          <w:u w:val="none"/>
        </w:rPr>
        <w:t xml:space="preserve"> Accordingly, on August 22, 2025, the undersigned Prehearing Officer issued a First Order Revising Order Establishing Procedure,</w:t>
      </w:r>
      <w:r>
        <w:rPr>
          <w:rStyle w:val="FootnoteReference"/>
          <w:u w:val="none"/>
        </w:rPr>
        <w:footnoteReference w:id="1"/>
      </w:r>
      <w:r>
        <w:rPr>
          <w:u w:val="none"/>
        </w:rPr>
        <w:t xml:space="preserve"> and therein set this matter for a two-week hearing to commence October 6, 2025.</w:t>
      </w:r>
    </w:p>
    <w:p w14:paraId="2E604FA3" w14:textId="77777777" w:rsidR="0065678C" w:rsidRDefault="0065678C" w:rsidP="0065431C">
      <w:pPr>
        <w:pStyle w:val="CenterUnderline"/>
        <w:jc w:val="left"/>
        <w:rPr>
          <w:u w:val="none"/>
        </w:rPr>
      </w:pPr>
    </w:p>
    <w:p w14:paraId="3FDBDBC8" w14:textId="77777777" w:rsidR="0065678C" w:rsidRPr="0065678C" w:rsidRDefault="0065678C" w:rsidP="0065431C">
      <w:pPr>
        <w:pStyle w:val="CenterUnderline"/>
        <w:jc w:val="left"/>
        <w:rPr>
          <w:u w:val="none"/>
        </w:rPr>
      </w:pPr>
      <w:r>
        <w:rPr>
          <w:u w:val="none"/>
        </w:rPr>
        <w:t>1.</w:t>
      </w:r>
      <w:r>
        <w:rPr>
          <w:u w:val="none"/>
        </w:rPr>
        <w:tab/>
      </w:r>
      <w:r>
        <w:t>Joint Motion to Approve Stipulation and Settlement Agreement</w:t>
      </w:r>
    </w:p>
    <w:p w14:paraId="708B7101" w14:textId="77777777" w:rsidR="0065678C" w:rsidRDefault="0065678C" w:rsidP="006518F4">
      <w:pPr>
        <w:pStyle w:val="CenterUnderline"/>
        <w:jc w:val="both"/>
        <w:rPr>
          <w:u w:val="none"/>
        </w:rPr>
      </w:pPr>
    </w:p>
    <w:p w14:paraId="677614EC" w14:textId="3A168956" w:rsidR="004241DB" w:rsidRPr="00ED772F" w:rsidRDefault="0018368D" w:rsidP="006518F4">
      <w:pPr>
        <w:pStyle w:val="CenterUnderline"/>
        <w:jc w:val="both"/>
        <w:rPr>
          <w:u w:val="none"/>
        </w:rPr>
      </w:pPr>
      <w:r>
        <w:rPr>
          <w:u w:val="none"/>
        </w:rPr>
        <w:tab/>
        <w:t xml:space="preserve">On August 26, 2025, the </w:t>
      </w:r>
      <w:r w:rsidR="00ED772F">
        <w:rPr>
          <w:u w:val="none"/>
        </w:rPr>
        <w:t xml:space="preserve">FPL </w:t>
      </w:r>
      <w:r>
        <w:rPr>
          <w:u w:val="none"/>
        </w:rPr>
        <w:t xml:space="preserve">Non-Signatories filed a Joint Motion to Approve Stipulation and Settlement </w:t>
      </w:r>
      <w:r w:rsidR="00AF751E">
        <w:rPr>
          <w:u w:val="none"/>
        </w:rPr>
        <w:t>Agreement (Settlement Motion), along with an attached Stipulation and Settlement Agreement</w:t>
      </w:r>
      <w:r w:rsidR="007E39DD">
        <w:rPr>
          <w:u w:val="none"/>
        </w:rPr>
        <w:t xml:space="preserve"> (Alternate SSA)</w:t>
      </w:r>
      <w:r w:rsidR="004F29B3">
        <w:rPr>
          <w:u w:val="none"/>
        </w:rPr>
        <w:t xml:space="preserve"> </w:t>
      </w:r>
      <w:r w:rsidR="006518F4">
        <w:rPr>
          <w:u w:val="none"/>
        </w:rPr>
        <w:t xml:space="preserve">signed by </w:t>
      </w:r>
      <w:r w:rsidR="006518F4" w:rsidRPr="006518F4">
        <w:rPr>
          <w:u w:val="none"/>
        </w:rPr>
        <w:t xml:space="preserve">the </w:t>
      </w:r>
      <w:r w:rsidR="004F29B3">
        <w:rPr>
          <w:u w:val="none"/>
        </w:rPr>
        <w:t>FPL Non-Signatories.</w:t>
      </w:r>
      <w:r w:rsidR="006518F4">
        <w:rPr>
          <w:u w:val="none"/>
        </w:rPr>
        <w:t xml:space="preserve"> The Alternate SSA is not signed by any other Intervenor or FPL.</w:t>
      </w:r>
      <w:r w:rsidR="004241DB">
        <w:rPr>
          <w:u w:val="none"/>
        </w:rPr>
        <w:t xml:space="preserve"> The Alternate SSA “is submitted as a counter </w:t>
      </w:r>
      <w:r w:rsidR="004241DB">
        <w:rPr>
          <w:u w:val="none"/>
        </w:rPr>
        <w:lastRenderedPageBreak/>
        <w:t xml:space="preserve">proposal,” proposes terms that materially differ from those in the 2025 SSA on issues such as return </w:t>
      </w:r>
      <w:r w:rsidR="00ED772F">
        <w:rPr>
          <w:u w:val="none"/>
        </w:rPr>
        <w:t xml:space="preserve">on </w:t>
      </w:r>
      <w:r w:rsidR="004241DB">
        <w:rPr>
          <w:u w:val="none"/>
        </w:rPr>
        <w:t>equity, and includes terms not found in the 2025 SSA</w:t>
      </w:r>
      <w:r w:rsidR="00B171C6">
        <w:rPr>
          <w:u w:val="none"/>
        </w:rPr>
        <w:t xml:space="preserve"> (</w:t>
      </w:r>
      <w:r w:rsidR="00B171C6">
        <w:rPr>
          <w:i/>
          <w:u w:val="none"/>
        </w:rPr>
        <w:t xml:space="preserve">e.g., </w:t>
      </w:r>
      <w:r w:rsidR="00B171C6">
        <w:rPr>
          <w:u w:val="none"/>
        </w:rPr>
        <w:t>Alternate SSA ⁋⁋ 29 &amp; 30)</w:t>
      </w:r>
      <w:r w:rsidR="004241DB">
        <w:rPr>
          <w:u w:val="none"/>
        </w:rPr>
        <w:t xml:space="preserve">. Settlement Motion at 4. The </w:t>
      </w:r>
      <w:r w:rsidR="00ED772F">
        <w:rPr>
          <w:u w:val="none"/>
        </w:rPr>
        <w:t xml:space="preserve">FPL </w:t>
      </w:r>
      <w:r w:rsidR="004241DB">
        <w:rPr>
          <w:u w:val="none"/>
        </w:rPr>
        <w:t xml:space="preserve">Non-Signatories assert that the Alternate SSA “more closely represents the facts in the record and the controlling legal authority, [and] produce[s] rates that are nondiscriminatory, fair, just, and reasonable for the general body of ratepayers.” </w:t>
      </w:r>
      <w:r w:rsidR="004241DB" w:rsidRPr="005F01DA">
        <w:rPr>
          <w:i/>
          <w:u w:val="none"/>
        </w:rPr>
        <w:t>Id.</w:t>
      </w:r>
      <w:r w:rsidR="00ED772F">
        <w:rPr>
          <w:u w:val="none"/>
        </w:rPr>
        <w:t xml:space="preserve"> As the ultimate prayer for relief on the Alternate SSA, the FPL </w:t>
      </w:r>
      <w:r w:rsidR="0062492C">
        <w:rPr>
          <w:u w:val="none"/>
        </w:rPr>
        <w:t>Non-</w:t>
      </w:r>
      <w:r w:rsidR="00ED772F">
        <w:rPr>
          <w:u w:val="none"/>
        </w:rPr>
        <w:t xml:space="preserve">Signatories request that the Commission “approv[e] the Majority Settlement Agreement and direct[] that FPL file tariffs implementing it.” </w:t>
      </w:r>
      <w:r w:rsidR="00ED772F" w:rsidRPr="005F01DA">
        <w:rPr>
          <w:i/>
          <w:u w:val="none"/>
        </w:rPr>
        <w:t>Id.</w:t>
      </w:r>
      <w:r w:rsidR="00ED772F">
        <w:rPr>
          <w:u w:val="none"/>
        </w:rPr>
        <w:t xml:space="preserve"> at 23.</w:t>
      </w:r>
    </w:p>
    <w:p w14:paraId="380D8FA8" w14:textId="461551DA" w:rsidR="0018368D" w:rsidRDefault="0018368D" w:rsidP="0065431C">
      <w:pPr>
        <w:pStyle w:val="CenterUnderline"/>
        <w:jc w:val="left"/>
        <w:rPr>
          <w:u w:val="none"/>
        </w:rPr>
      </w:pPr>
    </w:p>
    <w:p w14:paraId="7B4CE569" w14:textId="17E19890" w:rsidR="0065678C" w:rsidRDefault="0018368D" w:rsidP="003E45FD">
      <w:pPr>
        <w:pStyle w:val="CenterUnderline"/>
        <w:jc w:val="both"/>
        <w:rPr>
          <w:u w:val="none"/>
        </w:rPr>
      </w:pPr>
      <w:r>
        <w:rPr>
          <w:u w:val="none"/>
        </w:rPr>
        <w:tab/>
        <w:t xml:space="preserve">On </w:t>
      </w:r>
      <w:r w:rsidR="00ED772F">
        <w:rPr>
          <w:u w:val="none"/>
        </w:rPr>
        <w:t>August</w:t>
      </w:r>
      <w:r>
        <w:rPr>
          <w:u w:val="none"/>
        </w:rPr>
        <w:t xml:space="preserve"> 29, 2025, FPL filed its Response in Opposition to the Settlement Motion. </w:t>
      </w:r>
      <w:r w:rsidR="00ED772F">
        <w:rPr>
          <w:u w:val="none"/>
        </w:rPr>
        <w:t xml:space="preserve">FPL contends that because it initiated this request for rate relief under Chapter 366, F.S., and invoked the jurisdiction of the Commission </w:t>
      </w:r>
      <w:r w:rsidR="003E45FD">
        <w:rPr>
          <w:u w:val="none"/>
        </w:rPr>
        <w:t xml:space="preserve">over public utilities, the utility itself is an indispensable party to any agreement to settle this docket. FPL also notes the procedural problems </w:t>
      </w:r>
      <w:r w:rsidR="00F653AD">
        <w:rPr>
          <w:u w:val="none"/>
        </w:rPr>
        <w:t>that may arise if there are</w:t>
      </w:r>
      <w:r w:rsidR="003E45FD">
        <w:rPr>
          <w:u w:val="none"/>
        </w:rPr>
        <w:t xml:space="preserve"> multiple settlements in complex litigation involving numerous parties, and </w:t>
      </w:r>
      <w:r w:rsidR="00F653AD">
        <w:rPr>
          <w:u w:val="none"/>
        </w:rPr>
        <w:t xml:space="preserve">the </w:t>
      </w:r>
      <w:r w:rsidR="003E45FD">
        <w:rPr>
          <w:u w:val="none"/>
        </w:rPr>
        <w:t>potential issues of enforcement of the settlement terms in the future.</w:t>
      </w:r>
    </w:p>
    <w:p w14:paraId="5009F4FD" w14:textId="77777777" w:rsidR="0065678C" w:rsidRDefault="0065678C" w:rsidP="0065431C">
      <w:pPr>
        <w:pStyle w:val="CenterUnderline"/>
        <w:jc w:val="left"/>
        <w:rPr>
          <w:u w:val="none"/>
        </w:rPr>
      </w:pPr>
    </w:p>
    <w:p w14:paraId="290873E4" w14:textId="77777777" w:rsidR="0065678C" w:rsidRPr="0065678C" w:rsidRDefault="0065678C" w:rsidP="0065431C">
      <w:pPr>
        <w:pStyle w:val="CenterUnderline"/>
        <w:jc w:val="left"/>
        <w:rPr>
          <w:u w:val="none"/>
        </w:rPr>
      </w:pPr>
      <w:r>
        <w:rPr>
          <w:u w:val="none"/>
        </w:rPr>
        <w:t>2.</w:t>
      </w:r>
      <w:r>
        <w:rPr>
          <w:u w:val="none"/>
        </w:rPr>
        <w:tab/>
      </w:r>
      <w:r>
        <w:t>Motion for Scheduling Order</w:t>
      </w:r>
    </w:p>
    <w:p w14:paraId="4452AD79" w14:textId="77777777" w:rsidR="0065678C" w:rsidRDefault="0065678C" w:rsidP="0065431C">
      <w:pPr>
        <w:pStyle w:val="CenterUnderline"/>
        <w:jc w:val="left"/>
        <w:rPr>
          <w:u w:val="none"/>
        </w:rPr>
      </w:pPr>
    </w:p>
    <w:p w14:paraId="32D5C4EA" w14:textId="440B0856" w:rsidR="0065678C" w:rsidRPr="00385383" w:rsidRDefault="00AF751E" w:rsidP="00385383">
      <w:pPr>
        <w:pStyle w:val="CenterUnderline"/>
        <w:jc w:val="both"/>
        <w:rPr>
          <w:u w:val="none"/>
        </w:rPr>
      </w:pPr>
      <w:r>
        <w:rPr>
          <w:u w:val="none"/>
        </w:rPr>
        <w:tab/>
      </w:r>
      <w:r w:rsidR="0065678C">
        <w:rPr>
          <w:u w:val="none"/>
        </w:rPr>
        <w:t xml:space="preserve">On September 3, 2025, the </w:t>
      </w:r>
      <w:r w:rsidR="003E45FD">
        <w:rPr>
          <w:u w:val="none"/>
        </w:rPr>
        <w:t xml:space="preserve">FPL </w:t>
      </w:r>
      <w:r w:rsidR="0065678C">
        <w:rPr>
          <w:u w:val="none"/>
        </w:rPr>
        <w:t>Non-Signatories filed a Motion for Scheduling Order (Scheduling Motion).</w:t>
      </w:r>
      <w:r w:rsidR="00385383">
        <w:rPr>
          <w:u w:val="none"/>
        </w:rPr>
        <w:t xml:space="preserve"> The Scheduling Motion seeks to add the dates set forth in </w:t>
      </w:r>
      <w:r w:rsidR="00385383">
        <w:rPr>
          <w:b/>
          <w:u w:val="none"/>
        </w:rPr>
        <w:t>bold</w:t>
      </w:r>
      <w:r w:rsidR="00385383">
        <w:rPr>
          <w:u w:val="none"/>
        </w:rPr>
        <w:t xml:space="preserve"> below for purposes of allowing the </w:t>
      </w:r>
      <w:r w:rsidR="003E45FD">
        <w:rPr>
          <w:u w:val="none"/>
        </w:rPr>
        <w:t xml:space="preserve">FPL </w:t>
      </w:r>
      <w:r w:rsidR="00385383">
        <w:rPr>
          <w:u w:val="none"/>
        </w:rPr>
        <w:t>Non-Signatories to file testimony in support of the</w:t>
      </w:r>
      <w:r w:rsidR="007E39DD">
        <w:rPr>
          <w:u w:val="none"/>
        </w:rPr>
        <w:t xml:space="preserve"> Alternate SSA</w:t>
      </w:r>
      <w:r w:rsidR="00385383">
        <w:rPr>
          <w:u w:val="none"/>
        </w:rPr>
        <w:t xml:space="preserve"> (09/10), the </w:t>
      </w:r>
      <w:r w:rsidR="003E45FD">
        <w:rPr>
          <w:u w:val="none"/>
        </w:rPr>
        <w:t xml:space="preserve">FPL </w:t>
      </w:r>
      <w:r w:rsidR="00385383">
        <w:rPr>
          <w:u w:val="none"/>
        </w:rPr>
        <w:t xml:space="preserve">Signatories to file testimony in opposition, and the </w:t>
      </w:r>
      <w:r w:rsidR="003E45FD">
        <w:rPr>
          <w:u w:val="none"/>
        </w:rPr>
        <w:t xml:space="preserve">FPL </w:t>
      </w:r>
      <w:r w:rsidR="00385383">
        <w:rPr>
          <w:u w:val="none"/>
        </w:rPr>
        <w:t xml:space="preserve">Non-Signatories to file rebuttal to the </w:t>
      </w:r>
      <w:r w:rsidR="003E45FD">
        <w:rPr>
          <w:u w:val="none"/>
        </w:rPr>
        <w:t xml:space="preserve">FPL </w:t>
      </w:r>
      <w:r w:rsidR="00385383">
        <w:rPr>
          <w:u w:val="none"/>
        </w:rPr>
        <w:t>Signatories’ opposition testimony (10/01).</w:t>
      </w:r>
    </w:p>
    <w:p w14:paraId="4DF00333" w14:textId="77777777" w:rsidR="00385383" w:rsidRPr="00CC741A" w:rsidRDefault="00385383" w:rsidP="00385383">
      <w:pPr>
        <w:pStyle w:val="CenterUnderline"/>
        <w:jc w:val="both"/>
        <w:rPr>
          <w:u w:val="none"/>
        </w:rPr>
      </w:pPr>
    </w:p>
    <w:p w14:paraId="0BB78C3B" w14:textId="77777777" w:rsidR="00385383" w:rsidRPr="00CC741A" w:rsidRDefault="00385383" w:rsidP="00385383">
      <w:pPr>
        <w:pStyle w:val="CenterUnderline"/>
        <w:jc w:val="both"/>
        <w:rPr>
          <w:u w:val="none"/>
        </w:rPr>
      </w:pPr>
      <w:r w:rsidRPr="00CC741A">
        <w:rPr>
          <w:u w:val="none"/>
        </w:rPr>
        <w:tab/>
        <w:t>Testimony and exhibits</w:t>
      </w:r>
      <w:r w:rsidRPr="00CC741A">
        <w:rPr>
          <w:u w:val="none"/>
        </w:rPr>
        <w:tab/>
      </w:r>
      <w:r w:rsidRPr="00CC741A">
        <w:rPr>
          <w:u w:val="none"/>
        </w:rPr>
        <w:tab/>
      </w:r>
      <w:r w:rsidRPr="00CC741A">
        <w:rPr>
          <w:u w:val="none"/>
        </w:rPr>
        <w:tab/>
        <w:t xml:space="preserve">September </w:t>
      </w:r>
      <w:r>
        <w:rPr>
          <w:u w:val="none"/>
        </w:rPr>
        <w:t>3</w:t>
      </w:r>
      <w:r w:rsidRPr="00CC741A">
        <w:rPr>
          <w:u w:val="none"/>
        </w:rPr>
        <w:t>, 2025</w:t>
      </w:r>
    </w:p>
    <w:p w14:paraId="1B8B589A" w14:textId="77777777" w:rsidR="00385383" w:rsidRPr="00CC741A" w:rsidRDefault="00385383" w:rsidP="00385383">
      <w:pPr>
        <w:pStyle w:val="CenterUnderline"/>
        <w:jc w:val="both"/>
        <w:rPr>
          <w:u w:val="none"/>
        </w:rPr>
      </w:pPr>
      <w:r w:rsidRPr="00CC741A">
        <w:rPr>
          <w:u w:val="none"/>
        </w:rPr>
        <w:tab/>
        <w:t>(</w:t>
      </w:r>
      <w:r>
        <w:rPr>
          <w:i/>
          <w:u w:val="none"/>
        </w:rPr>
        <w:t xml:space="preserve">FPL &amp; </w:t>
      </w:r>
      <w:r w:rsidRPr="00CC741A">
        <w:rPr>
          <w:i/>
          <w:u w:val="none"/>
        </w:rPr>
        <w:t>S</w:t>
      </w:r>
      <w:r>
        <w:rPr>
          <w:i/>
          <w:u w:val="none"/>
        </w:rPr>
        <w:t>ignatories</w:t>
      </w:r>
      <w:r w:rsidRPr="00CC741A">
        <w:rPr>
          <w:u w:val="none"/>
        </w:rPr>
        <w:t>)</w:t>
      </w:r>
    </w:p>
    <w:p w14:paraId="4BD2C304" w14:textId="77777777" w:rsidR="00385383" w:rsidRDefault="00385383" w:rsidP="00385383">
      <w:pPr>
        <w:pStyle w:val="CenterUnderline"/>
        <w:jc w:val="both"/>
        <w:rPr>
          <w:u w:val="none"/>
        </w:rPr>
      </w:pPr>
    </w:p>
    <w:p w14:paraId="6F905DB2" w14:textId="77777777" w:rsidR="00385383" w:rsidRDefault="00385383" w:rsidP="00385383">
      <w:pPr>
        <w:pStyle w:val="CenterUnderline"/>
        <w:jc w:val="both"/>
        <w:rPr>
          <w:b/>
          <w:u w:val="none"/>
        </w:rPr>
      </w:pPr>
      <w:r>
        <w:rPr>
          <w:u w:val="none"/>
        </w:rPr>
        <w:tab/>
      </w:r>
      <w:r>
        <w:rPr>
          <w:b/>
          <w:u w:val="none"/>
        </w:rPr>
        <w:t>Testimony and exhibits</w:t>
      </w:r>
      <w:r>
        <w:rPr>
          <w:b/>
          <w:u w:val="none"/>
        </w:rPr>
        <w:tab/>
      </w:r>
      <w:r>
        <w:rPr>
          <w:b/>
          <w:u w:val="none"/>
        </w:rPr>
        <w:tab/>
      </w:r>
      <w:r>
        <w:rPr>
          <w:b/>
          <w:u w:val="none"/>
        </w:rPr>
        <w:tab/>
        <w:t>September 10, 2025</w:t>
      </w:r>
    </w:p>
    <w:p w14:paraId="10676F6D" w14:textId="77777777" w:rsidR="00385383" w:rsidRPr="00385383" w:rsidRDefault="00385383" w:rsidP="00385383">
      <w:pPr>
        <w:pStyle w:val="CenterUnderline"/>
        <w:jc w:val="both"/>
        <w:rPr>
          <w:b/>
          <w:u w:val="none"/>
        </w:rPr>
      </w:pPr>
      <w:r>
        <w:rPr>
          <w:b/>
          <w:u w:val="none"/>
        </w:rPr>
        <w:tab/>
        <w:t>(Non-Signatories)</w:t>
      </w:r>
    </w:p>
    <w:p w14:paraId="6B2A6284" w14:textId="77777777" w:rsidR="00385383" w:rsidRPr="00CC741A" w:rsidRDefault="00385383" w:rsidP="00385383">
      <w:pPr>
        <w:pStyle w:val="CenterUnderline"/>
        <w:jc w:val="both"/>
        <w:rPr>
          <w:u w:val="none"/>
        </w:rPr>
      </w:pPr>
      <w:r w:rsidRPr="00CC741A">
        <w:rPr>
          <w:u w:val="none"/>
        </w:rPr>
        <w:tab/>
      </w:r>
    </w:p>
    <w:p w14:paraId="54124B74" w14:textId="77777777" w:rsidR="00385383" w:rsidRPr="00CC741A" w:rsidRDefault="00385383" w:rsidP="00385383">
      <w:pPr>
        <w:pStyle w:val="CenterUnderline"/>
        <w:jc w:val="both"/>
        <w:rPr>
          <w:u w:val="none"/>
        </w:rPr>
      </w:pPr>
      <w:r w:rsidRPr="00CC741A">
        <w:rPr>
          <w:u w:val="none"/>
        </w:rPr>
        <w:tab/>
        <w:t>Testimony and exhibits</w:t>
      </w:r>
      <w:r w:rsidRPr="00CC741A">
        <w:rPr>
          <w:u w:val="none"/>
        </w:rPr>
        <w:tab/>
      </w:r>
      <w:r w:rsidRPr="00CC741A">
        <w:rPr>
          <w:u w:val="none"/>
        </w:rPr>
        <w:tab/>
      </w:r>
      <w:r w:rsidRPr="00CC741A">
        <w:rPr>
          <w:u w:val="none"/>
        </w:rPr>
        <w:tab/>
        <w:t xml:space="preserve">September </w:t>
      </w:r>
      <w:r>
        <w:rPr>
          <w:u w:val="none"/>
        </w:rPr>
        <w:t>17</w:t>
      </w:r>
      <w:r w:rsidRPr="00CC741A">
        <w:rPr>
          <w:u w:val="none"/>
        </w:rPr>
        <w:t>, 2025</w:t>
      </w:r>
    </w:p>
    <w:p w14:paraId="5CE57163" w14:textId="77777777" w:rsidR="00385383" w:rsidRDefault="00385383" w:rsidP="00385383">
      <w:pPr>
        <w:pStyle w:val="CenterUnderline"/>
        <w:jc w:val="both"/>
        <w:rPr>
          <w:u w:val="none"/>
        </w:rPr>
      </w:pPr>
      <w:r w:rsidRPr="00CC741A">
        <w:rPr>
          <w:u w:val="none"/>
        </w:rPr>
        <w:tab/>
        <w:t>(</w:t>
      </w:r>
      <w:r>
        <w:rPr>
          <w:i/>
          <w:u w:val="none"/>
        </w:rPr>
        <w:t>Non-Signatories</w:t>
      </w:r>
      <w:r>
        <w:rPr>
          <w:u w:val="none"/>
        </w:rPr>
        <w:t>)</w:t>
      </w:r>
    </w:p>
    <w:p w14:paraId="693BD168" w14:textId="77777777" w:rsidR="00385383" w:rsidRDefault="00385383" w:rsidP="00385383">
      <w:pPr>
        <w:pStyle w:val="CenterUnderline"/>
        <w:jc w:val="both"/>
        <w:rPr>
          <w:u w:val="none"/>
        </w:rPr>
      </w:pPr>
    </w:p>
    <w:p w14:paraId="36DD78F2" w14:textId="77777777" w:rsidR="00385383" w:rsidRDefault="00385383" w:rsidP="00385383">
      <w:pPr>
        <w:pStyle w:val="CenterUnderline"/>
        <w:jc w:val="both"/>
        <w:rPr>
          <w:b/>
          <w:u w:val="none"/>
        </w:rPr>
      </w:pPr>
      <w:r>
        <w:rPr>
          <w:u w:val="none"/>
        </w:rPr>
        <w:tab/>
      </w:r>
      <w:r>
        <w:rPr>
          <w:b/>
          <w:u w:val="none"/>
        </w:rPr>
        <w:t>Testimony and exhibits</w:t>
      </w:r>
      <w:r>
        <w:rPr>
          <w:b/>
          <w:u w:val="none"/>
        </w:rPr>
        <w:tab/>
      </w:r>
      <w:r>
        <w:rPr>
          <w:b/>
          <w:u w:val="none"/>
        </w:rPr>
        <w:tab/>
      </w:r>
      <w:r>
        <w:rPr>
          <w:b/>
          <w:u w:val="none"/>
        </w:rPr>
        <w:tab/>
        <w:t>September 24, 2025</w:t>
      </w:r>
    </w:p>
    <w:p w14:paraId="6975A08C" w14:textId="77777777" w:rsidR="00385383" w:rsidRPr="00385383" w:rsidRDefault="00385383" w:rsidP="00385383">
      <w:pPr>
        <w:pStyle w:val="CenterUnderline"/>
        <w:jc w:val="both"/>
        <w:rPr>
          <w:b/>
          <w:u w:val="none"/>
        </w:rPr>
      </w:pPr>
      <w:r>
        <w:rPr>
          <w:b/>
          <w:u w:val="none"/>
        </w:rPr>
        <w:tab/>
        <w:t>(Signatories)</w:t>
      </w:r>
    </w:p>
    <w:p w14:paraId="609D0362" w14:textId="77777777" w:rsidR="00385383" w:rsidRDefault="00385383" w:rsidP="00385383">
      <w:pPr>
        <w:pStyle w:val="CenterUnderline"/>
        <w:jc w:val="both"/>
        <w:rPr>
          <w:u w:val="none"/>
        </w:rPr>
      </w:pPr>
    </w:p>
    <w:p w14:paraId="0297AF5B" w14:textId="77777777" w:rsidR="00385383" w:rsidRDefault="00385383" w:rsidP="00385383">
      <w:pPr>
        <w:pStyle w:val="CenterUnderline"/>
        <w:jc w:val="both"/>
        <w:rPr>
          <w:u w:val="none"/>
        </w:rPr>
      </w:pPr>
      <w:r>
        <w:rPr>
          <w:u w:val="none"/>
        </w:rPr>
        <w:tab/>
        <w:t>Provision of Exhibits</w:t>
      </w:r>
      <w:r>
        <w:rPr>
          <w:u w:val="none"/>
        </w:rPr>
        <w:tab/>
      </w:r>
      <w:r>
        <w:rPr>
          <w:u w:val="none"/>
        </w:rPr>
        <w:tab/>
      </w:r>
      <w:r>
        <w:rPr>
          <w:u w:val="none"/>
        </w:rPr>
        <w:tab/>
      </w:r>
      <w:r>
        <w:rPr>
          <w:u w:val="none"/>
        </w:rPr>
        <w:tab/>
        <w:t>September 29, 2025</w:t>
      </w:r>
    </w:p>
    <w:p w14:paraId="102EE6FD" w14:textId="77777777" w:rsidR="00385383" w:rsidRDefault="00385383" w:rsidP="00385383">
      <w:pPr>
        <w:pStyle w:val="CenterUnderline"/>
        <w:jc w:val="both"/>
        <w:rPr>
          <w:u w:val="none"/>
        </w:rPr>
      </w:pPr>
    </w:p>
    <w:p w14:paraId="726042D7" w14:textId="77777777" w:rsidR="00385383" w:rsidRDefault="00385383" w:rsidP="00385383">
      <w:pPr>
        <w:pStyle w:val="CenterUnderline"/>
        <w:jc w:val="both"/>
        <w:rPr>
          <w:u w:val="none"/>
        </w:rPr>
      </w:pPr>
      <w:r>
        <w:rPr>
          <w:u w:val="none"/>
        </w:rPr>
        <w:tab/>
        <w:t>Rebuttal testimony</w:t>
      </w:r>
      <w:r>
        <w:rPr>
          <w:u w:val="none"/>
        </w:rPr>
        <w:tab/>
      </w:r>
      <w:r>
        <w:rPr>
          <w:u w:val="none"/>
        </w:rPr>
        <w:tab/>
      </w:r>
      <w:r>
        <w:rPr>
          <w:u w:val="none"/>
        </w:rPr>
        <w:tab/>
      </w:r>
      <w:r>
        <w:rPr>
          <w:u w:val="none"/>
        </w:rPr>
        <w:tab/>
        <w:t>October 1, 2025</w:t>
      </w:r>
    </w:p>
    <w:p w14:paraId="71F11528" w14:textId="77777777" w:rsidR="00385383" w:rsidRDefault="00385383" w:rsidP="00385383">
      <w:pPr>
        <w:pStyle w:val="CenterUnderline"/>
        <w:jc w:val="both"/>
        <w:rPr>
          <w:i/>
          <w:u w:val="none"/>
        </w:rPr>
      </w:pPr>
      <w:r>
        <w:rPr>
          <w:u w:val="none"/>
        </w:rPr>
        <w:tab/>
      </w:r>
      <w:r w:rsidRPr="00EB62BC">
        <w:rPr>
          <w:i/>
          <w:u w:val="none"/>
        </w:rPr>
        <w:t>(</w:t>
      </w:r>
      <w:r>
        <w:rPr>
          <w:i/>
          <w:u w:val="none"/>
        </w:rPr>
        <w:t>FPL &amp; Signatories)</w:t>
      </w:r>
    </w:p>
    <w:p w14:paraId="48C5A4D4" w14:textId="77777777" w:rsidR="00385383" w:rsidRDefault="00385383" w:rsidP="00385383">
      <w:pPr>
        <w:pStyle w:val="CenterUnderline"/>
        <w:jc w:val="both"/>
        <w:rPr>
          <w:i/>
          <w:u w:val="none"/>
        </w:rPr>
      </w:pPr>
    </w:p>
    <w:p w14:paraId="6151383F" w14:textId="77777777" w:rsidR="00385383" w:rsidRDefault="00385383" w:rsidP="00385383">
      <w:pPr>
        <w:pStyle w:val="CenterUnderline"/>
        <w:jc w:val="both"/>
        <w:rPr>
          <w:b/>
          <w:u w:val="none"/>
        </w:rPr>
      </w:pPr>
      <w:r>
        <w:rPr>
          <w:i/>
          <w:u w:val="none"/>
        </w:rPr>
        <w:tab/>
      </w:r>
      <w:r>
        <w:rPr>
          <w:b/>
          <w:u w:val="none"/>
        </w:rPr>
        <w:t>Rebuttal Testimony</w:t>
      </w:r>
      <w:r>
        <w:rPr>
          <w:b/>
          <w:u w:val="none"/>
        </w:rPr>
        <w:tab/>
      </w:r>
      <w:r>
        <w:rPr>
          <w:b/>
          <w:u w:val="none"/>
        </w:rPr>
        <w:tab/>
      </w:r>
      <w:r>
        <w:rPr>
          <w:b/>
          <w:u w:val="none"/>
        </w:rPr>
        <w:tab/>
      </w:r>
      <w:r>
        <w:rPr>
          <w:b/>
          <w:u w:val="none"/>
        </w:rPr>
        <w:tab/>
        <w:t>October 1, 2025</w:t>
      </w:r>
    </w:p>
    <w:p w14:paraId="03E7C3EC" w14:textId="77777777" w:rsidR="00385383" w:rsidRPr="00385383" w:rsidRDefault="00385383" w:rsidP="00385383">
      <w:pPr>
        <w:pStyle w:val="CenterUnderline"/>
        <w:jc w:val="both"/>
        <w:rPr>
          <w:b/>
          <w:u w:val="none"/>
        </w:rPr>
      </w:pPr>
      <w:r>
        <w:rPr>
          <w:b/>
          <w:u w:val="none"/>
        </w:rPr>
        <w:tab/>
        <w:t>(Non-Signatories)</w:t>
      </w:r>
    </w:p>
    <w:p w14:paraId="6D53F1F3" w14:textId="77777777" w:rsidR="00385383" w:rsidRDefault="00385383" w:rsidP="00385383">
      <w:pPr>
        <w:pStyle w:val="CenterUnderline"/>
        <w:jc w:val="both"/>
        <w:rPr>
          <w:u w:val="none"/>
        </w:rPr>
      </w:pPr>
      <w:r>
        <w:rPr>
          <w:u w:val="none"/>
        </w:rPr>
        <w:tab/>
      </w:r>
    </w:p>
    <w:p w14:paraId="4875E07A" w14:textId="77777777" w:rsidR="00385383" w:rsidRDefault="00385383" w:rsidP="00385383">
      <w:pPr>
        <w:pStyle w:val="CenterUnderline"/>
        <w:jc w:val="both"/>
        <w:rPr>
          <w:u w:val="none"/>
        </w:rPr>
      </w:pPr>
      <w:r>
        <w:rPr>
          <w:u w:val="none"/>
        </w:rPr>
        <w:tab/>
        <w:t>Discovery actions completed</w:t>
      </w:r>
      <w:r>
        <w:rPr>
          <w:u w:val="none"/>
        </w:rPr>
        <w:tab/>
      </w:r>
      <w:r>
        <w:rPr>
          <w:u w:val="none"/>
        </w:rPr>
        <w:tab/>
      </w:r>
      <w:r>
        <w:rPr>
          <w:u w:val="none"/>
        </w:rPr>
        <w:tab/>
        <w:t>October 3, 2025</w:t>
      </w:r>
    </w:p>
    <w:p w14:paraId="6D31830E" w14:textId="77777777" w:rsidR="00385383" w:rsidRDefault="00385383" w:rsidP="00385383">
      <w:pPr>
        <w:pStyle w:val="CenterUnderline"/>
        <w:jc w:val="both"/>
        <w:rPr>
          <w:u w:val="none"/>
        </w:rPr>
      </w:pPr>
    </w:p>
    <w:p w14:paraId="1F7DAF04" w14:textId="77777777" w:rsidR="00385383" w:rsidRDefault="00385383" w:rsidP="00385383">
      <w:pPr>
        <w:pStyle w:val="CenterUnderline"/>
        <w:jc w:val="both"/>
        <w:rPr>
          <w:u w:val="none"/>
        </w:rPr>
      </w:pPr>
      <w:r>
        <w:rPr>
          <w:u w:val="none"/>
        </w:rPr>
        <w:tab/>
        <w:t>Final Hearing</w:t>
      </w:r>
      <w:r>
        <w:rPr>
          <w:u w:val="none"/>
        </w:rPr>
        <w:tab/>
      </w:r>
      <w:r>
        <w:rPr>
          <w:u w:val="none"/>
        </w:rPr>
        <w:tab/>
      </w:r>
      <w:r>
        <w:rPr>
          <w:u w:val="none"/>
        </w:rPr>
        <w:tab/>
      </w:r>
      <w:r>
        <w:rPr>
          <w:u w:val="none"/>
        </w:rPr>
        <w:tab/>
      </w:r>
      <w:r>
        <w:rPr>
          <w:u w:val="none"/>
        </w:rPr>
        <w:tab/>
        <w:t>October 6-10, 2025</w:t>
      </w:r>
    </w:p>
    <w:p w14:paraId="33AFFAE7" w14:textId="77777777" w:rsidR="00385383" w:rsidRDefault="00385383" w:rsidP="00385383">
      <w:pPr>
        <w:pStyle w:val="CenterUnderline"/>
        <w:jc w:val="both"/>
        <w:rPr>
          <w:u w:val="none"/>
        </w:rPr>
      </w:pPr>
      <w:r>
        <w:rPr>
          <w:u w:val="none"/>
        </w:rPr>
        <w:tab/>
      </w:r>
      <w:r>
        <w:rPr>
          <w:u w:val="none"/>
        </w:rPr>
        <w:tab/>
      </w:r>
      <w:r>
        <w:rPr>
          <w:u w:val="none"/>
        </w:rPr>
        <w:tab/>
      </w:r>
      <w:r>
        <w:rPr>
          <w:u w:val="none"/>
        </w:rPr>
        <w:tab/>
      </w:r>
      <w:r>
        <w:rPr>
          <w:u w:val="none"/>
        </w:rPr>
        <w:tab/>
      </w:r>
      <w:r>
        <w:rPr>
          <w:u w:val="none"/>
        </w:rPr>
        <w:tab/>
      </w:r>
      <w:r>
        <w:rPr>
          <w:u w:val="none"/>
        </w:rPr>
        <w:tab/>
        <w:t>October 13-17, 2025</w:t>
      </w:r>
    </w:p>
    <w:p w14:paraId="01395094" w14:textId="77777777" w:rsidR="00385383" w:rsidRDefault="00385383" w:rsidP="00385383">
      <w:pPr>
        <w:pStyle w:val="CenterUnderline"/>
        <w:jc w:val="both"/>
        <w:rPr>
          <w:u w:val="none"/>
        </w:rPr>
      </w:pPr>
      <w:r>
        <w:rPr>
          <w:u w:val="none"/>
        </w:rPr>
        <w:tab/>
      </w:r>
    </w:p>
    <w:p w14:paraId="0ED4FD62" w14:textId="77777777" w:rsidR="00385383" w:rsidRDefault="00385383" w:rsidP="00385383">
      <w:pPr>
        <w:pStyle w:val="CenterUnderline"/>
        <w:jc w:val="both"/>
        <w:rPr>
          <w:u w:val="none"/>
        </w:rPr>
      </w:pPr>
      <w:r>
        <w:rPr>
          <w:u w:val="none"/>
        </w:rPr>
        <w:tab/>
        <w:t>Post-Hearing Briefs</w:t>
      </w:r>
      <w:r>
        <w:rPr>
          <w:u w:val="none"/>
        </w:rPr>
        <w:tab/>
      </w:r>
      <w:r>
        <w:rPr>
          <w:u w:val="none"/>
        </w:rPr>
        <w:tab/>
      </w:r>
      <w:r>
        <w:rPr>
          <w:u w:val="none"/>
        </w:rPr>
        <w:tab/>
      </w:r>
      <w:r>
        <w:rPr>
          <w:u w:val="none"/>
        </w:rPr>
        <w:tab/>
        <w:t>November 7, 2025</w:t>
      </w:r>
    </w:p>
    <w:p w14:paraId="1C095440" w14:textId="77777777" w:rsidR="00385383" w:rsidRDefault="00385383" w:rsidP="0065678C">
      <w:pPr>
        <w:pStyle w:val="CenterUnderline"/>
        <w:jc w:val="left"/>
        <w:rPr>
          <w:u w:val="none"/>
        </w:rPr>
      </w:pPr>
    </w:p>
    <w:p w14:paraId="2CF1CA58" w14:textId="77777777" w:rsidR="000D0E89" w:rsidRDefault="003E45FD" w:rsidP="001C6B8B">
      <w:pPr>
        <w:autoSpaceDE w:val="0"/>
        <w:autoSpaceDN w:val="0"/>
        <w:adjustRightInd w:val="0"/>
        <w:jc w:val="both"/>
        <w:rPr>
          <w:rFonts w:eastAsia="InvisibleOCR"/>
        </w:rPr>
      </w:pPr>
      <w:r>
        <w:tab/>
      </w:r>
      <w:r w:rsidR="0018368D">
        <w:t>On September 9, 2025, FPL filed its Response in Opposition to the Scheduling Motion.</w:t>
      </w:r>
      <w:r w:rsidR="000D0E89">
        <w:rPr>
          <w:rStyle w:val="FootnoteReference"/>
        </w:rPr>
        <w:footnoteReference w:id="2"/>
      </w:r>
      <w:r w:rsidR="000D0E89">
        <w:t xml:space="preserve"> In this Response, FPL argues that the Scheduling </w:t>
      </w:r>
      <w:r w:rsidR="000D0E89" w:rsidRPr="000D0E89">
        <w:t>Motion “</w:t>
      </w:r>
      <w:r w:rsidR="000D0E89" w:rsidRPr="000D0E89">
        <w:rPr>
          <w:rFonts w:eastAsia="InvisibleOCR"/>
        </w:rPr>
        <w:t>is incorrectly premised on the legally indefensible and unsustainable claim that Movants can unilaterally resolve the above-captioned petition for a general base rate by settling with themselves and without the petitioner, FPL.” Response at 1.</w:t>
      </w:r>
      <w:r w:rsidR="000D0E89">
        <w:rPr>
          <w:rFonts w:eastAsia="InvisibleOCR"/>
        </w:rPr>
        <w:t xml:space="preserve"> FPL notes that even in the absence of the Alternate SSA, the FPL Non-Signatories</w:t>
      </w:r>
      <w:r w:rsidR="00D177E6">
        <w:rPr>
          <w:rFonts w:eastAsia="InvisibleOCR"/>
        </w:rPr>
        <w:t>:</w:t>
      </w:r>
    </w:p>
    <w:p w14:paraId="52EC5ECF" w14:textId="77777777" w:rsidR="000D0E89" w:rsidRDefault="000D0E89" w:rsidP="000D0E89">
      <w:pPr>
        <w:autoSpaceDE w:val="0"/>
        <w:autoSpaceDN w:val="0"/>
        <w:adjustRightInd w:val="0"/>
        <w:rPr>
          <w:rFonts w:ascii="InvisibleOCR" w:eastAsia="InvisibleOCR" w:cs="InvisibleOCR"/>
          <w:sz w:val="22"/>
          <w:szCs w:val="22"/>
        </w:rPr>
      </w:pPr>
    </w:p>
    <w:p w14:paraId="50FDFC4F" w14:textId="77777777" w:rsidR="000D0E89" w:rsidRDefault="00D177E6" w:rsidP="000D0E89">
      <w:pPr>
        <w:autoSpaceDE w:val="0"/>
        <w:autoSpaceDN w:val="0"/>
        <w:adjustRightInd w:val="0"/>
        <w:ind w:left="720" w:right="720"/>
        <w:jc w:val="both"/>
        <w:rPr>
          <w:rFonts w:ascii="InvisibleOCR" w:eastAsia="InvisibleOCR" w:cs="InvisibleOCR"/>
          <w:sz w:val="22"/>
          <w:szCs w:val="22"/>
        </w:rPr>
      </w:pPr>
      <w:r>
        <w:rPr>
          <w:rFonts w:eastAsia="InvisibleOCR"/>
        </w:rPr>
        <w:t>…</w:t>
      </w:r>
      <w:r w:rsidR="000D0E89" w:rsidRPr="000D0E89">
        <w:rPr>
          <w:rFonts w:eastAsia="InvisibleOCR"/>
        </w:rPr>
        <w:t xml:space="preserve">already have the full opportunity to include their stipulated positions as part of the non-signatory testimony and exhibits that are due to be filed on September 17, </w:t>
      </w:r>
      <w:r w:rsidR="000D0E89">
        <w:rPr>
          <w:rFonts w:eastAsia="InvisibleOCR"/>
        </w:rPr>
        <w:t xml:space="preserve"> 2</w:t>
      </w:r>
      <w:r w:rsidR="000D0E89" w:rsidRPr="000D0E89">
        <w:rPr>
          <w:rFonts w:eastAsia="InvisibleOCR"/>
        </w:rPr>
        <w:t>025, under the First Revised OEP. Likewise, the Movants will have the opportunity to cross-examine witnesses at the hearing, as well as brief their respective positions,</w:t>
      </w:r>
      <w:r w:rsidR="000D0E89">
        <w:rPr>
          <w:rFonts w:eastAsia="InvisibleOCR"/>
        </w:rPr>
        <w:t xml:space="preserve"> </w:t>
      </w:r>
      <w:r w:rsidR="000D0E89" w:rsidRPr="000D0E89">
        <w:rPr>
          <w:rFonts w:eastAsia="InvisibleOCR"/>
        </w:rPr>
        <w:t>stipulated or otherwise, on whether the FPL Settlement Agreement is in the public interest and should be approved</w:t>
      </w:r>
      <w:r w:rsidR="000D0E89">
        <w:rPr>
          <w:rFonts w:ascii="InvisibleOCR" w:eastAsia="InvisibleOCR" w:cs="InvisibleOCR"/>
          <w:sz w:val="22"/>
          <w:szCs w:val="22"/>
        </w:rPr>
        <w:t>.</w:t>
      </w:r>
    </w:p>
    <w:p w14:paraId="3AC54169" w14:textId="77777777" w:rsidR="000D0E89" w:rsidRDefault="000D0E89" w:rsidP="000D0E89">
      <w:pPr>
        <w:autoSpaceDE w:val="0"/>
        <w:autoSpaceDN w:val="0"/>
        <w:adjustRightInd w:val="0"/>
        <w:ind w:left="720" w:right="720"/>
        <w:jc w:val="both"/>
        <w:rPr>
          <w:rFonts w:ascii="InvisibleOCR" w:eastAsia="InvisibleOCR" w:cs="InvisibleOCR"/>
          <w:sz w:val="22"/>
          <w:szCs w:val="22"/>
        </w:rPr>
      </w:pPr>
    </w:p>
    <w:p w14:paraId="3C6B2366" w14:textId="77777777" w:rsidR="000D0E89" w:rsidRPr="000D0E89" w:rsidRDefault="000D0E89" w:rsidP="000D0E89">
      <w:pPr>
        <w:autoSpaceDE w:val="0"/>
        <w:autoSpaceDN w:val="0"/>
        <w:adjustRightInd w:val="0"/>
        <w:jc w:val="both"/>
        <w:rPr>
          <w:rFonts w:eastAsia="InvisibleOCR"/>
        </w:rPr>
      </w:pPr>
      <w:r w:rsidRPr="000D0E89">
        <w:rPr>
          <w:rFonts w:eastAsia="InvisibleOCR"/>
        </w:rPr>
        <w:t>Response at 11.</w:t>
      </w:r>
    </w:p>
    <w:p w14:paraId="7539DA1E" w14:textId="77777777" w:rsidR="00385383" w:rsidRDefault="00385383" w:rsidP="0065431C">
      <w:pPr>
        <w:pStyle w:val="CenterUnderline"/>
        <w:jc w:val="left"/>
        <w:rPr>
          <w:u w:val="none"/>
        </w:rPr>
      </w:pPr>
    </w:p>
    <w:p w14:paraId="4771977A" w14:textId="77777777" w:rsidR="0065678C" w:rsidRDefault="0065678C" w:rsidP="0065431C">
      <w:pPr>
        <w:pStyle w:val="CenterUnderline"/>
        <w:jc w:val="left"/>
      </w:pPr>
      <w:r>
        <w:rPr>
          <w:u w:val="none"/>
        </w:rPr>
        <w:t>3.</w:t>
      </w:r>
      <w:r>
        <w:rPr>
          <w:u w:val="none"/>
        </w:rPr>
        <w:tab/>
      </w:r>
      <w:r>
        <w:t>Major Elements</w:t>
      </w:r>
    </w:p>
    <w:p w14:paraId="6BCCF06B" w14:textId="77777777" w:rsidR="00DF4C37" w:rsidRDefault="00DF4C37" w:rsidP="0065431C">
      <w:pPr>
        <w:pStyle w:val="CenterUnderline"/>
        <w:jc w:val="left"/>
      </w:pPr>
    </w:p>
    <w:p w14:paraId="3030358E" w14:textId="59A1A459" w:rsidR="007E39DD" w:rsidRDefault="003574CD" w:rsidP="00355438">
      <w:pPr>
        <w:shd w:val="clear" w:color="auto" w:fill="FFFFFF"/>
        <w:jc w:val="both"/>
        <w:rPr>
          <w:rFonts w:eastAsia="InvisibleOCR"/>
        </w:rPr>
      </w:pPr>
      <w:r w:rsidRPr="003574CD">
        <w:rPr>
          <w:rFonts w:eastAsia="InvisibleOCR"/>
        </w:rPr>
        <w:tab/>
        <w:t>The Florida Supreme Court has directed that “</w:t>
      </w:r>
      <w:r w:rsidRPr="00355438">
        <w:t>while the Commission need not “resolve every issue independently in its final order when it is reviewing a settlement agreement, it must nonetheless discuss[ ] the major elements of the settlement agreement and explain[ ] why it [is] in the public interest.”</w:t>
      </w:r>
      <w:r w:rsidRPr="00355438">
        <w:rPr>
          <w:rStyle w:val="FootnoteReference"/>
        </w:rPr>
        <w:footnoteReference w:id="3"/>
      </w:r>
      <w:r>
        <w:t xml:space="preserve"> Accordingly,</w:t>
      </w:r>
      <w:r w:rsidR="007E39DD">
        <w:rPr>
          <w:rFonts w:eastAsia="InvisibleOCR"/>
        </w:rPr>
        <w:tab/>
        <w:t xml:space="preserve">Commission staff noticed an informal meeting of the parties for August 28, 2025, </w:t>
      </w:r>
      <w:r w:rsidR="000365EB">
        <w:rPr>
          <w:rFonts w:eastAsia="InvisibleOCR"/>
        </w:rPr>
        <w:t xml:space="preserve">the purposes of which were to </w:t>
      </w:r>
      <w:r w:rsidR="007E39DD">
        <w:rPr>
          <w:rFonts w:eastAsia="InvisibleOCR"/>
        </w:rPr>
        <w:t>identify major elements of the 2025 SSA and to discuss prehearing and hearing procedure. Commission staff distributed</w:t>
      </w:r>
      <w:r w:rsidR="00322933">
        <w:rPr>
          <w:rFonts w:eastAsia="InvisibleOCR"/>
        </w:rPr>
        <w:t xml:space="preserve"> to the parties prior to that informal meeting</w:t>
      </w:r>
      <w:r w:rsidR="007E39DD">
        <w:rPr>
          <w:rFonts w:eastAsia="InvisibleOCR"/>
        </w:rPr>
        <w:t xml:space="preserve"> a list of</w:t>
      </w:r>
      <w:r w:rsidR="00322933">
        <w:rPr>
          <w:rFonts w:eastAsia="InvisibleOCR"/>
        </w:rPr>
        <w:t xml:space="preserve"> the</w:t>
      </w:r>
      <w:r w:rsidR="007E39DD">
        <w:rPr>
          <w:rFonts w:eastAsia="InvisibleOCR"/>
        </w:rPr>
        <w:t xml:space="preserve"> twenty-nine proposed major el</w:t>
      </w:r>
      <w:r w:rsidR="00322933">
        <w:rPr>
          <w:rFonts w:eastAsia="InvisibleOCR"/>
        </w:rPr>
        <w:t>ements it had identified in the 2025 SSA. These major elements are as follows:</w:t>
      </w:r>
    </w:p>
    <w:p w14:paraId="448345A7" w14:textId="77777777" w:rsidR="007E39DD" w:rsidRDefault="007E39DD" w:rsidP="007E39DD">
      <w:pPr>
        <w:autoSpaceDE w:val="0"/>
        <w:autoSpaceDN w:val="0"/>
        <w:adjustRightInd w:val="0"/>
        <w:rPr>
          <w:rFonts w:eastAsia="InvisibleOCR"/>
        </w:rPr>
      </w:pPr>
    </w:p>
    <w:p w14:paraId="7B13F2ED" w14:textId="77777777" w:rsidR="007E39DD" w:rsidRPr="007E39DD" w:rsidRDefault="007E39DD" w:rsidP="007E39DD">
      <w:pPr>
        <w:autoSpaceDE w:val="0"/>
        <w:autoSpaceDN w:val="0"/>
        <w:adjustRightInd w:val="0"/>
        <w:rPr>
          <w:rFonts w:eastAsia="InvisibleOCR"/>
        </w:rPr>
      </w:pPr>
      <w:r w:rsidRPr="007E39DD">
        <w:rPr>
          <w:rFonts w:eastAsia="InvisibleOCR"/>
        </w:rPr>
        <w:t>1</w:t>
      </w:r>
      <w:r>
        <w:rPr>
          <w:rFonts w:eastAsia="InvisibleOCR"/>
        </w:rPr>
        <w:t>.</w:t>
      </w:r>
      <w:r>
        <w:rPr>
          <w:rFonts w:eastAsia="InvisibleOCR"/>
        </w:rPr>
        <w:tab/>
      </w:r>
      <w:r w:rsidRPr="007E39DD">
        <w:rPr>
          <w:rFonts w:eastAsia="InvisibleOCR"/>
        </w:rPr>
        <w:t>Term: 1/1/26-12/31/29, unless extended per RSM</w:t>
      </w:r>
    </w:p>
    <w:p w14:paraId="475B7771" w14:textId="77777777" w:rsidR="007E39DD" w:rsidRPr="007E39DD" w:rsidRDefault="007E39DD" w:rsidP="007E39DD">
      <w:pPr>
        <w:autoSpaceDE w:val="0"/>
        <w:autoSpaceDN w:val="0"/>
        <w:adjustRightInd w:val="0"/>
        <w:rPr>
          <w:rFonts w:eastAsia="InvisibleOCR"/>
        </w:rPr>
      </w:pPr>
      <w:r w:rsidRPr="007E39DD">
        <w:rPr>
          <w:rFonts w:eastAsia="InvisibleOCR"/>
        </w:rPr>
        <w:t>2</w:t>
      </w:r>
      <w:r>
        <w:rPr>
          <w:rFonts w:eastAsia="InvisibleOCR"/>
        </w:rPr>
        <w:t>.</w:t>
      </w:r>
      <w:r>
        <w:rPr>
          <w:rFonts w:eastAsia="InvisibleOCR"/>
        </w:rPr>
        <w:tab/>
      </w:r>
      <w:r w:rsidRPr="007E39DD">
        <w:rPr>
          <w:rFonts w:eastAsia="InvisibleOCR"/>
        </w:rPr>
        <w:t>Cost of Capital: ROE 10.95; Capital St</w:t>
      </w:r>
      <w:r>
        <w:rPr>
          <w:rFonts w:eastAsia="InvisibleOCR"/>
        </w:rPr>
        <w:t>ructure 59.6% equity ratio</w:t>
      </w:r>
    </w:p>
    <w:p w14:paraId="1B0201F2" w14:textId="77777777" w:rsidR="007E39DD" w:rsidRPr="007E39DD" w:rsidRDefault="007E39DD" w:rsidP="007E39DD">
      <w:pPr>
        <w:autoSpaceDE w:val="0"/>
        <w:autoSpaceDN w:val="0"/>
        <w:adjustRightInd w:val="0"/>
        <w:rPr>
          <w:rFonts w:eastAsia="InvisibleOCR"/>
        </w:rPr>
      </w:pPr>
      <w:r w:rsidRPr="007E39DD">
        <w:rPr>
          <w:rFonts w:eastAsia="InvisibleOCR"/>
        </w:rPr>
        <w:t>3</w:t>
      </w:r>
      <w:r>
        <w:rPr>
          <w:rFonts w:eastAsia="InvisibleOCR"/>
        </w:rPr>
        <w:t>.</w:t>
      </w:r>
      <w:r>
        <w:rPr>
          <w:rFonts w:eastAsia="InvisibleOCR"/>
        </w:rPr>
        <w:tab/>
      </w:r>
      <w:r w:rsidRPr="007E39DD">
        <w:rPr>
          <w:rFonts w:eastAsia="InvisibleOCR"/>
        </w:rPr>
        <w:t xml:space="preserve">2026 </w:t>
      </w:r>
      <w:r>
        <w:rPr>
          <w:rFonts w:eastAsia="InvisibleOCR"/>
        </w:rPr>
        <w:t>Base Rate Adjustment $945M</w:t>
      </w:r>
    </w:p>
    <w:p w14:paraId="371156DD" w14:textId="77777777" w:rsidR="007E39DD" w:rsidRPr="007E39DD" w:rsidRDefault="007E39DD" w:rsidP="007E39DD">
      <w:pPr>
        <w:autoSpaceDE w:val="0"/>
        <w:autoSpaceDN w:val="0"/>
        <w:adjustRightInd w:val="0"/>
        <w:rPr>
          <w:rFonts w:eastAsia="InvisibleOCR"/>
        </w:rPr>
      </w:pPr>
      <w:r>
        <w:rPr>
          <w:rFonts w:eastAsia="InvisibleOCR"/>
        </w:rPr>
        <w:t>4.</w:t>
      </w:r>
      <w:r>
        <w:rPr>
          <w:rFonts w:eastAsia="InvisibleOCR"/>
        </w:rPr>
        <w:tab/>
      </w:r>
      <w:r w:rsidRPr="007E39DD">
        <w:rPr>
          <w:rFonts w:eastAsia="InvisibleOCR"/>
        </w:rPr>
        <w:t>2027 Base Rate Adjustment $705M</w:t>
      </w:r>
    </w:p>
    <w:p w14:paraId="2F3E2DBC" w14:textId="77777777" w:rsidR="007E39DD" w:rsidRPr="007E39DD" w:rsidRDefault="007E39DD" w:rsidP="007E39DD">
      <w:pPr>
        <w:autoSpaceDE w:val="0"/>
        <w:autoSpaceDN w:val="0"/>
        <w:adjustRightInd w:val="0"/>
        <w:rPr>
          <w:rFonts w:eastAsia="InvisibleOCR"/>
        </w:rPr>
      </w:pPr>
      <w:r w:rsidRPr="007E39DD">
        <w:rPr>
          <w:rFonts w:eastAsia="InvisibleOCR"/>
        </w:rPr>
        <w:t>5</w:t>
      </w:r>
      <w:r>
        <w:rPr>
          <w:rFonts w:eastAsia="InvisibleOCR"/>
        </w:rPr>
        <w:t>.</w:t>
      </w:r>
      <w:r>
        <w:rPr>
          <w:rFonts w:eastAsia="InvisibleOCR"/>
        </w:rPr>
        <w:tab/>
      </w:r>
      <w:r w:rsidRPr="007E39DD">
        <w:rPr>
          <w:rFonts w:eastAsia="InvisibleOCR"/>
        </w:rPr>
        <w:t>Reven</w:t>
      </w:r>
      <w:r>
        <w:rPr>
          <w:rFonts w:eastAsia="InvisibleOCR"/>
        </w:rPr>
        <w:t>ue Requirement Allocation</w:t>
      </w:r>
    </w:p>
    <w:p w14:paraId="7F6D49C7" w14:textId="77777777" w:rsidR="007E39DD" w:rsidRPr="007E39DD" w:rsidRDefault="007E39DD" w:rsidP="007E39DD">
      <w:pPr>
        <w:autoSpaceDE w:val="0"/>
        <w:autoSpaceDN w:val="0"/>
        <w:adjustRightInd w:val="0"/>
        <w:rPr>
          <w:rFonts w:eastAsia="InvisibleOCR"/>
        </w:rPr>
      </w:pPr>
      <w:r w:rsidRPr="007E39DD">
        <w:rPr>
          <w:rFonts w:eastAsia="InvisibleOCR"/>
        </w:rPr>
        <w:t>6</w:t>
      </w:r>
      <w:r>
        <w:rPr>
          <w:rFonts w:eastAsia="InvisibleOCR"/>
        </w:rPr>
        <w:t>.</w:t>
      </w:r>
      <w:r>
        <w:rPr>
          <w:rFonts w:eastAsia="InvisibleOCR"/>
        </w:rPr>
        <w:tab/>
      </w:r>
      <w:r w:rsidRPr="007E39DD">
        <w:rPr>
          <w:rFonts w:eastAsia="InvisibleOCR"/>
        </w:rPr>
        <w:t xml:space="preserve"> Commercial/Industrial Load Control and</w:t>
      </w:r>
      <w:r>
        <w:rPr>
          <w:rFonts w:eastAsia="InvisibleOCR"/>
        </w:rPr>
        <w:t xml:space="preserve"> Demand Reduction Credits</w:t>
      </w:r>
    </w:p>
    <w:p w14:paraId="1EB4583F" w14:textId="77777777" w:rsidR="007E39DD" w:rsidRPr="007E39DD" w:rsidRDefault="007E39DD" w:rsidP="007E39DD">
      <w:pPr>
        <w:autoSpaceDE w:val="0"/>
        <w:autoSpaceDN w:val="0"/>
        <w:adjustRightInd w:val="0"/>
        <w:rPr>
          <w:rFonts w:eastAsia="InvisibleOCR"/>
        </w:rPr>
      </w:pPr>
      <w:r w:rsidRPr="007E39DD">
        <w:rPr>
          <w:rFonts w:eastAsia="InvisibleOCR"/>
        </w:rPr>
        <w:t>7</w:t>
      </w:r>
      <w:r>
        <w:rPr>
          <w:rFonts w:eastAsia="InvisibleOCR"/>
        </w:rPr>
        <w:t>.</w:t>
      </w:r>
      <w:r>
        <w:rPr>
          <w:rFonts w:eastAsia="InvisibleOCR"/>
        </w:rPr>
        <w:tab/>
      </w:r>
      <w:r w:rsidRPr="007E39DD">
        <w:rPr>
          <w:rFonts w:eastAsia="InvisibleOCR"/>
        </w:rPr>
        <w:t>L</w:t>
      </w:r>
      <w:r>
        <w:rPr>
          <w:rFonts w:eastAsia="InvisibleOCR"/>
        </w:rPr>
        <w:t>arge Load Contract Service</w:t>
      </w:r>
    </w:p>
    <w:p w14:paraId="07AA3398" w14:textId="77777777" w:rsidR="007E39DD" w:rsidRPr="007E39DD" w:rsidRDefault="007E39DD" w:rsidP="007E39DD">
      <w:pPr>
        <w:autoSpaceDE w:val="0"/>
        <w:autoSpaceDN w:val="0"/>
        <w:adjustRightInd w:val="0"/>
        <w:rPr>
          <w:rFonts w:eastAsia="InvisibleOCR"/>
        </w:rPr>
      </w:pPr>
      <w:r>
        <w:rPr>
          <w:rFonts w:eastAsia="InvisibleOCR"/>
        </w:rPr>
        <w:t>8.</w:t>
      </w:r>
      <w:r>
        <w:rPr>
          <w:rFonts w:eastAsia="InvisibleOCR"/>
        </w:rPr>
        <w:tab/>
        <w:t>CIAC Tariff</w:t>
      </w:r>
    </w:p>
    <w:p w14:paraId="278A055E" w14:textId="77777777" w:rsidR="007E39DD" w:rsidRPr="007E39DD" w:rsidRDefault="007E39DD" w:rsidP="007E39DD">
      <w:pPr>
        <w:autoSpaceDE w:val="0"/>
        <w:autoSpaceDN w:val="0"/>
        <w:adjustRightInd w:val="0"/>
        <w:rPr>
          <w:rFonts w:eastAsia="InvisibleOCR"/>
        </w:rPr>
      </w:pPr>
      <w:r w:rsidRPr="007E39DD">
        <w:rPr>
          <w:rFonts w:eastAsia="InvisibleOCR"/>
        </w:rPr>
        <w:t>9</w:t>
      </w:r>
      <w:r>
        <w:rPr>
          <w:rFonts w:eastAsia="InvisibleOCR"/>
        </w:rPr>
        <w:t>.</w:t>
      </w:r>
      <w:r>
        <w:rPr>
          <w:rFonts w:eastAsia="InvisibleOCR"/>
        </w:rPr>
        <w:tab/>
      </w:r>
      <w:r w:rsidRPr="007E39DD">
        <w:rPr>
          <w:rFonts w:eastAsia="InvisibleOCR"/>
        </w:rPr>
        <w:t>Electric</w:t>
      </w:r>
      <w:r>
        <w:rPr>
          <w:rFonts w:eastAsia="InvisibleOCR"/>
        </w:rPr>
        <w:t xml:space="preserve"> Vehicle Charging Programs</w:t>
      </w:r>
    </w:p>
    <w:p w14:paraId="74FCB4FF" w14:textId="77777777" w:rsidR="007E39DD" w:rsidRPr="007E39DD" w:rsidRDefault="007E39DD" w:rsidP="007E39DD">
      <w:pPr>
        <w:autoSpaceDE w:val="0"/>
        <w:autoSpaceDN w:val="0"/>
        <w:adjustRightInd w:val="0"/>
        <w:rPr>
          <w:rFonts w:eastAsia="InvisibleOCR"/>
        </w:rPr>
      </w:pPr>
      <w:r w:rsidRPr="007E39DD">
        <w:rPr>
          <w:rFonts w:eastAsia="InvisibleOCR"/>
        </w:rPr>
        <w:t>10</w:t>
      </w:r>
      <w:r>
        <w:rPr>
          <w:rFonts w:eastAsia="InvisibleOCR"/>
        </w:rPr>
        <w:t>.</w:t>
      </w:r>
      <w:r>
        <w:rPr>
          <w:rFonts w:eastAsia="InvisibleOCR"/>
        </w:rPr>
        <w:tab/>
      </w:r>
      <w:r w:rsidRPr="007E39DD">
        <w:rPr>
          <w:rFonts w:eastAsia="InvisibleOCR"/>
        </w:rPr>
        <w:t>Cost Allocation Methodology for Co</w:t>
      </w:r>
      <w:r>
        <w:rPr>
          <w:rFonts w:eastAsia="InvisibleOCR"/>
        </w:rPr>
        <w:t>st Recovery Clause Factors</w:t>
      </w:r>
    </w:p>
    <w:p w14:paraId="1DB89047" w14:textId="77777777" w:rsidR="007E39DD" w:rsidRDefault="007E39DD" w:rsidP="007E39DD">
      <w:pPr>
        <w:autoSpaceDE w:val="0"/>
        <w:autoSpaceDN w:val="0"/>
        <w:adjustRightInd w:val="0"/>
        <w:rPr>
          <w:rFonts w:eastAsia="InvisibleOCR"/>
        </w:rPr>
      </w:pPr>
      <w:r w:rsidRPr="007E39DD">
        <w:rPr>
          <w:rFonts w:eastAsia="InvisibleOCR"/>
        </w:rPr>
        <w:t>11</w:t>
      </w:r>
      <w:r>
        <w:rPr>
          <w:rFonts w:eastAsia="InvisibleOCR"/>
        </w:rPr>
        <w:t>.</w:t>
      </w:r>
      <w:r>
        <w:rPr>
          <w:rFonts w:eastAsia="InvisibleOCR"/>
        </w:rPr>
        <w:tab/>
      </w:r>
      <w:r w:rsidRPr="007E39DD">
        <w:rPr>
          <w:rFonts w:eastAsia="InvisibleOCR"/>
        </w:rPr>
        <w:t>Storm</w:t>
      </w:r>
      <w:r>
        <w:rPr>
          <w:rFonts w:eastAsia="InvisibleOCR"/>
        </w:rPr>
        <w:t xml:space="preserve"> Cost Recovery Mechanism</w:t>
      </w:r>
    </w:p>
    <w:p w14:paraId="4C83AE29" w14:textId="77777777" w:rsidR="007E39DD" w:rsidRPr="007E39DD" w:rsidRDefault="007E39DD" w:rsidP="007E39DD">
      <w:pPr>
        <w:autoSpaceDE w:val="0"/>
        <w:autoSpaceDN w:val="0"/>
        <w:adjustRightInd w:val="0"/>
        <w:rPr>
          <w:rFonts w:eastAsia="InvisibleOCR"/>
        </w:rPr>
      </w:pPr>
      <w:r w:rsidRPr="007E39DD">
        <w:rPr>
          <w:rFonts w:eastAsia="InvisibleOCR"/>
        </w:rPr>
        <w:t>12</w:t>
      </w:r>
      <w:r>
        <w:rPr>
          <w:rFonts w:eastAsia="InvisibleOCR"/>
        </w:rPr>
        <w:t>.</w:t>
      </w:r>
      <w:r>
        <w:rPr>
          <w:rFonts w:eastAsia="InvisibleOCR"/>
        </w:rPr>
        <w:tab/>
      </w:r>
      <w:r w:rsidRPr="007E39DD">
        <w:rPr>
          <w:rFonts w:eastAsia="InvisibleOCR"/>
        </w:rPr>
        <w:t>SoBRA Base Rate Adju</w:t>
      </w:r>
      <w:r>
        <w:rPr>
          <w:rFonts w:eastAsia="InvisibleOCR"/>
        </w:rPr>
        <w:t>stments 2027, 2028, 2029</w:t>
      </w:r>
    </w:p>
    <w:p w14:paraId="72BD47D6" w14:textId="77777777" w:rsidR="007E39DD" w:rsidRDefault="007E39DD" w:rsidP="007E39DD">
      <w:pPr>
        <w:autoSpaceDE w:val="0"/>
        <w:autoSpaceDN w:val="0"/>
        <w:adjustRightInd w:val="0"/>
        <w:rPr>
          <w:rFonts w:eastAsia="InvisibleOCR"/>
        </w:rPr>
      </w:pPr>
      <w:r w:rsidRPr="007E39DD">
        <w:rPr>
          <w:rFonts w:eastAsia="InvisibleOCR"/>
        </w:rPr>
        <w:t>13</w:t>
      </w:r>
      <w:r>
        <w:rPr>
          <w:rFonts w:eastAsia="InvisibleOCR"/>
        </w:rPr>
        <w:t>.</w:t>
      </w:r>
      <w:r>
        <w:rPr>
          <w:rFonts w:eastAsia="InvisibleOCR"/>
        </w:rPr>
        <w:tab/>
      </w:r>
      <w:r w:rsidRPr="007E39DD">
        <w:rPr>
          <w:rFonts w:eastAsia="InvisibleOCR"/>
        </w:rPr>
        <w:t>Federal</w:t>
      </w:r>
      <w:r>
        <w:rPr>
          <w:rFonts w:eastAsia="InvisibleOCR"/>
        </w:rPr>
        <w:t xml:space="preserve"> or State Tax Law Changes</w:t>
      </w:r>
    </w:p>
    <w:p w14:paraId="6279E0FD" w14:textId="77777777" w:rsidR="007E39DD" w:rsidRPr="007E39DD" w:rsidRDefault="007E39DD" w:rsidP="007E39DD">
      <w:pPr>
        <w:autoSpaceDE w:val="0"/>
        <w:autoSpaceDN w:val="0"/>
        <w:adjustRightInd w:val="0"/>
        <w:rPr>
          <w:rFonts w:eastAsia="InvisibleOCR"/>
        </w:rPr>
      </w:pPr>
      <w:r w:rsidRPr="007E39DD">
        <w:rPr>
          <w:rFonts w:eastAsia="InvisibleOCR"/>
        </w:rPr>
        <w:t>14</w:t>
      </w:r>
      <w:r>
        <w:rPr>
          <w:rFonts w:eastAsia="InvisibleOCR"/>
        </w:rPr>
        <w:t>.</w:t>
      </w:r>
      <w:r>
        <w:rPr>
          <w:rFonts w:eastAsia="InvisibleOCR"/>
        </w:rPr>
        <w:tab/>
      </w:r>
      <w:r w:rsidRPr="007E39DD">
        <w:rPr>
          <w:rFonts w:eastAsia="InvisibleOCR"/>
        </w:rPr>
        <w:t>Ca</w:t>
      </w:r>
      <w:r>
        <w:rPr>
          <w:rFonts w:eastAsia="InvisibleOCR"/>
        </w:rPr>
        <w:t>pital Recovery Schedules</w:t>
      </w:r>
    </w:p>
    <w:p w14:paraId="78B93AAD" w14:textId="77777777" w:rsidR="007E39DD" w:rsidRPr="007E39DD" w:rsidRDefault="007E39DD" w:rsidP="007E39DD">
      <w:pPr>
        <w:autoSpaceDE w:val="0"/>
        <w:autoSpaceDN w:val="0"/>
        <w:adjustRightInd w:val="0"/>
        <w:rPr>
          <w:rFonts w:eastAsia="InvisibleOCR"/>
        </w:rPr>
      </w:pPr>
      <w:r w:rsidRPr="007E39DD">
        <w:rPr>
          <w:rFonts w:eastAsia="InvisibleOCR"/>
        </w:rPr>
        <w:t>15</w:t>
      </w:r>
      <w:r>
        <w:rPr>
          <w:rFonts w:eastAsia="InvisibleOCR"/>
        </w:rPr>
        <w:t>.</w:t>
      </w:r>
      <w:r>
        <w:rPr>
          <w:rFonts w:eastAsia="InvisibleOCR"/>
        </w:rPr>
        <w:tab/>
      </w:r>
      <w:r w:rsidRPr="007E39DD">
        <w:rPr>
          <w:rFonts w:eastAsia="InvisibleOCR"/>
        </w:rPr>
        <w:t>Depreciation and Dismantlement</w:t>
      </w:r>
    </w:p>
    <w:p w14:paraId="750CE6D8" w14:textId="77777777" w:rsidR="007E39DD" w:rsidRPr="007E39DD" w:rsidRDefault="007E39DD" w:rsidP="007E39DD">
      <w:pPr>
        <w:autoSpaceDE w:val="0"/>
        <w:autoSpaceDN w:val="0"/>
        <w:adjustRightInd w:val="0"/>
        <w:rPr>
          <w:rFonts w:eastAsia="InvisibleOCR"/>
        </w:rPr>
      </w:pPr>
      <w:r w:rsidRPr="007E39DD">
        <w:rPr>
          <w:rFonts w:eastAsia="InvisibleOCR"/>
        </w:rPr>
        <w:t>16</w:t>
      </w:r>
      <w:r>
        <w:rPr>
          <w:rFonts w:eastAsia="InvisibleOCR"/>
        </w:rPr>
        <w:t>.</w:t>
      </w:r>
      <w:r>
        <w:rPr>
          <w:rFonts w:eastAsia="InvisibleOCR"/>
        </w:rPr>
        <w:tab/>
      </w:r>
      <w:r w:rsidRPr="007E39DD">
        <w:rPr>
          <w:rFonts w:eastAsia="InvisibleOCR"/>
        </w:rPr>
        <w:t>Sale</w:t>
      </w:r>
      <w:r>
        <w:rPr>
          <w:rFonts w:eastAsia="InvisibleOCR"/>
        </w:rPr>
        <w:t xml:space="preserve"> of Excess ITCs and PTCs</w:t>
      </w:r>
    </w:p>
    <w:p w14:paraId="0B00F12C" w14:textId="77777777" w:rsidR="007E39DD" w:rsidRPr="007E39DD" w:rsidRDefault="007E39DD" w:rsidP="007E39DD">
      <w:pPr>
        <w:autoSpaceDE w:val="0"/>
        <w:autoSpaceDN w:val="0"/>
        <w:adjustRightInd w:val="0"/>
        <w:rPr>
          <w:rFonts w:eastAsia="InvisibleOCR"/>
        </w:rPr>
      </w:pPr>
      <w:r>
        <w:rPr>
          <w:rFonts w:eastAsia="InvisibleOCR"/>
        </w:rPr>
        <w:t>17.</w:t>
      </w:r>
      <w:r>
        <w:rPr>
          <w:rFonts w:eastAsia="InvisibleOCR"/>
        </w:rPr>
        <w:tab/>
      </w:r>
      <w:r w:rsidRPr="007E39DD">
        <w:rPr>
          <w:rFonts w:eastAsia="InvisibleOCR"/>
        </w:rPr>
        <w:t>Rat</w:t>
      </w:r>
      <w:r>
        <w:rPr>
          <w:rFonts w:eastAsia="InvisibleOCR"/>
        </w:rPr>
        <w:t>e Stabilization Mechanism</w:t>
      </w:r>
    </w:p>
    <w:p w14:paraId="3E30CC79" w14:textId="77777777" w:rsidR="007E39DD" w:rsidRPr="007E39DD" w:rsidRDefault="007E39DD" w:rsidP="007E39DD">
      <w:pPr>
        <w:autoSpaceDE w:val="0"/>
        <w:autoSpaceDN w:val="0"/>
        <w:adjustRightInd w:val="0"/>
        <w:rPr>
          <w:rFonts w:eastAsia="InvisibleOCR"/>
        </w:rPr>
      </w:pPr>
      <w:r>
        <w:rPr>
          <w:rFonts w:eastAsia="InvisibleOCR"/>
        </w:rPr>
        <w:t>18.</w:t>
      </w:r>
      <w:r>
        <w:rPr>
          <w:rFonts w:eastAsia="InvisibleOCR"/>
        </w:rPr>
        <w:tab/>
      </w:r>
      <w:r w:rsidRPr="007E39DD">
        <w:rPr>
          <w:rFonts w:eastAsia="InvisibleOCR"/>
        </w:rPr>
        <w:t>Asse</w:t>
      </w:r>
      <w:r>
        <w:rPr>
          <w:rFonts w:eastAsia="InvisibleOCR"/>
        </w:rPr>
        <w:t>t Optimization Program</w:t>
      </w:r>
    </w:p>
    <w:p w14:paraId="71210D3A" w14:textId="77777777" w:rsidR="007E39DD" w:rsidRPr="007E39DD" w:rsidRDefault="007E39DD" w:rsidP="007E39DD">
      <w:pPr>
        <w:autoSpaceDE w:val="0"/>
        <w:autoSpaceDN w:val="0"/>
        <w:adjustRightInd w:val="0"/>
        <w:rPr>
          <w:rFonts w:eastAsia="InvisibleOCR"/>
        </w:rPr>
      </w:pPr>
      <w:r>
        <w:rPr>
          <w:rFonts w:eastAsia="InvisibleOCR"/>
        </w:rPr>
        <w:t>19.</w:t>
      </w:r>
      <w:r>
        <w:rPr>
          <w:rFonts w:eastAsia="InvisibleOCR"/>
        </w:rPr>
        <w:tab/>
      </w:r>
      <w:r w:rsidRPr="007E39DD">
        <w:rPr>
          <w:rFonts w:eastAsia="InvisibleOCR"/>
        </w:rPr>
        <w:t>Long Durat</w:t>
      </w:r>
      <w:r>
        <w:rPr>
          <w:rFonts w:eastAsia="InvisibleOCR"/>
        </w:rPr>
        <w:t>ion Battery Storage Pilot</w:t>
      </w:r>
    </w:p>
    <w:p w14:paraId="1C057105" w14:textId="77777777" w:rsidR="007E39DD" w:rsidRPr="007E39DD" w:rsidRDefault="007E39DD" w:rsidP="007E39DD">
      <w:pPr>
        <w:autoSpaceDE w:val="0"/>
        <w:autoSpaceDN w:val="0"/>
        <w:adjustRightInd w:val="0"/>
        <w:rPr>
          <w:rFonts w:eastAsia="InvisibleOCR"/>
        </w:rPr>
      </w:pPr>
      <w:r>
        <w:rPr>
          <w:rFonts w:eastAsia="InvisibleOCR"/>
        </w:rPr>
        <w:t>20.</w:t>
      </w:r>
      <w:r>
        <w:rPr>
          <w:rFonts w:eastAsia="InvisibleOCR"/>
        </w:rPr>
        <w:tab/>
      </w:r>
      <w:r w:rsidRPr="007E39DD">
        <w:rPr>
          <w:rFonts w:eastAsia="InvisibleOCR"/>
        </w:rPr>
        <w:t>Land for Solar Facilities and Sale of Pro</w:t>
      </w:r>
      <w:r>
        <w:rPr>
          <w:rFonts w:eastAsia="InvisibleOCR"/>
        </w:rPr>
        <w:t>perty Held for Future Use</w:t>
      </w:r>
    </w:p>
    <w:p w14:paraId="17CD858A" w14:textId="77777777" w:rsidR="007E39DD" w:rsidRDefault="007E39DD" w:rsidP="007E39DD">
      <w:pPr>
        <w:autoSpaceDE w:val="0"/>
        <w:autoSpaceDN w:val="0"/>
        <w:adjustRightInd w:val="0"/>
        <w:rPr>
          <w:rFonts w:eastAsia="InvisibleOCR"/>
        </w:rPr>
      </w:pPr>
      <w:r>
        <w:rPr>
          <w:rFonts w:eastAsia="InvisibleOCR"/>
        </w:rPr>
        <w:t>21.</w:t>
      </w:r>
      <w:r>
        <w:rPr>
          <w:rFonts w:eastAsia="InvisibleOCR"/>
        </w:rPr>
        <w:tab/>
      </w:r>
      <w:r w:rsidRPr="007E39DD">
        <w:rPr>
          <w:rFonts w:eastAsia="InvisibleOCR"/>
        </w:rPr>
        <w:t>Vand</w:t>
      </w:r>
      <w:r>
        <w:rPr>
          <w:rFonts w:eastAsia="InvisibleOCR"/>
        </w:rPr>
        <w:t>olah</w:t>
      </w:r>
    </w:p>
    <w:p w14:paraId="4288C5DE" w14:textId="77777777" w:rsidR="007E39DD" w:rsidRPr="007E39DD" w:rsidRDefault="007E39DD" w:rsidP="007E39DD">
      <w:pPr>
        <w:autoSpaceDE w:val="0"/>
        <w:autoSpaceDN w:val="0"/>
        <w:adjustRightInd w:val="0"/>
        <w:rPr>
          <w:rFonts w:eastAsia="InvisibleOCR"/>
        </w:rPr>
      </w:pPr>
      <w:r>
        <w:rPr>
          <w:rFonts w:eastAsia="InvisibleOCR"/>
        </w:rPr>
        <w:t>22.</w:t>
      </w:r>
      <w:r>
        <w:rPr>
          <w:rFonts w:eastAsia="InvisibleOCR"/>
        </w:rPr>
        <w:tab/>
        <w:t>Natural Gas Hedging</w:t>
      </w:r>
    </w:p>
    <w:p w14:paraId="141B9B1C" w14:textId="77777777" w:rsidR="007E39DD" w:rsidRDefault="007E39DD" w:rsidP="007E39DD">
      <w:pPr>
        <w:autoSpaceDE w:val="0"/>
        <w:autoSpaceDN w:val="0"/>
        <w:adjustRightInd w:val="0"/>
        <w:rPr>
          <w:rFonts w:eastAsia="InvisibleOCR"/>
        </w:rPr>
      </w:pPr>
      <w:r>
        <w:rPr>
          <w:rFonts w:eastAsia="InvisibleOCR"/>
        </w:rPr>
        <w:t>23.</w:t>
      </w:r>
      <w:r>
        <w:rPr>
          <w:rFonts w:eastAsia="InvisibleOCR"/>
        </w:rPr>
        <w:tab/>
      </w:r>
      <w:r w:rsidRPr="007E39DD">
        <w:rPr>
          <w:rFonts w:eastAsia="InvisibleOCR"/>
        </w:rPr>
        <w:t>Disconnection Policy</w:t>
      </w:r>
    </w:p>
    <w:p w14:paraId="021A4343" w14:textId="77777777" w:rsidR="007E39DD" w:rsidRPr="007E39DD" w:rsidRDefault="007E39DD" w:rsidP="007E39DD">
      <w:pPr>
        <w:autoSpaceDE w:val="0"/>
        <w:autoSpaceDN w:val="0"/>
        <w:adjustRightInd w:val="0"/>
        <w:rPr>
          <w:rFonts w:eastAsia="InvisibleOCR"/>
        </w:rPr>
      </w:pPr>
      <w:r>
        <w:rPr>
          <w:rFonts w:eastAsia="InvisibleOCR"/>
        </w:rPr>
        <w:t>24.</w:t>
      </w:r>
      <w:r>
        <w:rPr>
          <w:rFonts w:eastAsia="InvisibleOCR"/>
        </w:rPr>
        <w:tab/>
      </w:r>
      <w:r w:rsidRPr="007E39DD">
        <w:rPr>
          <w:rFonts w:eastAsia="InvisibleOCR"/>
        </w:rPr>
        <w:t>Paymen</w:t>
      </w:r>
      <w:r>
        <w:rPr>
          <w:rFonts w:eastAsia="InvisibleOCR"/>
        </w:rPr>
        <w:t>t Assistance Contribution</w:t>
      </w:r>
    </w:p>
    <w:p w14:paraId="44931CC2" w14:textId="77777777" w:rsidR="007E39DD" w:rsidRPr="007E39DD" w:rsidRDefault="007E39DD" w:rsidP="007E39DD">
      <w:pPr>
        <w:autoSpaceDE w:val="0"/>
        <w:autoSpaceDN w:val="0"/>
        <w:adjustRightInd w:val="0"/>
        <w:rPr>
          <w:rFonts w:eastAsia="InvisibleOCR"/>
        </w:rPr>
      </w:pPr>
      <w:r>
        <w:rPr>
          <w:rFonts w:eastAsia="InvisibleOCR"/>
        </w:rPr>
        <w:t>25.</w:t>
      </w:r>
      <w:r>
        <w:rPr>
          <w:rFonts w:eastAsia="InvisibleOCR"/>
        </w:rPr>
        <w:tab/>
      </w:r>
      <w:r w:rsidRPr="007E39DD">
        <w:rPr>
          <w:rFonts w:eastAsia="InvisibleOCR"/>
        </w:rPr>
        <w:t>Support Proposal for Large</w:t>
      </w:r>
      <w:r>
        <w:rPr>
          <w:rFonts w:eastAsia="InvisibleOCR"/>
        </w:rPr>
        <w:t xml:space="preserve"> Customer Opt-out of ECCR</w:t>
      </w:r>
    </w:p>
    <w:p w14:paraId="5AC319E4" w14:textId="77777777" w:rsidR="006D2D46" w:rsidRPr="007E39DD" w:rsidRDefault="007E39DD" w:rsidP="007E39DD">
      <w:pPr>
        <w:jc w:val="both"/>
      </w:pPr>
      <w:r>
        <w:rPr>
          <w:rFonts w:eastAsia="InvisibleOCR"/>
        </w:rPr>
        <w:t>29.</w:t>
      </w:r>
      <w:r>
        <w:rPr>
          <w:rFonts w:eastAsia="InvisibleOCR"/>
        </w:rPr>
        <w:tab/>
      </w:r>
      <w:r w:rsidRPr="007E39DD">
        <w:rPr>
          <w:rFonts w:eastAsia="InvisibleOCR"/>
        </w:rPr>
        <w:t>Minimum Bill (Exhibits B and C)</w:t>
      </w:r>
      <w:r w:rsidR="00322933">
        <w:rPr>
          <w:rStyle w:val="FootnoteReference"/>
          <w:rFonts w:eastAsia="InvisibleOCR"/>
        </w:rPr>
        <w:footnoteReference w:id="4"/>
      </w:r>
    </w:p>
    <w:p w14:paraId="09C52163" w14:textId="77777777" w:rsidR="006D2D46" w:rsidRDefault="006D2D46" w:rsidP="00DF4C37">
      <w:pPr>
        <w:jc w:val="both"/>
      </w:pPr>
    </w:p>
    <w:p w14:paraId="02B998D4" w14:textId="4BB9D4AF" w:rsidR="00DF4C37" w:rsidRDefault="00DF4C37" w:rsidP="00DF4C37">
      <w:pPr>
        <w:jc w:val="both"/>
      </w:pPr>
      <w:r>
        <w:tab/>
        <w:t>No party expressed any objection to these twenty-nine elements</w:t>
      </w:r>
      <w:r w:rsidR="00322933">
        <w:t xml:space="preserve"> at the Prehearing Conference conducted September 5, 2025</w:t>
      </w:r>
      <w:r>
        <w:t>.</w:t>
      </w:r>
      <w:r w:rsidR="00384B9B">
        <w:t xml:space="preserve"> While </w:t>
      </w:r>
      <w:r w:rsidR="00322933">
        <w:t>OPC</w:t>
      </w:r>
      <w:r>
        <w:t xml:space="preserve"> express</w:t>
      </w:r>
      <w:r w:rsidR="00322933">
        <w:t>ed</w:t>
      </w:r>
      <w:r>
        <w:t xml:space="preserve"> no objection to the</w:t>
      </w:r>
      <w:r w:rsidR="00322933">
        <w:t xml:space="preserve"> above</w:t>
      </w:r>
      <w:r>
        <w:t xml:space="preserve"> list of twenty-nine</w:t>
      </w:r>
      <w:r w:rsidR="00384B9B">
        <w:t xml:space="preserve"> elements</w:t>
      </w:r>
      <w:r>
        <w:t xml:space="preserve">, </w:t>
      </w:r>
      <w:r w:rsidR="00384B9B">
        <w:t xml:space="preserve">it requested that </w:t>
      </w:r>
      <w:r>
        <w:t xml:space="preserve">the following eight elements </w:t>
      </w:r>
      <w:r w:rsidR="00384B9B">
        <w:t>be added</w:t>
      </w:r>
      <w:r>
        <w:t xml:space="preserve"> to the list:</w:t>
      </w:r>
    </w:p>
    <w:p w14:paraId="2528B750" w14:textId="77777777" w:rsidR="00DF4C37" w:rsidRDefault="00DF4C37" w:rsidP="00DF4C37">
      <w:pPr>
        <w:jc w:val="both"/>
      </w:pPr>
    </w:p>
    <w:p w14:paraId="260D37AE" w14:textId="77777777" w:rsidR="00DF4C37" w:rsidRPr="00767A29" w:rsidRDefault="00DF4C37" w:rsidP="00DF4C37">
      <w:pPr>
        <w:jc w:val="both"/>
      </w:pPr>
      <w:r>
        <w:t>1.</w:t>
      </w:r>
      <w:r>
        <w:tab/>
      </w:r>
      <w:r w:rsidRPr="00767A29">
        <w:t>Standalone TAM issue</w:t>
      </w:r>
    </w:p>
    <w:p w14:paraId="641DE0DB" w14:textId="77777777" w:rsidR="00DF4C37" w:rsidRPr="00767A29" w:rsidRDefault="00DF4C37" w:rsidP="00DF4C37">
      <w:pPr>
        <w:jc w:val="both"/>
      </w:pPr>
      <w:r>
        <w:t>2.</w:t>
      </w:r>
      <w:r>
        <w:tab/>
      </w:r>
      <w:r w:rsidRPr="00767A29">
        <w:t>Incentive Compensation</w:t>
      </w:r>
    </w:p>
    <w:p w14:paraId="694818CF" w14:textId="77777777" w:rsidR="00DF4C37" w:rsidRPr="00767A29" w:rsidRDefault="00DF4C37" w:rsidP="00DF4C37">
      <w:pPr>
        <w:jc w:val="both"/>
      </w:pPr>
      <w:r>
        <w:t>3.</w:t>
      </w:r>
      <w:r>
        <w:tab/>
      </w:r>
      <w:r w:rsidRPr="00767A29">
        <w:t>Stochastic Loss of Load Probability Analysis</w:t>
      </w:r>
    </w:p>
    <w:p w14:paraId="0DECA295" w14:textId="77777777" w:rsidR="00DF4C37" w:rsidRPr="00767A29" w:rsidRDefault="00DF4C37" w:rsidP="00DF4C37">
      <w:pPr>
        <w:jc w:val="both"/>
      </w:pPr>
      <w:r>
        <w:t>4.</w:t>
      </w:r>
      <w:r>
        <w:tab/>
      </w:r>
      <w:r w:rsidRPr="00767A29">
        <w:t>Prudence of 2025-2027 Battery Storage Additions</w:t>
      </w:r>
    </w:p>
    <w:p w14:paraId="4A25D863" w14:textId="77777777" w:rsidR="00DF4C37" w:rsidRPr="00767A29" w:rsidRDefault="00DF4C37" w:rsidP="00DF4C37">
      <w:pPr>
        <w:jc w:val="both"/>
      </w:pPr>
      <w:r>
        <w:t>5.</w:t>
      </w:r>
      <w:r>
        <w:tab/>
      </w:r>
      <w:r w:rsidRPr="00767A29">
        <w:t>Bill Impacts Among the Petition and Proposed Stipulation and Settlement Agreements</w:t>
      </w:r>
    </w:p>
    <w:p w14:paraId="28EB38E4" w14:textId="77777777" w:rsidR="00DF4C37" w:rsidRPr="00767A29" w:rsidRDefault="00DF4C37" w:rsidP="00DF4C37">
      <w:pPr>
        <w:jc w:val="both"/>
        <w:rPr>
          <w:rFonts w:eastAsiaTheme="minorHAnsi"/>
        </w:rPr>
      </w:pPr>
      <w:r>
        <w:t>6.</w:t>
      </w:r>
      <w:r>
        <w:tab/>
      </w:r>
      <w:r w:rsidRPr="00767A29">
        <w:t>Validity of the Proposed Stipulation and Settlement Agreements</w:t>
      </w:r>
    </w:p>
    <w:p w14:paraId="62F23E05" w14:textId="77777777" w:rsidR="00DF4C37" w:rsidRPr="00767A29" w:rsidRDefault="00DF4C37" w:rsidP="00DF4C37">
      <w:pPr>
        <w:jc w:val="both"/>
      </w:pPr>
      <w:r>
        <w:t>7.</w:t>
      </w:r>
      <w:r>
        <w:tab/>
      </w:r>
      <w:r w:rsidRPr="00767A29">
        <w:t>Who the Parties Represent</w:t>
      </w:r>
    </w:p>
    <w:p w14:paraId="024232B1" w14:textId="77777777" w:rsidR="00DF4C37" w:rsidRPr="00767A29" w:rsidRDefault="00DF4C37" w:rsidP="00DF4C37">
      <w:pPr>
        <w:jc w:val="both"/>
        <w:rPr>
          <w14:ligatures w14:val="standardContextual"/>
        </w:rPr>
      </w:pPr>
      <w:r>
        <w:tab/>
        <w:t>a.</w:t>
      </w:r>
      <w:r>
        <w:tab/>
      </w:r>
      <w:r w:rsidRPr="00767A29">
        <w:t>What interest do you represent?</w:t>
      </w:r>
    </w:p>
    <w:p w14:paraId="409F60DB" w14:textId="77777777" w:rsidR="00DF4C37" w:rsidRPr="00767A29" w:rsidRDefault="00DF4C37" w:rsidP="00DF4C37">
      <w:pPr>
        <w:jc w:val="both"/>
      </w:pPr>
      <w:r>
        <w:tab/>
        <w:t>b.</w:t>
      </w:r>
      <w:r>
        <w:tab/>
      </w:r>
      <w:r w:rsidRPr="00767A29">
        <w:t>Number of customers?</w:t>
      </w:r>
    </w:p>
    <w:p w14:paraId="3D538003" w14:textId="77777777" w:rsidR="00DF4C37" w:rsidRPr="00767A29" w:rsidRDefault="00DF4C37" w:rsidP="00DF4C37">
      <w:pPr>
        <w:jc w:val="both"/>
      </w:pPr>
      <w:r>
        <w:tab/>
        <w:t>c.</w:t>
      </w:r>
      <w:r>
        <w:tab/>
      </w:r>
      <w:r w:rsidRPr="00767A29">
        <w:t>Revenue Requirement burden of who you represent?</w:t>
      </w:r>
    </w:p>
    <w:p w14:paraId="4762C463" w14:textId="77777777" w:rsidR="00DF4C37" w:rsidRPr="00767A29" w:rsidRDefault="00DF4C37" w:rsidP="00DF4C37">
      <w:pPr>
        <w:jc w:val="both"/>
      </w:pPr>
      <w:r>
        <w:tab/>
        <w:t>d.</w:t>
      </w:r>
      <w:r>
        <w:tab/>
      </w:r>
      <w:r w:rsidRPr="00767A29">
        <w:t>Which customer classes do you represent?</w:t>
      </w:r>
    </w:p>
    <w:p w14:paraId="3314E6E1" w14:textId="77777777" w:rsidR="00DF4C37" w:rsidRPr="00767A29" w:rsidRDefault="00DF4C37" w:rsidP="00DF4C37">
      <w:pPr>
        <w:jc w:val="both"/>
      </w:pPr>
      <w:r>
        <w:t>8.</w:t>
      </w:r>
      <w:r>
        <w:tab/>
      </w:r>
      <w:r w:rsidRPr="00767A29">
        <w:t>Forecasting</w:t>
      </w:r>
    </w:p>
    <w:p w14:paraId="43EA0235" w14:textId="77777777" w:rsidR="00DF4C37" w:rsidRDefault="00DF4C37" w:rsidP="00DF4C37">
      <w:pPr>
        <w:shd w:val="clear" w:color="auto" w:fill="FFFFFF"/>
        <w:jc w:val="both"/>
        <w:rPr>
          <w:color w:val="000000"/>
        </w:rPr>
      </w:pPr>
    </w:p>
    <w:p w14:paraId="03637523" w14:textId="77777777" w:rsidR="00E51E1A" w:rsidRDefault="00322933" w:rsidP="00DF4C37">
      <w:pPr>
        <w:shd w:val="clear" w:color="auto" w:fill="FFFFFF"/>
        <w:jc w:val="both"/>
        <w:rPr>
          <w:color w:val="000000"/>
        </w:rPr>
      </w:pPr>
      <w:r>
        <w:rPr>
          <w:color w:val="000000"/>
        </w:rPr>
        <w:t xml:space="preserve">The remaining </w:t>
      </w:r>
      <w:r w:rsidR="00E51E1A">
        <w:rPr>
          <w:color w:val="000000"/>
        </w:rPr>
        <w:t xml:space="preserve">FPL </w:t>
      </w:r>
      <w:r>
        <w:rPr>
          <w:color w:val="000000"/>
        </w:rPr>
        <w:t>Non-Signatories orally joined this request.</w:t>
      </w:r>
      <w:r w:rsidR="00E51E1A">
        <w:rPr>
          <w:color w:val="000000"/>
        </w:rPr>
        <w:t xml:space="preserve"> As to proposed elements one through four and eight, OPC argues that these matters have been the subject of substantial discovery and are major elements in the 2025 SSA. As to proposed elements five through seven, OPC asserts that these are considerations for the Commission in determining </w:t>
      </w:r>
      <w:r w:rsidR="009E71A8">
        <w:rPr>
          <w:color w:val="000000"/>
        </w:rPr>
        <w:t>whether the 2025 SSA is in the public interest and results in rates that are fair, just, and reasonable.</w:t>
      </w:r>
    </w:p>
    <w:p w14:paraId="199176F1" w14:textId="77777777" w:rsidR="00E51E1A" w:rsidRDefault="00E51E1A" w:rsidP="00DF4C37">
      <w:pPr>
        <w:shd w:val="clear" w:color="auto" w:fill="FFFFFF"/>
        <w:jc w:val="both"/>
        <w:rPr>
          <w:color w:val="000000"/>
        </w:rPr>
      </w:pPr>
    </w:p>
    <w:p w14:paraId="35AF18B6" w14:textId="77777777" w:rsidR="003574CD" w:rsidRDefault="00E51E1A" w:rsidP="00DF4C37">
      <w:pPr>
        <w:shd w:val="clear" w:color="auto" w:fill="FFFFFF"/>
        <w:jc w:val="both"/>
        <w:rPr>
          <w:color w:val="000000"/>
        </w:rPr>
      </w:pPr>
      <w:r>
        <w:rPr>
          <w:color w:val="000000"/>
        </w:rPr>
        <w:tab/>
      </w:r>
      <w:r w:rsidR="00322933">
        <w:rPr>
          <w:color w:val="000000"/>
        </w:rPr>
        <w:t>FPL presented its argument in opposition</w:t>
      </w:r>
      <w:r w:rsidR="006E123D">
        <w:rPr>
          <w:color w:val="000000"/>
        </w:rPr>
        <w:t xml:space="preserve"> to all eight additional elements proposed by OPC</w:t>
      </w:r>
      <w:r w:rsidR="00322933">
        <w:rPr>
          <w:color w:val="000000"/>
        </w:rPr>
        <w:t>.</w:t>
      </w:r>
      <w:r w:rsidR="00F42BAC" w:rsidRPr="00F42BAC">
        <w:rPr>
          <w:color w:val="000000"/>
        </w:rPr>
        <w:t xml:space="preserve"> </w:t>
      </w:r>
      <w:r w:rsidR="00F42BAC">
        <w:rPr>
          <w:color w:val="000000"/>
        </w:rPr>
        <w:t>FPL asserts that proposed elements one through four are subsumed in the twenty-nine major elements that have been previously identified. FPL argues that proposed element five is a fall-out or ultimate issue, and that proposed elements seven and eight are arguments, and not major elements, and may be presented by the FPL Non-Signatories in their post-hearing brief</w:t>
      </w:r>
      <w:r w:rsidR="00384B9B">
        <w:rPr>
          <w:color w:val="000000"/>
        </w:rPr>
        <w:t>s</w:t>
      </w:r>
      <w:r w:rsidR="00F42BAC">
        <w:rPr>
          <w:color w:val="000000"/>
        </w:rPr>
        <w:t xml:space="preserve">. Finally, as to proposed issue six, FPL argues that the validity of the Alternate SSA will be decided on the FPL Non-Signatories Motion and FPL’s Response, and the legal validity of </w:t>
      </w:r>
      <w:r w:rsidR="00C1184D">
        <w:rPr>
          <w:color w:val="000000"/>
        </w:rPr>
        <w:t>non</w:t>
      </w:r>
      <w:r w:rsidR="0015099E">
        <w:rPr>
          <w:color w:val="000000"/>
        </w:rPr>
        <w:t>-</w:t>
      </w:r>
      <w:r w:rsidR="00C1184D">
        <w:rPr>
          <w:color w:val="000000"/>
        </w:rPr>
        <w:t>unanimous agreements such as the</w:t>
      </w:r>
      <w:r w:rsidR="00F42BAC">
        <w:rPr>
          <w:color w:val="000000"/>
        </w:rPr>
        <w:t xml:space="preserve"> 2025 SSA was previously affirmed by the Florida Supreme Court.</w:t>
      </w:r>
    </w:p>
    <w:p w14:paraId="11D2C8D7" w14:textId="77777777" w:rsidR="003574CD" w:rsidRDefault="003574CD" w:rsidP="00DF4C37">
      <w:pPr>
        <w:shd w:val="clear" w:color="auto" w:fill="FFFFFF"/>
        <w:jc w:val="both"/>
        <w:rPr>
          <w:color w:val="000000"/>
        </w:rPr>
      </w:pPr>
    </w:p>
    <w:p w14:paraId="7C8CAA01" w14:textId="0B656D75" w:rsidR="00322933" w:rsidRDefault="003574CD" w:rsidP="00DF4C37">
      <w:pPr>
        <w:shd w:val="clear" w:color="auto" w:fill="FFFFFF"/>
        <w:jc w:val="both"/>
        <w:rPr>
          <w:color w:val="000000"/>
        </w:rPr>
      </w:pPr>
      <w:r>
        <w:rPr>
          <w:color w:val="000000"/>
        </w:rPr>
        <w:tab/>
        <w:t xml:space="preserve">The FPL Non-Signatories offered additional elements that either fall under or are subsumed by one of the twenty-nine </w:t>
      </w:r>
      <w:r w:rsidR="00194E2A">
        <w:rPr>
          <w:color w:val="000000"/>
        </w:rPr>
        <w:t>major elements and, thus, will be subject to cross-examinaton at the hearing. The others are entirely new or purely legal issues. I will address each proposed element below, but will state generally that if a proposed element falls under one of the twenty-nine major elements it is appropriate to address with testimony and evidence. For the purely legal or new issues, the parties are not precluded from addressing those in their post-hearing briefs.</w:t>
      </w:r>
    </w:p>
    <w:p w14:paraId="3B62D9E1" w14:textId="77777777" w:rsidR="00384B9B" w:rsidRPr="00767A29" w:rsidRDefault="00384B9B" w:rsidP="00DF4C37">
      <w:pPr>
        <w:shd w:val="clear" w:color="auto" w:fill="FFFFFF"/>
        <w:jc w:val="both"/>
        <w:rPr>
          <w:color w:val="000000"/>
        </w:rPr>
      </w:pPr>
    </w:p>
    <w:p w14:paraId="5A4D6DC5" w14:textId="77777777" w:rsidR="00FB4653" w:rsidRPr="00FB4653" w:rsidRDefault="00FB4653" w:rsidP="00FB4653">
      <w:pPr>
        <w:pStyle w:val="CenterUnderline"/>
        <w:rPr>
          <w:u w:val="none"/>
        </w:rPr>
      </w:pPr>
      <w:r>
        <w:t>Discussion and Decision</w:t>
      </w:r>
    </w:p>
    <w:p w14:paraId="67790105" w14:textId="77777777" w:rsidR="0065431C" w:rsidRPr="0065431C" w:rsidRDefault="0065431C" w:rsidP="0065431C">
      <w:pPr>
        <w:pStyle w:val="CenterUnderline"/>
        <w:jc w:val="left"/>
        <w:rPr>
          <w:u w:val="none"/>
        </w:rPr>
      </w:pPr>
    </w:p>
    <w:p w14:paraId="28291095" w14:textId="77777777" w:rsidR="00DF4C37" w:rsidRPr="00DF4C37" w:rsidRDefault="00DF4C37" w:rsidP="00FB4653">
      <w:pPr>
        <w:jc w:val="both"/>
        <w:rPr>
          <w:u w:val="single"/>
        </w:rPr>
      </w:pPr>
      <w:r>
        <w:t>1.</w:t>
      </w:r>
      <w:r>
        <w:tab/>
      </w:r>
      <w:r>
        <w:rPr>
          <w:u w:val="single"/>
        </w:rPr>
        <w:t>Settlement Motion</w:t>
      </w:r>
    </w:p>
    <w:p w14:paraId="4A6DEFF5" w14:textId="77777777" w:rsidR="00DF4C37" w:rsidRDefault="00DF4C37" w:rsidP="00FB4653">
      <w:pPr>
        <w:jc w:val="both"/>
      </w:pPr>
    </w:p>
    <w:p w14:paraId="769B5CF2" w14:textId="77777777" w:rsidR="008D7E63" w:rsidRDefault="004241DB" w:rsidP="004241DB">
      <w:pPr>
        <w:pStyle w:val="CenterUnderline"/>
        <w:jc w:val="both"/>
        <w:rPr>
          <w:u w:val="none"/>
        </w:rPr>
      </w:pPr>
      <w:r>
        <w:rPr>
          <w:u w:val="none"/>
        </w:rPr>
        <w:tab/>
      </w:r>
      <w:r w:rsidR="004E4AAE">
        <w:rPr>
          <w:u w:val="none"/>
        </w:rPr>
        <w:t xml:space="preserve">All parties readily acknowledge that the Florida Public Service Commission has never before considered a settlement agreement filed in a rate case </w:t>
      </w:r>
      <w:r w:rsidR="0066413C">
        <w:rPr>
          <w:u w:val="none"/>
        </w:rPr>
        <w:t>that does not include</w:t>
      </w:r>
      <w:r w:rsidR="004E4AAE">
        <w:rPr>
          <w:u w:val="none"/>
        </w:rPr>
        <w:t xml:space="preserve"> </w:t>
      </w:r>
      <w:r w:rsidR="00D30FC3">
        <w:rPr>
          <w:u w:val="none"/>
        </w:rPr>
        <w:t xml:space="preserve">as a party </w:t>
      </w:r>
      <w:r w:rsidR="004E4AAE">
        <w:rPr>
          <w:u w:val="none"/>
        </w:rPr>
        <w:t xml:space="preserve">the utility that has requested the rate increase. The </w:t>
      </w:r>
      <w:r w:rsidR="006E123D">
        <w:rPr>
          <w:u w:val="none"/>
        </w:rPr>
        <w:t xml:space="preserve">FPL </w:t>
      </w:r>
      <w:r w:rsidR="004E4AAE">
        <w:rPr>
          <w:u w:val="none"/>
        </w:rPr>
        <w:t xml:space="preserve">Non-Signatories assert that </w:t>
      </w:r>
      <w:r w:rsidR="008D7E63">
        <w:rPr>
          <w:u w:val="none"/>
        </w:rPr>
        <w:t xml:space="preserve">this historical absence leaves the door open for the Commission to consider </w:t>
      </w:r>
      <w:r w:rsidR="004E4AAE">
        <w:rPr>
          <w:u w:val="none"/>
        </w:rPr>
        <w:t>the Alternate Settlement because “</w:t>
      </w:r>
      <w:r>
        <w:rPr>
          <w:u w:val="none"/>
        </w:rPr>
        <w:t>[n]o Court has ruled that the public interest standard requires the utility to be a party to a non-unanimous rate case settlement agreement.” Settlement Motion at 4, n. 5. At the Prehearing Conference conducted September 8, 2025, t</w:t>
      </w:r>
      <w:r w:rsidR="00FB4653" w:rsidRPr="004241DB">
        <w:rPr>
          <w:u w:val="none"/>
        </w:rPr>
        <w:t xml:space="preserve">he </w:t>
      </w:r>
      <w:r w:rsidR="006E123D">
        <w:rPr>
          <w:u w:val="none"/>
        </w:rPr>
        <w:t xml:space="preserve">FPL </w:t>
      </w:r>
      <w:r w:rsidR="00FB4653" w:rsidRPr="004241DB">
        <w:rPr>
          <w:u w:val="none"/>
        </w:rPr>
        <w:t>Non-Signatories</w:t>
      </w:r>
      <w:r w:rsidR="00C1184D">
        <w:rPr>
          <w:u w:val="none"/>
        </w:rPr>
        <w:t xml:space="preserve"> further</w:t>
      </w:r>
      <w:r w:rsidR="00FB4653" w:rsidRPr="004241DB">
        <w:rPr>
          <w:u w:val="none"/>
        </w:rPr>
        <w:t xml:space="preserve"> </w:t>
      </w:r>
      <w:r w:rsidR="00D30FC3">
        <w:rPr>
          <w:u w:val="none"/>
        </w:rPr>
        <w:t>argued</w:t>
      </w:r>
      <w:r w:rsidR="00FB4653" w:rsidRPr="004241DB">
        <w:rPr>
          <w:u w:val="none"/>
        </w:rPr>
        <w:t xml:space="preserve"> that because entities other than a public utility can file a request with the Commission to establish rates for that utility, the utility is not an indispensable party to a settlement agreement in a rate case.</w:t>
      </w:r>
      <w:r w:rsidR="008D7E63">
        <w:rPr>
          <w:u w:val="none"/>
        </w:rPr>
        <w:t xml:space="preserve"> Neither argument is persuasive.</w:t>
      </w:r>
    </w:p>
    <w:p w14:paraId="4149B30A" w14:textId="77777777" w:rsidR="008D7E63" w:rsidRDefault="008D7E63" w:rsidP="004241DB">
      <w:pPr>
        <w:pStyle w:val="CenterUnderline"/>
        <w:jc w:val="both"/>
        <w:rPr>
          <w:u w:val="none"/>
        </w:rPr>
      </w:pPr>
    </w:p>
    <w:p w14:paraId="43665BAD" w14:textId="0D6C3229" w:rsidR="002B3FF6" w:rsidRPr="004241DB" w:rsidRDefault="004E4AAE" w:rsidP="004241DB">
      <w:pPr>
        <w:pStyle w:val="CenterUnderline"/>
        <w:jc w:val="both"/>
        <w:rPr>
          <w:u w:val="none"/>
        </w:rPr>
      </w:pPr>
      <w:r>
        <w:rPr>
          <w:u w:val="none"/>
        </w:rPr>
        <w:tab/>
      </w:r>
      <w:r w:rsidR="00FB4653" w:rsidRPr="004241DB">
        <w:rPr>
          <w:u w:val="none"/>
        </w:rPr>
        <w:t>In limited circumstances,</w:t>
      </w:r>
      <w:r w:rsidR="0050120E">
        <w:rPr>
          <w:u w:val="none"/>
        </w:rPr>
        <w:t xml:space="preserve"> another entity </w:t>
      </w:r>
      <w:r w:rsidR="00C1184D">
        <w:rPr>
          <w:u w:val="none"/>
        </w:rPr>
        <w:t xml:space="preserve">or the Commission </w:t>
      </w:r>
      <w:r w:rsidR="0050120E">
        <w:rPr>
          <w:u w:val="none"/>
        </w:rPr>
        <w:t>may seek to institute rate proceedings.</w:t>
      </w:r>
      <w:r w:rsidR="0050120E">
        <w:rPr>
          <w:rStyle w:val="FootnoteReference"/>
          <w:u w:val="none"/>
        </w:rPr>
        <w:footnoteReference w:id="5"/>
      </w:r>
      <w:r w:rsidR="00FB4653" w:rsidRPr="004241DB">
        <w:rPr>
          <w:u w:val="none"/>
        </w:rPr>
        <w:t xml:space="preserve"> Where </w:t>
      </w:r>
      <w:r w:rsidR="00C1184D">
        <w:rPr>
          <w:u w:val="none"/>
        </w:rPr>
        <w:t xml:space="preserve">the </w:t>
      </w:r>
      <w:r w:rsidR="00FB4653" w:rsidRPr="004241DB">
        <w:rPr>
          <w:u w:val="none"/>
        </w:rPr>
        <w:t xml:space="preserve">Commission </w:t>
      </w:r>
      <w:r w:rsidR="00C1184D">
        <w:rPr>
          <w:u w:val="none"/>
        </w:rPr>
        <w:t>proceeds on its own mo</w:t>
      </w:r>
      <w:r w:rsidR="00FB4653" w:rsidRPr="004241DB">
        <w:rPr>
          <w:u w:val="none"/>
        </w:rPr>
        <w:t xml:space="preserve">tion, the </w:t>
      </w:r>
      <w:r w:rsidR="001958B3">
        <w:rPr>
          <w:u w:val="none"/>
        </w:rPr>
        <w:t>Commission C</w:t>
      </w:r>
      <w:r w:rsidR="00FB4653" w:rsidRPr="004241DB">
        <w:rPr>
          <w:u w:val="none"/>
        </w:rPr>
        <w:t xml:space="preserve">lerk’s </w:t>
      </w:r>
      <w:r w:rsidR="001958B3">
        <w:rPr>
          <w:u w:val="none"/>
        </w:rPr>
        <w:t>O</w:t>
      </w:r>
      <w:r w:rsidR="00FB4653" w:rsidRPr="004241DB">
        <w:rPr>
          <w:u w:val="none"/>
        </w:rPr>
        <w:t>ffice opens a new docket to address th</w:t>
      </w:r>
      <w:r w:rsidR="00C1184D">
        <w:rPr>
          <w:u w:val="none"/>
        </w:rPr>
        <w:t>e</w:t>
      </w:r>
      <w:r w:rsidR="00FB4653" w:rsidRPr="004241DB">
        <w:rPr>
          <w:u w:val="none"/>
        </w:rPr>
        <w:t xml:space="preserve"> specific </w:t>
      </w:r>
      <w:r w:rsidR="00C1184D">
        <w:rPr>
          <w:u w:val="none"/>
        </w:rPr>
        <w:t>issues raised</w:t>
      </w:r>
      <w:r w:rsidR="00FB4653" w:rsidRPr="004241DB">
        <w:rPr>
          <w:u w:val="none"/>
        </w:rPr>
        <w:t>.</w:t>
      </w:r>
      <w:r w:rsidR="00C1184D">
        <w:rPr>
          <w:rStyle w:val="FootnoteReference"/>
          <w:u w:val="none"/>
        </w:rPr>
        <w:footnoteReference w:id="6"/>
      </w:r>
      <w:r w:rsidR="00FB4653" w:rsidRPr="004241DB">
        <w:rPr>
          <w:u w:val="none"/>
        </w:rPr>
        <w:t xml:space="preserve"> Likewise, </w:t>
      </w:r>
      <w:r w:rsidR="00C1184D">
        <w:rPr>
          <w:u w:val="none"/>
        </w:rPr>
        <w:t xml:space="preserve">the </w:t>
      </w:r>
      <w:r w:rsidR="001958B3">
        <w:rPr>
          <w:u w:val="none"/>
        </w:rPr>
        <w:t>C</w:t>
      </w:r>
      <w:r w:rsidR="00C1184D">
        <w:rPr>
          <w:u w:val="none"/>
        </w:rPr>
        <w:t xml:space="preserve">lerk’s </w:t>
      </w:r>
      <w:r w:rsidR="001958B3">
        <w:rPr>
          <w:u w:val="none"/>
        </w:rPr>
        <w:t>O</w:t>
      </w:r>
      <w:r w:rsidR="00C1184D">
        <w:rPr>
          <w:u w:val="none"/>
        </w:rPr>
        <w:t xml:space="preserve">ffice opens a new docket, as in this instance, </w:t>
      </w:r>
      <w:r w:rsidR="00FB4653" w:rsidRPr="004241DB">
        <w:rPr>
          <w:u w:val="none"/>
        </w:rPr>
        <w:t>where a utility files a rate request. The purpose of either docket is for the Commission to address the petition or request that caused the docket to be opened, and for the Commission to grant, deny, or grant with modifications the requested relief.</w:t>
      </w:r>
      <w:r w:rsidR="002B3FF6">
        <w:rPr>
          <w:u w:val="none"/>
        </w:rPr>
        <w:t xml:space="preserve"> Other parties may intervene to support or oppose the request, but</w:t>
      </w:r>
      <w:r w:rsidR="00C1184D">
        <w:rPr>
          <w:u w:val="none"/>
        </w:rPr>
        <w:t xml:space="preserve"> the subject of the proceeding remain</w:t>
      </w:r>
      <w:r w:rsidR="002B3FF6">
        <w:rPr>
          <w:u w:val="none"/>
        </w:rPr>
        <w:t>s the requested relief.</w:t>
      </w:r>
      <w:r w:rsidR="0060184A">
        <w:rPr>
          <w:u w:val="none"/>
        </w:rPr>
        <w:t xml:space="preserve"> The process allows the parties that are supporting or opposing the request to offer testimony and evidence on their positions, subject to rebuttal of the petitioning utility. Moreover, a full evidentiary hearing is held where the parties can participate and meaningfully </w:t>
      </w:r>
      <w:r w:rsidR="002D0D8D">
        <w:rPr>
          <w:u w:val="none"/>
        </w:rPr>
        <w:t>vet the request.</w:t>
      </w:r>
    </w:p>
    <w:p w14:paraId="48D7DBE8" w14:textId="77777777" w:rsidR="00FB4653" w:rsidRDefault="00FB4653" w:rsidP="00FB4653">
      <w:pPr>
        <w:jc w:val="both"/>
      </w:pPr>
    </w:p>
    <w:p w14:paraId="1C1C27E1" w14:textId="4D24D880" w:rsidR="002B3FF6" w:rsidRDefault="00FB4653" w:rsidP="00FB4653">
      <w:pPr>
        <w:jc w:val="both"/>
      </w:pPr>
      <w:r>
        <w:tab/>
      </w:r>
      <w:r w:rsidR="002B3FF6">
        <w:t>Short of a full hearing on disputed factual and legal issues, the parties to an administrative proceeding may enter into a settlement.</w:t>
      </w:r>
      <w:r w:rsidR="00B26A3D">
        <w:rPr>
          <w:rStyle w:val="FootnoteReference"/>
        </w:rPr>
        <w:footnoteReference w:id="7"/>
      </w:r>
      <w:r w:rsidR="002B3FF6">
        <w:t xml:space="preserve"> </w:t>
      </w:r>
      <w:r w:rsidR="00D66E70">
        <w:t>In its most basic terms, a</w:t>
      </w:r>
      <w:r>
        <w:t xml:space="preserve"> “settlement” </w:t>
      </w:r>
      <w:r w:rsidR="00D66E70">
        <w:t>i</w:t>
      </w:r>
      <w:r>
        <w:t>s “[a]n agreement ending a dispute or lawsuit.”</w:t>
      </w:r>
      <w:r w:rsidR="00D66E70">
        <w:rPr>
          <w:rStyle w:val="FootnoteReference"/>
        </w:rPr>
        <w:footnoteReference w:id="8"/>
      </w:r>
      <w:r>
        <w:t xml:space="preserve"> By extension, a settlement of a</w:t>
      </w:r>
      <w:r w:rsidR="002B3FF6">
        <w:t xml:space="preserve"> proceeding</w:t>
      </w:r>
      <w:r>
        <w:t xml:space="preserve"> must be an agreement that ends that </w:t>
      </w:r>
      <w:r w:rsidR="002B3FF6">
        <w:t>proceeding</w:t>
      </w:r>
      <w:r>
        <w:t xml:space="preserve">. </w:t>
      </w:r>
      <w:r w:rsidR="00D66E70">
        <w:t>As evidenced by the record activity in this docket, a</w:t>
      </w:r>
      <w:r>
        <w:t xml:space="preserve">n agreement among parties that does not include the party that commenced the </w:t>
      </w:r>
      <w:r w:rsidR="002B3FF6">
        <w:t>proceeding</w:t>
      </w:r>
      <w:r w:rsidR="001641E0">
        <w:t xml:space="preserve"> with a request for</w:t>
      </w:r>
      <w:r w:rsidR="00D66E70">
        <w:t xml:space="preserve"> affirmative relief will </w:t>
      </w:r>
      <w:r>
        <w:t xml:space="preserve">not end that </w:t>
      </w:r>
      <w:r w:rsidR="002B3FF6">
        <w:t>proceeding</w:t>
      </w:r>
      <w:r w:rsidR="00B26A3D">
        <w:t xml:space="preserve">. Such a settlement, as the Alternate SSA in this proceeding, </w:t>
      </w:r>
      <w:r w:rsidR="001641E0">
        <w:t>constitutes</w:t>
      </w:r>
      <w:r w:rsidR="00B26A3D">
        <w:t xml:space="preserve"> a new and different request</w:t>
      </w:r>
      <w:r w:rsidR="00D66E70">
        <w:t xml:space="preserve"> for affirmative relief</w:t>
      </w:r>
      <w:r w:rsidR="002D0D8D">
        <w:t>, which is</w:t>
      </w:r>
      <w:r w:rsidR="00D66E70">
        <w:t xml:space="preserve"> not agreed to by the party who has requested relief</w:t>
      </w:r>
      <w:r w:rsidR="00A654A6">
        <w:t>.</w:t>
      </w:r>
      <w:r w:rsidR="00B26A3D">
        <w:t xml:space="preserve"> </w:t>
      </w:r>
      <w:r w:rsidR="002D0D8D">
        <w:t>Therefore, b</w:t>
      </w:r>
      <w:r>
        <w:t xml:space="preserve">y definition, </w:t>
      </w:r>
      <w:r w:rsidR="00B26A3D">
        <w:t xml:space="preserve">such a proposal </w:t>
      </w:r>
      <w:r>
        <w:t>is not a settlement.</w:t>
      </w:r>
    </w:p>
    <w:p w14:paraId="7F3298FC" w14:textId="77777777" w:rsidR="002B3FF6" w:rsidRDefault="002B3FF6" w:rsidP="00FB4653">
      <w:pPr>
        <w:jc w:val="both"/>
      </w:pPr>
    </w:p>
    <w:p w14:paraId="5323E8DE" w14:textId="788B9C94" w:rsidR="00FB4653" w:rsidRDefault="002B3FF6" w:rsidP="00FB4653">
      <w:pPr>
        <w:jc w:val="both"/>
      </w:pPr>
      <w:r>
        <w:tab/>
      </w:r>
      <w:r w:rsidR="001641E0">
        <w:t>Additionally,</w:t>
      </w:r>
      <w:r w:rsidR="00FB4653">
        <w:t xml:space="preserve"> a docket </w:t>
      </w:r>
      <w:r w:rsidR="008C7ED2">
        <w:t xml:space="preserve">before the Florida Public Service Commission </w:t>
      </w:r>
      <w:r w:rsidR="00FB4653">
        <w:t xml:space="preserve">is opened to address </w:t>
      </w:r>
      <w:r w:rsidR="007F00AE">
        <w:t>an</w:t>
      </w:r>
      <w:r w:rsidR="00FB4653">
        <w:t xml:space="preserve"> affirmative claim for relief</w:t>
      </w:r>
      <w:r w:rsidR="001641E0">
        <w:t>. Any</w:t>
      </w:r>
      <w:r w:rsidR="00FB4653">
        <w:t xml:space="preserve"> settlement of a docket – a “proceeding,” under Chapter 120, F</w:t>
      </w:r>
      <w:r>
        <w:t>.S.</w:t>
      </w:r>
      <w:r w:rsidR="00FB4653">
        <w:t xml:space="preserve"> – must </w:t>
      </w:r>
      <w:r w:rsidR="001641E0">
        <w:t xml:space="preserve">dispose of </w:t>
      </w:r>
      <w:r w:rsidR="00FB4653">
        <w:t xml:space="preserve">the original claim for relief. </w:t>
      </w:r>
      <w:r w:rsidR="001641E0">
        <w:t>The</w:t>
      </w:r>
      <w:r w:rsidR="00FB4653">
        <w:t xml:space="preserve"> party</w:t>
      </w:r>
      <w:r w:rsidR="001641E0">
        <w:t xml:space="preserve"> who made this original claim</w:t>
      </w:r>
      <w:r w:rsidR="00FB4653">
        <w:t xml:space="preserve"> is an indispensable party to a</w:t>
      </w:r>
      <w:r w:rsidR="001641E0">
        <w:t>ny</w:t>
      </w:r>
      <w:r w:rsidR="00FB4653">
        <w:t xml:space="preserve"> settlement</w:t>
      </w:r>
      <w:r w:rsidR="001641E0">
        <w:t xml:space="preserve"> of that claim</w:t>
      </w:r>
      <w:r w:rsidR="00FB4653">
        <w:t>.</w:t>
      </w:r>
      <w:r w:rsidR="00FB4653">
        <w:rPr>
          <w:rStyle w:val="FootnoteReference"/>
        </w:rPr>
        <w:footnoteReference w:id="9"/>
      </w:r>
      <w:r w:rsidR="00FB4653">
        <w:t xml:space="preserve"> </w:t>
      </w:r>
      <w:r w:rsidR="008C7ED2">
        <w:t xml:space="preserve">In this docket, FPL is an indispensable party to any settlement. </w:t>
      </w:r>
      <w:r w:rsidR="008139CB">
        <w:t>For this additional reason, t</w:t>
      </w:r>
      <w:r w:rsidR="00FB4653">
        <w:t xml:space="preserve">he document submitted by the </w:t>
      </w:r>
      <w:r w:rsidR="00B26A3D">
        <w:t xml:space="preserve">FPL </w:t>
      </w:r>
      <w:r w:rsidR="00FB4653">
        <w:t>Non-Signatories is not a settlement.</w:t>
      </w:r>
    </w:p>
    <w:p w14:paraId="23A96717" w14:textId="77777777" w:rsidR="00DF4C37" w:rsidRDefault="00DF4C37" w:rsidP="00FB4653">
      <w:pPr>
        <w:jc w:val="both"/>
      </w:pPr>
    </w:p>
    <w:p w14:paraId="719BB9FA" w14:textId="6CD20C87" w:rsidR="00FB4653" w:rsidRPr="00F6437F" w:rsidRDefault="00FB4653" w:rsidP="000A6944">
      <w:pPr>
        <w:jc w:val="both"/>
      </w:pPr>
      <w:r>
        <w:tab/>
        <w:t xml:space="preserve">While not </w:t>
      </w:r>
      <w:r w:rsidR="008C7ED2">
        <w:t>properly</w:t>
      </w:r>
      <w:r>
        <w:t xml:space="preserve"> presented to the Commission as a settlement</w:t>
      </w:r>
      <w:r w:rsidR="008C7ED2">
        <w:t xml:space="preserve"> agreement</w:t>
      </w:r>
      <w:r>
        <w:t xml:space="preserve">, </w:t>
      </w:r>
      <w:r w:rsidR="002D0D8D">
        <w:t>the Alternate SSA functions essentially as a position paper.</w:t>
      </w:r>
      <w:r>
        <w:t xml:space="preserve"> </w:t>
      </w:r>
      <w:r w:rsidR="000A6944">
        <w:t>N</w:t>
      </w:r>
      <w:r w:rsidRPr="000A6944">
        <w:t>othing precludes intervenors from presenting a stipulation for the Commission's consideration.</w:t>
      </w:r>
      <w:r w:rsidR="00E34ECD">
        <w:t xml:space="preserve"> </w:t>
      </w:r>
      <w:r w:rsidR="00975D76">
        <w:t xml:space="preserve">In fact, </w:t>
      </w:r>
      <w:r w:rsidR="00E34ECD">
        <w:t>FPL has expressed its general agreement with the FPL Non-Signatories</w:t>
      </w:r>
      <w:r w:rsidR="00E34ECD" w:rsidRPr="000D0E89">
        <w:rPr>
          <w:rFonts w:eastAsia="InvisibleOCR"/>
        </w:rPr>
        <w:t xml:space="preserve"> includ</w:t>
      </w:r>
      <w:r w:rsidR="00E34ECD">
        <w:rPr>
          <w:rFonts w:eastAsia="InvisibleOCR"/>
        </w:rPr>
        <w:t>ing</w:t>
      </w:r>
      <w:r w:rsidR="00E34ECD" w:rsidRPr="000D0E89">
        <w:rPr>
          <w:rFonts w:eastAsia="InvisibleOCR"/>
        </w:rPr>
        <w:t xml:space="preserve"> their stipulated positions as part of the testimony and exhibits </w:t>
      </w:r>
      <w:r w:rsidR="00E34ECD">
        <w:rPr>
          <w:rFonts w:eastAsia="InvisibleOCR"/>
        </w:rPr>
        <w:t>currently</w:t>
      </w:r>
      <w:r w:rsidR="00E34ECD" w:rsidRPr="000D0E89">
        <w:rPr>
          <w:rFonts w:eastAsia="InvisibleOCR"/>
        </w:rPr>
        <w:t xml:space="preserve"> due to be filed on September 17, </w:t>
      </w:r>
      <w:r w:rsidR="00E34ECD">
        <w:rPr>
          <w:rFonts w:eastAsia="InvisibleOCR"/>
        </w:rPr>
        <w:t xml:space="preserve"> 2</w:t>
      </w:r>
      <w:r w:rsidR="00E34ECD" w:rsidRPr="000D0E89">
        <w:rPr>
          <w:rFonts w:eastAsia="InvisibleOCR"/>
        </w:rPr>
        <w:t>025</w:t>
      </w:r>
      <w:r w:rsidR="00F6437F">
        <w:rPr>
          <w:rFonts w:eastAsia="InvisibleOCR"/>
        </w:rPr>
        <w:t xml:space="preserve">. </w:t>
      </w:r>
      <w:r w:rsidR="00F6437F" w:rsidRPr="005F01DA">
        <w:rPr>
          <w:rFonts w:eastAsia="InvisibleOCR"/>
          <w:i/>
        </w:rPr>
        <w:t xml:space="preserve">See </w:t>
      </w:r>
      <w:r w:rsidR="00F6437F">
        <w:rPr>
          <w:rFonts w:eastAsia="InvisibleOCR"/>
        </w:rPr>
        <w:t>Response in Opposition to Scheduling Motion at 11.</w:t>
      </w:r>
    </w:p>
    <w:p w14:paraId="7E3A9BAF" w14:textId="77777777" w:rsidR="00FB4653" w:rsidRDefault="00FB4653" w:rsidP="00FB4653">
      <w:pPr>
        <w:shd w:val="clear" w:color="auto" w:fill="FFFFFF"/>
        <w:jc w:val="both"/>
      </w:pPr>
    </w:p>
    <w:p w14:paraId="2973901F" w14:textId="438CD5F6" w:rsidR="00FB4653" w:rsidRPr="00CC7766" w:rsidRDefault="00FB4653" w:rsidP="00FB4653">
      <w:pPr>
        <w:shd w:val="clear" w:color="auto" w:fill="FFFFFF"/>
        <w:jc w:val="both"/>
      </w:pPr>
      <w:r>
        <w:tab/>
        <w:t>Based on the above, the Joint Motion for Approval of Stipulation and Settlement Agreement filed by the Non-Signatories is dismissed</w:t>
      </w:r>
      <w:r w:rsidR="00B26A3D">
        <w:t>. This dismissal is</w:t>
      </w:r>
      <w:r>
        <w:t xml:space="preserve"> without prejudice to</w:t>
      </w:r>
      <w:r w:rsidR="00B26A3D">
        <w:t xml:space="preserve"> the FPL Non-Signatories submitting the terms contained in the Alternate SSA</w:t>
      </w:r>
      <w:r>
        <w:t xml:space="preserve"> as a </w:t>
      </w:r>
      <w:r w:rsidR="007F00AE">
        <w:t>proposed s</w:t>
      </w:r>
      <w:r>
        <w:t xml:space="preserve">tipulation, </w:t>
      </w:r>
      <w:r w:rsidR="007F00AE">
        <w:t>j</w:t>
      </w:r>
      <w:r>
        <w:t xml:space="preserve">oint </w:t>
      </w:r>
      <w:r w:rsidR="007F00AE">
        <w:t>p</w:t>
      </w:r>
      <w:r>
        <w:t xml:space="preserve">osition </w:t>
      </w:r>
      <w:r w:rsidR="007F00AE">
        <w:t>s</w:t>
      </w:r>
      <w:r>
        <w:t xml:space="preserve">tatement, or </w:t>
      </w:r>
      <w:r w:rsidR="007F00AE">
        <w:t>similar</w:t>
      </w:r>
      <w:r>
        <w:t xml:space="preserve"> document</w:t>
      </w:r>
      <w:r w:rsidR="00A2418B">
        <w:t xml:space="preserve"> for Commission consideration, </w:t>
      </w:r>
      <w:r w:rsidR="007F00AE">
        <w:t xml:space="preserve">rather than as </w:t>
      </w:r>
      <w:r w:rsidR="00A2418B">
        <w:t>a motion seeking affirmative relief</w:t>
      </w:r>
      <w:r>
        <w:t>.</w:t>
      </w:r>
      <w:r w:rsidR="00975D76" w:rsidRPr="00975D76">
        <w:t xml:space="preserve"> </w:t>
      </w:r>
      <w:r w:rsidR="00975D76">
        <w:t>The FPL Non-Signatories</w:t>
      </w:r>
      <w:r w:rsidR="00975D76" w:rsidRPr="000D0E89">
        <w:rPr>
          <w:rFonts w:eastAsia="InvisibleOCR"/>
        </w:rPr>
        <w:t xml:space="preserve"> </w:t>
      </w:r>
      <w:r w:rsidR="00975D76">
        <w:rPr>
          <w:rFonts w:eastAsia="InvisibleOCR"/>
        </w:rPr>
        <w:t>may present support for those</w:t>
      </w:r>
      <w:r w:rsidR="00975D76" w:rsidRPr="000D0E89">
        <w:rPr>
          <w:rFonts w:eastAsia="InvisibleOCR"/>
        </w:rPr>
        <w:t xml:space="preserve"> positions as part of the testimony and exhibits </w:t>
      </w:r>
      <w:r w:rsidR="00975D76">
        <w:rPr>
          <w:rFonts w:eastAsia="InvisibleOCR"/>
        </w:rPr>
        <w:t>currently</w:t>
      </w:r>
      <w:r w:rsidR="00975D76" w:rsidRPr="000D0E89">
        <w:rPr>
          <w:rFonts w:eastAsia="InvisibleOCR"/>
        </w:rPr>
        <w:t xml:space="preserve"> due to be filed on September 17, </w:t>
      </w:r>
      <w:r w:rsidR="00975D76">
        <w:rPr>
          <w:rFonts w:eastAsia="InvisibleOCR"/>
        </w:rPr>
        <w:t xml:space="preserve"> 2</w:t>
      </w:r>
      <w:r w:rsidR="00975D76" w:rsidRPr="000D0E89">
        <w:rPr>
          <w:rFonts w:eastAsia="InvisibleOCR"/>
        </w:rPr>
        <w:t>025</w:t>
      </w:r>
      <w:r w:rsidR="00975D76">
        <w:rPr>
          <w:rFonts w:eastAsia="InvisibleOCR"/>
        </w:rPr>
        <w:t>.</w:t>
      </w:r>
    </w:p>
    <w:p w14:paraId="516CBF5D" w14:textId="0F0A2C82" w:rsidR="0065431C" w:rsidRDefault="0065431C" w:rsidP="0065431C">
      <w:pPr>
        <w:pStyle w:val="CenterUnderline"/>
        <w:jc w:val="left"/>
        <w:rPr>
          <w:u w:val="none"/>
        </w:rPr>
      </w:pPr>
    </w:p>
    <w:p w14:paraId="145A2742" w14:textId="627EB982" w:rsidR="0025635B" w:rsidRDefault="0025635B" w:rsidP="0065431C">
      <w:pPr>
        <w:pStyle w:val="CenterUnderline"/>
        <w:jc w:val="left"/>
        <w:rPr>
          <w:u w:val="none"/>
        </w:rPr>
      </w:pPr>
    </w:p>
    <w:p w14:paraId="329F9A7A" w14:textId="77777777" w:rsidR="0025635B" w:rsidRDefault="0025635B" w:rsidP="0065431C">
      <w:pPr>
        <w:pStyle w:val="CenterUnderline"/>
        <w:jc w:val="left"/>
        <w:rPr>
          <w:u w:val="none"/>
        </w:rPr>
      </w:pPr>
    </w:p>
    <w:p w14:paraId="53F64546" w14:textId="77777777" w:rsidR="0065431C" w:rsidRDefault="00DF4C37" w:rsidP="0065431C">
      <w:pPr>
        <w:pStyle w:val="CenterUnderline"/>
        <w:jc w:val="left"/>
        <w:rPr>
          <w:u w:val="none"/>
        </w:rPr>
      </w:pPr>
      <w:r>
        <w:rPr>
          <w:u w:val="none"/>
        </w:rPr>
        <w:t>2.</w:t>
      </w:r>
      <w:r>
        <w:rPr>
          <w:u w:val="none"/>
        </w:rPr>
        <w:tab/>
      </w:r>
      <w:r>
        <w:t>Scheduling Motion</w:t>
      </w:r>
    </w:p>
    <w:p w14:paraId="29CC7D40" w14:textId="77777777" w:rsidR="00DF4C37" w:rsidRDefault="00DF4C37" w:rsidP="0065431C">
      <w:pPr>
        <w:pStyle w:val="CenterUnderline"/>
        <w:jc w:val="left"/>
        <w:rPr>
          <w:u w:val="none"/>
        </w:rPr>
      </w:pPr>
    </w:p>
    <w:p w14:paraId="24EDCC87" w14:textId="3FC94D31" w:rsidR="00DF4C37" w:rsidRDefault="00DF4C37" w:rsidP="00DF4C37">
      <w:pPr>
        <w:pStyle w:val="CenterUnderline"/>
        <w:jc w:val="both"/>
        <w:rPr>
          <w:u w:val="none"/>
        </w:rPr>
      </w:pPr>
      <w:r>
        <w:rPr>
          <w:u w:val="none"/>
        </w:rPr>
        <w:tab/>
        <w:t xml:space="preserve">Because I have dismissed the Settlement Motion, the Scheduling Motion is moot and is denied as such. The schedule set forth in First Order Revising Order Establishing Procedure shall continue to govern the key dates in this proceeding. </w:t>
      </w:r>
      <w:r w:rsidR="008C7ED2">
        <w:rPr>
          <w:u w:val="none"/>
        </w:rPr>
        <w:t xml:space="preserve">As noted above, the </w:t>
      </w:r>
      <w:r w:rsidR="00A2418B">
        <w:rPr>
          <w:u w:val="none"/>
        </w:rPr>
        <w:t xml:space="preserve">FPL </w:t>
      </w:r>
      <w:r>
        <w:rPr>
          <w:u w:val="none"/>
        </w:rPr>
        <w:t xml:space="preserve">Non-Signatories may </w:t>
      </w:r>
      <w:r w:rsidR="008C7ED2">
        <w:rPr>
          <w:u w:val="none"/>
        </w:rPr>
        <w:t xml:space="preserve">refile the Alternate Settlement </w:t>
      </w:r>
      <w:r w:rsidR="007F00AE">
        <w:rPr>
          <w:u w:val="none"/>
        </w:rPr>
        <w:t>as a proposed stipulation or statement of position</w:t>
      </w:r>
      <w:r w:rsidR="008C7ED2">
        <w:rPr>
          <w:u w:val="none"/>
        </w:rPr>
        <w:t xml:space="preserve">, and may </w:t>
      </w:r>
      <w:r>
        <w:rPr>
          <w:u w:val="none"/>
        </w:rPr>
        <w:t xml:space="preserve">submit testimony in support of </w:t>
      </w:r>
      <w:r w:rsidR="008C7ED2">
        <w:rPr>
          <w:u w:val="none"/>
        </w:rPr>
        <w:t>its</w:t>
      </w:r>
      <w:r>
        <w:rPr>
          <w:u w:val="none"/>
        </w:rPr>
        <w:t xml:space="preserve"> terms as part of their prefiled testimony on September 17, 2025. FPL may file rebuttal testimony on October 1, 2025. No further prefiled responsive or rebuttal testimony will be accepted.</w:t>
      </w:r>
    </w:p>
    <w:p w14:paraId="51CC2D6F" w14:textId="77777777" w:rsidR="00DF4C37" w:rsidRDefault="00DF4C37" w:rsidP="00DF4C37">
      <w:pPr>
        <w:pStyle w:val="CenterUnderline"/>
        <w:jc w:val="left"/>
        <w:rPr>
          <w:u w:val="none"/>
        </w:rPr>
      </w:pPr>
    </w:p>
    <w:p w14:paraId="20F7E5BA" w14:textId="77777777" w:rsidR="00DF4C37" w:rsidRPr="00DF4C37" w:rsidRDefault="00DF4C37" w:rsidP="00DF4C37">
      <w:pPr>
        <w:shd w:val="clear" w:color="auto" w:fill="FFFFFF"/>
        <w:jc w:val="both"/>
        <w:rPr>
          <w:color w:val="000000"/>
        </w:rPr>
      </w:pPr>
      <w:r>
        <w:rPr>
          <w:color w:val="000000"/>
        </w:rPr>
        <w:t>3.</w:t>
      </w:r>
      <w:r>
        <w:rPr>
          <w:color w:val="000000"/>
        </w:rPr>
        <w:tab/>
      </w:r>
      <w:r>
        <w:rPr>
          <w:color w:val="000000"/>
          <w:u w:val="single"/>
        </w:rPr>
        <w:t>Major Elements</w:t>
      </w:r>
    </w:p>
    <w:p w14:paraId="6134C159" w14:textId="77777777" w:rsidR="00DF4C37" w:rsidRDefault="00DF4C37" w:rsidP="00DF4C37">
      <w:pPr>
        <w:shd w:val="clear" w:color="auto" w:fill="FFFFFF"/>
        <w:jc w:val="both"/>
        <w:rPr>
          <w:color w:val="000000"/>
        </w:rPr>
      </w:pPr>
    </w:p>
    <w:p w14:paraId="3FEA56B0" w14:textId="77777777" w:rsidR="00176A37" w:rsidRDefault="00176A37" w:rsidP="000C45E5">
      <w:pPr>
        <w:autoSpaceDE w:val="0"/>
        <w:autoSpaceDN w:val="0"/>
        <w:adjustRightInd w:val="0"/>
        <w:jc w:val="both"/>
        <w:rPr>
          <w:color w:val="000000"/>
        </w:rPr>
      </w:pPr>
      <w:r>
        <w:rPr>
          <w:color w:val="000000"/>
        </w:rPr>
        <w:tab/>
        <w:t>No party expressed objection to the original twenty-nine major elements proposed by staff. I find that these elements are appropriate for Commission consideration in this proceeding. The only remaining question is whether in include the eight additional elements proposed by OPC.</w:t>
      </w:r>
    </w:p>
    <w:p w14:paraId="1C0C723C" w14:textId="77777777" w:rsidR="00176A37" w:rsidRDefault="00176A37" w:rsidP="000C45E5">
      <w:pPr>
        <w:autoSpaceDE w:val="0"/>
        <w:autoSpaceDN w:val="0"/>
        <w:adjustRightInd w:val="0"/>
        <w:jc w:val="both"/>
        <w:rPr>
          <w:color w:val="000000"/>
        </w:rPr>
      </w:pPr>
    </w:p>
    <w:p w14:paraId="24872889" w14:textId="1546DCA4" w:rsidR="000C45E5" w:rsidRDefault="00DF4C37" w:rsidP="000C45E5">
      <w:pPr>
        <w:autoSpaceDE w:val="0"/>
        <w:autoSpaceDN w:val="0"/>
        <w:adjustRightInd w:val="0"/>
        <w:jc w:val="both"/>
        <w:rPr>
          <w:rFonts w:eastAsia="InvisibleOCR"/>
        </w:rPr>
      </w:pPr>
      <w:r>
        <w:rPr>
          <w:color w:val="000000"/>
        </w:rPr>
        <w:tab/>
        <w:t>Several of the</w:t>
      </w:r>
      <w:r w:rsidR="00732A85">
        <w:rPr>
          <w:color w:val="000000"/>
        </w:rPr>
        <w:t xml:space="preserve"> eight additional</w:t>
      </w:r>
      <w:r>
        <w:rPr>
          <w:color w:val="000000"/>
        </w:rPr>
        <w:t xml:space="preserve"> elements</w:t>
      </w:r>
      <w:r w:rsidR="00732A85">
        <w:rPr>
          <w:color w:val="000000"/>
        </w:rPr>
        <w:t xml:space="preserve"> proposed by OPC</w:t>
      </w:r>
      <w:r>
        <w:rPr>
          <w:color w:val="000000"/>
        </w:rPr>
        <w:t xml:space="preserve"> fall squarely within one or more major elements. Proposed element one</w:t>
      </w:r>
      <w:r w:rsidR="00281454">
        <w:rPr>
          <w:color w:val="000000"/>
        </w:rPr>
        <w:t xml:space="preserve"> (Standalone TAM) by OPC’s own admission is </w:t>
      </w:r>
      <w:r w:rsidR="00027BC9">
        <w:rPr>
          <w:color w:val="000000"/>
        </w:rPr>
        <w:t>subsum</w:t>
      </w:r>
      <w:r w:rsidR="00281454">
        <w:rPr>
          <w:color w:val="000000"/>
        </w:rPr>
        <w:t>ed in major element seventeen (</w:t>
      </w:r>
      <w:r w:rsidR="00281454" w:rsidRPr="007E39DD">
        <w:rPr>
          <w:rFonts w:eastAsia="InvisibleOCR"/>
        </w:rPr>
        <w:t>Rat</w:t>
      </w:r>
      <w:r w:rsidR="00281454">
        <w:rPr>
          <w:rFonts w:eastAsia="InvisibleOCR"/>
        </w:rPr>
        <w:t xml:space="preserve">e Stabilization Mechanism). </w:t>
      </w:r>
      <w:r w:rsidR="004D1C83">
        <w:rPr>
          <w:rFonts w:eastAsia="InvisibleOCR"/>
        </w:rPr>
        <w:t xml:space="preserve">All arguments regarding the TAM can be made under element seventeen. </w:t>
      </w:r>
      <w:r w:rsidR="00281454">
        <w:rPr>
          <w:rFonts w:eastAsia="InvisibleOCR"/>
        </w:rPr>
        <w:t xml:space="preserve">Proposed elements two (Incentive Compensation) and four (Prudence of 2025-2027 Battery Storage Additions) are </w:t>
      </w:r>
      <w:r w:rsidR="00027BC9">
        <w:rPr>
          <w:rFonts w:eastAsia="InvisibleOCR"/>
        </w:rPr>
        <w:t>subsum</w:t>
      </w:r>
      <w:r w:rsidR="00281454">
        <w:rPr>
          <w:rFonts w:eastAsia="InvisibleOCR"/>
        </w:rPr>
        <w:t>ed in major elements three (</w:t>
      </w:r>
      <w:r w:rsidR="00281454" w:rsidRPr="007E39DD">
        <w:rPr>
          <w:rFonts w:eastAsia="InvisibleOCR"/>
        </w:rPr>
        <w:t xml:space="preserve">2026 </w:t>
      </w:r>
      <w:r w:rsidR="00281454">
        <w:rPr>
          <w:rFonts w:eastAsia="InvisibleOCR"/>
        </w:rPr>
        <w:t>Base Rate Adjustment $945M)</w:t>
      </w:r>
      <w:r w:rsidR="000C45E5">
        <w:rPr>
          <w:rFonts w:eastAsia="InvisibleOCR"/>
        </w:rPr>
        <w:t xml:space="preserve"> and four</w:t>
      </w:r>
      <w:r w:rsidR="00027BC9">
        <w:rPr>
          <w:rFonts w:eastAsia="InvisibleOCR"/>
        </w:rPr>
        <w:t xml:space="preserve"> (</w:t>
      </w:r>
      <w:r w:rsidR="00281454" w:rsidRPr="007E39DD">
        <w:rPr>
          <w:rFonts w:eastAsia="InvisibleOCR"/>
        </w:rPr>
        <w:t>2027 Base Rate Adjustment $705M</w:t>
      </w:r>
      <w:r w:rsidR="00975D76">
        <w:rPr>
          <w:rFonts w:eastAsia="InvisibleOCR"/>
        </w:rPr>
        <w:t>)</w:t>
      </w:r>
      <w:r w:rsidR="000C45E5">
        <w:rPr>
          <w:rFonts w:eastAsia="InvisibleOCR"/>
        </w:rPr>
        <w:t xml:space="preserve">. Because proposed elements one, two, and four </w:t>
      </w:r>
      <w:r w:rsidR="004D1C83">
        <w:rPr>
          <w:rFonts w:eastAsia="InvisibleOCR"/>
        </w:rPr>
        <w:t>are subsumed in other issue</w:t>
      </w:r>
      <w:r w:rsidR="00BB1621">
        <w:rPr>
          <w:rFonts w:eastAsia="InvisibleOCR"/>
        </w:rPr>
        <w:t>s</w:t>
      </w:r>
      <w:r w:rsidR="004D1C83">
        <w:rPr>
          <w:rFonts w:eastAsia="InvisibleOCR"/>
        </w:rPr>
        <w:t xml:space="preserve">, they </w:t>
      </w:r>
      <w:r w:rsidR="000C45E5">
        <w:rPr>
          <w:rFonts w:eastAsia="InvisibleOCR"/>
        </w:rPr>
        <w:t>will not be added to the list of major elements.</w:t>
      </w:r>
    </w:p>
    <w:p w14:paraId="702AE735" w14:textId="77777777" w:rsidR="000C45E5" w:rsidRDefault="000C45E5" w:rsidP="00281454">
      <w:pPr>
        <w:autoSpaceDE w:val="0"/>
        <w:autoSpaceDN w:val="0"/>
        <w:adjustRightInd w:val="0"/>
        <w:rPr>
          <w:rFonts w:eastAsia="InvisibleOCR"/>
        </w:rPr>
      </w:pPr>
    </w:p>
    <w:p w14:paraId="38F4DB7C" w14:textId="75BAAA6A" w:rsidR="000C45E5" w:rsidRDefault="000C45E5" w:rsidP="00F42FF6">
      <w:pPr>
        <w:autoSpaceDE w:val="0"/>
        <w:autoSpaceDN w:val="0"/>
        <w:adjustRightInd w:val="0"/>
        <w:jc w:val="both"/>
        <w:rPr>
          <w:rFonts w:eastAsia="InvisibleOCR"/>
        </w:rPr>
      </w:pPr>
      <w:r>
        <w:rPr>
          <w:rFonts w:eastAsia="InvisibleOCR"/>
        </w:rPr>
        <w:tab/>
        <w:t xml:space="preserve">Based on </w:t>
      </w:r>
      <w:r w:rsidR="00BB1621">
        <w:rPr>
          <w:rFonts w:eastAsia="InvisibleOCR"/>
        </w:rPr>
        <w:t xml:space="preserve">my review </w:t>
      </w:r>
      <w:r w:rsidR="00975D76">
        <w:rPr>
          <w:rFonts w:eastAsia="InvisibleOCR"/>
        </w:rPr>
        <w:t xml:space="preserve">of </w:t>
      </w:r>
      <w:r>
        <w:rPr>
          <w:rFonts w:eastAsia="InvisibleOCR"/>
        </w:rPr>
        <w:t xml:space="preserve">the </w:t>
      </w:r>
      <w:r w:rsidR="00E554EF">
        <w:rPr>
          <w:rFonts w:eastAsia="InvisibleOCR"/>
        </w:rPr>
        <w:t xml:space="preserve">parties’ positions </w:t>
      </w:r>
      <w:r w:rsidR="00BB1621">
        <w:rPr>
          <w:rFonts w:eastAsia="InvisibleOCR"/>
        </w:rPr>
        <w:t xml:space="preserve">as </w:t>
      </w:r>
      <w:r w:rsidR="00E554EF">
        <w:rPr>
          <w:rFonts w:eastAsia="InvisibleOCR"/>
        </w:rPr>
        <w:t>set forth</w:t>
      </w:r>
      <w:r>
        <w:rPr>
          <w:rFonts w:eastAsia="InvisibleOCR"/>
        </w:rPr>
        <w:t xml:space="preserve"> in the Prehearing</w:t>
      </w:r>
      <w:r w:rsidR="00E554EF">
        <w:rPr>
          <w:rFonts w:eastAsia="InvisibleOCR"/>
        </w:rPr>
        <w:t xml:space="preserve"> Order</w:t>
      </w:r>
      <w:r>
        <w:rPr>
          <w:rFonts w:eastAsia="InvisibleOCR"/>
        </w:rPr>
        <w:t xml:space="preserve">, </w:t>
      </w:r>
      <w:r w:rsidR="00BB1621">
        <w:rPr>
          <w:rFonts w:eastAsia="InvisibleOCR"/>
        </w:rPr>
        <w:t xml:space="preserve">it appears that </w:t>
      </w:r>
      <w:r>
        <w:rPr>
          <w:rFonts w:eastAsia="InvisibleOCR"/>
        </w:rPr>
        <w:t xml:space="preserve">proposed element three (Stochastic Loss of Load Probability Analysis) has been </w:t>
      </w:r>
      <w:r w:rsidR="00BB1621">
        <w:rPr>
          <w:rFonts w:eastAsia="InvisibleOCR"/>
        </w:rPr>
        <w:t>the subject of</w:t>
      </w:r>
      <w:r>
        <w:rPr>
          <w:rFonts w:eastAsia="InvisibleOCR"/>
        </w:rPr>
        <w:t xml:space="preserve"> sign</w:t>
      </w:r>
      <w:r w:rsidR="00BB1621">
        <w:rPr>
          <w:rFonts w:eastAsia="InvisibleOCR"/>
        </w:rPr>
        <w:t>i</w:t>
      </w:r>
      <w:r>
        <w:rPr>
          <w:rFonts w:eastAsia="InvisibleOCR"/>
        </w:rPr>
        <w:t xml:space="preserve">ficant attention in this docket. However, the analysis does not </w:t>
      </w:r>
      <w:r w:rsidR="00975D76">
        <w:rPr>
          <w:rFonts w:eastAsia="InvisibleOCR"/>
        </w:rPr>
        <w:t>l</w:t>
      </w:r>
      <w:r>
        <w:rPr>
          <w:rFonts w:eastAsia="InvisibleOCR"/>
        </w:rPr>
        <w:t xml:space="preserve">end itself to treatment in </w:t>
      </w:r>
      <w:r w:rsidR="00BB1621">
        <w:rPr>
          <w:rFonts w:eastAsia="InvisibleOCR"/>
        </w:rPr>
        <w:t>isolation as a major element. The analysis</w:t>
      </w:r>
      <w:r>
        <w:rPr>
          <w:rFonts w:eastAsia="InvisibleOCR"/>
        </w:rPr>
        <w:t xml:space="preserve"> </w:t>
      </w:r>
      <w:r w:rsidR="00BB1621">
        <w:rPr>
          <w:rFonts w:eastAsia="InvisibleOCR"/>
        </w:rPr>
        <w:t>was used to support certain resource additions in the as-filed case</w:t>
      </w:r>
      <w:r>
        <w:rPr>
          <w:rFonts w:eastAsia="InvisibleOCR"/>
        </w:rPr>
        <w:t xml:space="preserve">, </w:t>
      </w:r>
      <w:r w:rsidR="00BB1621">
        <w:rPr>
          <w:rFonts w:eastAsia="InvisibleOCR"/>
        </w:rPr>
        <w:t>and may remain relevant to certain major</w:t>
      </w:r>
      <w:r>
        <w:rPr>
          <w:rFonts w:eastAsia="InvisibleOCR"/>
        </w:rPr>
        <w:t xml:space="preserve"> elements</w:t>
      </w:r>
      <w:r w:rsidR="00BB1621">
        <w:rPr>
          <w:rFonts w:eastAsia="InvisibleOCR"/>
        </w:rPr>
        <w:t>, including</w:t>
      </w:r>
      <w:r>
        <w:rPr>
          <w:rFonts w:eastAsia="InvisibleOCR"/>
        </w:rPr>
        <w:t xml:space="preserve"> three (</w:t>
      </w:r>
      <w:r w:rsidRPr="007E39DD">
        <w:rPr>
          <w:rFonts w:eastAsia="InvisibleOCR"/>
        </w:rPr>
        <w:t xml:space="preserve">2026 </w:t>
      </w:r>
      <w:r>
        <w:rPr>
          <w:rFonts w:eastAsia="InvisibleOCR"/>
        </w:rPr>
        <w:t>Base Rate Adjustment $945M), four (</w:t>
      </w:r>
      <w:r w:rsidRPr="007E39DD">
        <w:rPr>
          <w:rFonts w:eastAsia="InvisibleOCR"/>
        </w:rPr>
        <w:t>2027 Base Rate Adjustment $705M</w:t>
      </w:r>
      <w:r>
        <w:rPr>
          <w:rFonts w:eastAsia="InvisibleOCR"/>
        </w:rPr>
        <w:t>), and twelve (</w:t>
      </w:r>
      <w:r w:rsidRPr="007E39DD">
        <w:rPr>
          <w:rFonts w:eastAsia="InvisibleOCR"/>
        </w:rPr>
        <w:t>SoBRA Base Rate Adju</w:t>
      </w:r>
      <w:r>
        <w:rPr>
          <w:rFonts w:eastAsia="InvisibleOCR"/>
        </w:rPr>
        <w:t>stments 2027, 2028, 2029)</w:t>
      </w:r>
      <w:r w:rsidR="00BB1621">
        <w:rPr>
          <w:rFonts w:eastAsia="InvisibleOCR"/>
        </w:rPr>
        <w:t>. M</w:t>
      </w:r>
      <w:r>
        <w:rPr>
          <w:rFonts w:eastAsia="InvisibleOCR"/>
        </w:rPr>
        <w:t xml:space="preserve">aking the analysis its own major element could </w:t>
      </w:r>
      <w:r w:rsidR="00BB1621">
        <w:rPr>
          <w:rFonts w:eastAsia="InvisibleOCR"/>
        </w:rPr>
        <w:t>lead to</w:t>
      </w:r>
      <w:r>
        <w:rPr>
          <w:rFonts w:eastAsia="InvisibleOCR"/>
        </w:rPr>
        <w:t xml:space="preserve"> confusion</w:t>
      </w:r>
      <w:r w:rsidR="00BB1621">
        <w:rPr>
          <w:rFonts w:eastAsia="InvisibleOCR"/>
        </w:rPr>
        <w:t xml:space="preserve"> regarding whether it is interwoven with other issues for Commission determination, or an independent matter to be considered on its own</w:t>
      </w:r>
      <w:r>
        <w:rPr>
          <w:rFonts w:eastAsia="InvisibleOCR"/>
        </w:rPr>
        <w:t>. Accordingly, proposed element three will not be added to the list as a separate major element</w:t>
      </w:r>
      <w:r w:rsidR="00975D76">
        <w:rPr>
          <w:rFonts w:eastAsia="InvisibleOCR"/>
        </w:rPr>
        <w:t>, and the parties may address the analysis under any major element(s) to which it is relevant</w:t>
      </w:r>
      <w:r>
        <w:rPr>
          <w:rFonts w:eastAsia="InvisibleOCR"/>
        </w:rPr>
        <w:t>.</w:t>
      </w:r>
    </w:p>
    <w:p w14:paraId="2494E802" w14:textId="77777777" w:rsidR="000C45E5" w:rsidRDefault="000C45E5" w:rsidP="00281454">
      <w:pPr>
        <w:autoSpaceDE w:val="0"/>
        <w:autoSpaceDN w:val="0"/>
        <w:adjustRightInd w:val="0"/>
        <w:rPr>
          <w:rFonts w:eastAsia="InvisibleOCR"/>
        </w:rPr>
      </w:pPr>
    </w:p>
    <w:p w14:paraId="7F9564E5" w14:textId="77777777" w:rsidR="00F42FF6" w:rsidRDefault="000C45E5" w:rsidP="00F42FF6">
      <w:pPr>
        <w:autoSpaceDE w:val="0"/>
        <w:autoSpaceDN w:val="0"/>
        <w:adjustRightInd w:val="0"/>
        <w:jc w:val="both"/>
        <w:rPr>
          <w:rFonts w:eastAsia="InvisibleOCR"/>
        </w:rPr>
      </w:pPr>
      <w:r>
        <w:rPr>
          <w:rFonts w:eastAsia="InvisibleOCR"/>
        </w:rPr>
        <w:tab/>
      </w:r>
      <w:r w:rsidR="00F42FF6">
        <w:rPr>
          <w:rFonts w:eastAsia="InvisibleOCR"/>
        </w:rPr>
        <w:t>Proposed element five (</w:t>
      </w:r>
      <w:r w:rsidR="00F42FF6" w:rsidRPr="00767A29">
        <w:t>Bill Impacts Among the Petition and Proposed Stipulation and Settlement Agreements</w:t>
      </w:r>
      <w:r w:rsidR="00F42FF6">
        <w:t>) is not an element, but a calculation or fall-out issue from the positions taken by a party with respect to all of the other issues.</w:t>
      </w:r>
      <w:r w:rsidR="00F42FF6" w:rsidRPr="00F42FF6">
        <w:rPr>
          <w:rFonts w:eastAsia="InvisibleOCR"/>
        </w:rPr>
        <w:t xml:space="preserve"> </w:t>
      </w:r>
      <w:r w:rsidR="00F42FF6">
        <w:rPr>
          <w:rFonts w:eastAsia="InvisibleOCR"/>
        </w:rPr>
        <w:t xml:space="preserve">Accordingly, proposed element </w:t>
      </w:r>
      <w:r w:rsidR="0034275B">
        <w:rPr>
          <w:rFonts w:eastAsia="InvisibleOCR"/>
        </w:rPr>
        <w:t>five</w:t>
      </w:r>
      <w:r w:rsidR="00F42FF6">
        <w:rPr>
          <w:rFonts w:eastAsia="InvisibleOCR"/>
        </w:rPr>
        <w:t xml:space="preserve"> will not be added to the list a</w:t>
      </w:r>
      <w:r w:rsidR="00233570">
        <w:rPr>
          <w:rFonts w:eastAsia="InvisibleOCR"/>
        </w:rPr>
        <w:t>s a separate major element.</w:t>
      </w:r>
    </w:p>
    <w:p w14:paraId="214CB308" w14:textId="77777777" w:rsidR="00F42FF6" w:rsidRDefault="00F42FF6" w:rsidP="00281454">
      <w:pPr>
        <w:autoSpaceDE w:val="0"/>
        <w:autoSpaceDN w:val="0"/>
        <w:adjustRightInd w:val="0"/>
      </w:pPr>
    </w:p>
    <w:p w14:paraId="167D0DE7" w14:textId="5800C003" w:rsidR="00C24399" w:rsidRDefault="00F42FF6" w:rsidP="00C24399">
      <w:pPr>
        <w:shd w:val="clear" w:color="auto" w:fill="FFFFFF"/>
        <w:jc w:val="both"/>
        <w:rPr>
          <w:color w:val="000000"/>
        </w:rPr>
      </w:pPr>
      <w:r>
        <w:tab/>
        <w:t xml:space="preserve">Proposed element six is actually a purely legal issue regarding the validity of the (1) 2025 SSA and (2) Alternate SSA. This Order addresses the legal validity of the Alternate SSA. The Florida Supreme Court has </w:t>
      </w:r>
      <w:r w:rsidR="00E34FC6">
        <w:t>confirm</w:t>
      </w:r>
      <w:r>
        <w:t xml:space="preserve">ed the </w:t>
      </w:r>
      <w:r w:rsidR="0034275B">
        <w:t xml:space="preserve">legal </w:t>
      </w:r>
      <w:r>
        <w:t>validity of a non-unanimous settlement agreement</w:t>
      </w:r>
      <w:r w:rsidR="00E34FC6">
        <w:t>, such as the 2025 SSA,</w:t>
      </w:r>
      <w:r>
        <w:t xml:space="preserve"> </w:t>
      </w:r>
      <w:r w:rsidR="0034275B">
        <w:t>that does not include OPC</w:t>
      </w:r>
      <w:r w:rsidR="00E34FC6">
        <w:t>.</w:t>
      </w:r>
      <w:r w:rsidR="00C24399">
        <w:rPr>
          <w:rStyle w:val="FootnoteReference"/>
          <w:color w:val="000000"/>
        </w:rPr>
        <w:footnoteReference w:id="10"/>
      </w:r>
      <w:r w:rsidR="00E34FC6">
        <w:t xml:space="preserve"> </w:t>
      </w:r>
      <w:r w:rsidR="0034275B" w:rsidRPr="00F42FF6">
        <w:rPr>
          <w:rFonts w:eastAsia="InvisibleOCR"/>
        </w:rPr>
        <w:t xml:space="preserve"> </w:t>
      </w:r>
      <w:r w:rsidR="0034275B">
        <w:rPr>
          <w:rFonts w:eastAsia="InvisibleOCR"/>
        </w:rPr>
        <w:t>Accordingly, proposed element six will not be added to the list as a separate major element.</w:t>
      </w:r>
      <w:r w:rsidR="00975D76">
        <w:rPr>
          <w:rFonts w:eastAsia="InvisibleOCR"/>
        </w:rPr>
        <w:t xml:space="preserve"> This purely legal issue may be addressed in the post-hearing briefs.</w:t>
      </w:r>
    </w:p>
    <w:p w14:paraId="568B2225" w14:textId="77777777" w:rsidR="00DF4C37" w:rsidRDefault="00DF4C37" w:rsidP="00DF4C37">
      <w:pPr>
        <w:jc w:val="both"/>
      </w:pPr>
    </w:p>
    <w:p w14:paraId="32A9CD5E" w14:textId="14CA7CB9" w:rsidR="008A45DF" w:rsidRDefault="008A45DF" w:rsidP="00DF4C37">
      <w:pPr>
        <w:jc w:val="both"/>
      </w:pPr>
      <w:r>
        <w:tab/>
      </w:r>
      <w:r w:rsidR="00E34FC6">
        <w:t xml:space="preserve">OPC’s </w:t>
      </w:r>
      <w:r w:rsidR="00DF4C37">
        <w:t xml:space="preserve">proposed element </w:t>
      </w:r>
      <w:r>
        <w:t>seven (</w:t>
      </w:r>
      <w:r w:rsidRPr="00767A29">
        <w:t>Who the Parties Represent</w:t>
      </w:r>
      <w:r>
        <w:t>)</w:t>
      </w:r>
      <w:r w:rsidR="00E34FC6">
        <w:t xml:space="preserve"> is, in the most general sense, an unnecessary restatement of the requirement that the parties demonstrate standing. OPC’s argument at the </w:t>
      </w:r>
      <w:r w:rsidR="00124592">
        <w:t>September 8, 2025 P</w:t>
      </w:r>
      <w:r w:rsidR="00E34FC6">
        <w:t xml:space="preserve">rehearing </w:t>
      </w:r>
      <w:r w:rsidR="00124592">
        <w:t>C</w:t>
      </w:r>
      <w:r w:rsidR="00E34FC6">
        <w:t>onference was that this information is also relevant to</w:t>
      </w:r>
      <w:r w:rsidR="008D4C11">
        <w:t xml:space="preserve"> an ultimate determination to be made by the Commission regarding the nature of the parties that entered the 2025 SSA. OPC’s assertion, joined by FEL and FAIR, is that the Commission needs to identify this issue because </w:t>
      </w:r>
      <w:r w:rsidR="00FF0617">
        <w:t xml:space="preserve">the Commission has made findings relating to the parties to settlement agreements in recent rate cases, such as the </w:t>
      </w:r>
      <w:r w:rsidR="008D4C11">
        <w:t>following</w:t>
      </w:r>
      <w:r w:rsidR="00FF0617">
        <w:t xml:space="preserve"> made in the Supplemental Final Order in FPL’s 2021 rate case:</w:t>
      </w:r>
    </w:p>
    <w:p w14:paraId="37386684" w14:textId="77777777" w:rsidR="008D4C11" w:rsidRDefault="008D4C11" w:rsidP="00DF4C37">
      <w:pPr>
        <w:jc w:val="both"/>
      </w:pPr>
    </w:p>
    <w:p w14:paraId="09C1A7DA" w14:textId="77777777" w:rsidR="008D4C11" w:rsidRDefault="008D4C11" w:rsidP="008D4C11">
      <w:pPr>
        <w:ind w:left="720" w:right="720"/>
        <w:jc w:val="both"/>
      </w:pPr>
      <w:r>
        <w:t>Based on the host of compromises, the 2021 Settlement was signed by most of the parties to this docket. These parties represent a broad cross-section of ratepayers and interests. Those Intervenors who chose to not sign the 2021 Settlement Agreement were provided a full and fair opportunity to contest that proposed resolution consistent with the requirements of due process.</w:t>
      </w:r>
      <w:r>
        <w:rPr>
          <w:rStyle w:val="FootnoteReference"/>
        </w:rPr>
        <w:footnoteReference w:id="11"/>
      </w:r>
    </w:p>
    <w:p w14:paraId="65511E20" w14:textId="77777777" w:rsidR="008D4C11" w:rsidRDefault="008D4C11" w:rsidP="008D4C11">
      <w:pPr>
        <w:ind w:left="720" w:right="720"/>
        <w:jc w:val="both"/>
      </w:pPr>
    </w:p>
    <w:p w14:paraId="73FD99D9" w14:textId="082D3609" w:rsidR="008D4C11" w:rsidRDefault="008D4C11" w:rsidP="008D4C11">
      <w:pPr>
        <w:jc w:val="both"/>
      </w:pPr>
      <w:r>
        <w:t>Th</w:t>
      </w:r>
      <w:r w:rsidR="00D217B1">
        <w:t>e statement</w:t>
      </w:r>
      <w:r w:rsidR="00FF0617">
        <w:t xml:space="preserve"> about a “broad cross</w:t>
      </w:r>
      <w:r w:rsidR="00A25B60">
        <w:t>-section of ratepayers”</w:t>
      </w:r>
      <w:r w:rsidR="00A25B60">
        <w:rPr>
          <w:rStyle w:val="FootnoteReference"/>
        </w:rPr>
        <w:footnoteReference w:id="12"/>
      </w:r>
      <w:r w:rsidR="00A25B60">
        <w:t xml:space="preserve"> </w:t>
      </w:r>
      <w:r w:rsidR="00D217B1">
        <w:t>i</w:t>
      </w:r>
      <w:r w:rsidR="00975D76">
        <w:t>s</w:t>
      </w:r>
      <w:r w:rsidR="00D217B1">
        <w:t xml:space="preserve"> nestled </w:t>
      </w:r>
      <w:r w:rsidR="00975D76">
        <w:t xml:space="preserve">in </w:t>
      </w:r>
      <w:r w:rsidR="00D217B1">
        <w:t>a discussion of</w:t>
      </w:r>
      <w:r w:rsidR="00A25B60">
        <w:t xml:space="preserve"> the public interest</w:t>
      </w:r>
      <w:r w:rsidR="00D217B1">
        <w:t xml:space="preserve">. </w:t>
      </w:r>
      <w:r w:rsidR="00301DBA">
        <w:t xml:space="preserve">The </w:t>
      </w:r>
      <w:r w:rsidR="00D217B1">
        <w:t>statement accurately characterized that record and the Commission’s view of who signed the agreement and who did not.</w:t>
      </w:r>
      <w:r w:rsidR="00301DBA">
        <w:t xml:space="preserve"> This statement and others like it do not create a new major element for consideration in every rate case, and </w:t>
      </w:r>
      <w:r w:rsidR="00D217B1">
        <w:t xml:space="preserve">certainly do </w:t>
      </w:r>
      <w:r>
        <w:t xml:space="preserve">not </w:t>
      </w:r>
      <w:r w:rsidR="005E70A2">
        <w:t>make</w:t>
      </w:r>
      <w:r>
        <w:t xml:space="preserve"> </w:t>
      </w:r>
      <w:r w:rsidR="00D217B1">
        <w:t xml:space="preserve">a comparison of </w:t>
      </w:r>
      <w:r>
        <w:t xml:space="preserve">the specific number of customers represented </w:t>
      </w:r>
      <w:r w:rsidR="00E509A3">
        <w:t xml:space="preserve">by each party </w:t>
      </w:r>
      <w:r>
        <w:t xml:space="preserve">and </w:t>
      </w:r>
      <w:r w:rsidR="00E509A3">
        <w:t>the sum of those customers’</w:t>
      </w:r>
      <w:r>
        <w:t xml:space="preserve"> contributions to the revenue requirement</w:t>
      </w:r>
      <w:r w:rsidR="00D217B1">
        <w:t xml:space="preserve"> a criteria for determining the public interest</w:t>
      </w:r>
      <w:r>
        <w:t>.</w:t>
      </w:r>
      <w:r w:rsidR="005E70A2">
        <w:t xml:space="preserve"> </w:t>
      </w:r>
      <w:r w:rsidR="00A25B60">
        <w:t>OPC’s proposed element seven will not be added to the list as a major element.</w:t>
      </w:r>
    </w:p>
    <w:p w14:paraId="63040D12" w14:textId="77777777" w:rsidR="008A45DF" w:rsidRDefault="008A45DF" w:rsidP="00DF4C37">
      <w:pPr>
        <w:jc w:val="both"/>
      </w:pPr>
    </w:p>
    <w:p w14:paraId="2D765377" w14:textId="6B3991C9" w:rsidR="00DF4C37" w:rsidRDefault="008A45DF" w:rsidP="00DF4C37">
      <w:pPr>
        <w:jc w:val="both"/>
        <w:rPr>
          <w:rFonts w:eastAsia="InvisibleOCR"/>
        </w:rPr>
      </w:pPr>
      <w:r>
        <w:tab/>
        <w:t>OPC proposed element eight (</w:t>
      </w:r>
      <w:r w:rsidRPr="00767A29">
        <w:t>Forecasting</w:t>
      </w:r>
      <w:r>
        <w:t xml:space="preserve">) </w:t>
      </w:r>
      <w:r w:rsidR="00D240BF">
        <w:t>is</w:t>
      </w:r>
      <w:r w:rsidR="00DF4C37">
        <w:t xml:space="preserve"> not </w:t>
      </w:r>
      <w:r w:rsidR="00D240BF">
        <w:t xml:space="preserve">a </w:t>
      </w:r>
      <w:r>
        <w:t>major element of the settlement agreement</w:t>
      </w:r>
      <w:r w:rsidR="00D240BF">
        <w:t>, and is not even mentioned in the agreement.</w:t>
      </w:r>
      <w:r w:rsidR="00C24399">
        <w:t xml:space="preserve"> Like the </w:t>
      </w:r>
      <w:r w:rsidR="00C24399">
        <w:rPr>
          <w:rFonts w:eastAsia="InvisibleOCR"/>
        </w:rPr>
        <w:t>Stochastic Loss of Load Probability Analysis discussed above, forecasting is an analysis that may be relevant to one or more major elements, but is not itself a stand-alone major element.</w:t>
      </w:r>
      <w:r w:rsidR="00C24399" w:rsidRPr="00C24399">
        <w:rPr>
          <w:rFonts w:eastAsia="InvisibleOCR"/>
        </w:rPr>
        <w:t xml:space="preserve"> </w:t>
      </w:r>
      <w:r w:rsidR="00C24399">
        <w:rPr>
          <w:rFonts w:eastAsia="InvisibleOCR"/>
        </w:rPr>
        <w:t>Accordingly, proposed element eight will not be added to the list as a separate major element.</w:t>
      </w:r>
    </w:p>
    <w:p w14:paraId="1A9ABCA4" w14:textId="2A28DF96" w:rsidR="00124592" w:rsidRDefault="00124592" w:rsidP="00DF4C37">
      <w:pPr>
        <w:jc w:val="both"/>
        <w:rPr>
          <w:rFonts w:eastAsia="InvisibleOCR"/>
        </w:rPr>
      </w:pPr>
    </w:p>
    <w:p w14:paraId="7D16439F" w14:textId="09C9FD6D" w:rsidR="00124592" w:rsidRPr="00B11A99" w:rsidRDefault="00124592" w:rsidP="00DF4C37">
      <w:pPr>
        <w:jc w:val="both"/>
      </w:pPr>
      <w:r>
        <w:rPr>
          <w:rFonts w:eastAsia="InvisibleOCR"/>
        </w:rPr>
        <w:tab/>
        <w:t xml:space="preserve">Based on the foregoing, the twenty-nine </w:t>
      </w:r>
      <w:r w:rsidR="007A6AE1">
        <w:rPr>
          <w:rFonts w:eastAsia="InvisibleOCR"/>
        </w:rPr>
        <w:t>m</w:t>
      </w:r>
      <w:r>
        <w:rPr>
          <w:rFonts w:eastAsia="InvisibleOCR"/>
        </w:rPr>
        <w:t xml:space="preserve">ajor </w:t>
      </w:r>
      <w:r w:rsidR="007A6AE1">
        <w:rPr>
          <w:rFonts w:eastAsia="InvisibleOCR"/>
        </w:rPr>
        <w:t>e</w:t>
      </w:r>
      <w:r>
        <w:rPr>
          <w:rFonts w:eastAsia="InvisibleOCR"/>
        </w:rPr>
        <w:t xml:space="preserve">lements listed above shall govern the hearing and post-hearing events scheduled in this docket. </w:t>
      </w:r>
      <w:r w:rsidR="00975D76">
        <w:rPr>
          <w:rFonts w:eastAsia="InvisibleOCR"/>
        </w:rPr>
        <w:t xml:space="preserve">The parties can address the subsumed or fall-out issues under the major elements as explained above. </w:t>
      </w:r>
      <w:r>
        <w:rPr>
          <w:rFonts w:eastAsia="InvisibleOCR"/>
        </w:rPr>
        <w:t>OPC’s request to add eight major elements is denied, as set forth above.</w:t>
      </w:r>
    </w:p>
    <w:p w14:paraId="2F6CD399" w14:textId="03203081" w:rsidR="0065431C" w:rsidRDefault="0065431C" w:rsidP="0065431C">
      <w:pPr>
        <w:pStyle w:val="ListParagraph"/>
        <w:ind w:left="0"/>
        <w:jc w:val="both"/>
        <w:rPr>
          <w:rFonts w:ascii="Times New Roman" w:hAnsi="Times New Roman"/>
          <w:iCs/>
          <w:color w:val="212121"/>
        </w:rPr>
      </w:pPr>
    </w:p>
    <w:p w14:paraId="04F17D4A" w14:textId="740BA42F" w:rsidR="0025635B" w:rsidRDefault="0025635B" w:rsidP="0065431C">
      <w:pPr>
        <w:pStyle w:val="ListParagraph"/>
        <w:ind w:left="0"/>
        <w:jc w:val="both"/>
        <w:rPr>
          <w:rFonts w:ascii="Times New Roman" w:hAnsi="Times New Roman"/>
          <w:iCs/>
          <w:color w:val="212121"/>
        </w:rPr>
      </w:pPr>
    </w:p>
    <w:p w14:paraId="7DA69D7A" w14:textId="2ADE4DA0" w:rsidR="0025635B" w:rsidRDefault="0025635B" w:rsidP="0065431C">
      <w:pPr>
        <w:pStyle w:val="ListParagraph"/>
        <w:ind w:left="0"/>
        <w:jc w:val="both"/>
        <w:rPr>
          <w:rFonts w:ascii="Times New Roman" w:hAnsi="Times New Roman"/>
          <w:iCs/>
          <w:color w:val="212121"/>
        </w:rPr>
      </w:pPr>
    </w:p>
    <w:p w14:paraId="2D54CAF1" w14:textId="77777777" w:rsidR="0025635B" w:rsidRPr="00817318" w:rsidRDefault="0025635B" w:rsidP="0065431C">
      <w:pPr>
        <w:pStyle w:val="ListParagraph"/>
        <w:ind w:left="0"/>
        <w:jc w:val="both"/>
        <w:rPr>
          <w:rFonts w:ascii="Times New Roman" w:hAnsi="Times New Roman"/>
          <w:iCs/>
          <w:color w:val="212121"/>
        </w:rPr>
      </w:pPr>
    </w:p>
    <w:p w14:paraId="7CFE667A" w14:textId="77777777" w:rsidR="0065431C" w:rsidRPr="00817318" w:rsidRDefault="0065431C" w:rsidP="0065431C">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46AE449D" w14:textId="77777777" w:rsidR="0065431C" w:rsidRPr="00817318" w:rsidRDefault="0065431C" w:rsidP="0065431C">
      <w:pPr>
        <w:pStyle w:val="ListParagraph"/>
        <w:ind w:left="0"/>
        <w:jc w:val="both"/>
        <w:rPr>
          <w:rFonts w:ascii="Times New Roman" w:hAnsi="Times New Roman"/>
          <w:iCs/>
          <w:color w:val="212121"/>
        </w:rPr>
      </w:pPr>
    </w:p>
    <w:p w14:paraId="268B2343" w14:textId="77777777" w:rsidR="00CB5276" w:rsidRDefault="0065431C" w:rsidP="001B5FB7">
      <w:pPr>
        <w:pStyle w:val="CenterUnderline"/>
        <w:jc w:val="both"/>
        <w:rPr>
          <w:iCs/>
          <w:color w:val="212121"/>
          <w:u w:val="none"/>
        </w:rPr>
      </w:pPr>
      <w:r w:rsidRPr="001B5FB7">
        <w:rPr>
          <w:iCs/>
          <w:color w:val="212121"/>
          <w:u w:val="none"/>
        </w:rPr>
        <w:tab/>
        <w:t>ORDERED by Chairman Mike La Rosa, as Prehearing Officer, that the</w:t>
      </w:r>
      <w:r w:rsidR="001B5FB7" w:rsidRPr="001B5FB7">
        <w:rPr>
          <w:iCs/>
          <w:color w:val="212121"/>
          <w:u w:val="none"/>
        </w:rPr>
        <w:t xml:space="preserve"> Customer Majority Parties’ Joint Motion to Approve Stipulation and Settlement Agreement is denied without prejudice to refile, as set forth in the body of this Order</w:t>
      </w:r>
      <w:r w:rsidRPr="001B5FB7">
        <w:rPr>
          <w:iCs/>
          <w:color w:val="212121"/>
          <w:u w:val="none"/>
        </w:rPr>
        <w:t>.  It is further,</w:t>
      </w:r>
    </w:p>
    <w:p w14:paraId="42D48E37" w14:textId="77777777" w:rsidR="001B5FB7" w:rsidRDefault="001B5FB7" w:rsidP="001B5FB7">
      <w:pPr>
        <w:pStyle w:val="CenterUnderline"/>
        <w:jc w:val="both"/>
        <w:rPr>
          <w:iCs/>
          <w:color w:val="212121"/>
          <w:u w:val="none"/>
        </w:rPr>
      </w:pPr>
    </w:p>
    <w:p w14:paraId="6F60BBC1" w14:textId="371F71CA" w:rsidR="001B5FB7" w:rsidRDefault="001B5FB7" w:rsidP="001B5FB7">
      <w:pPr>
        <w:pStyle w:val="CenterUnderline"/>
        <w:jc w:val="both"/>
        <w:rPr>
          <w:iCs/>
          <w:color w:val="212121"/>
          <w:u w:val="none"/>
        </w:rPr>
      </w:pPr>
      <w:r>
        <w:rPr>
          <w:iCs/>
          <w:color w:val="212121"/>
          <w:u w:val="none"/>
        </w:rPr>
        <w:tab/>
        <w:t>ORDERED that the Motion for Scheduling Order is denied as moot. I</w:t>
      </w:r>
      <w:r w:rsidR="0015099E">
        <w:rPr>
          <w:iCs/>
          <w:color w:val="212121"/>
          <w:u w:val="none"/>
        </w:rPr>
        <w:t>t</w:t>
      </w:r>
      <w:r>
        <w:rPr>
          <w:iCs/>
          <w:color w:val="212121"/>
          <w:u w:val="none"/>
        </w:rPr>
        <w:t xml:space="preserve"> is further</w:t>
      </w:r>
    </w:p>
    <w:p w14:paraId="6D0FCAE7" w14:textId="77777777" w:rsidR="001B5FB7" w:rsidRDefault="001B5FB7" w:rsidP="001B5FB7">
      <w:pPr>
        <w:pStyle w:val="CenterUnderline"/>
        <w:jc w:val="both"/>
        <w:rPr>
          <w:iCs/>
          <w:color w:val="212121"/>
          <w:u w:val="none"/>
        </w:rPr>
      </w:pPr>
    </w:p>
    <w:p w14:paraId="11E8006C" w14:textId="2DE67356" w:rsidR="001B5FB7" w:rsidRDefault="001B5FB7" w:rsidP="001B5FB7">
      <w:pPr>
        <w:pStyle w:val="CenterUnderline"/>
        <w:jc w:val="both"/>
        <w:rPr>
          <w:iCs/>
          <w:color w:val="212121"/>
          <w:u w:val="none"/>
        </w:rPr>
      </w:pPr>
      <w:r>
        <w:rPr>
          <w:iCs/>
          <w:color w:val="212121"/>
          <w:u w:val="none"/>
        </w:rPr>
        <w:tab/>
        <w:t xml:space="preserve">ORDERED that the list of twenty-nine </w:t>
      </w:r>
      <w:r w:rsidR="007A6AE1">
        <w:rPr>
          <w:iCs/>
          <w:color w:val="212121"/>
          <w:u w:val="none"/>
        </w:rPr>
        <w:t>m</w:t>
      </w:r>
      <w:r>
        <w:rPr>
          <w:iCs/>
          <w:color w:val="212121"/>
          <w:u w:val="none"/>
        </w:rPr>
        <w:t xml:space="preserve">ajor </w:t>
      </w:r>
      <w:r w:rsidR="007A6AE1">
        <w:rPr>
          <w:iCs/>
          <w:color w:val="212121"/>
          <w:u w:val="none"/>
        </w:rPr>
        <w:t>e</w:t>
      </w:r>
      <w:r>
        <w:rPr>
          <w:iCs/>
          <w:color w:val="212121"/>
          <w:u w:val="none"/>
        </w:rPr>
        <w:t>lements is established, as set forth in the body of this Order. It is further</w:t>
      </w:r>
    </w:p>
    <w:p w14:paraId="0C64F67F" w14:textId="77777777" w:rsidR="001B5FB7" w:rsidRDefault="001B5FB7" w:rsidP="001B5FB7">
      <w:pPr>
        <w:pStyle w:val="CenterUnderline"/>
        <w:jc w:val="both"/>
        <w:rPr>
          <w:iCs/>
          <w:color w:val="212121"/>
          <w:u w:val="none"/>
        </w:rPr>
      </w:pPr>
    </w:p>
    <w:p w14:paraId="18510FA6" w14:textId="77777777" w:rsidR="001B5FB7" w:rsidRPr="001B5FB7" w:rsidRDefault="001B5FB7" w:rsidP="001B5FB7">
      <w:pPr>
        <w:pStyle w:val="CenterUnderline"/>
        <w:jc w:val="both"/>
        <w:rPr>
          <w:iCs/>
          <w:color w:val="212121"/>
          <w:u w:val="none"/>
        </w:rPr>
      </w:pPr>
      <w:r>
        <w:rPr>
          <w:iCs/>
          <w:color w:val="212121"/>
          <w:u w:val="none"/>
        </w:rPr>
        <w:tab/>
        <w:t>ORDERED that the request by the Office of Public Counsel to add eight new major elements is denied, as set forth in the body of this Order.</w:t>
      </w:r>
    </w:p>
    <w:p w14:paraId="2FF88EB0" w14:textId="77777777" w:rsidR="0065431C" w:rsidRDefault="0065431C" w:rsidP="0065431C">
      <w:pPr>
        <w:pStyle w:val="OrderBody"/>
        <w:rPr>
          <w:iCs/>
          <w:color w:val="212121"/>
        </w:rPr>
      </w:pPr>
    </w:p>
    <w:p w14:paraId="64687ECC" w14:textId="7AF20B01" w:rsidR="0065431C" w:rsidRDefault="0065431C" w:rsidP="0065431C">
      <w:pPr>
        <w:pStyle w:val="OrderBody"/>
        <w:keepNext/>
        <w:keepLines/>
        <w:rPr>
          <w:iCs/>
          <w:color w:val="212121"/>
        </w:rPr>
      </w:pPr>
      <w:r>
        <w:rPr>
          <w:iCs/>
          <w:color w:val="212121"/>
        </w:rPr>
        <w:tab/>
        <w:t xml:space="preserve">By ORDER of Chairman Mike La Rosa, as Prehearing Officer, this </w:t>
      </w:r>
      <w:bookmarkStart w:id="5" w:name="replaceDate"/>
      <w:bookmarkEnd w:id="5"/>
      <w:r w:rsidR="00FE4D5F">
        <w:rPr>
          <w:iCs/>
          <w:color w:val="212121"/>
          <w:u w:val="single"/>
        </w:rPr>
        <w:t>12th</w:t>
      </w:r>
      <w:r w:rsidR="00FE4D5F">
        <w:rPr>
          <w:iCs/>
          <w:color w:val="212121"/>
        </w:rPr>
        <w:t xml:space="preserve"> day of </w:t>
      </w:r>
      <w:r w:rsidR="00FE4D5F">
        <w:rPr>
          <w:iCs/>
          <w:color w:val="212121"/>
          <w:u w:val="single"/>
        </w:rPr>
        <w:t>September</w:t>
      </w:r>
      <w:r w:rsidR="00FE4D5F">
        <w:rPr>
          <w:iCs/>
          <w:color w:val="212121"/>
        </w:rPr>
        <w:t xml:space="preserve">, </w:t>
      </w:r>
      <w:r w:rsidR="00FE4D5F">
        <w:rPr>
          <w:iCs/>
          <w:color w:val="212121"/>
          <w:u w:val="single"/>
        </w:rPr>
        <w:t>2025</w:t>
      </w:r>
      <w:r w:rsidR="00FE4D5F">
        <w:rPr>
          <w:iCs/>
          <w:color w:val="212121"/>
        </w:rPr>
        <w:t>.</w:t>
      </w:r>
    </w:p>
    <w:p w14:paraId="329D0C64" w14:textId="77777777" w:rsidR="00FE4D5F" w:rsidRPr="00FE4D5F" w:rsidRDefault="00FE4D5F" w:rsidP="0065431C">
      <w:pPr>
        <w:pStyle w:val="OrderBody"/>
        <w:keepNext/>
        <w:keepLines/>
        <w:rPr>
          <w:iCs/>
          <w:color w:val="212121"/>
        </w:rPr>
      </w:pPr>
    </w:p>
    <w:p w14:paraId="17D534F3" w14:textId="77777777" w:rsidR="0065431C" w:rsidRDefault="0065431C" w:rsidP="0065431C">
      <w:pPr>
        <w:pStyle w:val="OrderBody"/>
        <w:keepNext/>
        <w:keepLines/>
        <w:rPr>
          <w:iCs/>
          <w:color w:val="212121"/>
        </w:rPr>
      </w:pPr>
    </w:p>
    <w:p w14:paraId="695D03C6" w14:textId="77777777" w:rsidR="0065431C" w:rsidRDefault="0065431C" w:rsidP="0065431C">
      <w:pPr>
        <w:pStyle w:val="OrderBody"/>
        <w:keepNext/>
        <w:keepLines/>
        <w:rPr>
          <w:iCs/>
          <w:color w:val="212121"/>
        </w:rPr>
      </w:pPr>
    </w:p>
    <w:p w14:paraId="3066B74B" w14:textId="77777777" w:rsidR="0065431C" w:rsidRDefault="0065431C" w:rsidP="0065431C">
      <w:pPr>
        <w:pStyle w:val="OrderBody"/>
        <w:keepNext/>
        <w:keepLines/>
        <w:rPr>
          <w:iCs/>
          <w:color w:val="212121"/>
        </w:rPr>
      </w:pPr>
    </w:p>
    <w:tbl>
      <w:tblPr>
        <w:tblW w:w="4720" w:type="dxa"/>
        <w:tblInd w:w="3800" w:type="dxa"/>
        <w:tblLayout w:type="fixed"/>
        <w:tblLook w:val="0000" w:firstRow="0" w:lastRow="0" w:firstColumn="0" w:lastColumn="0" w:noHBand="0" w:noVBand="0"/>
      </w:tblPr>
      <w:tblGrid>
        <w:gridCol w:w="686"/>
        <w:gridCol w:w="4034"/>
      </w:tblGrid>
      <w:tr w:rsidR="0065431C" w14:paraId="748E1B4D" w14:textId="77777777" w:rsidTr="0065431C">
        <w:tc>
          <w:tcPr>
            <w:tcW w:w="720" w:type="dxa"/>
            <w:shd w:val="clear" w:color="auto" w:fill="auto"/>
          </w:tcPr>
          <w:p w14:paraId="6F929574" w14:textId="77777777" w:rsidR="0065431C" w:rsidRDefault="0065431C" w:rsidP="0065431C">
            <w:pPr>
              <w:pStyle w:val="OrderBody"/>
              <w:keepNext/>
              <w:keepLines/>
            </w:pPr>
            <w:bookmarkStart w:id="6" w:name="bkmrkSignature" w:colFirst="0" w:colLast="0"/>
          </w:p>
        </w:tc>
        <w:tc>
          <w:tcPr>
            <w:tcW w:w="4320" w:type="dxa"/>
            <w:tcBorders>
              <w:bottom w:val="single" w:sz="4" w:space="0" w:color="auto"/>
            </w:tcBorders>
            <w:shd w:val="clear" w:color="auto" w:fill="auto"/>
          </w:tcPr>
          <w:p w14:paraId="657C81D8" w14:textId="561D8A12" w:rsidR="0065431C" w:rsidRDefault="0033289A" w:rsidP="0065431C">
            <w:pPr>
              <w:pStyle w:val="OrderBody"/>
              <w:keepNext/>
              <w:keepLines/>
            </w:pPr>
            <w:r>
              <w:t>/s/ Mike La Rosa</w:t>
            </w:r>
            <w:bookmarkStart w:id="7" w:name="_GoBack"/>
            <w:bookmarkEnd w:id="7"/>
          </w:p>
        </w:tc>
      </w:tr>
      <w:bookmarkEnd w:id="6"/>
      <w:tr w:rsidR="0065431C" w14:paraId="1B169E7F" w14:textId="77777777" w:rsidTr="0065431C">
        <w:tc>
          <w:tcPr>
            <w:tcW w:w="720" w:type="dxa"/>
            <w:shd w:val="clear" w:color="auto" w:fill="auto"/>
          </w:tcPr>
          <w:p w14:paraId="0ABA3F07" w14:textId="77777777" w:rsidR="0065431C" w:rsidRDefault="0065431C" w:rsidP="0065431C">
            <w:pPr>
              <w:pStyle w:val="OrderBody"/>
              <w:keepNext/>
              <w:keepLines/>
            </w:pPr>
          </w:p>
        </w:tc>
        <w:tc>
          <w:tcPr>
            <w:tcW w:w="4320" w:type="dxa"/>
            <w:tcBorders>
              <w:top w:val="single" w:sz="4" w:space="0" w:color="auto"/>
            </w:tcBorders>
            <w:shd w:val="clear" w:color="auto" w:fill="auto"/>
          </w:tcPr>
          <w:p w14:paraId="2610B24E" w14:textId="77777777" w:rsidR="0065431C" w:rsidRDefault="0065431C" w:rsidP="0065431C">
            <w:pPr>
              <w:pStyle w:val="OrderBody"/>
              <w:keepNext/>
              <w:keepLines/>
            </w:pPr>
            <w:r>
              <w:t>Mike La Rosa</w:t>
            </w:r>
          </w:p>
          <w:p w14:paraId="69952E1B" w14:textId="77777777" w:rsidR="0065431C" w:rsidRDefault="0065431C" w:rsidP="0065431C">
            <w:pPr>
              <w:pStyle w:val="OrderBody"/>
              <w:keepNext/>
              <w:keepLines/>
            </w:pPr>
            <w:r>
              <w:t>Chairman and Prehearing Officer</w:t>
            </w:r>
          </w:p>
        </w:tc>
      </w:tr>
    </w:tbl>
    <w:p w14:paraId="4DCB3C10" w14:textId="77777777" w:rsidR="0065431C" w:rsidRDefault="0065431C" w:rsidP="0065431C">
      <w:pPr>
        <w:pStyle w:val="OrderSigInfo"/>
        <w:keepNext/>
        <w:keepLines/>
      </w:pPr>
      <w:r>
        <w:t>Florida Public Service Commission</w:t>
      </w:r>
    </w:p>
    <w:p w14:paraId="08CC080F" w14:textId="77777777" w:rsidR="0065431C" w:rsidRDefault="0065431C" w:rsidP="0065431C">
      <w:pPr>
        <w:pStyle w:val="OrderSigInfo"/>
        <w:keepNext/>
        <w:keepLines/>
      </w:pPr>
      <w:r>
        <w:t>2540 Shumard Oak Boulevard</w:t>
      </w:r>
    </w:p>
    <w:p w14:paraId="165DDD8D" w14:textId="77777777" w:rsidR="0065431C" w:rsidRDefault="0065431C" w:rsidP="0065431C">
      <w:pPr>
        <w:pStyle w:val="OrderSigInfo"/>
        <w:keepNext/>
        <w:keepLines/>
      </w:pPr>
      <w:r>
        <w:t>Tallahassee, Florida 32399</w:t>
      </w:r>
    </w:p>
    <w:p w14:paraId="2A09233F" w14:textId="77777777" w:rsidR="0065431C" w:rsidRDefault="0065431C" w:rsidP="0065431C">
      <w:pPr>
        <w:pStyle w:val="OrderSigInfo"/>
        <w:keepNext/>
        <w:keepLines/>
      </w:pPr>
      <w:r>
        <w:t>(850) 413</w:t>
      </w:r>
      <w:r>
        <w:noBreakHyphen/>
        <w:t>6770</w:t>
      </w:r>
    </w:p>
    <w:p w14:paraId="3B99E421" w14:textId="77777777" w:rsidR="0065431C" w:rsidRDefault="0065431C" w:rsidP="0065431C">
      <w:pPr>
        <w:pStyle w:val="OrderSigInfo"/>
        <w:keepNext/>
        <w:keepLines/>
      </w:pPr>
      <w:r>
        <w:t>www.floridapsc.com</w:t>
      </w:r>
    </w:p>
    <w:p w14:paraId="19D1A154" w14:textId="77777777" w:rsidR="0065431C" w:rsidRDefault="0065431C" w:rsidP="0065431C">
      <w:pPr>
        <w:pStyle w:val="OrderSigInfo"/>
        <w:keepNext/>
        <w:keepLines/>
      </w:pPr>
    </w:p>
    <w:p w14:paraId="1A26D71B" w14:textId="77777777" w:rsidR="0065431C" w:rsidRDefault="0065431C" w:rsidP="0065431C">
      <w:pPr>
        <w:pStyle w:val="OrderSigInfo"/>
        <w:keepNext/>
        <w:keepLines/>
      </w:pPr>
      <w:r>
        <w:t>Copies furnished:  A copy of this document is provided to the parties of record at the time of issuance and, if applicable, interested persons.</w:t>
      </w:r>
    </w:p>
    <w:p w14:paraId="5F16D423" w14:textId="77777777" w:rsidR="0065431C" w:rsidRDefault="0065431C" w:rsidP="0065431C">
      <w:pPr>
        <w:pStyle w:val="OrderBody"/>
        <w:keepNext/>
        <w:keepLines/>
      </w:pPr>
    </w:p>
    <w:p w14:paraId="09D53ECD" w14:textId="77777777" w:rsidR="0065431C" w:rsidRDefault="0065431C" w:rsidP="0065431C">
      <w:pPr>
        <w:pStyle w:val="OrderBody"/>
        <w:keepNext/>
        <w:keepLines/>
      </w:pPr>
    </w:p>
    <w:p w14:paraId="54D6EA28" w14:textId="77777777" w:rsidR="0065431C" w:rsidRDefault="0065431C" w:rsidP="0065431C">
      <w:pPr>
        <w:pStyle w:val="OrderBody"/>
        <w:keepNext/>
        <w:keepLines/>
      </w:pPr>
      <w:r>
        <w:t>SPS</w:t>
      </w:r>
    </w:p>
    <w:p w14:paraId="53E1D666" w14:textId="77777777" w:rsidR="0065431C" w:rsidRDefault="0065431C" w:rsidP="0065431C">
      <w:pPr>
        <w:pStyle w:val="OrderBody"/>
      </w:pPr>
    </w:p>
    <w:p w14:paraId="19EAE70A" w14:textId="0B516D45" w:rsidR="0065431C" w:rsidRDefault="0065431C" w:rsidP="0065431C">
      <w:pPr>
        <w:pStyle w:val="OrderBody"/>
      </w:pPr>
    </w:p>
    <w:p w14:paraId="4DD9A4AA" w14:textId="5671857D" w:rsidR="0025635B" w:rsidRDefault="0025635B" w:rsidP="0065431C">
      <w:pPr>
        <w:pStyle w:val="OrderBody"/>
      </w:pPr>
    </w:p>
    <w:p w14:paraId="5C1AFF20" w14:textId="1A4FE59B" w:rsidR="0025635B" w:rsidRDefault="0025635B" w:rsidP="0065431C">
      <w:pPr>
        <w:pStyle w:val="OrderBody"/>
      </w:pPr>
    </w:p>
    <w:p w14:paraId="062839FD" w14:textId="4174EDFB" w:rsidR="0025635B" w:rsidRDefault="0025635B" w:rsidP="0065431C">
      <w:pPr>
        <w:pStyle w:val="OrderBody"/>
      </w:pPr>
    </w:p>
    <w:p w14:paraId="3DDA9172" w14:textId="3A465F88" w:rsidR="0025635B" w:rsidRDefault="0025635B" w:rsidP="0065431C">
      <w:pPr>
        <w:pStyle w:val="OrderBody"/>
      </w:pPr>
    </w:p>
    <w:p w14:paraId="38CBB99A" w14:textId="4F749C77" w:rsidR="0025635B" w:rsidRDefault="0025635B" w:rsidP="0065431C">
      <w:pPr>
        <w:pStyle w:val="OrderBody"/>
      </w:pPr>
    </w:p>
    <w:p w14:paraId="47A36017" w14:textId="3BD69D7E" w:rsidR="0025635B" w:rsidRDefault="0025635B" w:rsidP="0065431C">
      <w:pPr>
        <w:pStyle w:val="OrderBody"/>
      </w:pPr>
    </w:p>
    <w:p w14:paraId="3364AF55" w14:textId="6913DF44" w:rsidR="0025635B" w:rsidRDefault="0025635B" w:rsidP="0065431C">
      <w:pPr>
        <w:pStyle w:val="OrderBody"/>
      </w:pPr>
    </w:p>
    <w:p w14:paraId="3A69103D" w14:textId="77777777" w:rsidR="0025635B" w:rsidRDefault="0025635B" w:rsidP="0065431C">
      <w:pPr>
        <w:pStyle w:val="OrderBody"/>
      </w:pPr>
    </w:p>
    <w:p w14:paraId="63AE3842" w14:textId="77777777" w:rsidR="0065431C" w:rsidRDefault="0065431C" w:rsidP="0065431C">
      <w:pPr>
        <w:pStyle w:val="CenterUnderline"/>
      </w:pPr>
      <w:r>
        <w:t>NOTICE OF FURTHER PROCEEDINGS OR JUDICIAL REVIEW</w:t>
      </w:r>
    </w:p>
    <w:p w14:paraId="2DB11CB6" w14:textId="77777777" w:rsidR="0065431C" w:rsidRDefault="0065431C" w:rsidP="0065431C">
      <w:pPr>
        <w:pStyle w:val="CenterUnderline"/>
      </w:pPr>
    </w:p>
    <w:p w14:paraId="7EA738B2" w14:textId="77777777" w:rsidR="0065431C" w:rsidRDefault="0065431C" w:rsidP="0065431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03708E9" w14:textId="77777777" w:rsidR="0065431C" w:rsidRDefault="0065431C" w:rsidP="0065431C">
      <w:pPr>
        <w:pStyle w:val="OrderBody"/>
      </w:pPr>
    </w:p>
    <w:p w14:paraId="0A5DC36A" w14:textId="77777777" w:rsidR="0065431C" w:rsidRDefault="0065431C" w:rsidP="0065431C">
      <w:pPr>
        <w:pStyle w:val="OrderBody"/>
      </w:pPr>
      <w:r>
        <w:tab/>
        <w:t>Mediation may be available on a case-by-case basis.  If mediation is conducted, it does not affect a substantially interested person's right to a hearing.</w:t>
      </w:r>
    </w:p>
    <w:p w14:paraId="4A1E7B38" w14:textId="77777777" w:rsidR="0065431C" w:rsidRDefault="0065431C" w:rsidP="0065431C">
      <w:pPr>
        <w:pStyle w:val="OrderBody"/>
      </w:pPr>
    </w:p>
    <w:p w14:paraId="0E69F8A6" w14:textId="77777777" w:rsidR="0065431C" w:rsidRDefault="0065431C" w:rsidP="0065431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274C1F6" w14:textId="77777777" w:rsidR="0065431C" w:rsidRDefault="0065431C" w:rsidP="0065431C">
      <w:pPr>
        <w:pStyle w:val="OrderBody"/>
      </w:pPr>
    </w:p>
    <w:sectPr w:rsidR="0065431C">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785D6" w14:textId="77777777" w:rsidR="0065431C" w:rsidRDefault="0065431C">
      <w:r>
        <w:separator/>
      </w:r>
    </w:p>
  </w:endnote>
  <w:endnote w:type="continuationSeparator" w:id="0">
    <w:p w14:paraId="330CC439" w14:textId="77777777" w:rsidR="0065431C" w:rsidRDefault="0065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B81AF" w14:textId="77777777" w:rsidR="0065431C" w:rsidRDefault="0065431C">
      <w:r>
        <w:separator/>
      </w:r>
    </w:p>
  </w:footnote>
  <w:footnote w:type="continuationSeparator" w:id="0">
    <w:p w14:paraId="1B22205C" w14:textId="77777777" w:rsidR="0065431C" w:rsidRDefault="0065431C">
      <w:r>
        <w:continuationSeparator/>
      </w:r>
    </w:p>
  </w:footnote>
  <w:footnote w:id="1">
    <w:p w14:paraId="364C8F8D" w14:textId="77777777" w:rsidR="00AF751E" w:rsidRDefault="00AF751E">
      <w:pPr>
        <w:pStyle w:val="FootnoteText"/>
      </w:pPr>
      <w:r>
        <w:rPr>
          <w:rStyle w:val="FootnoteReference"/>
        </w:rPr>
        <w:footnoteRef/>
      </w:r>
      <w:r>
        <w:t xml:space="preserve"> Order No. PSC-2025-0323-PCO-EI.</w:t>
      </w:r>
    </w:p>
  </w:footnote>
  <w:footnote w:id="2">
    <w:p w14:paraId="322BEBF7" w14:textId="77777777" w:rsidR="000D0E89" w:rsidRDefault="000D0E89">
      <w:pPr>
        <w:pStyle w:val="FootnoteText"/>
      </w:pPr>
      <w:r>
        <w:rPr>
          <w:rStyle w:val="FootnoteReference"/>
        </w:rPr>
        <w:footnoteRef/>
      </w:r>
      <w:r>
        <w:t xml:space="preserve"> FPL styled its Response “Florida Power &amp; Light Company’s Response in Opposition to the Joint Motion of OPC, FEL, and FAIR Requesting Additional Rounds of Testimony.”</w:t>
      </w:r>
    </w:p>
  </w:footnote>
  <w:footnote w:id="3">
    <w:p w14:paraId="51FE3561" w14:textId="53A7F867" w:rsidR="003574CD" w:rsidRPr="003574CD" w:rsidRDefault="003574CD">
      <w:pPr>
        <w:pStyle w:val="FootnoteText"/>
      </w:pPr>
      <w:r w:rsidRPr="003574CD">
        <w:rPr>
          <w:rStyle w:val="FootnoteReference"/>
        </w:rPr>
        <w:footnoteRef/>
      </w:r>
      <w:r w:rsidRPr="003574CD">
        <w:t xml:space="preserve"> </w:t>
      </w:r>
      <w:r w:rsidRPr="00355438">
        <w:rPr>
          <w:i/>
          <w:bdr w:val="none" w:sz="0" w:space="0" w:color="auto" w:frame="1"/>
        </w:rPr>
        <w:t>Floridians Against Increased Rates, Inc. v. Clark</w:t>
      </w:r>
      <w:r w:rsidRPr="00355438">
        <w:t>, 371 So. 3d 905, 912 (Fla. 2023)</w:t>
      </w:r>
      <w:r>
        <w:t xml:space="preserve"> (internal quotations and citations omitted)</w:t>
      </w:r>
      <w:r w:rsidR="00194E2A">
        <w:t xml:space="preserve"> (hereinafter “</w:t>
      </w:r>
      <w:r w:rsidR="00194E2A">
        <w:rPr>
          <w:i/>
        </w:rPr>
        <w:t>FAIR</w:t>
      </w:r>
      <w:r w:rsidR="00194E2A">
        <w:t>”)</w:t>
      </w:r>
      <w:r>
        <w:t>.</w:t>
      </w:r>
    </w:p>
  </w:footnote>
  <w:footnote w:id="4">
    <w:p w14:paraId="5A08311B" w14:textId="77777777" w:rsidR="00322933" w:rsidRDefault="00322933">
      <w:pPr>
        <w:pStyle w:val="FootnoteText"/>
      </w:pPr>
      <w:r>
        <w:rPr>
          <w:rStyle w:val="FootnoteReference"/>
        </w:rPr>
        <w:footnoteRef/>
      </w:r>
      <w:r>
        <w:t xml:space="preserve"> This list may be found on page 2 of Document No. 09065-2025 in this Docket.</w:t>
      </w:r>
    </w:p>
  </w:footnote>
  <w:footnote w:id="5">
    <w:p w14:paraId="0750B280" w14:textId="77777777" w:rsidR="0050120E" w:rsidRPr="002C34C8" w:rsidRDefault="0050120E">
      <w:pPr>
        <w:pStyle w:val="FootnoteText"/>
      </w:pPr>
      <w:r>
        <w:rPr>
          <w:rStyle w:val="FootnoteReference"/>
        </w:rPr>
        <w:footnoteRef/>
      </w:r>
      <w:r>
        <w:t xml:space="preserve"> </w:t>
      </w:r>
      <w:r w:rsidR="00565FB8">
        <w:t>Secti</w:t>
      </w:r>
      <w:r w:rsidR="00565FB8" w:rsidRPr="00B26A3D">
        <w:t>on 366.06(2), F.S., which governs the procedures for fixing and charging rates, provides that the Commission may determine just and reasonable rates “</w:t>
      </w:r>
      <w:r w:rsidRPr="00B26A3D">
        <w:t>upon request ma</w:t>
      </w:r>
      <w:r w:rsidR="00565FB8" w:rsidRPr="00B26A3D">
        <w:t>d</w:t>
      </w:r>
      <w:r w:rsidRPr="00B26A3D">
        <w:t xml:space="preserve">e </w:t>
      </w:r>
      <w:r w:rsidRPr="005F01DA">
        <w:rPr>
          <w:i/>
        </w:rPr>
        <w:t>or its own motion</w:t>
      </w:r>
      <w:r w:rsidR="00565FB8" w:rsidRPr="00B26A3D">
        <w:t xml:space="preserve"> . . . .”</w:t>
      </w:r>
      <w:r w:rsidR="002C34C8" w:rsidRPr="00B26A3D">
        <w:t xml:space="preserve"> </w:t>
      </w:r>
    </w:p>
  </w:footnote>
  <w:footnote w:id="6">
    <w:p w14:paraId="3DDC9C3C" w14:textId="0B6CD300" w:rsidR="00C1184D" w:rsidRDefault="00C1184D">
      <w:pPr>
        <w:pStyle w:val="FootnoteText"/>
      </w:pPr>
      <w:r>
        <w:rPr>
          <w:rStyle w:val="FootnoteReference"/>
        </w:rPr>
        <w:footnoteRef/>
      </w:r>
      <w:r>
        <w:t xml:space="preserve"> </w:t>
      </w:r>
      <w:r w:rsidRPr="005F01DA">
        <w:rPr>
          <w:i/>
        </w:rPr>
        <w:t xml:space="preserve">See </w:t>
      </w:r>
      <w:r w:rsidR="001958B3">
        <w:t xml:space="preserve">Order No. 8610, issued </w:t>
      </w:r>
      <w:r w:rsidR="001958B3" w:rsidRPr="00B26A3D">
        <w:t>December 21, 1978</w:t>
      </w:r>
      <w:r w:rsidR="001958B3">
        <w:t xml:space="preserve">, in </w:t>
      </w:r>
      <w:r w:rsidR="001958B3" w:rsidRPr="00B26A3D">
        <w:t>Docket No. 780793</w:t>
      </w:r>
      <w:r w:rsidR="00252FD9">
        <w:t xml:space="preserve">-EU, </w:t>
      </w:r>
      <w:r w:rsidRPr="005F01DA">
        <w:rPr>
          <w:i/>
        </w:rPr>
        <w:t>In re: Show Cause Order to Electric Utilities Concerning Peak Load Pricing for General Service Customers</w:t>
      </w:r>
      <w:r w:rsidRPr="00B26A3D">
        <w:t>.</w:t>
      </w:r>
    </w:p>
  </w:footnote>
  <w:footnote w:id="7">
    <w:p w14:paraId="53628B6D" w14:textId="77777777" w:rsidR="00B26A3D" w:rsidRPr="00B26A3D" w:rsidRDefault="00B26A3D">
      <w:pPr>
        <w:pStyle w:val="FootnoteText"/>
      </w:pPr>
      <w:r w:rsidRPr="00B26A3D">
        <w:rPr>
          <w:rStyle w:val="FootnoteReference"/>
        </w:rPr>
        <w:footnoteRef/>
      </w:r>
      <w:r w:rsidRPr="00B26A3D">
        <w:t xml:space="preserve"> </w:t>
      </w:r>
      <w:r w:rsidRPr="005F01DA">
        <w:rPr>
          <w:i/>
        </w:rPr>
        <w:t>See</w:t>
      </w:r>
      <w:r w:rsidRPr="00B26A3D">
        <w:t xml:space="preserve"> Section 120.57(4), F.S. (“</w:t>
      </w:r>
      <w:r w:rsidRPr="00B26A3D">
        <w:rPr>
          <w:shd w:val="clear" w:color="auto" w:fill="FFFFFF"/>
        </w:rPr>
        <w:t>Unless precluded by law, informal disposition may be made of any proceeding by stipulation, agreed settlement, or consent order.”).</w:t>
      </w:r>
    </w:p>
  </w:footnote>
  <w:footnote w:id="8">
    <w:p w14:paraId="068BC871" w14:textId="77777777" w:rsidR="00D66E70" w:rsidRPr="00D66E70" w:rsidRDefault="00D66E70">
      <w:pPr>
        <w:pStyle w:val="FootnoteText"/>
      </w:pPr>
      <w:r>
        <w:rPr>
          <w:rStyle w:val="FootnoteReference"/>
        </w:rPr>
        <w:footnoteRef/>
      </w:r>
      <w:r>
        <w:t xml:space="preserve"> </w:t>
      </w:r>
      <w:r w:rsidRPr="005F01DA">
        <w:rPr>
          <w:i/>
        </w:rPr>
        <w:t>Black’s Law Dictionary</w:t>
      </w:r>
      <w:r>
        <w:t>, (12</w:t>
      </w:r>
      <w:r w:rsidRPr="00D66E70">
        <w:rPr>
          <w:vertAlign w:val="superscript"/>
        </w:rPr>
        <w:t>th</w:t>
      </w:r>
      <w:r>
        <w:t xml:space="preserve"> ed. 2024), online version last visited 09/10/25.</w:t>
      </w:r>
    </w:p>
  </w:footnote>
  <w:footnote w:id="9">
    <w:p w14:paraId="3B95437C" w14:textId="77777777" w:rsidR="00FB4653" w:rsidRPr="0002449C" w:rsidRDefault="00FB4653" w:rsidP="00FB4653">
      <w:pPr>
        <w:pStyle w:val="FootnoteText"/>
      </w:pPr>
      <w:r>
        <w:rPr>
          <w:rStyle w:val="FootnoteReference"/>
        </w:rPr>
        <w:footnoteRef/>
      </w:r>
      <w:r>
        <w:t xml:space="preserve"> FPL correctly asserts that non-signatories are not bound by the terms of settlement agreements. </w:t>
      </w:r>
      <w:r>
        <w:rPr>
          <w:i/>
        </w:rPr>
        <w:t xml:space="preserve">See </w:t>
      </w:r>
      <w:r>
        <w:t xml:space="preserve">Response in Opposition to the Joint Motion of OPC, FEL, and FAIR Requesting Additional Rounds of Testimony at 6, n. 10. However, utilities are bound by the terms of this Commission’s orders, </w:t>
      </w:r>
      <w:r w:rsidR="001641E0">
        <w:t>including orders approving settlement agreements</w:t>
      </w:r>
      <w:r>
        <w:t>.</w:t>
      </w:r>
    </w:p>
  </w:footnote>
  <w:footnote w:id="10">
    <w:p w14:paraId="684ABADF" w14:textId="77777777" w:rsidR="00C24399" w:rsidRPr="00C1184D" w:rsidRDefault="00C24399" w:rsidP="00C24399">
      <w:pPr>
        <w:pStyle w:val="FootnoteText"/>
      </w:pPr>
      <w:r>
        <w:rPr>
          <w:rStyle w:val="FootnoteReference"/>
        </w:rPr>
        <w:footnoteRef/>
      </w:r>
      <w:r>
        <w:t xml:space="preserve"> </w:t>
      </w:r>
      <w:r w:rsidRPr="005F01DA">
        <w:rPr>
          <w:i/>
        </w:rPr>
        <w:t>Citizens v. Florida Public Serv. Comm.</w:t>
      </w:r>
      <w:r>
        <w:t>, 146 So. 3d 1143 (Fla. 2014).</w:t>
      </w:r>
    </w:p>
  </w:footnote>
  <w:footnote w:id="11">
    <w:p w14:paraId="15EFDA27" w14:textId="77777777" w:rsidR="008D4C11" w:rsidRPr="00A25B60" w:rsidRDefault="008D4C11">
      <w:pPr>
        <w:pStyle w:val="FootnoteText"/>
      </w:pPr>
      <w:r>
        <w:rPr>
          <w:rStyle w:val="FootnoteReference"/>
        </w:rPr>
        <w:footnoteRef/>
      </w:r>
      <w:r>
        <w:t xml:space="preserve"> </w:t>
      </w:r>
      <w:r w:rsidRPr="00A25B60">
        <w:t>Order No. PSC-2024-0078-FOF-EI at p. 36.</w:t>
      </w:r>
    </w:p>
  </w:footnote>
  <w:footnote w:id="12">
    <w:p w14:paraId="2D90B52E" w14:textId="77777777" w:rsidR="00A25B60" w:rsidRPr="00A25B60" w:rsidRDefault="00A25B60" w:rsidP="00A25B60">
      <w:pPr>
        <w:autoSpaceDE w:val="0"/>
        <w:autoSpaceDN w:val="0"/>
        <w:adjustRightInd w:val="0"/>
      </w:pPr>
      <w:r w:rsidRPr="00A25B60">
        <w:rPr>
          <w:rStyle w:val="FootnoteReference"/>
          <w:sz w:val="20"/>
          <w:szCs w:val="20"/>
        </w:rPr>
        <w:footnoteRef/>
      </w:r>
      <w:r w:rsidRPr="00A25B60">
        <w:rPr>
          <w:sz w:val="20"/>
          <w:szCs w:val="20"/>
        </w:rPr>
        <w:t xml:space="preserve"> The same Order also references “a broad spectrum of ratepayers and interests.” </w:t>
      </w:r>
      <w:r w:rsidRPr="005F01DA">
        <w:rPr>
          <w:i/>
          <w:sz w:val="20"/>
          <w:szCs w:val="20"/>
        </w:rPr>
        <w:t>Id.</w:t>
      </w:r>
      <w:r w:rsidRPr="00A25B60">
        <w:rPr>
          <w:sz w:val="20"/>
          <w:szCs w:val="20"/>
        </w:rPr>
        <w:t xml:space="preserve"> at 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B7CD" w14:textId="74532B9C" w:rsidR="00FA6EFD" w:rsidRDefault="00FA6EFD">
    <w:pPr>
      <w:pStyle w:val="OrderHeader"/>
    </w:pPr>
    <w:r>
      <w:t xml:space="preserve">ORDER NO. </w:t>
    </w:r>
    <w:r w:rsidR="0033289A">
      <w:fldChar w:fldCharType="begin"/>
    </w:r>
    <w:r w:rsidR="0033289A">
      <w:instrText xml:space="preserve"> REF OrderNo0345 </w:instrText>
    </w:r>
    <w:r w:rsidR="0033289A">
      <w:fldChar w:fldCharType="separate"/>
    </w:r>
    <w:r w:rsidR="0033289A">
      <w:t>PSC-2025-0345-PCO-EI</w:t>
    </w:r>
    <w:r w:rsidR="0033289A">
      <w:fldChar w:fldCharType="end"/>
    </w:r>
  </w:p>
  <w:p w14:paraId="7AB40D15" w14:textId="77777777" w:rsidR="00FA6EFD" w:rsidRDefault="0065431C">
    <w:pPr>
      <w:pStyle w:val="OrderHeader"/>
    </w:pPr>
    <w:bookmarkStart w:id="8" w:name="HeaderDocketNo"/>
    <w:bookmarkEnd w:id="8"/>
    <w:r>
      <w:t>DOCKET NO. 20250011-EI</w:t>
    </w:r>
  </w:p>
  <w:p w14:paraId="6866E81F" w14:textId="75263B4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289A">
      <w:rPr>
        <w:rStyle w:val="PageNumber"/>
        <w:noProof/>
      </w:rPr>
      <w:t>7</w:t>
    </w:r>
    <w:r>
      <w:rPr>
        <w:rStyle w:val="PageNumber"/>
      </w:rPr>
      <w:fldChar w:fldCharType="end"/>
    </w:r>
  </w:p>
  <w:p w14:paraId="4EE3D31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431C"/>
    <w:rsid w:val="000022B8"/>
    <w:rsid w:val="00003883"/>
    <w:rsid w:val="00011251"/>
    <w:rsid w:val="0001667E"/>
    <w:rsid w:val="00025C2A"/>
    <w:rsid w:val="00025C9D"/>
    <w:rsid w:val="00027BC9"/>
    <w:rsid w:val="0003433F"/>
    <w:rsid w:val="00035A8C"/>
    <w:rsid w:val="000365EB"/>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6944"/>
    <w:rsid w:val="000A774F"/>
    <w:rsid w:val="000B1603"/>
    <w:rsid w:val="000B783E"/>
    <w:rsid w:val="000B7AD2"/>
    <w:rsid w:val="000B7D81"/>
    <w:rsid w:val="000C1994"/>
    <w:rsid w:val="000C45E5"/>
    <w:rsid w:val="000C6926"/>
    <w:rsid w:val="000D02B8"/>
    <w:rsid w:val="000D06E8"/>
    <w:rsid w:val="000D0E89"/>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592"/>
    <w:rsid w:val="001259EC"/>
    <w:rsid w:val="00126593"/>
    <w:rsid w:val="00134177"/>
    <w:rsid w:val="00136087"/>
    <w:rsid w:val="00142A96"/>
    <w:rsid w:val="0015099E"/>
    <w:rsid w:val="001513DE"/>
    <w:rsid w:val="00154A71"/>
    <w:rsid w:val="001641E0"/>
    <w:rsid w:val="001655D4"/>
    <w:rsid w:val="00165803"/>
    <w:rsid w:val="00176A37"/>
    <w:rsid w:val="0018368D"/>
    <w:rsid w:val="00187E32"/>
    <w:rsid w:val="001918FF"/>
    <w:rsid w:val="00194A97"/>
    <w:rsid w:val="00194E2A"/>
    <w:rsid w:val="00194E81"/>
    <w:rsid w:val="001958B3"/>
    <w:rsid w:val="001A15E7"/>
    <w:rsid w:val="001A33C9"/>
    <w:rsid w:val="001A58F3"/>
    <w:rsid w:val="001B034E"/>
    <w:rsid w:val="001B5FB7"/>
    <w:rsid w:val="001C2847"/>
    <w:rsid w:val="001C3BB5"/>
    <w:rsid w:val="001C3F8C"/>
    <w:rsid w:val="001C445C"/>
    <w:rsid w:val="001C6097"/>
    <w:rsid w:val="001C6B8B"/>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570"/>
    <w:rsid w:val="00241CEF"/>
    <w:rsid w:val="0025124E"/>
    <w:rsid w:val="00252B30"/>
    <w:rsid w:val="00252FD9"/>
    <w:rsid w:val="00255291"/>
    <w:rsid w:val="0025635B"/>
    <w:rsid w:val="002613E4"/>
    <w:rsid w:val="00262C43"/>
    <w:rsid w:val="0026544B"/>
    <w:rsid w:val="00270F89"/>
    <w:rsid w:val="00276CDC"/>
    <w:rsid w:val="00277655"/>
    <w:rsid w:val="00281454"/>
    <w:rsid w:val="002824B7"/>
    <w:rsid w:val="00282AC4"/>
    <w:rsid w:val="00293DC9"/>
    <w:rsid w:val="00297C37"/>
    <w:rsid w:val="002A11AC"/>
    <w:rsid w:val="002A1B95"/>
    <w:rsid w:val="002A6F30"/>
    <w:rsid w:val="002A7884"/>
    <w:rsid w:val="002B3111"/>
    <w:rsid w:val="002B3FF6"/>
    <w:rsid w:val="002C09F5"/>
    <w:rsid w:val="002C118E"/>
    <w:rsid w:val="002C2096"/>
    <w:rsid w:val="002C34C8"/>
    <w:rsid w:val="002C7908"/>
    <w:rsid w:val="002D0D8D"/>
    <w:rsid w:val="002D391B"/>
    <w:rsid w:val="002D4B1F"/>
    <w:rsid w:val="002D7D15"/>
    <w:rsid w:val="002E1B2E"/>
    <w:rsid w:val="002E27EB"/>
    <w:rsid w:val="002E4EF4"/>
    <w:rsid w:val="002E78B6"/>
    <w:rsid w:val="002F04AD"/>
    <w:rsid w:val="002F0F1A"/>
    <w:rsid w:val="002F0F1C"/>
    <w:rsid w:val="002F2A9D"/>
    <w:rsid w:val="002F31C2"/>
    <w:rsid w:val="002F7BF6"/>
    <w:rsid w:val="00301DBA"/>
    <w:rsid w:val="00303FDE"/>
    <w:rsid w:val="00313C5B"/>
    <w:rsid w:val="003140E8"/>
    <w:rsid w:val="00321702"/>
    <w:rsid w:val="00322933"/>
    <w:rsid w:val="003231C7"/>
    <w:rsid w:val="00323839"/>
    <w:rsid w:val="003270C4"/>
    <w:rsid w:val="00331ED0"/>
    <w:rsid w:val="0033289A"/>
    <w:rsid w:val="00332B0A"/>
    <w:rsid w:val="00333A41"/>
    <w:rsid w:val="00341036"/>
    <w:rsid w:val="0034275B"/>
    <w:rsid w:val="00345434"/>
    <w:rsid w:val="00351C22"/>
    <w:rsid w:val="0035495B"/>
    <w:rsid w:val="00355438"/>
    <w:rsid w:val="00355A93"/>
    <w:rsid w:val="003574CD"/>
    <w:rsid w:val="00360F30"/>
    <w:rsid w:val="00361522"/>
    <w:rsid w:val="0037196E"/>
    <w:rsid w:val="003744F5"/>
    <w:rsid w:val="00382C6A"/>
    <w:rsid w:val="00384B9B"/>
    <w:rsid w:val="00385383"/>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45FD"/>
    <w:rsid w:val="003E711F"/>
    <w:rsid w:val="003F1D2B"/>
    <w:rsid w:val="003F3A44"/>
    <w:rsid w:val="003F49A6"/>
    <w:rsid w:val="003F518F"/>
    <w:rsid w:val="003F6BA7"/>
    <w:rsid w:val="003F7445"/>
    <w:rsid w:val="00411DF2"/>
    <w:rsid w:val="00411E8F"/>
    <w:rsid w:val="004241DB"/>
    <w:rsid w:val="004247F5"/>
    <w:rsid w:val="0042527B"/>
    <w:rsid w:val="0042705B"/>
    <w:rsid w:val="00427EAC"/>
    <w:rsid w:val="004431B4"/>
    <w:rsid w:val="00445604"/>
    <w:rsid w:val="00450555"/>
    <w:rsid w:val="00451158"/>
    <w:rsid w:val="0045537F"/>
    <w:rsid w:val="00457DC7"/>
    <w:rsid w:val="004640B3"/>
    <w:rsid w:val="00470D72"/>
    <w:rsid w:val="00472BCC"/>
    <w:rsid w:val="00477699"/>
    <w:rsid w:val="004A25CD"/>
    <w:rsid w:val="004A26CC"/>
    <w:rsid w:val="004B2108"/>
    <w:rsid w:val="004B3A2B"/>
    <w:rsid w:val="004B70D3"/>
    <w:rsid w:val="004C312D"/>
    <w:rsid w:val="004D1C83"/>
    <w:rsid w:val="004D2D1B"/>
    <w:rsid w:val="004D5067"/>
    <w:rsid w:val="004D6838"/>
    <w:rsid w:val="004D72BC"/>
    <w:rsid w:val="004E469D"/>
    <w:rsid w:val="004E4AAE"/>
    <w:rsid w:val="004E7F4F"/>
    <w:rsid w:val="004F29B3"/>
    <w:rsid w:val="004F2DDE"/>
    <w:rsid w:val="004F5A55"/>
    <w:rsid w:val="004F6426"/>
    <w:rsid w:val="004F7826"/>
    <w:rsid w:val="0050097F"/>
    <w:rsid w:val="0050120E"/>
    <w:rsid w:val="00514B1F"/>
    <w:rsid w:val="00523C5C"/>
    <w:rsid w:val="00524884"/>
    <w:rsid w:val="00525E93"/>
    <w:rsid w:val="0052671D"/>
    <w:rsid w:val="005300C0"/>
    <w:rsid w:val="00533EF6"/>
    <w:rsid w:val="00540E6B"/>
    <w:rsid w:val="0054109E"/>
    <w:rsid w:val="0055595D"/>
    <w:rsid w:val="00556A10"/>
    <w:rsid w:val="00557F50"/>
    <w:rsid w:val="00565FB8"/>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0A2"/>
    <w:rsid w:val="005E751B"/>
    <w:rsid w:val="005F01DA"/>
    <w:rsid w:val="005F2751"/>
    <w:rsid w:val="005F3354"/>
    <w:rsid w:val="005F4AD6"/>
    <w:rsid w:val="0060005E"/>
    <w:rsid w:val="0060095B"/>
    <w:rsid w:val="00601266"/>
    <w:rsid w:val="0060184A"/>
    <w:rsid w:val="00610221"/>
    <w:rsid w:val="00610E73"/>
    <w:rsid w:val="00615F9B"/>
    <w:rsid w:val="00616DF2"/>
    <w:rsid w:val="0062385D"/>
    <w:rsid w:val="0062492C"/>
    <w:rsid w:val="0063168D"/>
    <w:rsid w:val="00635C79"/>
    <w:rsid w:val="006423A7"/>
    <w:rsid w:val="006455DF"/>
    <w:rsid w:val="00645AF6"/>
    <w:rsid w:val="00647025"/>
    <w:rsid w:val="0064730A"/>
    <w:rsid w:val="006507DA"/>
    <w:rsid w:val="006518F4"/>
    <w:rsid w:val="006531A4"/>
    <w:rsid w:val="0065431C"/>
    <w:rsid w:val="0065678C"/>
    <w:rsid w:val="00660774"/>
    <w:rsid w:val="0066389A"/>
    <w:rsid w:val="0066413C"/>
    <w:rsid w:val="0066495C"/>
    <w:rsid w:val="00665CC7"/>
    <w:rsid w:val="00672612"/>
    <w:rsid w:val="00674ECC"/>
    <w:rsid w:val="00677F18"/>
    <w:rsid w:val="00682F98"/>
    <w:rsid w:val="00693483"/>
    <w:rsid w:val="006A0BF3"/>
    <w:rsid w:val="006A502B"/>
    <w:rsid w:val="006B0036"/>
    <w:rsid w:val="006B0DA6"/>
    <w:rsid w:val="006B3FA9"/>
    <w:rsid w:val="006C4859"/>
    <w:rsid w:val="006C547E"/>
    <w:rsid w:val="006D2B51"/>
    <w:rsid w:val="006D2D46"/>
    <w:rsid w:val="006D5575"/>
    <w:rsid w:val="006D7191"/>
    <w:rsid w:val="006E123D"/>
    <w:rsid w:val="006E21C4"/>
    <w:rsid w:val="006E42BE"/>
    <w:rsid w:val="006E5D4D"/>
    <w:rsid w:val="006E6D16"/>
    <w:rsid w:val="00703F2A"/>
    <w:rsid w:val="00704C5D"/>
    <w:rsid w:val="007072BC"/>
    <w:rsid w:val="00710A86"/>
    <w:rsid w:val="00713916"/>
    <w:rsid w:val="00715275"/>
    <w:rsid w:val="00721B44"/>
    <w:rsid w:val="007232A2"/>
    <w:rsid w:val="00726366"/>
    <w:rsid w:val="00731AB6"/>
    <w:rsid w:val="00732A85"/>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6AE1"/>
    <w:rsid w:val="007B1C5E"/>
    <w:rsid w:val="007B350E"/>
    <w:rsid w:val="007C0FBC"/>
    <w:rsid w:val="007C29C9"/>
    <w:rsid w:val="007C35B8"/>
    <w:rsid w:val="007C36E3"/>
    <w:rsid w:val="007C3ABB"/>
    <w:rsid w:val="007C7134"/>
    <w:rsid w:val="007C7ECF"/>
    <w:rsid w:val="007D3D20"/>
    <w:rsid w:val="007D44F9"/>
    <w:rsid w:val="007D742E"/>
    <w:rsid w:val="007E39DD"/>
    <w:rsid w:val="007E3AFD"/>
    <w:rsid w:val="007E542E"/>
    <w:rsid w:val="007F00AE"/>
    <w:rsid w:val="00801DAD"/>
    <w:rsid w:val="00803189"/>
    <w:rsid w:val="00804E7A"/>
    <w:rsid w:val="00805FBB"/>
    <w:rsid w:val="008139CB"/>
    <w:rsid w:val="00814292"/>
    <w:rsid w:val="008169A4"/>
    <w:rsid w:val="00822500"/>
    <w:rsid w:val="008278FE"/>
    <w:rsid w:val="00832598"/>
    <w:rsid w:val="0083397E"/>
    <w:rsid w:val="0083534B"/>
    <w:rsid w:val="00842035"/>
    <w:rsid w:val="00842602"/>
    <w:rsid w:val="008449F0"/>
    <w:rsid w:val="00846F11"/>
    <w:rsid w:val="00847B45"/>
    <w:rsid w:val="00863A66"/>
    <w:rsid w:val="00866EDC"/>
    <w:rsid w:val="008703D7"/>
    <w:rsid w:val="00874429"/>
    <w:rsid w:val="00875D22"/>
    <w:rsid w:val="00883D9A"/>
    <w:rsid w:val="008919EF"/>
    <w:rsid w:val="00892B20"/>
    <w:rsid w:val="008931BC"/>
    <w:rsid w:val="0089695B"/>
    <w:rsid w:val="00897740"/>
    <w:rsid w:val="008A12EC"/>
    <w:rsid w:val="008A45DF"/>
    <w:rsid w:val="008B14BE"/>
    <w:rsid w:val="008B19A6"/>
    <w:rsid w:val="008B4EFB"/>
    <w:rsid w:val="008B7615"/>
    <w:rsid w:val="008C21C8"/>
    <w:rsid w:val="008C6375"/>
    <w:rsid w:val="008C6A5B"/>
    <w:rsid w:val="008C7ED2"/>
    <w:rsid w:val="008D441D"/>
    <w:rsid w:val="008D498D"/>
    <w:rsid w:val="008D4C11"/>
    <w:rsid w:val="008D6D36"/>
    <w:rsid w:val="008D7E63"/>
    <w:rsid w:val="008E0693"/>
    <w:rsid w:val="008E26A5"/>
    <w:rsid w:val="008E42D2"/>
    <w:rsid w:val="008E6328"/>
    <w:rsid w:val="008F578F"/>
    <w:rsid w:val="008F5D04"/>
    <w:rsid w:val="008F6B3F"/>
    <w:rsid w:val="009040EE"/>
    <w:rsid w:val="009057FD"/>
    <w:rsid w:val="00906FBA"/>
    <w:rsid w:val="009132FA"/>
    <w:rsid w:val="009163E8"/>
    <w:rsid w:val="00921BD3"/>
    <w:rsid w:val="009228C7"/>
    <w:rsid w:val="00922A7F"/>
    <w:rsid w:val="00923A5E"/>
    <w:rsid w:val="00924FE7"/>
    <w:rsid w:val="00926E27"/>
    <w:rsid w:val="00931C8C"/>
    <w:rsid w:val="00943D21"/>
    <w:rsid w:val="0094504B"/>
    <w:rsid w:val="00964417"/>
    <w:rsid w:val="00964A38"/>
    <w:rsid w:val="00966A9D"/>
    <w:rsid w:val="0096742B"/>
    <w:rsid w:val="00967C64"/>
    <w:rsid w:val="009718C5"/>
    <w:rsid w:val="00975D76"/>
    <w:rsid w:val="00976AFF"/>
    <w:rsid w:val="00986AED"/>
    <w:rsid w:val="009924CF"/>
    <w:rsid w:val="00994100"/>
    <w:rsid w:val="009A04B7"/>
    <w:rsid w:val="009A6B17"/>
    <w:rsid w:val="009B052E"/>
    <w:rsid w:val="009B4E00"/>
    <w:rsid w:val="009D4C29"/>
    <w:rsid w:val="009E58E9"/>
    <w:rsid w:val="009E6803"/>
    <w:rsid w:val="009E71A8"/>
    <w:rsid w:val="009F6AD2"/>
    <w:rsid w:val="009F7C1B"/>
    <w:rsid w:val="00A00B5B"/>
    <w:rsid w:val="00A00D8D"/>
    <w:rsid w:val="00A01BB6"/>
    <w:rsid w:val="00A108A7"/>
    <w:rsid w:val="00A228DA"/>
    <w:rsid w:val="00A22B28"/>
    <w:rsid w:val="00A2418B"/>
    <w:rsid w:val="00A25B60"/>
    <w:rsid w:val="00A3351E"/>
    <w:rsid w:val="00A4303C"/>
    <w:rsid w:val="00A46CAF"/>
    <w:rsid w:val="00A470FD"/>
    <w:rsid w:val="00A50B5E"/>
    <w:rsid w:val="00A5736D"/>
    <w:rsid w:val="00A62DAB"/>
    <w:rsid w:val="00A654A6"/>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68EF"/>
    <w:rsid w:val="00AC4B09"/>
    <w:rsid w:val="00AC5A01"/>
    <w:rsid w:val="00AD10EB"/>
    <w:rsid w:val="00AD1ED3"/>
    <w:rsid w:val="00AD3717"/>
    <w:rsid w:val="00AD74F4"/>
    <w:rsid w:val="00AE2129"/>
    <w:rsid w:val="00AF751E"/>
    <w:rsid w:val="00B019C1"/>
    <w:rsid w:val="00B02001"/>
    <w:rsid w:val="00B03C50"/>
    <w:rsid w:val="00B0777D"/>
    <w:rsid w:val="00B11576"/>
    <w:rsid w:val="00B1195F"/>
    <w:rsid w:val="00B14D10"/>
    <w:rsid w:val="00B171C6"/>
    <w:rsid w:val="00B209C7"/>
    <w:rsid w:val="00B26480"/>
    <w:rsid w:val="00B26A3D"/>
    <w:rsid w:val="00B307D1"/>
    <w:rsid w:val="00B3644F"/>
    <w:rsid w:val="00B4057A"/>
    <w:rsid w:val="00B40894"/>
    <w:rsid w:val="00B41039"/>
    <w:rsid w:val="00B41F37"/>
    <w:rsid w:val="00B42987"/>
    <w:rsid w:val="00B444AE"/>
    <w:rsid w:val="00B45E75"/>
    <w:rsid w:val="00B50876"/>
    <w:rsid w:val="00B51074"/>
    <w:rsid w:val="00B51CBC"/>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1621"/>
    <w:rsid w:val="00BB2F4A"/>
    <w:rsid w:val="00BC786E"/>
    <w:rsid w:val="00BD5C92"/>
    <w:rsid w:val="00BE50E6"/>
    <w:rsid w:val="00BE7A0C"/>
    <w:rsid w:val="00BF2928"/>
    <w:rsid w:val="00BF5D60"/>
    <w:rsid w:val="00BF6691"/>
    <w:rsid w:val="00C028FC"/>
    <w:rsid w:val="00C037F2"/>
    <w:rsid w:val="00C0386D"/>
    <w:rsid w:val="00C065A1"/>
    <w:rsid w:val="00C10ED5"/>
    <w:rsid w:val="00C1184D"/>
    <w:rsid w:val="00C12574"/>
    <w:rsid w:val="00C151A6"/>
    <w:rsid w:val="00C24098"/>
    <w:rsid w:val="00C24399"/>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7E6"/>
    <w:rsid w:val="00D17B79"/>
    <w:rsid w:val="00D205F5"/>
    <w:rsid w:val="00D217B1"/>
    <w:rsid w:val="00D23FEA"/>
    <w:rsid w:val="00D240BF"/>
    <w:rsid w:val="00D269CA"/>
    <w:rsid w:val="00D30B48"/>
    <w:rsid w:val="00D30FC3"/>
    <w:rsid w:val="00D3168A"/>
    <w:rsid w:val="00D350D1"/>
    <w:rsid w:val="00D46FAA"/>
    <w:rsid w:val="00D47A40"/>
    <w:rsid w:val="00D51D33"/>
    <w:rsid w:val="00D57BB2"/>
    <w:rsid w:val="00D57E57"/>
    <w:rsid w:val="00D66E70"/>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4C37"/>
    <w:rsid w:val="00E001D6"/>
    <w:rsid w:val="00E03A76"/>
    <w:rsid w:val="00E04410"/>
    <w:rsid w:val="00E07484"/>
    <w:rsid w:val="00E11351"/>
    <w:rsid w:val="00E2120B"/>
    <w:rsid w:val="00E33F44"/>
    <w:rsid w:val="00E34ECD"/>
    <w:rsid w:val="00E34FC6"/>
    <w:rsid w:val="00E37D48"/>
    <w:rsid w:val="00E4225C"/>
    <w:rsid w:val="00E44879"/>
    <w:rsid w:val="00E509A3"/>
    <w:rsid w:val="00E51E1A"/>
    <w:rsid w:val="00E554EF"/>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628A"/>
    <w:rsid w:val="00EB7951"/>
    <w:rsid w:val="00ED6A79"/>
    <w:rsid w:val="00ED772F"/>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2BAC"/>
    <w:rsid w:val="00F42FF6"/>
    <w:rsid w:val="00F464ED"/>
    <w:rsid w:val="00F54380"/>
    <w:rsid w:val="00F54B47"/>
    <w:rsid w:val="00F61247"/>
    <w:rsid w:val="00F61F61"/>
    <w:rsid w:val="00F63191"/>
    <w:rsid w:val="00F6437F"/>
    <w:rsid w:val="00F653AD"/>
    <w:rsid w:val="00F6702E"/>
    <w:rsid w:val="00F70E84"/>
    <w:rsid w:val="00F80685"/>
    <w:rsid w:val="00F94968"/>
    <w:rsid w:val="00FA092B"/>
    <w:rsid w:val="00FA4F6C"/>
    <w:rsid w:val="00FA6EFD"/>
    <w:rsid w:val="00FB2A8E"/>
    <w:rsid w:val="00FB3791"/>
    <w:rsid w:val="00FB4653"/>
    <w:rsid w:val="00FB6780"/>
    <w:rsid w:val="00FB74EA"/>
    <w:rsid w:val="00FD0ADB"/>
    <w:rsid w:val="00FD2C9E"/>
    <w:rsid w:val="00FD4786"/>
    <w:rsid w:val="00FD616C"/>
    <w:rsid w:val="00FE4D5F"/>
    <w:rsid w:val="00FE53F2"/>
    <w:rsid w:val="00FF0617"/>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79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5431C"/>
    <w:pPr>
      <w:ind w:left="720"/>
      <w:contextualSpacing/>
    </w:pPr>
    <w:rPr>
      <w:rFonts w:ascii="Calibri" w:eastAsia="Calibri" w:hAnsi="Calibri"/>
    </w:rPr>
  </w:style>
  <w:style w:type="character" w:customStyle="1" w:styleId="FootnoteTextChar">
    <w:name w:val="Footnote Text Char"/>
    <w:basedOn w:val="DefaultParagraphFont"/>
    <w:link w:val="FootnoteText"/>
    <w:uiPriority w:val="99"/>
    <w:rsid w:val="00FB4653"/>
  </w:style>
  <w:style w:type="paragraph" w:styleId="BalloonText">
    <w:name w:val="Balloon Text"/>
    <w:basedOn w:val="Normal"/>
    <w:link w:val="BalloonTextChar"/>
    <w:semiHidden/>
    <w:unhideWhenUsed/>
    <w:rsid w:val="0001667E"/>
    <w:rPr>
      <w:rFonts w:ascii="Segoe UI" w:hAnsi="Segoe UI" w:cs="Segoe UI"/>
      <w:sz w:val="18"/>
      <w:szCs w:val="18"/>
    </w:rPr>
  </w:style>
  <w:style w:type="character" w:customStyle="1" w:styleId="BalloonTextChar">
    <w:name w:val="Balloon Text Char"/>
    <w:basedOn w:val="DefaultParagraphFont"/>
    <w:link w:val="BalloonText"/>
    <w:semiHidden/>
    <w:rsid w:val="0001667E"/>
    <w:rPr>
      <w:rFonts w:ascii="Segoe UI" w:hAnsi="Segoe UI" w:cs="Segoe UI"/>
      <w:sz w:val="18"/>
      <w:szCs w:val="18"/>
    </w:rPr>
  </w:style>
  <w:style w:type="character" w:styleId="CommentReference">
    <w:name w:val="annotation reference"/>
    <w:basedOn w:val="DefaultParagraphFont"/>
    <w:semiHidden/>
    <w:unhideWhenUsed/>
    <w:rsid w:val="00D177E6"/>
    <w:rPr>
      <w:sz w:val="16"/>
      <w:szCs w:val="16"/>
    </w:rPr>
  </w:style>
  <w:style w:type="paragraph" w:styleId="CommentText">
    <w:name w:val="annotation text"/>
    <w:basedOn w:val="Normal"/>
    <w:link w:val="CommentTextChar"/>
    <w:semiHidden/>
    <w:unhideWhenUsed/>
    <w:rsid w:val="00D177E6"/>
    <w:rPr>
      <w:sz w:val="20"/>
      <w:szCs w:val="20"/>
    </w:rPr>
  </w:style>
  <w:style w:type="character" w:customStyle="1" w:styleId="CommentTextChar">
    <w:name w:val="Comment Text Char"/>
    <w:basedOn w:val="DefaultParagraphFont"/>
    <w:link w:val="CommentText"/>
    <w:semiHidden/>
    <w:rsid w:val="00D177E6"/>
  </w:style>
  <w:style w:type="paragraph" w:styleId="CommentSubject">
    <w:name w:val="annotation subject"/>
    <w:basedOn w:val="CommentText"/>
    <w:next w:val="CommentText"/>
    <w:link w:val="CommentSubjectChar"/>
    <w:semiHidden/>
    <w:unhideWhenUsed/>
    <w:rsid w:val="00D177E6"/>
    <w:rPr>
      <w:b/>
      <w:bCs/>
    </w:rPr>
  </w:style>
  <w:style w:type="character" w:customStyle="1" w:styleId="CommentSubjectChar">
    <w:name w:val="Comment Subject Char"/>
    <w:basedOn w:val="CommentTextChar"/>
    <w:link w:val="CommentSubject"/>
    <w:semiHidden/>
    <w:rsid w:val="00D17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18754779">
      <w:bodyDiv w:val="1"/>
      <w:marLeft w:val="0"/>
      <w:marRight w:val="0"/>
      <w:marTop w:val="0"/>
      <w:marBottom w:val="0"/>
      <w:divBdr>
        <w:top w:val="none" w:sz="0" w:space="0" w:color="auto"/>
        <w:left w:val="none" w:sz="0" w:space="0" w:color="auto"/>
        <w:bottom w:val="none" w:sz="0" w:space="0" w:color="auto"/>
        <w:right w:val="none" w:sz="0" w:space="0" w:color="auto"/>
      </w:divBdr>
      <w:divsChild>
        <w:div w:id="882718925">
          <w:marLeft w:val="0"/>
          <w:marRight w:val="0"/>
          <w:marTop w:val="0"/>
          <w:marBottom w:val="0"/>
          <w:divBdr>
            <w:top w:val="none" w:sz="0" w:space="0" w:color="3D3D3D"/>
            <w:left w:val="none" w:sz="0" w:space="0" w:color="3D3D3D"/>
            <w:bottom w:val="none" w:sz="0" w:space="0" w:color="3D3D3D"/>
            <w:right w:val="none" w:sz="0" w:space="0" w:color="3D3D3D"/>
          </w:divBdr>
          <w:divsChild>
            <w:div w:id="9913245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2758A-2033-49AD-BAB7-4E731965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10</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2025-09-12T20:21:00Z</dcterms:created>
  <dcterms:modified xsi:type="dcterms:W3CDTF">2025-09-12T20:29:00Z</dcterms:modified>
</cp:coreProperties>
</file>