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A99" w:rsidRDefault="00D93A99" w:rsidP="00D93A99">
      <w:pPr>
        <w:pStyle w:val="OrderHeading"/>
      </w:pPr>
      <w:r>
        <w:t>BEFORE THE FLORIDA PUBLIC SERVICE COMMISSION</w:t>
      </w:r>
    </w:p>
    <w:p w:rsidR="00D93A99" w:rsidRDefault="00D93A99" w:rsidP="00D93A99">
      <w:pPr>
        <w:pStyle w:val="OrderBody"/>
      </w:pPr>
    </w:p>
    <w:p w:rsidR="00D93A99" w:rsidRDefault="00D93A99" w:rsidP="00D93A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3A99" w:rsidRPr="00C63FCF" w:rsidTr="00C63FCF">
        <w:trPr>
          <w:trHeight w:val="828"/>
        </w:trPr>
        <w:tc>
          <w:tcPr>
            <w:tcW w:w="4788" w:type="dxa"/>
            <w:tcBorders>
              <w:bottom w:val="single" w:sz="8" w:space="0" w:color="auto"/>
              <w:right w:val="double" w:sz="6" w:space="0" w:color="auto"/>
            </w:tcBorders>
            <w:shd w:val="clear" w:color="auto" w:fill="auto"/>
          </w:tcPr>
          <w:p w:rsidR="00D93A99" w:rsidRDefault="00D93A99" w:rsidP="00C63FCF">
            <w:pPr>
              <w:pStyle w:val="OrderBody"/>
              <w:tabs>
                <w:tab w:val="center" w:pos="4320"/>
                <w:tab w:val="right" w:pos="8640"/>
              </w:tabs>
              <w:jc w:val="left"/>
            </w:pPr>
            <w:r>
              <w:t xml:space="preserve">In re: </w:t>
            </w:r>
            <w:bookmarkStart w:id="0" w:name="SSInRe"/>
            <w:bookmarkEnd w:id="0"/>
            <w:r>
              <w:t>Proposed amendment of Rule 25-14.004, F.A.C., Effect of Parent Debt on Federal Corporate Income Tax.</w:t>
            </w:r>
          </w:p>
        </w:tc>
        <w:tc>
          <w:tcPr>
            <w:tcW w:w="4788" w:type="dxa"/>
            <w:tcBorders>
              <w:left w:val="double" w:sz="6" w:space="0" w:color="auto"/>
            </w:tcBorders>
            <w:shd w:val="clear" w:color="auto" w:fill="auto"/>
          </w:tcPr>
          <w:p w:rsidR="00D93A99" w:rsidRDefault="00D93A99" w:rsidP="00D93A99">
            <w:pPr>
              <w:pStyle w:val="OrderBody"/>
            </w:pPr>
            <w:r>
              <w:t xml:space="preserve">DOCKET NO. </w:t>
            </w:r>
            <w:bookmarkStart w:id="1" w:name="SSDocketNo"/>
            <w:bookmarkEnd w:id="1"/>
            <w:r>
              <w:t>20240019-PU</w:t>
            </w:r>
          </w:p>
          <w:p w:rsidR="00D93A99" w:rsidRDefault="00D93A99" w:rsidP="00C63FCF">
            <w:pPr>
              <w:pStyle w:val="OrderBody"/>
              <w:tabs>
                <w:tab w:val="center" w:pos="4320"/>
                <w:tab w:val="right" w:pos="8640"/>
              </w:tabs>
              <w:jc w:val="left"/>
            </w:pPr>
            <w:r>
              <w:t xml:space="preserve">ORDER NO. </w:t>
            </w:r>
            <w:bookmarkStart w:id="2" w:name="OrderNo0146"/>
            <w:r w:rsidR="00E07834">
              <w:t>PSC-2026-0146-PCO-PU</w:t>
            </w:r>
            <w:bookmarkEnd w:id="2"/>
          </w:p>
          <w:p w:rsidR="00D93A99" w:rsidRDefault="00D93A99" w:rsidP="00C63FCF">
            <w:pPr>
              <w:pStyle w:val="OrderBody"/>
              <w:tabs>
                <w:tab w:val="center" w:pos="4320"/>
                <w:tab w:val="right" w:pos="8640"/>
              </w:tabs>
              <w:jc w:val="left"/>
            </w:pPr>
            <w:r>
              <w:t xml:space="preserve">ISSUED: </w:t>
            </w:r>
            <w:r w:rsidR="00E07834">
              <w:t>May 12, 2026</w:t>
            </w:r>
          </w:p>
        </w:tc>
      </w:tr>
    </w:tbl>
    <w:p w:rsidR="00D93A99" w:rsidRDefault="00D93A99" w:rsidP="00D93A99"/>
    <w:p w:rsidR="00CB5276" w:rsidRDefault="00D611DF" w:rsidP="00D93A99">
      <w:r>
        <w:t xml:space="preserve"> </w:t>
      </w:r>
    </w:p>
    <w:p w:rsidR="002B1F55" w:rsidRDefault="00D93A99" w:rsidP="00D93A99">
      <w:pPr>
        <w:jc w:val="center"/>
        <w:rPr>
          <w:rFonts w:eastAsiaTheme="minorHAnsi" w:cstheme="minorBidi"/>
          <w:szCs w:val="22"/>
          <w:u w:val="single"/>
        </w:rPr>
      </w:pPr>
      <w:r w:rsidRPr="002B1F55">
        <w:rPr>
          <w:u w:val="single"/>
        </w:rPr>
        <w:t>ORDER</w:t>
      </w:r>
      <w:bookmarkStart w:id="3" w:name="OrderTitle"/>
      <w:r w:rsidRPr="002B1F55">
        <w:rPr>
          <w:u w:val="single"/>
        </w:rPr>
        <w:t xml:space="preserve"> </w:t>
      </w:r>
      <w:r w:rsidRPr="002B1F55">
        <w:rPr>
          <w:rFonts w:eastAsiaTheme="minorHAnsi" w:cstheme="minorBidi"/>
          <w:szCs w:val="22"/>
          <w:u w:val="single"/>
        </w:rPr>
        <w:t>ADDRES</w:t>
      </w:r>
      <w:r w:rsidR="002B1F55">
        <w:rPr>
          <w:rFonts w:eastAsiaTheme="minorHAnsi" w:cstheme="minorBidi"/>
          <w:szCs w:val="22"/>
          <w:u w:val="single"/>
        </w:rPr>
        <w:t>SING NOTICE OF INTERVENTION FILED AND</w:t>
      </w:r>
    </w:p>
    <w:p w:rsidR="00D93A99" w:rsidRPr="002B1F55" w:rsidRDefault="00D93A99" w:rsidP="002B1F55">
      <w:pPr>
        <w:jc w:val="center"/>
        <w:rPr>
          <w:u w:val="single"/>
        </w:rPr>
      </w:pPr>
      <w:r w:rsidRPr="002B1F55">
        <w:rPr>
          <w:rFonts w:eastAsiaTheme="minorHAnsi" w:cstheme="minorBidi"/>
          <w:szCs w:val="22"/>
          <w:u w:val="single"/>
        </w:rPr>
        <w:t xml:space="preserve">DISCOVERY </w:t>
      </w:r>
      <w:r w:rsidR="002B1F55">
        <w:rPr>
          <w:rFonts w:eastAsiaTheme="minorHAnsi" w:cstheme="minorBidi"/>
          <w:szCs w:val="22"/>
          <w:u w:val="single"/>
        </w:rPr>
        <w:t xml:space="preserve">SERVED </w:t>
      </w:r>
      <w:r w:rsidRPr="002B1F55">
        <w:rPr>
          <w:rFonts w:eastAsiaTheme="minorHAnsi" w:cstheme="minorBidi"/>
          <w:szCs w:val="22"/>
          <w:u w:val="single"/>
        </w:rPr>
        <w:t>BY OFFICE OF PUBLIC COUNSEL</w:t>
      </w:r>
      <w:r w:rsidRPr="002B1F55">
        <w:rPr>
          <w:u w:val="single"/>
        </w:rPr>
        <w:t xml:space="preserve"> </w:t>
      </w:r>
      <w:bookmarkEnd w:id="3"/>
    </w:p>
    <w:p w:rsidR="00D93A99" w:rsidRDefault="00D93A99" w:rsidP="00D93A99">
      <w:pPr>
        <w:pStyle w:val="CenterUnderline"/>
      </w:pPr>
    </w:p>
    <w:p w:rsidR="00D93A99" w:rsidRDefault="00D93A99" w:rsidP="00D93A99">
      <w:pPr>
        <w:pStyle w:val="OrderBody"/>
      </w:pPr>
    </w:p>
    <w:p w:rsidR="001C2CF3" w:rsidRPr="001C2CF3" w:rsidRDefault="00D93A99" w:rsidP="001C2CF3">
      <w:pPr>
        <w:spacing w:after="200" w:line="276" w:lineRule="auto"/>
        <w:ind w:firstLine="720"/>
        <w:contextualSpacing/>
        <w:jc w:val="both"/>
        <w:rPr>
          <w:rFonts w:eastAsiaTheme="minorHAnsi" w:cstheme="minorBidi"/>
          <w:szCs w:val="22"/>
        </w:rPr>
      </w:pPr>
      <w:bookmarkStart w:id="4" w:name="OrderText"/>
      <w:bookmarkEnd w:id="4"/>
      <w:r w:rsidRPr="00D93A99">
        <w:rPr>
          <w:rFonts w:eastAsiaTheme="minorHAnsi" w:cstheme="minorBidi"/>
          <w:szCs w:val="22"/>
        </w:rPr>
        <w:t xml:space="preserve">The Office of Public Counsel (OPC) filed a Notice of Intervention in this docket. </w:t>
      </w:r>
      <w:r w:rsidR="002B1F55" w:rsidRPr="00D93A99">
        <w:rPr>
          <w:rFonts w:eastAsiaTheme="minorHAnsi" w:cstheme="minorBidi"/>
          <w:szCs w:val="22"/>
        </w:rPr>
        <w:t>When this docket was opened in 2024, the Commission added OPC as an Interested Person.</w:t>
      </w:r>
      <w:r w:rsidR="002B1F55">
        <w:rPr>
          <w:rFonts w:eastAsiaTheme="minorHAnsi" w:cstheme="minorBidi"/>
          <w:szCs w:val="22"/>
        </w:rPr>
        <w:t xml:space="preserve"> Thus, i</w:t>
      </w:r>
      <w:r w:rsidRPr="00D93A99">
        <w:rPr>
          <w:rFonts w:eastAsiaTheme="minorHAnsi" w:cstheme="minorBidi"/>
          <w:szCs w:val="22"/>
        </w:rPr>
        <w:t>ntervention is unnecessary.</w:t>
      </w:r>
      <w:r w:rsidRPr="00D93A99">
        <w:rPr>
          <w:rFonts w:eastAsiaTheme="minorHAnsi" w:cstheme="minorBidi"/>
          <w:szCs w:val="22"/>
          <w:vertAlign w:val="superscript"/>
        </w:rPr>
        <w:footnoteReference w:id="1"/>
      </w:r>
      <w:r w:rsidR="001C2CF3">
        <w:rPr>
          <w:rFonts w:eastAsiaTheme="minorHAnsi" w:cstheme="minorBidi"/>
          <w:szCs w:val="22"/>
        </w:rPr>
        <w:t xml:space="preserve"> </w:t>
      </w:r>
    </w:p>
    <w:p w:rsidR="001C2CF3" w:rsidRPr="006465C9" w:rsidRDefault="001C2CF3" w:rsidP="001C2CF3">
      <w:pPr>
        <w:ind w:firstLine="720"/>
        <w:contextualSpacing/>
        <w:jc w:val="both"/>
        <w:rPr>
          <w:rFonts w:eastAsiaTheme="minorHAnsi" w:cstheme="minorBidi"/>
          <w:sz w:val="20"/>
          <w:szCs w:val="20"/>
        </w:rPr>
      </w:pPr>
    </w:p>
    <w:p w:rsidR="00D93A99" w:rsidRDefault="00D93A99" w:rsidP="001C2CF3">
      <w:pPr>
        <w:spacing w:after="200" w:line="276" w:lineRule="auto"/>
        <w:ind w:firstLine="720"/>
        <w:jc w:val="both"/>
        <w:rPr>
          <w:rFonts w:eastAsiaTheme="minorHAnsi" w:cstheme="minorBidi"/>
          <w:szCs w:val="22"/>
        </w:rPr>
      </w:pPr>
      <w:r w:rsidRPr="00D93A99">
        <w:rPr>
          <w:rFonts w:eastAsiaTheme="minorHAnsi" w:cstheme="minorBidi"/>
          <w:szCs w:val="22"/>
        </w:rPr>
        <w:t>This docket was opened for rulemaking under the provisions of Section 120.54, Florida Statutes (F.S.). To the extent that OPC is requesting party status in this docket, there is no party status in rulemaking</w:t>
      </w:r>
      <w:r w:rsidR="000741D2">
        <w:rPr>
          <w:rFonts w:eastAsiaTheme="minorHAnsi" w:cstheme="minorBidi"/>
          <w:szCs w:val="22"/>
        </w:rPr>
        <w:t>, just Interested Persons</w:t>
      </w:r>
      <w:r w:rsidRPr="00D93A99">
        <w:rPr>
          <w:rFonts w:eastAsiaTheme="minorHAnsi" w:cstheme="minorBidi"/>
          <w:szCs w:val="22"/>
        </w:rPr>
        <w:t>.</w:t>
      </w:r>
      <w:r w:rsidRPr="00D93A99">
        <w:rPr>
          <w:rFonts w:eastAsiaTheme="minorHAnsi" w:cstheme="minorBidi"/>
          <w:szCs w:val="22"/>
          <w:vertAlign w:val="superscript"/>
        </w:rPr>
        <w:footnoteReference w:id="2"/>
      </w:r>
    </w:p>
    <w:p w:rsidR="00D93A99" w:rsidRDefault="000C693B" w:rsidP="001C2CF3">
      <w:pPr>
        <w:spacing w:after="200" w:line="276" w:lineRule="auto"/>
        <w:ind w:firstLine="720"/>
        <w:jc w:val="both"/>
        <w:rPr>
          <w:rFonts w:eastAsiaTheme="minorHAnsi" w:cstheme="minorBidi"/>
          <w:szCs w:val="22"/>
        </w:rPr>
      </w:pPr>
      <w:r>
        <w:rPr>
          <w:rFonts w:eastAsiaTheme="minorHAnsi" w:cstheme="minorBidi"/>
          <w:szCs w:val="22"/>
        </w:rPr>
        <w:t>Also, p</w:t>
      </w:r>
      <w:r w:rsidR="000741D2">
        <w:rPr>
          <w:rFonts w:eastAsiaTheme="minorHAnsi" w:cstheme="minorBidi"/>
          <w:szCs w:val="22"/>
        </w:rPr>
        <w:t xml:space="preserve">urportedly </w:t>
      </w:r>
      <w:r w:rsidR="000741D2" w:rsidRPr="00D93A99">
        <w:rPr>
          <w:rFonts w:eastAsiaTheme="minorHAnsi" w:cstheme="minorBidi"/>
          <w:szCs w:val="22"/>
        </w:rPr>
        <w:t xml:space="preserve">pursuant to Section 350.0611(1), F.S., Rule 28-106.206, </w:t>
      </w:r>
      <w:r w:rsidR="002B1F55">
        <w:rPr>
          <w:rFonts w:eastAsiaTheme="minorHAnsi" w:cstheme="minorBidi"/>
          <w:szCs w:val="22"/>
        </w:rPr>
        <w:t>Florida Administrative Code</w:t>
      </w:r>
      <w:r w:rsidR="00F446E1">
        <w:rPr>
          <w:rFonts w:eastAsiaTheme="minorHAnsi" w:cstheme="minorBidi"/>
          <w:szCs w:val="22"/>
        </w:rPr>
        <w:t xml:space="preserve"> (F.A.C.)</w:t>
      </w:r>
      <w:r w:rsidR="000741D2" w:rsidRPr="00D93A99">
        <w:rPr>
          <w:rFonts w:eastAsiaTheme="minorHAnsi" w:cstheme="minorBidi"/>
          <w:szCs w:val="22"/>
        </w:rPr>
        <w:t xml:space="preserve">, and </w:t>
      </w:r>
      <w:r w:rsidR="002B1F55">
        <w:rPr>
          <w:rFonts w:eastAsiaTheme="minorHAnsi" w:cstheme="minorBidi"/>
          <w:szCs w:val="22"/>
        </w:rPr>
        <w:t xml:space="preserve">Florida </w:t>
      </w:r>
      <w:r w:rsidR="000741D2" w:rsidRPr="00D93A99">
        <w:rPr>
          <w:rFonts w:eastAsiaTheme="minorHAnsi" w:cstheme="minorBidi"/>
          <w:szCs w:val="22"/>
        </w:rPr>
        <w:t xml:space="preserve">Rules </w:t>
      </w:r>
      <w:r w:rsidR="002B1F55">
        <w:rPr>
          <w:rFonts w:eastAsiaTheme="minorHAnsi" w:cstheme="minorBidi"/>
          <w:szCs w:val="22"/>
        </w:rPr>
        <w:t xml:space="preserve">of Civil Procedure </w:t>
      </w:r>
      <w:r w:rsidR="000741D2" w:rsidRPr="00D93A99">
        <w:rPr>
          <w:rFonts w:eastAsiaTheme="minorHAnsi" w:cstheme="minorBidi"/>
          <w:szCs w:val="22"/>
        </w:rPr>
        <w:t>1.340, 1.350, and 1.370,</w:t>
      </w:r>
      <w:r w:rsidR="002B1F55">
        <w:rPr>
          <w:rFonts w:eastAsiaTheme="minorHAnsi" w:cstheme="minorBidi"/>
          <w:szCs w:val="22"/>
        </w:rPr>
        <w:t xml:space="preserve"> O</w:t>
      </w:r>
      <w:r w:rsidR="00D93A99" w:rsidRPr="00D93A99">
        <w:rPr>
          <w:rFonts w:eastAsiaTheme="minorHAnsi" w:cstheme="minorBidi"/>
          <w:szCs w:val="22"/>
        </w:rPr>
        <w:t xml:space="preserve">PC </w:t>
      </w:r>
      <w:r>
        <w:rPr>
          <w:rFonts w:eastAsiaTheme="minorHAnsi" w:cstheme="minorBidi"/>
          <w:szCs w:val="22"/>
        </w:rPr>
        <w:t>s</w:t>
      </w:r>
      <w:r w:rsidR="00D93A99" w:rsidRPr="00D93A99">
        <w:rPr>
          <w:rFonts w:eastAsiaTheme="minorHAnsi" w:cstheme="minorBidi"/>
          <w:szCs w:val="22"/>
        </w:rPr>
        <w:t xml:space="preserve">erved discovery on Commission staff and Duke Energy Florida, Inc. (DEF) and filed Notices of Service of the discovery in this docket. </w:t>
      </w:r>
      <w:r w:rsidR="000741D2">
        <w:rPr>
          <w:rFonts w:eastAsiaTheme="minorHAnsi"/>
          <w:szCs w:val="22"/>
        </w:rPr>
        <w:t xml:space="preserve">Discovery is not appropriate during rulemaking </w:t>
      </w:r>
      <w:r w:rsidR="002B1F55">
        <w:rPr>
          <w:rFonts w:eastAsiaTheme="minorHAnsi"/>
          <w:szCs w:val="22"/>
        </w:rPr>
        <w:t>proceedings under Section 120.54, F.S.,</w:t>
      </w:r>
      <w:r w:rsidR="00D93A99" w:rsidRPr="00D93A99">
        <w:rPr>
          <w:rFonts w:eastAsiaTheme="minorHAnsi" w:cstheme="minorBidi"/>
          <w:szCs w:val="22"/>
          <w:vertAlign w:val="superscript"/>
        </w:rPr>
        <w:footnoteReference w:id="3"/>
      </w:r>
      <w:r w:rsidR="00D93A99" w:rsidRPr="00D93A99">
        <w:rPr>
          <w:rFonts w:eastAsiaTheme="minorHAnsi"/>
          <w:szCs w:val="22"/>
        </w:rPr>
        <w:t xml:space="preserve"> </w:t>
      </w:r>
      <w:r w:rsidR="0071465A">
        <w:rPr>
          <w:rFonts w:eastAsiaTheme="minorHAnsi"/>
          <w:szCs w:val="22"/>
        </w:rPr>
        <w:t>and t</w:t>
      </w:r>
      <w:r w:rsidR="0071465A">
        <w:rPr>
          <w:rFonts w:eastAsiaTheme="minorHAnsi" w:cstheme="minorBidi"/>
          <w:szCs w:val="22"/>
        </w:rPr>
        <w:t xml:space="preserve">he </w:t>
      </w:r>
      <w:r w:rsidR="0071465A" w:rsidRPr="00D93A99">
        <w:rPr>
          <w:rFonts w:eastAsiaTheme="minorHAnsi" w:cstheme="minorBidi"/>
          <w:szCs w:val="22"/>
        </w:rPr>
        <w:t xml:space="preserve">provisions </w:t>
      </w:r>
      <w:r w:rsidR="0071465A">
        <w:rPr>
          <w:rFonts w:eastAsiaTheme="minorHAnsi" w:cstheme="minorBidi"/>
          <w:szCs w:val="22"/>
        </w:rPr>
        <w:t xml:space="preserve">relied upon by OPC do not provide for discovery </w:t>
      </w:r>
      <w:r w:rsidR="0071465A" w:rsidRPr="00D93A99">
        <w:rPr>
          <w:rFonts w:eastAsiaTheme="minorHAnsi" w:cstheme="minorBidi"/>
          <w:szCs w:val="22"/>
        </w:rPr>
        <w:t>in rulemaking.</w:t>
      </w:r>
      <w:r w:rsidR="00D93A99" w:rsidRPr="00D93A99">
        <w:rPr>
          <w:rFonts w:eastAsiaTheme="minorHAnsi" w:cstheme="minorBidi"/>
          <w:szCs w:val="22"/>
          <w:vertAlign w:val="superscript"/>
        </w:rPr>
        <w:footnoteReference w:id="4"/>
      </w:r>
      <w:r w:rsidR="0071465A" w:rsidRPr="0071465A">
        <w:rPr>
          <w:rFonts w:eastAsiaTheme="minorHAnsi" w:cstheme="minorBidi"/>
          <w:szCs w:val="22"/>
        </w:rPr>
        <w:t xml:space="preserve"> </w:t>
      </w:r>
      <w:r w:rsidR="0071465A" w:rsidRPr="00D93A99">
        <w:rPr>
          <w:rFonts w:eastAsiaTheme="minorHAnsi" w:cstheme="minorBidi"/>
          <w:szCs w:val="22"/>
        </w:rPr>
        <w:t>Accordingly, no one may serve discovery in this docket and no one is required to respond to the discovery already served in this docket.</w:t>
      </w:r>
    </w:p>
    <w:p w:rsidR="00D93A99" w:rsidRPr="00D93A99" w:rsidRDefault="002B0740" w:rsidP="001C2CF3">
      <w:pPr>
        <w:spacing w:after="200" w:line="276" w:lineRule="auto"/>
        <w:ind w:firstLine="720"/>
        <w:jc w:val="both"/>
        <w:rPr>
          <w:rFonts w:eastAsiaTheme="minorHAnsi" w:cstheme="minorBidi"/>
          <w:szCs w:val="22"/>
        </w:rPr>
      </w:pPr>
      <w:r>
        <w:rPr>
          <w:rFonts w:eastAsiaTheme="minorHAnsi" w:cstheme="minorBidi"/>
          <w:szCs w:val="22"/>
        </w:rPr>
        <w:t>Therefore, it is</w:t>
      </w:r>
    </w:p>
    <w:p w:rsidR="00D93A99" w:rsidRPr="00D93A99" w:rsidRDefault="00D93A99" w:rsidP="00D93A99">
      <w:pPr>
        <w:spacing w:after="200" w:line="276" w:lineRule="auto"/>
        <w:ind w:firstLine="720"/>
        <w:jc w:val="both"/>
        <w:rPr>
          <w:rFonts w:eastAsiaTheme="minorHAnsi" w:cstheme="minorBidi"/>
          <w:szCs w:val="22"/>
        </w:rPr>
      </w:pPr>
      <w:r w:rsidRPr="00D93A99">
        <w:rPr>
          <w:rFonts w:eastAsiaTheme="minorHAnsi" w:cstheme="minorBidi"/>
          <w:szCs w:val="22"/>
        </w:rPr>
        <w:lastRenderedPageBreak/>
        <w:t xml:space="preserve">ORDERED </w:t>
      </w:r>
      <w:r w:rsidR="002B1F55">
        <w:rPr>
          <w:rFonts w:eastAsiaTheme="minorHAnsi" w:cstheme="minorBidi"/>
          <w:szCs w:val="22"/>
        </w:rPr>
        <w:t xml:space="preserve">by Commissioner, Mike La Rosa, as Prehearing Officer, </w:t>
      </w:r>
      <w:r w:rsidR="000741D2">
        <w:rPr>
          <w:rFonts w:eastAsiaTheme="minorHAnsi" w:cstheme="minorBidi"/>
          <w:szCs w:val="22"/>
        </w:rPr>
        <w:t>t</w:t>
      </w:r>
      <w:r w:rsidRPr="00D93A99">
        <w:rPr>
          <w:rFonts w:eastAsiaTheme="minorHAnsi" w:cstheme="minorBidi"/>
          <w:szCs w:val="22"/>
        </w:rPr>
        <w:t xml:space="preserve">hat </w:t>
      </w:r>
      <w:r w:rsidR="002B1F55">
        <w:rPr>
          <w:rFonts w:eastAsiaTheme="minorHAnsi" w:cstheme="minorBidi"/>
          <w:szCs w:val="22"/>
        </w:rPr>
        <w:t>the Notice of Intervention filed by the Office of Public Counsel is unnecessary and that the discovery it served is inappropriate in this docket.</w:t>
      </w:r>
    </w:p>
    <w:p w:rsidR="00D93A99" w:rsidRDefault="00D93A99" w:rsidP="00D93A99">
      <w:pPr>
        <w:pStyle w:val="OrderBody"/>
        <w:keepNext/>
        <w:keepLines/>
      </w:pPr>
      <w:r>
        <w:tab/>
        <w:t xml:space="preserve">By ORDER of Commissioner Mike La Rosa, as Prehearing Officer, this </w:t>
      </w:r>
      <w:bookmarkStart w:id="5" w:name="replaceDate"/>
      <w:bookmarkEnd w:id="5"/>
      <w:r w:rsidR="00E07834">
        <w:rPr>
          <w:u w:val="single"/>
        </w:rPr>
        <w:t>12th</w:t>
      </w:r>
      <w:r w:rsidR="00E07834">
        <w:t xml:space="preserve"> day of </w:t>
      </w:r>
      <w:r w:rsidR="00E07834">
        <w:rPr>
          <w:u w:val="single"/>
        </w:rPr>
        <w:t>May</w:t>
      </w:r>
      <w:r w:rsidR="00E07834">
        <w:t xml:space="preserve">, </w:t>
      </w:r>
      <w:r w:rsidR="00E07834">
        <w:rPr>
          <w:u w:val="single"/>
        </w:rPr>
        <w:t>2026</w:t>
      </w:r>
      <w:r w:rsidR="00E07834">
        <w:t>.</w:t>
      </w:r>
    </w:p>
    <w:p w:rsidR="00E07834" w:rsidRPr="00E07834" w:rsidRDefault="00E07834" w:rsidP="00D93A99">
      <w:pPr>
        <w:pStyle w:val="OrderBody"/>
        <w:keepNext/>
        <w:keepLines/>
      </w:pPr>
    </w:p>
    <w:p w:rsidR="00D93A99" w:rsidRDefault="00D93A99" w:rsidP="00D93A99">
      <w:pPr>
        <w:pStyle w:val="OrderBody"/>
        <w:keepNext/>
        <w:keepLines/>
      </w:pPr>
    </w:p>
    <w:p w:rsidR="00D93A99" w:rsidRDefault="00D93A99" w:rsidP="00D93A99">
      <w:pPr>
        <w:pStyle w:val="OrderBody"/>
        <w:keepNext/>
        <w:keepLines/>
      </w:pPr>
    </w:p>
    <w:p w:rsidR="00E07834" w:rsidRDefault="00E07834" w:rsidP="00D93A99">
      <w:pPr>
        <w:pStyle w:val="OrderBody"/>
        <w:keepNext/>
        <w:keepLines/>
      </w:pPr>
    </w:p>
    <w:p w:rsidR="00E07834" w:rsidRDefault="00E07834" w:rsidP="00D93A9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93A99" w:rsidTr="00D93A99">
        <w:tc>
          <w:tcPr>
            <w:tcW w:w="720" w:type="dxa"/>
            <w:shd w:val="clear" w:color="auto" w:fill="auto"/>
          </w:tcPr>
          <w:p w:rsidR="00D93A99" w:rsidRDefault="00D93A99" w:rsidP="00D93A99">
            <w:pPr>
              <w:pStyle w:val="OrderBody"/>
              <w:keepNext/>
              <w:keepLines/>
            </w:pPr>
            <w:bookmarkStart w:id="6" w:name="bkmrkSignature" w:colFirst="0" w:colLast="0"/>
          </w:p>
        </w:tc>
        <w:tc>
          <w:tcPr>
            <w:tcW w:w="4320" w:type="dxa"/>
            <w:tcBorders>
              <w:bottom w:val="single" w:sz="4" w:space="0" w:color="auto"/>
            </w:tcBorders>
            <w:shd w:val="clear" w:color="auto" w:fill="auto"/>
          </w:tcPr>
          <w:p w:rsidR="00D93A99" w:rsidRDefault="00D740B5" w:rsidP="00D93A99">
            <w:pPr>
              <w:pStyle w:val="OrderBody"/>
              <w:keepNext/>
              <w:keepLines/>
            </w:pPr>
            <w:r>
              <w:t>/s/ Mike La Rosa</w:t>
            </w:r>
            <w:bookmarkStart w:id="7" w:name="_GoBack"/>
            <w:bookmarkEnd w:id="7"/>
          </w:p>
        </w:tc>
      </w:tr>
      <w:bookmarkEnd w:id="6"/>
      <w:tr w:rsidR="00D93A99" w:rsidTr="00D93A99">
        <w:tc>
          <w:tcPr>
            <w:tcW w:w="720" w:type="dxa"/>
            <w:shd w:val="clear" w:color="auto" w:fill="auto"/>
          </w:tcPr>
          <w:p w:rsidR="00D93A99" w:rsidRDefault="00D93A99" w:rsidP="00D93A99">
            <w:pPr>
              <w:pStyle w:val="OrderBody"/>
              <w:keepNext/>
              <w:keepLines/>
            </w:pPr>
          </w:p>
        </w:tc>
        <w:tc>
          <w:tcPr>
            <w:tcW w:w="4320" w:type="dxa"/>
            <w:tcBorders>
              <w:top w:val="single" w:sz="4" w:space="0" w:color="auto"/>
            </w:tcBorders>
            <w:shd w:val="clear" w:color="auto" w:fill="auto"/>
          </w:tcPr>
          <w:p w:rsidR="00D93A99" w:rsidRDefault="00D93A99" w:rsidP="00D93A99">
            <w:pPr>
              <w:pStyle w:val="OrderBody"/>
              <w:keepNext/>
              <w:keepLines/>
            </w:pPr>
            <w:r>
              <w:t>MIKE LA ROSA</w:t>
            </w:r>
          </w:p>
          <w:p w:rsidR="00D93A99" w:rsidRDefault="00D93A99" w:rsidP="00D93A99">
            <w:pPr>
              <w:pStyle w:val="OrderBody"/>
              <w:keepNext/>
              <w:keepLines/>
            </w:pPr>
            <w:r>
              <w:t>Commissioner and Prehearing Officer</w:t>
            </w:r>
          </w:p>
        </w:tc>
      </w:tr>
    </w:tbl>
    <w:p w:rsidR="00D93A99" w:rsidRDefault="00D93A99" w:rsidP="00D93A99">
      <w:pPr>
        <w:pStyle w:val="OrderSigInfo"/>
        <w:keepNext/>
        <w:keepLines/>
      </w:pPr>
      <w:r>
        <w:t>Florida Public Service Commission</w:t>
      </w:r>
    </w:p>
    <w:p w:rsidR="00D93A99" w:rsidRDefault="00D93A99" w:rsidP="00D93A99">
      <w:pPr>
        <w:pStyle w:val="OrderSigInfo"/>
        <w:keepNext/>
        <w:keepLines/>
      </w:pPr>
      <w:r>
        <w:t>2540 Shumard Oak Boulevard</w:t>
      </w:r>
    </w:p>
    <w:p w:rsidR="00D93A99" w:rsidRDefault="00D93A99" w:rsidP="00D93A99">
      <w:pPr>
        <w:pStyle w:val="OrderSigInfo"/>
        <w:keepNext/>
        <w:keepLines/>
      </w:pPr>
      <w:r>
        <w:t>Tallahassee, Florida 32399</w:t>
      </w:r>
    </w:p>
    <w:p w:rsidR="00D93A99" w:rsidRDefault="00D93A99" w:rsidP="00D93A99">
      <w:pPr>
        <w:pStyle w:val="OrderSigInfo"/>
        <w:keepNext/>
        <w:keepLines/>
      </w:pPr>
      <w:r>
        <w:t>(850) 413</w:t>
      </w:r>
      <w:r>
        <w:noBreakHyphen/>
        <w:t>6770</w:t>
      </w:r>
    </w:p>
    <w:p w:rsidR="00D93A99" w:rsidRDefault="00D93A99" w:rsidP="00D93A99">
      <w:pPr>
        <w:pStyle w:val="OrderSigInfo"/>
        <w:keepNext/>
        <w:keepLines/>
      </w:pPr>
      <w:r>
        <w:t>www.floridapsc.com</w:t>
      </w:r>
    </w:p>
    <w:p w:rsidR="00D93A99" w:rsidRDefault="00D93A99" w:rsidP="00D93A99">
      <w:pPr>
        <w:pStyle w:val="OrderSigInfo"/>
        <w:keepNext/>
        <w:keepLines/>
      </w:pPr>
    </w:p>
    <w:p w:rsidR="00D93A99" w:rsidRDefault="00D93A99" w:rsidP="00D93A99">
      <w:pPr>
        <w:pStyle w:val="OrderSigInfo"/>
        <w:keepNext/>
        <w:keepLines/>
      </w:pPr>
      <w:r>
        <w:t>Copies furnished:  A copy of this document is provided</w:t>
      </w:r>
      <w:r w:rsidR="00D60BFB">
        <w:t xml:space="preserve"> at the time of issuance to</w:t>
      </w:r>
      <w:r>
        <w:t xml:space="preserve"> interested persons.</w:t>
      </w:r>
    </w:p>
    <w:p w:rsidR="00D93A99" w:rsidRDefault="00D93A99" w:rsidP="00D93A99">
      <w:pPr>
        <w:pStyle w:val="OrderBody"/>
        <w:keepNext/>
        <w:keepLines/>
      </w:pPr>
    </w:p>
    <w:p w:rsidR="00D93A99" w:rsidRDefault="00D93A99" w:rsidP="00D93A99">
      <w:pPr>
        <w:pStyle w:val="OrderBody"/>
        <w:keepNext/>
        <w:keepLines/>
      </w:pPr>
    </w:p>
    <w:p w:rsidR="00D93A99" w:rsidRDefault="00D93A99" w:rsidP="00D93A99">
      <w:pPr>
        <w:pStyle w:val="OrderBody"/>
        <w:keepNext/>
        <w:keepLines/>
      </w:pPr>
      <w:r>
        <w:t>SS</w:t>
      </w:r>
    </w:p>
    <w:p w:rsidR="00B63919" w:rsidRDefault="00B63919" w:rsidP="00B63919">
      <w:pPr>
        <w:pStyle w:val="OrderBody"/>
      </w:pPr>
    </w:p>
    <w:sectPr w:rsidR="00B6391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A99" w:rsidRDefault="00D93A99">
      <w:r>
        <w:separator/>
      </w:r>
    </w:p>
  </w:endnote>
  <w:endnote w:type="continuationSeparator" w:id="0">
    <w:p w:rsidR="00D93A99" w:rsidRDefault="00D9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A99" w:rsidRDefault="00D93A99">
      <w:r>
        <w:separator/>
      </w:r>
    </w:p>
  </w:footnote>
  <w:footnote w:type="continuationSeparator" w:id="0">
    <w:p w:rsidR="00D93A99" w:rsidRDefault="00D93A99">
      <w:r>
        <w:continuationSeparator/>
      </w:r>
    </w:p>
  </w:footnote>
  <w:footnote w:id="1">
    <w:p w:rsidR="00D93A99" w:rsidRDefault="00D93A99" w:rsidP="00D93A99">
      <w:pPr>
        <w:pStyle w:val="FootnoteText"/>
      </w:pPr>
      <w:r>
        <w:rPr>
          <w:rStyle w:val="FootnoteReference"/>
        </w:rPr>
        <w:footnoteRef/>
      </w:r>
      <w:r>
        <w:t xml:space="preserve"> Order No. PSC-95-1403-FOF-TL, issued Nov. 16, 1995, in Docket No. 951145-TL, </w:t>
      </w:r>
      <w:r w:rsidRPr="00B25969">
        <w:rPr>
          <w:i/>
        </w:rPr>
        <w:t>In re: GTE Fla., Inc.</w:t>
      </w:r>
      <w:r w:rsidR="00B25969">
        <w:t>;</w:t>
      </w:r>
      <w:r>
        <w:t xml:space="preserve"> Order No. PSC-95-1093-FOF-TL, issued Sept. 5, 1995, in Docket No. 950778-TL,</w:t>
      </w:r>
      <w:r w:rsidRPr="00D54D0D">
        <w:t xml:space="preserve"> </w:t>
      </w:r>
      <w:r w:rsidRPr="00B25969">
        <w:rPr>
          <w:i/>
        </w:rPr>
        <w:t xml:space="preserve">In re: BellSouth Tele., Inc. </w:t>
      </w:r>
      <w:r>
        <w:t>(“I</w:t>
      </w:r>
      <w:r w:rsidRPr="008F632E">
        <w:t>t is not necessary to acknowledge Public Counsel's Notice of Intervention. OPC and any other interested person may participate in these rulemaking proceedings without formally seeking intervention.</w:t>
      </w:r>
      <w:r>
        <w:t>”).</w:t>
      </w:r>
    </w:p>
  </w:footnote>
  <w:footnote w:id="2">
    <w:p w:rsidR="00D93A99" w:rsidRDefault="00D93A99" w:rsidP="00D93A99">
      <w:pPr>
        <w:pStyle w:val="FootnoteText"/>
      </w:pPr>
      <w:r>
        <w:rPr>
          <w:rStyle w:val="FootnoteReference"/>
        </w:rPr>
        <w:footnoteRef/>
      </w:r>
      <w:r>
        <w:t xml:space="preserve"> Sections 120.54(1)(a)2.; (2)(a), (c), and (d); (3)(a) and (c), F.S.</w:t>
      </w:r>
    </w:p>
  </w:footnote>
  <w:footnote w:id="3">
    <w:p w:rsidR="00D93A99" w:rsidRDefault="00D93A99" w:rsidP="00D93A99">
      <w:pPr>
        <w:pStyle w:val="FootnoteText"/>
      </w:pPr>
      <w:r>
        <w:rPr>
          <w:rStyle w:val="FootnoteReference"/>
        </w:rPr>
        <w:footnoteRef/>
      </w:r>
      <w:r>
        <w:t xml:space="preserve"> Section 120.54(3)(c)2., F.S.; </w:t>
      </w:r>
      <w:r w:rsidRPr="00B25969">
        <w:rPr>
          <w:i/>
        </w:rPr>
        <w:t>See also Adam Smith Enters., Inc. v. Fla. Dept. of Env’l Protect.</w:t>
      </w:r>
      <w:r>
        <w:t xml:space="preserve">, 553 So. 2d 1260, 1269-70 (Fla. 1st DCA 1989) (holding that rulemaking is not a proceeding in which substantial interests are adjudicated). </w:t>
      </w:r>
    </w:p>
  </w:footnote>
  <w:footnote w:id="4">
    <w:p w:rsidR="00D93A99" w:rsidRDefault="00D93A99" w:rsidP="00D93A99">
      <w:pPr>
        <w:pStyle w:val="FootnoteText"/>
      </w:pPr>
      <w:r>
        <w:rPr>
          <w:rStyle w:val="FootnoteReference"/>
        </w:rPr>
        <w:footnoteRef/>
      </w:r>
      <w:r w:rsidR="0071465A">
        <w:t xml:space="preserve"> Section 350.0611(1), F.S., does not afford OPC greater discovery rights than anyone else.</w:t>
      </w:r>
      <w:r>
        <w:t xml:space="preserve"> While the Commission has </w:t>
      </w:r>
      <w:r w:rsidRPr="00A25F0C">
        <w:t>allowed discovery in a limited circumstance in a proceeding involv</w:t>
      </w:r>
      <w:r>
        <w:t>ing proposed agency action</w:t>
      </w:r>
      <w:r w:rsidRPr="00A25F0C">
        <w:t xml:space="preserve">, the facts and holding of that case do not apply to rulemaking. </w:t>
      </w:r>
      <w:r w:rsidRPr="001C2CF3">
        <w:rPr>
          <w:i/>
        </w:rPr>
        <w:t>C</w:t>
      </w:r>
      <w:r w:rsidRPr="00B25969">
        <w:rPr>
          <w:i/>
        </w:rPr>
        <w:t>itizens of State ex rel. Office of Publ. Couns. v. Fla. Public Serv. Comm’n,</w:t>
      </w:r>
      <w:r>
        <w:t xml:space="preserve"> 164 So. 3d 58, 64 </w:t>
      </w:r>
      <w:r w:rsidRPr="00A25F0C">
        <w:t>(Fla. 1st DCA 2015);</w:t>
      </w:r>
      <w:r>
        <w:t xml:space="preserve"> Order No. </w:t>
      </w:r>
      <w:r w:rsidRPr="00A25F0C">
        <w:t xml:space="preserve">PSC-15-0381-DS-PU, </w:t>
      </w:r>
      <w:r>
        <w:t xml:space="preserve">issued Sept. 14, 2015, in Docket No. 140107-PU, </w:t>
      </w:r>
      <w:r w:rsidR="0071465A">
        <w:rPr>
          <w:i/>
        </w:rPr>
        <w:t xml:space="preserve">In re: </w:t>
      </w:r>
      <w:r w:rsidRPr="00B25969">
        <w:rPr>
          <w:i/>
        </w:rPr>
        <w:t>Petition for declaratory statement regarding discovery in dockets or proceedings affecting rates or cost of service processed with the Commission’s proposed agency action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6 ">
      <w:r w:rsidR="00D740B5">
        <w:t>PSC-2026-0146-PCO-PU</w:t>
      </w:r>
    </w:fldSimple>
  </w:p>
  <w:p w:rsidR="00FA6EFD" w:rsidRDefault="00D93A99">
    <w:pPr>
      <w:pStyle w:val="OrderHeader"/>
    </w:pPr>
    <w:bookmarkStart w:id="8" w:name="HeaderDocketNo"/>
    <w:bookmarkEnd w:id="8"/>
    <w:r>
      <w:t>DOCKET NO. 20240019-PU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40B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9-PU"/>
  </w:docVars>
  <w:rsids>
    <w:rsidRoot w:val="00D93A99"/>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41D2"/>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C693B"/>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2CF3"/>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0740"/>
    <w:rsid w:val="002B1F55"/>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3802"/>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3709"/>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3A6D"/>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65C9"/>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465A"/>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5969"/>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3919"/>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0BFB"/>
    <w:rsid w:val="00D611DF"/>
    <w:rsid w:val="00D65405"/>
    <w:rsid w:val="00D70752"/>
    <w:rsid w:val="00D740B5"/>
    <w:rsid w:val="00D80E2D"/>
    <w:rsid w:val="00D824A6"/>
    <w:rsid w:val="00D84D5E"/>
    <w:rsid w:val="00D8560E"/>
    <w:rsid w:val="00D8758F"/>
    <w:rsid w:val="00D93A99"/>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0783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6E1"/>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6D8AE"/>
  <w15:docId w15:val="{C57B9D9C-BDC0-48A1-91F4-881FDD54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93A99"/>
    <w:rPr>
      <w:rFonts w:ascii="Segoe UI" w:hAnsi="Segoe UI" w:cs="Segoe UI"/>
      <w:sz w:val="18"/>
      <w:szCs w:val="18"/>
    </w:rPr>
  </w:style>
  <w:style w:type="character" w:customStyle="1" w:styleId="BalloonTextChar">
    <w:name w:val="Balloon Text Char"/>
    <w:basedOn w:val="DefaultParagraphFont"/>
    <w:link w:val="BalloonText"/>
    <w:semiHidden/>
    <w:rsid w:val="00D93A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28FD-4C80-4DE0-BA5F-32321086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3</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Tristan Davis</cp:lastModifiedBy>
  <cp:revision>5</cp:revision>
  <cp:lastPrinted>2026-05-12T19:27:00Z</cp:lastPrinted>
  <dcterms:created xsi:type="dcterms:W3CDTF">2026-05-05T17:19:00Z</dcterms:created>
  <dcterms:modified xsi:type="dcterms:W3CDTF">2026-05-12T19:27:00Z</dcterms:modified>
</cp:coreProperties>
</file>