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30" w:rsidRPr="003774F1" w:rsidRDefault="00CA0530">
      <w:pPr>
        <w:suppressAutoHyphens/>
        <w:spacing w:line="240" w:lineRule="atLeast"/>
        <w:jc w:val="center"/>
        <w:rPr>
          <w:rFonts w:ascii="Courier New" w:hAnsi="Courier New" w:cs="Courier New"/>
          <w:sz w:val="24"/>
          <w:szCs w:val="24"/>
        </w:rPr>
      </w:pPr>
      <w:r w:rsidRPr="003774F1">
        <w:rPr>
          <w:rFonts w:ascii="Courier New" w:hAnsi="Courier New" w:cs="Courier New"/>
          <w:sz w:val="24"/>
          <w:szCs w:val="24"/>
        </w:rPr>
        <w:t>FLORIDA PUBLIC SERVICE COMMISSION</w:t>
      </w:r>
      <w:r w:rsidRPr="003774F1">
        <w:rPr>
          <w:rFonts w:ascii="Courier New" w:hAnsi="Courier New" w:cs="Courier New"/>
          <w:sz w:val="24"/>
          <w:szCs w:val="24"/>
        </w:rPr>
        <w:fldChar w:fldCharType="begin"/>
      </w:r>
      <w:r w:rsidRPr="003774F1">
        <w:rPr>
          <w:rFonts w:ascii="Courier New" w:hAnsi="Courier New" w:cs="Courier New"/>
          <w:sz w:val="24"/>
          <w:szCs w:val="24"/>
        </w:rPr>
        <w:instrText xml:space="preserve">PRIVATE </w:instrText>
      </w:r>
      <w:r w:rsidRPr="003774F1">
        <w:rPr>
          <w:rFonts w:ascii="Courier New" w:hAnsi="Courier New" w:cs="Courier New"/>
          <w:sz w:val="24"/>
          <w:szCs w:val="24"/>
        </w:rPr>
        <w:fldChar w:fldCharType="end"/>
      </w:r>
    </w:p>
    <w:p w:rsidR="00CA0530" w:rsidRPr="003774F1" w:rsidRDefault="00CA0530">
      <w:pPr>
        <w:suppressAutoHyphens/>
        <w:spacing w:line="240" w:lineRule="atLeast"/>
        <w:jc w:val="center"/>
        <w:rPr>
          <w:rFonts w:ascii="Courier New" w:hAnsi="Courier New" w:cs="Courier New"/>
          <w:sz w:val="24"/>
          <w:szCs w:val="24"/>
        </w:rPr>
      </w:pPr>
    </w:p>
    <w:p w:rsidR="00CA0530" w:rsidRPr="003774F1" w:rsidRDefault="00CA0530">
      <w:pPr>
        <w:suppressAutoHyphens/>
        <w:spacing w:line="240" w:lineRule="atLeast"/>
        <w:jc w:val="center"/>
        <w:rPr>
          <w:rFonts w:ascii="Courier New" w:hAnsi="Courier New" w:cs="Courier New"/>
          <w:sz w:val="24"/>
          <w:szCs w:val="24"/>
        </w:rPr>
      </w:pPr>
      <w:r w:rsidRPr="003774F1">
        <w:rPr>
          <w:rFonts w:ascii="Courier New" w:hAnsi="Courier New" w:cs="Courier New"/>
          <w:sz w:val="24"/>
          <w:szCs w:val="24"/>
        </w:rPr>
        <w:t>Fletcher Building</w:t>
      </w:r>
    </w:p>
    <w:p w:rsidR="00CA0530" w:rsidRPr="003774F1" w:rsidRDefault="00CA0530">
      <w:pPr>
        <w:suppressAutoHyphens/>
        <w:spacing w:line="240" w:lineRule="atLeast"/>
        <w:jc w:val="center"/>
        <w:rPr>
          <w:rFonts w:ascii="Courier New" w:hAnsi="Courier New" w:cs="Courier New"/>
          <w:sz w:val="24"/>
          <w:szCs w:val="24"/>
        </w:rPr>
      </w:pPr>
      <w:r w:rsidRPr="003774F1">
        <w:rPr>
          <w:rFonts w:ascii="Courier New" w:hAnsi="Courier New" w:cs="Courier New"/>
          <w:sz w:val="24"/>
          <w:szCs w:val="24"/>
        </w:rPr>
        <w:t>101 East Gaines Street</w:t>
      </w:r>
    </w:p>
    <w:p w:rsidR="00CA0530" w:rsidRPr="003774F1" w:rsidRDefault="00CA0530">
      <w:pPr>
        <w:suppressAutoHyphens/>
        <w:spacing w:line="240" w:lineRule="atLeast"/>
        <w:jc w:val="center"/>
        <w:rPr>
          <w:rFonts w:ascii="Courier New" w:hAnsi="Courier New" w:cs="Courier New"/>
          <w:sz w:val="24"/>
          <w:szCs w:val="24"/>
        </w:rPr>
      </w:pPr>
      <w:r w:rsidRPr="003774F1">
        <w:rPr>
          <w:rFonts w:ascii="Courier New" w:hAnsi="Courier New" w:cs="Courier New"/>
          <w:sz w:val="24"/>
          <w:szCs w:val="24"/>
        </w:rPr>
        <w:t>Tallahassee, Florida  32399-0850</w:t>
      </w:r>
    </w:p>
    <w:p w:rsidR="00CA0530" w:rsidRPr="003774F1" w:rsidRDefault="00CA0530">
      <w:pPr>
        <w:suppressAutoHyphens/>
        <w:spacing w:line="240" w:lineRule="atLeast"/>
        <w:jc w:val="center"/>
        <w:rPr>
          <w:rFonts w:ascii="Courier New" w:hAnsi="Courier New" w:cs="Courier New"/>
          <w:sz w:val="24"/>
          <w:szCs w:val="24"/>
        </w:rPr>
      </w:pPr>
    </w:p>
    <w:p w:rsidR="00CA0530" w:rsidRPr="003774F1" w:rsidRDefault="00CA0530">
      <w:pPr>
        <w:suppressAutoHyphens/>
        <w:spacing w:line="240" w:lineRule="atLeast"/>
        <w:jc w:val="center"/>
        <w:rPr>
          <w:rFonts w:ascii="Courier New" w:hAnsi="Courier New" w:cs="Courier New"/>
          <w:sz w:val="24"/>
          <w:szCs w:val="24"/>
        </w:rPr>
      </w:pPr>
      <w:r w:rsidRPr="003774F1">
        <w:rPr>
          <w:rFonts w:ascii="Courier New" w:hAnsi="Courier New" w:cs="Courier New"/>
          <w:sz w:val="24"/>
          <w:szCs w:val="24"/>
          <w:u w:val="single"/>
        </w:rPr>
        <w:t>M E M O R A N D U M</w:t>
      </w:r>
    </w:p>
    <w:p w:rsidR="00CA0530" w:rsidRPr="003774F1" w:rsidRDefault="00CA0530">
      <w:pPr>
        <w:suppressAutoHyphens/>
        <w:spacing w:line="240" w:lineRule="atLeast"/>
        <w:jc w:val="center"/>
        <w:rPr>
          <w:rFonts w:ascii="Courier New" w:hAnsi="Courier New" w:cs="Courier New"/>
          <w:sz w:val="24"/>
          <w:szCs w:val="24"/>
        </w:rPr>
      </w:pPr>
    </w:p>
    <w:p w:rsidR="00CA0530" w:rsidRPr="003774F1" w:rsidRDefault="00CA0530">
      <w:pPr>
        <w:suppressAutoHyphens/>
        <w:spacing w:line="240" w:lineRule="atLeast"/>
        <w:jc w:val="center"/>
        <w:rPr>
          <w:rFonts w:ascii="Courier New" w:hAnsi="Courier New" w:cs="Courier New"/>
          <w:sz w:val="24"/>
          <w:szCs w:val="24"/>
        </w:rPr>
      </w:pPr>
      <w:r w:rsidRPr="003774F1">
        <w:rPr>
          <w:rFonts w:ascii="Courier New" w:hAnsi="Courier New" w:cs="Courier New"/>
          <w:sz w:val="24"/>
          <w:szCs w:val="24"/>
        </w:rPr>
        <w:t>April 8, 1993</w:t>
      </w:r>
    </w:p>
    <w:p w:rsidR="00CA0530" w:rsidRPr="003774F1" w:rsidRDefault="00CA0530">
      <w:pPr>
        <w:suppressAutoHyphens/>
        <w:spacing w:line="240" w:lineRule="atLeast"/>
        <w:jc w:val="both"/>
        <w:rPr>
          <w:rFonts w:ascii="Courier New" w:hAnsi="Courier New" w:cs="Courier New"/>
          <w:spacing w:val="-3"/>
          <w:sz w:val="24"/>
          <w:szCs w:val="24"/>
        </w:rPr>
      </w:pPr>
    </w:p>
    <w:p w:rsidR="00CA0530" w:rsidRPr="003774F1" w:rsidRDefault="00CA0530">
      <w:pPr>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774F1">
        <w:rPr>
          <w:rFonts w:ascii="Courier New" w:hAnsi="Courier New" w:cs="Courier New"/>
          <w:spacing w:val="-3"/>
          <w:sz w:val="24"/>
          <w:szCs w:val="24"/>
        </w:rPr>
        <w:t>TO</w:t>
      </w:r>
      <w:r w:rsidRPr="003774F1">
        <w:rPr>
          <w:rFonts w:ascii="Courier New" w:hAnsi="Courier New" w:cs="Courier New"/>
          <w:spacing w:val="-3"/>
          <w:sz w:val="24"/>
          <w:szCs w:val="24"/>
        </w:rPr>
        <w:tab/>
        <w:t>:</w:t>
      </w:r>
      <w:r w:rsidR="003774F1">
        <w:rPr>
          <w:rFonts w:ascii="Courier New" w:hAnsi="Courier New" w:cs="Courier New"/>
          <w:spacing w:val="-3"/>
          <w:sz w:val="24"/>
          <w:szCs w:val="24"/>
        </w:rPr>
        <w:tab/>
      </w:r>
      <w:r w:rsidRPr="003774F1">
        <w:rPr>
          <w:rFonts w:ascii="Courier New" w:hAnsi="Courier New" w:cs="Courier New"/>
          <w:spacing w:val="-3"/>
          <w:sz w:val="24"/>
          <w:szCs w:val="24"/>
        </w:rPr>
        <w:t>DIRECTOR, DIVISION OF RECORDS AND REPORTING</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774F1">
        <w:rPr>
          <w:rFonts w:ascii="Courier New" w:hAnsi="Courier New" w:cs="Courier New"/>
          <w:spacing w:val="-3"/>
          <w:sz w:val="24"/>
          <w:szCs w:val="24"/>
        </w:rPr>
        <w:t>FROM</w:t>
      </w:r>
      <w:r w:rsidRPr="003774F1">
        <w:rPr>
          <w:rFonts w:ascii="Courier New" w:hAnsi="Courier New" w:cs="Courier New"/>
          <w:spacing w:val="-3"/>
          <w:sz w:val="24"/>
          <w:szCs w:val="24"/>
        </w:rPr>
        <w:tab/>
        <w:t>:</w:t>
      </w:r>
      <w:r w:rsidR="003774F1">
        <w:rPr>
          <w:rFonts w:ascii="Courier New" w:hAnsi="Courier New" w:cs="Courier New"/>
          <w:spacing w:val="-3"/>
          <w:sz w:val="24"/>
          <w:szCs w:val="24"/>
        </w:rPr>
        <w:tab/>
      </w:r>
      <w:r w:rsidRPr="003774F1">
        <w:rPr>
          <w:rFonts w:ascii="Courier New" w:hAnsi="Courier New" w:cs="Courier New"/>
          <w:spacing w:val="-3"/>
          <w:sz w:val="24"/>
          <w:szCs w:val="24"/>
        </w:rPr>
        <w:t>DIVISION OF ELECTRIC AND GAS [BASS, BULECZA-BANKS, BRADY]</w:t>
      </w:r>
    </w:p>
    <w:p w:rsidR="00CA0530" w:rsidRPr="003774F1" w:rsidRDefault="00CA0530">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774F1">
        <w:rPr>
          <w:rFonts w:ascii="Courier New" w:hAnsi="Courier New" w:cs="Courier New"/>
          <w:spacing w:val="-3"/>
          <w:sz w:val="24"/>
          <w:szCs w:val="24"/>
        </w:rPr>
        <w:tab/>
      </w:r>
      <w:r w:rsidR="003774F1">
        <w:rPr>
          <w:rFonts w:ascii="Courier New" w:hAnsi="Courier New" w:cs="Courier New"/>
          <w:spacing w:val="-3"/>
          <w:sz w:val="24"/>
          <w:szCs w:val="24"/>
        </w:rPr>
        <w:tab/>
      </w:r>
      <w:r w:rsidRPr="003774F1">
        <w:rPr>
          <w:rFonts w:ascii="Courier New" w:hAnsi="Courier New" w:cs="Courier New"/>
          <w:spacing w:val="-3"/>
          <w:sz w:val="24"/>
          <w:szCs w:val="24"/>
        </w:rPr>
        <w:t>DIVISION OF LEGAL SERVICES [ELIAS]</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774F1">
        <w:rPr>
          <w:rFonts w:ascii="Courier New" w:hAnsi="Courier New" w:cs="Courier New"/>
          <w:spacing w:val="-3"/>
          <w:sz w:val="24"/>
          <w:szCs w:val="24"/>
        </w:rPr>
        <w:t>RE</w:t>
      </w:r>
      <w:r w:rsidRPr="003774F1">
        <w:rPr>
          <w:rFonts w:ascii="Courier New" w:hAnsi="Courier New" w:cs="Courier New"/>
          <w:spacing w:val="-3"/>
          <w:sz w:val="24"/>
          <w:szCs w:val="24"/>
        </w:rPr>
        <w:tab/>
        <w:t>:</w:t>
      </w:r>
      <w:r w:rsidR="003774F1">
        <w:rPr>
          <w:rFonts w:ascii="Courier New" w:hAnsi="Courier New" w:cs="Courier New"/>
          <w:spacing w:val="-3"/>
          <w:sz w:val="24"/>
          <w:szCs w:val="24"/>
        </w:rPr>
        <w:tab/>
      </w:r>
      <w:r w:rsidRPr="003774F1">
        <w:rPr>
          <w:rFonts w:ascii="Courier New" w:hAnsi="Courier New" w:cs="Courier New"/>
          <w:spacing w:val="-3"/>
          <w:sz w:val="24"/>
          <w:szCs w:val="24"/>
        </w:rPr>
        <w:t>DOCKET NO. 930002-PU - CONSERVATION COST RECOVERY CLAUSE</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774F1">
        <w:rPr>
          <w:rFonts w:ascii="Courier New" w:hAnsi="Courier New" w:cs="Courier New"/>
          <w:spacing w:val="-3"/>
          <w:sz w:val="24"/>
          <w:szCs w:val="24"/>
        </w:rPr>
        <w:t>AGENDA:</w:t>
      </w:r>
      <w:r w:rsidR="003774F1">
        <w:rPr>
          <w:rFonts w:ascii="Courier New" w:hAnsi="Courier New" w:cs="Courier New"/>
          <w:spacing w:val="-3"/>
          <w:sz w:val="24"/>
          <w:szCs w:val="24"/>
        </w:rPr>
        <w:tab/>
      </w:r>
      <w:r w:rsidRPr="003774F1">
        <w:rPr>
          <w:rFonts w:ascii="Courier New" w:hAnsi="Courier New" w:cs="Courier New"/>
          <w:spacing w:val="-3"/>
          <w:sz w:val="24"/>
          <w:szCs w:val="24"/>
        </w:rPr>
        <w:t>4/20/93 - CONTROVERSIAL AGENDA - PROPOSED AGENCY ACTION -PARTIES MAY PARTICIPATE</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3774F1">
        <w:rPr>
          <w:rFonts w:ascii="Courier New" w:hAnsi="Courier New" w:cs="Courier New"/>
          <w:spacing w:val="-3"/>
          <w:sz w:val="24"/>
          <w:szCs w:val="24"/>
        </w:rPr>
        <w:t>PANEL:FULL COMMISSION</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sidRPr="003774F1">
        <w:rPr>
          <w:rFonts w:ascii="Courier New" w:hAnsi="Courier New" w:cs="Courier New"/>
          <w:spacing w:val="-3"/>
          <w:sz w:val="24"/>
          <w:szCs w:val="24"/>
        </w:rPr>
        <w:t>CRITICAL DATES:NONE</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spacing w:val="-3"/>
          <w:sz w:val="24"/>
          <w:szCs w:val="24"/>
        </w:rPr>
      </w:pPr>
      <w:r w:rsidRPr="003774F1">
        <w:rPr>
          <w:rFonts w:ascii="Courier New" w:hAnsi="Courier New" w:cs="Courier New"/>
          <w:spacing w:val="-3"/>
          <w:sz w:val="24"/>
          <w:szCs w:val="24"/>
        </w:rPr>
        <w:t>SPECIAL INSTRUCTIONS:I:\PSC\EAG\WP\930002.RCM</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___________________________________</w:t>
      </w:r>
      <w:r w:rsidR="003774F1">
        <w:rPr>
          <w:rFonts w:ascii="Courier New" w:hAnsi="Courier New" w:cs="Courier New"/>
          <w:spacing w:val="-3"/>
          <w:sz w:val="24"/>
          <w:szCs w:val="24"/>
        </w:rPr>
        <w:t>_______________________________</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center" w:pos="468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r>
      <w:r w:rsidRPr="003774F1">
        <w:rPr>
          <w:rFonts w:ascii="Courier New" w:hAnsi="Courier New" w:cs="Courier New"/>
          <w:spacing w:val="-3"/>
          <w:sz w:val="24"/>
          <w:szCs w:val="24"/>
          <w:u w:val="single"/>
        </w:rPr>
        <w:t>CASE BACKGROUND</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t>On October 2, 1992, Staff conducted a workshop to consider and hear comments from investor-owned utilities regarding the feasibility of holding conservation cost recovery hearings annually instead of semi-annually.  The workshop was attended by representatives from Florida Power Corporation, Florida Power &amp; Light Company, Tampa Electric Company, Gulf Power Company, Florida Public Utilities Company, Peoples Gas System, Inc., West Florida Natural Gas Company, Florida Division of Chesapeake Utilities Corporation, St. Joe Natural Gas Company, City Gas Company of Florida and Florida Industrial Power Users Group.  The utilities were asked to provide written comments to issues addressed during the workshop.  These comments have been incorporated into this recommendation whenever practicable.</w:t>
      </w:r>
    </w:p>
    <w:p w:rsidR="00013199" w:rsidRPr="003774F1" w:rsidRDefault="00013199">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CA0530" w:rsidRPr="003774F1" w:rsidRDefault="00CA0530">
      <w:pPr>
        <w:tabs>
          <w:tab w:val="center" w:pos="468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r>
      <w:r w:rsidRPr="003774F1">
        <w:rPr>
          <w:rFonts w:ascii="Courier New" w:hAnsi="Courier New" w:cs="Courier New"/>
          <w:spacing w:val="-3"/>
          <w:sz w:val="24"/>
          <w:szCs w:val="24"/>
          <w:u w:val="single"/>
        </w:rPr>
        <w:t>DISCUSSION OF ISSUE</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u w:val="single"/>
        </w:rPr>
        <w:lastRenderedPageBreak/>
        <w:t>ISSUE:</w:t>
      </w:r>
      <w:r w:rsidRPr="003774F1">
        <w:rPr>
          <w:rFonts w:ascii="Courier New" w:hAnsi="Courier New" w:cs="Courier New"/>
          <w:spacing w:val="-3"/>
          <w:sz w:val="24"/>
          <w:szCs w:val="24"/>
        </w:rPr>
        <w:tab/>
        <w:t>Should the Commission approve a change in the frequency of energy conservation cost recovery hearings from semi-annually to annually?</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u w:val="single"/>
        </w:rPr>
        <w:t>RECOMMENDATION:</w:t>
      </w:r>
      <w:r w:rsidRPr="003774F1">
        <w:rPr>
          <w:rFonts w:ascii="Courier New" w:hAnsi="Courier New" w:cs="Courier New"/>
          <w:spacing w:val="-3"/>
          <w:sz w:val="24"/>
          <w:szCs w:val="24"/>
        </w:rPr>
        <w:tab/>
        <w:t>Yes.  The Commission should approve the change to annual hearings and initiate rule change proceedings to reflect its decision.</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u w:val="single"/>
        </w:rPr>
        <w:t>STAFF ANALYSIS:</w:t>
      </w:r>
      <w:r w:rsidRPr="003774F1">
        <w:rPr>
          <w:rFonts w:ascii="Courier New" w:hAnsi="Courier New" w:cs="Courier New"/>
          <w:spacing w:val="-3"/>
          <w:sz w:val="24"/>
          <w:szCs w:val="24"/>
        </w:rPr>
        <w:tab/>
        <w:t>Staff is proposing to change the frequency of the energy conservation cost recovery (ECCR) hearings from semi-annually to annually.  The goal of the proposed change is to reduce the time and dollars spent during the preparation for and attendance at cost recovery proceedings, thereby producing savings which will benefit utility ratepayers.  Under Staff's proposal, the Commission would consider the recovery of conservation expenditures during a one-day hearing in February of each year.  A time-line depicting the cost recovery periods, including the transition period, is attached as Exhibit 1.</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t>Staff believes there are substantial benefits to be derived from a change to annual hearings.  A reduction in the number of days scheduled for hearings will not only free up Commissioners' time, but Staff and company employees' time as well.  As stated by Gulf Power Company, affected company employees could become better utilized in other company interests, and the ratepayers would save the incremental costs (airfare, hotel, meals, etc.) related to an additional hearing.  There also would be lower administrative and legal expenses associated with preparing and filing projections annually versus semi-annually.  All such savings would directly benefit ratepayers.</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t xml:space="preserve">Utilities, which submitted written comments subsequent to the workshop, are generally in agreement to the change to annual hearings.  However, two concerns were expressed.  The first concern is the possibility that a longer forecast horizon will increase the likelihood of a company's actual costs differing from its forecast and therefore, an increased potential for over- or underrecoveries.  This concern could be mitigated if a mid-course correction procedure is established.  Staff proposes that the Commission establish a mid-course correction procedure similar to the procedure used in the fuel cost recovery clause.  The current mid-course correction procedure used in fuel cost recovery proceedings requires that when a utility becomes aware that its projected fuel revenues will result in an over- or underrecovery in excess of 10% of its projected fuel </w:t>
      </w:r>
      <w:r w:rsidRPr="003774F1">
        <w:rPr>
          <w:rFonts w:ascii="Courier New" w:hAnsi="Courier New" w:cs="Courier New"/>
          <w:spacing w:val="-3"/>
          <w:sz w:val="24"/>
          <w:szCs w:val="24"/>
        </w:rPr>
        <w:lastRenderedPageBreak/>
        <w:t>costs, the utility must request a hearing to revise the fuel adjustment factor if in its judgment such revision would not be impractical.  In light of certain timing considerations, a utility may choose, in lieu of requesting a hearing, to inform the Commission, the Staff, and the intervenors that a greater than 10% over- or underrecovery is projected to occur.  In that event, the Staff or an intervenor could request that a hearing be held, and the Commission could order a hearing on its own motion or in response to a Staff or intervenor request.  Staff recommends that the percentage used to trigger the mid-course correction procedure be changed to 15%.  The responding utilities suggested percentages ranging from 10% to 25%.  Because of the extension of the recovery period to twelve months, Staff believes 15% is the appropriate notification threshold.</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t>The second concern expressed by companies was the timing of recovery of costs associated with conservation programs approved during a cost recovery period.  Staff proposes that when a company receives approval of a new conservation program at a time other than at the annual cost recovery hearing and the expenses of this program cause the under-recovery amount to exceed 15% of the projected annual conservation costs, then a petition for mid-course correction would be appropriate.</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t>The procedures for recovery of conservation costs are codified in Commission Rule No. 25-17.015(1).  This rule states that conservation costs will be recovered in the same manner and for the same periods as provided for the fuel cost recovery clause in Order No. 9273 issued by the Commission on March 7, 1980.  If the Commission adopts Staff's proposal for annual hearings, this section of the rule will need to be changed to reflect the Commission's decision.</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ab/>
        <w:t>Staff recommends the following:</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rsidP="003774F1">
      <w:pPr>
        <w:numPr>
          <w:ilvl w:val="0"/>
          <w:numId w:val="2"/>
        </w:numPr>
        <w:tabs>
          <w:tab w:val="left" w:pos="-720"/>
          <w:tab w:val="left" w:pos="0"/>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The Commission should approve the change of the frequency of energy conservation cost recovery hearings from semi-annually to annually.</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rsidP="003774F1">
      <w:pPr>
        <w:numPr>
          <w:ilvl w:val="0"/>
          <w:numId w:val="2"/>
        </w:numPr>
        <w:tabs>
          <w:tab w:val="left" w:pos="-720"/>
          <w:tab w:val="left" w:pos="0"/>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The Commission should approve the adoption of a mid-course correction procedure applicable to conservation cost recovery.</w:t>
      </w:r>
    </w:p>
    <w:p w:rsidR="00CA0530" w:rsidRPr="003774F1" w:rsidRDefault="00CA0530">
      <w:pPr>
        <w:tabs>
          <w:tab w:val="left" w:pos="-720"/>
        </w:tabs>
        <w:suppressAutoHyphens/>
        <w:spacing w:line="240" w:lineRule="atLeast"/>
        <w:jc w:val="both"/>
        <w:rPr>
          <w:rFonts w:ascii="Courier New" w:hAnsi="Courier New" w:cs="Courier New"/>
          <w:spacing w:val="-3"/>
          <w:sz w:val="24"/>
          <w:szCs w:val="24"/>
        </w:rPr>
      </w:pPr>
    </w:p>
    <w:p w:rsidR="00CA0530" w:rsidRPr="003774F1" w:rsidRDefault="00CA0530" w:rsidP="003774F1">
      <w:pPr>
        <w:numPr>
          <w:ilvl w:val="0"/>
          <w:numId w:val="2"/>
        </w:numPr>
        <w:tabs>
          <w:tab w:val="left" w:pos="-720"/>
          <w:tab w:val="left" w:pos="0"/>
          <w:tab w:val="left" w:pos="720"/>
        </w:tabs>
        <w:suppressAutoHyphens/>
        <w:spacing w:line="240" w:lineRule="atLeast"/>
        <w:jc w:val="both"/>
        <w:rPr>
          <w:rFonts w:ascii="Courier New" w:hAnsi="Courier New" w:cs="Courier New"/>
          <w:spacing w:val="-3"/>
          <w:sz w:val="24"/>
          <w:szCs w:val="24"/>
        </w:rPr>
      </w:pPr>
      <w:r w:rsidRPr="003774F1">
        <w:rPr>
          <w:rFonts w:ascii="Courier New" w:hAnsi="Courier New" w:cs="Courier New"/>
          <w:spacing w:val="-3"/>
          <w:sz w:val="24"/>
          <w:szCs w:val="24"/>
        </w:rPr>
        <w:t>The Commission should initiate rule change proceedings to reflect its decision.</w:t>
      </w:r>
    </w:p>
    <w:sectPr w:rsidR="00CA0530" w:rsidRPr="003774F1" w:rsidSect="00CA0530">
      <w:foot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30" w:rsidRDefault="00CA0530">
      <w:pPr>
        <w:spacing w:line="20" w:lineRule="exact"/>
        <w:rPr>
          <w:rFonts w:cstheme="minorBidi"/>
          <w:sz w:val="24"/>
          <w:szCs w:val="24"/>
        </w:rPr>
      </w:pPr>
    </w:p>
  </w:endnote>
  <w:endnote w:type="continuationSeparator" w:id="0">
    <w:p w:rsidR="00CA0530" w:rsidRDefault="00CA0530" w:rsidP="00CA0530">
      <w:r>
        <w:rPr>
          <w:rFonts w:cstheme="minorBidi"/>
          <w:sz w:val="24"/>
          <w:szCs w:val="24"/>
        </w:rPr>
        <w:t xml:space="preserve"> </w:t>
      </w:r>
    </w:p>
  </w:endnote>
  <w:endnote w:type="continuationNotice" w:id="1">
    <w:p w:rsidR="00CA0530" w:rsidRDefault="00CA0530" w:rsidP="00CA053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30" w:rsidRDefault="00CA0530">
    <w:pPr>
      <w:spacing w:before="140" w:line="100" w:lineRule="exact"/>
      <w:rPr>
        <w:rFonts w:cstheme="minorBidi"/>
        <w:sz w:val="10"/>
        <w:szCs w:val="10"/>
      </w:rPr>
    </w:pPr>
  </w:p>
  <w:p w:rsidR="00CA0530" w:rsidRDefault="00CA0530">
    <w:pPr>
      <w:suppressAutoHyphens/>
      <w:spacing w:line="240" w:lineRule="atLeast"/>
      <w:jc w:val="center"/>
      <w:rPr>
        <w:rFonts w:cstheme="minorBidi"/>
        <w:sz w:val="24"/>
        <w:szCs w:val="24"/>
      </w:rPr>
    </w:pPr>
  </w:p>
  <w:p w:rsidR="00CA0530" w:rsidRDefault="003774F1" w:rsidP="00CA053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0530" w:rsidRPr="003774F1" w:rsidRDefault="00CA0530">
                          <w:pPr>
                            <w:tabs>
                              <w:tab w:val="center" w:pos="4680"/>
                              <w:tab w:val="right" w:pos="9360"/>
                            </w:tabs>
                            <w:rPr>
                              <w:rFonts w:ascii="Courier New" w:hAnsi="Courier New" w:cs="Courier New"/>
                              <w:sz w:val="24"/>
                              <w:szCs w:val="24"/>
                            </w:rPr>
                          </w:pPr>
                          <w:r>
                            <w:rPr>
                              <w:rFonts w:cstheme="minorBidi"/>
                              <w:sz w:val="24"/>
                              <w:szCs w:val="24"/>
                            </w:rPr>
                            <w:tab/>
                          </w:r>
                          <w:r w:rsidRPr="003774F1">
                            <w:rPr>
                              <w:rFonts w:ascii="Courier New" w:hAnsi="Courier New" w:cs="Courier New"/>
                              <w:sz w:val="24"/>
                              <w:szCs w:val="24"/>
                            </w:rPr>
                            <w:fldChar w:fldCharType="begin"/>
                          </w:r>
                          <w:r w:rsidRPr="003774F1">
                            <w:rPr>
                              <w:rFonts w:ascii="Courier New" w:hAnsi="Courier New" w:cs="Courier New"/>
                              <w:sz w:val="24"/>
                              <w:szCs w:val="24"/>
                            </w:rPr>
                            <w:instrText>page \* arabic</w:instrText>
                          </w:r>
                          <w:r w:rsidRPr="003774F1">
                            <w:rPr>
                              <w:rFonts w:ascii="Courier New" w:hAnsi="Courier New" w:cs="Courier New"/>
                              <w:sz w:val="24"/>
                              <w:szCs w:val="24"/>
                            </w:rPr>
                            <w:fldChar w:fldCharType="separate"/>
                          </w:r>
                          <w:r w:rsidR="00013199">
                            <w:rPr>
                              <w:rFonts w:ascii="Courier New" w:hAnsi="Courier New" w:cs="Courier New"/>
                              <w:noProof/>
                              <w:sz w:val="24"/>
                              <w:szCs w:val="24"/>
                            </w:rPr>
                            <w:t>2</w:t>
                          </w:r>
                          <w:r w:rsidRPr="003774F1">
                            <w:rPr>
                              <w:rFonts w:ascii="Courier New" w:hAnsi="Courier New" w:cs="Courier New"/>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CA0530" w:rsidRPr="003774F1" w:rsidRDefault="00CA0530">
                    <w:pPr>
                      <w:tabs>
                        <w:tab w:val="center" w:pos="4680"/>
                        <w:tab w:val="right" w:pos="9360"/>
                      </w:tabs>
                      <w:rPr>
                        <w:rFonts w:ascii="Courier New" w:hAnsi="Courier New" w:cs="Courier New"/>
                        <w:sz w:val="24"/>
                        <w:szCs w:val="24"/>
                      </w:rPr>
                    </w:pPr>
                    <w:r>
                      <w:rPr>
                        <w:rFonts w:cstheme="minorBidi"/>
                        <w:sz w:val="24"/>
                        <w:szCs w:val="24"/>
                      </w:rPr>
                      <w:tab/>
                    </w:r>
                    <w:r w:rsidRPr="003774F1">
                      <w:rPr>
                        <w:rFonts w:ascii="Courier New" w:hAnsi="Courier New" w:cs="Courier New"/>
                        <w:sz w:val="24"/>
                        <w:szCs w:val="24"/>
                      </w:rPr>
                      <w:fldChar w:fldCharType="begin"/>
                    </w:r>
                    <w:r w:rsidRPr="003774F1">
                      <w:rPr>
                        <w:rFonts w:ascii="Courier New" w:hAnsi="Courier New" w:cs="Courier New"/>
                        <w:sz w:val="24"/>
                        <w:szCs w:val="24"/>
                      </w:rPr>
                      <w:instrText>page \* arabic</w:instrText>
                    </w:r>
                    <w:r w:rsidRPr="003774F1">
                      <w:rPr>
                        <w:rFonts w:ascii="Courier New" w:hAnsi="Courier New" w:cs="Courier New"/>
                        <w:sz w:val="24"/>
                        <w:szCs w:val="24"/>
                      </w:rPr>
                      <w:fldChar w:fldCharType="separate"/>
                    </w:r>
                    <w:r w:rsidR="00013199">
                      <w:rPr>
                        <w:rFonts w:ascii="Courier New" w:hAnsi="Courier New" w:cs="Courier New"/>
                        <w:noProof/>
                        <w:sz w:val="24"/>
                        <w:szCs w:val="24"/>
                      </w:rPr>
                      <w:t>2</w:t>
                    </w:r>
                    <w:r w:rsidRPr="003774F1">
                      <w:rPr>
                        <w:rFonts w:ascii="Courier New" w:hAnsi="Courier New" w:cs="Courier New"/>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30" w:rsidRDefault="00CA0530" w:rsidP="00CA0530">
      <w:r>
        <w:rPr>
          <w:rFonts w:cstheme="minorBidi"/>
          <w:sz w:val="24"/>
          <w:szCs w:val="24"/>
        </w:rPr>
        <w:separator/>
      </w:r>
    </w:p>
  </w:footnote>
  <w:footnote w:type="continuationSeparator" w:id="0">
    <w:p w:rsidR="00CA0530" w:rsidRDefault="00CA0530" w:rsidP="00CA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72230865"/>
    <w:multiLevelType w:val="hybridMultilevel"/>
    <w:tmpl w:val="1906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30"/>
    <w:rsid w:val="00013199"/>
    <w:rsid w:val="003774F1"/>
    <w:rsid w:val="00CA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A053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A053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774F1"/>
    <w:pPr>
      <w:tabs>
        <w:tab w:val="center" w:pos="4680"/>
        <w:tab w:val="right" w:pos="9360"/>
      </w:tabs>
    </w:pPr>
  </w:style>
  <w:style w:type="character" w:customStyle="1" w:styleId="HeaderChar">
    <w:name w:val="Header Char"/>
    <w:basedOn w:val="DefaultParagraphFont"/>
    <w:link w:val="Header"/>
    <w:uiPriority w:val="99"/>
    <w:rsid w:val="003774F1"/>
    <w:rPr>
      <w:rFonts w:ascii="Lucida Sans Typewriter" w:hAnsi="Lucida Sans Typewriter" w:cs="Lucida Sans Typewriter"/>
      <w:sz w:val="20"/>
      <w:szCs w:val="20"/>
    </w:rPr>
  </w:style>
  <w:style w:type="paragraph" w:styleId="Footer">
    <w:name w:val="footer"/>
    <w:basedOn w:val="Normal"/>
    <w:link w:val="FooterChar"/>
    <w:uiPriority w:val="99"/>
    <w:unhideWhenUsed/>
    <w:rsid w:val="003774F1"/>
    <w:pPr>
      <w:tabs>
        <w:tab w:val="center" w:pos="4680"/>
        <w:tab w:val="right" w:pos="9360"/>
      </w:tabs>
    </w:pPr>
  </w:style>
  <w:style w:type="character" w:customStyle="1" w:styleId="FooterChar">
    <w:name w:val="Footer Char"/>
    <w:basedOn w:val="DefaultParagraphFont"/>
    <w:link w:val="Footer"/>
    <w:uiPriority w:val="99"/>
    <w:rsid w:val="003774F1"/>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A053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A053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774F1"/>
    <w:pPr>
      <w:tabs>
        <w:tab w:val="center" w:pos="4680"/>
        <w:tab w:val="right" w:pos="9360"/>
      </w:tabs>
    </w:pPr>
  </w:style>
  <w:style w:type="character" w:customStyle="1" w:styleId="HeaderChar">
    <w:name w:val="Header Char"/>
    <w:basedOn w:val="DefaultParagraphFont"/>
    <w:link w:val="Header"/>
    <w:uiPriority w:val="99"/>
    <w:rsid w:val="003774F1"/>
    <w:rPr>
      <w:rFonts w:ascii="Lucida Sans Typewriter" w:hAnsi="Lucida Sans Typewriter" w:cs="Lucida Sans Typewriter"/>
      <w:sz w:val="20"/>
      <w:szCs w:val="20"/>
    </w:rPr>
  </w:style>
  <w:style w:type="paragraph" w:styleId="Footer">
    <w:name w:val="footer"/>
    <w:basedOn w:val="Normal"/>
    <w:link w:val="FooterChar"/>
    <w:uiPriority w:val="99"/>
    <w:unhideWhenUsed/>
    <w:rsid w:val="003774F1"/>
    <w:pPr>
      <w:tabs>
        <w:tab w:val="center" w:pos="4680"/>
        <w:tab w:val="right" w:pos="9360"/>
      </w:tabs>
    </w:pPr>
  </w:style>
  <w:style w:type="character" w:customStyle="1" w:styleId="FooterChar">
    <w:name w:val="Footer Char"/>
    <w:basedOn w:val="DefaultParagraphFont"/>
    <w:link w:val="Footer"/>
    <w:uiPriority w:val="99"/>
    <w:rsid w:val="003774F1"/>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2015-08-26T15:06:00Z</dcterms:created>
  <dcterms:modified xsi:type="dcterms:W3CDTF">2015-08-26T20:37:00Z</dcterms:modified>
</cp:coreProperties>
</file>