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07" w:rsidRPr="00AF4F9D" w:rsidRDefault="00090A07" w:rsidP="00F137B5">
      <w:pPr>
        <w:jc w:val="center"/>
        <w:rPr>
          <w:rFonts w:ascii="Arial" w:eastAsia="Calibri" w:hAnsi="Arial" w:cs="Arial"/>
          <w:b/>
          <w:sz w:val="24"/>
          <w:szCs w:val="24"/>
        </w:rPr>
      </w:pPr>
      <w:r w:rsidRPr="00AF4F9D">
        <w:rPr>
          <w:rFonts w:ascii="Arial" w:eastAsia="Calibri" w:hAnsi="Arial" w:cs="Arial"/>
          <w:b/>
          <w:sz w:val="24"/>
          <w:szCs w:val="24"/>
        </w:rPr>
        <w:t>BEFORE THE FLORIDA PUBLIC SERVICE COMMISSION</w:t>
      </w:r>
    </w:p>
    <w:p w:rsidR="00090A07" w:rsidRPr="00A03AE8" w:rsidRDefault="00090A07" w:rsidP="00F137B5">
      <w:pPr>
        <w:jc w:val="both"/>
        <w:rPr>
          <w:rFonts w:ascii="Calibri" w:eastAsia="Calibri" w:hAnsi="Calibri" w:cs="Times New Roman"/>
          <w:sz w:val="24"/>
          <w:szCs w:val="24"/>
        </w:rPr>
      </w:pPr>
    </w:p>
    <w:p w:rsidR="00090A07" w:rsidRDefault="00090A07" w:rsidP="00F137B5">
      <w:pPr>
        <w:spacing w:before="240" w:after="0" w:line="240" w:lineRule="auto"/>
        <w:jc w:val="both"/>
        <w:rPr>
          <w:rFonts w:ascii="Arial" w:hAnsi="Arial" w:cs="Arial"/>
          <w:sz w:val="24"/>
          <w:szCs w:val="24"/>
        </w:rPr>
      </w:pPr>
      <w:r w:rsidRPr="00A03AE8">
        <w:rPr>
          <w:rFonts w:ascii="Arial" w:eastAsia="Calibri" w:hAnsi="Arial" w:cs="Arial"/>
          <w:sz w:val="24"/>
          <w:szCs w:val="24"/>
        </w:rPr>
        <w:t xml:space="preserve">In </w:t>
      </w:r>
      <w:r w:rsidR="00CD0F80">
        <w:rPr>
          <w:rFonts w:ascii="Arial" w:eastAsia="Calibri" w:hAnsi="Arial" w:cs="Arial"/>
          <w:sz w:val="24"/>
          <w:szCs w:val="24"/>
        </w:rPr>
        <w:t>R</w:t>
      </w:r>
      <w:r w:rsidRPr="00A03AE8">
        <w:rPr>
          <w:rFonts w:ascii="Arial" w:eastAsia="Calibri" w:hAnsi="Arial" w:cs="Arial"/>
          <w:sz w:val="24"/>
          <w:szCs w:val="24"/>
        </w:rPr>
        <w:t xml:space="preserve">e:  Application for </w:t>
      </w:r>
      <w:r>
        <w:rPr>
          <w:rFonts w:ascii="Arial" w:hAnsi="Arial" w:cs="Arial"/>
          <w:sz w:val="24"/>
          <w:szCs w:val="24"/>
        </w:rPr>
        <w:t xml:space="preserve">approval of transfer of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Docket No: 090093-WS</w:t>
      </w:r>
    </w:p>
    <w:p w:rsidR="00090A07" w:rsidRDefault="00090A07" w:rsidP="00F137B5">
      <w:pPr>
        <w:spacing w:after="0" w:line="240" w:lineRule="auto"/>
        <w:jc w:val="both"/>
        <w:rPr>
          <w:rFonts w:ascii="Arial" w:eastAsia="Calibri" w:hAnsi="Arial" w:cs="Arial"/>
          <w:sz w:val="24"/>
          <w:szCs w:val="24"/>
        </w:rPr>
      </w:pPr>
      <w:r>
        <w:rPr>
          <w:rFonts w:ascii="Arial" w:hAnsi="Arial" w:cs="Arial"/>
          <w:sz w:val="24"/>
          <w:szCs w:val="24"/>
        </w:rPr>
        <w:t>Keith &amp; Clara</w:t>
      </w:r>
      <w:r w:rsidRPr="00A03AE8">
        <w:rPr>
          <w:rFonts w:ascii="Arial" w:eastAsia="Calibri" w:hAnsi="Arial" w:cs="Arial"/>
          <w:sz w:val="24"/>
          <w:szCs w:val="24"/>
        </w:rPr>
        <w:t xml:space="preserve"> </w:t>
      </w:r>
      <w:r>
        <w:rPr>
          <w:rFonts w:ascii="Arial" w:eastAsia="Calibri" w:hAnsi="Arial" w:cs="Arial"/>
          <w:sz w:val="24"/>
          <w:szCs w:val="24"/>
        </w:rPr>
        <w:t xml:space="preserve">Starkey d/b/a Heather Hills </w:t>
      </w:r>
    </w:p>
    <w:p w:rsidR="00090A07" w:rsidRPr="00A03AE8" w:rsidRDefault="00090A07" w:rsidP="00F137B5">
      <w:pPr>
        <w:spacing w:after="0" w:line="240" w:lineRule="auto"/>
        <w:jc w:val="both"/>
        <w:rPr>
          <w:rFonts w:ascii="Arial" w:eastAsia="Calibri" w:hAnsi="Arial" w:cs="Arial"/>
          <w:sz w:val="24"/>
          <w:szCs w:val="24"/>
        </w:rPr>
      </w:pPr>
      <w:r>
        <w:rPr>
          <w:rFonts w:ascii="Arial" w:eastAsia="Calibri" w:hAnsi="Arial" w:cs="Arial"/>
          <w:sz w:val="24"/>
          <w:szCs w:val="24"/>
        </w:rPr>
        <w:t xml:space="preserve">Estates’ Water and Wastewater Utility, holder                             </w:t>
      </w:r>
      <w:r>
        <w:rPr>
          <w:rFonts w:ascii="Arial" w:hAnsi="Arial" w:cs="Arial"/>
          <w:sz w:val="24"/>
          <w:szCs w:val="24"/>
        </w:rPr>
        <w:t xml:space="preserve">                                                               </w:t>
      </w:r>
    </w:p>
    <w:p w:rsidR="00090A07" w:rsidRDefault="00090A07" w:rsidP="00F137B5">
      <w:pPr>
        <w:spacing w:after="0" w:line="240" w:lineRule="auto"/>
        <w:jc w:val="both"/>
        <w:rPr>
          <w:rFonts w:ascii="Arial" w:eastAsia="Calibri" w:hAnsi="Arial" w:cs="Arial"/>
          <w:sz w:val="24"/>
          <w:szCs w:val="24"/>
        </w:rPr>
      </w:pPr>
      <w:proofErr w:type="gramStart"/>
      <w:r>
        <w:rPr>
          <w:rFonts w:ascii="Arial" w:eastAsia="Calibri" w:hAnsi="Arial" w:cs="Arial"/>
          <w:sz w:val="24"/>
          <w:szCs w:val="24"/>
        </w:rPr>
        <w:t>of</w:t>
      </w:r>
      <w:proofErr w:type="gramEnd"/>
      <w:r>
        <w:rPr>
          <w:rFonts w:ascii="Arial" w:eastAsia="Calibri" w:hAnsi="Arial" w:cs="Arial"/>
          <w:sz w:val="24"/>
          <w:szCs w:val="24"/>
        </w:rPr>
        <w:t xml:space="preserve"> Certificates 577-W and 498-S, to Heather </w:t>
      </w:r>
    </w:p>
    <w:p w:rsidR="00090A07" w:rsidRPr="00A03AE8" w:rsidRDefault="00090A07" w:rsidP="00F137B5">
      <w:pPr>
        <w:spacing w:after="0" w:line="240" w:lineRule="auto"/>
        <w:jc w:val="both"/>
        <w:rPr>
          <w:rFonts w:ascii="Arial" w:eastAsia="Calibri" w:hAnsi="Arial" w:cs="Arial"/>
          <w:sz w:val="24"/>
          <w:szCs w:val="24"/>
        </w:rPr>
      </w:pPr>
      <w:r>
        <w:rPr>
          <w:rFonts w:ascii="Arial" w:eastAsia="Calibri" w:hAnsi="Arial" w:cs="Arial"/>
          <w:sz w:val="24"/>
          <w:szCs w:val="24"/>
        </w:rPr>
        <w:t>Hills Estates Utilities</w:t>
      </w:r>
      <w:r w:rsidR="0078299C">
        <w:rPr>
          <w:rFonts w:ascii="Arial" w:eastAsia="Calibri" w:hAnsi="Arial" w:cs="Arial"/>
          <w:sz w:val="24"/>
          <w:szCs w:val="24"/>
        </w:rPr>
        <w:t>, LLC, in Manatee County</w:t>
      </w:r>
      <w:r w:rsidR="0078299C">
        <w:rPr>
          <w:rFonts w:ascii="Arial" w:eastAsia="Calibri" w:hAnsi="Arial" w:cs="Arial"/>
          <w:sz w:val="24"/>
          <w:szCs w:val="24"/>
        </w:rPr>
        <w:tab/>
      </w:r>
      <w:r w:rsidR="0078299C">
        <w:rPr>
          <w:rFonts w:ascii="Arial" w:eastAsia="Calibri" w:hAnsi="Arial" w:cs="Arial"/>
          <w:sz w:val="24"/>
          <w:szCs w:val="24"/>
        </w:rPr>
        <w:tab/>
      </w:r>
      <w:r w:rsidR="0078299C">
        <w:rPr>
          <w:rFonts w:ascii="Arial" w:eastAsia="Calibri" w:hAnsi="Arial" w:cs="Arial"/>
          <w:sz w:val="24"/>
          <w:szCs w:val="24"/>
        </w:rPr>
        <w:tab/>
      </w:r>
      <w:r w:rsidRPr="00A03AE8">
        <w:rPr>
          <w:rFonts w:ascii="Arial" w:eastAsia="Calibri" w:hAnsi="Arial" w:cs="Arial"/>
          <w:sz w:val="24"/>
          <w:szCs w:val="24"/>
        </w:rPr>
        <w:t>F</w:t>
      </w:r>
      <w:r>
        <w:rPr>
          <w:rFonts w:ascii="Arial" w:hAnsi="Arial" w:cs="Arial"/>
          <w:sz w:val="24"/>
          <w:szCs w:val="24"/>
        </w:rPr>
        <w:t>iled</w:t>
      </w:r>
      <w:r w:rsidRPr="00A03AE8">
        <w:rPr>
          <w:rFonts w:ascii="Arial" w:eastAsia="Calibri" w:hAnsi="Arial" w:cs="Arial"/>
          <w:sz w:val="24"/>
          <w:szCs w:val="24"/>
        </w:rPr>
        <w:t xml:space="preserve">:  </w:t>
      </w:r>
      <w:r>
        <w:rPr>
          <w:rFonts w:ascii="Arial" w:eastAsia="Calibri" w:hAnsi="Arial" w:cs="Arial"/>
          <w:sz w:val="24"/>
          <w:szCs w:val="24"/>
        </w:rPr>
        <w:t>August</w:t>
      </w:r>
      <w:r>
        <w:rPr>
          <w:rFonts w:ascii="Arial" w:hAnsi="Arial" w:cs="Arial"/>
          <w:sz w:val="24"/>
          <w:szCs w:val="24"/>
        </w:rPr>
        <w:t xml:space="preserve"> </w:t>
      </w:r>
      <w:r w:rsidR="00CD0F80">
        <w:rPr>
          <w:rFonts w:ascii="Arial" w:hAnsi="Arial" w:cs="Arial"/>
          <w:sz w:val="24"/>
          <w:szCs w:val="24"/>
        </w:rPr>
        <w:t>7</w:t>
      </w:r>
      <w:r w:rsidRPr="00A03AE8">
        <w:rPr>
          <w:rFonts w:ascii="Arial" w:eastAsia="Calibri" w:hAnsi="Arial" w:cs="Arial"/>
          <w:sz w:val="24"/>
          <w:szCs w:val="24"/>
        </w:rPr>
        <w:t>, 200</w:t>
      </w:r>
      <w:r>
        <w:rPr>
          <w:rFonts w:ascii="Arial" w:hAnsi="Arial" w:cs="Arial"/>
          <w:sz w:val="24"/>
          <w:szCs w:val="24"/>
        </w:rPr>
        <w:t>9</w:t>
      </w:r>
    </w:p>
    <w:p w:rsidR="00090A07" w:rsidRDefault="00090A07" w:rsidP="00F137B5">
      <w:pPr>
        <w:jc w:val="both"/>
        <w:rPr>
          <w:rFonts w:ascii="Arial" w:eastAsia="Calibri" w:hAnsi="Arial" w:cs="Arial"/>
        </w:rPr>
      </w:pPr>
      <w:r>
        <w:rPr>
          <w:rFonts w:ascii="Arial" w:eastAsia="Calibri" w:hAnsi="Arial" w:cs="Arial"/>
        </w:rPr>
        <w:t>________________________________________/</w:t>
      </w:r>
    </w:p>
    <w:p w:rsidR="00090A07" w:rsidRPr="0008121D" w:rsidRDefault="00090A07" w:rsidP="00F137B5">
      <w:pPr>
        <w:jc w:val="both"/>
        <w:rPr>
          <w:rFonts w:ascii="Arial" w:eastAsia="Calibri" w:hAnsi="Arial" w:cs="Arial"/>
        </w:rPr>
      </w:pPr>
    </w:p>
    <w:p w:rsidR="00090A07" w:rsidRDefault="00090A07" w:rsidP="00F137B5">
      <w:pPr>
        <w:jc w:val="center"/>
        <w:rPr>
          <w:rFonts w:ascii="Arial" w:eastAsia="Calibri" w:hAnsi="Arial" w:cs="Arial"/>
          <w:b/>
          <w:sz w:val="24"/>
          <w:szCs w:val="24"/>
          <w:u w:val="single"/>
        </w:rPr>
      </w:pPr>
      <w:r w:rsidRPr="00AF4F9D">
        <w:rPr>
          <w:rFonts w:ascii="Arial" w:eastAsia="Calibri" w:hAnsi="Arial" w:cs="Arial"/>
          <w:b/>
          <w:sz w:val="24"/>
          <w:szCs w:val="24"/>
          <w:u w:val="single"/>
        </w:rPr>
        <w:t xml:space="preserve">PETITION </w:t>
      </w:r>
      <w:r>
        <w:rPr>
          <w:rFonts w:ascii="Arial" w:eastAsia="Calibri" w:hAnsi="Arial" w:cs="Arial"/>
          <w:b/>
          <w:sz w:val="24"/>
          <w:szCs w:val="24"/>
          <w:u w:val="single"/>
        </w:rPr>
        <w:t>FOR FORMAL HEARING</w:t>
      </w:r>
    </w:p>
    <w:p w:rsidR="00CD0F80" w:rsidRDefault="00CD0F80" w:rsidP="00F137B5">
      <w:pPr>
        <w:jc w:val="both"/>
        <w:rPr>
          <w:rFonts w:ascii="Arial" w:eastAsia="Calibri" w:hAnsi="Arial" w:cs="Arial"/>
          <w:b/>
          <w:sz w:val="24"/>
          <w:szCs w:val="24"/>
          <w:u w:val="single"/>
        </w:rPr>
      </w:pPr>
    </w:p>
    <w:p w:rsidR="00090A07" w:rsidRDefault="00090A07" w:rsidP="00F137B5">
      <w:pPr>
        <w:spacing w:line="360" w:lineRule="auto"/>
        <w:jc w:val="both"/>
        <w:rPr>
          <w:rFonts w:ascii="Arial" w:eastAsia="Calibri" w:hAnsi="Arial" w:cs="Arial"/>
          <w:sz w:val="24"/>
          <w:szCs w:val="24"/>
        </w:rPr>
      </w:pPr>
      <w:r w:rsidRPr="00090A07">
        <w:rPr>
          <w:rFonts w:ascii="Arial" w:eastAsia="Calibri" w:hAnsi="Arial" w:cs="Arial"/>
          <w:sz w:val="24"/>
          <w:szCs w:val="24"/>
        </w:rPr>
        <w:t xml:space="preserve">     I, Linda </w:t>
      </w:r>
      <w:proofErr w:type="spellStart"/>
      <w:r w:rsidRPr="00090A07">
        <w:rPr>
          <w:rFonts w:ascii="Arial" w:eastAsia="Calibri" w:hAnsi="Arial" w:cs="Arial"/>
          <w:sz w:val="24"/>
          <w:szCs w:val="24"/>
        </w:rPr>
        <w:t>Doep</w:t>
      </w:r>
      <w:r>
        <w:rPr>
          <w:rFonts w:ascii="Arial" w:eastAsia="Calibri" w:hAnsi="Arial" w:cs="Arial"/>
          <w:sz w:val="24"/>
          <w:szCs w:val="24"/>
        </w:rPr>
        <w:t>ker</w:t>
      </w:r>
      <w:proofErr w:type="spellEnd"/>
      <w:r>
        <w:rPr>
          <w:rFonts w:ascii="Arial" w:eastAsia="Calibri" w:hAnsi="Arial" w:cs="Arial"/>
          <w:sz w:val="24"/>
          <w:szCs w:val="24"/>
        </w:rPr>
        <w:t>,</w:t>
      </w:r>
      <w:r w:rsidR="006142B6">
        <w:rPr>
          <w:rFonts w:ascii="Arial" w:eastAsia="Calibri" w:hAnsi="Arial" w:cs="Arial"/>
          <w:sz w:val="24"/>
          <w:szCs w:val="24"/>
        </w:rPr>
        <w:t xml:space="preserve"> (Petitioner”)</w:t>
      </w:r>
      <w:r>
        <w:rPr>
          <w:rFonts w:ascii="Arial" w:eastAsia="Calibri" w:hAnsi="Arial" w:cs="Arial"/>
          <w:sz w:val="24"/>
          <w:szCs w:val="24"/>
        </w:rPr>
        <w:t xml:space="preserve"> hereby formally object to the application for a</w:t>
      </w:r>
      <w:r w:rsidR="0078299C">
        <w:rPr>
          <w:rFonts w:ascii="Arial" w:eastAsia="Calibri" w:hAnsi="Arial" w:cs="Arial"/>
          <w:sz w:val="24"/>
          <w:szCs w:val="24"/>
        </w:rPr>
        <w:t>pproval of the transfer of the H</w:t>
      </w:r>
      <w:r>
        <w:rPr>
          <w:rFonts w:ascii="Arial" w:eastAsia="Calibri" w:hAnsi="Arial" w:cs="Arial"/>
          <w:sz w:val="24"/>
          <w:szCs w:val="24"/>
        </w:rPr>
        <w:t>eather Hills Estates’ Water and Wastewater Utility sys</w:t>
      </w:r>
      <w:r w:rsidR="00C37D8C">
        <w:rPr>
          <w:rFonts w:ascii="Arial" w:eastAsia="Calibri" w:hAnsi="Arial" w:cs="Arial"/>
          <w:sz w:val="24"/>
          <w:szCs w:val="24"/>
        </w:rPr>
        <w:t>tem and c</w:t>
      </w:r>
      <w:r>
        <w:rPr>
          <w:rFonts w:ascii="Arial" w:eastAsia="Calibri" w:hAnsi="Arial" w:cs="Arial"/>
          <w:sz w:val="24"/>
          <w:szCs w:val="24"/>
        </w:rPr>
        <w:t>ertificates from Keith and Clara Starkey d/b/a</w:t>
      </w:r>
      <w:r w:rsidR="004A3109">
        <w:rPr>
          <w:rFonts w:ascii="Arial" w:eastAsia="Calibri" w:hAnsi="Arial" w:cs="Arial"/>
          <w:sz w:val="24"/>
          <w:szCs w:val="24"/>
        </w:rPr>
        <w:t xml:space="preserve"> Heather Hills Estates (</w:t>
      </w:r>
      <w:r w:rsidR="00CD0F80">
        <w:rPr>
          <w:rFonts w:ascii="Arial" w:eastAsia="Calibri" w:hAnsi="Arial" w:cs="Arial"/>
          <w:sz w:val="24"/>
          <w:szCs w:val="24"/>
        </w:rPr>
        <w:t xml:space="preserve">“Applicant”, </w:t>
      </w:r>
      <w:r w:rsidR="00DB7D8F">
        <w:rPr>
          <w:rFonts w:ascii="Arial" w:eastAsia="Calibri" w:hAnsi="Arial" w:cs="Arial"/>
          <w:sz w:val="24"/>
          <w:szCs w:val="24"/>
        </w:rPr>
        <w:t xml:space="preserve">“Seller”, </w:t>
      </w:r>
      <w:r w:rsidR="004A3109">
        <w:rPr>
          <w:rFonts w:ascii="Arial" w:eastAsia="Calibri" w:hAnsi="Arial" w:cs="Arial"/>
          <w:sz w:val="24"/>
          <w:szCs w:val="24"/>
        </w:rPr>
        <w:t xml:space="preserve">“Utility” </w:t>
      </w:r>
      <w:r w:rsidR="006142B6">
        <w:rPr>
          <w:rFonts w:ascii="Arial" w:eastAsia="Calibri" w:hAnsi="Arial" w:cs="Arial"/>
          <w:sz w:val="24"/>
          <w:szCs w:val="24"/>
        </w:rPr>
        <w:t xml:space="preserve">or </w:t>
      </w:r>
      <w:r w:rsidR="004A3109">
        <w:rPr>
          <w:rFonts w:ascii="Arial" w:eastAsia="Calibri" w:hAnsi="Arial" w:cs="Arial"/>
          <w:sz w:val="24"/>
          <w:szCs w:val="24"/>
        </w:rPr>
        <w:t>“Company”) to Heather Hills Estates</w:t>
      </w:r>
      <w:r w:rsidR="000C1653">
        <w:rPr>
          <w:rFonts w:ascii="Arial" w:eastAsia="Calibri" w:hAnsi="Arial" w:cs="Arial"/>
          <w:sz w:val="24"/>
          <w:szCs w:val="24"/>
        </w:rPr>
        <w:t xml:space="preserve"> </w:t>
      </w:r>
      <w:r w:rsidR="004A3109">
        <w:rPr>
          <w:rFonts w:ascii="Arial" w:eastAsia="Calibri" w:hAnsi="Arial" w:cs="Arial"/>
          <w:sz w:val="24"/>
          <w:szCs w:val="24"/>
        </w:rPr>
        <w:t>Utilities</w:t>
      </w:r>
      <w:r w:rsidR="00CD0F80">
        <w:rPr>
          <w:rFonts w:ascii="Arial" w:eastAsia="Calibri" w:hAnsi="Arial" w:cs="Arial"/>
          <w:sz w:val="24"/>
          <w:szCs w:val="24"/>
        </w:rPr>
        <w:t>,</w:t>
      </w:r>
      <w:r w:rsidR="004A3109">
        <w:rPr>
          <w:rFonts w:ascii="Arial" w:eastAsia="Calibri" w:hAnsi="Arial" w:cs="Arial"/>
          <w:sz w:val="24"/>
          <w:szCs w:val="24"/>
        </w:rPr>
        <w:t xml:space="preserve"> LLC, </w:t>
      </w:r>
      <w:r w:rsidR="006142B6">
        <w:rPr>
          <w:rFonts w:ascii="Arial" w:eastAsia="Calibri" w:hAnsi="Arial" w:cs="Arial"/>
          <w:sz w:val="24"/>
          <w:szCs w:val="24"/>
        </w:rPr>
        <w:t xml:space="preserve">(“Buyer” or “LLC”) </w:t>
      </w:r>
      <w:r w:rsidR="004A3109">
        <w:rPr>
          <w:rFonts w:ascii="Arial" w:eastAsia="Calibri" w:hAnsi="Arial" w:cs="Arial"/>
          <w:sz w:val="24"/>
          <w:szCs w:val="24"/>
        </w:rPr>
        <w:t xml:space="preserve">and I request a formal evidentiary hearing on this matter, and allege the following: </w:t>
      </w:r>
    </w:p>
    <w:p w:rsidR="004A3109" w:rsidRPr="00E55881" w:rsidRDefault="004A3109" w:rsidP="00F137B5">
      <w:pPr>
        <w:numPr>
          <w:ilvl w:val="0"/>
          <w:numId w:val="1"/>
        </w:numPr>
        <w:tabs>
          <w:tab w:val="clear" w:pos="1440"/>
          <w:tab w:val="num" w:pos="360"/>
        </w:tabs>
        <w:spacing w:after="0" w:line="480" w:lineRule="auto"/>
        <w:ind w:hanging="1440"/>
        <w:jc w:val="center"/>
        <w:rPr>
          <w:rFonts w:ascii="Arial" w:eastAsia="Calibri" w:hAnsi="Arial" w:cs="Arial"/>
          <w:sz w:val="24"/>
          <w:szCs w:val="24"/>
        </w:rPr>
      </w:pPr>
      <w:r w:rsidRPr="00E55881">
        <w:rPr>
          <w:rFonts w:ascii="Arial" w:eastAsia="Calibri" w:hAnsi="Arial" w:cs="Arial"/>
          <w:sz w:val="24"/>
          <w:szCs w:val="24"/>
        </w:rPr>
        <w:t>The name and address of the agency affected and the agency’s file number:</w:t>
      </w:r>
    </w:p>
    <w:p w:rsidR="004A3109" w:rsidRDefault="004A3109" w:rsidP="00F137B5">
      <w:pPr>
        <w:jc w:val="center"/>
        <w:rPr>
          <w:rFonts w:ascii="Arial" w:hAnsi="Arial" w:cs="Arial"/>
          <w:sz w:val="24"/>
          <w:szCs w:val="24"/>
        </w:rPr>
      </w:pPr>
      <w:r w:rsidRPr="00E55881">
        <w:rPr>
          <w:rFonts w:ascii="Arial" w:eastAsia="Calibri" w:hAnsi="Arial" w:cs="Arial"/>
          <w:sz w:val="24"/>
          <w:szCs w:val="24"/>
        </w:rPr>
        <w:t>Florida Public Service Commission</w:t>
      </w:r>
      <w:r w:rsidRPr="00E55881">
        <w:rPr>
          <w:rFonts w:ascii="Arial" w:hAnsi="Arial" w:cs="Arial"/>
          <w:sz w:val="24"/>
          <w:szCs w:val="24"/>
        </w:rPr>
        <w:t xml:space="preserve">                                                                                                    </w:t>
      </w:r>
      <w:r w:rsidRPr="00E55881">
        <w:rPr>
          <w:rFonts w:ascii="Arial" w:eastAsia="Calibri" w:hAnsi="Arial" w:cs="Arial"/>
          <w:sz w:val="24"/>
          <w:szCs w:val="24"/>
        </w:rPr>
        <w:t>2540 Shumard Oak Boulevard</w:t>
      </w:r>
      <w:r w:rsidRPr="00E55881">
        <w:rPr>
          <w:rFonts w:ascii="Arial" w:hAnsi="Arial" w:cs="Arial"/>
          <w:sz w:val="24"/>
          <w:szCs w:val="24"/>
        </w:rPr>
        <w:t xml:space="preserve">                                                                                                 </w:t>
      </w:r>
      <w:r w:rsidRPr="00E55881">
        <w:rPr>
          <w:rFonts w:ascii="Arial" w:eastAsia="Calibri" w:hAnsi="Arial" w:cs="Arial"/>
          <w:sz w:val="24"/>
          <w:szCs w:val="24"/>
        </w:rPr>
        <w:t>Tallahassee, Florida 32399-0850</w:t>
      </w:r>
      <w:r w:rsidRPr="00E55881">
        <w:rPr>
          <w:rFonts w:ascii="Arial" w:hAnsi="Arial" w:cs="Arial"/>
          <w:sz w:val="24"/>
          <w:szCs w:val="24"/>
        </w:rPr>
        <w:t xml:space="preserve">                                                                                                      </w:t>
      </w:r>
      <w:r w:rsidRPr="00E55881">
        <w:rPr>
          <w:rFonts w:ascii="Arial" w:eastAsia="Calibri" w:hAnsi="Arial" w:cs="Arial"/>
          <w:sz w:val="24"/>
          <w:szCs w:val="24"/>
        </w:rPr>
        <w:t>Docket No. 0</w:t>
      </w:r>
      <w:r>
        <w:rPr>
          <w:rFonts w:ascii="Arial" w:eastAsia="Calibri" w:hAnsi="Arial" w:cs="Arial"/>
          <w:sz w:val="24"/>
          <w:szCs w:val="24"/>
        </w:rPr>
        <w:t>9</w:t>
      </w:r>
      <w:r w:rsidRPr="00E55881">
        <w:rPr>
          <w:rFonts w:ascii="Arial" w:hAnsi="Arial" w:cs="Arial"/>
          <w:sz w:val="24"/>
          <w:szCs w:val="24"/>
        </w:rPr>
        <w:t>0</w:t>
      </w:r>
      <w:r>
        <w:rPr>
          <w:rFonts w:ascii="Arial" w:hAnsi="Arial" w:cs="Arial"/>
          <w:sz w:val="24"/>
          <w:szCs w:val="24"/>
        </w:rPr>
        <w:t>0</w:t>
      </w:r>
      <w:r w:rsidRPr="00E55881">
        <w:rPr>
          <w:rFonts w:ascii="Arial" w:hAnsi="Arial" w:cs="Arial"/>
          <w:sz w:val="24"/>
          <w:szCs w:val="24"/>
        </w:rPr>
        <w:t>9</w:t>
      </w:r>
      <w:r>
        <w:rPr>
          <w:rFonts w:ascii="Arial" w:hAnsi="Arial" w:cs="Arial"/>
          <w:sz w:val="24"/>
          <w:szCs w:val="24"/>
        </w:rPr>
        <w:t>3</w:t>
      </w:r>
      <w:r w:rsidRPr="00E55881">
        <w:rPr>
          <w:rFonts w:ascii="Arial" w:eastAsia="Calibri" w:hAnsi="Arial" w:cs="Arial"/>
          <w:sz w:val="24"/>
          <w:szCs w:val="24"/>
        </w:rPr>
        <w:t>-W</w:t>
      </w:r>
      <w:r w:rsidRPr="00E55881">
        <w:rPr>
          <w:rFonts w:ascii="Arial" w:hAnsi="Arial" w:cs="Arial"/>
          <w:sz w:val="24"/>
          <w:szCs w:val="24"/>
        </w:rPr>
        <w:t>S</w:t>
      </w:r>
    </w:p>
    <w:p w:rsidR="004A3109" w:rsidRDefault="004A3109" w:rsidP="00F137B5">
      <w:pPr>
        <w:jc w:val="center"/>
        <w:rPr>
          <w:rFonts w:ascii="Arial" w:hAnsi="Arial" w:cs="Arial"/>
          <w:sz w:val="24"/>
          <w:szCs w:val="24"/>
        </w:rPr>
      </w:pPr>
      <w:r>
        <w:rPr>
          <w:rFonts w:ascii="Arial" w:hAnsi="Arial" w:cs="Arial"/>
          <w:sz w:val="24"/>
          <w:szCs w:val="24"/>
        </w:rPr>
        <w:t>2.     The name, addresses, telephone numbers and e-mail address of the Petitioner:</w:t>
      </w:r>
    </w:p>
    <w:p w:rsidR="00767D8C" w:rsidRPr="00767D8C" w:rsidRDefault="00767D8C" w:rsidP="00F137B5">
      <w:pPr>
        <w:spacing w:after="0" w:line="240" w:lineRule="auto"/>
        <w:jc w:val="center"/>
        <w:rPr>
          <w:rFonts w:ascii="Arial" w:hAnsi="Arial" w:cs="Arial"/>
          <w:sz w:val="24"/>
          <w:szCs w:val="24"/>
        </w:rPr>
      </w:pPr>
      <w:r w:rsidRPr="00767D8C">
        <w:rPr>
          <w:rFonts w:ascii="Arial" w:hAnsi="Arial" w:cs="Arial"/>
          <w:sz w:val="24"/>
          <w:szCs w:val="24"/>
        </w:rPr>
        <w:t xml:space="preserve">Linda </w:t>
      </w:r>
      <w:proofErr w:type="spellStart"/>
      <w:r w:rsidRPr="00767D8C">
        <w:rPr>
          <w:rFonts w:ascii="Arial" w:hAnsi="Arial" w:cs="Arial"/>
          <w:sz w:val="24"/>
          <w:szCs w:val="24"/>
        </w:rPr>
        <w:t>Doepker</w:t>
      </w:r>
      <w:proofErr w:type="spellEnd"/>
    </w:p>
    <w:p w:rsidR="00767D8C" w:rsidRPr="00767D8C" w:rsidRDefault="00767D8C" w:rsidP="00F137B5">
      <w:pPr>
        <w:spacing w:after="0" w:line="240" w:lineRule="auto"/>
        <w:jc w:val="center"/>
        <w:rPr>
          <w:rFonts w:ascii="Arial" w:hAnsi="Arial" w:cs="Arial"/>
          <w:sz w:val="24"/>
          <w:szCs w:val="24"/>
        </w:rPr>
      </w:pPr>
      <w:r w:rsidRPr="00767D8C">
        <w:rPr>
          <w:rFonts w:ascii="Arial" w:hAnsi="Arial" w:cs="Arial"/>
          <w:sz w:val="24"/>
          <w:szCs w:val="24"/>
        </w:rPr>
        <w:t>303 50</w:t>
      </w:r>
      <w:r w:rsidRPr="00767D8C">
        <w:rPr>
          <w:rFonts w:ascii="Arial" w:hAnsi="Arial" w:cs="Arial"/>
          <w:sz w:val="24"/>
          <w:szCs w:val="24"/>
          <w:vertAlign w:val="superscript"/>
        </w:rPr>
        <w:t>th</w:t>
      </w:r>
      <w:r w:rsidRPr="00767D8C">
        <w:rPr>
          <w:rFonts w:ascii="Arial" w:hAnsi="Arial" w:cs="Arial"/>
          <w:sz w:val="24"/>
          <w:szCs w:val="24"/>
        </w:rPr>
        <w:t xml:space="preserve"> Avenue Plaza West</w:t>
      </w:r>
    </w:p>
    <w:p w:rsidR="00767D8C" w:rsidRPr="00767D8C" w:rsidRDefault="00767D8C" w:rsidP="00F137B5">
      <w:pPr>
        <w:spacing w:after="0" w:line="240" w:lineRule="auto"/>
        <w:jc w:val="center"/>
        <w:rPr>
          <w:rFonts w:ascii="Arial" w:hAnsi="Arial" w:cs="Arial"/>
          <w:sz w:val="24"/>
          <w:szCs w:val="24"/>
        </w:rPr>
      </w:pPr>
      <w:r w:rsidRPr="00767D8C">
        <w:rPr>
          <w:rFonts w:ascii="Arial" w:hAnsi="Arial" w:cs="Arial"/>
          <w:sz w:val="24"/>
          <w:szCs w:val="24"/>
        </w:rPr>
        <w:t>Bradenton, Florida 34207</w:t>
      </w:r>
    </w:p>
    <w:p w:rsidR="00767D8C" w:rsidRPr="00767D8C" w:rsidRDefault="00767D8C" w:rsidP="00F137B5">
      <w:pPr>
        <w:spacing w:after="0" w:line="240" w:lineRule="auto"/>
        <w:jc w:val="center"/>
        <w:rPr>
          <w:rFonts w:ascii="Arial" w:hAnsi="Arial" w:cs="Arial"/>
          <w:sz w:val="24"/>
          <w:szCs w:val="24"/>
        </w:rPr>
      </w:pPr>
      <w:r w:rsidRPr="00767D8C">
        <w:rPr>
          <w:rFonts w:ascii="Arial" w:hAnsi="Arial" w:cs="Arial"/>
          <w:sz w:val="24"/>
          <w:szCs w:val="24"/>
        </w:rPr>
        <w:t>(941) 753-7357</w:t>
      </w:r>
    </w:p>
    <w:p w:rsidR="00767D8C" w:rsidRPr="00767D8C" w:rsidRDefault="00CD0F80" w:rsidP="00F137B5">
      <w:pPr>
        <w:spacing w:line="240" w:lineRule="auto"/>
        <w:jc w:val="center"/>
        <w:rPr>
          <w:rFonts w:ascii="Arial" w:hAnsi="Arial" w:cs="Arial"/>
          <w:sz w:val="24"/>
          <w:szCs w:val="24"/>
        </w:rPr>
      </w:pPr>
      <w:r>
        <w:rPr>
          <w:rFonts w:ascii="Arial" w:hAnsi="Arial" w:cs="Arial"/>
          <w:sz w:val="24"/>
          <w:szCs w:val="24"/>
        </w:rPr>
        <w:t>(11/01/09 – 04/15/10</w:t>
      </w:r>
      <w:r w:rsidR="00767D8C" w:rsidRPr="00767D8C">
        <w:rPr>
          <w:rFonts w:ascii="Arial" w:hAnsi="Arial" w:cs="Arial"/>
          <w:sz w:val="24"/>
          <w:szCs w:val="24"/>
        </w:rPr>
        <w:t>)</w:t>
      </w:r>
    </w:p>
    <w:p w:rsidR="00767D8C" w:rsidRPr="00767D8C" w:rsidRDefault="00767D8C" w:rsidP="00F137B5">
      <w:pPr>
        <w:spacing w:after="0" w:line="240" w:lineRule="auto"/>
        <w:jc w:val="center"/>
        <w:rPr>
          <w:rFonts w:ascii="Arial" w:hAnsi="Arial" w:cs="Arial"/>
          <w:sz w:val="24"/>
          <w:szCs w:val="24"/>
        </w:rPr>
      </w:pPr>
    </w:p>
    <w:p w:rsidR="00767D8C" w:rsidRPr="00767D8C" w:rsidRDefault="00767D8C" w:rsidP="00F137B5">
      <w:pPr>
        <w:spacing w:after="0" w:line="240" w:lineRule="auto"/>
        <w:jc w:val="center"/>
        <w:rPr>
          <w:rFonts w:ascii="Arial" w:hAnsi="Arial" w:cs="Arial"/>
          <w:sz w:val="24"/>
          <w:szCs w:val="24"/>
        </w:rPr>
      </w:pPr>
      <w:r w:rsidRPr="00767D8C">
        <w:rPr>
          <w:rFonts w:ascii="Arial" w:hAnsi="Arial" w:cs="Arial"/>
          <w:sz w:val="24"/>
          <w:szCs w:val="24"/>
        </w:rPr>
        <w:t>763 Treat Blvd.</w:t>
      </w:r>
    </w:p>
    <w:p w:rsidR="00767D8C" w:rsidRPr="00767D8C" w:rsidRDefault="00767D8C" w:rsidP="00F137B5">
      <w:pPr>
        <w:spacing w:after="0" w:line="240" w:lineRule="auto"/>
        <w:jc w:val="center"/>
        <w:rPr>
          <w:rFonts w:ascii="Arial" w:hAnsi="Arial" w:cs="Arial"/>
          <w:sz w:val="24"/>
          <w:szCs w:val="24"/>
        </w:rPr>
      </w:pPr>
      <w:r w:rsidRPr="00767D8C">
        <w:rPr>
          <w:rFonts w:ascii="Arial" w:hAnsi="Arial" w:cs="Arial"/>
          <w:sz w:val="24"/>
          <w:szCs w:val="24"/>
        </w:rPr>
        <w:t>Tallmadge, Ohio 44278</w:t>
      </w:r>
    </w:p>
    <w:p w:rsidR="00767D8C" w:rsidRPr="00767D8C" w:rsidRDefault="00767D8C" w:rsidP="00F137B5">
      <w:pPr>
        <w:spacing w:after="0" w:line="240" w:lineRule="auto"/>
        <w:jc w:val="center"/>
        <w:rPr>
          <w:rFonts w:ascii="Arial" w:hAnsi="Arial" w:cs="Arial"/>
          <w:sz w:val="24"/>
          <w:szCs w:val="24"/>
        </w:rPr>
      </w:pPr>
      <w:r w:rsidRPr="00767D8C">
        <w:rPr>
          <w:rFonts w:ascii="Arial" w:hAnsi="Arial" w:cs="Arial"/>
          <w:sz w:val="24"/>
          <w:szCs w:val="24"/>
        </w:rPr>
        <w:t>(330) 633-2213</w:t>
      </w:r>
    </w:p>
    <w:p w:rsidR="00767D8C" w:rsidRPr="00767D8C" w:rsidRDefault="00CD0F80" w:rsidP="00F137B5">
      <w:pPr>
        <w:spacing w:line="240" w:lineRule="auto"/>
        <w:jc w:val="center"/>
        <w:rPr>
          <w:rFonts w:ascii="Arial" w:hAnsi="Arial" w:cs="Arial"/>
          <w:sz w:val="24"/>
          <w:szCs w:val="24"/>
        </w:rPr>
      </w:pPr>
      <w:r>
        <w:rPr>
          <w:rFonts w:ascii="Arial" w:hAnsi="Arial" w:cs="Arial"/>
          <w:sz w:val="24"/>
          <w:szCs w:val="24"/>
        </w:rPr>
        <w:t>(Present – 10/31/09</w:t>
      </w:r>
      <w:r w:rsidR="00767D8C" w:rsidRPr="00767D8C">
        <w:rPr>
          <w:rFonts w:ascii="Arial" w:hAnsi="Arial" w:cs="Arial"/>
          <w:sz w:val="24"/>
          <w:szCs w:val="24"/>
        </w:rPr>
        <w:t>)</w:t>
      </w:r>
    </w:p>
    <w:p w:rsidR="00767D8C" w:rsidRPr="00767D8C" w:rsidRDefault="00767D8C" w:rsidP="00F137B5">
      <w:pPr>
        <w:spacing w:line="240" w:lineRule="auto"/>
        <w:jc w:val="center"/>
        <w:rPr>
          <w:rFonts w:ascii="Arial" w:hAnsi="Arial" w:cs="Arial"/>
          <w:sz w:val="24"/>
          <w:szCs w:val="24"/>
        </w:rPr>
      </w:pPr>
      <w:r w:rsidRPr="00767D8C">
        <w:rPr>
          <w:rFonts w:ascii="Arial" w:hAnsi="Arial" w:cs="Arial"/>
          <w:sz w:val="24"/>
          <w:szCs w:val="24"/>
        </w:rPr>
        <w:t>E-mail:  Doecottage@aol.com</w:t>
      </w:r>
    </w:p>
    <w:p w:rsidR="00767D8C" w:rsidRDefault="00767D8C" w:rsidP="00F137B5">
      <w:pPr>
        <w:spacing w:before="240" w:line="360" w:lineRule="auto"/>
        <w:jc w:val="both"/>
        <w:rPr>
          <w:rFonts w:ascii="Arial" w:hAnsi="Arial" w:cs="Arial"/>
          <w:sz w:val="24"/>
          <w:szCs w:val="24"/>
        </w:rPr>
      </w:pPr>
      <w:r>
        <w:rPr>
          <w:rFonts w:ascii="Arial" w:hAnsi="Arial" w:cs="Arial"/>
          <w:sz w:val="24"/>
          <w:szCs w:val="24"/>
        </w:rPr>
        <w:lastRenderedPageBreak/>
        <w:t>3.     An explanation of how the Petitioner’s substantial interests will be affected by the application:</w:t>
      </w:r>
    </w:p>
    <w:p w:rsidR="00767D8C" w:rsidRDefault="00767D8C" w:rsidP="00F137B5">
      <w:pPr>
        <w:spacing w:before="240" w:line="360" w:lineRule="auto"/>
        <w:jc w:val="both"/>
        <w:rPr>
          <w:rFonts w:ascii="Arial" w:hAnsi="Arial" w:cs="Arial"/>
          <w:sz w:val="24"/>
          <w:szCs w:val="24"/>
        </w:rPr>
      </w:pPr>
      <w:r>
        <w:rPr>
          <w:rFonts w:ascii="Arial" w:hAnsi="Arial" w:cs="Arial"/>
          <w:sz w:val="24"/>
          <w:szCs w:val="24"/>
        </w:rPr>
        <w:t>The Petitioner is a customer of the Utility and resides in the community of Heather Hills Estates in Manatee County, Florida.  The substantial interests of the Petitioner will be affected by the Commission’s decision in this docket because the proposed transfer of the Heather Hills Estates’ water and wastewater</w:t>
      </w:r>
      <w:r w:rsidR="00CD0F80">
        <w:rPr>
          <w:rFonts w:ascii="Arial" w:hAnsi="Arial" w:cs="Arial"/>
          <w:sz w:val="24"/>
          <w:szCs w:val="24"/>
        </w:rPr>
        <w:t xml:space="preserve"> systems</w:t>
      </w:r>
      <w:r>
        <w:rPr>
          <w:rFonts w:ascii="Arial" w:hAnsi="Arial" w:cs="Arial"/>
          <w:sz w:val="24"/>
          <w:szCs w:val="24"/>
        </w:rPr>
        <w:t xml:space="preserve"> is not in the public interest and if approved would adversely affect both the quality and cost of </w:t>
      </w:r>
      <w:r w:rsidR="002E3175">
        <w:rPr>
          <w:rFonts w:ascii="Arial" w:hAnsi="Arial" w:cs="Arial"/>
          <w:sz w:val="24"/>
          <w:szCs w:val="24"/>
        </w:rPr>
        <w:t xml:space="preserve">water and </w:t>
      </w:r>
      <w:r>
        <w:rPr>
          <w:rFonts w:ascii="Arial" w:hAnsi="Arial" w:cs="Arial"/>
          <w:sz w:val="24"/>
          <w:szCs w:val="24"/>
        </w:rPr>
        <w:t>wastewater service to the Petitioner and the residents of Heather Hills Estates that include 35</w:t>
      </w:r>
      <w:r w:rsidR="00BB49E3">
        <w:rPr>
          <w:rFonts w:ascii="Arial" w:hAnsi="Arial" w:cs="Arial"/>
          <w:sz w:val="24"/>
          <w:szCs w:val="24"/>
        </w:rPr>
        <w:t>3</w:t>
      </w:r>
      <w:r>
        <w:rPr>
          <w:rFonts w:ascii="Arial" w:hAnsi="Arial" w:cs="Arial"/>
          <w:sz w:val="24"/>
          <w:szCs w:val="24"/>
        </w:rPr>
        <w:t xml:space="preserve"> residential units</w:t>
      </w:r>
      <w:r w:rsidR="00BB49E3">
        <w:rPr>
          <w:rFonts w:ascii="Arial" w:hAnsi="Arial" w:cs="Arial"/>
          <w:sz w:val="24"/>
          <w:szCs w:val="24"/>
        </w:rPr>
        <w:t xml:space="preserve"> </w:t>
      </w:r>
      <w:r w:rsidR="0049494B">
        <w:rPr>
          <w:rFonts w:ascii="Arial" w:hAnsi="Arial" w:cs="Arial"/>
          <w:sz w:val="24"/>
          <w:szCs w:val="24"/>
        </w:rPr>
        <w:t>m</w:t>
      </w:r>
      <w:r w:rsidR="00BB49E3">
        <w:rPr>
          <w:rFonts w:ascii="Arial" w:hAnsi="Arial" w:cs="Arial"/>
          <w:sz w:val="24"/>
          <w:szCs w:val="24"/>
        </w:rPr>
        <w:t>ostly owned by senior citizens on limited incomes.</w:t>
      </w:r>
    </w:p>
    <w:p w:rsidR="00767D8C" w:rsidRDefault="00767D8C" w:rsidP="00F137B5">
      <w:pPr>
        <w:spacing w:before="240" w:line="360" w:lineRule="auto"/>
        <w:jc w:val="both"/>
        <w:rPr>
          <w:rFonts w:ascii="Arial" w:hAnsi="Arial" w:cs="Arial"/>
          <w:sz w:val="24"/>
          <w:szCs w:val="24"/>
        </w:rPr>
      </w:pPr>
      <w:r>
        <w:rPr>
          <w:rFonts w:ascii="Arial" w:hAnsi="Arial" w:cs="Arial"/>
          <w:sz w:val="24"/>
          <w:szCs w:val="24"/>
        </w:rPr>
        <w:t>4.     A Statement of when and how the Petitioner received notice of the application:</w:t>
      </w:r>
    </w:p>
    <w:p w:rsidR="00767D8C" w:rsidRDefault="00767D8C" w:rsidP="00F137B5">
      <w:pPr>
        <w:spacing w:before="240" w:line="360" w:lineRule="auto"/>
        <w:jc w:val="both"/>
        <w:rPr>
          <w:rFonts w:ascii="Arial" w:hAnsi="Arial" w:cs="Arial"/>
          <w:sz w:val="24"/>
          <w:szCs w:val="24"/>
        </w:rPr>
      </w:pPr>
      <w:r>
        <w:rPr>
          <w:rFonts w:ascii="Arial" w:hAnsi="Arial" w:cs="Arial"/>
          <w:sz w:val="24"/>
          <w:szCs w:val="24"/>
        </w:rPr>
        <w:t>Petitioner received a copy of the Utility’s notice of application of the proposed transfer by U.S. mail in early May</w:t>
      </w:r>
      <w:r w:rsidR="006142B6">
        <w:rPr>
          <w:rFonts w:ascii="Arial" w:hAnsi="Arial" w:cs="Arial"/>
          <w:sz w:val="24"/>
          <w:szCs w:val="24"/>
        </w:rPr>
        <w:t>,</w:t>
      </w:r>
      <w:r>
        <w:rPr>
          <w:rFonts w:ascii="Arial" w:hAnsi="Arial" w:cs="Arial"/>
          <w:sz w:val="24"/>
          <w:szCs w:val="24"/>
        </w:rPr>
        <w:t xml:space="preserve"> 2009</w:t>
      </w:r>
      <w:r w:rsidR="0078299C">
        <w:rPr>
          <w:rFonts w:ascii="Arial" w:hAnsi="Arial" w:cs="Arial"/>
          <w:sz w:val="24"/>
          <w:szCs w:val="24"/>
        </w:rPr>
        <w:t>.  Petitioner and numerous other affected residents filed timely objections to the proposed transfer.  Subsequent to the timely objections, Petitioner was contacted by the Commission’s Staff (“Staff”) inquiring if the Petitioner wish</w:t>
      </w:r>
      <w:r w:rsidR="00C37D8C">
        <w:rPr>
          <w:rFonts w:ascii="Arial" w:hAnsi="Arial" w:cs="Arial"/>
          <w:sz w:val="24"/>
          <w:szCs w:val="24"/>
        </w:rPr>
        <w:t>ed</w:t>
      </w:r>
      <w:r w:rsidR="0078299C">
        <w:rPr>
          <w:rFonts w:ascii="Arial" w:hAnsi="Arial" w:cs="Arial"/>
          <w:sz w:val="24"/>
          <w:szCs w:val="24"/>
        </w:rPr>
        <w:t xml:space="preserve"> to request the Commission to conduct a formal hearing to take evidence so that it could determine if the proposed transfer is in the public interest.  Staff advised that this request should be filed with the Commission on or before A</w:t>
      </w:r>
      <w:r w:rsidR="00CD0F80">
        <w:rPr>
          <w:rFonts w:ascii="Arial" w:hAnsi="Arial" w:cs="Arial"/>
          <w:sz w:val="24"/>
          <w:szCs w:val="24"/>
        </w:rPr>
        <w:t>ugust 7</w:t>
      </w:r>
      <w:r w:rsidR="0078299C">
        <w:rPr>
          <w:rFonts w:ascii="Arial" w:hAnsi="Arial" w:cs="Arial"/>
          <w:sz w:val="24"/>
          <w:szCs w:val="24"/>
        </w:rPr>
        <w:t>, 2009.</w:t>
      </w:r>
    </w:p>
    <w:p w:rsidR="00C37D8C" w:rsidRDefault="00B50919" w:rsidP="00F137B5">
      <w:pPr>
        <w:spacing w:line="360" w:lineRule="auto"/>
        <w:jc w:val="both"/>
        <w:rPr>
          <w:rFonts w:ascii="Arial" w:hAnsi="Arial" w:cs="Arial"/>
          <w:sz w:val="24"/>
          <w:szCs w:val="24"/>
        </w:rPr>
      </w:pPr>
      <w:r>
        <w:rPr>
          <w:rFonts w:ascii="Arial" w:hAnsi="Arial" w:cs="Arial"/>
          <w:sz w:val="24"/>
          <w:szCs w:val="24"/>
        </w:rPr>
        <w:t>5.     A con</w:t>
      </w:r>
      <w:r w:rsidR="00343A64">
        <w:rPr>
          <w:rFonts w:ascii="Arial" w:hAnsi="Arial" w:cs="Arial"/>
          <w:sz w:val="24"/>
          <w:szCs w:val="24"/>
        </w:rPr>
        <w:t>c</w:t>
      </w:r>
      <w:r>
        <w:rPr>
          <w:rFonts w:ascii="Arial" w:hAnsi="Arial" w:cs="Arial"/>
          <w:sz w:val="24"/>
          <w:szCs w:val="24"/>
        </w:rPr>
        <w:t>ise statement</w:t>
      </w:r>
      <w:r w:rsidR="00343A64">
        <w:rPr>
          <w:rFonts w:ascii="Arial" w:hAnsi="Arial" w:cs="Arial"/>
          <w:sz w:val="24"/>
          <w:szCs w:val="24"/>
        </w:rPr>
        <w:t xml:space="preserve"> of the ultimate facts alleged including specific facts that the Petitioner contends warrant denial of the application:</w:t>
      </w:r>
    </w:p>
    <w:p w:rsidR="00343A64" w:rsidRDefault="00343A64" w:rsidP="00F137B5">
      <w:pPr>
        <w:spacing w:after="0" w:line="360" w:lineRule="auto"/>
        <w:jc w:val="both"/>
        <w:rPr>
          <w:rFonts w:ascii="Arial" w:hAnsi="Arial" w:cs="Arial"/>
          <w:sz w:val="24"/>
          <w:szCs w:val="24"/>
        </w:rPr>
      </w:pPr>
      <w:r>
        <w:rPr>
          <w:rFonts w:ascii="Arial" w:hAnsi="Arial" w:cs="Arial"/>
          <w:sz w:val="24"/>
          <w:szCs w:val="24"/>
        </w:rPr>
        <w:t xml:space="preserve">        a.     The Heather Hills water and wastewater systems have no treatment facilities and are only comprised of a water distribution system  </w:t>
      </w:r>
      <w:r w:rsidR="00FA6877">
        <w:rPr>
          <w:rFonts w:ascii="Arial" w:hAnsi="Arial" w:cs="Arial"/>
          <w:sz w:val="24"/>
          <w:szCs w:val="24"/>
        </w:rPr>
        <w:t xml:space="preserve">and a wastewater collection system </w:t>
      </w:r>
      <w:r>
        <w:rPr>
          <w:rFonts w:ascii="Arial" w:hAnsi="Arial" w:cs="Arial"/>
          <w:sz w:val="24"/>
          <w:szCs w:val="24"/>
        </w:rPr>
        <w:t xml:space="preserve">that are both approximately 40 years old.  </w:t>
      </w:r>
      <w:r w:rsidR="00BB49E3">
        <w:rPr>
          <w:rFonts w:ascii="Arial" w:hAnsi="Arial" w:cs="Arial"/>
          <w:sz w:val="24"/>
          <w:szCs w:val="24"/>
        </w:rPr>
        <w:t>Presen</w:t>
      </w:r>
      <w:r>
        <w:rPr>
          <w:rFonts w:ascii="Arial" w:hAnsi="Arial" w:cs="Arial"/>
          <w:sz w:val="24"/>
          <w:szCs w:val="24"/>
        </w:rPr>
        <w:t>t ownership consistently failed to devote a portion of the revenues received from customers to properly maintain the system or to make necessary capital improvements to refurbish aging lines.  Consequently, the rate base has effectively disappeared and the distribution and collection systems are in poor condition.</w:t>
      </w:r>
    </w:p>
    <w:p w:rsidR="00D719F3" w:rsidRDefault="00D719F3" w:rsidP="00F137B5">
      <w:pPr>
        <w:spacing w:after="0" w:line="240" w:lineRule="auto"/>
        <w:jc w:val="both"/>
        <w:rPr>
          <w:rFonts w:ascii="Arial" w:hAnsi="Arial" w:cs="Arial"/>
          <w:sz w:val="24"/>
          <w:szCs w:val="24"/>
        </w:rPr>
      </w:pPr>
    </w:p>
    <w:p w:rsidR="00B50919" w:rsidRDefault="00343A64" w:rsidP="00F137B5">
      <w:pPr>
        <w:spacing w:line="36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b</w:t>
      </w:r>
      <w:proofErr w:type="gramEnd"/>
      <w:r>
        <w:rPr>
          <w:rFonts w:ascii="Arial" w:hAnsi="Arial" w:cs="Arial"/>
          <w:sz w:val="24"/>
          <w:szCs w:val="24"/>
        </w:rPr>
        <w:t xml:space="preserve">.     </w:t>
      </w:r>
      <w:r w:rsidR="00394880">
        <w:rPr>
          <w:rFonts w:ascii="Arial" w:hAnsi="Arial" w:cs="Arial"/>
          <w:sz w:val="24"/>
          <w:szCs w:val="24"/>
        </w:rPr>
        <w:t>The application</w:t>
      </w:r>
      <w:r>
        <w:rPr>
          <w:rFonts w:ascii="Arial" w:hAnsi="Arial" w:cs="Arial"/>
          <w:sz w:val="24"/>
          <w:szCs w:val="24"/>
        </w:rPr>
        <w:t xml:space="preserve"> fail</w:t>
      </w:r>
      <w:r w:rsidR="00394880">
        <w:rPr>
          <w:rFonts w:ascii="Arial" w:hAnsi="Arial" w:cs="Arial"/>
          <w:sz w:val="24"/>
          <w:szCs w:val="24"/>
        </w:rPr>
        <w:t>s</w:t>
      </w:r>
      <w:r>
        <w:rPr>
          <w:rFonts w:ascii="Arial" w:hAnsi="Arial" w:cs="Arial"/>
          <w:sz w:val="24"/>
          <w:szCs w:val="24"/>
        </w:rPr>
        <w:t xml:space="preserve"> to provide the Commission with a copy of the Asset Purchase Agreement (“Agreement”) dated as of January 1, 2009, describing all of the </w:t>
      </w:r>
      <w:r>
        <w:rPr>
          <w:rFonts w:ascii="Arial" w:hAnsi="Arial" w:cs="Arial"/>
          <w:sz w:val="24"/>
          <w:szCs w:val="24"/>
        </w:rPr>
        <w:lastRenderedPageBreak/>
        <w:t>terms and conditions of the proposed transfer of water and wastewater</w:t>
      </w:r>
      <w:r w:rsidR="00AE50CE">
        <w:rPr>
          <w:rFonts w:ascii="Arial" w:hAnsi="Arial" w:cs="Arial"/>
          <w:sz w:val="24"/>
          <w:szCs w:val="24"/>
        </w:rPr>
        <w:t xml:space="preserve"> facilities.  This failure has completely compromised </w:t>
      </w:r>
      <w:r w:rsidR="006142B6">
        <w:rPr>
          <w:rFonts w:ascii="Arial" w:hAnsi="Arial" w:cs="Arial"/>
          <w:sz w:val="24"/>
          <w:szCs w:val="24"/>
        </w:rPr>
        <w:t>Petitioner</w:t>
      </w:r>
      <w:r w:rsidR="00DB7D8F">
        <w:rPr>
          <w:rFonts w:ascii="Arial" w:hAnsi="Arial" w:cs="Arial"/>
          <w:sz w:val="24"/>
          <w:szCs w:val="24"/>
        </w:rPr>
        <w:t>’</w:t>
      </w:r>
      <w:r w:rsidR="006142B6">
        <w:rPr>
          <w:rFonts w:ascii="Arial" w:hAnsi="Arial" w:cs="Arial"/>
          <w:sz w:val="24"/>
          <w:szCs w:val="24"/>
        </w:rPr>
        <w:t>s</w:t>
      </w:r>
      <w:r w:rsidR="00AE50CE">
        <w:rPr>
          <w:rFonts w:ascii="Arial" w:hAnsi="Arial" w:cs="Arial"/>
          <w:sz w:val="24"/>
          <w:szCs w:val="24"/>
        </w:rPr>
        <w:t xml:space="preserve"> ability to critique the proposed sale.  </w:t>
      </w:r>
      <w:r w:rsidR="006142B6">
        <w:rPr>
          <w:rFonts w:ascii="Arial" w:hAnsi="Arial" w:cs="Arial"/>
          <w:sz w:val="24"/>
          <w:szCs w:val="24"/>
        </w:rPr>
        <w:t>Petitioner</w:t>
      </w:r>
      <w:r w:rsidR="00AE50CE">
        <w:rPr>
          <w:rFonts w:ascii="Arial" w:hAnsi="Arial" w:cs="Arial"/>
          <w:sz w:val="24"/>
          <w:szCs w:val="24"/>
        </w:rPr>
        <w:t xml:space="preserve"> reserve</w:t>
      </w:r>
      <w:r w:rsidR="00A06D35">
        <w:rPr>
          <w:rFonts w:ascii="Arial" w:hAnsi="Arial" w:cs="Arial"/>
          <w:sz w:val="24"/>
          <w:szCs w:val="24"/>
        </w:rPr>
        <w:t>s</w:t>
      </w:r>
      <w:r w:rsidR="00AE50CE">
        <w:rPr>
          <w:rFonts w:ascii="Arial" w:hAnsi="Arial" w:cs="Arial"/>
          <w:sz w:val="24"/>
          <w:szCs w:val="24"/>
        </w:rPr>
        <w:t xml:space="preserve"> the right to amend this objection after receiving a copy of this most important document, which is referenced in the </w:t>
      </w:r>
      <w:r w:rsidR="00A06D35">
        <w:rPr>
          <w:rFonts w:ascii="Arial" w:hAnsi="Arial" w:cs="Arial"/>
          <w:sz w:val="24"/>
          <w:szCs w:val="24"/>
        </w:rPr>
        <w:t>p</w:t>
      </w:r>
      <w:r w:rsidR="00AE50CE">
        <w:rPr>
          <w:rFonts w:ascii="Arial" w:hAnsi="Arial" w:cs="Arial"/>
          <w:sz w:val="24"/>
          <w:szCs w:val="24"/>
        </w:rPr>
        <w:t xml:space="preserve">romissory </w:t>
      </w:r>
      <w:r w:rsidR="00A06D35">
        <w:rPr>
          <w:rFonts w:ascii="Arial" w:hAnsi="Arial" w:cs="Arial"/>
          <w:sz w:val="24"/>
          <w:szCs w:val="24"/>
        </w:rPr>
        <w:t>n</w:t>
      </w:r>
      <w:r w:rsidR="00AE50CE">
        <w:rPr>
          <w:rFonts w:ascii="Arial" w:hAnsi="Arial" w:cs="Arial"/>
          <w:sz w:val="24"/>
          <w:szCs w:val="24"/>
        </w:rPr>
        <w:t>ote, which was provided to the Commission</w:t>
      </w:r>
      <w:r w:rsidR="00FA6877">
        <w:rPr>
          <w:rFonts w:ascii="Arial" w:hAnsi="Arial" w:cs="Arial"/>
          <w:sz w:val="24"/>
          <w:szCs w:val="24"/>
        </w:rPr>
        <w:t xml:space="preserve">. </w:t>
      </w:r>
      <w:r w:rsidR="00AE50CE">
        <w:rPr>
          <w:rFonts w:ascii="Arial" w:hAnsi="Arial" w:cs="Arial"/>
          <w:sz w:val="24"/>
          <w:szCs w:val="24"/>
        </w:rPr>
        <w:t xml:space="preserve"> </w:t>
      </w:r>
      <w:r w:rsidR="00FA6877">
        <w:rPr>
          <w:rFonts w:ascii="Arial" w:hAnsi="Arial" w:cs="Arial"/>
          <w:sz w:val="24"/>
          <w:szCs w:val="24"/>
        </w:rPr>
        <w:t>W</w:t>
      </w:r>
      <w:r w:rsidR="00AE50CE">
        <w:rPr>
          <w:rFonts w:ascii="Arial" w:hAnsi="Arial" w:cs="Arial"/>
          <w:sz w:val="24"/>
          <w:szCs w:val="24"/>
        </w:rPr>
        <w:t>ithout a copy of the Agreement the application fails to provide the following critical information:</w:t>
      </w:r>
    </w:p>
    <w:p w:rsidR="00AE50CE" w:rsidRDefault="007E110C" w:rsidP="00F137B5">
      <w:pPr>
        <w:tabs>
          <w:tab w:val="left" w:pos="900"/>
          <w:tab w:val="left" w:pos="1080"/>
          <w:tab w:val="left" w:pos="1170"/>
        </w:tabs>
        <w:spacing w:line="360" w:lineRule="auto"/>
        <w:jc w:val="both"/>
        <w:rPr>
          <w:rFonts w:ascii="Arial" w:hAnsi="Arial" w:cs="Arial"/>
          <w:sz w:val="24"/>
          <w:szCs w:val="24"/>
        </w:rPr>
      </w:pPr>
      <w:r>
        <w:rPr>
          <w:rFonts w:ascii="Arial" w:hAnsi="Arial" w:cs="Arial"/>
          <w:sz w:val="24"/>
          <w:szCs w:val="24"/>
        </w:rPr>
        <w:t xml:space="preserve">               </w:t>
      </w:r>
      <w:r w:rsidR="00B70760">
        <w:rPr>
          <w:rFonts w:ascii="Arial" w:hAnsi="Arial" w:cs="Arial"/>
          <w:sz w:val="24"/>
          <w:szCs w:val="24"/>
        </w:rPr>
        <w:t xml:space="preserve"> </w:t>
      </w:r>
      <w:r>
        <w:rPr>
          <w:rFonts w:ascii="Arial" w:hAnsi="Arial" w:cs="Arial"/>
          <w:sz w:val="24"/>
          <w:szCs w:val="24"/>
        </w:rPr>
        <w:t xml:space="preserve"> </w:t>
      </w:r>
      <w:proofErr w:type="spellStart"/>
      <w:r w:rsidR="00AE50CE">
        <w:rPr>
          <w:rFonts w:ascii="Arial" w:hAnsi="Arial" w:cs="Arial"/>
          <w:sz w:val="24"/>
          <w:szCs w:val="24"/>
        </w:rPr>
        <w:t>i</w:t>
      </w:r>
      <w:proofErr w:type="spellEnd"/>
      <w:r w:rsidR="00AE50CE">
        <w:rPr>
          <w:rFonts w:ascii="Arial" w:hAnsi="Arial" w:cs="Arial"/>
          <w:sz w:val="24"/>
          <w:szCs w:val="24"/>
        </w:rPr>
        <w:t>.  Application fails to provide the purchase price and term</w:t>
      </w:r>
      <w:r w:rsidR="00A06D35">
        <w:rPr>
          <w:rFonts w:ascii="Arial" w:hAnsi="Arial" w:cs="Arial"/>
          <w:sz w:val="24"/>
          <w:szCs w:val="24"/>
        </w:rPr>
        <w:t>s of payment, because the p</w:t>
      </w:r>
      <w:r w:rsidR="00AE50CE">
        <w:rPr>
          <w:rFonts w:ascii="Arial" w:hAnsi="Arial" w:cs="Arial"/>
          <w:sz w:val="24"/>
          <w:szCs w:val="24"/>
        </w:rPr>
        <w:t xml:space="preserve">romissory </w:t>
      </w:r>
      <w:r w:rsidR="00A06D35">
        <w:rPr>
          <w:rFonts w:ascii="Arial" w:hAnsi="Arial" w:cs="Arial"/>
          <w:sz w:val="24"/>
          <w:szCs w:val="24"/>
        </w:rPr>
        <w:t>n</w:t>
      </w:r>
      <w:r w:rsidR="00AE50CE">
        <w:rPr>
          <w:rFonts w:ascii="Arial" w:hAnsi="Arial" w:cs="Arial"/>
          <w:sz w:val="24"/>
          <w:szCs w:val="24"/>
        </w:rPr>
        <w:t>ote expressly provides that the Maker</w:t>
      </w:r>
      <w:r w:rsidR="00A06D35">
        <w:rPr>
          <w:rFonts w:ascii="Arial" w:hAnsi="Arial" w:cs="Arial"/>
          <w:sz w:val="24"/>
          <w:szCs w:val="24"/>
        </w:rPr>
        <w:t xml:space="preserve"> or</w:t>
      </w:r>
      <w:r w:rsidR="00AE50CE">
        <w:rPr>
          <w:rFonts w:ascii="Arial" w:hAnsi="Arial" w:cs="Arial"/>
          <w:sz w:val="24"/>
          <w:szCs w:val="24"/>
        </w:rPr>
        <w:t xml:space="preserve"> Buyer, reserves the right to offset against the </w:t>
      </w:r>
      <w:r w:rsidR="00782500">
        <w:rPr>
          <w:rFonts w:ascii="Arial" w:hAnsi="Arial" w:cs="Arial"/>
          <w:sz w:val="24"/>
          <w:szCs w:val="24"/>
        </w:rPr>
        <w:t>principal</w:t>
      </w:r>
      <w:r w:rsidR="00AE50CE">
        <w:rPr>
          <w:rFonts w:ascii="Arial" w:hAnsi="Arial" w:cs="Arial"/>
          <w:sz w:val="24"/>
          <w:szCs w:val="24"/>
        </w:rPr>
        <w:t xml:space="preserve"> and interest </w:t>
      </w:r>
      <w:r w:rsidR="00782500">
        <w:rPr>
          <w:rFonts w:ascii="Arial" w:hAnsi="Arial" w:cs="Arial"/>
          <w:sz w:val="24"/>
          <w:szCs w:val="24"/>
        </w:rPr>
        <w:t xml:space="preserve">owing under the note, dollar for dollar, any adjustments in favor of Buyer under the Agreement, as such adjustments are described therein, including those adjustments pursuant to Section 2.2(b) thereof, and any expenses, costs, debts, losses, liability or contractual obligations incurred by Buyer.  It is also important to note that the LLC Buyer has no assets except </w:t>
      </w:r>
      <w:r w:rsidR="00B70760">
        <w:rPr>
          <w:rFonts w:ascii="Arial" w:hAnsi="Arial" w:cs="Arial"/>
          <w:sz w:val="24"/>
          <w:szCs w:val="24"/>
        </w:rPr>
        <w:t>th</w:t>
      </w:r>
      <w:r w:rsidR="00A06D35">
        <w:rPr>
          <w:rFonts w:ascii="Arial" w:hAnsi="Arial" w:cs="Arial"/>
          <w:sz w:val="24"/>
          <w:szCs w:val="24"/>
        </w:rPr>
        <w:t>os</w:t>
      </w:r>
      <w:r w:rsidR="00B70760">
        <w:rPr>
          <w:rFonts w:ascii="Arial" w:hAnsi="Arial" w:cs="Arial"/>
          <w:sz w:val="24"/>
          <w:szCs w:val="24"/>
        </w:rPr>
        <w:t xml:space="preserve">e being purchased from the Applicant, and that none of the managing members of the Buyer or anyone else is personally guaranteeing payment of the </w:t>
      </w:r>
      <w:r w:rsidR="00A06D35">
        <w:rPr>
          <w:rFonts w:ascii="Arial" w:hAnsi="Arial" w:cs="Arial"/>
          <w:sz w:val="24"/>
          <w:szCs w:val="24"/>
        </w:rPr>
        <w:t>p</w:t>
      </w:r>
      <w:r w:rsidR="00B70760">
        <w:rPr>
          <w:rFonts w:ascii="Arial" w:hAnsi="Arial" w:cs="Arial"/>
          <w:sz w:val="24"/>
          <w:szCs w:val="24"/>
        </w:rPr>
        <w:t xml:space="preserve">romissory </w:t>
      </w:r>
      <w:r w:rsidR="00A06D35">
        <w:rPr>
          <w:rFonts w:ascii="Arial" w:hAnsi="Arial" w:cs="Arial"/>
          <w:sz w:val="24"/>
          <w:szCs w:val="24"/>
        </w:rPr>
        <w:t>n</w:t>
      </w:r>
      <w:r w:rsidR="00B70760">
        <w:rPr>
          <w:rFonts w:ascii="Arial" w:hAnsi="Arial" w:cs="Arial"/>
          <w:sz w:val="24"/>
          <w:szCs w:val="24"/>
        </w:rPr>
        <w:t>ote.</w:t>
      </w:r>
    </w:p>
    <w:p w:rsidR="00B70760" w:rsidRDefault="00F137B5" w:rsidP="00F137B5">
      <w:pPr>
        <w:tabs>
          <w:tab w:val="left" w:pos="1080"/>
          <w:tab w:val="left" w:pos="1440"/>
        </w:tabs>
        <w:spacing w:line="360" w:lineRule="auto"/>
        <w:jc w:val="both"/>
        <w:rPr>
          <w:rFonts w:ascii="Arial" w:hAnsi="Arial" w:cs="Arial"/>
          <w:sz w:val="24"/>
          <w:szCs w:val="24"/>
        </w:rPr>
      </w:pPr>
      <w:r>
        <w:rPr>
          <w:rFonts w:ascii="Arial" w:hAnsi="Arial" w:cs="Arial"/>
          <w:sz w:val="24"/>
          <w:szCs w:val="24"/>
        </w:rPr>
        <w:tab/>
        <w:t xml:space="preserve"> ii</w:t>
      </w:r>
      <w:proofErr w:type="gramStart"/>
      <w:r>
        <w:rPr>
          <w:rFonts w:ascii="Arial" w:hAnsi="Arial" w:cs="Arial"/>
          <w:sz w:val="24"/>
          <w:szCs w:val="24"/>
        </w:rPr>
        <w:t xml:space="preserve">.  </w:t>
      </w:r>
      <w:r w:rsidR="00B70760">
        <w:rPr>
          <w:rFonts w:ascii="Arial" w:hAnsi="Arial" w:cs="Arial"/>
          <w:sz w:val="24"/>
          <w:szCs w:val="24"/>
        </w:rPr>
        <w:t>Application</w:t>
      </w:r>
      <w:proofErr w:type="gramEnd"/>
      <w:r w:rsidR="00B70760">
        <w:rPr>
          <w:rFonts w:ascii="Arial" w:hAnsi="Arial" w:cs="Arial"/>
          <w:sz w:val="24"/>
          <w:szCs w:val="24"/>
        </w:rPr>
        <w:t xml:space="preserve"> fails to adequately detail the assets being purchased, the dollar amount of the assets purchased and liabilities assumed or not assumed.</w:t>
      </w:r>
    </w:p>
    <w:p w:rsidR="00B70760" w:rsidRDefault="007E110C" w:rsidP="00F137B5">
      <w:pPr>
        <w:tabs>
          <w:tab w:val="left" w:pos="1080"/>
          <w:tab w:val="left" w:pos="1260"/>
          <w:tab w:val="left" w:pos="1440"/>
        </w:tabs>
        <w:spacing w:line="360" w:lineRule="auto"/>
        <w:jc w:val="both"/>
        <w:rPr>
          <w:rFonts w:ascii="Arial" w:hAnsi="Arial" w:cs="Arial"/>
          <w:sz w:val="24"/>
          <w:szCs w:val="24"/>
        </w:rPr>
      </w:pPr>
      <w:r>
        <w:rPr>
          <w:rFonts w:ascii="Arial" w:hAnsi="Arial" w:cs="Arial"/>
          <w:sz w:val="24"/>
          <w:szCs w:val="24"/>
        </w:rPr>
        <w:t xml:space="preserve">                </w:t>
      </w:r>
      <w:r w:rsidR="00B70760">
        <w:rPr>
          <w:rFonts w:ascii="Arial" w:hAnsi="Arial" w:cs="Arial"/>
          <w:sz w:val="24"/>
          <w:szCs w:val="24"/>
        </w:rPr>
        <w:t>iii.</w:t>
      </w:r>
      <w:r w:rsidR="00B70760">
        <w:rPr>
          <w:rFonts w:ascii="Arial" w:hAnsi="Arial" w:cs="Arial"/>
          <w:sz w:val="24"/>
          <w:szCs w:val="24"/>
        </w:rPr>
        <w:tab/>
      </w:r>
      <w:r w:rsidR="00F137B5">
        <w:rPr>
          <w:rFonts w:ascii="Arial" w:hAnsi="Arial" w:cs="Arial"/>
          <w:sz w:val="24"/>
          <w:szCs w:val="24"/>
        </w:rPr>
        <w:t xml:space="preserve">  </w:t>
      </w:r>
      <w:r w:rsidR="00B70760">
        <w:rPr>
          <w:rFonts w:ascii="Arial" w:hAnsi="Arial" w:cs="Arial"/>
          <w:sz w:val="24"/>
          <w:szCs w:val="24"/>
        </w:rPr>
        <w:t>Application fails to describe all consideration between the parties, for example, promised salaries, refinance fees, stock, stock options, and assumptions of obligations.</w:t>
      </w:r>
    </w:p>
    <w:p w:rsidR="00B70760" w:rsidRDefault="007E110C" w:rsidP="00F137B5">
      <w:pPr>
        <w:tabs>
          <w:tab w:val="left" w:pos="1080"/>
          <w:tab w:val="left" w:pos="1260"/>
          <w:tab w:val="left" w:pos="1440"/>
        </w:tabs>
        <w:spacing w:line="360" w:lineRule="auto"/>
        <w:jc w:val="both"/>
        <w:rPr>
          <w:rFonts w:ascii="Arial" w:hAnsi="Arial" w:cs="Arial"/>
          <w:sz w:val="24"/>
          <w:szCs w:val="24"/>
        </w:rPr>
      </w:pPr>
      <w:r>
        <w:rPr>
          <w:rFonts w:ascii="Arial" w:hAnsi="Arial" w:cs="Arial"/>
          <w:sz w:val="24"/>
          <w:szCs w:val="24"/>
        </w:rPr>
        <w:t xml:space="preserve">                </w:t>
      </w:r>
      <w:r w:rsidR="00F137B5">
        <w:rPr>
          <w:rFonts w:ascii="Arial" w:hAnsi="Arial" w:cs="Arial"/>
          <w:sz w:val="24"/>
          <w:szCs w:val="24"/>
        </w:rPr>
        <w:t>iv</w:t>
      </w:r>
      <w:proofErr w:type="gramStart"/>
      <w:r w:rsidR="00F137B5">
        <w:rPr>
          <w:rFonts w:ascii="Arial" w:hAnsi="Arial" w:cs="Arial"/>
          <w:sz w:val="24"/>
          <w:szCs w:val="24"/>
        </w:rPr>
        <w:t xml:space="preserve">.  </w:t>
      </w:r>
      <w:r w:rsidR="00B70760">
        <w:rPr>
          <w:rFonts w:ascii="Arial" w:hAnsi="Arial" w:cs="Arial"/>
          <w:sz w:val="24"/>
          <w:szCs w:val="24"/>
        </w:rPr>
        <w:t>Application</w:t>
      </w:r>
      <w:proofErr w:type="gramEnd"/>
      <w:r w:rsidR="00B70760">
        <w:rPr>
          <w:rFonts w:ascii="Arial" w:hAnsi="Arial" w:cs="Arial"/>
          <w:sz w:val="24"/>
          <w:szCs w:val="24"/>
        </w:rPr>
        <w:t xml:space="preserve"> fails to des</w:t>
      </w:r>
      <w:r w:rsidR="00E606D6">
        <w:rPr>
          <w:rFonts w:ascii="Arial" w:hAnsi="Arial" w:cs="Arial"/>
          <w:sz w:val="24"/>
          <w:szCs w:val="24"/>
        </w:rPr>
        <w:t>cribe the disposition of customer deposits, and interest thereon, any guaranteed revenue contracts, developer agreements, customer advances, debts of the utility or leases.</w:t>
      </w:r>
    </w:p>
    <w:p w:rsidR="00E606D6" w:rsidRDefault="00E606D6" w:rsidP="00F137B5">
      <w:pPr>
        <w:tabs>
          <w:tab w:val="left" w:pos="1080"/>
          <w:tab w:val="left" w:pos="1440"/>
          <w:tab w:val="left" w:pos="1620"/>
        </w:tabs>
        <w:spacing w:line="360" w:lineRule="auto"/>
        <w:jc w:val="both"/>
        <w:rPr>
          <w:rFonts w:ascii="Arial" w:hAnsi="Arial" w:cs="Arial"/>
          <w:sz w:val="24"/>
          <w:szCs w:val="24"/>
        </w:rPr>
      </w:pPr>
      <w:r>
        <w:rPr>
          <w:rFonts w:ascii="Arial" w:hAnsi="Arial" w:cs="Arial"/>
          <w:sz w:val="24"/>
          <w:szCs w:val="24"/>
        </w:rPr>
        <w:tab/>
        <w:t>v.</w:t>
      </w:r>
      <w:r>
        <w:rPr>
          <w:rFonts w:ascii="Arial" w:hAnsi="Arial" w:cs="Arial"/>
          <w:sz w:val="24"/>
          <w:szCs w:val="24"/>
        </w:rPr>
        <w:tab/>
      </w:r>
      <w:r w:rsidR="00F137B5">
        <w:rPr>
          <w:rFonts w:ascii="Arial" w:hAnsi="Arial" w:cs="Arial"/>
          <w:sz w:val="24"/>
          <w:szCs w:val="24"/>
        </w:rPr>
        <w:t xml:space="preserve">  </w:t>
      </w:r>
      <w:r>
        <w:rPr>
          <w:rFonts w:ascii="Arial" w:hAnsi="Arial" w:cs="Arial"/>
          <w:sz w:val="24"/>
          <w:szCs w:val="24"/>
        </w:rPr>
        <w:t xml:space="preserve">Application fails to adequately describe the financing of the purchase for the reasons stated in </w:t>
      </w:r>
      <w:proofErr w:type="spellStart"/>
      <w:r>
        <w:rPr>
          <w:rFonts w:ascii="Arial" w:hAnsi="Arial" w:cs="Arial"/>
          <w:sz w:val="24"/>
          <w:szCs w:val="24"/>
        </w:rPr>
        <w:t>i</w:t>
      </w:r>
      <w:proofErr w:type="spellEnd"/>
      <w:r>
        <w:rPr>
          <w:rFonts w:ascii="Arial" w:hAnsi="Arial" w:cs="Arial"/>
          <w:sz w:val="24"/>
          <w:szCs w:val="24"/>
        </w:rPr>
        <w:t>.</w:t>
      </w:r>
    </w:p>
    <w:p w:rsidR="00E606D6" w:rsidRDefault="00A06D35" w:rsidP="00F137B5">
      <w:pPr>
        <w:tabs>
          <w:tab w:val="left" w:pos="540"/>
          <w:tab w:val="left" w:pos="720"/>
          <w:tab w:val="left" w:pos="1440"/>
        </w:tabs>
        <w:spacing w:line="360" w:lineRule="auto"/>
        <w:jc w:val="both"/>
        <w:rPr>
          <w:rFonts w:ascii="Arial" w:hAnsi="Arial" w:cs="Arial"/>
          <w:sz w:val="24"/>
          <w:szCs w:val="24"/>
        </w:rPr>
      </w:pPr>
      <w:r>
        <w:rPr>
          <w:rFonts w:ascii="Arial" w:hAnsi="Arial" w:cs="Arial"/>
          <w:sz w:val="24"/>
          <w:szCs w:val="24"/>
        </w:rPr>
        <w:tab/>
        <w:t>c.     The A</w:t>
      </w:r>
      <w:r w:rsidR="00E606D6">
        <w:rPr>
          <w:rFonts w:ascii="Arial" w:hAnsi="Arial" w:cs="Arial"/>
          <w:sz w:val="24"/>
          <w:szCs w:val="24"/>
        </w:rPr>
        <w:t>pplicant’s statement that the transfer is in the public interest is seriously deficient.  The statement provided with the application erroneously</w:t>
      </w:r>
      <w:r w:rsidR="007E110C">
        <w:rPr>
          <w:rFonts w:ascii="Arial" w:hAnsi="Arial" w:cs="Arial"/>
          <w:sz w:val="24"/>
          <w:szCs w:val="24"/>
        </w:rPr>
        <w:t xml:space="preserve"> claims that the Buyers</w:t>
      </w:r>
      <w:r w:rsidR="00394880">
        <w:rPr>
          <w:rFonts w:ascii="Arial" w:hAnsi="Arial" w:cs="Arial"/>
          <w:sz w:val="24"/>
          <w:szCs w:val="24"/>
        </w:rPr>
        <w:t xml:space="preserve"> are</w:t>
      </w:r>
      <w:r w:rsidR="007E110C">
        <w:rPr>
          <w:rFonts w:ascii="Arial" w:hAnsi="Arial" w:cs="Arial"/>
          <w:sz w:val="24"/>
          <w:szCs w:val="24"/>
        </w:rPr>
        <w:t xml:space="preserve"> </w:t>
      </w:r>
      <w:r>
        <w:rPr>
          <w:rFonts w:ascii="Arial" w:hAnsi="Arial" w:cs="Arial"/>
          <w:sz w:val="24"/>
          <w:szCs w:val="24"/>
        </w:rPr>
        <w:t>“Ri</w:t>
      </w:r>
      <w:r w:rsidR="00DB7D8F">
        <w:rPr>
          <w:rFonts w:ascii="Arial" w:hAnsi="Arial" w:cs="Arial"/>
          <w:sz w:val="24"/>
          <w:szCs w:val="24"/>
        </w:rPr>
        <w:t>ck</w:t>
      </w:r>
      <w:r>
        <w:rPr>
          <w:rFonts w:ascii="Arial" w:hAnsi="Arial" w:cs="Arial"/>
          <w:sz w:val="24"/>
          <w:szCs w:val="24"/>
        </w:rPr>
        <w:t xml:space="preserve"> and Chris Stephens” and that they </w:t>
      </w:r>
      <w:r w:rsidR="007E110C">
        <w:rPr>
          <w:rFonts w:ascii="Arial" w:hAnsi="Arial" w:cs="Arial"/>
          <w:sz w:val="24"/>
          <w:szCs w:val="24"/>
        </w:rPr>
        <w:t>are the “owners of the park” and its amenities that currently serve the residents of Heather Hills Estates.  The</w:t>
      </w:r>
      <w:r w:rsidR="00E606D6">
        <w:rPr>
          <w:rFonts w:ascii="Arial" w:hAnsi="Arial" w:cs="Arial"/>
          <w:sz w:val="24"/>
          <w:szCs w:val="24"/>
        </w:rPr>
        <w:t xml:space="preserve"> </w:t>
      </w:r>
      <w:r>
        <w:rPr>
          <w:rFonts w:ascii="Arial" w:hAnsi="Arial" w:cs="Arial"/>
          <w:sz w:val="24"/>
          <w:szCs w:val="24"/>
        </w:rPr>
        <w:t xml:space="preserve">Buyer is the </w:t>
      </w:r>
      <w:r w:rsidR="00394880">
        <w:rPr>
          <w:rFonts w:ascii="Arial" w:hAnsi="Arial" w:cs="Arial"/>
          <w:sz w:val="24"/>
          <w:szCs w:val="24"/>
        </w:rPr>
        <w:lastRenderedPageBreak/>
        <w:t>L</w:t>
      </w:r>
      <w:r>
        <w:rPr>
          <w:rFonts w:ascii="Arial" w:hAnsi="Arial" w:cs="Arial"/>
          <w:sz w:val="24"/>
          <w:szCs w:val="24"/>
        </w:rPr>
        <w:t xml:space="preserve">LC, the residents own their own lots, and Manatee County owns </w:t>
      </w:r>
      <w:r w:rsidR="00BB49E3">
        <w:rPr>
          <w:rFonts w:ascii="Arial" w:hAnsi="Arial" w:cs="Arial"/>
          <w:sz w:val="24"/>
          <w:szCs w:val="24"/>
        </w:rPr>
        <w:t xml:space="preserve">all of the streets and </w:t>
      </w:r>
      <w:r>
        <w:rPr>
          <w:rFonts w:ascii="Arial" w:hAnsi="Arial" w:cs="Arial"/>
          <w:sz w:val="24"/>
          <w:szCs w:val="24"/>
        </w:rPr>
        <w:t>the rest of the park, except for the club house area and the water and wastewater lines.  The Exhibit “A” filed on May 5, 2009, corrects the earlier false statements, but continues the seriously deficient argument that the transfer is in the public interest</w:t>
      </w:r>
      <w:r w:rsidR="00394880">
        <w:rPr>
          <w:rFonts w:ascii="Arial" w:hAnsi="Arial" w:cs="Arial"/>
          <w:sz w:val="24"/>
          <w:szCs w:val="24"/>
        </w:rPr>
        <w:t>,</w:t>
      </w:r>
      <w:r>
        <w:rPr>
          <w:rFonts w:ascii="Arial" w:hAnsi="Arial" w:cs="Arial"/>
          <w:sz w:val="24"/>
          <w:szCs w:val="24"/>
        </w:rPr>
        <w:t xml:space="preserve"> because the Buyer “cur</w:t>
      </w:r>
      <w:r w:rsidR="00DB7D8F">
        <w:rPr>
          <w:rFonts w:ascii="Arial" w:hAnsi="Arial" w:cs="Arial"/>
          <w:sz w:val="24"/>
          <w:szCs w:val="24"/>
        </w:rPr>
        <w:t>rently serves the residents of H</w:t>
      </w:r>
      <w:r>
        <w:rPr>
          <w:rFonts w:ascii="Arial" w:hAnsi="Arial" w:cs="Arial"/>
          <w:sz w:val="24"/>
          <w:szCs w:val="24"/>
        </w:rPr>
        <w:t>eather Hills Estate</w:t>
      </w:r>
      <w:r w:rsidR="002E3175">
        <w:rPr>
          <w:rFonts w:ascii="Arial" w:hAnsi="Arial" w:cs="Arial"/>
          <w:sz w:val="24"/>
          <w:szCs w:val="24"/>
        </w:rPr>
        <w:t>s</w:t>
      </w:r>
      <w:r>
        <w:rPr>
          <w:rFonts w:ascii="Arial" w:hAnsi="Arial" w:cs="Arial"/>
          <w:sz w:val="24"/>
          <w:szCs w:val="24"/>
        </w:rPr>
        <w:t xml:space="preserve">.”  The extremely inexperienced, inadequate, dismissive and openly discourteous service currently being provided </w:t>
      </w:r>
      <w:r w:rsidR="00394880">
        <w:rPr>
          <w:rFonts w:ascii="Arial" w:hAnsi="Arial" w:cs="Arial"/>
          <w:sz w:val="24"/>
          <w:szCs w:val="24"/>
        </w:rPr>
        <w:t>by</w:t>
      </w:r>
      <w:r>
        <w:rPr>
          <w:rFonts w:ascii="Arial" w:hAnsi="Arial" w:cs="Arial"/>
          <w:sz w:val="24"/>
          <w:szCs w:val="24"/>
        </w:rPr>
        <w:t xml:space="preserve"> the Buy</w:t>
      </w:r>
      <w:r w:rsidR="00DB7D8F">
        <w:rPr>
          <w:rFonts w:ascii="Arial" w:hAnsi="Arial" w:cs="Arial"/>
          <w:sz w:val="24"/>
          <w:szCs w:val="24"/>
        </w:rPr>
        <w:t>er to the residents of H</w:t>
      </w:r>
      <w:r w:rsidR="004C6EC5">
        <w:rPr>
          <w:rFonts w:ascii="Arial" w:hAnsi="Arial" w:cs="Arial"/>
          <w:sz w:val="24"/>
          <w:szCs w:val="24"/>
        </w:rPr>
        <w:t>eather Hi</w:t>
      </w:r>
      <w:r>
        <w:rPr>
          <w:rFonts w:ascii="Arial" w:hAnsi="Arial" w:cs="Arial"/>
          <w:sz w:val="24"/>
          <w:szCs w:val="24"/>
        </w:rPr>
        <w:t>lls Estates is on</w:t>
      </w:r>
      <w:r w:rsidR="004C6EC5">
        <w:rPr>
          <w:rFonts w:ascii="Arial" w:hAnsi="Arial" w:cs="Arial"/>
          <w:sz w:val="24"/>
          <w:szCs w:val="24"/>
        </w:rPr>
        <w:t>e</w:t>
      </w:r>
      <w:r>
        <w:rPr>
          <w:rFonts w:ascii="Arial" w:hAnsi="Arial" w:cs="Arial"/>
          <w:sz w:val="24"/>
          <w:szCs w:val="24"/>
        </w:rPr>
        <w:t xml:space="preserve"> of the primary reasons this transfer is </w:t>
      </w:r>
      <w:r w:rsidRPr="00394880">
        <w:rPr>
          <w:rFonts w:ascii="Arial" w:hAnsi="Arial" w:cs="Arial"/>
          <w:b/>
          <w:sz w:val="24"/>
          <w:szCs w:val="24"/>
        </w:rPr>
        <w:t xml:space="preserve">not </w:t>
      </w:r>
      <w:r>
        <w:rPr>
          <w:rFonts w:ascii="Arial" w:hAnsi="Arial" w:cs="Arial"/>
          <w:sz w:val="24"/>
          <w:szCs w:val="24"/>
        </w:rPr>
        <w:t>in the public interest.</w:t>
      </w:r>
    </w:p>
    <w:p w:rsidR="004C6EC5" w:rsidRDefault="004C6EC5" w:rsidP="00F137B5">
      <w:pPr>
        <w:tabs>
          <w:tab w:val="left" w:pos="540"/>
          <w:tab w:val="left" w:pos="720"/>
          <w:tab w:val="left" w:pos="1440"/>
        </w:tabs>
        <w:spacing w:line="360" w:lineRule="auto"/>
        <w:jc w:val="both"/>
        <w:rPr>
          <w:rFonts w:ascii="Arial" w:hAnsi="Arial" w:cs="Arial"/>
          <w:sz w:val="24"/>
          <w:szCs w:val="24"/>
        </w:rPr>
      </w:pPr>
      <w:r>
        <w:rPr>
          <w:rFonts w:ascii="Arial" w:hAnsi="Arial" w:cs="Arial"/>
          <w:sz w:val="24"/>
          <w:szCs w:val="24"/>
        </w:rPr>
        <w:tab/>
        <w:t xml:space="preserve">d.      The summary of the Buyer’s experience highlights the complete lack of experience of the Buyer.  Since February, 2009, </w:t>
      </w:r>
      <w:r w:rsidR="00394880">
        <w:rPr>
          <w:rFonts w:ascii="Arial" w:hAnsi="Arial" w:cs="Arial"/>
          <w:sz w:val="24"/>
          <w:szCs w:val="24"/>
        </w:rPr>
        <w:t>neither the Applicant or</w:t>
      </w:r>
      <w:r>
        <w:rPr>
          <w:rFonts w:ascii="Arial" w:hAnsi="Arial" w:cs="Arial"/>
          <w:sz w:val="24"/>
          <w:szCs w:val="24"/>
        </w:rPr>
        <w:t xml:space="preserve"> the </w:t>
      </w:r>
      <w:r w:rsidR="00394880">
        <w:rPr>
          <w:rFonts w:ascii="Arial" w:hAnsi="Arial" w:cs="Arial"/>
          <w:sz w:val="24"/>
          <w:szCs w:val="24"/>
        </w:rPr>
        <w:t>B</w:t>
      </w:r>
      <w:r>
        <w:rPr>
          <w:rFonts w:ascii="Arial" w:hAnsi="Arial" w:cs="Arial"/>
          <w:sz w:val="24"/>
          <w:szCs w:val="24"/>
        </w:rPr>
        <w:t xml:space="preserve">uyer or </w:t>
      </w:r>
      <w:r w:rsidR="00394880">
        <w:rPr>
          <w:rFonts w:ascii="Arial" w:hAnsi="Arial" w:cs="Arial"/>
          <w:sz w:val="24"/>
          <w:szCs w:val="24"/>
        </w:rPr>
        <w:t xml:space="preserve">even </w:t>
      </w:r>
      <w:r>
        <w:rPr>
          <w:rFonts w:ascii="Arial" w:hAnsi="Arial" w:cs="Arial"/>
          <w:sz w:val="24"/>
          <w:szCs w:val="24"/>
        </w:rPr>
        <w:t xml:space="preserve">the Buyer’s consultant have been able to </w:t>
      </w:r>
      <w:r w:rsidR="00F137B5">
        <w:rPr>
          <w:rFonts w:ascii="Arial" w:hAnsi="Arial" w:cs="Arial"/>
          <w:sz w:val="24"/>
          <w:szCs w:val="24"/>
        </w:rPr>
        <w:t xml:space="preserve">correctly </w:t>
      </w:r>
      <w:r>
        <w:rPr>
          <w:rFonts w:ascii="Arial" w:hAnsi="Arial" w:cs="Arial"/>
          <w:sz w:val="24"/>
          <w:szCs w:val="24"/>
        </w:rPr>
        <w:t>fill out the forms provided by the Commission or to correctly and timely file exhibits supporting the application.</w:t>
      </w:r>
    </w:p>
    <w:p w:rsidR="00394880" w:rsidRDefault="004C6EC5" w:rsidP="00F137B5">
      <w:pPr>
        <w:tabs>
          <w:tab w:val="left" w:pos="540"/>
          <w:tab w:val="left" w:pos="720"/>
          <w:tab w:val="left" w:pos="1440"/>
        </w:tabs>
        <w:spacing w:line="360" w:lineRule="auto"/>
        <w:jc w:val="both"/>
        <w:rPr>
          <w:rFonts w:ascii="Arial" w:hAnsi="Arial" w:cs="Arial"/>
          <w:sz w:val="24"/>
          <w:szCs w:val="24"/>
        </w:rPr>
      </w:pPr>
      <w:r>
        <w:rPr>
          <w:rFonts w:ascii="Arial" w:hAnsi="Arial" w:cs="Arial"/>
          <w:sz w:val="24"/>
          <w:szCs w:val="24"/>
        </w:rPr>
        <w:tab/>
        <w:t>e.      The application fails to provide evidence that the Buyer has the financial ability to purchase the Utility and provide service to the customers.  In fact, one of the primary sources of income outlined in the filing is the subject of litigation.  If the litigation is resolved unfavorably to the Applicant and the Buyer, it could cause the LLC to default under the promissory note</w:t>
      </w:r>
      <w:r w:rsidR="00394880">
        <w:rPr>
          <w:rFonts w:ascii="Arial" w:hAnsi="Arial" w:cs="Arial"/>
          <w:sz w:val="24"/>
          <w:szCs w:val="24"/>
        </w:rPr>
        <w:t>.  With the principals of the LLC providing no personal guarantees of the promissory note, there would be no recourse against the principals, and the sale would effectively be voided.</w:t>
      </w:r>
    </w:p>
    <w:p w:rsidR="004C6EC5" w:rsidRDefault="004C6EC5" w:rsidP="00F137B5">
      <w:pPr>
        <w:tabs>
          <w:tab w:val="left" w:pos="540"/>
          <w:tab w:val="left" w:pos="720"/>
          <w:tab w:val="left" w:pos="1440"/>
        </w:tabs>
        <w:spacing w:line="360" w:lineRule="auto"/>
        <w:jc w:val="both"/>
        <w:rPr>
          <w:rFonts w:ascii="Arial" w:hAnsi="Arial" w:cs="Arial"/>
          <w:sz w:val="24"/>
          <w:szCs w:val="24"/>
        </w:rPr>
      </w:pPr>
      <w:r>
        <w:rPr>
          <w:rFonts w:ascii="Arial" w:hAnsi="Arial" w:cs="Arial"/>
          <w:sz w:val="24"/>
          <w:szCs w:val="24"/>
        </w:rPr>
        <w:tab/>
        <w:t>f.</w:t>
      </w:r>
      <w:r>
        <w:rPr>
          <w:rFonts w:ascii="Arial" w:hAnsi="Arial" w:cs="Arial"/>
          <w:sz w:val="24"/>
          <w:szCs w:val="24"/>
        </w:rPr>
        <w:tab/>
        <w:t xml:space="preserve">      Even after being reminded by the Commission’s Staff</w:t>
      </w:r>
      <w:r w:rsidR="00502099">
        <w:rPr>
          <w:rFonts w:ascii="Arial" w:hAnsi="Arial" w:cs="Arial"/>
          <w:sz w:val="24"/>
          <w:szCs w:val="24"/>
        </w:rPr>
        <w:t xml:space="preserve"> in its April 1, 2009 letter to the Buyer’s consultant, the Buyer has still failed to provide the statement required by Rule 25-30.037(2)(j),F</w:t>
      </w:r>
      <w:r w:rsidR="002E3175">
        <w:rPr>
          <w:rFonts w:ascii="Arial" w:hAnsi="Arial" w:cs="Arial"/>
          <w:sz w:val="24"/>
          <w:szCs w:val="24"/>
        </w:rPr>
        <w:t xml:space="preserve">lorida </w:t>
      </w:r>
      <w:r w:rsidR="00502099">
        <w:rPr>
          <w:rFonts w:ascii="Arial" w:hAnsi="Arial" w:cs="Arial"/>
          <w:sz w:val="24"/>
          <w:szCs w:val="24"/>
        </w:rPr>
        <w:t>A</w:t>
      </w:r>
      <w:r w:rsidR="002E3175">
        <w:rPr>
          <w:rFonts w:ascii="Arial" w:hAnsi="Arial" w:cs="Arial"/>
          <w:sz w:val="24"/>
          <w:szCs w:val="24"/>
        </w:rPr>
        <w:t xml:space="preserve">dministrative </w:t>
      </w:r>
      <w:r w:rsidR="00502099">
        <w:rPr>
          <w:rFonts w:ascii="Arial" w:hAnsi="Arial" w:cs="Arial"/>
          <w:sz w:val="24"/>
          <w:szCs w:val="24"/>
        </w:rPr>
        <w:t>C</w:t>
      </w:r>
      <w:r w:rsidR="002E3175">
        <w:rPr>
          <w:rFonts w:ascii="Arial" w:hAnsi="Arial" w:cs="Arial"/>
          <w:sz w:val="24"/>
          <w:szCs w:val="24"/>
        </w:rPr>
        <w:t>ode</w:t>
      </w:r>
      <w:r w:rsidR="00502099">
        <w:rPr>
          <w:rFonts w:ascii="Arial" w:hAnsi="Arial" w:cs="Arial"/>
          <w:sz w:val="24"/>
          <w:szCs w:val="24"/>
        </w:rPr>
        <w:t>, that the Buyer will fulfill the commitments, obligations and representations of the Seller with regard to utility matters.  Based upon the present performance of the Buyer</w:t>
      </w:r>
      <w:r w:rsidR="00394880">
        <w:rPr>
          <w:rFonts w:ascii="Arial" w:hAnsi="Arial" w:cs="Arial"/>
          <w:sz w:val="24"/>
          <w:szCs w:val="24"/>
        </w:rPr>
        <w:t>,</w:t>
      </w:r>
      <w:r w:rsidR="00502099">
        <w:rPr>
          <w:rFonts w:ascii="Arial" w:hAnsi="Arial" w:cs="Arial"/>
          <w:sz w:val="24"/>
          <w:szCs w:val="24"/>
        </w:rPr>
        <w:t xml:space="preserve"> </w:t>
      </w:r>
      <w:r w:rsidR="006E1042">
        <w:rPr>
          <w:rFonts w:ascii="Arial" w:hAnsi="Arial" w:cs="Arial"/>
          <w:sz w:val="24"/>
          <w:szCs w:val="24"/>
        </w:rPr>
        <w:t xml:space="preserve">the customers do not believe the Buyer </w:t>
      </w:r>
      <w:r w:rsidR="00502099">
        <w:rPr>
          <w:rFonts w:ascii="Arial" w:hAnsi="Arial" w:cs="Arial"/>
          <w:sz w:val="24"/>
          <w:szCs w:val="24"/>
        </w:rPr>
        <w:t>is able or willing to fulfill the commitments, obligations and representations of the Seller.</w:t>
      </w:r>
    </w:p>
    <w:p w:rsidR="00502099" w:rsidRDefault="00502099" w:rsidP="00F137B5">
      <w:pPr>
        <w:tabs>
          <w:tab w:val="left" w:pos="540"/>
          <w:tab w:val="left" w:pos="720"/>
          <w:tab w:val="left" w:pos="1440"/>
        </w:tabs>
        <w:spacing w:line="360" w:lineRule="auto"/>
        <w:jc w:val="both"/>
        <w:rPr>
          <w:rFonts w:ascii="Arial" w:hAnsi="Arial" w:cs="Arial"/>
          <w:sz w:val="24"/>
          <w:szCs w:val="24"/>
        </w:rPr>
      </w:pPr>
      <w:r>
        <w:rPr>
          <w:rFonts w:ascii="Arial" w:hAnsi="Arial" w:cs="Arial"/>
          <w:sz w:val="24"/>
          <w:szCs w:val="24"/>
        </w:rPr>
        <w:tab/>
        <w:t xml:space="preserve">g.      Without a copy of the Agreement, Petitioner cannot be certain of the manner and amount of financing involved in the proposed transfer.  Without the Agreement the Petitioner cannot be certain that the Applicant and Buyer have provided the Commission with all of the financial details of the proposed transfer, including but not </w:t>
      </w:r>
      <w:r>
        <w:rPr>
          <w:rFonts w:ascii="Arial" w:hAnsi="Arial" w:cs="Arial"/>
          <w:sz w:val="24"/>
          <w:szCs w:val="24"/>
        </w:rPr>
        <w:lastRenderedPageBreak/>
        <w:t>limited to list of all entities upon which the Buyer is relying to provide funding, copies of accurate</w:t>
      </w:r>
      <w:r w:rsidR="00394880">
        <w:rPr>
          <w:rFonts w:ascii="Arial" w:hAnsi="Arial" w:cs="Arial"/>
          <w:sz w:val="24"/>
          <w:szCs w:val="24"/>
        </w:rPr>
        <w:t>,</w:t>
      </w:r>
      <w:r>
        <w:rPr>
          <w:rFonts w:ascii="Arial" w:hAnsi="Arial" w:cs="Arial"/>
          <w:sz w:val="24"/>
          <w:szCs w:val="24"/>
        </w:rPr>
        <w:t xml:space="preserve"> dated and executed financial statements and copies of all financial agreements with the Utility or its existing ownership.</w:t>
      </w:r>
    </w:p>
    <w:p w:rsidR="00502099" w:rsidRDefault="00502099" w:rsidP="00F137B5">
      <w:pPr>
        <w:tabs>
          <w:tab w:val="left" w:pos="540"/>
          <w:tab w:val="left" w:pos="720"/>
          <w:tab w:val="left" w:pos="1440"/>
        </w:tabs>
        <w:spacing w:line="360" w:lineRule="auto"/>
        <w:jc w:val="both"/>
        <w:rPr>
          <w:rFonts w:ascii="Arial" w:hAnsi="Arial" w:cs="Arial"/>
          <w:sz w:val="24"/>
          <w:szCs w:val="24"/>
        </w:rPr>
      </w:pPr>
      <w:r>
        <w:rPr>
          <w:rFonts w:ascii="Arial" w:hAnsi="Arial" w:cs="Arial"/>
          <w:sz w:val="24"/>
          <w:szCs w:val="24"/>
        </w:rPr>
        <w:tab/>
        <w:t>h.      The application fail</w:t>
      </w:r>
      <w:r w:rsidR="00394880">
        <w:rPr>
          <w:rFonts w:ascii="Arial" w:hAnsi="Arial" w:cs="Arial"/>
          <w:sz w:val="24"/>
          <w:szCs w:val="24"/>
        </w:rPr>
        <w:t>s</w:t>
      </w:r>
      <w:r>
        <w:rPr>
          <w:rFonts w:ascii="Arial" w:hAnsi="Arial" w:cs="Arial"/>
          <w:sz w:val="24"/>
          <w:szCs w:val="24"/>
        </w:rPr>
        <w:t xml:space="preserve"> to identify the Commission</w:t>
      </w:r>
      <w:r w:rsidR="00DD2EEE">
        <w:rPr>
          <w:rFonts w:ascii="Arial" w:hAnsi="Arial" w:cs="Arial"/>
          <w:sz w:val="24"/>
          <w:szCs w:val="24"/>
        </w:rPr>
        <w:t xml:space="preserve"> Order which</w:t>
      </w:r>
      <w:r w:rsidR="006E1042">
        <w:rPr>
          <w:rFonts w:ascii="Arial" w:hAnsi="Arial" w:cs="Arial"/>
          <w:sz w:val="24"/>
          <w:szCs w:val="24"/>
        </w:rPr>
        <w:t xml:space="preserve"> last</w:t>
      </w:r>
      <w:r w:rsidR="00DD2EEE">
        <w:rPr>
          <w:rFonts w:ascii="Arial" w:hAnsi="Arial" w:cs="Arial"/>
          <w:sz w:val="24"/>
          <w:szCs w:val="24"/>
        </w:rPr>
        <w:t xml:space="preserve"> established the Utility’s rate base, including identification of all adjustments made by the order and adjustments made to update the rate base to the date of the proposed transfer.  The rate base information provided in the application appears to capitalize maintenance and repair work which has been seriously deferred because of being neglected for decades.</w:t>
      </w:r>
    </w:p>
    <w:p w:rsidR="00DD2EEE" w:rsidRDefault="00DD2EEE" w:rsidP="00F137B5">
      <w:pPr>
        <w:tabs>
          <w:tab w:val="left" w:pos="0"/>
          <w:tab w:val="left" w:pos="720"/>
        </w:tabs>
        <w:spacing w:line="360" w:lineRule="auto"/>
        <w:ind w:firstLine="54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The application does not seek an acquisition adjustment</w:t>
      </w:r>
      <w:r w:rsidR="00394880">
        <w:rPr>
          <w:rFonts w:ascii="Arial" w:hAnsi="Arial" w:cs="Arial"/>
          <w:sz w:val="24"/>
          <w:szCs w:val="24"/>
        </w:rPr>
        <w:t>,</w:t>
      </w:r>
      <w:r>
        <w:rPr>
          <w:rFonts w:ascii="Arial" w:hAnsi="Arial" w:cs="Arial"/>
          <w:sz w:val="24"/>
          <w:szCs w:val="24"/>
        </w:rPr>
        <w:t xml:space="preserve"> nor under the circumstance should one be granted.  </w:t>
      </w:r>
      <w:r w:rsidRPr="00845DC7">
        <w:rPr>
          <w:rFonts w:ascii="Arial" w:hAnsi="Arial" w:cs="Arial"/>
          <w:sz w:val="24"/>
          <w:szCs w:val="24"/>
        </w:rPr>
        <w:t>The proposed purchase price is unjustified</w:t>
      </w:r>
      <w:r>
        <w:rPr>
          <w:rFonts w:ascii="Arial" w:hAnsi="Arial" w:cs="Arial"/>
          <w:sz w:val="24"/>
          <w:szCs w:val="24"/>
        </w:rPr>
        <w:t xml:space="preserve"> and significantly higher than what it should be considering the depreciated condition and rate base of the system.</w:t>
      </w:r>
    </w:p>
    <w:p w:rsidR="00DD2EEE" w:rsidRDefault="00DD2EEE" w:rsidP="00F137B5">
      <w:pPr>
        <w:spacing w:line="360" w:lineRule="auto"/>
        <w:ind w:firstLine="630"/>
        <w:jc w:val="both"/>
        <w:rPr>
          <w:rFonts w:ascii="Arial" w:hAnsi="Arial" w:cs="Arial"/>
          <w:sz w:val="24"/>
          <w:szCs w:val="24"/>
        </w:rPr>
      </w:pPr>
      <w:r>
        <w:rPr>
          <w:rFonts w:ascii="Arial" w:hAnsi="Arial" w:cs="Arial"/>
          <w:sz w:val="24"/>
          <w:szCs w:val="24"/>
        </w:rPr>
        <w:t>j.      The Buyer state</w:t>
      </w:r>
      <w:r w:rsidR="00F75BCA">
        <w:rPr>
          <w:rFonts w:ascii="Arial" w:hAnsi="Arial" w:cs="Arial"/>
          <w:sz w:val="24"/>
          <w:szCs w:val="24"/>
        </w:rPr>
        <w:t>s</w:t>
      </w:r>
      <w:r>
        <w:rPr>
          <w:rFonts w:ascii="Arial" w:hAnsi="Arial" w:cs="Arial"/>
          <w:sz w:val="24"/>
          <w:szCs w:val="24"/>
        </w:rPr>
        <w:t xml:space="preserve"> that after “reasonable” inspection th</w:t>
      </w:r>
      <w:r w:rsidR="00F75BCA">
        <w:rPr>
          <w:rFonts w:ascii="Arial" w:hAnsi="Arial" w:cs="Arial"/>
          <w:sz w:val="24"/>
          <w:szCs w:val="24"/>
        </w:rPr>
        <w:t>e</w:t>
      </w:r>
      <w:r>
        <w:rPr>
          <w:rFonts w:ascii="Arial" w:hAnsi="Arial" w:cs="Arial"/>
          <w:sz w:val="24"/>
          <w:szCs w:val="24"/>
        </w:rPr>
        <w:t xml:space="preserve"> system appears to be in satisfactory condition.  Given the poor condition of the Utility’s lines, it is apparent that the Buyer failed to conduct much, if any, inspection of the water and wastewater lines.  Further, the Buyer has failed to identify any improvements or repairs </w:t>
      </w:r>
      <w:r w:rsidR="00F75BCA">
        <w:rPr>
          <w:rFonts w:ascii="Arial" w:hAnsi="Arial" w:cs="Arial"/>
          <w:sz w:val="24"/>
          <w:szCs w:val="24"/>
        </w:rPr>
        <w:t>need</w:t>
      </w:r>
      <w:r>
        <w:rPr>
          <w:rFonts w:ascii="Arial" w:hAnsi="Arial" w:cs="Arial"/>
          <w:sz w:val="24"/>
          <w:szCs w:val="24"/>
        </w:rPr>
        <w:t>ed, and the approximate cost of such investments or repairs.</w:t>
      </w:r>
    </w:p>
    <w:p w:rsidR="00DD2EEE" w:rsidRDefault="00DD2EEE" w:rsidP="00F137B5">
      <w:pPr>
        <w:tabs>
          <w:tab w:val="left" w:pos="1170"/>
        </w:tabs>
        <w:spacing w:line="360" w:lineRule="auto"/>
        <w:ind w:firstLine="630"/>
        <w:jc w:val="both"/>
        <w:rPr>
          <w:rFonts w:ascii="Arial" w:hAnsi="Arial" w:cs="Arial"/>
          <w:sz w:val="24"/>
          <w:szCs w:val="24"/>
        </w:rPr>
      </w:pPr>
      <w:r>
        <w:rPr>
          <w:rFonts w:ascii="Arial" w:hAnsi="Arial" w:cs="Arial"/>
          <w:sz w:val="24"/>
          <w:szCs w:val="24"/>
        </w:rPr>
        <w:t>k.</w:t>
      </w:r>
      <w:r>
        <w:rPr>
          <w:rFonts w:ascii="Arial" w:hAnsi="Arial" w:cs="Arial"/>
          <w:sz w:val="24"/>
          <w:szCs w:val="24"/>
        </w:rPr>
        <w:tab/>
        <w:t xml:space="preserve">While there is no real estate </w:t>
      </w:r>
      <w:r w:rsidR="00394880">
        <w:rPr>
          <w:rFonts w:ascii="Arial" w:hAnsi="Arial" w:cs="Arial"/>
          <w:sz w:val="24"/>
          <w:szCs w:val="24"/>
        </w:rPr>
        <w:t>being conveyed</w:t>
      </w:r>
      <w:r>
        <w:rPr>
          <w:rFonts w:ascii="Arial" w:hAnsi="Arial" w:cs="Arial"/>
          <w:sz w:val="24"/>
          <w:szCs w:val="24"/>
        </w:rPr>
        <w:t xml:space="preserve"> in this proposed transfer, there is a purported Qui</w:t>
      </w:r>
      <w:r w:rsidR="00F75BCA">
        <w:rPr>
          <w:rFonts w:ascii="Arial" w:hAnsi="Arial" w:cs="Arial"/>
          <w:sz w:val="24"/>
          <w:szCs w:val="24"/>
        </w:rPr>
        <w:t>t</w:t>
      </w:r>
      <w:r>
        <w:rPr>
          <w:rFonts w:ascii="Arial" w:hAnsi="Arial" w:cs="Arial"/>
          <w:sz w:val="24"/>
          <w:szCs w:val="24"/>
        </w:rPr>
        <w:t>-Claim deed conve</w:t>
      </w:r>
      <w:r w:rsidR="00394880">
        <w:rPr>
          <w:rFonts w:ascii="Arial" w:hAnsi="Arial" w:cs="Arial"/>
          <w:sz w:val="24"/>
          <w:szCs w:val="24"/>
        </w:rPr>
        <w:t>y</w:t>
      </w:r>
      <w:r>
        <w:rPr>
          <w:rFonts w:ascii="Arial" w:hAnsi="Arial" w:cs="Arial"/>
          <w:sz w:val="24"/>
          <w:szCs w:val="24"/>
        </w:rPr>
        <w:t>ing the Applicant’s right, title and interest, “if any,</w:t>
      </w:r>
      <w:r w:rsidR="00DF6DCF">
        <w:rPr>
          <w:rFonts w:ascii="Arial" w:hAnsi="Arial" w:cs="Arial"/>
          <w:sz w:val="24"/>
          <w:szCs w:val="24"/>
        </w:rPr>
        <w:t>”</w:t>
      </w:r>
      <w:r>
        <w:rPr>
          <w:rFonts w:ascii="Arial" w:hAnsi="Arial" w:cs="Arial"/>
          <w:sz w:val="24"/>
          <w:szCs w:val="24"/>
        </w:rPr>
        <w:t xml:space="preserve">  in utility easements located w</w:t>
      </w:r>
      <w:r w:rsidR="00F75BCA">
        <w:rPr>
          <w:rFonts w:ascii="Arial" w:hAnsi="Arial" w:cs="Arial"/>
          <w:sz w:val="24"/>
          <w:szCs w:val="24"/>
        </w:rPr>
        <w:t>ithin Heather Hills Estates to the</w:t>
      </w:r>
      <w:r>
        <w:rPr>
          <w:rFonts w:ascii="Arial" w:hAnsi="Arial" w:cs="Arial"/>
          <w:sz w:val="24"/>
          <w:szCs w:val="24"/>
        </w:rPr>
        <w:t xml:space="preserve"> Buyer.  However, the purported Quit-Claim deed is useless, because it is not notarized and cann</w:t>
      </w:r>
      <w:r w:rsidR="00DF6DCF">
        <w:rPr>
          <w:rFonts w:ascii="Arial" w:hAnsi="Arial" w:cs="Arial"/>
          <w:sz w:val="24"/>
          <w:szCs w:val="24"/>
        </w:rPr>
        <w:t>ot be recorded, and it is convey</w:t>
      </w:r>
      <w:r>
        <w:rPr>
          <w:rFonts w:ascii="Arial" w:hAnsi="Arial" w:cs="Arial"/>
          <w:sz w:val="24"/>
          <w:szCs w:val="24"/>
        </w:rPr>
        <w:t>ing an interest in real property (easements), without warranty, to an entity that did not legally exist on the day of the purported conve</w:t>
      </w:r>
      <w:r w:rsidR="00DF6DCF">
        <w:rPr>
          <w:rFonts w:ascii="Arial" w:hAnsi="Arial" w:cs="Arial"/>
          <w:sz w:val="24"/>
          <w:szCs w:val="24"/>
        </w:rPr>
        <w:t>ya</w:t>
      </w:r>
      <w:r>
        <w:rPr>
          <w:rFonts w:ascii="Arial" w:hAnsi="Arial" w:cs="Arial"/>
          <w:sz w:val="24"/>
          <w:szCs w:val="24"/>
        </w:rPr>
        <w:t xml:space="preserve">nce.  The Quit-Claim deed appears to be an </w:t>
      </w:r>
      <w:proofErr w:type="spellStart"/>
      <w:r>
        <w:rPr>
          <w:rFonts w:ascii="Arial" w:hAnsi="Arial" w:cs="Arial"/>
          <w:sz w:val="24"/>
          <w:szCs w:val="24"/>
        </w:rPr>
        <w:t>unrecor</w:t>
      </w:r>
      <w:r w:rsidR="00DF6DCF">
        <w:rPr>
          <w:rFonts w:ascii="Arial" w:hAnsi="Arial" w:cs="Arial"/>
          <w:sz w:val="24"/>
          <w:szCs w:val="24"/>
        </w:rPr>
        <w:t>d</w:t>
      </w:r>
      <w:r>
        <w:rPr>
          <w:rFonts w:ascii="Arial" w:hAnsi="Arial" w:cs="Arial"/>
          <w:sz w:val="24"/>
          <w:szCs w:val="24"/>
        </w:rPr>
        <w:t>able</w:t>
      </w:r>
      <w:proofErr w:type="spellEnd"/>
      <w:r>
        <w:rPr>
          <w:rFonts w:ascii="Arial" w:hAnsi="Arial" w:cs="Arial"/>
          <w:sz w:val="24"/>
          <w:szCs w:val="24"/>
        </w:rPr>
        <w:t xml:space="preserve"> nullity.</w:t>
      </w:r>
    </w:p>
    <w:p w:rsidR="00DD2EEE" w:rsidRDefault="00DD2EEE" w:rsidP="00BB49E3">
      <w:pPr>
        <w:tabs>
          <w:tab w:val="left" w:pos="1170"/>
        </w:tabs>
        <w:spacing w:line="360" w:lineRule="auto"/>
        <w:ind w:firstLine="720"/>
        <w:jc w:val="both"/>
        <w:rPr>
          <w:rFonts w:ascii="Arial" w:hAnsi="Arial" w:cs="Arial"/>
          <w:sz w:val="24"/>
          <w:szCs w:val="24"/>
        </w:rPr>
      </w:pPr>
      <w:r>
        <w:rPr>
          <w:rFonts w:ascii="Arial" w:hAnsi="Arial" w:cs="Arial"/>
          <w:sz w:val="24"/>
          <w:szCs w:val="24"/>
        </w:rPr>
        <w:t>l.</w:t>
      </w:r>
      <w:r>
        <w:rPr>
          <w:rFonts w:ascii="Arial" w:hAnsi="Arial" w:cs="Arial"/>
          <w:sz w:val="24"/>
          <w:szCs w:val="24"/>
        </w:rPr>
        <w:tab/>
      </w:r>
      <w:r w:rsidR="00BB49E3">
        <w:rPr>
          <w:rFonts w:ascii="Arial" w:hAnsi="Arial" w:cs="Arial"/>
          <w:sz w:val="24"/>
          <w:szCs w:val="24"/>
        </w:rPr>
        <w:t xml:space="preserve"> </w:t>
      </w:r>
      <w:r>
        <w:rPr>
          <w:rFonts w:ascii="Arial" w:hAnsi="Arial" w:cs="Arial"/>
          <w:sz w:val="24"/>
          <w:szCs w:val="24"/>
        </w:rPr>
        <w:t>The application fails to affirmatively assert the disposition of any outstanding regulatory assessment fees, fines or refunds owed.</w:t>
      </w:r>
    </w:p>
    <w:p w:rsidR="00DD2EEE" w:rsidRDefault="006B3E5A" w:rsidP="00F137B5">
      <w:pPr>
        <w:spacing w:line="360" w:lineRule="auto"/>
        <w:ind w:firstLine="720"/>
        <w:jc w:val="both"/>
        <w:rPr>
          <w:rFonts w:ascii="Arial" w:hAnsi="Arial" w:cs="Arial"/>
          <w:sz w:val="24"/>
          <w:szCs w:val="24"/>
        </w:rPr>
      </w:pPr>
      <w:r>
        <w:rPr>
          <w:rFonts w:ascii="Arial" w:hAnsi="Arial" w:cs="Arial"/>
          <w:sz w:val="24"/>
          <w:szCs w:val="24"/>
        </w:rPr>
        <w:t>m</w:t>
      </w:r>
      <w:r w:rsidR="00DD2EEE">
        <w:rPr>
          <w:rFonts w:ascii="Arial" w:hAnsi="Arial" w:cs="Arial"/>
          <w:sz w:val="24"/>
          <w:szCs w:val="24"/>
        </w:rPr>
        <w:t>.</w:t>
      </w:r>
      <w:r w:rsidR="00DD2EEE">
        <w:rPr>
          <w:rFonts w:ascii="Arial" w:hAnsi="Arial" w:cs="Arial"/>
          <w:sz w:val="24"/>
          <w:szCs w:val="24"/>
        </w:rPr>
        <w:tab/>
        <w:t>The proposed transfer is substantially inferior to other alternatives available for the future operation of the Utility and for this reason and the other reasons outlined above the proposed transfer is not in the public interest.</w:t>
      </w:r>
    </w:p>
    <w:p w:rsidR="00DD2EEE" w:rsidRDefault="006B3E5A" w:rsidP="00F137B5">
      <w:pPr>
        <w:spacing w:line="360" w:lineRule="auto"/>
        <w:ind w:left="720"/>
        <w:jc w:val="both"/>
        <w:rPr>
          <w:rFonts w:ascii="Arial" w:hAnsi="Arial" w:cs="Arial"/>
          <w:sz w:val="24"/>
          <w:szCs w:val="24"/>
        </w:rPr>
      </w:pPr>
      <w:r>
        <w:rPr>
          <w:rFonts w:ascii="Arial" w:hAnsi="Arial" w:cs="Arial"/>
          <w:sz w:val="24"/>
          <w:szCs w:val="24"/>
        </w:rPr>
        <w:lastRenderedPageBreak/>
        <w:t>n</w:t>
      </w:r>
      <w:r w:rsidR="00DD2EEE">
        <w:rPr>
          <w:rFonts w:ascii="Arial" w:hAnsi="Arial" w:cs="Arial"/>
          <w:sz w:val="24"/>
          <w:szCs w:val="24"/>
        </w:rPr>
        <w:t>.</w:t>
      </w:r>
      <w:r w:rsidR="00DD2EEE">
        <w:rPr>
          <w:rFonts w:ascii="Arial" w:hAnsi="Arial" w:cs="Arial"/>
          <w:sz w:val="24"/>
          <w:szCs w:val="24"/>
        </w:rPr>
        <w:tab/>
        <w:t xml:space="preserve">Each of the foregoing allegations </w:t>
      </w:r>
      <w:proofErr w:type="gramStart"/>
      <w:r w:rsidR="00DD2EEE">
        <w:rPr>
          <w:rFonts w:ascii="Arial" w:hAnsi="Arial" w:cs="Arial"/>
          <w:sz w:val="24"/>
          <w:szCs w:val="24"/>
        </w:rPr>
        <w:t>involve</w:t>
      </w:r>
      <w:proofErr w:type="gramEnd"/>
      <w:r w:rsidR="00DD2EEE">
        <w:rPr>
          <w:rFonts w:ascii="Arial" w:hAnsi="Arial" w:cs="Arial"/>
          <w:sz w:val="24"/>
          <w:szCs w:val="24"/>
        </w:rPr>
        <w:t xml:space="preserve"> disputed issues of material facts.</w:t>
      </w:r>
    </w:p>
    <w:p w:rsidR="00DD2EEE" w:rsidRDefault="00DD2EEE" w:rsidP="00F137B5">
      <w:pPr>
        <w:spacing w:line="360" w:lineRule="auto"/>
        <w:ind w:firstLine="90"/>
        <w:jc w:val="both"/>
        <w:rPr>
          <w:rFonts w:ascii="Arial" w:hAnsi="Arial" w:cs="Arial"/>
          <w:sz w:val="24"/>
          <w:szCs w:val="24"/>
        </w:rPr>
      </w:pPr>
      <w:r>
        <w:rPr>
          <w:rFonts w:ascii="Arial" w:hAnsi="Arial" w:cs="Arial"/>
          <w:sz w:val="24"/>
          <w:szCs w:val="24"/>
        </w:rPr>
        <w:tab/>
        <w:t>6.</w:t>
      </w:r>
      <w:r>
        <w:rPr>
          <w:rFonts w:ascii="Arial" w:hAnsi="Arial" w:cs="Arial"/>
          <w:sz w:val="24"/>
          <w:szCs w:val="24"/>
        </w:rPr>
        <w:tab/>
        <w:t xml:space="preserve">A statement of the specific rules or statutes the Petitioner contends </w:t>
      </w:r>
      <w:proofErr w:type="gramStart"/>
      <w:r>
        <w:rPr>
          <w:rFonts w:ascii="Arial" w:hAnsi="Arial" w:cs="Arial"/>
          <w:sz w:val="24"/>
          <w:szCs w:val="24"/>
        </w:rPr>
        <w:t>require</w:t>
      </w:r>
      <w:proofErr w:type="gramEnd"/>
      <w:r>
        <w:rPr>
          <w:rFonts w:ascii="Arial" w:hAnsi="Arial" w:cs="Arial"/>
          <w:sz w:val="24"/>
          <w:szCs w:val="24"/>
        </w:rPr>
        <w:t xml:space="preserve"> denial or modification of the application:</w:t>
      </w:r>
    </w:p>
    <w:p w:rsidR="00DD2EEE" w:rsidRDefault="00DD2EEE" w:rsidP="00F137B5">
      <w:pPr>
        <w:spacing w:line="360" w:lineRule="auto"/>
        <w:ind w:firstLine="90"/>
        <w:jc w:val="both"/>
        <w:rPr>
          <w:rFonts w:ascii="Arial" w:hAnsi="Arial" w:cs="Arial"/>
          <w:sz w:val="24"/>
          <w:szCs w:val="24"/>
        </w:rPr>
      </w:pPr>
      <w:r>
        <w:rPr>
          <w:rFonts w:ascii="Arial" w:hAnsi="Arial" w:cs="Arial"/>
          <w:sz w:val="24"/>
          <w:szCs w:val="24"/>
        </w:rPr>
        <w:tab/>
        <w:t>The application should be denied because of Commission Rule 25-30.037(2)</w:t>
      </w:r>
      <w:r w:rsidR="006B3E5A">
        <w:rPr>
          <w:rFonts w:ascii="Arial" w:hAnsi="Arial" w:cs="Arial"/>
          <w:sz w:val="24"/>
          <w:szCs w:val="24"/>
        </w:rPr>
        <w:t xml:space="preserve"> </w:t>
      </w:r>
      <w:r>
        <w:rPr>
          <w:rFonts w:ascii="Arial" w:hAnsi="Arial" w:cs="Arial"/>
          <w:sz w:val="24"/>
          <w:szCs w:val="24"/>
        </w:rPr>
        <w:t>(g), (h), (</w:t>
      </w:r>
      <w:proofErr w:type="spellStart"/>
      <w:r>
        <w:rPr>
          <w:rFonts w:ascii="Arial" w:hAnsi="Arial" w:cs="Arial"/>
          <w:sz w:val="24"/>
          <w:szCs w:val="24"/>
        </w:rPr>
        <w:t>i</w:t>
      </w:r>
      <w:proofErr w:type="spellEnd"/>
      <w:r>
        <w:rPr>
          <w:rFonts w:ascii="Arial" w:hAnsi="Arial" w:cs="Arial"/>
          <w:sz w:val="24"/>
          <w:szCs w:val="24"/>
        </w:rPr>
        <w:t>), (j), (k), (l), (m), (p), (q)</w:t>
      </w:r>
      <w:r w:rsidR="00271CC9">
        <w:rPr>
          <w:rFonts w:ascii="Arial" w:hAnsi="Arial" w:cs="Arial"/>
          <w:sz w:val="24"/>
          <w:szCs w:val="24"/>
        </w:rPr>
        <w:t xml:space="preserve"> and</w:t>
      </w:r>
      <w:r w:rsidR="00BB49E3">
        <w:rPr>
          <w:rFonts w:ascii="Arial" w:hAnsi="Arial" w:cs="Arial"/>
          <w:sz w:val="24"/>
          <w:szCs w:val="24"/>
        </w:rPr>
        <w:t xml:space="preserve"> (r)</w:t>
      </w:r>
      <w:r>
        <w:rPr>
          <w:rFonts w:ascii="Arial" w:hAnsi="Arial" w:cs="Arial"/>
          <w:sz w:val="24"/>
          <w:szCs w:val="24"/>
        </w:rPr>
        <w:t>, Florida Administrative Code; and Section 367.071, Florida Statutes.</w:t>
      </w:r>
    </w:p>
    <w:p w:rsidR="00DD2EEE" w:rsidRDefault="00DD2EEE" w:rsidP="00F137B5">
      <w:pPr>
        <w:spacing w:line="360" w:lineRule="auto"/>
        <w:ind w:firstLine="90"/>
        <w:jc w:val="both"/>
        <w:rPr>
          <w:rFonts w:ascii="Arial" w:hAnsi="Arial" w:cs="Arial"/>
          <w:sz w:val="24"/>
          <w:szCs w:val="24"/>
        </w:rPr>
      </w:pPr>
      <w:r>
        <w:rPr>
          <w:rFonts w:ascii="Arial" w:hAnsi="Arial" w:cs="Arial"/>
          <w:sz w:val="24"/>
          <w:szCs w:val="24"/>
        </w:rPr>
        <w:tab/>
        <w:t>WHEREFORE for the reasons stated above</w:t>
      </w:r>
      <w:r w:rsidR="00DF6DCF">
        <w:rPr>
          <w:rFonts w:ascii="Arial" w:hAnsi="Arial" w:cs="Arial"/>
          <w:sz w:val="24"/>
          <w:szCs w:val="24"/>
        </w:rPr>
        <w:t>,</w:t>
      </w:r>
      <w:r>
        <w:rPr>
          <w:rFonts w:ascii="Arial" w:hAnsi="Arial" w:cs="Arial"/>
          <w:sz w:val="24"/>
          <w:szCs w:val="24"/>
        </w:rPr>
        <w:t xml:space="preserve"> the Petitioner </w:t>
      </w:r>
      <w:r w:rsidR="001F43AC">
        <w:rPr>
          <w:rFonts w:ascii="Arial" w:hAnsi="Arial" w:cs="Arial"/>
          <w:sz w:val="24"/>
          <w:szCs w:val="24"/>
        </w:rPr>
        <w:t>o</w:t>
      </w:r>
      <w:r>
        <w:rPr>
          <w:rFonts w:ascii="Arial" w:hAnsi="Arial" w:cs="Arial"/>
          <w:sz w:val="24"/>
          <w:szCs w:val="24"/>
        </w:rPr>
        <w:t>bject</w:t>
      </w:r>
      <w:r w:rsidR="001F43AC">
        <w:rPr>
          <w:rFonts w:ascii="Arial" w:hAnsi="Arial" w:cs="Arial"/>
          <w:sz w:val="24"/>
          <w:szCs w:val="24"/>
        </w:rPr>
        <w:t>s</w:t>
      </w:r>
      <w:r>
        <w:rPr>
          <w:rFonts w:ascii="Arial" w:hAnsi="Arial" w:cs="Arial"/>
          <w:sz w:val="24"/>
          <w:szCs w:val="24"/>
        </w:rPr>
        <w:t xml:space="preserve"> to the proposed transfer and reserves the right to amend this objection after rece</w:t>
      </w:r>
      <w:r w:rsidR="00DF6DCF">
        <w:rPr>
          <w:rFonts w:ascii="Arial" w:hAnsi="Arial" w:cs="Arial"/>
          <w:sz w:val="24"/>
          <w:szCs w:val="24"/>
        </w:rPr>
        <w:t>iv</w:t>
      </w:r>
      <w:r>
        <w:rPr>
          <w:rFonts w:ascii="Arial" w:hAnsi="Arial" w:cs="Arial"/>
          <w:sz w:val="24"/>
          <w:szCs w:val="24"/>
        </w:rPr>
        <w:t xml:space="preserve">ing a copy of the Agreement, and requests the Commission to conduct a formal evidentiary hearing, pursuant to the provisions of Section 120.57(1), Florida Statutes, and further petitions that such hearing be scheduled at a convenient time in the Utility’s </w:t>
      </w:r>
      <w:r w:rsidR="001F43AC">
        <w:rPr>
          <w:rFonts w:ascii="Arial" w:hAnsi="Arial" w:cs="Arial"/>
          <w:sz w:val="24"/>
          <w:szCs w:val="24"/>
        </w:rPr>
        <w:t xml:space="preserve">certificated </w:t>
      </w:r>
      <w:r>
        <w:rPr>
          <w:rFonts w:ascii="Arial" w:hAnsi="Arial" w:cs="Arial"/>
          <w:sz w:val="24"/>
          <w:szCs w:val="24"/>
        </w:rPr>
        <w:t>service area.</w:t>
      </w:r>
    </w:p>
    <w:p w:rsidR="00DD2EEE" w:rsidRDefault="00DD2EEE" w:rsidP="00F137B5">
      <w:pPr>
        <w:spacing w:line="360" w:lineRule="auto"/>
        <w:ind w:left="720" w:hanging="720"/>
        <w:jc w:val="both"/>
        <w:rPr>
          <w:rFonts w:ascii="Arial" w:hAnsi="Arial" w:cs="Arial"/>
          <w:sz w:val="24"/>
          <w:szCs w:val="24"/>
        </w:rPr>
      </w:pPr>
    </w:p>
    <w:tbl>
      <w:tblPr>
        <w:tblW w:w="146" w:type="dxa"/>
        <w:shd w:val="clear" w:color="auto" w:fill="FFFFFF"/>
        <w:tblCellMar>
          <w:top w:w="60" w:type="dxa"/>
          <w:left w:w="60" w:type="dxa"/>
          <w:bottom w:w="60" w:type="dxa"/>
          <w:right w:w="60" w:type="dxa"/>
        </w:tblCellMar>
        <w:tblLook w:val="04A0"/>
      </w:tblPr>
      <w:tblGrid>
        <w:gridCol w:w="146"/>
      </w:tblGrid>
      <w:tr w:rsidR="00C37D8C" w:rsidRPr="00C37D8C" w:rsidTr="00CD0F80">
        <w:trPr>
          <w:trHeight w:val="138"/>
        </w:trPr>
        <w:tc>
          <w:tcPr>
            <w:tcW w:w="0" w:type="auto"/>
            <w:shd w:val="clear" w:color="auto" w:fill="F3ECD3"/>
            <w:vAlign w:val="center"/>
            <w:hideMark/>
          </w:tcPr>
          <w:p w:rsidR="00B50919" w:rsidRPr="00C37D8C" w:rsidRDefault="00B50919" w:rsidP="00F137B5">
            <w:pPr>
              <w:spacing w:after="0" w:line="240" w:lineRule="auto"/>
              <w:jc w:val="both"/>
              <w:rPr>
                <w:rFonts w:ascii="Arial" w:eastAsia="Times New Roman" w:hAnsi="Arial" w:cs="Arial"/>
                <w:sz w:val="24"/>
                <w:szCs w:val="24"/>
              </w:rPr>
            </w:pPr>
          </w:p>
        </w:tc>
      </w:tr>
    </w:tbl>
    <w:p w:rsidR="00E22C28" w:rsidRDefault="00E22C28" w:rsidP="00F137B5">
      <w:pPr>
        <w:spacing w:after="0" w:line="240" w:lineRule="auto"/>
        <w:jc w:val="both"/>
        <w:rPr>
          <w:rFonts w:ascii="Arial" w:hAnsi="Arial" w:cs="Arial"/>
          <w:b/>
          <w:sz w:val="24"/>
          <w:szCs w:val="24"/>
          <w:u w:val="single"/>
        </w:rPr>
      </w:pPr>
    </w:p>
    <w:p w:rsidR="00E22C28" w:rsidRDefault="00E22C28" w:rsidP="00F137B5">
      <w:pPr>
        <w:spacing w:after="0" w:line="240" w:lineRule="auto"/>
        <w:jc w:val="both"/>
        <w:rPr>
          <w:rFonts w:ascii="Arial" w:hAnsi="Arial" w:cs="Arial"/>
          <w:b/>
          <w:sz w:val="24"/>
          <w:szCs w:val="24"/>
          <w:u w:val="single"/>
        </w:rPr>
      </w:pPr>
    </w:p>
    <w:p w:rsidR="00E22C28" w:rsidRDefault="00E22C28" w:rsidP="00F137B5">
      <w:pPr>
        <w:spacing w:after="0" w:line="240" w:lineRule="auto"/>
        <w:jc w:val="both"/>
        <w:rPr>
          <w:rFonts w:ascii="Arial" w:hAnsi="Arial" w:cs="Arial"/>
          <w:b/>
          <w:sz w:val="24"/>
          <w:szCs w:val="24"/>
          <w:u w:val="single"/>
        </w:rPr>
      </w:pPr>
    </w:p>
    <w:p w:rsidR="00E22C28" w:rsidRDefault="00E22C28" w:rsidP="00F137B5">
      <w:pPr>
        <w:spacing w:after="0" w:line="240" w:lineRule="auto"/>
        <w:jc w:val="both"/>
        <w:rPr>
          <w:rFonts w:ascii="Arial" w:hAnsi="Arial" w:cs="Arial"/>
          <w:b/>
          <w:sz w:val="24"/>
          <w:szCs w:val="24"/>
          <w:u w:val="single"/>
        </w:rPr>
      </w:pPr>
    </w:p>
    <w:p w:rsidR="00E22C28" w:rsidRDefault="00E22C28" w:rsidP="00F137B5">
      <w:pPr>
        <w:spacing w:after="0" w:line="240" w:lineRule="auto"/>
        <w:jc w:val="both"/>
        <w:rPr>
          <w:rFonts w:ascii="Arial" w:hAnsi="Arial" w:cs="Arial"/>
          <w:b/>
          <w:sz w:val="24"/>
          <w:szCs w:val="24"/>
          <w:u w:val="single"/>
        </w:rPr>
      </w:pPr>
    </w:p>
    <w:p w:rsidR="00E22C28" w:rsidRDefault="00E22C28" w:rsidP="00F137B5">
      <w:pPr>
        <w:spacing w:after="0" w:line="240" w:lineRule="auto"/>
        <w:jc w:val="both"/>
        <w:rPr>
          <w:rFonts w:ascii="Arial" w:hAnsi="Arial" w:cs="Arial"/>
          <w:b/>
          <w:sz w:val="24"/>
          <w:szCs w:val="24"/>
          <w:u w:val="single"/>
        </w:rPr>
      </w:pPr>
    </w:p>
    <w:p w:rsidR="00E22C28" w:rsidRPr="00F137B5" w:rsidRDefault="00E22C28" w:rsidP="00F137B5">
      <w:pPr>
        <w:spacing w:after="0" w:line="240" w:lineRule="auto"/>
        <w:jc w:val="both"/>
        <w:rPr>
          <w:rFonts w:ascii="Arial" w:eastAsia="Calibri" w:hAnsi="Arial" w:cs="Arial"/>
          <w:sz w:val="24"/>
          <w:szCs w:val="24"/>
          <w:u w:val="single"/>
        </w:rPr>
      </w:pPr>
      <w:r>
        <w:rPr>
          <w:rFonts w:ascii="Arial" w:eastAsia="Calibri" w:hAnsi="Arial" w:cs="Arial"/>
          <w:sz w:val="24"/>
          <w:szCs w:val="24"/>
        </w:rPr>
        <w:t xml:space="preserve">                                                                            </w:t>
      </w:r>
      <w:proofErr w:type="gramStart"/>
      <w:r w:rsidR="00F137B5" w:rsidRPr="00F137B5">
        <w:rPr>
          <w:rFonts w:ascii="Arial" w:eastAsia="Calibri" w:hAnsi="Arial" w:cs="Arial"/>
          <w:sz w:val="24"/>
          <w:szCs w:val="24"/>
          <w:u w:val="single"/>
        </w:rPr>
        <w:t>s/</w:t>
      </w:r>
      <w:r w:rsidR="00F137B5" w:rsidRPr="00F137B5">
        <w:rPr>
          <w:rFonts w:ascii="Arial" w:hAnsi="Arial" w:cs="Arial"/>
          <w:sz w:val="24"/>
          <w:szCs w:val="24"/>
          <w:u w:val="single"/>
        </w:rPr>
        <w:t>Linda</w:t>
      </w:r>
      <w:proofErr w:type="gramEnd"/>
      <w:r w:rsidR="00F137B5" w:rsidRPr="00F137B5">
        <w:rPr>
          <w:rFonts w:ascii="Arial" w:hAnsi="Arial" w:cs="Arial"/>
          <w:sz w:val="24"/>
          <w:szCs w:val="24"/>
          <w:u w:val="single"/>
        </w:rPr>
        <w:t xml:space="preserve"> </w:t>
      </w:r>
      <w:proofErr w:type="spellStart"/>
      <w:r w:rsidR="00F137B5" w:rsidRPr="00F137B5">
        <w:rPr>
          <w:rFonts w:ascii="Arial" w:hAnsi="Arial" w:cs="Arial"/>
          <w:sz w:val="24"/>
          <w:szCs w:val="24"/>
          <w:u w:val="single"/>
        </w:rPr>
        <w:t>Doepker</w:t>
      </w:r>
      <w:proofErr w:type="spellEnd"/>
    </w:p>
    <w:p w:rsidR="00E22C28" w:rsidRPr="00767D8C" w:rsidRDefault="00E22C28" w:rsidP="00F137B5">
      <w:pPr>
        <w:spacing w:after="0" w:line="240" w:lineRule="auto"/>
        <w:jc w:val="both"/>
        <w:rPr>
          <w:rFonts w:ascii="Arial"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 xml:space="preserve">           </w:t>
      </w:r>
      <w:r w:rsidRPr="00767D8C">
        <w:rPr>
          <w:rFonts w:ascii="Arial" w:hAnsi="Arial" w:cs="Arial"/>
          <w:sz w:val="24"/>
          <w:szCs w:val="24"/>
        </w:rPr>
        <w:t xml:space="preserve">Linda </w:t>
      </w:r>
      <w:proofErr w:type="spellStart"/>
      <w:r w:rsidRPr="00767D8C">
        <w:rPr>
          <w:rFonts w:ascii="Arial" w:hAnsi="Arial" w:cs="Arial"/>
          <w:sz w:val="24"/>
          <w:szCs w:val="24"/>
        </w:rPr>
        <w:t>Doepker</w:t>
      </w:r>
      <w:proofErr w:type="spellEnd"/>
    </w:p>
    <w:p w:rsidR="00E22C28" w:rsidRDefault="00E22C28" w:rsidP="00F137B5">
      <w:pPr>
        <w:spacing w:after="0" w:line="240" w:lineRule="auto"/>
        <w:ind w:left="360" w:firstLine="360"/>
        <w:jc w:val="both"/>
      </w:pPr>
    </w:p>
    <w:p w:rsidR="00E22C28" w:rsidRDefault="00E22C28" w:rsidP="00F137B5">
      <w:pPr>
        <w:spacing w:after="0" w:line="240" w:lineRule="auto"/>
        <w:jc w:val="both"/>
        <w:rPr>
          <w:rFonts w:ascii="Arial" w:hAnsi="Arial" w:cs="Arial"/>
          <w:b/>
          <w:sz w:val="24"/>
          <w:szCs w:val="24"/>
          <w:u w:val="single"/>
        </w:rPr>
      </w:pPr>
    </w:p>
    <w:p w:rsidR="00E22C28" w:rsidRDefault="00E22C28" w:rsidP="00F137B5">
      <w:pPr>
        <w:spacing w:after="0" w:line="240" w:lineRule="auto"/>
        <w:jc w:val="both"/>
        <w:rPr>
          <w:rFonts w:ascii="Arial" w:hAnsi="Arial" w:cs="Arial"/>
          <w:b/>
          <w:sz w:val="24"/>
          <w:szCs w:val="24"/>
          <w:u w:val="single"/>
        </w:rPr>
      </w:pPr>
    </w:p>
    <w:p w:rsidR="00F137B5" w:rsidRDefault="00F137B5" w:rsidP="00F137B5">
      <w:pPr>
        <w:spacing w:after="0" w:line="240" w:lineRule="auto"/>
        <w:jc w:val="both"/>
        <w:rPr>
          <w:rFonts w:ascii="Arial" w:hAnsi="Arial" w:cs="Arial"/>
          <w:b/>
          <w:sz w:val="24"/>
          <w:szCs w:val="24"/>
          <w:u w:val="single"/>
        </w:rPr>
      </w:pPr>
    </w:p>
    <w:p w:rsidR="00F137B5" w:rsidRDefault="00F137B5" w:rsidP="00F137B5">
      <w:pPr>
        <w:spacing w:after="0" w:line="240" w:lineRule="auto"/>
        <w:jc w:val="both"/>
        <w:rPr>
          <w:rFonts w:ascii="Arial" w:hAnsi="Arial" w:cs="Arial"/>
          <w:b/>
          <w:sz w:val="24"/>
          <w:szCs w:val="24"/>
          <w:u w:val="single"/>
        </w:rPr>
      </w:pPr>
    </w:p>
    <w:p w:rsidR="00F137B5" w:rsidRDefault="00F137B5" w:rsidP="00F137B5">
      <w:pPr>
        <w:spacing w:after="0" w:line="240" w:lineRule="auto"/>
        <w:jc w:val="both"/>
        <w:rPr>
          <w:rFonts w:ascii="Arial" w:hAnsi="Arial" w:cs="Arial"/>
          <w:b/>
          <w:sz w:val="24"/>
          <w:szCs w:val="24"/>
          <w:u w:val="single"/>
        </w:rPr>
      </w:pPr>
    </w:p>
    <w:p w:rsidR="00F137B5" w:rsidRDefault="00F137B5" w:rsidP="00F137B5">
      <w:pPr>
        <w:spacing w:after="0" w:line="240" w:lineRule="auto"/>
        <w:jc w:val="both"/>
        <w:rPr>
          <w:rFonts w:ascii="Arial" w:hAnsi="Arial" w:cs="Arial"/>
          <w:b/>
          <w:sz w:val="24"/>
          <w:szCs w:val="24"/>
          <w:u w:val="single"/>
        </w:rPr>
      </w:pPr>
    </w:p>
    <w:p w:rsidR="002E3175" w:rsidRDefault="002E3175" w:rsidP="00F137B5">
      <w:pPr>
        <w:spacing w:after="0" w:line="240" w:lineRule="auto"/>
        <w:jc w:val="both"/>
        <w:rPr>
          <w:rFonts w:ascii="Arial" w:hAnsi="Arial" w:cs="Arial"/>
          <w:b/>
          <w:sz w:val="24"/>
          <w:szCs w:val="24"/>
          <w:u w:val="single"/>
        </w:rPr>
      </w:pPr>
    </w:p>
    <w:p w:rsidR="002E3175" w:rsidRDefault="002E3175" w:rsidP="00F137B5">
      <w:pPr>
        <w:spacing w:after="0" w:line="240" w:lineRule="auto"/>
        <w:jc w:val="both"/>
        <w:rPr>
          <w:rFonts w:ascii="Arial" w:hAnsi="Arial" w:cs="Arial"/>
          <w:b/>
          <w:sz w:val="24"/>
          <w:szCs w:val="24"/>
          <w:u w:val="single"/>
        </w:rPr>
      </w:pPr>
    </w:p>
    <w:p w:rsidR="002E3175" w:rsidRDefault="002E3175" w:rsidP="00F137B5">
      <w:pPr>
        <w:spacing w:after="0" w:line="240" w:lineRule="auto"/>
        <w:jc w:val="both"/>
        <w:rPr>
          <w:rFonts w:ascii="Arial" w:hAnsi="Arial" w:cs="Arial"/>
          <w:b/>
          <w:sz w:val="24"/>
          <w:szCs w:val="24"/>
          <w:u w:val="single"/>
        </w:rPr>
      </w:pPr>
    </w:p>
    <w:p w:rsidR="00F137B5" w:rsidRDefault="00F137B5" w:rsidP="00F137B5">
      <w:pPr>
        <w:spacing w:after="0" w:line="240" w:lineRule="auto"/>
        <w:jc w:val="both"/>
        <w:rPr>
          <w:rFonts w:ascii="Arial" w:hAnsi="Arial" w:cs="Arial"/>
          <w:b/>
          <w:sz w:val="24"/>
          <w:szCs w:val="24"/>
          <w:u w:val="single"/>
        </w:rPr>
      </w:pPr>
    </w:p>
    <w:p w:rsidR="00D719F3" w:rsidRPr="009E63DA" w:rsidRDefault="00D719F3" w:rsidP="00F137B5">
      <w:pPr>
        <w:spacing w:after="0" w:line="240" w:lineRule="auto"/>
        <w:jc w:val="center"/>
        <w:rPr>
          <w:rFonts w:ascii="Arial" w:hAnsi="Arial" w:cs="Arial"/>
          <w:b/>
          <w:sz w:val="24"/>
          <w:szCs w:val="24"/>
          <w:u w:val="single"/>
        </w:rPr>
      </w:pPr>
      <w:r w:rsidRPr="009E63DA">
        <w:rPr>
          <w:rFonts w:ascii="Arial" w:hAnsi="Arial" w:cs="Arial"/>
          <w:b/>
          <w:sz w:val="24"/>
          <w:szCs w:val="24"/>
          <w:u w:val="single"/>
        </w:rPr>
        <w:t>CERTIFICATE OF SERVICE</w:t>
      </w:r>
    </w:p>
    <w:p w:rsidR="00D719F3" w:rsidRPr="009E63DA" w:rsidRDefault="00D719F3" w:rsidP="00F137B5">
      <w:pPr>
        <w:spacing w:after="0" w:line="240" w:lineRule="auto"/>
        <w:jc w:val="center"/>
        <w:rPr>
          <w:rFonts w:ascii="Arial" w:hAnsi="Arial" w:cs="Arial"/>
          <w:b/>
          <w:sz w:val="24"/>
          <w:szCs w:val="24"/>
          <w:u w:val="single"/>
        </w:rPr>
      </w:pPr>
      <w:r w:rsidRPr="009E63DA">
        <w:rPr>
          <w:rFonts w:ascii="Arial" w:hAnsi="Arial" w:cs="Arial"/>
          <w:b/>
          <w:sz w:val="24"/>
          <w:szCs w:val="24"/>
          <w:u w:val="single"/>
        </w:rPr>
        <w:t xml:space="preserve">DOCKET NO. </w:t>
      </w:r>
      <w:r w:rsidRPr="00D719F3">
        <w:rPr>
          <w:rFonts w:ascii="Arial" w:hAnsi="Arial" w:cs="Arial"/>
          <w:b/>
          <w:sz w:val="24"/>
          <w:szCs w:val="24"/>
          <w:u w:val="single"/>
        </w:rPr>
        <w:t>090093</w:t>
      </w:r>
      <w:r w:rsidRPr="009E63DA">
        <w:rPr>
          <w:rFonts w:ascii="Arial" w:hAnsi="Arial" w:cs="Arial"/>
          <w:b/>
          <w:sz w:val="24"/>
          <w:szCs w:val="24"/>
          <w:u w:val="single"/>
        </w:rPr>
        <w:t>-WS</w:t>
      </w:r>
    </w:p>
    <w:p w:rsidR="00D719F3" w:rsidRPr="009E63DA" w:rsidRDefault="00D719F3" w:rsidP="00F137B5">
      <w:pPr>
        <w:spacing w:after="0"/>
        <w:jc w:val="both"/>
        <w:rPr>
          <w:rFonts w:ascii="Arial" w:hAnsi="Arial" w:cs="Arial"/>
          <w:sz w:val="24"/>
          <w:szCs w:val="24"/>
          <w:u w:val="single"/>
        </w:rPr>
      </w:pPr>
    </w:p>
    <w:p w:rsidR="00D719F3" w:rsidRPr="009E63DA" w:rsidRDefault="00D719F3" w:rsidP="00F137B5">
      <w:pPr>
        <w:jc w:val="both"/>
        <w:rPr>
          <w:rFonts w:ascii="Arial" w:hAnsi="Arial" w:cs="Arial"/>
          <w:sz w:val="24"/>
          <w:szCs w:val="24"/>
        </w:rPr>
      </w:pPr>
      <w:r w:rsidRPr="009E63DA">
        <w:rPr>
          <w:rFonts w:ascii="Arial" w:hAnsi="Arial" w:cs="Arial"/>
          <w:sz w:val="24"/>
          <w:szCs w:val="24"/>
        </w:rPr>
        <w:tab/>
      </w:r>
    </w:p>
    <w:p w:rsidR="00D719F3" w:rsidRDefault="00D719F3" w:rsidP="00F137B5">
      <w:pPr>
        <w:spacing w:line="360" w:lineRule="auto"/>
        <w:jc w:val="both"/>
        <w:rPr>
          <w:rFonts w:ascii="Arial" w:hAnsi="Arial" w:cs="Arial"/>
          <w:sz w:val="24"/>
          <w:szCs w:val="24"/>
        </w:rPr>
      </w:pPr>
      <w:proofErr w:type="gramStart"/>
      <w:r w:rsidRPr="009E63DA">
        <w:rPr>
          <w:rFonts w:ascii="Arial" w:hAnsi="Arial" w:cs="Arial"/>
          <w:sz w:val="24"/>
          <w:szCs w:val="24"/>
        </w:rPr>
        <w:lastRenderedPageBreak/>
        <w:t>I HEREBY CERTIFY that a true and correct copy of the foregoing Petition has been furnished by U.S. Mail and electronic mail to</w:t>
      </w:r>
      <w:r>
        <w:rPr>
          <w:rFonts w:ascii="Arial" w:hAnsi="Arial" w:cs="Arial"/>
          <w:sz w:val="24"/>
          <w:szCs w:val="24"/>
        </w:rPr>
        <w:t xml:space="preserve"> the following parties on this </w:t>
      </w:r>
      <w:r w:rsidR="00E22C28">
        <w:rPr>
          <w:rFonts w:ascii="Arial" w:hAnsi="Arial" w:cs="Arial"/>
          <w:sz w:val="24"/>
          <w:szCs w:val="24"/>
        </w:rPr>
        <w:t>7</w:t>
      </w:r>
      <w:r w:rsidRPr="009E63DA">
        <w:rPr>
          <w:rFonts w:ascii="Arial" w:hAnsi="Arial" w:cs="Arial"/>
          <w:sz w:val="24"/>
          <w:szCs w:val="24"/>
          <w:vertAlign w:val="superscript"/>
        </w:rPr>
        <w:t>th</w:t>
      </w:r>
      <w:r w:rsidRPr="009E63DA">
        <w:rPr>
          <w:rFonts w:ascii="Arial" w:hAnsi="Arial" w:cs="Arial"/>
          <w:sz w:val="24"/>
          <w:szCs w:val="24"/>
        </w:rPr>
        <w:t xml:space="preserve"> day of </w:t>
      </w:r>
      <w:r>
        <w:rPr>
          <w:rFonts w:ascii="Arial" w:hAnsi="Arial" w:cs="Arial"/>
          <w:sz w:val="24"/>
          <w:szCs w:val="24"/>
        </w:rPr>
        <w:t>August</w:t>
      </w:r>
      <w:r w:rsidRPr="009E63DA">
        <w:rPr>
          <w:rFonts w:ascii="Arial" w:hAnsi="Arial" w:cs="Arial"/>
          <w:sz w:val="24"/>
          <w:szCs w:val="24"/>
        </w:rPr>
        <w:t>, 2009.</w:t>
      </w:r>
      <w:proofErr w:type="gramEnd"/>
    </w:p>
    <w:p w:rsidR="00E22C28" w:rsidRDefault="00E22C28" w:rsidP="00F137B5">
      <w:pPr>
        <w:spacing w:after="0" w:line="240" w:lineRule="auto"/>
        <w:jc w:val="both"/>
        <w:rPr>
          <w:rFonts w:ascii="Arial" w:hAnsi="Arial" w:cs="Arial"/>
          <w:sz w:val="24"/>
          <w:szCs w:val="24"/>
        </w:rPr>
      </w:pPr>
      <w:r>
        <w:rPr>
          <w:rFonts w:ascii="Arial" w:hAnsi="Arial" w:cs="Arial"/>
          <w:sz w:val="24"/>
          <w:szCs w:val="24"/>
        </w:rPr>
        <w:t xml:space="preserve">Eric </w:t>
      </w:r>
      <w:proofErr w:type="spellStart"/>
      <w:r>
        <w:rPr>
          <w:rFonts w:ascii="Arial" w:hAnsi="Arial" w:cs="Arial"/>
          <w:sz w:val="24"/>
          <w:szCs w:val="24"/>
        </w:rPr>
        <w:t>Sayler</w:t>
      </w:r>
      <w:proofErr w:type="spellEnd"/>
      <w:r>
        <w:rPr>
          <w:rFonts w:ascii="Arial" w:hAnsi="Arial" w:cs="Arial"/>
          <w:sz w:val="24"/>
          <w:szCs w:val="24"/>
        </w:rPr>
        <w:t>, Esq.</w:t>
      </w:r>
    </w:p>
    <w:p w:rsidR="00DD2EEE" w:rsidRDefault="00DD2EEE" w:rsidP="00F137B5">
      <w:pPr>
        <w:spacing w:after="0" w:line="240" w:lineRule="auto"/>
        <w:jc w:val="both"/>
        <w:rPr>
          <w:rFonts w:ascii="Arial" w:hAnsi="Arial" w:cs="Arial"/>
          <w:sz w:val="24"/>
          <w:szCs w:val="24"/>
        </w:rPr>
      </w:pPr>
      <w:r>
        <w:rPr>
          <w:rFonts w:ascii="Arial" w:hAnsi="Arial" w:cs="Arial"/>
          <w:sz w:val="24"/>
          <w:szCs w:val="24"/>
        </w:rPr>
        <w:t>Office of the General Counsel</w:t>
      </w:r>
    </w:p>
    <w:p w:rsidR="00DD2EEE" w:rsidRDefault="00DD2EEE" w:rsidP="00F137B5">
      <w:pPr>
        <w:spacing w:after="0" w:line="240" w:lineRule="auto"/>
        <w:jc w:val="both"/>
        <w:rPr>
          <w:rFonts w:ascii="Arial" w:hAnsi="Arial" w:cs="Arial"/>
          <w:sz w:val="24"/>
          <w:szCs w:val="24"/>
        </w:rPr>
      </w:pPr>
      <w:r>
        <w:rPr>
          <w:rFonts w:ascii="Arial" w:hAnsi="Arial" w:cs="Arial"/>
          <w:sz w:val="24"/>
          <w:szCs w:val="24"/>
        </w:rPr>
        <w:t>Florida Public Service Commission</w:t>
      </w:r>
    </w:p>
    <w:p w:rsidR="00DD2EEE" w:rsidRDefault="00DD2EEE" w:rsidP="00F137B5">
      <w:pPr>
        <w:spacing w:after="0" w:line="240" w:lineRule="auto"/>
        <w:jc w:val="both"/>
        <w:rPr>
          <w:rFonts w:ascii="Arial" w:hAnsi="Arial" w:cs="Arial"/>
          <w:sz w:val="24"/>
          <w:szCs w:val="24"/>
        </w:rPr>
      </w:pPr>
      <w:r>
        <w:rPr>
          <w:rFonts w:ascii="Arial" w:hAnsi="Arial" w:cs="Arial"/>
          <w:sz w:val="24"/>
          <w:szCs w:val="24"/>
        </w:rPr>
        <w:t>2540 Shumard Oak Boulevard</w:t>
      </w:r>
    </w:p>
    <w:p w:rsidR="00DD2EEE" w:rsidRDefault="00DD2EEE" w:rsidP="00F137B5">
      <w:pPr>
        <w:spacing w:after="0" w:line="240" w:lineRule="auto"/>
        <w:jc w:val="both"/>
        <w:rPr>
          <w:rFonts w:ascii="Arial" w:hAnsi="Arial" w:cs="Arial"/>
          <w:sz w:val="24"/>
          <w:szCs w:val="24"/>
        </w:rPr>
      </w:pPr>
      <w:r>
        <w:rPr>
          <w:rFonts w:ascii="Arial" w:hAnsi="Arial" w:cs="Arial"/>
          <w:sz w:val="24"/>
          <w:szCs w:val="24"/>
        </w:rPr>
        <w:t>Tallahassee, FL  32399-0850</w:t>
      </w:r>
    </w:p>
    <w:p w:rsidR="00DD2EEE" w:rsidRDefault="00DD2EEE" w:rsidP="00F137B5">
      <w:pPr>
        <w:spacing w:after="0" w:line="240" w:lineRule="auto"/>
        <w:jc w:val="both"/>
        <w:rPr>
          <w:rFonts w:ascii="Arial" w:hAnsi="Arial" w:cs="Arial"/>
          <w:sz w:val="24"/>
          <w:szCs w:val="24"/>
        </w:rPr>
      </w:pPr>
    </w:p>
    <w:p w:rsidR="00D719F3" w:rsidRDefault="00D719F3" w:rsidP="00F137B5">
      <w:pPr>
        <w:spacing w:after="0" w:line="240" w:lineRule="auto"/>
        <w:jc w:val="both"/>
        <w:rPr>
          <w:rFonts w:ascii="Arial" w:hAnsi="Arial" w:cs="Arial"/>
          <w:sz w:val="24"/>
          <w:szCs w:val="24"/>
        </w:rPr>
      </w:pPr>
      <w:r>
        <w:rPr>
          <w:rFonts w:ascii="Arial" w:hAnsi="Arial" w:cs="Arial"/>
          <w:sz w:val="24"/>
          <w:szCs w:val="24"/>
        </w:rPr>
        <w:t>Heather Hills Estates Utilities, LLC</w:t>
      </w:r>
    </w:p>
    <w:p w:rsidR="00D719F3" w:rsidRDefault="00D719F3" w:rsidP="00F137B5">
      <w:pPr>
        <w:spacing w:after="0" w:line="240" w:lineRule="auto"/>
        <w:jc w:val="both"/>
        <w:rPr>
          <w:rFonts w:ascii="Arial" w:hAnsi="Arial" w:cs="Arial"/>
          <w:sz w:val="24"/>
          <w:szCs w:val="24"/>
        </w:rPr>
      </w:pPr>
      <w:r>
        <w:rPr>
          <w:rFonts w:ascii="Arial" w:hAnsi="Arial" w:cs="Arial"/>
          <w:sz w:val="24"/>
          <w:szCs w:val="24"/>
        </w:rPr>
        <w:t>4925 3</w:t>
      </w:r>
      <w:r w:rsidRPr="00D719F3">
        <w:rPr>
          <w:rFonts w:ascii="Arial" w:hAnsi="Arial" w:cs="Arial"/>
          <w:sz w:val="24"/>
          <w:szCs w:val="24"/>
          <w:vertAlign w:val="superscript"/>
        </w:rPr>
        <w:t>rd</w:t>
      </w:r>
      <w:r>
        <w:rPr>
          <w:rFonts w:ascii="Arial" w:hAnsi="Arial" w:cs="Arial"/>
          <w:sz w:val="24"/>
          <w:szCs w:val="24"/>
        </w:rPr>
        <w:t xml:space="preserve"> Street, West</w:t>
      </w:r>
    </w:p>
    <w:p w:rsidR="00D719F3" w:rsidRDefault="00D719F3" w:rsidP="00F137B5">
      <w:pPr>
        <w:spacing w:after="0" w:line="240" w:lineRule="auto"/>
        <w:jc w:val="both"/>
        <w:rPr>
          <w:rFonts w:ascii="Arial" w:hAnsi="Arial" w:cs="Arial"/>
          <w:sz w:val="24"/>
          <w:szCs w:val="24"/>
        </w:rPr>
      </w:pPr>
      <w:r>
        <w:rPr>
          <w:rFonts w:ascii="Arial" w:hAnsi="Arial" w:cs="Arial"/>
          <w:sz w:val="24"/>
          <w:szCs w:val="24"/>
        </w:rPr>
        <w:t>Bradenton, FL  34207-2608</w:t>
      </w:r>
    </w:p>
    <w:p w:rsidR="00D719F3" w:rsidRDefault="00D719F3" w:rsidP="00F137B5">
      <w:pPr>
        <w:spacing w:after="0" w:line="240" w:lineRule="auto"/>
        <w:jc w:val="both"/>
        <w:rPr>
          <w:rFonts w:ascii="Arial" w:hAnsi="Arial" w:cs="Arial"/>
          <w:sz w:val="24"/>
          <w:szCs w:val="24"/>
        </w:rPr>
      </w:pPr>
    </w:p>
    <w:p w:rsidR="00D719F3" w:rsidRDefault="00D719F3" w:rsidP="00F137B5">
      <w:pPr>
        <w:spacing w:after="0" w:line="240" w:lineRule="auto"/>
        <w:jc w:val="both"/>
        <w:rPr>
          <w:rFonts w:ascii="Arial" w:hAnsi="Arial" w:cs="Arial"/>
          <w:sz w:val="24"/>
          <w:szCs w:val="24"/>
        </w:rPr>
      </w:pPr>
      <w:r>
        <w:rPr>
          <w:rFonts w:ascii="Arial" w:hAnsi="Arial" w:cs="Arial"/>
          <w:sz w:val="24"/>
          <w:szCs w:val="24"/>
        </w:rPr>
        <w:t xml:space="preserve">Mike </w:t>
      </w:r>
      <w:proofErr w:type="spellStart"/>
      <w:r>
        <w:rPr>
          <w:rFonts w:ascii="Arial" w:hAnsi="Arial" w:cs="Arial"/>
          <w:sz w:val="24"/>
          <w:szCs w:val="24"/>
        </w:rPr>
        <w:t>Smallridge</w:t>
      </w:r>
      <w:proofErr w:type="spellEnd"/>
      <w:r>
        <w:rPr>
          <w:rFonts w:ascii="Arial" w:hAnsi="Arial" w:cs="Arial"/>
          <w:sz w:val="24"/>
          <w:szCs w:val="24"/>
        </w:rPr>
        <w:t xml:space="preserve"> Utility Consultant</w:t>
      </w:r>
    </w:p>
    <w:p w:rsidR="00D719F3" w:rsidRDefault="00D719F3" w:rsidP="00F137B5">
      <w:pPr>
        <w:spacing w:after="0" w:line="240" w:lineRule="auto"/>
        <w:jc w:val="both"/>
        <w:rPr>
          <w:rFonts w:ascii="Arial" w:hAnsi="Arial" w:cs="Arial"/>
          <w:sz w:val="24"/>
          <w:szCs w:val="24"/>
        </w:rPr>
      </w:pPr>
      <w:r>
        <w:rPr>
          <w:rFonts w:ascii="Arial" w:hAnsi="Arial" w:cs="Arial"/>
          <w:sz w:val="24"/>
          <w:szCs w:val="24"/>
        </w:rPr>
        <w:t xml:space="preserve">Mike </w:t>
      </w:r>
      <w:proofErr w:type="spellStart"/>
      <w:r>
        <w:rPr>
          <w:rFonts w:ascii="Arial" w:hAnsi="Arial" w:cs="Arial"/>
          <w:sz w:val="24"/>
          <w:szCs w:val="24"/>
        </w:rPr>
        <w:t>Smallridge</w:t>
      </w:r>
      <w:proofErr w:type="spellEnd"/>
    </w:p>
    <w:p w:rsidR="00D719F3" w:rsidRDefault="00D719F3" w:rsidP="00F137B5">
      <w:pPr>
        <w:spacing w:after="0" w:line="240" w:lineRule="auto"/>
        <w:jc w:val="both"/>
        <w:rPr>
          <w:rFonts w:ascii="Arial" w:hAnsi="Arial" w:cs="Arial"/>
          <w:sz w:val="24"/>
          <w:szCs w:val="24"/>
        </w:rPr>
      </w:pPr>
      <w:r>
        <w:rPr>
          <w:rFonts w:ascii="Arial" w:hAnsi="Arial" w:cs="Arial"/>
          <w:sz w:val="24"/>
          <w:szCs w:val="24"/>
        </w:rPr>
        <w:t>1645 W. Main Street</w:t>
      </w:r>
    </w:p>
    <w:p w:rsidR="00D719F3" w:rsidRDefault="00D719F3" w:rsidP="00F137B5">
      <w:pPr>
        <w:spacing w:after="0" w:line="240" w:lineRule="auto"/>
        <w:jc w:val="both"/>
        <w:rPr>
          <w:rFonts w:ascii="Arial" w:hAnsi="Arial" w:cs="Arial"/>
          <w:sz w:val="24"/>
          <w:szCs w:val="24"/>
        </w:rPr>
      </w:pPr>
      <w:r>
        <w:rPr>
          <w:rFonts w:ascii="Arial" w:hAnsi="Arial" w:cs="Arial"/>
          <w:sz w:val="24"/>
          <w:szCs w:val="24"/>
        </w:rPr>
        <w:t>Inverness, Fl  34450</w:t>
      </w:r>
    </w:p>
    <w:p w:rsidR="00D719F3" w:rsidRDefault="00D719F3" w:rsidP="00F137B5">
      <w:pPr>
        <w:spacing w:after="0" w:line="240" w:lineRule="auto"/>
        <w:jc w:val="both"/>
        <w:rPr>
          <w:rFonts w:ascii="Arial" w:hAnsi="Arial" w:cs="Arial"/>
          <w:sz w:val="24"/>
          <w:szCs w:val="24"/>
        </w:rPr>
      </w:pPr>
    </w:p>
    <w:p w:rsidR="00D719F3" w:rsidRPr="00921676" w:rsidRDefault="00D719F3" w:rsidP="00F137B5">
      <w:pPr>
        <w:spacing w:line="480" w:lineRule="auto"/>
        <w:jc w:val="both"/>
        <w:rPr>
          <w:rFonts w:ascii="Arial" w:hAnsi="Arial" w:cs="Arial"/>
          <w:sz w:val="24"/>
          <w:szCs w:val="24"/>
        </w:rPr>
      </w:pPr>
    </w:p>
    <w:p w:rsidR="004A3109" w:rsidRPr="00E55881" w:rsidRDefault="004A3109" w:rsidP="00F137B5">
      <w:pPr>
        <w:jc w:val="both"/>
        <w:rPr>
          <w:rFonts w:ascii="Arial" w:eastAsia="Calibri" w:hAnsi="Arial" w:cs="Arial"/>
          <w:sz w:val="24"/>
          <w:szCs w:val="24"/>
        </w:rPr>
      </w:pPr>
    </w:p>
    <w:p w:rsidR="004A3109" w:rsidRPr="00090A07" w:rsidRDefault="00D719F3" w:rsidP="00F137B5">
      <w:pPr>
        <w:spacing w:after="0" w:line="240" w:lineRule="auto"/>
        <w:jc w:val="both"/>
        <w:rPr>
          <w:rFonts w:ascii="Arial" w:eastAsia="Calibri" w:hAnsi="Arial" w:cs="Arial"/>
          <w:sz w:val="24"/>
          <w:szCs w:val="24"/>
        </w:rPr>
      </w:pPr>
      <w:r>
        <w:rPr>
          <w:rFonts w:ascii="Arial" w:eastAsia="Calibri" w:hAnsi="Arial" w:cs="Arial"/>
          <w:sz w:val="24"/>
          <w:szCs w:val="24"/>
        </w:rPr>
        <w:t xml:space="preserve">                                                                            </w:t>
      </w:r>
      <w:proofErr w:type="gramStart"/>
      <w:r w:rsidR="00F137B5" w:rsidRPr="00F137B5">
        <w:rPr>
          <w:rFonts w:ascii="Arial" w:eastAsia="Calibri" w:hAnsi="Arial" w:cs="Arial"/>
          <w:sz w:val="24"/>
          <w:szCs w:val="24"/>
          <w:u w:val="single"/>
        </w:rPr>
        <w:t>s/</w:t>
      </w:r>
      <w:r w:rsidR="00F137B5" w:rsidRPr="00F137B5">
        <w:rPr>
          <w:rFonts w:ascii="Arial" w:hAnsi="Arial" w:cs="Arial"/>
          <w:sz w:val="24"/>
          <w:szCs w:val="24"/>
          <w:u w:val="single"/>
        </w:rPr>
        <w:t>Linda</w:t>
      </w:r>
      <w:proofErr w:type="gramEnd"/>
      <w:r w:rsidR="00F137B5" w:rsidRPr="00F137B5">
        <w:rPr>
          <w:rFonts w:ascii="Arial" w:hAnsi="Arial" w:cs="Arial"/>
          <w:sz w:val="24"/>
          <w:szCs w:val="24"/>
          <w:u w:val="single"/>
        </w:rPr>
        <w:t xml:space="preserve"> </w:t>
      </w:r>
      <w:proofErr w:type="spellStart"/>
      <w:r w:rsidR="00F137B5" w:rsidRPr="00F137B5">
        <w:rPr>
          <w:rFonts w:ascii="Arial" w:hAnsi="Arial" w:cs="Arial"/>
          <w:sz w:val="24"/>
          <w:szCs w:val="24"/>
          <w:u w:val="single"/>
        </w:rPr>
        <w:t>Doepker</w:t>
      </w:r>
      <w:proofErr w:type="spellEnd"/>
    </w:p>
    <w:p w:rsidR="00E22C28" w:rsidRPr="00767D8C" w:rsidRDefault="00D719F3" w:rsidP="00F137B5">
      <w:pPr>
        <w:spacing w:after="0" w:line="240" w:lineRule="auto"/>
        <w:jc w:val="both"/>
        <w:rPr>
          <w:rFonts w:ascii="Arial"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E22C28">
        <w:rPr>
          <w:rFonts w:ascii="Arial" w:eastAsia="Calibri" w:hAnsi="Arial" w:cs="Arial"/>
          <w:sz w:val="24"/>
          <w:szCs w:val="24"/>
        </w:rPr>
        <w:t xml:space="preserve">           </w:t>
      </w:r>
      <w:r w:rsidR="00E22C28" w:rsidRPr="00767D8C">
        <w:rPr>
          <w:rFonts w:ascii="Arial" w:hAnsi="Arial" w:cs="Arial"/>
          <w:sz w:val="24"/>
          <w:szCs w:val="24"/>
        </w:rPr>
        <w:t xml:space="preserve">Linda </w:t>
      </w:r>
      <w:proofErr w:type="spellStart"/>
      <w:r w:rsidR="00E22C28" w:rsidRPr="00767D8C">
        <w:rPr>
          <w:rFonts w:ascii="Arial" w:hAnsi="Arial" w:cs="Arial"/>
          <w:sz w:val="24"/>
          <w:szCs w:val="24"/>
        </w:rPr>
        <w:t>Doepker</w:t>
      </w:r>
      <w:proofErr w:type="spellEnd"/>
    </w:p>
    <w:p w:rsidR="001416FC" w:rsidRDefault="001416FC" w:rsidP="00F137B5">
      <w:pPr>
        <w:spacing w:after="0" w:line="240" w:lineRule="auto"/>
        <w:ind w:left="360" w:firstLine="360"/>
        <w:jc w:val="both"/>
      </w:pPr>
    </w:p>
    <w:sectPr w:rsidR="001416FC" w:rsidSect="00F137B5">
      <w:footerReference w:type="default" r:id="rId7"/>
      <w:pgSz w:w="12240" w:h="15840"/>
      <w:pgMar w:top="144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E5A" w:rsidRDefault="006B3E5A" w:rsidP="00DB7D8F">
      <w:pPr>
        <w:spacing w:after="0" w:line="240" w:lineRule="auto"/>
      </w:pPr>
      <w:r>
        <w:separator/>
      </w:r>
    </w:p>
  </w:endnote>
  <w:endnote w:type="continuationSeparator" w:id="0">
    <w:p w:rsidR="006B3E5A" w:rsidRDefault="006B3E5A" w:rsidP="00DB7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45928"/>
      <w:docPartObj>
        <w:docPartGallery w:val="Page Numbers (Bottom of Page)"/>
        <w:docPartUnique/>
      </w:docPartObj>
    </w:sdtPr>
    <w:sdtContent>
      <w:p w:rsidR="006B3E5A" w:rsidRDefault="006B3E5A">
        <w:pPr>
          <w:pStyle w:val="Footer"/>
          <w:jc w:val="center"/>
        </w:pPr>
        <w:fldSimple w:instr=" PAGE   \* MERGEFORMAT ">
          <w:r w:rsidR="00271CC9">
            <w:rPr>
              <w:noProof/>
            </w:rPr>
            <w:t>6</w:t>
          </w:r>
        </w:fldSimple>
      </w:p>
    </w:sdtContent>
  </w:sdt>
  <w:p w:rsidR="006B3E5A" w:rsidRDefault="006B3E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E5A" w:rsidRDefault="006B3E5A" w:rsidP="00DB7D8F">
      <w:pPr>
        <w:spacing w:after="0" w:line="240" w:lineRule="auto"/>
      </w:pPr>
      <w:r>
        <w:separator/>
      </w:r>
    </w:p>
  </w:footnote>
  <w:footnote w:type="continuationSeparator" w:id="0">
    <w:p w:rsidR="006B3E5A" w:rsidRDefault="006B3E5A" w:rsidP="00DB7D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82310"/>
    <w:multiLevelType w:val="hybridMultilevel"/>
    <w:tmpl w:val="E97AA37E"/>
    <w:lvl w:ilvl="0" w:tplc="D51AF486">
      <w:start w:val="1"/>
      <w:numFmt w:val="decimal"/>
      <w:lvlText w:val="%1."/>
      <w:lvlJc w:val="left"/>
      <w:pPr>
        <w:tabs>
          <w:tab w:val="num" w:pos="1440"/>
        </w:tabs>
        <w:ind w:left="1440" w:hanging="720"/>
      </w:pPr>
      <w:rPr>
        <w:rFonts w:hint="default"/>
      </w:rPr>
    </w:lvl>
    <w:lvl w:ilvl="1" w:tplc="AF98D8E6">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90A07"/>
    <w:rsid w:val="000259C9"/>
    <w:rsid w:val="00090A07"/>
    <w:rsid w:val="000C1653"/>
    <w:rsid w:val="00102099"/>
    <w:rsid w:val="00137989"/>
    <w:rsid w:val="001416FC"/>
    <w:rsid w:val="001D3AE6"/>
    <w:rsid w:val="001F43AC"/>
    <w:rsid w:val="00254648"/>
    <w:rsid w:val="00271CC9"/>
    <w:rsid w:val="002E3175"/>
    <w:rsid w:val="00343A64"/>
    <w:rsid w:val="00356CFD"/>
    <w:rsid w:val="00394880"/>
    <w:rsid w:val="0049494B"/>
    <w:rsid w:val="004A3109"/>
    <w:rsid w:val="004B5EC9"/>
    <w:rsid w:val="004C6EC5"/>
    <w:rsid w:val="00502099"/>
    <w:rsid w:val="00507FE6"/>
    <w:rsid w:val="006142B6"/>
    <w:rsid w:val="006B3E5A"/>
    <w:rsid w:val="006E1042"/>
    <w:rsid w:val="00707A8B"/>
    <w:rsid w:val="00730BFB"/>
    <w:rsid w:val="00767D8C"/>
    <w:rsid w:val="00782500"/>
    <w:rsid w:val="0078299C"/>
    <w:rsid w:val="00790DA5"/>
    <w:rsid w:val="007E110C"/>
    <w:rsid w:val="00865E6E"/>
    <w:rsid w:val="00A06D35"/>
    <w:rsid w:val="00A1044A"/>
    <w:rsid w:val="00A11038"/>
    <w:rsid w:val="00AE50CE"/>
    <w:rsid w:val="00B50919"/>
    <w:rsid w:val="00B70760"/>
    <w:rsid w:val="00BB49E3"/>
    <w:rsid w:val="00C11F8F"/>
    <w:rsid w:val="00C37D8C"/>
    <w:rsid w:val="00C76985"/>
    <w:rsid w:val="00CD0F80"/>
    <w:rsid w:val="00D57CDE"/>
    <w:rsid w:val="00D719F3"/>
    <w:rsid w:val="00DB173E"/>
    <w:rsid w:val="00DB7D8F"/>
    <w:rsid w:val="00DD2EEE"/>
    <w:rsid w:val="00DF1238"/>
    <w:rsid w:val="00DF6DCF"/>
    <w:rsid w:val="00E22C28"/>
    <w:rsid w:val="00E32D01"/>
    <w:rsid w:val="00E606D6"/>
    <w:rsid w:val="00F137B5"/>
    <w:rsid w:val="00F75BCA"/>
    <w:rsid w:val="00FA6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07"/>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D8C"/>
    <w:pPr>
      <w:ind w:left="720"/>
      <w:contextualSpacing/>
    </w:pPr>
  </w:style>
  <w:style w:type="paragraph" w:styleId="BalloonText">
    <w:name w:val="Balloon Text"/>
    <w:basedOn w:val="Normal"/>
    <w:link w:val="BalloonTextChar"/>
    <w:uiPriority w:val="99"/>
    <w:semiHidden/>
    <w:unhideWhenUsed/>
    <w:rsid w:val="000C1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653"/>
    <w:rPr>
      <w:rFonts w:ascii="Tahoma" w:hAnsi="Tahoma" w:cs="Tahoma"/>
      <w:sz w:val="16"/>
      <w:szCs w:val="16"/>
    </w:rPr>
  </w:style>
  <w:style w:type="paragraph" w:styleId="Header">
    <w:name w:val="header"/>
    <w:basedOn w:val="Normal"/>
    <w:link w:val="HeaderChar"/>
    <w:uiPriority w:val="99"/>
    <w:semiHidden/>
    <w:unhideWhenUsed/>
    <w:rsid w:val="00DB7D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7D8F"/>
    <w:rPr>
      <w:rFonts w:asciiTheme="minorHAnsi" w:hAnsiTheme="minorHAnsi"/>
      <w:sz w:val="22"/>
      <w:szCs w:val="22"/>
    </w:rPr>
  </w:style>
  <w:style w:type="paragraph" w:styleId="Footer">
    <w:name w:val="footer"/>
    <w:basedOn w:val="Normal"/>
    <w:link w:val="FooterChar"/>
    <w:uiPriority w:val="99"/>
    <w:unhideWhenUsed/>
    <w:rsid w:val="00DB7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D8F"/>
    <w:rPr>
      <w:rFonts w:asciiTheme="minorHAnsi" w:hAnsiTheme="minorHAns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7</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Florida Legislature</Company>
  <LinksUpToDate>false</LinksUpToDate>
  <CharactersWithSpaces>12574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davis.phyllis</dc:creator>
  <cp:keywords/>
  <dc:description/>
  <cp:lastModifiedBy>davis.phyllis</cp:lastModifiedBy>
  <cp:revision>5</cp:revision>
  <cp:lastPrinted>2009-08-07T19:34:00Z</cp:lastPrinted>
  <dcterms:created xsi:type="dcterms:W3CDTF">2009-08-07T15:29:00Z</dcterms:created>
  <dcterms:modified xsi:type="dcterms:W3CDTF">2009-08-07T19:40:00Z</dcterms:modified>
</cp:coreProperties>
</file>