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26" w:rsidRPr="008020F9" w:rsidRDefault="00276326" w:rsidP="00276326">
      <w:pPr>
        <w:tabs>
          <w:tab w:val="center" w:pos="4680"/>
        </w:tabs>
        <w:spacing w:after="120" w:line="240" w:lineRule="auto"/>
        <w:ind w:left="18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BEFORE THE FLORIDA PUBLIC SERVICE COMMISSION</w:t>
      </w:r>
    </w:p>
    <w:p w:rsidR="00276326" w:rsidRDefault="00276326" w:rsidP="00276326">
      <w:pPr>
        <w:spacing w:after="0" w:line="20" w:lineRule="atLeast"/>
        <w:rPr>
          <w:sz w:val="24"/>
          <w:szCs w:val="24"/>
        </w:rPr>
      </w:pPr>
    </w:p>
    <w:p w:rsidR="00276326" w:rsidRPr="008020F9" w:rsidRDefault="00276326" w:rsidP="00276326">
      <w:pPr>
        <w:spacing w:after="0" w:line="20" w:lineRule="atLeast"/>
        <w:rPr>
          <w:sz w:val="24"/>
          <w:szCs w:val="24"/>
        </w:rPr>
      </w:pPr>
    </w:p>
    <w:p w:rsidR="00276326" w:rsidRDefault="00276326" w:rsidP="00276326">
      <w:pPr>
        <w:tabs>
          <w:tab w:val="left" w:pos="540"/>
        </w:tabs>
        <w:spacing w:after="0" w:line="240" w:lineRule="auto"/>
        <w:rPr>
          <w:sz w:val="24"/>
          <w:szCs w:val="24"/>
        </w:rPr>
      </w:pPr>
    </w:p>
    <w:p w:rsidR="00276326" w:rsidRPr="008020F9" w:rsidRDefault="00276326" w:rsidP="00276326">
      <w:pPr>
        <w:tabs>
          <w:tab w:val="left" w:pos="5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COVER SHEET</w:t>
      </w:r>
    </w:p>
    <w:p w:rsidR="00276326" w:rsidRDefault="00276326" w:rsidP="00276326">
      <w:pPr>
        <w:tabs>
          <w:tab w:val="left" w:pos="1710"/>
        </w:tabs>
        <w:spacing w:after="0" w:line="240" w:lineRule="auto"/>
        <w:rPr>
          <w:sz w:val="24"/>
          <w:szCs w:val="24"/>
          <w:u w:val="single"/>
        </w:rPr>
      </w:pPr>
      <w:r w:rsidRPr="008020F9">
        <w:rPr>
          <w:sz w:val="24"/>
          <w:szCs w:val="24"/>
          <w:u w:val="single"/>
        </w:rPr>
        <w:tab/>
      </w:r>
    </w:p>
    <w:p w:rsidR="00276326" w:rsidRDefault="00276326" w:rsidP="00276326">
      <w:pPr>
        <w:tabs>
          <w:tab w:val="left" w:pos="1710"/>
        </w:tabs>
        <w:spacing w:after="0" w:line="240" w:lineRule="auto"/>
        <w:rPr>
          <w:sz w:val="24"/>
          <w:szCs w:val="24"/>
          <w:u w:val="single"/>
        </w:rPr>
      </w:pPr>
    </w:p>
    <w:p w:rsidR="00276326" w:rsidRPr="000B635A" w:rsidRDefault="00276326" w:rsidP="00276326">
      <w:pPr>
        <w:tabs>
          <w:tab w:val="left" w:pos="1710"/>
        </w:tabs>
        <w:spacing w:after="0" w:line="240" w:lineRule="auto"/>
        <w:rPr>
          <w:sz w:val="24"/>
          <w:szCs w:val="24"/>
        </w:rPr>
      </w:pPr>
      <w:r w:rsidRPr="000B635A">
        <w:rPr>
          <w:sz w:val="24"/>
          <w:szCs w:val="24"/>
        </w:rPr>
        <w:t>DATE:</w:t>
      </w:r>
      <w:r w:rsidRPr="000B635A">
        <w:rPr>
          <w:sz w:val="24"/>
          <w:szCs w:val="24"/>
        </w:rPr>
        <w:tab/>
        <w:t>October 5, 2010</w:t>
      </w:r>
    </w:p>
    <w:p w:rsidR="00276326" w:rsidRPr="000B635A" w:rsidRDefault="00276326" w:rsidP="00276326">
      <w:pPr>
        <w:tabs>
          <w:tab w:val="left" w:pos="1710"/>
        </w:tabs>
        <w:spacing w:after="0" w:line="240" w:lineRule="auto"/>
        <w:rPr>
          <w:sz w:val="24"/>
          <w:szCs w:val="24"/>
        </w:rPr>
      </w:pPr>
    </w:p>
    <w:p w:rsidR="00276326" w:rsidRPr="000B635A" w:rsidRDefault="00276326" w:rsidP="00276326">
      <w:pPr>
        <w:tabs>
          <w:tab w:val="left" w:pos="1710"/>
        </w:tabs>
        <w:spacing w:after="0" w:line="240" w:lineRule="auto"/>
        <w:rPr>
          <w:sz w:val="24"/>
          <w:szCs w:val="24"/>
        </w:rPr>
      </w:pPr>
      <w:r w:rsidRPr="000B635A">
        <w:rPr>
          <w:sz w:val="24"/>
          <w:szCs w:val="24"/>
        </w:rPr>
        <w:t>TO:</w:t>
      </w:r>
      <w:r w:rsidRPr="000B635A">
        <w:rPr>
          <w:sz w:val="24"/>
          <w:szCs w:val="24"/>
        </w:rPr>
        <w:tab/>
        <w:t>Ann Cole, Clerk</w:t>
      </w:r>
    </w:p>
    <w:p w:rsidR="00276326" w:rsidRPr="000B635A" w:rsidRDefault="00276326" w:rsidP="00276326">
      <w:pPr>
        <w:tabs>
          <w:tab w:val="left" w:pos="1710"/>
        </w:tabs>
        <w:spacing w:after="0" w:line="240" w:lineRule="auto"/>
        <w:rPr>
          <w:sz w:val="24"/>
          <w:szCs w:val="24"/>
        </w:rPr>
      </w:pPr>
      <w:r w:rsidRPr="000B635A">
        <w:rPr>
          <w:sz w:val="24"/>
          <w:szCs w:val="24"/>
        </w:rPr>
        <w:tab/>
        <w:t xml:space="preserve">Office of Commission Clerk </w:t>
      </w:r>
    </w:p>
    <w:p w:rsidR="00276326" w:rsidRPr="000B635A" w:rsidRDefault="00276326" w:rsidP="00276326">
      <w:pPr>
        <w:tabs>
          <w:tab w:val="left" w:pos="1710"/>
        </w:tabs>
        <w:spacing w:after="0" w:line="240" w:lineRule="auto"/>
        <w:rPr>
          <w:sz w:val="24"/>
          <w:szCs w:val="24"/>
        </w:rPr>
      </w:pPr>
    </w:p>
    <w:p w:rsidR="00276326" w:rsidRPr="000B635A" w:rsidRDefault="00276326" w:rsidP="00276326">
      <w:pPr>
        <w:tabs>
          <w:tab w:val="left" w:pos="1710"/>
        </w:tabs>
        <w:spacing w:after="0" w:line="240" w:lineRule="auto"/>
        <w:rPr>
          <w:sz w:val="24"/>
          <w:szCs w:val="24"/>
        </w:rPr>
      </w:pPr>
      <w:r w:rsidRPr="000B635A">
        <w:rPr>
          <w:sz w:val="24"/>
          <w:szCs w:val="24"/>
        </w:rPr>
        <w:t>FROM:</w:t>
      </w:r>
      <w:r w:rsidRPr="000B635A">
        <w:rPr>
          <w:sz w:val="24"/>
          <w:szCs w:val="24"/>
        </w:rPr>
        <w:tab/>
      </w:r>
      <w:r w:rsidRPr="000B635A">
        <w:rPr>
          <w:sz w:val="24"/>
          <w:szCs w:val="24"/>
          <w:highlight w:val="black"/>
        </w:rPr>
        <w:t>Russell and Shirley Ferrell</w:t>
      </w:r>
      <w:r w:rsidRPr="000B635A">
        <w:rPr>
          <w:sz w:val="24"/>
          <w:szCs w:val="24"/>
        </w:rPr>
        <w:t xml:space="preserve"> </w:t>
      </w:r>
      <w:r w:rsidRPr="00EF2618">
        <w:rPr>
          <w:i/>
          <w:sz w:val="24"/>
          <w:szCs w:val="24"/>
        </w:rPr>
        <w:t>Petitioner</w:t>
      </w:r>
    </w:p>
    <w:p w:rsidR="00276326" w:rsidRPr="000B635A" w:rsidRDefault="00276326" w:rsidP="00276326">
      <w:pPr>
        <w:tabs>
          <w:tab w:val="left" w:pos="1710"/>
        </w:tabs>
        <w:spacing w:after="0" w:line="240" w:lineRule="auto"/>
        <w:rPr>
          <w:sz w:val="24"/>
          <w:szCs w:val="24"/>
        </w:rPr>
      </w:pPr>
    </w:p>
    <w:p w:rsidR="00276326" w:rsidRPr="000B635A" w:rsidRDefault="00276326" w:rsidP="00276326">
      <w:pPr>
        <w:tabs>
          <w:tab w:val="left" w:pos="1710"/>
        </w:tabs>
        <w:spacing w:after="0" w:line="240" w:lineRule="auto"/>
        <w:rPr>
          <w:sz w:val="24"/>
          <w:szCs w:val="24"/>
        </w:rPr>
      </w:pPr>
      <w:r w:rsidRPr="000B635A">
        <w:rPr>
          <w:sz w:val="24"/>
          <w:szCs w:val="24"/>
        </w:rPr>
        <w:t>RE:</w:t>
      </w:r>
      <w:r w:rsidRPr="000B635A">
        <w:rPr>
          <w:sz w:val="24"/>
          <w:szCs w:val="24"/>
        </w:rPr>
        <w:tab/>
        <w:t>Motion - 10/12/10 Regular Agenda and Status of Docket 100312-EI</w:t>
      </w:r>
    </w:p>
    <w:p w:rsidR="00276326" w:rsidRPr="000B635A" w:rsidRDefault="00276326" w:rsidP="00276326">
      <w:pPr>
        <w:tabs>
          <w:tab w:val="left" w:pos="1710"/>
        </w:tabs>
        <w:spacing w:after="0" w:line="240" w:lineRule="auto"/>
        <w:rPr>
          <w:sz w:val="24"/>
          <w:szCs w:val="24"/>
        </w:rPr>
      </w:pPr>
    </w:p>
    <w:p w:rsidR="00276326" w:rsidRPr="000B635A" w:rsidRDefault="00276326" w:rsidP="00276326">
      <w:pPr>
        <w:tabs>
          <w:tab w:val="clear" w:pos="6300"/>
          <w:tab w:val="left" w:pos="8640"/>
        </w:tabs>
        <w:spacing w:after="0" w:line="240" w:lineRule="auto"/>
        <w:rPr>
          <w:sz w:val="24"/>
          <w:szCs w:val="24"/>
          <w:u w:val="single"/>
        </w:rPr>
      </w:pPr>
      <w:r w:rsidRPr="000B635A">
        <w:rPr>
          <w:sz w:val="24"/>
          <w:szCs w:val="24"/>
          <w:u w:val="single"/>
        </w:rPr>
        <w:tab/>
      </w:r>
    </w:p>
    <w:p w:rsidR="00276326" w:rsidRPr="000B635A" w:rsidRDefault="00276326" w:rsidP="00276326">
      <w:pPr>
        <w:tabs>
          <w:tab w:val="left" w:pos="8640"/>
        </w:tabs>
        <w:spacing w:after="0" w:line="240" w:lineRule="auto"/>
        <w:rPr>
          <w:sz w:val="24"/>
          <w:szCs w:val="24"/>
          <w:u w:val="single"/>
        </w:rPr>
      </w:pPr>
    </w:p>
    <w:p w:rsidR="00276326" w:rsidRPr="000B635A" w:rsidRDefault="00276326" w:rsidP="00276326">
      <w:pPr>
        <w:tabs>
          <w:tab w:val="clear" w:pos="6300"/>
          <w:tab w:val="left" w:pos="1710"/>
        </w:tabs>
        <w:spacing w:after="0" w:line="240" w:lineRule="auto"/>
        <w:ind w:left="1710" w:hanging="1260"/>
        <w:rPr>
          <w:sz w:val="24"/>
          <w:szCs w:val="24"/>
        </w:rPr>
      </w:pPr>
      <w:r w:rsidRPr="000B635A">
        <w:rPr>
          <w:sz w:val="24"/>
          <w:szCs w:val="24"/>
        </w:rPr>
        <w:t xml:space="preserve">SPECIAL </w:t>
      </w:r>
    </w:p>
    <w:p w:rsidR="00276326" w:rsidRDefault="00276326" w:rsidP="00276326">
      <w:pPr>
        <w:tabs>
          <w:tab w:val="clear" w:pos="6300"/>
          <w:tab w:val="left" w:pos="1890"/>
        </w:tabs>
        <w:spacing w:after="0" w:line="240" w:lineRule="auto"/>
        <w:ind w:left="1890" w:hanging="1440"/>
        <w:rPr>
          <w:sz w:val="24"/>
          <w:szCs w:val="24"/>
        </w:rPr>
      </w:pPr>
      <w:r w:rsidRPr="000B635A">
        <w:rPr>
          <w:sz w:val="24"/>
          <w:szCs w:val="24"/>
        </w:rPr>
        <w:t xml:space="preserve">REQUEST:   </w:t>
      </w:r>
      <w:r>
        <w:rPr>
          <w:sz w:val="24"/>
          <w:szCs w:val="24"/>
        </w:rPr>
        <w:t xml:space="preserve"> </w:t>
      </w:r>
      <w:r w:rsidRPr="000B635A">
        <w:rPr>
          <w:sz w:val="24"/>
          <w:szCs w:val="24"/>
        </w:rPr>
        <w:t xml:space="preserve">May Office of Commission Clerk stamp </w:t>
      </w:r>
      <w:r>
        <w:rPr>
          <w:sz w:val="24"/>
          <w:szCs w:val="24"/>
        </w:rPr>
        <w:t xml:space="preserve">upon receipt </w:t>
      </w:r>
      <w:r w:rsidRPr="000B635A">
        <w:rPr>
          <w:sz w:val="24"/>
          <w:szCs w:val="24"/>
        </w:rPr>
        <w:t>and prior to 10/12/10</w:t>
      </w:r>
    </w:p>
    <w:p w:rsidR="00276326" w:rsidRPr="000B635A" w:rsidRDefault="00276326" w:rsidP="00276326">
      <w:pPr>
        <w:tabs>
          <w:tab w:val="clear" w:pos="6300"/>
          <w:tab w:val="left" w:pos="1890"/>
        </w:tabs>
        <w:spacing w:after="0" w:line="240" w:lineRule="auto"/>
        <w:ind w:left="1890" w:hanging="144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0B635A">
        <w:rPr>
          <w:sz w:val="24"/>
          <w:szCs w:val="24"/>
        </w:rPr>
        <w:t>distribute</w:t>
      </w:r>
      <w:proofErr w:type="gramEnd"/>
      <w:r w:rsidRPr="000B635A">
        <w:rPr>
          <w:sz w:val="24"/>
          <w:szCs w:val="24"/>
        </w:rPr>
        <w:t xml:space="preserve"> the attached Motion to all Commissioners</w:t>
      </w:r>
      <w:r>
        <w:rPr>
          <w:sz w:val="24"/>
          <w:szCs w:val="24"/>
        </w:rPr>
        <w:t>, Staff authors of 9/30/10 Memorandum</w:t>
      </w:r>
      <w:r w:rsidRPr="000B635A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all </w:t>
      </w:r>
      <w:r w:rsidRPr="000B635A">
        <w:rPr>
          <w:sz w:val="24"/>
          <w:szCs w:val="24"/>
        </w:rPr>
        <w:t>Part</w:t>
      </w:r>
      <w:r>
        <w:rPr>
          <w:sz w:val="24"/>
          <w:szCs w:val="24"/>
        </w:rPr>
        <w:t>ies in</w:t>
      </w:r>
      <w:r w:rsidRPr="000B635A">
        <w:rPr>
          <w:sz w:val="24"/>
          <w:szCs w:val="24"/>
        </w:rPr>
        <w:t xml:space="preserve"> Dockets100175-TL and 100312-EI.</w:t>
      </w:r>
    </w:p>
    <w:p w:rsidR="00276326" w:rsidRPr="000B635A" w:rsidRDefault="00276326" w:rsidP="00276326">
      <w:pPr>
        <w:tabs>
          <w:tab w:val="clear" w:pos="6300"/>
          <w:tab w:val="left" w:pos="1710"/>
          <w:tab w:val="left" w:pos="8640"/>
        </w:tabs>
        <w:spacing w:after="0" w:line="240" w:lineRule="auto"/>
        <w:ind w:hanging="1260"/>
        <w:rPr>
          <w:sz w:val="24"/>
          <w:szCs w:val="24"/>
        </w:rPr>
      </w:pPr>
    </w:p>
    <w:p w:rsidR="00276326" w:rsidRPr="00833D0A" w:rsidRDefault="00276326" w:rsidP="00276326">
      <w:pPr>
        <w:spacing w:after="60"/>
        <w:ind w:left="180" w:firstLine="2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833D0A">
        <w:rPr>
          <w:b/>
          <w:sz w:val="24"/>
          <w:szCs w:val="24"/>
        </w:rPr>
        <w:lastRenderedPageBreak/>
        <w:t xml:space="preserve">BEFORE THE </w:t>
      </w:r>
      <w:smartTag w:uri="urn:schemas-microsoft-com:office:smarttags" w:element="State">
        <w:smartTag w:uri="urn:schemas-microsoft-com:office:smarttags" w:element="place">
          <w:r w:rsidRPr="00833D0A">
            <w:rPr>
              <w:b/>
              <w:sz w:val="24"/>
              <w:szCs w:val="24"/>
            </w:rPr>
            <w:t>FLORIDA</w:t>
          </w:r>
        </w:smartTag>
      </w:smartTag>
      <w:r w:rsidRPr="00833D0A">
        <w:rPr>
          <w:b/>
          <w:sz w:val="24"/>
          <w:szCs w:val="24"/>
        </w:rPr>
        <w:t xml:space="preserve"> PUBLIC SERVICE COMMISSION</w:t>
      </w:r>
    </w:p>
    <w:p w:rsidR="00276326" w:rsidRDefault="00276326" w:rsidP="00276326">
      <w:pPr>
        <w:spacing w:after="60"/>
        <w:jc w:val="center"/>
        <w:rPr>
          <w:b/>
          <w:sz w:val="24"/>
          <w:szCs w:val="24"/>
          <w:u w:val="single"/>
        </w:rPr>
      </w:pPr>
    </w:p>
    <w:p w:rsidR="00276326" w:rsidRPr="00D475AA" w:rsidRDefault="00276326" w:rsidP="00276326">
      <w:pPr>
        <w:tabs>
          <w:tab w:val="left" w:pos="6480"/>
        </w:tabs>
        <w:spacing w:after="60"/>
        <w:rPr>
          <w:sz w:val="24"/>
          <w:szCs w:val="24"/>
        </w:rPr>
      </w:pPr>
      <w:r w:rsidRPr="00D475AA">
        <w:rPr>
          <w:sz w:val="24"/>
          <w:szCs w:val="24"/>
        </w:rPr>
        <w:t>Complaint against</w:t>
      </w:r>
      <w:r w:rsidRPr="00D475A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75AA">
        <w:rPr>
          <w:sz w:val="24"/>
          <w:szCs w:val="24"/>
        </w:rPr>
        <w:t>Docket No. 100175-TL</w:t>
      </w:r>
    </w:p>
    <w:p w:rsidR="00276326" w:rsidRDefault="00276326" w:rsidP="00276326">
      <w:pPr>
        <w:tabs>
          <w:tab w:val="left" w:pos="5040"/>
        </w:tabs>
        <w:spacing w:after="60"/>
        <w:rPr>
          <w:sz w:val="24"/>
          <w:szCs w:val="24"/>
        </w:rPr>
      </w:pPr>
      <w:r w:rsidRPr="00D475AA">
        <w:rPr>
          <w:sz w:val="24"/>
          <w:szCs w:val="24"/>
        </w:rPr>
        <w:t xml:space="preserve">AT&amp;T </w:t>
      </w:r>
      <w:proofErr w:type="spellStart"/>
      <w:r w:rsidRPr="00D475AA">
        <w:rPr>
          <w:sz w:val="24"/>
          <w:szCs w:val="24"/>
        </w:rPr>
        <w:t>dba</w:t>
      </w:r>
      <w:proofErr w:type="spellEnd"/>
      <w:r w:rsidRPr="00D475AA">
        <w:rPr>
          <w:sz w:val="24"/>
          <w:szCs w:val="24"/>
        </w:rPr>
        <w:t xml:space="preserve"> BellSouth et.al</w:t>
      </w:r>
    </w:p>
    <w:p w:rsidR="00276326" w:rsidRPr="00D475AA" w:rsidRDefault="00276326" w:rsidP="00276326">
      <w:pPr>
        <w:tabs>
          <w:tab w:val="left" w:pos="5040"/>
        </w:tabs>
        <w:spacing w:after="60"/>
        <w:rPr>
          <w:sz w:val="24"/>
          <w:szCs w:val="24"/>
        </w:rPr>
      </w:pPr>
    </w:p>
    <w:p w:rsidR="00276326" w:rsidRPr="00D475AA" w:rsidRDefault="00276326" w:rsidP="00276326">
      <w:pPr>
        <w:tabs>
          <w:tab w:val="left" w:pos="5040"/>
        </w:tabs>
        <w:spacing w:after="60"/>
        <w:rPr>
          <w:sz w:val="24"/>
          <w:szCs w:val="24"/>
        </w:rPr>
      </w:pPr>
      <w:r w:rsidRPr="00D475AA">
        <w:rPr>
          <w:sz w:val="24"/>
          <w:szCs w:val="24"/>
        </w:rPr>
        <w:t>Complaint against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75AA">
        <w:rPr>
          <w:sz w:val="24"/>
          <w:szCs w:val="24"/>
        </w:rPr>
        <w:tab/>
        <w:t>Docket No. 100312-EI</w:t>
      </w:r>
    </w:p>
    <w:p w:rsidR="00276326" w:rsidRDefault="00276326" w:rsidP="00276326">
      <w:pPr>
        <w:spacing w:after="60"/>
        <w:rPr>
          <w:sz w:val="24"/>
          <w:szCs w:val="24"/>
        </w:rPr>
      </w:pPr>
      <w:r w:rsidRPr="00D475AA">
        <w:rPr>
          <w:sz w:val="24"/>
          <w:szCs w:val="24"/>
        </w:rPr>
        <w:t>Florida Power and Light Company et.al</w:t>
      </w:r>
    </w:p>
    <w:p w:rsidR="00276326" w:rsidRDefault="00276326" w:rsidP="00276326">
      <w:pPr>
        <w:spacing w:after="60"/>
        <w:rPr>
          <w:b/>
          <w:sz w:val="24"/>
          <w:szCs w:val="24"/>
          <w:u w:val="single"/>
        </w:rPr>
      </w:pPr>
    </w:p>
    <w:p w:rsidR="00276326" w:rsidRPr="00DA6B4A" w:rsidRDefault="00276326" w:rsidP="00276326">
      <w:pPr>
        <w:spacing w:after="60"/>
        <w:jc w:val="center"/>
        <w:rPr>
          <w:b/>
          <w:sz w:val="24"/>
          <w:szCs w:val="24"/>
          <w:u w:val="single"/>
        </w:rPr>
      </w:pPr>
      <w:r w:rsidRPr="00DA6B4A">
        <w:rPr>
          <w:b/>
          <w:sz w:val="24"/>
          <w:szCs w:val="24"/>
          <w:u w:val="single"/>
        </w:rPr>
        <w:t>PETITIONER’S MOTION TO SUSPEND</w:t>
      </w:r>
    </w:p>
    <w:p w:rsidR="00276326" w:rsidRDefault="00276326" w:rsidP="00276326">
      <w:pPr>
        <w:spacing w:after="60"/>
        <w:jc w:val="center"/>
        <w:rPr>
          <w:b/>
          <w:sz w:val="24"/>
          <w:szCs w:val="24"/>
          <w:u w:val="single"/>
        </w:rPr>
      </w:pPr>
      <w:r w:rsidRPr="00DA6B4A">
        <w:rPr>
          <w:b/>
          <w:sz w:val="24"/>
          <w:szCs w:val="24"/>
          <w:u w:val="single"/>
        </w:rPr>
        <w:t>10/12/10 REGULAR AGENDA PENDING CLARIFICATION</w:t>
      </w:r>
    </w:p>
    <w:p w:rsidR="00276326" w:rsidRPr="00DA6B4A" w:rsidRDefault="00276326" w:rsidP="00276326">
      <w:pPr>
        <w:spacing w:after="60"/>
        <w:jc w:val="center"/>
        <w:rPr>
          <w:b/>
          <w:sz w:val="24"/>
          <w:szCs w:val="24"/>
          <w:u w:val="single"/>
        </w:rPr>
      </w:pPr>
    </w:p>
    <w:p w:rsidR="00276326" w:rsidRDefault="00276326" w:rsidP="00276326">
      <w:pPr>
        <w:spacing w:line="360" w:lineRule="auto"/>
        <w:ind w:left="446"/>
        <w:rPr>
          <w:sz w:val="24"/>
          <w:szCs w:val="24"/>
        </w:rPr>
      </w:pPr>
      <w:r w:rsidRPr="00F4135C">
        <w:rPr>
          <w:sz w:val="24"/>
          <w:szCs w:val="24"/>
        </w:rPr>
        <w:t xml:space="preserve">Petitioner </w:t>
      </w:r>
      <w:r>
        <w:rPr>
          <w:sz w:val="24"/>
          <w:szCs w:val="24"/>
        </w:rPr>
        <w:t>m</w:t>
      </w:r>
      <w:r w:rsidRPr="00F4135C">
        <w:rPr>
          <w:sz w:val="24"/>
          <w:szCs w:val="24"/>
        </w:rPr>
        <w:t>o</w:t>
      </w:r>
      <w:r>
        <w:rPr>
          <w:sz w:val="24"/>
          <w:szCs w:val="24"/>
        </w:rPr>
        <w:t>ves</w:t>
      </w:r>
      <w:r w:rsidRPr="00F4135C">
        <w:rPr>
          <w:sz w:val="24"/>
          <w:szCs w:val="24"/>
        </w:rPr>
        <w:t xml:space="preserve"> to </w:t>
      </w:r>
      <w:r>
        <w:rPr>
          <w:sz w:val="24"/>
          <w:szCs w:val="24"/>
        </w:rPr>
        <w:t>s</w:t>
      </w:r>
      <w:r w:rsidRPr="00F4135C">
        <w:rPr>
          <w:sz w:val="24"/>
          <w:szCs w:val="24"/>
        </w:rPr>
        <w:t xml:space="preserve">uspend </w:t>
      </w:r>
      <w:r>
        <w:rPr>
          <w:sz w:val="24"/>
          <w:szCs w:val="24"/>
        </w:rPr>
        <w:t xml:space="preserve">October 12, 2010 Florida Public Service Commission (Commission) </w:t>
      </w:r>
      <w:r w:rsidRPr="00F4135C">
        <w:rPr>
          <w:sz w:val="24"/>
          <w:szCs w:val="24"/>
        </w:rPr>
        <w:t xml:space="preserve">Regular Agenda pending clarification about status of Docket No. 100312-EI with regard to Florida Power and Light Company (FPL) September 2, 2010 Verified Motion and </w:t>
      </w:r>
      <w:r>
        <w:rPr>
          <w:sz w:val="24"/>
          <w:szCs w:val="24"/>
        </w:rPr>
        <w:t xml:space="preserve">FPL </w:t>
      </w:r>
      <w:r w:rsidRPr="00F4135C">
        <w:rPr>
          <w:sz w:val="24"/>
          <w:szCs w:val="24"/>
        </w:rPr>
        <w:t>September 22, 2010 Notice</w:t>
      </w:r>
      <w:r>
        <w:rPr>
          <w:sz w:val="24"/>
          <w:szCs w:val="24"/>
        </w:rPr>
        <w:t xml:space="preserve">, and resolution of the issues addressed below.  </w:t>
      </w:r>
    </w:p>
    <w:p w:rsidR="00276326" w:rsidRDefault="00276326" w:rsidP="00276326">
      <w:pPr>
        <w:spacing w:line="360" w:lineRule="auto"/>
        <w:ind w:left="446"/>
        <w:rPr>
          <w:sz w:val="24"/>
          <w:szCs w:val="24"/>
        </w:rPr>
      </w:pPr>
      <w:r>
        <w:rPr>
          <w:sz w:val="24"/>
          <w:szCs w:val="24"/>
        </w:rPr>
        <w:t xml:space="preserve">On June 10, 2010 Catherine Beard and Larry Harris via phone call advised Petitioner that Commissioners view Staff recommendations to decide on issues at a hearing.  </w:t>
      </w:r>
    </w:p>
    <w:p w:rsidR="00276326" w:rsidRPr="00F4135C" w:rsidRDefault="00276326" w:rsidP="00276326">
      <w:pPr>
        <w:spacing w:line="360" w:lineRule="auto"/>
        <w:ind w:left="446"/>
        <w:rPr>
          <w:sz w:val="24"/>
          <w:szCs w:val="24"/>
        </w:rPr>
      </w:pPr>
      <w:r>
        <w:rPr>
          <w:sz w:val="24"/>
          <w:szCs w:val="24"/>
        </w:rPr>
        <w:t xml:space="preserve">On October 1, 2010 Petitioner via phone call with Ms. Beard inquired about the status of Docket </w:t>
      </w:r>
      <w:r w:rsidRPr="00F4135C">
        <w:rPr>
          <w:sz w:val="24"/>
          <w:szCs w:val="24"/>
        </w:rPr>
        <w:t>No. 100312-EI</w:t>
      </w:r>
      <w:r>
        <w:rPr>
          <w:sz w:val="24"/>
          <w:szCs w:val="24"/>
        </w:rPr>
        <w:t xml:space="preserve"> given </w:t>
      </w:r>
      <w:r w:rsidRPr="00F4135C">
        <w:rPr>
          <w:sz w:val="24"/>
          <w:szCs w:val="24"/>
        </w:rPr>
        <w:t xml:space="preserve">Florida Power and Light Company (FPL) September 2, 2010 Verified Motion and </w:t>
      </w:r>
      <w:r>
        <w:rPr>
          <w:sz w:val="24"/>
          <w:szCs w:val="24"/>
        </w:rPr>
        <w:t xml:space="preserve">FPL </w:t>
      </w:r>
      <w:r w:rsidRPr="00F4135C">
        <w:rPr>
          <w:sz w:val="24"/>
          <w:szCs w:val="24"/>
        </w:rPr>
        <w:t>September 22, 2010 Notice</w:t>
      </w:r>
      <w:r>
        <w:rPr>
          <w:sz w:val="24"/>
          <w:szCs w:val="24"/>
        </w:rPr>
        <w:t xml:space="preserve">.  Commission has issued no order about the matter as it pertains to Docket </w:t>
      </w:r>
      <w:r w:rsidRPr="00F4135C">
        <w:rPr>
          <w:sz w:val="24"/>
          <w:szCs w:val="24"/>
        </w:rPr>
        <w:t>100312-EI</w:t>
      </w:r>
      <w:r>
        <w:rPr>
          <w:sz w:val="24"/>
          <w:szCs w:val="24"/>
        </w:rPr>
        <w:t>.  Ms. Beard was unable to determine the status of Docket, and no Commission staff has since called or otherwise contacted Petitioner about conclusion of conflict as it relates to this Docket.</w:t>
      </w:r>
    </w:p>
    <w:p w:rsidR="00276326" w:rsidRDefault="00276326" w:rsidP="00276326">
      <w:pPr>
        <w:spacing w:line="360" w:lineRule="auto"/>
        <w:ind w:left="446"/>
        <w:rPr>
          <w:sz w:val="24"/>
          <w:szCs w:val="24"/>
        </w:rPr>
      </w:pPr>
      <w:r>
        <w:rPr>
          <w:sz w:val="24"/>
          <w:szCs w:val="24"/>
        </w:rPr>
        <w:t>On October</w:t>
      </w:r>
      <w:r w:rsidRPr="00F413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4, </w:t>
      </w:r>
      <w:r w:rsidRPr="00F4135C">
        <w:rPr>
          <w:sz w:val="24"/>
          <w:szCs w:val="24"/>
        </w:rPr>
        <w:t xml:space="preserve">2010 </w:t>
      </w:r>
      <w:r>
        <w:rPr>
          <w:sz w:val="24"/>
          <w:szCs w:val="24"/>
        </w:rPr>
        <w:t xml:space="preserve">Petitioner </w:t>
      </w:r>
      <w:r w:rsidRPr="00F4135C">
        <w:rPr>
          <w:sz w:val="24"/>
          <w:szCs w:val="24"/>
        </w:rPr>
        <w:t xml:space="preserve">received </w:t>
      </w:r>
      <w:r>
        <w:rPr>
          <w:sz w:val="24"/>
          <w:szCs w:val="24"/>
        </w:rPr>
        <w:t>copy of Staff recommendations, dated and titled September 30, 2010 Memorandum (Memorandum).  10/12/10 scheduled date of Agenda</w:t>
      </w:r>
      <w:r w:rsidRPr="00F413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suggests confusion and seems rushed given no resolution to conflict with regard to Docket </w:t>
      </w:r>
      <w:r w:rsidRPr="00F4135C">
        <w:rPr>
          <w:sz w:val="24"/>
          <w:szCs w:val="24"/>
        </w:rPr>
        <w:t>No. 100312-EI</w:t>
      </w:r>
      <w:r>
        <w:rPr>
          <w:sz w:val="24"/>
          <w:szCs w:val="24"/>
        </w:rPr>
        <w:t>.</w:t>
      </w:r>
      <w:r w:rsidRPr="00F413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Also, </w:t>
      </w:r>
      <w:r w:rsidRPr="00F4135C">
        <w:rPr>
          <w:sz w:val="24"/>
          <w:szCs w:val="24"/>
        </w:rPr>
        <w:t>Memorandum</w:t>
      </w:r>
      <w:r>
        <w:rPr>
          <w:sz w:val="24"/>
          <w:szCs w:val="24"/>
        </w:rPr>
        <w:t xml:space="preserve"> is factually inaccurate, contradictory in its Staff Analysis and </w:t>
      </w:r>
      <w:r w:rsidRPr="00F4135C">
        <w:rPr>
          <w:sz w:val="24"/>
          <w:szCs w:val="24"/>
        </w:rPr>
        <w:t xml:space="preserve">fails to meet </w:t>
      </w:r>
      <w:r>
        <w:rPr>
          <w:sz w:val="24"/>
          <w:szCs w:val="24"/>
        </w:rPr>
        <w:t>S</w:t>
      </w:r>
      <w:r w:rsidRPr="00F4135C">
        <w:rPr>
          <w:sz w:val="24"/>
          <w:szCs w:val="24"/>
        </w:rPr>
        <w:t xml:space="preserve">tandard of </w:t>
      </w:r>
      <w:r>
        <w:rPr>
          <w:sz w:val="24"/>
          <w:szCs w:val="24"/>
        </w:rPr>
        <w:t>R</w:t>
      </w:r>
      <w:r w:rsidRPr="00F4135C">
        <w:rPr>
          <w:sz w:val="24"/>
          <w:szCs w:val="24"/>
        </w:rPr>
        <w:t>eview</w:t>
      </w:r>
      <w:r>
        <w:rPr>
          <w:sz w:val="24"/>
          <w:szCs w:val="24"/>
        </w:rPr>
        <w:t xml:space="preserve"> whereby Commission is required to “assume all of the allegations of the complaint to be true … and consider the allegations in the light most favorable to the petitioner …”</w:t>
      </w:r>
      <w:r w:rsidRPr="00F4135C">
        <w:rPr>
          <w:sz w:val="24"/>
          <w:szCs w:val="24"/>
        </w:rPr>
        <w:t xml:space="preserve"> </w:t>
      </w:r>
    </w:p>
    <w:p w:rsidR="00276326" w:rsidRDefault="00276326" w:rsidP="00276326">
      <w:pPr>
        <w:spacing w:line="360" w:lineRule="auto"/>
        <w:ind w:left="446"/>
        <w:rPr>
          <w:sz w:val="24"/>
          <w:szCs w:val="24"/>
        </w:rPr>
      </w:pPr>
      <w:r>
        <w:rPr>
          <w:sz w:val="24"/>
          <w:szCs w:val="24"/>
        </w:rPr>
        <w:t xml:space="preserve">It would be impossible for Commission Members to be impartial at a hearing where the faulty Memorandum would be the basis of a decision that is least favorable to Petitioner. </w:t>
      </w:r>
    </w:p>
    <w:p w:rsidR="00276326" w:rsidRDefault="00276326" w:rsidP="00276326">
      <w:pPr>
        <w:spacing w:line="360" w:lineRule="auto"/>
        <w:ind w:left="446"/>
        <w:rPr>
          <w:sz w:val="24"/>
          <w:szCs w:val="24"/>
        </w:rPr>
      </w:pPr>
      <w:r>
        <w:rPr>
          <w:sz w:val="24"/>
          <w:szCs w:val="24"/>
        </w:rPr>
        <w:lastRenderedPageBreak/>
        <w:t>T</w:t>
      </w:r>
      <w:r w:rsidRPr="00F4135C">
        <w:rPr>
          <w:sz w:val="24"/>
          <w:szCs w:val="24"/>
        </w:rPr>
        <w:t xml:space="preserve">herefore, Petitioner </w:t>
      </w:r>
      <w:r>
        <w:rPr>
          <w:sz w:val="24"/>
          <w:szCs w:val="24"/>
        </w:rPr>
        <w:t xml:space="preserve">moves to suspend 10/12/10 Agenda pending resolution of issues addressed in this Motion and </w:t>
      </w:r>
      <w:r w:rsidRPr="00F4135C">
        <w:rPr>
          <w:sz w:val="24"/>
          <w:szCs w:val="24"/>
        </w:rPr>
        <w:t>clarification</w:t>
      </w:r>
      <w:r>
        <w:rPr>
          <w:sz w:val="24"/>
          <w:szCs w:val="24"/>
        </w:rPr>
        <w:t xml:space="preserve"> </w:t>
      </w:r>
      <w:r w:rsidRPr="00F4135C">
        <w:rPr>
          <w:sz w:val="24"/>
          <w:szCs w:val="24"/>
        </w:rPr>
        <w:t>via Order</w:t>
      </w:r>
      <w:r>
        <w:rPr>
          <w:sz w:val="24"/>
          <w:szCs w:val="24"/>
        </w:rPr>
        <w:t xml:space="preserve"> about Commission conflict and confusion Memorandum presents</w:t>
      </w:r>
      <w:r w:rsidRPr="00F4135C">
        <w:rPr>
          <w:sz w:val="24"/>
          <w:szCs w:val="24"/>
        </w:rPr>
        <w:t>.</w:t>
      </w:r>
    </w:p>
    <w:p w:rsidR="00276326" w:rsidRDefault="00276326" w:rsidP="00276326">
      <w:pPr>
        <w:rPr>
          <w:sz w:val="24"/>
          <w:szCs w:val="24"/>
        </w:rPr>
      </w:pPr>
    </w:p>
    <w:p w:rsidR="00276326" w:rsidRDefault="00276326" w:rsidP="00276326">
      <w:pPr>
        <w:tabs>
          <w:tab w:val="left" w:pos="4320"/>
        </w:tabs>
        <w:spacing w:after="0" w:line="240" w:lineRule="auto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ab/>
        <w:t>Oct. 5, 2010 By: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</w:t>
      </w:r>
      <w:r>
        <w:rPr>
          <w:i/>
          <w:sz w:val="24"/>
          <w:szCs w:val="24"/>
          <w:u w:val="single"/>
        </w:rPr>
        <w:t>/s</w:t>
      </w:r>
      <w:proofErr w:type="gramStart"/>
      <w:r>
        <w:rPr>
          <w:i/>
          <w:sz w:val="24"/>
          <w:szCs w:val="24"/>
          <w:u w:val="single"/>
        </w:rPr>
        <w:t xml:space="preserve">/  </w:t>
      </w:r>
      <w:r w:rsidRPr="000B635A">
        <w:rPr>
          <w:sz w:val="24"/>
          <w:szCs w:val="24"/>
          <w:highlight w:val="black"/>
        </w:rPr>
        <w:t>Russell</w:t>
      </w:r>
      <w:proofErr w:type="gramEnd"/>
      <w:r w:rsidRPr="000B635A">
        <w:rPr>
          <w:sz w:val="24"/>
          <w:szCs w:val="24"/>
          <w:highlight w:val="black"/>
        </w:rPr>
        <w:t xml:space="preserve"> and Shirley Ferrell</w:t>
      </w:r>
      <w:r>
        <w:rPr>
          <w:b/>
          <w:i/>
          <w:sz w:val="24"/>
          <w:szCs w:val="24"/>
          <w:u w:val="single"/>
        </w:rPr>
        <w:t xml:space="preserve">  </w:t>
      </w:r>
      <w:r w:rsidRPr="00826E43">
        <w:rPr>
          <w:b/>
          <w:i/>
          <w:color w:val="FFFFFF"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 xml:space="preserve">   </w:t>
      </w:r>
    </w:p>
    <w:p w:rsidR="00276326" w:rsidRDefault="00276326" w:rsidP="00276326"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</w:t>
      </w:r>
      <w:r w:rsidRPr="00826E43">
        <w:rPr>
          <w:i/>
          <w:sz w:val="24"/>
          <w:szCs w:val="24"/>
        </w:rPr>
        <w:t>Petitioner</w:t>
      </w:r>
    </w:p>
    <w:p w:rsidR="00276326" w:rsidRDefault="00276326" w:rsidP="00276326"/>
    <w:p w:rsidR="00276326" w:rsidRDefault="00276326" w:rsidP="00276326"/>
    <w:p w:rsidR="00276326" w:rsidRPr="00B3434E" w:rsidRDefault="00276326" w:rsidP="00276326"/>
    <w:p w:rsidR="00276326" w:rsidRDefault="00276326" w:rsidP="00276326"/>
    <w:p w:rsidR="00276326" w:rsidRDefault="00276326" w:rsidP="00276326"/>
    <w:p w:rsidR="007A7B2B" w:rsidRDefault="007A7B2B"/>
    <w:sectPr w:rsidR="007A7B2B" w:rsidSect="00833D0A">
      <w:pgSz w:w="12240" w:h="15840"/>
      <w:pgMar w:top="1080" w:right="1080" w:bottom="90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76326"/>
    <w:rsid w:val="00276326"/>
    <w:rsid w:val="007A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26"/>
    <w:pPr>
      <w:tabs>
        <w:tab w:val="left" w:pos="6300"/>
      </w:tabs>
      <w:suppressAutoHyphens/>
      <w:ind w:left="450"/>
    </w:pPr>
    <w:rPr>
      <w:rFonts w:ascii="Arial" w:eastAsia="Calibri" w:hAnsi="Arial" w:cs="Arial"/>
      <w:kern w:val="1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Ferrell Family</dc:creator>
  <cp:lastModifiedBy>Ferrell Family</cp:lastModifiedBy>
  <cp:revision>3</cp:revision>
  <dcterms:created xsi:type="dcterms:W3CDTF">2010-10-06T17:54:00Z</dcterms:created>
  <dcterms:modified xsi:type="dcterms:W3CDTF">2010-10-06T17:55:00Z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