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5E" w:rsidRPr="005A2D5E" w:rsidRDefault="005A2D5E" w:rsidP="005A2D5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sz w:val="24"/>
        </w:rPr>
      </w:pPr>
      <w:r w:rsidRPr="005A2D5E">
        <w:rPr>
          <w:rFonts w:ascii="Times New Roman" w:hAnsi="Times New Roman"/>
          <w:b/>
          <w:bCs/>
          <w:sz w:val="24"/>
        </w:rPr>
        <w:t>BEFORE THE FLORIDA PUBLIC SERVICE COMMISSION</w:t>
      </w:r>
    </w:p>
    <w:p w:rsidR="005A2D5E" w:rsidRPr="005A2D5E" w:rsidRDefault="005A2D5E" w:rsidP="005A2D5E">
      <w:pPr>
        <w:widowControl/>
        <w:autoSpaceDE/>
        <w:autoSpaceDN/>
        <w:adjustRightInd/>
        <w:rPr>
          <w:b/>
          <w:sz w:val="24"/>
        </w:rPr>
      </w:pPr>
    </w:p>
    <w:p w:rsidR="005A2D5E" w:rsidRPr="005A2D5E" w:rsidRDefault="005A2D5E" w:rsidP="005A2D5E">
      <w:pPr>
        <w:widowControl/>
        <w:autoSpaceDE/>
        <w:autoSpaceDN/>
        <w:adjustRightInd/>
        <w:rPr>
          <w:rFonts w:ascii="Times New Roman" w:hAnsi="Times New Roman"/>
          <w:sz w:val="24"/>
        </w:rPr>
      </w:pPr>
      <w:r w:rsidRPr="005A2D5E">
        <w:rPr>
          <w:rFonts w:ascii="Times New Roman" w:hAnsi="Times New Roman"/>
          <w:sz w:val="24"/>
        </w:rPr>
        <w:t>In re:  Petition for rate increase by Florida</w:t>
      </w:r>
      <w:r w:rsidRPr="005A2D5E">
        <w:rPr>
          <w:rFonts w:ascii="Times New Roman" w:hAnsi="Times New Roman"/>
          <w:sz w:val="24"/>
        </w:rPr>
        <w:tab/>
      </w:r>
      <w:r w:rsidRPr="005A2D5E">
        <w:rPr>
          <w:rFonts w:ascii="Times New Roman" w:hAnsi="Times New Roman"/>
          <w:sz w:val="24"/>
        </w:rPr>
        <w:tab/>
      </w:r>
      <w:r w:rsidRPr="005A2D5E">
        <w:rPr>
          <w:rFonts w:ascii="Times New Roman" w:hAnsi="Times New Roman"/>
          <w:sz w:val="24"/>
        </w:rPr>
        <w:tab/>
      </w:r>
      <w:r w:rsidRPr="005A2D5E">
        <w:rPr>
          <w:rFonts w:ascii="Times New Roman" w:hAnsi="Times New Roman"/>
          <w:sz w:val="24"/>
        </w:rPr>
        <w:tab/>
        <w:t>Docket No: 120015-EI</w:t>
      </w:r>
    </w:p>
    <w:p w:rsidR="005A2D5E" w:rsidRPr="005A2D5E" w:rsidRDefault="005A2D5E" w:rsidP="005A2D5E">
      <w:pPr>
        <w:widowControl/>
        <w:autoSpaceDE/>
        <w:autoSpaceDN/>
        <w:adjustRightInd/>
        <w:rPr>
          <w:rFonts w:ascii="Times New Roman" w:hAnsi="Times New Roman"/>
          <w:sz w:val="24"/>
        </w:rPr>
      </w:pPr>
      <w:r w:rsidRPr="005A2D5E">
        <w:rPr>
          <w:rFonts w:ascii="Times New Roman" w:hAnsi="Times New Roman"/>
          <w:sz w:val="24"/>
        </w:rPr>
        <w:t>Power &amp; Light Company</w:t>
      </w:r>
      <w:r w:rsidRPr="005A2D5E">
        <w:rPr>
          <w:rFonts w:ascii="Times New Roman" w:hAnsi="Times New Roman"/>
          <w:sz w:val="24"/>
        </w:rPr>
        <w:tab/>
      </w:r>
      <w:r w:rsidRPr="005A2D5E">
        <w:rPr>
          <w:rFonts w:ascii="Times New Roman" w:hAnsi="Times New Roman"/>
          <w:sz w:val="24"/>
        </w:rPr>
        <w:tab/>
      </w:r>
      <w:r w:rsidRPr="005A2D5E">
        <w:rPr>
          <w:rFonts w:ascii="Times New Roman" w:hAnsi="Times New Roman"/>
          <w:sz w:val="24"/>
        </w:rPr>
        <w:tab/>
      </w:r>
      <w:r w:rsidRPr="005A2D5E">
        <w:rPr>
          <w:rFonts w:ascii="Times New Roman" w:hAnsi="Times New Roman"/>
          <w:sz w:val="24"/>
        </w:rPr>
        <w:tab/>
      </w:r>
      <w:r w:rsidRPr="005A2D5E">
        <w:rPr>
          <w:rFonts w:ascii="Times New Roman" w:hAnsi="Times New Roman"/>
          <w:sz w:val="24"/>
        </w:rPr>
        <w:tab/>
      </w:r>
    </w:p>
    <w:p w:rsidR="005A2D5E" w:rsidRPr="005A2D5E" w:rsidRDefault="005A2D5E" w:rsidP="005A2D5E">
      <w:pPr>
        <w:widowControl/>
        <w:autoSpaceDE/>
        <w:autoSpaceDN/>
        <w:adjustRightInd/>
        <w:rPr>
          <w:rFonts w:ascii="Times New Roman" w:hAnsi="Times New Roman"/>
          <w:sz w:val="24"/>
        </w:rPr>
      </w:pPr>
      <w:r w:rsidRPr="005A2D5E">
        <w:rPr>
          <w:rFonts w:ascii="Times New Roman" w:hAnsi="Times New Roman"/>
          <w:sz w:val="24"/>
        </w:rPr>
        <w:t>_______________________</w:t>
      </w:r>
      <w:r>
        <w:rPr>
          <w:rFonts w:ascii="Times New Roman" w:hAnsi="Times New Roman"/>
          <w:sz w:val="24"/>
        </w:rPr>
        <w:t>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Filed:</w:t>
      </w:r>
      <w:r w:rsidR="00D05F08">
        <w:rPr>
          <w:rFonts w:ascii="Times New Roman" w:hAnsi="Times New Roman"/>
          <w:sz w:val="24"/>
        </w:rPr>
        <w:t xml:space="preserve"> </w:t>
      </w:r>
      <w:r w:rsidR="00E53420">
        <w:rPr>
          <w:rFonts w:ascii="Times New Roman" w:hAnsi="Times New Roman"/>
          <w:sz w:val="24"/>
        </w:rPr>
        <w:t xml:space="preserve"> </w:t>
      </w:r>
      <w:r w:rsidR="00D05F08">
        <w:rPr>
          <w:rFonts w:ascii="Times New Roman" w:hAnsi="Times New Roman"/>
          <w:sz w:val="24"/>
        </w:rPr>
        <w:t>November 8</w:t>
      </w:r>
      <w:r w:rsidRPr="005A2D5E">
        <w:rPr>
          <w:rFonts w:ascii="Times New Roman" w:hAnsi="Times New Roman"/>
          <w:sz w:val="24"/>
        </w:rPr>
        <w:t>, 2012</w:t>
      </w:r>
    </w:p>
    <w:p w:rsidR="005A2D5E" w:rsidRPr="005A2D5E" w:rsidRDefault="005A2D5E" w:rsidP="005A2D5E">
      <w:pPr>
        <w:widowControl/>
        <w:autoSpaceDE/>
        <w:autoSpaceDN/>
        <w:adjustRightInd/>
      </w:pPr>
    </w:p>
    <w:p w:rsidR="0007519B" w:rsidRPr="00697FF7" w:rsidRDefault="0007519B" w:rsidP="00755D39">
      <w:pPr>
        <w:spacing w:line="480" w:lineRule="auto"/>
        <w:jc w:val="center"/>
        <w:rPr>
          <w:rFonts w:ascii="Times New Roman" w:hAnsi="Times New Roman"/>
          <w:b/>
          <w:bCs/>
          <w:sz w:val="24"/>
          <w:u w:val="single"/>
        </w:rPr>
      </w:pPr>
    </w:p>
    <w:p w:rsidR="003D6AC7" w:rsidRPr="008330BC" w:rsidRDefault="00755D39" w:rsidP="008330BC">
      <w:pPr>
        <w:spacing w:after="240" w:line="360" w:lineRule="auto"/>
        <w:jc w:val="center"/>
        <w:rPr>
          <w:rFonts w:ascii="Times New Roman" w:hAnsi="Times New Roman"/>
          <w:b/>
          <w:bCs/>
          <w:sz w:val="24"/>
          <w:u w:val="single"/>
        </w:rPr>
      </w:pPr>
      <w:r w:rsidRPr="007B6954">
        <w:rPr>
          <w:rFonts w:ascii="Times New Roman" w:hAnsi="Times New Roman"/>
          <w:b/>
          <w:bCs/>
          <w:sz w:val="24"/>
          <w:u w:val="single"/>
        </w:rPr>
        <w:t>PREHEARING STATEMENT OF THE OFFICE OF PUBLIC COUNSEL</w:t>
      </w:r>
    </w:p>
    <w:p w:rsidR="003D6AC7" w:rsidRPr="00697FF7" w:rsidRDefault="00755D39" w:rsidP="008330BC">
      <w:pPr>
        <w:tabs>
          <w:tab w:val="left" w:pos="720"/>
        </w:tabs>
        <w:spacing w:line="360" w:lineRule="auto"/>
        <w:jc w:val="both"/>
        <w:rPr>
          <w:rFonts w:ascii="Times New Roman" w:hAnsi="Times New Roman"/>
          <w:bCs/>
          <w:sz w:val="24"/>
        </w:rPr>
      </w:pPr>
      <w:r w:rsidRPr="00697FF7">
        <w:rPr>
          <w:rFonts w:ascii="Times New Roman" w:hAnsi="Times New Roman"/>
          <w:bCs/>
          <w:sz w:val="24"/>
        </w:rPr>
        <w:tab/>
        <w:t>The Citizens of the State of Florida</w:t>
      </w:r>
      <w:r w:rsidR="004442AC">
        <w:rPr>
          <w:rFonts w:ascii="Times New Roman" w:hAnsi="Times New Roman"/>
          <w:bCs/>
          <w:sz w:val="24"/>
        </w:rPr>
        <w:t xml:space="preserve"> (“Citizens”),</w:t>
      </w:r>
      <w:r w:rsidRPr="00697FF7">
        <w:rPr>
          <w:rFonts w:ascii="Times New Roman" w:hAnsi="Times New Roman"/>
          <w:bCs/>
          <w:sz w:val="24"/>
        </w:rPr>
        <w:t xml:space="preserve"> through the Office of Public Counsel</w:t>
      </w:r>
      <w:r w:rsidR="004442AC">
        <w:rPr>
          <w:rFonts w:ascii="Times New Roman" w:hAnsi="Times New Roman"/>
          <w:bCs/>
          <w:sz w:val="24"/>
        </w:rPr>
        <w:t xml:space="preserve"> (“OPC”)</w:t>
      </w:r>
      <w:r w:rsidRPr="00697FF7">
        <w:rPr>
          <w:rFonts w:ascii="Times New Roman" w:hAnsi="Times New Roman"/>
          <w:bCs/>
          <w:sz w:val="24"/>
        </w:rPr>
        <w:t xml:space="preserve">, pursuant to the </w:t>
      </w:r>
      <w:r w:rsidR="00D05F08">
        <w:rPr>
          <w:rFonts w:ascii="Times New Roman" w:hAnsi="Times New Roman"/>
          <w:bCs/>
          <w:sz w:val="24"/>
        </w:rPr>
        <w:t xml:space="preserve">Third </w:t>
      </w:r>
      <w:r w:rsidRPr="00697FF7">
        <w:rPr>
          <w:rFonts w:ascii="Times New Roman" w:hAnsi="Times New Roman"/>
          <w:bCs/>
          <w:sz w:val="24"/>
        </w:rPr>
        <w:t xml:space="preserve">Order Establishing Procedure </w:t>
      </w:r>
      <w:r w:rsidR="007D0352">
        <w:rPr>
          <w:rFonts w:ascii="Times New Roman" w:hAnsi="Times New Roman"/>
          <w:bCs/>
          <w:sz w:val="24"/>
        </w:rPr>
        <w:t>in this docket, Order No. PSC-12</w:t>
      </w:r>
      <w:r w:rsidR="004B0BAD">
        <w:rPr>
          <w:rFonts w:ascii="Times New Roman" w:hAnsi="Times New Roman"/>
          <w:bCs/>
          <w:sz w:val="24"/>
        </w:rPr>
        <w:t>-0</w:t>
      </w:r>
      <w:r w:rsidR="00D05F08">
        <w:rPr>
          <w:rFonts w:ascii="Times New Roman" w:hAnsi="Times New Roman"/>
          <w:bCs/>
          <w:sz w:val="24"/>
        </w:rPr>
        <w:t>529</w:t>
      </w:r>
      <w:r w:rsidR="002F2B13" w:rsidRPr="00697FF7">
        <w:rPr>
          <w:rFonts w:ascii="Times New Roman" w:hAnsi="Times New Roman"/>
          <w:bCs/>
          <w:sz w:val="24"/>
        </w:rPr>
        <w:t>-PCO-EI, issued</w:t>
      </w:r>
      <w:r w:rsidR="00D05F08">
        <w:rPr>
          <w:rFonts w:ascii="Times New Roman" w:hAnsi="Times New Roman"/>
          <w:bCs/>
          <w:sz w:val="24"/>
        </w:rPr>
        <w:t xml:space="preserve"> October 3</w:t>
      </w:r>
      <w:r w:rsidR="007D0352">
        <w:rPr>
          <w:rFonts w:ascii="Times New Roman" w:hAnsi="Times New Roman"/>
          <w:bCs/>
          <w:sz w:val="24"/>
        </w:rPr>
        <w:t>, 2012</w:t>
      </w:r>
      <w:r w:rsidRPr="00697FF7">
        <w:rPr>
          <w:rFonts w:ascii="Times New Roman" w:hAnsi="Times New Roman"/>
          <w:bCs/>
          <w:sz w:val="24"/>
        </w:rPr>
        <w:t>, hereby submit this Prehearing Statement.</w:t>
      </w:r>
    </w:p>
    <w:p w:rsidR="00331BD4" w:rsidRDefault="00331BD4" w:rsidP="00331BD4">
      <w:pPr>
        <w:tabs>
          <w:tab w:val="left" w:pos="720"/>
        </w:tabs>
        <w:jc w:val="both"/>
        <w:rPr>
          <w:rFonts w:ascii="Times New Roman" w:hAnsi="Times New Roman"/>
          <w:bCs/>
          <w:sz w:val="24"/>
          <w:u w:val="single"/>
        </w:rPr>
      </w:pPr>
    </w:p>
    <w:p w:rsidR="00755D39" w:rsidRDefault="00755D39" w:rsidP="00331BD4">
      <w:pPr>
        <w:tabs>
          <w:tab w:val="left" w:pos="720"/>
        </w:tabs>
        <w:jc w:val="both"/>
        <w:rPr>
          <w:rFonts w:ascii="Times New Roman" w:hAnsi="Times New Roman"/>
          <w:bCs/>
          <w:sz w:val="24"/>
          <w:u w:val="single"/>
        </w:rPr>
      </w:pPr>
      <w:r w:rsidRPr="00697FF7">
        <w:rPr>
          <w:rFonts w:ascii="Times New Roman" w:hAnsi="Times New Roman"/>
          <w:bCs/>
          <w:sz w:val="24"/>
          <w:u w:val="single"/>
        </w:rPr>
        <w:t>APPEARANCES:</w:t>
      </w:r>
    </w:p>
    <w:p w:rsidR="00331BD4" w:rsidRDefault="00331BD4" w:rsidP="002F2B13">
      <w:pPr>
        <w:tabs>
          <w:tab w:val="left" w:pos="720"/>
        </w:tabs>
        <w:jc w:val="both"/>
        <w:rPr>
          <w:rFonts w:ascii="Times New Roman" w:hAnsi="Times New Roman"/>
          <w:bCs/>
          <w:sz w:val="24"/>
        </w:rPr>
      </w:pPr>
    </w:p>
    <w:p w:rsidR="005A2D5E" w:rsidRDefault="005A2D5E" w:rsidP="005A2D5E">
      <w:pPr>
        <w:tabs>
          <w:tab w:val="left" w:pos="720"/>
        </w:tabs>
        <w:jc w:val="both"/>
        <w:rPr>
          <w:rFonts w:ascii="Times New Roman" w:hAnsi="Times New Roman"/>
          <w:bCs/>
          <w:sz w:val="24"/>
        </w:rPr>
      </w:pPr>
      <w:r w:rsidRPr="00697FF7">
        <w:rPr>
          <w:rFonts w:ascii="Times New Roman" w:hAnsi="Times New Roman"/>
          <w:bCs/>
          <w:sz w:val="24"/>
        </w:rPr>
        <w:tab/>
      </w:r>
      <w:r>
        <w:rPr>
          <w:rFonts w:ascii="Times New Roman" w:hAnsi="Times New Roman"/>
          <w:bCs/>
          <w:sz w:val="24"/>
        </w:rPr>
        <w:t>Joseph A. McGlothlin</w:t>
      </w:r>
    </w:p>
    <w:p w:rsidR="005A2D5E" w:rsidRDefault="005A2D5E" w:rsidP="005A2D5E">
      <w:pPr>
        <w:tabs>
          <w:tab w:val="left" w:pos="720"/>
        </w:tabs>
        <w:jc w:val="both"/>
        <w:rPr>
          <w:rFonts w:ascii="Times New Roman" w:hAnsi="Times New Roman"/>
          <w:bCs/>
          <w:sz w:val="24"/>
        </w:rPr>
      </w:pPr>
      <w:r>
        <w:rPr>
          <w:rFonts w:ascii="Times New Roman" w:hAnsi="Times New Roman"/>
          <w:bCs/>
          <w:sz w:val="24"/>
        </w:rPr>
        <w:tab/>
        <w:t>Associate Public Counsel</w:t>
      </w:r>
    </w:p>
    <w:p w:rsidR="007A0368" w:rsidRDefault="005A2D5E" w:rsidP="005A2D5E">
      <w:pPr>
        <w:tabs>
          <w:tab w:val="left" w:pos="720"/>
        </w:tabs>
        <w:jc w:val="both"/>
        <w:rPr>
          <w:rFonts w:ascii="Times New Roman" w:hAnsi="Times New Roman"/>
          <w:bCs/>
          <w:sz w:val="24"/>
        </w:rPr>
      </w:pPr>
      <w:r>
        <w:rPr>
          <w:rFonts w:ascii="Times New Roman" w:hAnsi="Times New Roman"/>
          <w:bCs/>
          <w:sz w:val="24"/>
        </w:rPr>
        <w:tab/>
      </w:r>
    </w:p>
    <w:p w:rsidR="005A2D5E" w:rsidRPr="00697FF7" w:rsidRDefault="007A0368" w:rsidP="005A2D5E">
      <w:pPr>
        <w:tabs>
          <w:tab w:val="left" w:pos="720"/>
        </w:tabs>
        <w:jc w:val="both"/>
        <w:rPr>
          <w:rFonts w:ascii="Times New Roman" w:hAnsi="Times New Roman"/>
          <w:bCs/>
          <w:sz w:val="24"/>
        </w:rPr>
      </w:pPr>
      <w:r>
        <w:rPr>
          <w:rFonts w:ascii="Times New Roman" w:hAnsi="Times New Roman"/>
          <w:bCs/>
          <w:sz w:val="24"/>
        </w:rPr>
        <w:tab/>
      </w:r>
      <w:r w:rsidR="005A2D5E" w:rsidRPr="00697FF7">
        <w:rPr>
          <w:rFonts w:ascii="Times New Roman" w:hAnsi="Times New Roman"/>
          <w:bCs/>
          <w:sz w:val="24"/>
        </w:rPr>
        <w:t>Charles J. Rehwinkel</w:t>
      </w:r>
    </w:p>
    <w:p w:rsidR="005A2D5E" w:rsidRDefault="005A2D5E" w:rsidP="005A2D5E">
      <w:pPr>
        <w:tabs>
          <w:tab w:val="left" w:pos="720"/>
        </w:tabs>
        <w:jc w:val="both"/>
        <w:rPr>
          <w:rFonts w:ascii="Times New Roman" w:hAnsi="Times New Roman"/>
          <w:bCs/>
          <w:sz w:val="24"/>
        </w:rPr>
      </w:pPr>
      <w:r w:rsidRPr="00697FF7">
        <w:rPr>
          <w:rFonts w:ascii="Times New Roman" w:hAnsi="Times New Roman"/>
          <w:bCs/>
          <w:sz w:val="24"/>
        </w:rPr>
        <w:tab/>
      </w:r>
      <w:r>
        <w:rPr>
          <w:rFonts w:ascii="Times New Roman" w:hAnsi="Times New Roman"/>
          <w:bCs/>
          <w:sz w:val="24"/>
        </w:rPr>
        <w:t xml:space="preserve">Deputy </w:t>
      </w:r>
      <w:r w:rsidRPr="00697FF7">
        <w:rPr>
          <w:rFonts w:ascii="Times New Roman" w:hAnsi="Times New Roman"/>
          <w:bCs/>
          <w:sz w:val="24"/>
        </w:rPr>
        <w:t>Public Counsel</w:t>
      </w:r>
    </w:p>
    <w:p w:rsidR="007A0368" w:rsidRDefault="005A2D5E" w:rsidP="005A2D5E">
      <w:pPr>
        <w:tabs>
          <w:tab w:val="left" w:pos="720"/>
        </w:tabs>
        <w:jc w:val="both"/>
        <w:rPr>
          <w:rFonts w:ascii="Times New Roman" w:hAnsi="Times New Roman"/>
          <w:bCs/>
          <w:sz w:val="24"/>
        </w:rPr>
      </w:pPr>
      <w:r>
        <w:rPr>
          <w:rFonts w:ascii="Times New Roman" w:hAnsi="Times New Roman"/>
          <w:bCs/>
          <w:sz w:val="24"/>
        </w:rPr>
        <w:tab/>
      </w:r>
    </w:p>
    <w:p w:rsidR="005A2D5E" w:rsidRDefault="007A0368" w:rsidP="005A2D5E">
      <w:pPr>
        <w:tabs>
          <w:tab w:val="left" w:pos="720"/>
        </w:tabs>
        <w:jc w:val="both"/>
        <w:rPr>
          <w:rFonts w:ascii="Times New Roman" w:hAnsi="Times New Roman"/>
          <w:bCs/>
          <w:sz w:val="24"/>
        </w:rPr>
      </w:pPr>
      <w:r>
        <w:rPr>
          <w:rFonts w:ascii="Times New Roman" w:hAnsi="Times New Roman"/>
          <w:bCs/>
          <w:sz w:val="24"/>
        </w:rPr>
        <w:tab/>
      </w:r>
      <w:r w:rsidR="005A2D5E">
        <w:rPr>
          <w:rFonts w:ascii="Times New Roman" w:hAnsi="Times New Roman"/>
          <w:bCs/>
          <w:sz w:val="24"/>
        </w:rPr>
        <w:t>Patricia A. Christensen</w:t>
      </w:r>
    </w:p>
    <w:p w:rsidR="005A2D5E" w:rsidRPr="00697FF7" w:rsidRDefault="005A2D5E" w:rsidP="005A2D5E">
      <w:pPr>
        <w:tabs>
          <w:tab w:val="left" w:pos="720"/>
        </w:tabs>
        <w:jc w:val="both"/>
        <w:rPr>
          <w:rFonts w:ascii="Times New Roman" w:hAnsi="Times New Roman"/>
          <w:bCs/>
          <w:sz w:val="24"/>
        </w:rPr>
      </w:pPr>
      <w:r>
        <w:rPr>
          <w:rFonts w:ascii="Times New Roman" w:hAnsi="Times New Roman"/>
          <w:bCs/>
          <w:sz w:val="24"/>
        </w:rPr>
        <w:tab/>
        <w:t>Associate Public Counsel</w:t>
      </w:r>
    </w:p>
    <w:p w:rsidR="007A0368" w:rsidRDefault="005A2D5E" w:rsidP="005A2D5E">
      <w:pPr>
        <w:tabs>
          <w:tab w:val="left" w:pos="720"/>
        </w:tabs>
        <w:jc w:val="both"/>
        <w:rPr>
          <w:rFonts w:ascii="Times New Roman" w:hAnsi="Times New Roman"/>
          <w:bCs/>
          <w:sz w:val="24"/>
        </w:rPr>
      </w:pPr>
      <w:r w:rsidRPr="00697FF7">
        <w:rPr>
          <w:rFonts w:ascii="Times New Roman" w:hAnsi="Times New Roman"/>
          <w:bCs/>
          <w:sz w:val="24"/>
        </w:rPr>
        <w:tab/>
      </w:r>
    </w:p>
    <w:p w:rsidR="005A2D5E" w:rsidRPr="00697FF7" w:rsidRDefault="007A0368" w:rsidP="005A2D5E">
      <w:pPr>
        <w:tabs>
          <w:tab w:val="left" w:pos="720"/>
        </w:tabs>
        <w:jc w:val="both"/>
        <w:rPr>
          <w:rFonts w:ascii="Times New Roman" w:hAnsi="Times New Roman"/>
          <w:bCs/>
          <w:sz w:val="24"/>
        </w:rPr>
      </w:pPr>
      <w:r>
        <w:rPr>
          <w:rFonts w:ascii="Times New Roman" w:hAnsi="Times New Roman"/>
          <w:bCs/>
          <w:sz w:val="24"/>
        </w:rPr>
        <w:tab/>
      </w:r>
      <w:r w:rsidR="005A2D5E" w:rsidRPr="00697FF7">
        <w:rPr>
          <w:rFonts w:ascii="Times New Roman" w:hAnsi="Times New Roman"/>
          <w:bCs/>
          <w:sz w:val="24"/>
        </w:rPr>
        <w:t>Office of Public Counsel</w:t>
      </w:r>
    </w:p>
    <w:p w:rsidR="005A2D5E" w:rsidRPr="00697FF7" w:rsidRDefault="005A2D5E" w:rsidP="005A2D5E">
      <w:pPr>
        <w:tabs>
          <w:tab w:val="left" w:pos="720"/>
        </w:tabs>
        <w:jc w:val="both"/>
        <w:rPr>
          <w:rFonts w:ascii="Times New Roman" w:hAnsi="Times New Roman"/>
          <w:bCs/>
          <w:sz w:val="24"/>
        </w:rPr>
      </w:pPr>
      <w:r w:rsidRPr="00697FF7">
        <w:rPr>
          <w:rFonts w:ascii="Times New Roman" w:hAnsi="Times New Roman"/>
          <w:bCs/>
          <w:sz w:val="24"/>
        </w:rPr>
        <w:tab/>
        <w:t>c/o The Florida Legislature</w:t>
      </w:r>
    </w:p>
    <w:p w:rsidR="005A2D5E" w:rsidRPr="00697FF7" w:rsidRDefault="005A2D5E" w:rsidP="005A2D5E">
      <w:pPr>
        <w:tabs>
          <w:tab w:val="left" w:pos="720"/>
        </w:tabs>
        <w:jc w:val="both"/>
        <w:rPr>
          <w:rFonts w:ascii="Times New Roman" w:hAnsi="Times New Roman"/>
          <w:bCs/>
          <w:sz w:val="24"/>
        </w:rPr>
      </w:pPr>
      <w:r w:rsidRPr="00697FF7">
        <w:rPr>
          <w:rFonts w:ascii="Times New Roman" w:hAnsi="Times New Roman"/>
          <w:bCs/>
          <w:sz w:val="24"/>
        </w:rPr>
        <w:tab/>
        <w:t>111 West Madison Street, Room 812</w:t>
      </w:r>
    </w:p>
    <w:p w:rsidR="005A2D5E" w:rsidRPr="00697FF7" w:rsidRDefault="005A2D5E" w:rsidP="005A2D5E">
      <w:pPr>
        <w:tabs>
          <w:tab w:val="left" w:pos="720"/>
        </w:tabs>
        <w:jc w:val="both"/>
        <w:rPr>
          <w:rFonts w:ascii="Times New Roman" w:hAnsi="Times New Roman"/>
          <w:bCs/>
          <w:sz w:val="24"/>
        </w:rPr>
      </w:pPr>
      <w:r w:rsidRPr="00697FF7">
        <w:rPr>
          <w:rFonts w:ascii="Times New Roman" w:hAnsi="Times New Roman"/>
          <w:bCs/>
          <w:sz w:val="24"/>
        </w:rPr>
        <w:tab/>
        <w:t>Tallahassee, Florida 32399-1400</w:t>
      </w:r>
    </w:p>
    <w:p w:rsidR="005A2D5E" w:rsidRPr="00697FF7" w:rsidRDefault="005A2D5E" w:rsidP="005A2D5E">
      <w:pPr>
        <w:tabs>
          <w:tab w:val="left" w:pos="720"/>
        </w:tabs>
        <w:jc w:val="both"/>
        <w:rPr>
          <w:rFonts w:ascii="Times New Roman" w:hAnsi="Times New Roman"/>
          <w:bCs/>
          <w:sz w:val="24"/>
          <w:u w:val="single"/>
        </w:rPr>
      </w:pPr>
      <w:r w:rsidRPr="00697FF7">
        <w:rPr>
          <w:rFonts w:ascii="Times New Roman" w:hAnsi="Times New Roman"/>
          <w:bCs/>
          <w:sz w:val="24"/>
        </w:rPr>
        <w:tab/>
      </w:r>
      <w:r w:rsidRPr="00697FF7">
        <w:rPr>
          <w:rFonts w:ascii="Times New Roman" w:hAnsi="Times New Roman"/>
          <w:bCs/>
          <w:sz w:val="24"/>
          <w:u w:val="single"/>
        </w:rPr>
        <w:t>On behalf of the Citizens of the State of Florida</w:t>
      </w:r>
    </w:p>
    <w:p w:rsidR="005A2D5E" w:rsidRDefault="005A2D5E" w:rsidP="002F2B13">
      <w:pPr>
        <w:tabs>
          <w:tab w:val="left" w:pos="720"/>
        </w:tabs>
        <w:jc w:val="both"/>
        <w:rPr>
          <w:rFonts w:ascii="Times New Roman" w:hAnsi="Times New Roman"/>
          <w:bCs/>
          <w:sz w:val="24"/>
        </w:rPr>
      </w:pPr>
    </w:p>
    <w:p w:rsidR="00331BD4" w:rsidRPr="00697FF7" w:rsidRDefault="00331BD4" w:rsidP="00FC39E0">
      <w:pPr>
        <w:tabs>
          <w:tab w:val="left" w:pos="720"/>
        </w:tabs>
        <w:rPr>
          <w:rFonts w:ascii="Times New Roman" w:hAnsi="Times New Roman"/>
          <w:bCs/>
          <w:sz w:val="24"/>
          <w:u w:val="single"/>
        </w:rPr>
      </w:pPr>
    </w:p>
    <w:p w:rsidR="00FC39E0" w:rsidRPr="00344D31" w:rsidRDefault="00FC39E0" w:rsidP="00FC39E0">
      <w:pPr>
        <w:tabs>
          <w:tab w:val="left" w:pos="720"/>
        </w:tabs>
        <w:rPr>
          <w:rFonts w:ascii="Times New Roman" w:hAnsi="Times New Roman"/>
          <w:b/>
          <w:bCs/>
          <w:sz w:val="24"/>
          <w:u w:val="single"/>
        </w:rPr>
      </w:pPr>
      <w:r w:rsidRPr="00344D31">
        <w:rPr>
          <w:rFonts w:ascii="Times New Roman" w:hAnsi="Times New Roman"/>
          <w:b/>
          <w:bCs/>
          <w:sz w:val="24"/>
        </w:rPr>
        <w:t xml:space="preserve">1.  </w:t>
      </w:r>
      <w:r w:rsidR="00344D31" w:rsidRPr="00344D31">
        <w:rPr>
          <w:rFonts w:ascii="Times New Roman" w:hAnsi="Times New Roman"/>
          <w:b/>
          <w:bCs/>
          <w:sz w:val="24"/>
        </w:rPr>
        <w:tab/>
      </w:r>
      <w:r w:rsidRPr="00344D31">
        <w:rPr>
          <w:rFonts w:ascii="Times New Roman" w:hAnsi="Times New Roman"/>
          <w:b/>
          <w:bCs/>
          <w:sz w:val="24"/>
          <w:u w:val="single"/>
        </w:rPr>
        <w:t>WITNESSES</w:t>
      </w:r>
      <w:r w:rsidRPr="00344D31">
        <w:rPr>
          <w:rFonts w:ascii="Times New Roman" w:hAnsi="Times New Roman"/>
          <w:b/>
          <w:bCs/>
          <w:sz w:val="24"/>
        </w:rPr>
        <w:t>:</w:t>
      </w:r>
    </w:p>
    <w:p w:rsidR="00FC39E0" w:rsidRPr="00697FF7" w:rsidRDefault="00FC39E0" w:rsidP="00FC39E0">
      <w:pPr>
        <w:tabs>
          <w:tab w:val="left" w:pos="720"/>
        </w:tabs>
        <w:rPr>
          <w:rFonts w:ascii="Times New Roman" w:hAnsi="Times New Roman"/>
          <w:bCs/>
          <w:sz w:val="24"/>
          <w:u w:val="single"/>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t>The Citizens intend to call the following witnesses, who will address the issues indicated:</w:t>
      </w:r>
    </w:p>
    <w:p w:rsidR="00FC39E0" w:rsidRPr="00697FF7" w:rsidRDefault="00FC39E0" w:rsidP="00FC39E0">
      <w:pPr>
        <w:tabs>
          <w:tab w:val="left" w:pos="720"/>
        </w:tabs>
        <w:rPr>
          <w:rFonts w:ascii="Times New Roman" w:hAnsi="Times New Roman"/>
          <w:bCs/>
          <w:sz w:val="24"/>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r>
      <w:r w:rsidRPr="00697FF7">
        <w:rPr>
          <w:rFonts w:ascii="Times New Roman" w:hAnsi="Times New Roman"/>
          <w:bCs/>
          <w:sz w:val="24"/>
          <w:u w:val="single"/>
        </w:rPr>
        <w:t>NAME</w:t>
      </w:r>
      <w:r w:rsidRPr="00697FF7">
        <w:rPr>
          <w:rFonts w:ascii="Times New Roman" w:hAnsi="Times New Roman"/>
          <w:bCs/>
          <w:sz w:val="24"/>
          <w:u w:val="single"/>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u w:val="single"/>
        </w:rPr>
        <w:t>ISSUES</w:t>
      </w:r>
    </w:p>
    <w:p w:rsidR="00FC39E0" w:rsidRDefault="00EC6159" w:rsidP="00FC39E0">
      <w:pPr>
        <w:tabs>
          <w:tab w:val="left" w:pos="720"/>
        </w:tabs>
        <w:rPr>
          <w:rFonts w:ascii="Times New Roman" w:hAnsi="Times New Roman"/>
          <w:bCs/>
          <w:sz w:val="24"/>
        </w:rPr>
      </w:pPr>
      <w:r>
        <w:rPr>
          <w:rFonts w:ascii="Times New Roman" w:hAnsi="Times New Roman"/>
          <w:bCs/>
          <w:sz w:val="24"/>
        </w:rPr>
        <w:tab/>
      </w:r>
    </w:p>
    <w:p w:rsidR="00D05F08" w:rsidRDefault="00D40B4F" w:rsidP="00FC39E0">
      <w:pPr>
        <w:tabs>
          <w:tab w:val="left" w:pos="720"/>
        </w:tabs>
        <w:rPr>
          <w:rFonts w:ascii="Times New Roman" w:hAnsi="Times New Roman"/>
          <w:bCs/>
          <w:sz w:val="24"/>
        </w:rPr>
      </w:pPr>
      <w:r>
        <w:rPr>
          <w:rFonts w:ascii="Times New Roman" w:hAnsi="Times New Roman"/>
          <w:bCs/>
          <w:sz w:val="24"/>
        </w:rPr>
        <w:tab/>
        <w:t>James W. Daniel</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4, 5</w:t>
      </w:r>
    </w:p>
    <w:p w:rsidR="00D05F08" w:rsidRDefault="00D05F08" w:rsidP="00FC39E0">
      <w:pPr>
        <w:tabs>
          <w:tab w:val="left" w:pos="720"/>
        </w:tabs>
        <w:rPr>
          <w:rFonts w:ascii="Times New Roman" w:hAnsi="Times New Roman"/>
          <w:bCs/>
          <w:sz w:val="24"/>
        </w:rPr>
      </w:pPr>
    </w:p>
    <w:p w:rsidR="00EC6159" w:rsidRPr="00A3692F" w:rsidRDefault="00EC6159" w:rsidP="004C053D">
      <w:pPr>
        <w:tabs>
          <w:tab w:val="left" w:pos="720"/>
        </w:tabs>
        <w:ind w:left="6480" w:hanging="6480"/>
        <w:rPr>
          <w:rFonts w:ascii="Times New Roman" w:hAnsi="Times New Roman"/>
          <w:bCs/>
          <w:sz w:val="24"/>
        </w:rPr>
      </w:pPr>
      <w:r>
        <w:rPr>
          <w:rFonts w:ascii="Times New Roman" w:hAnsi="Times New Roman"/>
          <w:bCs/>
          <w:sz w:val="24"/>
        </w:rPr>
        <w:tab/>
      </w:r>
      <w:r w:rsidR="00A55CFB">
        <w:rPr>
          <w:rFonts w:ascii="Times New Roman" w:hAnsi="Times New Roman"/>
          <w:bCs/>
          <w:sz w:val="24"/>
        </w:rPr>
        <w:t>Kevin W. O’Donnell</w:t>
      </w:r>
      <w:r w:rsidR="00275B80" w:rsidRPr="00285E69">
        <w:rPr>
          <w:rFonts w:ascii="Times New Roman" w:hAnsi="Times New Roman"/>
          <w:bCs/>
          <w:sz w:val="24"/>
        </w:rPr>
        <w:tab/>
      </w:r>
      <w:r w:rsidR="00D40B4F">
        <w:rPr>
          <w:rFonts w:ascii="Times New Roman" w:hAnsi="Times New Roman"/>
          <w:bCs/>
          <w:sz w:val="24"/>
        </w:rPr>
        <w:t>5</w:t>
      </w:r>
    </w:p>
    <w:p w:rsidR="00EC6159" w:rsidRPr="00A3692F" w:rsidRDefault="00B26582" w:rsidP="004C053D">
      <w:pPr>
        <w:tabs>
          <w:tab w:val="left" w:pos="720"/>
        </w:tabs>
        <w:ind w:left="6480" w:hanging="6480"/>
        <w:rPr>
          <w:rFonts w:ascii="Times New Roman" w:hAnsi="Times New Roman"/>
          <w:bCs/>
          <w:sz w:val="24"/>
        </w:rPr>
      </w:pPr>
      <w:r w:rsidRPr="00A3692F">
        <w:rPr>
          <w:rFonts w:ascii="Times New Roman" w:hAnsi="Times New Roman"/>
          <w:bCs/>
          <w:sz w:val="24"/>
        </w:rPr>
        <w:tab/>
      </w:r>
    </w:p>
    <w:p w:rsidR="0001182D" w:rsidRDefault="0068343A" w:rsidP="004C053D">
      <w:pPr>
        <w:tabs>
          <w:tab w:val="left" w:pos="720"/>
        </w:tabs>
        <w:ind w:left="6480" w:hanging="6480"/>
        <w:rPr>
          <w:rFonts w:ascii="Times New Roman" w:hAnsi="Times New Roman"/>
          <w:bCs/>
          <w:sz w:val="24"/>
        </w:rPr>
      </w:pPr>
      <w:r w:rsidRPr="00A3692F">
        <w:rPr>
          <w:rFonts w:ascii="Times New Roman" w:hAnsi="Times New Roman"/>
          <w:bCs/>
          <w:sz w:val="24"/>
        </w:rPr>
        <w:tab/>
      </w:r>
      <w:r w:rsidR="00C36EA0" w:rsidRPr="00A3692F">
        <w:rPr>
          <w:rFonts w:ascii="Times New Roman" w:hAnsi="Times New Roman"/>
          <w:bCs/>
          <w:sz w:val="24"/>
        </w:rPr>
        <w:t>Jacob Pous</w:t>
      </w:r>
      <w:r w:rsidR="00C36EA0" w:rsidRPr="00A3692F">
        <w:rPr>
          <w:rFonts w:ascii="Times New Roman" w:hAnsi="Times New Roman"/>
          <w:bCs/>
          <w:sz w:val="24"/>
        </w:rPr>
        <w:tab/>
      </w:r>
      <w:r w:rsidR="00D40B4F">
        <w:rPr>
          <w:rFonts w:ascii="Times New Roman" w:hAnsi="Times New Roman"/>
          <w:bCs/>
          <w:sz w:val="24"/>
        </w:rPr>
        <w:t>2, 3, 5</w:t>
      </w:r>
    </w:p>
    <w:p w:rsidR="00275B80" w:rsidRDefault="00275B80" w:rsidP="004C053D">
      <w:pPr>
        <w:tabs>
          <w:tab w:val="left" w:pos="720"/>
        </w:tabs>
        <w:ind w:left="6480" w:hanging="6480"/>
        <w:rPr>
          <w:rFonts w:ascii="Times New Roman" w:hAnsi="Times New Roman"/>
          <w:bCs/>
          <w:sz w:val="24"/>
        </w:rPr>
      </w:pPr>
    </w:p>
    <w:p w:rsidR="00C36EA0" w:rsidRDefault="004C053D" w:rsidP="004C053D">
      <w:pPr>
        <w:tabs>
          <w:tab w:val="left" w:pos="720"/>
        </w:tabs>
        <w:ind w:left="6480" w:hanging="6480"/>
        <w:rPr>
          <w:rFonts w:ascii="Times New Roman" w:hAnsi="Times New Roman"/>
          <w:bCs/>
          <w:sz w:val="24"/>
        </w:rPr>
      </w:pPr>
      <w:r>
        <w:rPr>
          <w:rFonts w:ascii="Times New Roman" w:hAnsi="Times New Roman"/>
          <w:bCs/>
          <w:sz w:val="24"/>
        </w:rPr>
        <w:tab/>
      </w:r>
      <w:r w:rsidR="00A55CFB">
        <w:rPr>
          <w:rFonts w:ascii="Times New Roman" w:hAnsi="Times New Roman"/>
          <w:bCs/>
          <w:sz w:val="24"/>
        </w:rPr>
        <w:t>Donna Ramas</w:t>
      </w:r>
      <w:r w:rsidR="00C36EA0">
        <w:rPr>
          <w:rFonts w:ascii="Times New Roman" w:hAnsi="Times New Roman"/>
          <w:bCs/>
          <w:sz w:val="24"/>
        </w:rPr>
        <w:tab/>
      </w:r>
      <w:r w:rsidR="00D40B4F">
        <w:rPr>
          <w:rFonts w:ascii="Times New Roman" w:hAnsi="Times New Roman"/>
          <w:bCs/>
          <w:sz w:val="24"/>
        </w:rPr>
        <w:t>1, 5</w:t>
      </w:r>
    </w:p>
    <w:p w:rsidR="00D05F08" w:rsidRDefault="00D05F08" w:rsidP="00FC39E0">
      <w:pPr>
        <w:tabs>
          <w:tab w:val="left" w:pos="720"/>
        </w:tabs>
        <w:rPr>
          <w:rFonts w:ascii="Times New Roman" w:hAnsi="Times New Roman"/>
          <w:bCs/>
          <w:sz w:val="24"/>
        </w:rPr>
      </w:pPr>
    </w:p>
    <w:p w:rsidR="00D05F08" w:rsidRDefault="00D05F08" w:rsidP="00FC39E0">
      <w:pPr>
        <w:tabs>
          <w:tab w:val="left" w:pos="720"/>
        </w:tabs>
        <w:rPr>
          <w:rFonts w:ascii="Times New Roman" w:hAnsi="Times New Roman"/>
          <w:bCs/>
          <w:sz w:val="24"/>
        </w:rPr>
      </w:pPr>
    </w:p>
    <w:p w:rsidR="00EC6159" w:rsidRDefault="00EC6159" w:rsidP="00FC39E0">
      <w:pPr>
        <w:tabs>
          <w:tab w:val="left" w:pos="720"/>
        </w:tabs>
        <w:rPr>
          <w:rFonts w:ascii="Times New Roman" w:hAnsi="Times New Roman"/>
          <w:bCs/>
          <w:sz w:val="24"/>
        </w:rPr>
      </w:pPr>
      <w:r>
        <w:rPr>
          <w:rFonts w:ascii="Times New Roman" w:hAnsi="Times New Roman"/>
          <w:bCs/>
          <w:sz w:val="24"/>
        </w:rPr>
        <w:tab/>
      </w:r>
    </w:p>
    <w:p w:rsidR="00B26582" w:rsidRPr="00344D31" w:rsidRDefault="00B26582" w:rsidP="00275B80">
      <w:pPr>
        <w:tabs>
          <w:tab w:val="left" w:pos="720"/>
        </w:tabs>
        <w:rPr>
          <w:rFonts w:ascii="Times New Roman" w:hAnsi="Times New Roman"/>
          <w:b/>
          <w:bCs/>
          <w:sz w:val="24"/>
        </w:rPr>
      </w:pPr>
      <w:r w:rsidRPr="00344D31">
        <w:rPr>
          <w:rFonts w:ascii="Times New Roman" w:hAnsi="Times New Roman"/>
          <w:b/>
          <w:bCs/>
          <w:sz w:val="24"/>
        </w:rPr>
        <w:t xml:space="preserve">2. </w:t>
      </w:r>
      <w:r w:rsidR="00344D31" w:rsidRPr="00344D31">
        <w:rPr>
          <w:rFonts w:ascii="Times New Roman" w:hAnsi="Times New Roman"/>
          <w:b/>
          <w:bCs/>
          <w:sz w:val="24"/>
        </w:rPr>
        <w:tab/>
      </w:r>
      <w:r w:rsidRPr="00344D31">
        <w:rPr>
          <w:rFonts w:ascii="Times New Roman" w:hAnsi="Times New Roman"/>
          <w:b/>
          <w:bCs/>
          <w:sz w:val="24"/>
          <w:u w:val="single"/>
        </w:rPr>
        <w:t>EXHIBITS:</w:t>
      </w:r>
    </w:p>
    <w:p w:rsidR="00B26582" w:rsidRPr="00697FF7" w:rsidRDefault="00B26582" w:rsidP="002F2B13">
      <w:pPr>
        <w:tabs>
          <w:tab w:val="left" w:pos="720"/>
        </w:tabs>
        <w:jc w:val="both"/>
        <w:rPr>
          <w:rFonts w:ascii="Times New Roman" w:hAnsi="Times New Roman"/>
          <w:bCs/>
          <w:sz w:val="24"/>
        </w:rPr>
      </w:pPr>
    </w:p>
    <w:p w:rsidR="00B26582" w:rsidRDefault="00B26582" w:rsidP="00344D31">
      <w:pPr>
        <w:tabs>
          <w:tab w:val="left" w:pos="720"/>
        </w:tabs>
        <w:ind w:left="720"/>
        <w:jc w:val="both"/>
        <w:rPr>
          <w:rFonts w:ascii="Times New Roman" w:hAnsi="Times New Roman"/>
          <w:bCs/>
          <w:sz w:val="24"/>
        </w:rPr>
      </w:pPr>
      <w:r w:rsidRPr="00697FF7">
        <w:rPr>
          <w:rFonts w:ascii="Times New Roman" w:hAnsi="Times New Roman"/>
          <w:bCs/>
          <w:sz w:val="24"/>
        </w:rPr>
        <w:t>Through</w:t>
      </w:r>
      <w:r w:rsidR="004F11C3">
        <w:rPr>
          <w:rFonts w:ascii="Times New Roman" w:hAnsi="Times New Roman"/>
          <w:bCs/>
          <w:sz w:val="24"/>
        </w:rPr>
        <w:t xml:space="preserve"> </w:t>
      </w:r>
      <w:r w:rsidR="00D05F08">
        <w:rPr>
          <w:rFonts w:ascii="Times New Roman" w:hAnsi="Times New Roman"/>
          <w:bCs/>
          <w:sz w:val="24"/>
        </w:rPr>
        <w:t xml:space="preserve">James W. Daniel, </w:t>
      </w:r>
      <w:r w:rsidR="004F11C3">
        <w:rPr>
          <w:rFonts w:ascii="Times New Roman" w:hAnsi="Times New Roman"/>
          <w:bCs/>
          <w:sz w:val="24"/>
        </w:rPr>
        <w:t>Kevin W. O’Donnell,</w:t>
      </w:r>
      <w:r w:rsidR="004A14A1">
        <w:rPr>
          <w:rFonts w:ascii="Times New Roman" w:hAnsi="Times New Roman"/>
          <w:bCs/>
          <w:sz w:val="24"/>
        </w:rPr>
        <w:t xml:space="preserve"> Jacob Pous,</w:t>
      </w:r>
      <w:r w:rsidR="004F11C3">
        <w:rPr>
          <w:rFonts w:ascii="Times New Roman" w:hAnsi="Times New Roman"/>
          <w:bCs/>
          <w:sz w:val="24"/>
        </w:rPr>
        <w:t xml:space="preserve"> </w:t>
      </w:r>
      <w:r w:rsidR="00D05F08">
        <w:rPr>
          <w:rFonts w:ascii="Times New Roman" w:hAnsi="Times New Roman"/>
          <w:bCs/>
          <w:sz w:val="24"/>
        </w:rPr>
        <w:t xml:space="preserve">and </w:t>
      </w:r>
      <w:r w:rsidR="002C1405">
        <w:rPr>
          <w:rFonts w:ascii="Times New Roman" w:hAnsi="Times New Roman"/>
          <w:bCs/>
          <w:sz w:val="24"/>
        </w:rPr>
        <w:t xml:space="preserve">Donna Ramas, </w:t>
      </w:r>
      <w:r w:rsidRPr="00697FF7">
        <w:rPr>
          <w:rFonts w:ascii="Times New Roman" w:hAnsi="Times New Roman"/>
          <w:bCs/>
          <w:sz w:val="24"/>
        </w:rPr>
        <w:t>the Citizens intend to introduce the following exhibits, which can be identified on a composite basis</w:t>
      </w:r>
      <w:r w:rsidR="00275B80">
        <w:rPr>
          <w:rFonts w:ascii="Times New Roman" w:hAnsi="Times New Roman"/>
          <w:bCs/>
          <w:sz w:val="24"/>
        </w:rPr>
        <w:t xml:space="preserve"> for each witness</w:t>
      </w:r>
      <w:r w:rsidRPr="00697FF7">
        <w:rPr>
          <w:rFonts w:ascii="Times New Roman" w:hAnsi="Times New Roman"/>
          <w:bCs/>
          <w:sz w:val="24"/>
        </w:rPr>
        <w:t>:</w:t>
      </w:r>
    </w:p>
    <w:p w:rsidR="00275B80" w:rsidRDefault="00275B80" w:rsidP="002F2B13">
      <w:pPr>
        <w:tabs>
          <w:tab w:val="left" w:pos="720"/>
        </w:tabs>
        <w:jc w:val="both"/>
        <w:rPr>
          <w:rFonts w:ascii="Times New Roman" w:hAnsi="Times New Roman"/>
          <w:bCs/>
          <w:sz w:val="24"/>
        </w:rPr>
      </w:pPr>
    </w:p>
    <w:tbl>
      <w:tblPr>
        <w:tblStyle w:val="TableGrid"/>
        <w:tblW w:w="92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1710"/>
        <w:gridCol w:w="4950"/>
      </w:tblGrid>
      <w:tr w:rsidR="00A3692F" w:rsidRPr="00A3692F" w:rsidTr="00A3692F">
        <w:tc>
          <w:tcPr>
            <w:tcW w:w="2610" w:type="dxa"/>
          </w:tcPr>
          <w:p w:rsidR="00A3692F" w:rsidRPr="00A3692F" w:rsidRDefault="00A3692F" w:rsidP="00A3692F">
            <w:pPr>
              <w:jc w:val="center"/>
              <w:rPr>
                <w:rFonts w:ascii="Times New Roman" w:hAnsi="Times New Roman"/>
                <w:b/>
                <w:sz w:val="24"/>
                <w:u w:val="single"/>
              </w:rPr>
            </w:pPr>
            <w:r w:rsidRPr="00A3692F">
              <w:rPr>
                <w:rFonts w:ascii="Times New Roman" w:hAnsi="Times New Roman"/>
                <w:b/>
                <w:sz w:val="24"/>
                <w:u w:val="single"/>
              </w:rPr>
              <w:t>Witness</w:t>
            </w:r>
          </w:p>
        </w:tc>
        <w:tc>
          <w:tcPr>
            <w:tcW w:w="1710" w:type="dxa"/>
          </w:tcPr>
          <w:p w:rsidR="00A3692F" w:rsidRPr="00A3692F" w:rsidRDefault="00A3692F" w:rsidP="00A3692F">
            <w:pPr>
              <w:rPr>
                <w:rFonts w:ascii="Times New Roman" w:hAnsi="Times New Roman"/>
                <w:b/>
                <w:sz w:val="24"/>
                <w:u w:val="single"/>
              </w:rPr>
            </w:pPr>
            <w:r w:rsidRPr="00A3692F">
              <w:rPr>
                <w:rFonts w:ascii="Times New Roman" w:hAnsi="Times New Roman"/>
                <w:b/>
                <w:sz w:val="24"/>
                <w:u w:val="single"/>
              </w:rPr>
              <w:t>Exhibits</w:t>
            </w:r>
          </w:p>
        </w:tc>
        <w:tc>
          <w:tcPr>
            <w:tcW w:w="4950" w:type="dxa"/>
          </w:tcPr>
          <w:p w:rsidR="00A3692F" w:rsidRPr="00A3692F" w:rsidRDefault="00A3692F" w:rsidP="00A3692F">
            <w:pPr>
              <w:jc w:val="center"/>
              <w:rPr>
                <w:rFonts w:ascii="Times New Roman" w:hAnsi="Times New Roman"/>
                <w:b/>
                <w:sz w:val="24"/>
                <w:u w:val="single"/>
              </w:rPr>
            </w:pPr>
            <w:r w:rsidRPr="00A3692F">
              <w:rPr>
                <w:rFonts w:ascii="Times New Roman" w:hAnsi="Times New Roman"/>
                <w:b/>
                <w:sz w:val="24"/>
                <w:u w:val="single"/>
              </w:rPr>
              <w:t>Title</w:t>
            </w:r>
          </w:p>
        </w:tc>
      </w:tr>
      <w:tr w:rsidR="00D05F08" w:rsidRPr="00275B80" w:rsidTr="00A3692F">
        <w:tc>
          <w:tcPr>
            <w:tcW w:w="2610" w:type="dxa"/>
          </w:tcPr>
          <w:p w:rsidR="00D05F08" w:rsidRDefault="002170E0" w:rsidP="004F11C3">
            <w:pPr>
              <w:rPr>
                <w:rFonts w:ascii="Times New Roman" w:hAnsi="Times New Roman"/>
                <w:sz w:val="24"/>
              </w:rPr>
            </w:pPr>
            <w:r>
              <w:rPr>
                <w:rFonts w:ascii="Times New Roman" w:hAnsi="Times New Roman"/>
                <w:sz w:val="24"/>
              </w:rPr>
              <w:t>James W. Daniel</w:t>
            </w:r>
          </w:p>
        </w:tc>
        <w:tc>
          <w:tcPr>
            <w:tcW w:w="1710" w:type="dxa"/>
          </w:tcPr>
          <w:p w:rsidR="00D05F08" w:rsidRDefault="002170E0" w:rsidP="00522382">
            <w:pPr>
              <w:rPr>
                <w:rFonts w:ascii="Times New Roman" w:hAnsi="Times New Roman"/>
                <w:sz w:val="24"/>
              </w:rPr>
            </w:pPr>
            <w:r>
              <w:rPr>
                <w:rFonts w:ascii="Times New Roman" w:hAnsi="Times New Roman"/>
                <w:sz w:val="24"/>
              </w:rPr>
              <w:t>JWD-1</w:t>
            </w:r>
          </w:p>
        </w:tc>
        <w:tc>
          <w:tcPr>
            <w:tcW w:w="4950" w:type="dxa"/>
          </w:tcPr>
          <w:p w:rsidR="00D05F08" w:rsidRDefault="002170E0" w:rsidP="00522382">
            <w:pPr>
              <w:rPr>
                <w:rFonts w:ascii="Times New Roman" w:hAnsi="Times New Roman"/>
                <w:sz w:val="24"/>
              </w:rPr>
            </w:pPr>
            <w:r>
              <w:rPr>
                <w:rFonts w:ascii="Times New Roman" w:hAnsi="Times New Roman"/>
                <w:sz w:val="24"/>
              </w:rPr>
              <w:t>List of Regulatory Proceedings</w:t>
            </w:r>
          </w:p>
        </w:tc>
      </w:tr>
      <w:tr w:rsidR="002170E0" w:rsidRPr="00275B80" w:rsidTr="00A3692F">
        <w:tc>
          <w:tcPr>
            <w:tcW w:w="2610" w:type="dxa"/>
          </w:tcPr>
          <w:p w:rsidR="002170E0" w:rsidRDefault="002170E0" w:rsidP="004F11C3">
            <w:pPr>
              <w:rPr>
                <w:rFonts w:ascii="Times New Roman" w:hAnsi="Times New Roman"/>
                <w:sz w:val="24"/>
              </w:rPr>
            </w:pPr>
            <w:r>
              <w:rPr>
                <w:rFonts w:ascii="Times New Roman" w:hAnsi="Times New Roman"/>
                <w:sz w:val="24"/>
              </w:rPr>
              <w:t>James W. Daniel</w:t>
            </w:r>
          </w:p>
        </w:tc>
        <w:tc>
          <w:tcPr>
            <w:tcW w:w="1710" w:type="dxa"/>
          </w:tcPr>
          <w:p w:rsidR="002170E0" w:rsidRDefault="002170E0" w:rsidP="00522382">
            <w:pPr>
              <w:rPr>
                <w:rFonts w:ascii="Times New Roman" w:hAnsi="Times New Roman"/>
                <w:sz w:val="24"/>
              </w:rPr>
            </w:pPr>
            <w:r>
              <w:rPr>
                <w:rFonts w:ascii="Times New Roman" w:hAnsi="Times New Roman"/>
                <w:sz w:val="24"/>
              </w:rPr>
              <w:t>JWD-2</w:t>
            </w:r>
          </w:p>
        </w:tc>
        <w:tc>
          <w:tcPr>
            <w:tcW w:w="4950" w:type="dxa"/>
          </w:tcPr>
          <w:p w:rsidR="002170E0" w:rsidRDefault="002170E0" w:rsidP="00522382">
            <w:pPr>
              <w:rPr>
                <w:rFonts w:ascii="Times New Roman" w:hAnsi="Times New Roman"/>
                <w:sz w:val="24"/>
              </w:rPr>
            </w:pPr>
            <w:r>
              <w:rPr>
                <w:rFonts w:ascii="Times New Roman" w:hAnsi="Times New Roman"/>
                <w:sz w:val="24"/>
              </w:rPr>
              <w:t>Incentive Mechanism Comparison</w:t>
            </w:r>
          </w:p>
        </w:tc>
      </w:tr>
      <w:tr w:rsidR="00A3692F" w:rsidRPr="00275B80" w:rsidTr="00A3692F">
        <w:tc>
          <w:tcPr>
            <w:tcW w:w="2610" w:type="dxa"/>
          </w:tcPr>
          <w:p w:rsidR="00A3692F" w:rsidRPr="00275B80" w:rsidRDefault="00A3692F" w:rsidP="004F11C3">
            <w:pPr>
              <w:rPr>
                <w:rFonts w:ascii="Times New Roman" w:hAnsi="Times New Roman"/>
                <w:sz w:val="24"/>
              </w:rPr>
            </w:pPr>
            <w:r>
              <w:rPr>
                <w:rFonts w:ascii="Times New Roman" w:hAnsi="Times New Roman"/>
                <w:sz w:val="24"/>
              </w:rPr>
              <w:t>Kevin W. O’Donnell</w:t>
            </w:r>
          </w:p>
        </w:tc>
        <w:tc>
          <w:tcPr>
            <w:tcW w:w="1710" w:type="dxa"/>
          </w:tcPr>
          <w:p w:rsidR="00A3692F" w:rsidRPr="00275B80" w:rsidRDefault="00D05F08" w:rsidP="00522382">
            <w:pPr>
              <w:rPr>
                <w:rFonts w:ascii="Times New Roman" w:hAnsi="Times New Roman"/>
                <w:sz w:val="24"/>
              </w:rPr>
            </w:pPr>
            <w:r>
              <w:rPr>
                <w:rFonts w:ascii="Times New Roman" w:hAnsi="Times New Roman"/>
                <w:sz w:val="24"/>
              </w:rPr>
              <w:t>KWO-11</w:t>
            </w:r>
          </w:p>
        </w:tc>
        <w:tc>
          <w:tcPr>
            <w:tcW w:w="4950" w:type="dxa"/>
          </w:tcPr>
          <w:p w:rsidR="00A3692F" w:rsidRPr="00275B80" w:rsidRDefault="00D05F08" w:rsidP="00522382">
            <w:pPr>
              <w:rPr>
                <w:rFonts w:ascii="Times New Roman" w:hAnsi="Times New Roman"/>
                <w:sz w:val="24"/>
              </w:rPr>
            </w:pPr>
            <w:r>
              <w:rPr>
                <w:rFonts w:ascii="Times New Roman" w:hAnsi="Times New Roman"/>
                <w:sz w:val="24"/>
              </w:rPr>
              <w:t>Dow Jones Utility Index</w:t>
            </w:r>
          </w:p>
        </w:tc>
      </w:tr>
      <w:tr w:rsidR="00A3692F" w:rsidRPr="00275B80" w:rsidTr="00A3692F">
        <w:tc>
          <w:tcPr>
            <w:tcW w:w="2610" w:type="dxa"/>
          </w:tcPr>
          <w:p w:rsidR="00A3692F" w:rsidRDefault="00A3692F" w:rsidP="004F11C3">
            <w:pPr>
              <w:rPr>
                <w:rFonts w:ascii="Times New Roman" w:hAnsi="Times New Roman"/>
                <w:sz w:val="24"/>
              </w:rPr>
            </w:pPr>
            <w:r>
              <w:rPr>
                <w:rFonts w:ascii="Times New Roman" w:hAnsi="Times New Roman"/>
                <w:sz w:val="24"/>
              </w:rPr>
              <w:t>Kevin W. O’Donnell</w:t>
            </w:r>
          </w:p>
        </w:tc>
        <w:tc>
          <w:tcPr>
            <w:tcW w:w="1710" w:type="dxa"/>
          </w:tcPr>
          <w:p w:rsidR="00A3692F" w:rsidRDefault="00A3692F" w:rsidP="00522382">
            <w:pPr>
              <w:rPr>
                <w:rFonts w:ascii="Times New Roman" w:hAnsi="Times New Roman"/>
                <w:sz w:val="24"/>
              </w:rPr>
            </w:pPr>
            <w:r>
              <w:rPr>
                <w:rFonts w:ascii="Times New Roman" w:hAnsi="Times New Roman"/>
                <w:sz w:val="24"/>
              </w:rPr>
              <w:t>KWO-1</w:t>
            </w:r>
            <w:r w:rsidR="00D05F08">
              <w:rPr>
                <w:rFonts w:ascii="Times New Roman" w:hAnsi="Times New Roman"/>
                <w:sz w:val="24"/>
              </w:rPr>
              <w:t>2</w:t>
            </w:r>
          </w:p>
        </w:tc>
        <w:tc>
          <w:tcPr>
            <w:tcW w:w="4950" w:type="dxa"/>
          </w:tcPr>
          <w:p w:rsidR="00A3692F" w:rsidRDefault="00D05F08" w:rsidP="00522382">
            <w:pPr>
              <w:rPr>
                <w:rFonts w:ascii="Times New Roman" w:hAnsi="Times New Roman"/>
                <w:sz w:val="24"/>
              </w:rPr>
            </w:pPr>
            <w:r>
              <w:rPr>
                <w:rFonts w:ascii="Times New Roman" w:hAnsi="Times New Roman"/>
                <w:sz w:val="24"/>
              </w:rPr>
              <w:t>Federal Reserve Article</w:t>
            </w:r>
          </w:p>
        </w:tc>
      </w:tr>
      <w:tr w:rsidR="00A3692F" w:rsidRPr="00275B80" w:rsidTr="00A3692F">
        <w:tc>
          <w:tcPr>
            <w:tcW w:w="2610" w:type="dxa"/>
          </w:tcPr>
          <w:p w:rsidR="00A3692F" w:rsidRDefault="00A3692F" w:rsidP="004F11C3">
            <w:pPr>
              <w:rPr>
                <w:rFonts w:ascii="Times New Roman" w:hAnsi="Times New Roman"/>
                <w:sz w:val="24"/>
              </w:rPr>
            </w:pPr>
            <w:r>
              <w:rPr>
                <w:rFonts w:ascii="Times New Roman" w:hAnsi="Times New Roman"/>
                <w:sz w:val="24"/>
              </w:rPr>
              <w:t>Kevin W. O’Donnell</w:t>
            </w:r>
          </w:p>
        </w:tc>
        <w:tc>
          <w:tcPr>
            <w:tcW w:w="1710" w:type="dxa"/>
          </w:tcPr>
          <w:p w:rsidR="00A3692F" w:rsidRDefault="00A3692F" w:rsidP="00522382">
            <w:pPr>
              <w:rPr>
                <w:rFonts w:ascii="Times New Roman" w:hAnsi="Times New Roman"/>
                <w:sz w:val="24"/>
              </w:rPr>
            </w:pPr>
            <w:r>
              <w:rPr>
                <w:rFonts w:ascii="Times New Roman" w:hAnsi="Times New Roman"/>
                <w:sz w:val="24"/>
              </w:rPr>
              <w:t>KWO-</w:t>
            </w:r>
            <w:r w:rsidR="00D05F08">
              <w:rPr>
                <w:rFonts w:ascii="Times New Roman" w:hAnsi="Times New Roman"/>
                <w:sz w:val="24"/>
              </w:rPr>
              <w:t>13</w:t>
            </w:r>
          </w:p>
        </w:tc>
        <w:tc>
          <w:tcPr>
            <w:tcW w:w="4950" w:type="dxa"/>
          </w:tcPr>
          <w:p w:rsidR="00A3692F" w:rsidRDefault="00D05F08" w:rsidP="00522382">
            <w:pPr>
              <w:rPr>
                <w:rFonts w:ascii="Times New Roman" w:hAnsi="Times New Roman"/>
                <w:sz w:val="24"/>
              </w:rPr>
            </w:pPr>
            <w:r>
              <w:rPr>
                <w:rFonts w:ascii="Times New Roman" w:hAnsi="Times New Roman"/>
                <w:sz w:val="24"/>
              </w:rPr>
              <w:t>ROE Comparison</w:t>
            </w:r>
          </w:p>
        </w:tc>
      </w:tr>
      <w:tr w:rsidR="00A3692F" w:rsidRPr="00275B80" w:rsidTr="00A3692F">
        <w:tc>
          <w:tcPr>
            <w:tcW w:w="2610" w:type="dxa"/>
          </w:tcPr>
          <w:p w:rsidR="00A3692F" w:rsidRDefault="00A3692F" w:rsidP="004F11C3">
            <w:pPr>
              <w:rPr>
                <w:rFonts w:ascii="Times New Roman" w:hAnsi="Times New Roman"/>
                <w:sz w:val="24"/>
              </w:rPr>
            </w:pPr>
            <w:r>
              <w:rPr>
                <w:rFonts w:ascii="Times New Roman" w:hAnsi="Times New Roman"/>
                <w:sz w:val="24"/>
              </w:rPr>
              <w:t>Kevin W. O’Donnell</w:t>
            </w:r>
          </w:p>
        </w:tc>
        <w:tc>
          <w:tcPr>
            <w:tcW w:w="1710" w:type="dxa"/>
          </w:tcPr>
          <w:p w:rsidR="00A3692F" w:rsidRDefault="00A3692F" w:rsidP="00522382">
            <w:pPr>
              <w:rPr>
                <w:rFonts w:ascii="Times New Roman" w:hAnsi="Times New Roman"/>
                <w:sz w:val="24"/>
              </w:rPr>
            </w:pPr>
            <w:r>
              <w:rPr>
                <w:rFonts w:ascii="Times New Roman" w:hAnsi="Times New Roman"/>
                <w:sz w:val="24"/>
              </w:rPr>
              <w:t>KWO-</w:t>
            </w:r>
            <w:r w:rsidR="00D05F08">
              <w:rPr>
                <w:rFonts w:ascii="Times New Roman" w:hAnsi="Times New Roman"/>
                <w:sz w:val="24"/>
              </w:rPr>
              <w:t>14</w:t>
            </w:r>
          </w:p>
        </w:tc>
        <w:tc>
          <w:tcPr>
            <w:tcW w:w="4950" w:type="dxa"/>
          </w:tcPr>
          <w:p w:rsidR="00A3692F" w:rsidRDefault="00D05F08" w:rsidP="00522382">
            <w:pPr>
              <w:rPr>
                <w:rFonts w:ascii="Times New Roman" w:hAnsi="Times New Roman"/>
                <w:sz w:val="24"/>
              </w:rPr>
            </w:pPr>
            <w:r>
              <w:rPr>
                <w:rFonts w:ascii="Times New Roman" w:hAnsi="Times New Roman"/>
                <w:sz w:val="24"/>
              </w:rPr>
              <w:t>Equity Ratio Comparison</w:t>
            </w:r>
          </w:p>
        </w:tc>
      </w:tr>
      <w:tr w:rsidR="00A3692F" w:rsidRPr="00275B80" w:rsidTr="00A3692F">
        <w:tc>
          <w:tcPr>
            <w:tcW w:w="2610" w:type="dxa"/>
          </w:tcPr>
          <w:p w:rsidR="00A3692F" w:rsidRDefault="00A3692F" w:rsidP="004F11C3">
            <w:pPr>
              <w:rPr>
                <w:rFonts w:ascii="Times New Roman" w:hAnsi="Times New Roman"/>
                <w:sz w:val="24"/>
              </w:rPr>
            </w:pPr>
            <w:r>
              <w:rPr>
                <w:rFonts w:ascii="Times New Roman" w:hAnsi="Times New Roman"/>
                <w:sz w:val="24"/>
              </w:rPr>
              <w:t>Kevin W. O’Donnell</w:t>
            </w:r>
          </w:p>
        </w:tc>
        <w:tc>
          <w:tcPr>
            <w:tcW w:w="1710" w:type="dxa"/>
          </w:tcPr>
          <w:p w:rsidR="00A3692F" w:rsidRDefault="00A3692F" w:rsidP="00522382">
            <w:pPr>
              <w:rPr>
                <w:rFonts w:ascii="Times New Roman" w:hAnsi="Times New Roman"/>
                <w:sz w:val="24"/>
              </w:rPr>
            </w:pPr>
            <w:r>
              <w:rPr>
                <w:rFonts w:ascii="Times New Roman" w:hAnsi="Times New Roman"/>
                <w:sz w:val="24"/>
              </w:rPr>
              <w:t>KWO-</w:t>
            </w:r>
            <w:r w:rsidR="00D05F08">
              <w:rPr>
                <w:rFonts w:ascii="Times New Roman" w:hAnsi="Times New Roman"/>
                <w:sz w:val="24"/>
              </w:rPr>
              <w:t>15</w:t>
            </w:r>
          </w:p>
        </w:tc>
        <w:tc>
          <w:tcPr>
            <w:tcW w:w="4950" w:type="dxa"/>
          </w:tcPr>
          <w:p w:rsidR="00A3692F" w:rsidRDefault="00D05F08" w:rsidP="00522382">
            <w:pPr>
              <w:rPr>
                <w:rFonts w:ascii="Times New Roman" w:hAnsi="Times New Roman"/>
                <w:sz w:val="24"/>
              </w:rPr>
            </w:pPr>
            <w:r>
              <w:rPr>
                <w:rFonts w:ascii="Times New Roman" w:hAnsi="Times New Roman"/>
                <w:sz w:val="24"/>
              </w:rPr>
              <w:t>30-Year US Treasury Yields</w:t>
            </w:r>
          </w:p>
        </w:tc>
      </w:tr>
      <w:tr w:rsidR="002170E0" w:rsidRPr="00275B80" w:rsidTr="00A3692F">
        <w:tc>
          <w:tcPr>
            <w:tcW w:w="2610" w:type="dxa"/>
          </w:tcPr>
          <w:p w:rsidR="002170E0" w:rsidRDefault="002170E0" w:rsidP="00C36EA0">
            <w:pPr>
              <w:rPr>
                <w:rFonts w:ascii="Times New Roman" w:hAnsi="Times New Roman"/>
                <w:sz w:val="24"/>
              </w:rPr>
            </w:pPr>
            <w:r>
              <w:rPr>
                <w:rFonts w:ascii="Times New Roman" w:hAnsi="Times New Roman"/>
                <w:sz w:val="24"/>
              </w:rPr>
              <w:t>Donna Ramas</w:t>
            </w:r>
          </w:p>
        </w:tc>
        <w:tc>
          <w:tcPr>
            <w:tcW w:w="1710" w:type="dxa"/>
          </w:tcPr>
          <w:p w:rsidR="002170E0" w:rsidRDefault="002170E0" w:rsidP="00C36EA0">
            <w:pPr>
              <w:rPr>
                <w:rFonts w:ascii="Times New Roman" w:hAnsi="Times New Roman"/>
                <w:sz w:val="24"/>
              </w:rPr>
            </w:pPr>
            <w:r>
              <w:rPr>
                <w:rFonts w:ascii="Times New Roman" w:hAnsi="Times New Roman"/>
                <w:sz w:val="24"/>
              </w:rPr>
              <w:t>DR-7</w:t>
            </w:r>
          </w:p>
        </w:tc>
        <w:tc>
          <w:tcPr>
            <w:tcW w:w="4950" w:type="dxa"/>
          </w:tcPr>
          <w:p w:rsidR="002170E0" w:rsidRDefault="002170E0" w:rsidP="00C36EA0">
            <w:pPr>
              <w:rPr>
                <w:rFonts w:ascii="Times New Roman" w:hAnsi="Times New Roman"/>
                <w:sz w:val="24"/>
              </w:rPr>
            </w:pPr>
            <w:r>
              <w:rPr>
                <w:rFonts w:ascii="Times New Roman" w:hAnsi="Times New Roman"/>
                <w:sz w:val="24"/>
              </w:rPr>
              <w:t>Per FPL Original Revenue Requirement, Modified for Revised ROR</w:t>
            </w:r>
          </w:p>
        </w:tc>
      </w:tr>
      <w:tr w:rsidR="002170E0" w:rsidRPr="00275B80" w:rsidTr="00A3692F">
        <w:tc>
          <w:tcPr>
            <w:tcW w:w="2610" w:type="dxa"/>
          </w:tcPr>
          <w:p w:rsidR="002170E0" w:rsidRDefault="002170E0" w:rsidP="00C36EA0">
            <w:pPr>
              <w:rPr>
                <w:rFonts w:ascii="Times New Roman" w:hAnsi="Times New Roman"/>
                <w:sz w:val="24"/>
              </w:rPr>
            </w:pPr>
            <w:r>
              <w:rPr>
                <w:rFonts w:ascii="Times New Roman" w:hAnsi="Times New Roman"/>
                <w:sz w:val="24"/>
              </w:rPr>
              <w:t>Donna Ramas</w:t>
            </w:r>
          </w:p>
        </w:tc>
        <w:tc>
          <w:tcPr>
            <w:tcW w:w="1710" w:type="dxa"/>
          </w:tcPr>
          <w:p w:rsidR="002170E0" w:rsidRDefault="002170E0" w:rsidP="00C36EA0">
            <w:pPr>
              <w:rPr>
                <w:rFonts w:ascii="Times New Roman" w:hAnsi="Times New Roman"/>
                <w:sz w:val="24"/>
              </w:rPr>
            </w:pPr>
            <w:r>
              <w:rPr>
                <w:rFonts w:ascii="Times New Roman" w:hAnsi="Times New Roman"/>
                <w:sz w:val="24"/>
              </w:rPr>
              <w:t>DR-8</w:t>
            </w:r>
          </w:p>
        </w:tc>
        <w:tc>
          <w:tcPr>
            <w:tcW w:w="4950" w:type="dxa"/>
          </w:tcPr>
          <w:p w:rsidR="002170E0" w:rsidRDefault="002170E0" w:rsidP="00C36EA0">
            <w:pPr>
              <w:rPr>
                <w:rFonts w:ascii="Times New Roman" w:hAnsi="Times New Roman"/>
                <w:sz w:val="24"/>
              </w:rPr>
            </w:pPr>
            <w:r>
              <w:rPr>
                <w:rFonts w:ascii="Times New Roman" w:hAnsi="Times New Roman"/>
                <w:sz w:val="24"/>
              </w:rPr>
              <w:t>Per FPL Post-Hrg Revenue Requirement, Modified for Revised ROR</w:t>
            </w:r>
          </w:p>
        </w:tc>
      </w:tr>
    </w:tbl>
    <w:p w:rsidR="00331BD4" w:rsidRDefault="00331BD4" w:rsidP="00331BD4">
      <w:pPr>
        <w:tabs>
          <w:tab w:val="left" w:pos="720"/>
        </w:tabs>
        <w:ind w:left="4320" w:hanging="4320"/>
        <w:rPr>
          <w:rFonts w:ascii="Times New Roman" w:hAnsi="Times New Roman"/>
          <w:b/>
          <w:bCs/>
          <w:sz w:val="24"/>
        </w:rPr>
      </w:pPr>
    </w:p>
    <w:p w:rsidR="00C36EA0" w:rsidRDefault="00C36EA0" w:rsidP="00331BD4">
      <w:pPr>
        <w:tabs>
          <w:tab w:val="left" w:pos="720"/>
        </w:tabs>
        <w:ind w:left="4320" w:hanging="4320"/>
        <w:rPr>
          <w:rFonts w:ascii="Times New Roman" w:hAnsi="Times New Roman"/>
          <w:b/>
          <w:bCs/>
          <w:sz w:val="24"/>
        </w:rPr>
      </w:pPr>
    </w:p>
    <w:p w:rsidR="00AE2FBF" w:rsidRDefault="00AE2FBF" w:rsidP="00331BD4">
      <w:pPr>
        <w:tabs>
          <w:tab w:val="left" w:pos="720"/>
        </w:tabs>
        <w:ind w:left="4320" w:hanging="4320"/>
        <w:rPr>
          <w:rFonts w:ascii="Times New Roman" w:hAnsi="Times New Roman"/>
          <w:b/>
          <w:bCs/>
          <w:sz w:val="24"/>
          <w:u w:val="single"/>
        </w:rPr>
      </w:pPr>
      <w:r w:rsidRPr="00331BD4">
        <w:rPr>
          <w:rFonts w:ascii="Times New Roman" w:hAnsi="Times New Roman"/>
          <w:b/>
          <w:bCs/>
          <w:sz w:val="24"/>
        </w:rPr>
        <w:t xml:space="preserve">3. </w:t>
      </w:r>
      <w:r w:rsidR="00344D31" w:rsidRPr="00331BD4">
        <w:rPr>
          <w:rFonts w:ascii="Times New Roman" w:hAnsi="Times New Roman"/>
          <w:b/>
          <w:bCs/>
          <w:sz w:val="24"/>
        </w:rPr>
        <w:tab/>
      </w:r>
      <w:r w:rsidRPr="00331BD4">
        <w:rPr>
          <w:rFonts w:ascii="Times New Roman" w:hAnsi="Times New Roman"/>
          <w:b/>
          <w:bCs/>
          <w:sz w:val="24"/>
          <w:u w:val="single"/>
        </w:rPr>
        <w:t>STATEMENT OF BASIC POSITION</w:t>
      </w:r>
    </w:p>
    <w:p w:rsidR="00331BD4" w:rsidRPr="00344D31" w:rsidRDefault="00331BD4" w:rsidP="00331BD4">
      <w:pPr>
        <w:tabs>
          <w:tab w:val="left" w:pos="720"/>
        </w:tabs>
        <w:ind w:left="4320" w:hanging="4320"/>
        <w:rPr>
          <w:rFonts w:ascii="Times New Roman" w:hAnsi="Times New Roman"/>
          <w:b/>
          <w:bCs/>
          <w:sz w:val="24"/>
        </w:rPr>
      </w:pPr>
    </w:p>
    <w:p w:rsidR="00D135DD" w:rsidRDefault="00D1340B" w:rsidP="00D40B4F">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Pr>
          <w:rFonts w:ascii="Times New Roman" w:hAnsi="Times New Roman"/>
          <w:sz w:val="24"/>
        </w:rPr>
        <w:tab/>
      </w:r>
      <w:r w:rsidR="00D135DD" w:rsidRPr="00D135DD">
        <w:rPr>
          <w:rFonts w:ascii="Times New Roman" w:hAnsi="Times New Roman"/>
          <w:sz w:val="24"/>
        </w:rPr>
        <w:t>OPC renews its objection to what Order No. PSC-12-0529-PCO-EI labels “Settlement Issues” on the grounds that the purported settlement contained in the signatories’ August 15, 2012 document (“August 15 document”) is legally invalid.  OPC is participating in the proceedings announced in Order No. PSC-12-0529-PCO-EI, including the evidentiary hearing scheduled for November 19-21, 2012, under protest, and su</w:t>
      </w:r>
      <w:r w:rsidR="00D40B4F">
        <w:rPr>
          <w:rFonts w:ascii="Times New Roman" w:hAnsi="Times New Roman"/>
          <w:sz w:val="24"/>
        </w:rPr>
        <w:t xml:space="preserve">bject to its legal objections. </w:t>
      </w:r>
    </w:p>
    <w:p w:rsidR="00D135DD" w:rsidRDefault="00D135DD" w:rsidP="00D40B4F">
      <w:pPr>
        <w:jc w:val="both"/>
        <w:rPr>
          <w:rFonts w:ascii="Times New Roman" w:hAnsi="Times New Roman"/>
          <w:sz w:val="24"/>
        </w:rPr>
      </w:pPr>
    </w:p>
    <w:p w:rsidR="00D135DD" w:rsidRDefault="00D135DD" w:rsidP="00D40B4F">
      <w:pPr>
        <w:ind w:firstLine="720"/>
        <w:jc w:val="both"/>
        <w:rPr>
          <w:rFonts w:ascii="Times New Roman" w:hAnsi="Times New Roman"/>
          <w:sz w:val="24"/>
        </w:rPr>
      </w:pPr>
      <w:r w:rsidRPr="00D135DD">
        <w:rPr>
          <w:rFonts w:ascii="Times New Roman" w:hAnsi="Times New Roman"/>
          <w:sz w:val="24"/>
        </w:rPr>
        <w:t>Anticipating that the Commission will reject the purported settlement</w:t>
      </w:r>
      <w:r w:rsidR="004442AC">
        <w:rPr>
          <w:rFonts w:ascii="Times New Roman" w:hAnsi="Times New Roman"/>
          <w:sz w:val="24"/>
        </w:rPr>
        <w:t xml:space="preserve"> </w:t>
      </w:r>
      <w:r w:rsidR="004442AC" w:rsidRPr="00D135DD">
        <w:rPr>
          <w:rFonts w:ascii="Times New Roman" w:hAnsi="Times New Roman"/>
          <w:sz w:val="24"/>
        </w:rPr>
        <w:t>(whether in recognition of the legal i</w:t>
      </w:r>
      <w:r w:rsidR="002753A9">
        <w:rPr>
          <w:rFonts w:ascii="Times New Roman" w:hAnsi="Times New Roman"/>
          <w:sz w:val="24"/>
        </w:rPr>
        <w:t>nvalidity of the August 15</w:t>
      </w:r>
      <w:r w:rsidR="004442AC" w:rsidRPr="00D135DD">
        <w:rPr>
          <w:rFonts w:ascii="Times New Roman" w:hAnsi="Times New Roman"/>
          <w:sz w:val="24"/>
        </w:rPr>
        <w:t xml:space="preserve"> document or of its avaricious one-sidedness)</w:t>
      </w:r>
      <w:r w:rsidRPr="00D135DD">
        <w:rPr>
          <w:rFonts w:ascii="Times New Roman" w:hAnsi="Times New Roman"/>
          <w:sz w:val="24"/>
        </w:rPr>
        <w:t xml:space="preserve">, OPC also registers a continuing objection to the use of any evidence to be adduced during </w:t>
      </w:r>
      <w:r w:rsidR="00FF64E5">
        <w:rPr>
          <w:rFonts w:ascii="Times New Roman" w:hAnsi="Times New Roman"/>
          <w:sz w:val="24"/>
        </w:rPr>
        <w:t xml:space="preserve">the </w:t>
      </w:r>
      <w:r w:rsidRPr="00D135DD">
        <w:rPr>
          <w:rFonts w:ascii="Times New Roman" w:hAnsi="Times New Roman"/>
          <w:sz w:val="24"/>
        </w:rPr>
        <w:t xml:space="preserve">November 19-21 </w:t>
      </w:r>
      <w:r w:rsidR="00FF64E5">
        <w:rPr>
          <w:rFonts w:ascii="Times New Roman" w:hAnsi="Times New Roman"/>
          <w:sz w:val="24"/>
        </w:rPr>
        <w:t xml:space="preserve">hearing </w:t>
      </w:r>
      <w:r w:rsidRPr="00D135DD">
        <w:rPr>
          <w:rFonts w:ascii="Times New Roman" w:hAnsi="Times New Roman"/>
          <w:sz w:val="24"/>
        </w:rPr>
        <w:t>for any purpose related to the decision on FPL’s March 2012 petition.  Necessarily, in the course of demonstrating the deficiencies and conspicuous excesses of the August 15 document, OPC’s witnesses will allude to the record of the August 2012 hearing during the November 19</w:t>
      </w:r>
      <w:r w:rsidR="004442AC">
        <w:rPr>
          <w:rFonts w:ascii="Times New Roman" w:hAnsi="Times New Roman"/>
          <w:sz w:val="24"/>
        </w:rPr>
        <w:t>-21</w:t>
      </w:r>
      <w:r w:rsidRPr="00D135DD">
        <w:rPr>
          <w:rFonts w:ascii="Times New Roman" w:hAnsi="Times New Roman"/>
          <w:sz w:val="24"/>
        </w:rPr>
        <w:t xml:space="preserve"> hearing.  However, the evidence received as part of the (legally impermissible) consideration of the August 15 </w:t>
      </w:r>
      <w:r w:rsidR="000527FF">
        <w:rPr>
          <w:rFonts w:ascii="Times New Roman" w:hAnsi="Times New Roman"/>
          <w:sz w:val="24"/>
        </w:rPr>
        <w:t xml:space="preserve">document </w:t>
      </w:r>
      <w:r w:rsidRPr="00D135DD">
        <w:rPr>
          <w:rFonts w:ascii="Times New Roman" w:hAnsi="Times New Roman"/>
          <w:sz w:val="24"/>
        </w:rPr>
        <w:t>cannot be used to “supplement” either the issues identified in Prehearing Order No. PSC-12-0428-PHO-EI, dated August 17, 2012</w:t>
      </w:r>
      <w:r w:rsidR="002753A9">
        <w:rPr>
          <w:rFonts w:ascii="Times New Roman" w:hAnsi="Times New Roman"/>
          <w:sz w:val="24"/>
        </w:rPr>
        <w:t>,</w:t>
      </w:r>
      <w:r w:rsidRPr="00D135DD">
        <w:rPr>
          <w:rFonts w:ascii="Times New Roman" w:hAnsi="Times New Roman"/>
          <w:sz w:val="24"/>
        </w:rPr>
        <w:t xml:space="preserve"> or the evidence received during the August 2012 hearing on those issues.</w:t>
      </w:r>
    </w:p>
    <w:p w:rsidR="00D135DD" w:rsidRPr="00D135DD" w:rsidRDefault="00D135DD" w:rsidP="00D40B4F">
      <w:pPr>
        <w:jc w:val="both"/>
        <w:rPr>
          <w:rFonts w:ascii="Times New Roman" w:hAnsi="Times New Roman"/>
          <w:sz w:val="24"/>
        </w:rPr>
      </w:pPr>
    </w:p>
    <w:p w:rsidR="00D135DD" w:rsidRDefault="00D135DD" w:rsidP="00D40B4F">
      <w:pPr>
        <w:ind w:firstLine="720"/>
        <w:jc w:val="both"/>
        <w:rPr>
          <w:rFonts w:ascii="Times New Roman" w:hAnsi="Times New Roman"/>
          <w:sz w:val="24"/>
        </w:rPr>
      </w:pPr>
      <w:r w:rsidRPr="00D135DD">
        <w:rPr>
          <w:rFonts w:ascii="Times New Roman" w:hAnsi="Times New Roman"/>
          <w:sz w:val="24"/>
        </w:rPr>
        <w:t xml:space="preserve">Putting aside the legal infirmities of the purported settlement for the purpose of addressing the contents of the August 15 document, OPC submits that determining the appropriate disposition of the “deal” struck by and among FPL, FIPUG, FEA, and SFHHA is an easy call.  The August 15 document is </w:t>
      </w:r>
      <w:r w:rsidR="000A3A8C">
        <w:rPr>
          <w:rFonts w:ascii="Times New Roman" w:hAnsi="Times New Roman"/>
          <w:sz w:val="24"/>
        </w:rPr>
        <w:t>overwhelmingly</w:t>
      </w:r>
      <w:r w:rsidR="000527FF">
        <w:rPr>
          <w:rFonts w:ascii="Times New Roman" w:hAnsi="Times New Roman"/>
          <w:sz w:val="24"/>
        </w:rPr>
        <w:t xml:space="preserve"> skewed </w:t>
      </w:r>
      <w:r w:rsidRPr="00D135DD">
        <w:rPr>
          <w:rFonts w:ascii="Times New Roman" w:hAnsi="Times New Roman"/>
          <w:sz w:val="24"/>
        </w:rPr>
        <w:t xml:space="preserve">toward the interests of FPL, to the detriment of customers (except those who would benefit from the shifting of revenue requirements among customer classes that FPL employed to induce them to sign the document).  Rates that would result from the implementation of the August 15 document would be unfair, </w:t>
      </w:r>
      <w:r w:rsidRPr="00D135DD">
        <w:rPr>
          <w:rFonts w:ascii="Times New Roman" w:hAnsi="Times New Roman"/>
          <w:sz w:val="24"/>
        </w:rPr>
        <w:lastRenderedPageBreak/>
        <w:t>unjust, and unreasonable, and therefore not in the public interest.  Consider:</w:t>
      </w:r>
    </w:p>
    <w:p w:rsidR="00D135DD" w:rsidRPr="00D135DD" w:rsidRDefault="00D135DD" w:rsidP="00D40B4F">
      <w:pPr>
        <w:jc w:val="both"/>
        <w:rPr>
          <w:rFonts w:ascii="Times New Roman" w:hAnsi="Times New Roman"/>
          <w:sz w:val="24"/>
        </w:rPr>
      </w:pPr>
    </w:p>
    <w:p w:rsidR="00D135DD" w:rsidRDefault="00D135DD" w:rsidP="00D40B4F">
      <w:pPr>
        <w:ind w:firstLine="720"/>
        <w:jc w:val="both"/>
        <w:rPr>
          <w:rFonts w:ascii="Times New Roman" w:hAnsi="Times New Roman"/>
          <w:sz w:val="24"/>
        </w:rPr>
      </w:pPr>
      <w:r w:rsidRPr="00D135DD">
        <w:rPr>
          <w:rFonts w:ascii="Times New Roman" w:hAnsi="Times New Roman"/>
          <w:b/>
          <w:i/>
          <w:sz w:val="24"/>
        </w:rPr>
        <w:t>Excessive return on equity</w:t>
      </w:r>
      <w:r w:rsidR="002753A9">
        <w:rPr>
          <w:rFonts w:ascii="Times New Roman" w:hAnsi="Times New Roman"/>
          <w:b/>
          <w:i/>
          <w:sz w:val="24"/>
        </w:rPr>
        <w:t xml:space="preserve"> </w:t>
      </w:r>
      <w:r w:rsidR="002753A9" w:rsidRPr="00D135DD">
        <w:rPr>
          <w:rFonts w:ascii="Times New Roman" w:hAnsi="Times New Roman"/>
          <w:i/>
          <w:sz w:val="24"/>
        </w:rPr>
        <w:t>—</w:t>
      </w:r>
      <w:r w:rsidR="002753A9">
        <w:rPr>
          <w:rFonts w:ascii="Times New Roman" w:hAnsi="Times New Roman"/>
          <w:i/>
          <w:sz w:val="24"/>
        </w:rPr>
        <w:t xml:space="preserve"> </w:t>
      </w:r>
      <w:r w:rsidRPr="00D135DD">
        <w:rPr>
          <w:rFonts w:ascii="Times New Roman" w:hAnsi="Times New Roman"/>
          <w:sz w:val="24"/>
        </w:rPr>
        <w:t xml:space="preserve">The 10.7% return on equity (ROE) specified in the August 15 document is far higher than current economic conditions and capital costs warrant.  </w:t>
      </w:r>
      <w:r w:rsidR="002753A9">
        <w:rPr>
          <w:rFonts w:ascii="Times New Roman" w:hAnsi="Times New Roman"/>
          <w:sz w:val="24"/>
        </w:rPr>
        <w:t xml:space="preserve">This ROE </w:t>
      </w:r>
      <w:r w:rsidRPr="00D135DD">
        <w:rPr>
          <w:rFonts w:ascii="Times New Roman" w:hAnsi="Times New Roman"/>
          <w:sz w:val="24"/>
        </w:rPr>
        <w:t>is higher than any other for a regulated utility established anywhere in the United States during 2012 of which OPC is aware.  (Prehearing Order No. PSC-12-0428-PHO-EI reflects that the positions</w:t>
      </w:r>
      <w:r w:rsidR="00C0027C">
        <w:rPr>
          <w:rFonts w:ascii="Times New Roman" w:hAnsi="Times New Roman"/>
          <w:sz w:val="24"/>
        </w:rPr>
        <w:t xml:space="preserve"> of OPC, </w:t>
      </w:r>
      <w:r w:rsidR="004442AC">
        <w:rPr>
          <w:rFonts w:ascii="Times New Roman" w:hAnsi="Times New Roman"/>
          <w:sz w:val="24"/>
        </w:rPr>
        <w:t xml:space="preserve">FRF, </w:t>
      </w:r>
      <w:r w:rsidR="00C0027C">
        <w:rPr>
          <w:rFonts w:ascii="Times New Roman" w:hAnsi="Times New Roman"/>
          <w:sz w:val="24"/>
        </w:rPr>
        <w:t xml:space="preserve">SFHHA, FEA, and FIPUG </w:t>
      </w:r>
      <w:r w:rsidRPr="00D135DD">
        <w:rPr>
          <w:rFonts w:ascii="Times New Roman" w:hAnsi="Times New Roman"/>
          <w:sz w:val="24"/>
        </w:rPr>
        <w:t xml:space="preserve">on the appropriate ROE for FPL range from 8.5% to </w:t>
      </w:r>
      <w:r w:rsidR="004442AC">
        <w:rPr>
          <w:rFonts w:ascii="Times New Roman" w:hAnsi="Times New Roman"/>
          <w:sz w:val="24"/>
        </w:rPr>
        <w:t>9.25</w:t>
      </w:r>
      <w:r w:rsidRPr="00D135DD">
        <w:rPr>
          <w:rFonts w:ascii="Times New Roman" w:hAnsi="Times New Roman"/>
          <w:sz w:val="24"/>
        </w:rPr>
        <w:t xml:space="preserve">%.  Without adjusting the equity ratio, and assuming that a change of 100 basis points in ROE translates to $160 million of revenues for FPL, reducing the ROE from 10.7% to even </w:t>
      </w:r>
      <w:r w:rsidR="004442AC">
        <w:rPr>
          <w:rFonts w:ascii="Times New Roman" w:hAnsi="Times New Roman"/>
          <w:sz w:val="24"/>
        </w:rPr>
        <w:t xml:space="preserve">FPL’s currently authorized midpoint of </w:t>
      </w:r>
      <w:r w:rsidRPr="00D135DD">
        <w:rPr>
          <w:rFonts w:ascii="Times New Roman" w:hAnsi="Times New Roman"/>
          <w:sz w:val="24"/>
        </w:rPr>
        <w:t>10% would reduce FPL’s revenue requirement by another $112 million annually.)  The 10.7% ROE is rendered even more excessive by the extravagant 59.62% equity ratio that th</w:t>
      </w:r>
      <w:r w:rsidR="00C0027C">
        <w:rPr>
          <w:rFonts w:ascii="Times New Roman" w:hAnsi="Times New Roman"/>
          <w:sz w:val="24"/>
        </w:rPr>
        <w:t xml:space="preserve">e August 15 document retains.  </w:t>
      </w:r>
      <w:r w:rsidRPr="00D135DD">
        <w:rPr>
          <w:rFonts w:ascii="Times New Roman" w:hAnsi="Times New Roman"/>
          <w:sz w:val="24"/>
        </w:rPr>
        <w:t xml:space="preserve">Like the 10.7% ROE, </w:t>
      </w:r>
      <w:r w:rsidR="000527FF">
        <w:rPr>
          <w:rFonts w:ascii="Times New Roman" w:hAnsi="Times New Roman"/>
          <w:sz w:val="24"/>
        </w:rPr>
        <w:t>to the best of OPC’s knowledge</w:t>
      </w:r>
      <w:r w:rsidR="00FF7F60">
        <w:rPr>
          <w:rFonts w:ascii="Times New Roman" w:hAnsi="Times New Roman"/>
          <w:sz w:val="24"/>
        </w:rPr>
        <w:t>,</w:t>
      </w:r>
      <w:r w:rsidR="000527FF">
        <w:rPr>
          <w:rFonts w:ascii="Times New Roman" w:hAnsi="Times New Roman"/>
          <w:sz w:val="24"/>
        </w:rPr>
        <w:t xml:space="preserve"> </w:t>
      </w:r>
      <w:r w:rsidRPr="00D135DD">
        <w:rPr>
          <w:rFonts w:ascii="Times New Roman" w:hAnsi="Times New Roman"/>
          <w:sz w:val="24"/>
        </w:rPr>
        <w:t xml:space="preserve">the 59.62% equity ratio is </w:t>
      </w:r>
      <w:r w:rsidR="00E53420">
        <w:rPr>
          <w:rFonts w:ascii="Times New Roman" w:hAnsi="Times New Roman"/>
          <w:sz w:val="24"/>
        </w:rPr>
        <w:t>ric</w:t>
      </w:r>
      <w:r w:rsidRPr="00D135DD">
        <w:rPr>
          <w:rFonts w:ascii="Times New Roman" w:hAnsi="Times New Roman"/>
          <w:sz w:val="24"/>
        </w:rPr>
        <w:t>her than any other that has been approved in 2012</w:t>
      </w:r>
      <w:r w:rsidR="000527FF">
        <w:rPr>
          <w:rFonts w:ascii="Times New Roman" w:hAnsi="Times New Roman"/>
          <w:sz w:val="24"/>
        </w:rPr>
        <w:t xml:space="preserve">. </w:t>
      </w:r>
      <w:r w:rsidRPr="00D135DD">
        <w:rPr>
          <w:rFonts w:ascii="Times New Roman" w:hAnsi="Times New Roman"/>
          <w:sz w:val="24"/>
        </w:rPr>
        <w:t xml:space="preserve"> Further, the appropriate ROE for FPL is a function of </w:t>
      </w:r>
      <w:r w:rsidR="004442AC">
        <w:rPr>
          <w:rFonts w:ascii="Times New Roman" w:hAnsi="Times New Roman"/>
          <w:sz w:val="24"/>
        </w:rPr>
        <w:t>it</w:t>
      </w:r>
      <w:r w:rsidRPr="00D135DD">
        <w:rPr>
          <w:rFonts w:ascii="Times New Roman" w:hAnsi="Times New Roman"/>
          <w:sz w:val="24"/>
        </w:rPr>
        <w:t xml:space="preserve">s investment risk.  The provisions of the August 15 document that would authorize FPL to (a) increase base rates in 2014 and 2016 by the full amount of the revenue requirements of its Riviera Beach </w:t>
      </w:r>
      <w:r w:rsidR="00FF7F60">
        <w:rPr>
          <w:rFonts w:ascii="Times New Roman" w:hAnsi="Times New Roman"/>
          <w:sz w:val="24"/>
        </w:rPr>
        <w:t xml:space="preserve">and </w:t>
      </w:r>
      <w:r w:rsidR="00FF7F60" w:rsidRPr="00D135DD">
        <w:rPr>
          <w:rFonts w:ascii="Times New Roman" w:hAnsi="Times New Roman"/>
          <w:sz w:val="24"/>
        </w:rPr>
        <w:t xml:space="preserve">Port Everglades </w:t>
      </w:r>
      <w:r w:rsidRPr="00D135DD">
        <w:rPr>
          <w:rFonts w:ascii="Times New Roman" w:hAnsi="Times New Roman"/>
          <w:sz w:val="24"/>
        </w:rPr>
        <w:t>generation modernization projects</w:t>
      </w:r>
      <w:r w:rsidR="004442AC">
        <w:rPr>
          <w:rFonts w:ascii="Times New Roman" w:hAnsi="Times New Roman"/>
          <w:sz w:val="24"/>
        </w:rPr>
        <w:t>,</w:t>
      </w:r>
      <w:r w:rsidRPr="00D135DD">
        <w:rPr>
          <w:rFonts w:ascii="Times New Roman" w:hAnsi="Times New Roman"/>
          <w:sz w:val="24"/>
        </w:rPr>
        <w:t xml:space="preserve"> and (b) manage its earnings by amortizing $400 million of depreciation and dismantlement reserve over four years</w:t>
      </w:r>
      <w:r w:rsidR="002753A9">
        <w:rPr>
          <w:rFonts w:ascii="Times New Roman" w:hAnsi="Times New Roman"/>
          <w:sz w:val="24"/>
        </w:rPr>
        <w:t>,</w:t>
      </w:r>
      <w:r w:rsidRPr="00D135DD">
        <w:rPr>
          <w:rFonts w:ascii="Times New Roman" w:hAnsi="Times New Roman"/>
          <w:sz w:val="24"/>
        </w:rPr>
        <w:t xml:space="preserve"> would lower FPL’s risk profile below that which was considered during the August 2012 h</w:t>
      </w:r>
      <w:r w:rsidR="00C0027C">
        <w:rPr>
          <w:rFonts w:ascii="Times New Roman" w:hAnsi="Times New Roman"/>
          <w:sz w:val="24"/>
        </w:rPr>
        <w:t>earing.</w:t>
      </w:r>
      <w:r w:rsidR="00E53420">
        <w:rPr>
          <w:rFonts w:ascii="Times New Roman" w:hAnsi="Times New Roman"/>
          <w:sz w:val="24"/>
        </w:rPr>
        <w:t xml:space="preserve">  In other words, the August 15 document rewards FPL with a pr</w:t>
      </w:r>
      <w:r w:rsidR="002753A9">
        <w:rPr>
          <w:rFonts w:ascii="Times New Roman" w:hAnsi="Times New Roman"/>
          <w:sz w:val="24"/>
        </w:rPr>
        <w:t>emium ROE for developing a four-</w:t>
      </w:r>
      <w:r w:rsidR="00E53420">
        <w:rPr>
          <w:rFonts w:ascii="Times New Roman" w:hAnsi="Times New Roman"/>
          <w:sz w:val="24"/>
        </w:rPr>
        <w:t xml:space="preserve">year plan that exposes it to less risk.  This is not in the public interest and </w:t>
      </w:r>
      <w:r w:rsidR="000D092A">
        <w:rPr>
          <w:rFonts w:ascii="Times New Roman" w:hAnsi="Times New Roman"/>
          <w:sz w:val="24"/>
        </w:rPr>
        <w:t>would</w:t>
      </w:r>
      <w:r w:rsidR="00E53420">
        <w:rPr>
          <w:rFonts w:ascii="Times New Roman" w:hAnsi="Times New Roman"/>
          <w:sz w:val="24"/>
        </w:rPr>
        <w:t xml:space="preserve"> not result in fair, just</w:t>
      </w:r>
      <w:r w:rsidR="002753A9">
        <w:rPr>
          <w:rFonts w:ascii="Times New Roman" w:hAnsi="Times New Roman"/>
          <w:sz w:val="24"/>
        </w:rPr>
        <w:t>,</w:t>
      </w:r>
      <w:r w:rsidR="00E53420">
        <w:rPr>
          <w:rFonts w:ascii="Times New Roman" w:hAnsi="Times New Roman"/>
          <w:sz w:val="24"/>
        </w:rPr>
        <w:t xml:space="preserve"> and reasonable rates.</w:t>
      </w:r>
    </w:p>
    <w:p w:rsidR="00D135DD" w:rsidRPr="00D135DD" w:rsidRDefault="00D135DD" w:rsidP="00D40B4F">
      <w:pPr>
        <w:jc w:val="both"/>
        <w:rPr>
          <w:rFonts w:ascii="Times New Roman" w:hAnsi="Times New Roman"/>
          <w:sz w:val="24"/>
        </w:rPr>
      </w:pPr>
    </w:p>
    <w:p w:rsidR="00D135DD" w:rsidRDefault="00D135DD" w:rsidP="00C0027C">
      <w:pPr>
        <w:ind w:firstLine="720"/>
        <w:jc w:val="both"/>
        <w:rPr>
          <w:rFonts w:ascii="Times New Roman" w:hAnsi="Times New Roman"/>
          <w:sz w:val="24"/>
        </w:rPr>
      </w:pPr>
      <w:r w:rsidRPr="00D135DD">
        <w:rPr>
          <w:rFonts w:ascii="Times New Roman" w:hAnsi="Times New Roman"/>
          <w:b/>
          <w:i/>
          <w:sz w:val="24"/>
        </w:rPr>
        <w:t xml:space="preserve">Unreasonable and unrealistic </w:t>
      </w:r>
      <w:r w:rsidR="007B6954">
        <w:rPr>
          <w:rFonts w:ascii="Times New Roman" w:hAnsi="Times New Roman"/>
          <w:b/>
          <w:i/>
          <w:sz w:val="24"/>
        </w:rPr>
        <w:t xml:space="preserve">$378 million </w:t>
      </w:r>
      <w:r w:rsidRPr="00D135DD">
        <w:rPr>
          <w:rFonts w:ascii="Times New Roman" w:hAnsi="Times New Roman"/>
          <w:b/>
          <w:i/>
          <w:sz w:val="24"/>
        </w:rPr>
        <w:t>increase in revenues</w:t>
      </w:r>
      <w:r w:rsidR="00C0027C">
        <w:rPr>
          <w:rFonts w:ascii="Times New Roman" w:hAnsi="Times New Roman"/>
          <w:b/>
          <w:i/>
          <w:sz w:val="24"/>
        </w:rPr>
        <w:t xml:space="preserve"> </w:t>
      </w:r>
      <w:r w:rsidRPr="00D135DD">
        <w:rPr>
          <w:rFonts w:ascii="Times New Roman" w:hAnsi="Times New Roman"/>
          <w:i/>
          <w:sz w:val="24"/>
        </w:rPr>
        <w:t>—</w:t>
      </w:r>
      <w:r w:rsidR="00C0027C">
        <w:rPr>
          <w:rFonts w:ascii="Times New Roman" w:hAnsi="Times New Roman"/>
          <w:i/>
          <w:sz w:val="24"/>
        </w:rPr>
        <w:t xml:space="preserve"> </w:t>
      </w:r>
      <w:r w:rsidRPr="00D135DD">
        <w:rPr>
          <w:rFonts w:ascii="Times New Roman" w:hAnsi="Times New Roman"/>
          <w:sz w:val="24"/>
        </w:rPr>
        <w:t xml:space="preserve">In addition to the impact of the </w:t>
      </w:r>
      <w:r w:rsidR="000527FF">
        <w:rPr>
          <w:rFonts w:ascii="Times New Roman" w:hAnsi="Times New Roman"/>
          <w:sz w:val="24"/>
        </w:rPr>
        <w:t xml:space="preserve">excessive </w:t>
      </w:r>
      <w:r w:rsidRPr="00D135DD">
        <w:rPr>
          <w:rFonts w:ascii="Times New Roman" w:hAnsi="Times New Roman"/>
          <w:sz w:val="24"/>
        </w:rPr>
        <w:t xml:space="preserve">10.7% </w:t>
      </w:r>
      <w:r w:rsidR="004442AC">
        <w:rPr>
          <w:rFonts w:ascii="Times New Roman" w:hAnsi="Times New Roman"/>
          <w:sz w:val="24"/>
        </w:rPr>
        <w:t>ROE</w:t>
      </w:r>
      <w:r w:rsidRPr="00D135DD">
        <w:rPr>
          <w:rFonts w:ascii="Times New Roman" w:hAnsi="Times New Roman"/>
          <w:sz w:val="24"/>
        </w:rPr>
        <w:t xml:space="preserve">, the $378 million increase associated with the August 15 proposal implicitly assumes that, of the tens of millions of dollars of adjustments to rate base and expenses that OPC and other parties (including FIPUG, SFHHA, and FEA) have identified and supported in evidence and argument, the adjustments ultimately adopted by the Commission would total </w:t>
      </w:r>
      <w:r w:rsidRPr="00D135DD">
        <w:rPr>
          <w:rFonts w:ascii="Times New Roman" w:hAnsi="Times New Roman"/>
          <w:i/>
          <w:sz w:val="24"/>
        </w:rPr>
        <w:t>zero</w:t>
      </w:r>
      <w:r w:rsidRPr="00D135DD">
        <w:rPr>
          <w:rFonts w:ascii="Times New Roman" w:hAnsi="Times New Roman"/>
          <w:sz w:val="24"/>
        </w:rPr>
        <w:t>.  The assumption is unreasonable and untenable on its face.</w:t>
      </w:r>
    </w:p>
    <w:p w:rsidR="00D135DD" w:rsidRPr="00D135DD" w:rsidRDefault="00D135DD" w:rsidP="00D40B4F">
      <w:pPr>
        <w:jc w:val="both"/>
        <w:rPr>
          <w:rFonts w:ascii="Times New Roman" w:hAnsi="Times New Roman"/>
          <w:sz w:val="24"/>
        </w:rPr>
      </w:pPr>
    </w:p>
    <w:p w:rsidR="00D135DD" w:rsidRDefault="007B6954" w:rsidP="00C0027C">
      <w:pPr>
        <w:ind w:firstLine="720"/>
        <w:jc w:val="both"/>
        <w:rPr>
          <w:rFonts w:ascii="Times New Roman" w:hAnsi="Times New Roman"/>
          <w:sz w:val="24"/>
        </w:rPr>
      </w:pPr>
      <w:r w:rsidRPr="00691140">
        <w:rPr>
          <w:rFonts w:ascii="Times New Roman" w:hAnsi="Times New Roman"/>
          <w:b/>
          <w:i/>
          <w:sz w:val="24"/>
        </w:rPr>
        <w:t>Unreasonable and prejudicial (to customers) piecemeal ratemaking, in the form of</w:t>
      </w:r>
      <w:r>
        <w:rPr>
          <w:rFonts w:ascii="Times New Roman" w:hAnsi="Times New Roman"/>
          <w:i/>
          <w:sz w:val="24"/>
        </w:rPr>
        <w:t xml:space="preserve"> </w:t>
      </w:r>
      <w:r>
        <w:rPr>
          <w:rFonts w:ascii="Times New Roman" w:hAnsi="Times New Roman"/>
          <w:b/>
          <w:i/>
          <w:sz w:val="24"/>
        </w:rPr>
        <w:t>b</w:t>
      </w:r>
      <w:r w:rsidR="00D135DD" w:rsidRPr="00D135DD">
        <w:rPr>
          <w:rFonts w:ascii="Times New Roman" w:hAnsi="Times New Roman"/>
          <w:b/>
          <w:i/>
          <w:sz w:val="24"/>
        </w:rPr>
        <w:t>ase rate increases in 2014 and 2016 of $243,043,000 and $217,862,000, respectively</w:t>
      </w:r>
      <w:r w:rsidR="002753A9">
        <w:rPr>
          <w:rFonts w:ascii="Times New Roman" w:hAnsi="Times New Roman"/>
          <w:b/>
          <w:i/>
          <w:sz w:val="24"/>
        </w:rPr>
        <w:t xml:space="preserve"> </w:t>
      </w:r>
      <w:r w:rsidR="002753A9" w:rsidRPr="00D135DD">
        <w:rPr>
          <w:rFonts w:ascii="Times New Roman" w:hAnsi="Times New Roman"/>
          <w:i/>
          <w:sz w:val="24"/>
        </w:rPr>
        <w:t>—</w:t>
      </w:r>
      <w:r w:rsidR="002753A9">
        <w:rPr>
          <w:rFonts w:ascii="Times New Roman" w:hAnsi="Times New Roman"/>
          <w:i/>
          <w:sz w:val="24"/>
        </w:rPr>
        <w:t xml:space="preserve"> </w:t>
      </w:r>
      <w:r w:rsidR="00D135DD" w:rsidRPr="00D135DD">
        <w:rPr>
          <w:rFonts w:ascii="Times New Roman" w:hAnsi="Times New Roman"/>
          <w:sz w:val="24"/>
        </w:rPr>
        <w:t>The “generation base rate adjustments</w:t>
      </w:r>
      <w:r w:rsidR="004B67AC">
        <w:rPr>
          <w:rFonts w:ascii="Times New Roman" w:hAnsi="Times New Roman"/>
          <w:sz w:val="24"/>
        </w:rPr>
        <w:t>”</w:t>
      </w:r>
      <w:r w:rsidR="00D135DD" w:rsidRPr="00D135DD">
        <w:rPr>
          <w:rFonts w:ascii="Times New Roman" w:hAnsi="Times New Roman"/>
          <w:sz w:val="24"/>
        </w:rPr>
        <w:t xml:space="preserve"> that are proposed for 2014 and 2016 (</w:t>
      </w:r>
      <w:r w:rsidR="004442AC">
        <w:rPr>
          <w:rFonts w:ascii="Times New Roman" w:hAnsi="Times New Roman"/>
          <w:sz w:val="24"/>
        </w:rPr>
        <w:t xml:space="preserve">increases that would occur beyond the projected test year and </w:t>
      </w:r>
      <w:r w:rsidR="00D135DD" w:rsidRPr="00D135DD">
        <w:rPr>
          <w:rFonts w:ascii="Times New Roman" w:hAnsi="Times New Roman"/>
          <w:sz w:val="24"/>
        </w:rPr>
        <w:t>that were not requested in FPL’s March 2012 petition) would ensure that FPL would receive more revenues during 2013-2016 under the “compromise” of the August 15 document than it would be authorized to receive under FPL’s March 2012 petition during the same period</w:t>
      </w:r>
      <w:r w:rsidR="00C0027C">
        <w:rPr>
          <w:rFonts w:ascii="Times New Roman" w:hAnsi="Times New Roman"/>
          <w:sz w:val="24"/>
        </w:rPr>
        <w:t xml:space="preserve"> </w:t>
      </w:r>
      <w:r w:rsidR="00D135DD" w:rsidRPr="00D135DD">
        <w:rPr>
          <w:rFonts w:ascii="Times New Roman" w:hAnsi="Times New Roman"/>
          <w:sz w:val="24"/>
        </w:rPr>
        <w:t>—</w:t>
      </w:r>
      <w:r w:rsidR="00C0027C">
        <w:rPr>
          <w:rFonts w:ascii="Times New Roman" w:hAnsi="Times New Roman"/>
          <w:sz w:val="24"/>
        </w:rPr>
        <w:t xml:space="preserve"> </w:t>
      </w:r>
      <w:r w:rsidR="00D135DD" w:rsidRPr="00D135DD">
        <w:rPr>
          <w:rFonts w:ascii="Times New Roman" w:hAnsi="Times New Roman"/>
          <w:sz w:val="24"/>
        </w:rPr>
        <w:t xml:space="preserve">even if the Commission were to agree to FPL’s originally requested 11.5% ROE </w:t>
      </w:r>
      <w:r w:rsidR="00D135DD" w:rsidRPr="00D135DD">
        <w:rPr>
          <w:rFonts w:ascii="Times New Roman" w:hAnsi="Times New Roman"/>
          <w:i/>
          <w:sz w:val="24"/>
        </w:rPr>
        <w:t xml:space="preserve">and </w:t>
      </w:r>
      <w:r w:rsidR="00D135DD" w:rsidRPr="00D135DD">
        <w:rPr>
          <w:rFonts w:ascii="Times New Roman" w:hAnsi="Times New Roman"/>
          <w:sz w:val="24"/>
        </w:rPr>
        <w:t xml:space="preserve">adopt FPL’s positions on all other disputed issues!  The “generation base rate adjustments” are a form of “piecemeal ratemaking.” </w:t>
      </w:r>
      <w:r w:rsidR="00C0027C">
        <w:rPr>
          <w:rFonts w:ascii="Times New Roman" w:hAnsi="Times New Roman"/>
          <w:sz w:val="24"/>
        </w:rPr>
        <w:t xml:space="preserve"> </w:t>
      </w:r>
      <w:r w:rsidR="00D135DD" w:rsidRPr="00D135DD">
        <w:rPr>
          <w:rFonts w:ascii="Times New Roman" w:hAnsi="Times New Roman"/>
          <w:sz w:val="24"/>
        </w:rPr>
        <w:t>This means that FPL seeks authority to tack the entire revenue requirements associated with a future asset onto base rates when it enters service, without any consideration at that time of whether the utility’s earnings may be sufficient to absorb the asset into rate base with either no increase or a smaller rate increase.  The proposal would turn a fundamental prec</w:t>
      </w:r>
      <w:r w:rsidR="00C0027C">
        <w:rPr>
          <w:rFonts w:ascii="Times New Roman" w:hAnsi="Times New Roman"/>
          <w:sz w:val="24"/>
        </w:rPr>
        <w:t xml:space="preserve">ept of ratemaking on its head: </w:t>
      </w:r>
      <w:r w:rsidR="002753A9">
        <w:rPr>
          <w:rFonts w:ascii="Times New Roman" w:hAnsi="Times New Roman"/>
          <w:sz w:val="24"/>
        </w:rPr>
        <w:t xml:space="preserve"> </w:t>
      </w:r>
      <w:r w:rsidR="00D135DD" w:rsidRPr="00D135DD">
        <w:rPr>
          <w:rFonts w:ascii="Times New Roman" w:hAnsi="Times New Roman"/>
          <w:sz w:val="24"/>
        </w:rPr>
        <w:t xml:space="preserve">while a rate case is designed to produce </w:t>
      </w:r>
      <w:r w:rsidR="00D135DD" w:rsidRPr="00D135DD">
        <w:rPr>
          <w:rFonts w:ascii="Times New Roman" w:hAnsi="Times New Roman"/>
          <w:i/>
          <w:sz w:val="24"/>
        </w:rPr>
        <w:t>fixed</w:t>
      </w:r>
      <w:r w:rsidR="00D135DD" w:rsidRPr="00D135DD">
        <w:rPr>
          <w:rFonts w:ascii="Times New Roman" w:hAnsi="Times New Roman"/>
          <w:sz w:val="24"/>
        </w:rPr>
        <w:t xml:space="preserve"> rates that will produce an </w:t>
      </w:r>
      <w:r w:rsidR="00D135DD" w:rsidRPr="00D135DD">
        <w:rPr>
          <w:rFonts w:ascii="Times New Roman" w:hAnsi="Times New Roman"/>
          <w:i/>
          <w:sz w:val="24"/>
        </w:rPr>
        <w:t>overall</w:t>
      </w:r>
      <w:r w:rsidR="00D135DD" w:rsidRPr="00D135DD">
        <w:rPr>
          <w:rFonts w:ascii="Times New Roman" w:hAnsi="Times New Roman"/>
          <w:sz w:val="24"/>
        </w:rPr>
        <w:t xml:space="preserve"> rate of return which will vary within a prescribed </w:t>
      </w:r>
      <w:r w:rsidR="00D135DD" w:rsidRPr="00D135DD">
        <w:rPr>
          <w:rFonts w:ascii="Times New Roman" w:hAnsi="Times New Roman"/>
          <w:i/>
          <w:sz w:val="24"/>
        </w:rPr>
        <w:t>range</w:t>
      </w:r>
      <w:r w:rsidR="00D135DD" w:rsidRPr="00D135DD">
        <w:rPr>
          <w:rFonts w:ascii="Times New Roman" w:hAnsi="Times New Roman"/>
          <w:sz w:val="24"/>
        </w:rPr>
        <w:t xml:space="preserve">, FPL would vary (increase) </w:t>
      </w:r>
      <w:r w:rsidR="00D135DD" w:rsidRPr="00D135DD">
        <w:rPr>
          <w:rFonts w:ascii="Times New Roman" w:hAnsi="Times New Roman"/>
          <w:i/>
          <w:sz w:val="24"/>
        </w:rPr>
        <w:t>base rates</w:t>
      </w:r>
      <w:r w:rsidR="00D135DD" w:rsidRPr="00D135DD">
        <w:rPr>
          <w:rFonts w:ascii="Times New Roman" w:hAnsi="Times New Roman"/>
          <w:sz w:val="24"/>
        </w:rPr>
        <w:t xml:space="preserve"> in order to receive a guaranteed, </w:t>
      </w:r>
      <w:r w:rsidR="00D135DD" w:rsidRPr="00D135DD">
        <w:rPr>
          <w:rFonts w:ascii="Times New Roman" w:hAnsi="Times New Roman"/>
          <w:i/>
          <w:sz w:val="24"/>
        </w:rPr>
        <w:t>point-specific</w:t>
      </w:r>
      <w:r w:rsidR="00D135DD" w:rsidRPr="00D135DD">
        <w:rPr>
          <w:rFonts w:ascii="Times New Roman" w:hAnsi="Times New Roman"/>
          <w:sz w:val="24"/>
        </w:rPr>
        <w:t xml:space="preserve"> return on a </w:t>
      </w:r>
      <w:r w:rsidR="00D135DD" w:rsidRPr="00D135DD">
        <w:rPr>
          <w:rFonts w:ascii="Times New Roman" w:hAnsi="Times New Roman"/>
          <w:i/>
          <w:sz w:val="24"/>
        </w:rPr>
        <w:t>single</w:t>
      </w:r>
      <w:r w:rsidR="00D135DD" w:rsidRPr="00D135DD">
        <w:rPr>
          <w:rFonts w:ascii="Times New Roman" w:hAnsi="Times New Roman"/>
          <w:sz w:val="24"/>
        </w:rPr>
        <w:t xml:space="preserve"> asset</w:t>
      </w:r>
      <w:r w:rsidR="00C0027C">
        <w:rPr>
          <w:rFonts w:ascii="Times New Roman" w:hAnsi="Times New Roman"/>
          <w:sz w:val="24"/>
        </w:rPr>
        <w:t xml:space="preserve"> </w:t>
      </w:r>
      <w:r w:rsidR="00D135DD" w:rsidRPr="00D135DD">
        <w:rPr>
          <w:rFonts w:ascii="Times New Roman" w:hAnsi="Times New Roman"/>
          <w:sz w:val="24"/>
        </w:rPr>
        <w:t>—</w:t>
      </w:r>
      <w:r w:rsidR="00C0027C">
        <w:rPr>
          <w:rFonts w:ascii="Times New Roman" w:hAnsi="Times New Roman"/>
          <w:sz w:val="24"/>
        </w:rPr>
        <w:t xml:space="preserve"> </w:t>
      </w:r>
      <w:r w:rsidR="00D135DD" w:rsidRPr="00D135DD">
        <w:rPr>
          <w:rFonts w:ascii="Times New Roman" w:hAnsi="Times New Roman"/>
          <w:sz w:val="24"/>
        </w:rPr>
        <w:t>whether or not FPL’s overall return would remain in the prescribed range without the increase.  The “benefits” claimed for the “</w:t>
      </w:r>
      <w:r w:rsidR="004B67AC">
        <w:rPr>
          <w:rFonts w:ascii="Times New Roman" w:hAnsi="Times New Roman"/>
          <w:sz w:val="24"/>
        </w:rPr>
        <w:t>generation base rate adjustments</w:t>
      </w:r>
      <w:r w:rsidR="00D135DD" w:rsidRPr="00D135DD">
        <w:rPr>
          <w:rFonts w:ascii="Times New Roman" w:hAnsi="Times New Roman"/>
          <w:sz w:val="24"/>
        </w:rPr>
        <w:t>” include the claim</w:t>
      </w:r>
      <w:r w:rsidR="002753A9">
        <w:rPr>
          <w:rFonts w:ascii="Times New Roman" w:hAnsi="Times New Roman"/>
          <w:sz w:val="24"/>
        </w:rPr>
        <w:t xml:space="preserve"> that these</w:t>
      </w:r>
      <w:r w:rsidR="00D135DD" w:rsidRPr="00D135DD">
        <w:rPr>
          <w:rFonts w:ascii="Times New Roman" w:hAnsi="Times New Roman"/>
          <w:sz w:val="24"/>
        </w:rPr>
        <w:t xml:space="preserve"> </w:t>
      </w:r>
      <w:r w:rsidR="00FF7F60">
        <w:rPr>
          <w:rFonts w:ascii="Times New Roman" w:hAnsi="Times New Roman"/>
          <w:sz w:val="24"/>
        </w:rPr>
        <w:t xml:space="preserve">rate increases </w:t>
      </w:r>
      <w:r w:rsidR="00D135DD" w:rsidRPr="00D135DD">
        <w:rPr>
          <w:rFonts w:ascii="Times New Roman" w:hAnsi="Times New Roman"/>
          <w:sz w:val="24"/>
        </w:rPr>
        <w:t xml:space="preserve">would obviate the costs of protracted </w:t>
      </w:r>
      <w:r w:rsidR="00D135DD" w:rsidRPr="00D135DD">
        <w:rPr>
          <w:rFonts w:ascii="Times New Roman" w:hAnsi="Times New Roman"/>
          <w:sz w:val="24"/>
        </w:rPr>
        <w:lastRenderedPageBreak/>
        <w:t>base rate proceedings.  Even those purported benefits would inure to FPL,</w:t>
      </w:r>
      <w:r w:rsidR="002753A9">
        <w:rPr>
          <w:rFonts w:ascii="Times New Roman" w:hAnsi="Times New Roman"/>
          <w:sz w:val="24"/>
        </w:rPr>
        <w:t xml:space="preserve"> and</w:t>
      </w:r>
      <w:r w:rsidR="00D135DD" w:rsidRPr="00D135DD">
        <w:rPr>
          <w:rFonts w:ascii="Times New Roman" w:hAnsi="Times New Roman"/>
          <w:sz w:val="24"/>
        </w:rPr>
        <w:t xml:space="preserve"> not the </w:t>
      </w:r>
      <w:r w:rsidR="002753A9">
        <w:rPr>
          <w:rFonts w:ascii="Times New Roman" w:hAnsi="Times New Roman"/>
          <w:sz w:val="24"/>
        </w:rPr>
        <w:t xml:space="preserve">vast majority of its </w:t>
      </w:r>
      <w:r w:rsidR="00D135DD" w:rsidRPr="00D135DD">
        <w:rPr>
          <w:rFonts w:ascii="Times New Roman" w:hAnsi="Times New Roman"/>
          <w:sz w:val="24"/>
        </w:rPr>
        <w:t>customers, because the Commission, Staff, and parties would have fewer opportunities</w:t>
      </w:r>
      <w:r w:rsidR="00C0027C">
        <w:rPr>
          <w:rFonts w:ascii="Times New Roman" w:hAnsi="Times New Roman"/>
          <w:sz w:val="24"/>
        </w:rPr>
        <w:t xml:space="preserve"> to scrutinize its operations. </w:t>
      </w:r>
      <w:r w:rsidR="00D135DD" w:rsidRPr="00D135DD">
        <w:rPr>
          <w:rFonts w:ascii="Times New Roman" w:hAnsi="Times New Roman"/>
          <w:sz w:val="24"/>
        </w:rPr>
        <w:t xml:space="preserve"> Besides, in view of the predictable propensity of FPL and other regulated utilities to overstate their needs, a one-time rate case expenditure that frequently results in downward adjustments (relative to the utility’s request) of tens of millions of dollars or more </w:t>
      </w:r>
      <w:r w:rsidR="000527FF">
        <w:rPr>
          <w:rFonts w:ascii="Times New Roman" w:hAnsi="Times New Roman"/>
          <w:sz w:val="24"/>
        </w:rPr>
        <w:t xml:space="preserve">in </w:t>
      </w:r>
      <w:r w:rsidR="00D135DD" w:rsidRPr="00D135DD">
        <w:rPr>
          <w:rFonts w:ascii="Times New Roman" w:hAnsi="Times New Roman"/>
          <w:i/>
          <w:sz w:val="24"/>
        </w:rPr>
        <w:t>annual</w:t>
      </w:r>
      <w:r w:rsidR="00D135DD" w:rsidRPr="00D135DD">
        <w:rPr>
          <w:rFonts w:ascii="Times New Roman" w:hAnsi="Times New Roman"/>
          <w:sz w:val="24"/>
        </w:rPr>
        <w:t xml:space="preserve"> </w:t>
      </w:r>
      <w:r w:rsidR="000527FF">
        <w:rPr>
          <w:rFonts w:ascii="Times New Roman" w:hAnsi="Times New Roman"/>
          <w:sz w:val="24"/>
        </w:rPr>
        <w:t xml:space="preserve">revenue requirements </w:t>
      </w:r>
      <w:r w:rsidR="00D135DD" w:rsidRPr="00D135DD">
        <w:rPr>
          <w:rFonts w:ascii="Times New Roman" w:hAnsi="Times New Roman"/>
          <w:sz w:val="24"/>
        </w:rPr>
        <w:t xml:space="preserve">is money very well spent. </w:t>
      </w:r>
    </w:p>
    <w:p w:rsidR="00D135DD" w:rsidRPr="00D135DD" w:rsidRDefault="00D135DD" w:rsidP="00D40B4F">
      <w:pPr>
        <w:jc w:val="both"/>
        <w:rPr>
          <w:rFonts w:ascii="Times New Roman" w:hAnsi="Times New Roman"/>
          <w:sz w:val="24"/>
        </w:rPr>
      </w:pPr>
    </w:p>
    <w:p w:rsidR="00D135DD" w:rsidRDefault="00D135DD" w:rsidP="00C0027C">
      <w:pPr>
        <w:ind w:firstLine="720"/>
        <w:jc w:val="both"/>
        <w:rPr>
          <w:rFonts w:ascii="Times New Roman" w:hAnsi="Times New Roman"/>
          <w:sz w:val="24"/>
        </w:rPr>
      </w:pPr>
      <w:r w:rsidRPr="00D135DD">
        <w:rPr>
          <w:rFonts w:ascii="Times New Roman" w:hAnsi="Times New Roman"/>
          <w:b/>
          <w:i/>
          <w:sz w:val="24"/>
        </w:rPr>
        <w:t xml:space="preserve">Amortization of dismantlement reserve </w:t>
      </w:r>
      <w:r w:rsidR="00BC35D1">
        <w:rPr>
          <w:rFonts w:ascii="Times New Roman" w:hAnsi="Times New Roman"/>
          <w:b/>
          <w:i/>
          <w:sz w:val="24"/>
        </w:rPr>
        <w:t>for the express purpose of enhancing FPL’s earnings</w:t>
      </w:r>
      <w:r w:rsidR="00C0027C">
        <w:rPr>
          <w:rFonts w:ascii="Times New Roman" w:hAnsi="Times New Roman"/>
          <w:b/>
          <w:i/>
          <w:sz w:val="24"/>
        </w:rPr>
        <w:t xml:space="preserve"> </w:t>
      </w:r>
      <w:r w:rsidRPr="00D135DD">
        <w:rPr>
          <w:rFonts w:ascii="Times New Roman" w:hAnsi="Times New Roman"/>
          <w:i/>
          <w:sz w:val="24"/>
        </w:rPr>
        <w:t>—</w:t>
      </w:r>
      <w:r w:rsidR="00C0027C">
        <w:rPr>
          <w:rFonts w:ascii="Times New Roman" w:hAnsi="Times New Roman"/>
          <w:i/>
          <w:sz w:val="24"/>
        </w:rPr>
        <w:t xml:space="preserve"> </w:t>
      </w:r>
      <w:r w:rsidRPr="00D135DD">
        <w:rPr>
          <w:rFonts w:ascii="Times New Roman" w:hAnsi="Times New Roman"/>
          <w:sz w:val="24"/>
        </w:rPr>
        <w:t xml:space="preserve">The objective of capital recovery accounting is to collect the costs of plant in a way that, based on the analysis of available information, will allow the recovery of capital costs over the life of the capital asset and is fair to both the company and </w:t>
      </w:r>
      <w:r w:rsidR="00287F46">
        <w:rPr>
          <w:rFonts w:ascii="Times New Roman" w:hAnsi="Times New Roman"/>
          <w:sz w:val="24"/>
        </w:rPr>
        <w:t xml:space="preserve">each generation of </w:t>
      </w:r>
      <w:r w:rsidRPr="00D135DD">
        <w:rPr>
          <w:rFonts w:ascii="Times New Roman" w:hAnsi="Times New Roman"/>
          <w:sz w:val="24"/>
        </w:rPr>
        <w:t>customers</w:t>
      </w:r>
      <w:r w:rsidR="000D092A">
        <w:rPr>
          <w:rFonts w:ascii="Times New Roman" w:hAnsi="Times New Roman"/>
          <w:sz w:val="24"/>
        </w:rPr>
        <w:t>.</w:t>
      </w:r>
      <w:r w:rsidR="00287F46">
        <w:rPr>
          <w:rFonts w:ascii="Times New Roman" w:hAnsi="Times New Roman"/>
          <w:sz w:val="24"/>
        </w:rPr>
        <w:t xml:space="preserve"> </w:t>
      </w:r>
      <w:r w:rsidRPr="00D135DD">
        <w:rPr>
          <w:rFonts w:ascii="Times New Roman" w:hAnsi="Times New Roman"/>
          <w:sz w:val="24"/>
        </w:rPr>
        <w:t xml:space="preserve"> </w:t>
      </w:r>
      <w:r w:rsidR="00287F46">
        <w:rPr>
          <w:rFonts w:ascii="Times New Roman" w:hAnsi="Times New Roman"/>
          <w:sz w:val="24"/>
        </w:rPr>
        <w:t xml:space="preserve">The amortization of </w:t>
      </w:r>
      <w:r w:rsidR="000D092A">
        <w:rPr>
          <w:rFonts w:ascii="Times New Roman" w:hAnsi="Times New Roman"/>
          <w:sz w:val="24"/>
        </w:rPr>
        <w:t xml:space="preserve">a </w:t>
      </w:r>
      <w:r w:rsidR="00287F46">
        <w:rPr>
          <w:rFonts w:ascii="Times New Roman" w:hAnsi="Times New Roman"/>
          <w:sz w:val="24"/>
        </w:rPr>
        <w:t xml:space="preserve">reserve imbalance </w:t>
      </w:r>
      <w:r w:rsidR="000D092A">
        <w:rPr>
          <w:rFonts w:ascii="Times New Roman" w:hAnsi="Times New Roman"/>
          <w:sz w:val="24"/>
        </w:rPr>
        <w:t>is</w:t>
      </w:r>
      <w:r w:rsidR="00287F46">
        <w:rPr>
          <w:rFonts w:ascii="Times New Roman" w:hAnsi="Times New Roman"/>
          <w:sz w:val="24"/>
        </w:rPr>
        <w:t xml:space="preserve"> intended to eliminate significant levels of intergenerational inequity, and any </w:t>
      </w:r>
      <w:r w:rsidRPr="00D135DD">
        <w:rPr>
          <w:rFonts w:ascii="Times New Roman" w:hAnsi="Times New Roman"/>
          <w:sz w:val="24"/>
        </w:rPr>
        <w:t xml:space="preserve">impact of </w:t>
      </w:r>
      <w:r w:rsidR="00287F46">
        <w:rPr>
          <w:rFonts w:ascii="Times New Roman" w:hAnsi="Times New Roman"/>
          <w:sz w:val="24"/>
        </w:rPr>
        <w:t xml:space="preserve">such </w:t>
      </w:r>
      <w:r w:rsidR="000D092A">
        <w:rPr>
          <w:rFonts w:ascii="Times New Roman" w:hAnsi="Times New Roman"/>
          <w:sz w:val="24"/>
        </w:rPr>
        <w:t xml:space="preserve">an </w:t>
      </w:r>
      <w:r w:rsidRPr="00D135DD">
        <w:rPr>
          <w:rFonts w:ascii="Times New Roman" w:hAnsi="Times New Roman"/>
          <w:sz w:val="24"/>
        </w:rPr>
        <w:t xml:space="preserve">adjustment on earnings </w:t>
      </w:r>
      <w:r w:rsidR="000D092A">
        <w:rPr>
          <w:rFonts w:ascii="Times New Roman" w:hAnsi="Times New Roman"/>
          <w:sz w:val="24"/>
        </w:rPr>
        <w:t>is</w:t>
      </w:r>
      <w:r w:rsidRPr="00D135DD">
        <w:rPr>
          <w:rFonts w:ascii="Times New Roman" w:hAnsi="Times New Roman"/>
          <w:sz w:val="24"/>
        </w:rPr>
        <w:t xml:space="preserve"> a by-product of the pursuit of that objective. </w:t>
      </w:r>
      <w:r w:rsidR="00C0027C">
        <w:rPr>
          <w:rFonts w:ascii="Times New Roman" w:hAnsi="Times New Roman"/>
          <w:sz w:val="24"/>
        </w:rPr>
        <w:t xml:space="preserve"> </w:t>
      </w:r>
      <w:r w:rsidRPr="00D135DD">
        <w:rPr>
          <w:rFonts w:ascii="Times New Roman" w:hAnsi="Times New Roman"/>
          <w:sz w:val="24"/>
        </w:rPr>
        <w:t xml:space="preserve">The purpose of the provision in the August 15 document that would enable FPL to amortize $209 million of dismantlement reserve </w:t>
      </w:r>
      <w:r w:rsidR="00C0027C">
        <w:rPr>
          <w:rFonts w:ascii="Times New Roman" w:hAnsi="Times New Roman"/>
          <w:sz w:val="24"/>
        </w:rPr>
        <w:t xml:space="preserve">is to enhance FPL’s earnings.  </w:t>
      </w:r>
      <w:r w:rsidRPr="00D135DD">
        <w:rPr>
          <w:rFonts w:ascii="Times New Roman" w:hAnsi="Times New Roman"/>
          <w:sz w:val="24"/>
        </w:rPr>
        <w:t xml:space="preserve">The impact on customers would be a by-product of the earnings enhancement mechanism, and the document would </w:t>
      </w:r>
      <w:r w:rsidRPr="00D135DD">
        <w:rPr>
          <w:rFonts w:ascii="Times New Roman" w:hAnsi="Times New Roman"/>
          <w:i/>
          <w:sz w:val="24"/>
        </w:rPr>
        <w:t>require</w:t>
      </w:r>
      <w:r w:rsidRPr="00D135DD">
        <w:rPr>
          <w:rFonts w:ascii="Times New Roman" w:hAnsi="Times New Roman"/>
          <w:sz w:val="24"/>
        </w:rPr>
        <w:t xml:space="preserve"> (through the postponement of studies </w:t>
      </w:r>
      <w:r w:rsidR="000D092A">
        <w:rPr>
          <w:rFonts w:ascii="Times New Roman" w:hAnsi="Times New Roman"/>
          <w:sz w:val="24"/>
        </w:rPr>
        <w:t>mandated</w:t>
      </w:r>
      <w:r w:rsidRPr="00D135DD">
        <w:rPr>
          <w:rFonts w:ascii="Times New Roman" w:hAnsi="Times New Roman"/>
          <w:sz w:val="24"/>
        </w:rPr>
        <w:t xml:space="preserve"> by Commission rule) that </w:t>
      </w:r>
      <w:r w:rsidR="00287F46">
        <w:rPr>
          <w:rFonts w:ascii="Times New Roman" w:hAnsi="Times New Roman"/>
          <w:sz w:val="24"/>
        </w:rPr>
        <w:t xml:space="preserve">supporting </w:t>
      </w:r>
      <w:r w:rsidRPr="00D135DD">
        <w:rPr>
          <w:rFonts w:ascii="Times New Roman" w:hAnsi="Times New Roman"/>
          <w:sz w:val="24"/>
        </w:rPr>
        <w:t xml:space="preserve">information be </w:t>
      </w:r>
      <w:r w:rsidRPr="00D135DD">
        <w:rPr>
          <w:rFonts w:ascii="Times New Roman" w:hAnsi="Times New Roman"/>
          <w:i/>
          <w:sz w:val="24"/>
        </w:rPr>
        <w:t>unavailable</w:t>
      </w:r>
      <w:r w:rsidR="00C0027C">
        <w:rPr>
          <w:rFonts w:ascii="Times New Roman" w:hAnsi="Times New Roman"/>
          <w:sz w:val="24"/>
        </w:rPr>
        <w:t xml:space="preserve">.  </w:t>
      </w:r>
      <w:r w:rsidRPr="00D135DD">
        <w:rPr>
          <w:rFonts w:ascii="Times New Roman" w:hAnsi="Times New Roman"/>
          <w:sz w:val="24"/>
        </w:rPr>
        <w:t xml:space="preserve">Thus, the August 15 document would stand the purpose of capital recovery accounting on its head.  </w:t>
      </w:r>
      <w:r w:rsidRPr="00287F46">
        <w:rPr>
          <w:rFonts w:ascii="Times New Roman" w:hAnsi="Times New Roman"/>
          <w:sz w:val="24"/>
        </w:rPr>
        <w:t xml:space="preserve">Further: </w:t>
      </w:r>
      <w:r w:rsidR="00C0027C" w:rsidRPr="00287F46">
        <w:rPr>
          <w:rFonts w:ascii="Times New Roman" w:hAnsi="Times New Roman"/>
          <w:sz w:val="24"/>
        </w:rPr>
        <w:t xml:space="preserve"> </w:t>
      </w:r>
      <w:r w:rsidR="00287F46">
        <w:rPr>
          <w:rFonts w:ascii="Times New Roman" w:hAnsi="Times New Roman"/>
          <w:sz w:val="24"/>
        </w:rPr>
        <w:t>i</w:t>
      </w:r>
      <w:r w:rsidRPr="00287F46">
        <w:rPr>
          <w:rFonts w:ascii="Times New Roman" w:hAnsi="Times New Roman"/>
          <w:sz w:val="24"/>
        </w:rPr>
        <w:t>f</w:t>
      </w:r>
      <w:r w:rsidRPr="00D135DD">
        <w:rPr>
          <w:rFonts w:ascii="Times New Roman" w:hAnsi="Times New Roman"/>
          <w:sz w:val="24"/>
        </w:rPr>
        <w:t xml:space="preserve"> a utility is authorized to amortize a </w:t>
      </w:r>
      <w:r w:rsidR="00287F46">
        <w:rPr>
          <w:rFonts w:ascii="Times New Roman" w:hAnsi="Times New Roman"/>
          <w:sz w:val="24"/>
        </w:rPr>
        <w:t xml:space="preserve">reserve </w:t>
      </w:r>
      <w:r w:rsidRPr="00D135DD">
        <w:rPr>
          <w:rFonts w:ascii="Times New Roman" w:hAnsi="Times New Roman"/>
          <w:sz w:val="24"/>
        </w:rPr>
        <w:t>surplus</w:t>
      </w:r>
      <w:r w:rsidR="000D092A">
        <w:rPr>
          <w:rFonts w:ascii="Times New Roman" w:hAnsi="Times New Roman"/>
          <w:sz w:val="24"/>
        </w:rPr>
        <w:t xml:space="preserve"> to enhance its earnings</w:t>
      </w:r>
      <w:r w:rsidRPr="00D135DD">
        <w:rPr>
          <w:rFonts w:ascii="Times New Roman" w:hAnsi="Times New Roman"/>
          <w:sz w:val="24"/>
        </w:rPr>
        <w:t xml:space="preserve">, </w:t>
      </w:r>
      <w:r w:rsidR="00287F46">
        <w:rPr>
          <w:rFonts w:ascii="Times New Roman" w:hAnsi="Times New Roman"/>
          <w:sz w:val="24"/>
        </w:rPr>
        <w:t xml:space="preserve">customers </w:t>
      </w:r>
      <w:r w:rsidRPr="00D135DD">
        <w:rPr>
          <w:rFonts w:ascii="Times New Roman" w:hAnsi="Times New Roman"/>
          <w:sz w:val="24"/>
        </w:rPr>
        <w:t>should receive a corresponding benefit in the form of a commensurate reduction in base rates.  Tellingly, FPL has timed the introduction of this proposal in a way that is designed to avoid having to reflect an annual amortization in the calculation of revenue requirements in the test y</w:t>
      </w:r>
      <w:r w:rsidR="00C0027C">
        <w:rPr>
          <w:rFonts w:ascii="Times New Roman" w:hAnsi="Times New Roman"/>
          <w:sz w:val="24"/>
        </w:rPr>
        <w:t>ear of a base rate proceeding.</w:t>
      </w:r>
      <w:r w:rsidR="00287F46">
        <w:rPr>
          <w:rFonts w:ascii="Times New Roman" w:hAnsi="Times New Roman"/>
          <w:sz w:val="24"/>
        </w:rPr>
        <w:t xml:space="preserve">  If the August 15 document is adopted, FPL will have increased future rate base by $209 million while customers will have received not</w:t>
      </w:r>
      <w:r w:rsidR="000D092A">
        <w:rPr>
          <w:rFonts w:ascii="Times New Roman" w:hAnsi="Times New Roman"/>
          <w:sz w:val="24"/>
        </w:rPr>
        <w:t>h</w:t>
      </w:r>
      <w:r w:rsidR="00287F46">
        <w:rPr>
          <w:rFonts w:ascii="Times New Roman" w:hAnsi="Times New Roman"/>
          <w:sz w:val="24"/>
        </w:rPr>
        <w:t xml:space="preserve">ing in return.  This is not in the public interest and </w:t>
      </w:r>
      <w:r w:rsidR="000D092A">
        <w:rPr>
          <w:rFonts w:ascii="Times New Roman" w:hAnsi="Times New Roman"/>
          <w:sz w:val="24"/>
        </w:rPr>
        <w:t>would</w:t>
      </w:r>
      <w:r w:rsidR="00287F46">
        <w:rPr>
          <w:rFonts w:ascii="Times New Roman" w:hAnsi="Times New Roman"/>
          <w:sz w:val="24"/>
        </w:rPr>
        <w:t xml:space="preserve"> not result in fair, just</w:t>
      </w:r>
      <w:r w:rsidR="002753A9">
        <w:rPr>
          <w:rFonts w:ascii="Times New Roman" w:hAnsi="Times New Roman"/>
          <w:sz w:val="24"/>
        </w:rPr>
        <w:t>,</w:t>
      </w:r>
      <w:r w:rsidR="00287F46">
        <w:rPr>
          <w:rFonts w:ascii="Times New Roman" w:hAnsi="Times New Roman"/>
          <w:sz w:val="24"/>
        </w:rPr>
        <w:t xml:space="preserve"> and reasonable rates.</w:t>
      </w:r>
    </w:p>
    <w:p w:rsidR="00D135DD" w:rsidRPr="00D135DD" w:rsidRDefault="00D135DD" w:rsidP="00D40B4F">
      <w:pPr>
        <w:jc w:val="both"/>
        <w:rPr>
          <w:rFonts w:ascii="Times New Roman" w:hAnsi="Times New Roman"/>
          <w:sz w:val="24"/>
        </w:rPr>
      </w:pPr>
    </w:p>
    <w:p w:rsidR="00D135DD" w:rsidRDefault="007B6954" w:rsidP="00C0027C">
      <w:pPr>
        <w:ind w:firstLine="720"/>
        <w:jc w:val="both"/>
        <w:rPr>
          <w:rFonts w:ascii="Times New Roman" w:hAnsi="Times New Roman"/>
          <w:sz w:val="24"/>
        </w:rPr>
      </w:pPr>
      <w:r w:rsidRPr="003449AE">
        <w:rPr>
          <w:rFonts w:ascii="Times New Roman" w:hAnsi="Times New Roman"/>
          <w:b/>
          <w:i/>
          <w:sz w:val="24"/>
        </w:rPr>
        <w:t>The</w:t>
      </w:r>
      <w:r>
        <w:rPr>
          <w:rFonts w:ascii="Times New Roman" w:hAnsi="Times New Roman"/>
          <w:i/>
          <w:sz w:val="24"/>
        </w:rPr>
        <w:t xml:space="preserve"> </w:t>
      </w:r>
      <w:r w:rsidR="00D135DD" w:rsidRPr="00D135DD">
        <w:rPr>
          <w:rFonts w:ascii="Times New Roman" w:hAnsi="Times New Roman"/>
          <w:b/>
          <w:i/>
          <w:sz w:val="24"/>
        </w:rPr>
        <w:t>“</w:t>
      </w:r>
      <w:r>
        <w:rPr>
          <w:rFonts w:ascii="Times New Roman" w:hAnsi="Times New Roman"/>
          <w:b/>
          <w:i/>
          <w:sz w:val="24"/>
        </w:rPr>
        <w:t>a</w:t>
      </w:r>
      <w:r w:rsidR="00D135DD" w:rsidRPr="00D135DD">
        <w:rPr>
          <w:rFonts w:ascii="Times New Roman" w:hAnsi="Times New Roman"/>
          <w:b/>
          <w:i/>
          <w:sz w:val="24"/>
        </w:rPr>
        <w:t>sset optimization” provision</w:t>
      </w:r>
      <w:r w:rsidR="00D135DD" w:rsidRPr="00D135DD">
        <w:rPr>
          <w:rFonts w:ascii="Times New Roman" w:hAnsi="Times New Roman"/>
          <w:i/>
          <w:sz w:val="24"/>
        </w:rPr>
        <w:t xml:space="preserve"> </w:t>
      </w:r>
      <w:r>
        <w:rPr>
          <w:rFonts w:ascii="Times New Roman" w:hAnsi="Times New Roman"/>
          <w:b/>
          <w:i/>
          <w:sz w:val="24"/>
        </w:rPr>
        <w:t xml:space="preserve">would expand the existing, narrowly defined wholesale incentive program into inappropriate areas with inadequate </w:t>
      </w:r>
      <w:r w:rsidR="00BC35D1">
        <w:rPr>
          <w:rFonts w:ascii="Times New Roman" w:hAnsi="Times New Roman"/>
          <w:b/>
          <w:i/>
          <w:sz w:val="24"/>
        </w:rPr>
        <w:t>safeguards</w:t>
      </w:r>
      <w:r>
        <w:rPr>
          <w:rFonts w:ascii="Times New Roman" w:hAnsi="Times New Roman"/>
          <w:b/>
          <w:i/>
          <w:sz w:val="24"/>
        </w:rPr>
        <w:t xml:space="preserve"> for customers</w:t>
      </w:r>
      <w:r w:rsidR="00C0027C">
        <w:rPr>
          <w:rFonts w:ascii="Times New Roman" w:hAnsi="Times New Roman"/>
          <w:b/>
          <w:i/>
          <w:sz w:val="24"/>
        </w:rPr>
        <w:t xml:space="preserve"> </w:t>
      </w:r>
      <w:r w:rsidR="00D135DD" w:rsidRPr="00D135DD">
        <w:rPr>
          <w:rFonts w:ascii="Times New Roman" w:hAnsi="Times New Roman"/>
          <w:i/>
          <w:sz w:val="24"/>
        </w:rPr>
        <w:t>—</w:t>
      </w:r>
      <w:r w:rsidR="00C0027C">
        <w:rPr>
          <w:rFonts w:ascii="Times New Roman" w:hAnsi="Times New Roman"/>
          <w:i/>
          <w:sz w:val="24"/>
        </w:rPr>
        <w:t xml:space="preserve"> </w:t>
      </w:r>
      <w:r w:rsidR="00C0027C" w:rsidRPr="002753A9">
        <w:rPr>
          <w:rFonts w:ascii="Times New Roman" w:hAnsi="Times New Roman"/>
          <w:sz w:val="24"/>
        </w:rPr>
        <w:t>R</w:t>
      </w:r>
      <w:r w:rsidR="00D135DD" w:rsidRPr="00D135DD">
        <w:rPr>
          <w:rFonts w:ascii="Times New Roman" w:hAnsi="Times New Roman"/>
          <w:sz w:val="24"/>
        </w:rPr>
        <w:t>egulated utilities have an obligation to provide reliable and economical service.  One of the primary tools that a utility employs to adhere to this standard is to meet the demand on its system by calling on its resources in ascending order of their costs.  This concept i</w:t>
      </w:r>
      <w:r w:rsidR="00C0027C">
        <w:rPr>
          <w:rFonts w:ascii="Times New Roman" w:hAnsi="Times New Roman"/>
          <w:sz w:val="24"/>
        </w:rPr>
        <w:t xml:space="preserve">s called “economic dispatch.”  </w:t>
      </w:r>
      <w:r w:rsidR="00D135DD" w:rsidRPr="00D135DD">
        <w:rPr>
          <w:rFonts w:ascii="Times New Roman" w:hAnsi="Times New Roman"/>
          <w:sz w:val="24"/>
        </w:rPr>
        <w:t xml:space="preserve">Purchasing power when it is available at a price lower than the utility’s cost of generating it is part of the economic dispatch rationale.  By proposing to include savings from power </w:t>
      </w:r>
      <w:r w:rsidR="00D135DD" w:rsidRPr="00D135DD">
        <w:rPr>
          <w:rFonts w:ascii="Times New Roman" w:hAnsi="Times New Roman"/>
          <w:i/>
          <w:sz w:val="24"/>
        </w:rPr>
        <w:t xml:space="preserve">purchases </w:t>
      </w:r>
      <w:r w:rsidR="00D135DD" w:rsidRPr="00D135DD">
        <w:rPr>
          <w:rFonts w:ascii="Times New Roman" w:hAnsi="Times New Roman"/>
          <w:sz w:val="24"/>
        </w:rPr>
        <w:t>in an expanded incentive program, FPL is audaciously seeking “bonuses” for carrying out the most fundamental aspect of its obligation to serve.  The Commission should also be mindful of the potential for unintended consequences.  The “asset optimization” categories, which include high dollar transactions, would produce an ince</w:t>
      </w:r>
      <w:r w:rsidR="002753A9">
        <w:rPr>
          <w:rFonts w:ascii="Times New Roman" w:hAnsi="Times New Roman"/>
          <w:sz w:val="24"/>
        </w:rPr>
        <w:t>ntive for FPL to employ its low-</w:t>
      </w:r>
      <w:r w:rsidR="00D135DD" w:rsidRPr="00D135DD">
        <w:rPr>
          <w:rFonts w:ascii="Times New Roman" w:hAnsi="Times New Roman"/>
          <w:sz w:val="24"/>
        </w:rPr>
        <w:t>cost resources for off-system transactions (and incentive dollars) instead of retail service in a way that would be difficult for the Co</w:t>
      </w:r>
      <w:r w:rsidR="00C0027C">
        <w:rPr>
          <w:rFonts w:ascii="Times New Roman" w:hAnsi="Times New Roman"/>
          <w:sz w:val="24"/>
        </w:rPr>
        <w:t>mmission to monitor or police.</w:t>
      </w:r>
    </w:p>
    <w:p w:rsidR="00D135DD" w:rsidRPr="00D135DD" w:rsidRDefault="00D135DD" w:rsidP="00D40B4F">
      <w:pPr>
        <w:jc w:val="both"/>
        <w:rPr>
          <w:rFonts w:ascii="Times New Roman" w:hAnsi="Times New Roman"/>
          <w:sz w:val="24"/>
        </w:rPr>
      </w:pPr>
    </w:p>
    <w:p w:rsidR="00D135DD" w:rsidRPr="00D135DD" w:rsidRDefault="00D135DD" w:rsidP="00C0027C">
      <w:pPr>
        <w:ind w:firstLine="720"/>
        <w:jc w:val="both"/>
        <w:rPr>
          <w:rFonts w:ascii="Times New Roman" w:hAnsi="Times New Roman"/>
          <w:sz w:val="24"/>
        </w:rPr>
      </w:pPr>
      <w:r w:rsidRPr="00D135DD">
        <w:rPr>
          <w:rFonts w:ascii="Times New Roman" w:hAnsi="Times New Roman"/>
          <w:b/>
          <w:i/>
          <w:sz w:val="24"/>
        </w:rPr>
        <w:t>The purported “settlement” of the August 15 document bears no resemblance to the public interest</w:t>
      </w:r>
      <w:r w:rsidR="00C0027C">
        <w:rPr>
          <w:rFonts w:ascii="Times New Roman" w:hAnsi="Times New Roman"/>
          <w:b/>
          <w:i/>
          <w:sz w:val="24"/>
        </w:rPr>
        <w:t xml:space="preserve"> </w:t>
      </w:r>
      <w:r w:rsidRPr="00D135DD">
        <w:rPr>
          <w:rFonts w:ascii="Times New Roman" w:hAnsi="Times New Roman"/>
          <w:b/>
          <w:i/>
          <w:sz w:val="24"/>
        </w:rPr>
        <w:t>—</w:t>
      </w:r>
      <w:r w:rsidR="00C0027C">
        <w:rPr>
          <w:rFonts w:ascii="Times New Roman" w:hAnsi="Times New Roman"/>
          <w:b/>
          <w:i/>
          <w:sz w:val="24"/>
        </w:rPr>
        <w:t xml:space="preserve"> </w:t>
      </w:r>
      <w:r w:rsidRPr="00D135DD">
        <w:rPr>
          <w:rFonts w:ascii="Times New Roman" w:hAnsi="Times New Roman"/>
          <w:sz w:val="24"/>
        </w:rPr>
        <w:t xml:space="preserve">The concept of a settlement involves a compromise that provides benefits to all </w:t>
      </w:r>
      <w:r w:rsidR="00557E22">
        <w:rPr>
          <w:rFonts w:ascii="Times New Roman" w:hAnsi="Times New Roman"/>
          <w:sz w:val="24"/>
        </w:rPr>
        <w:t xml:space="preserve">of </w:t>
      </w:r>
      <w:r w:rsidRPr="00D135DD">
        <w:rPr>
          <w:rFonts w:ascii="Times New Roman" w:hAnsi="Times New Roman"/>
          <w:sz w:val="24"/>
        </w:rPr>
        <w:t xml:space="preserve">the interests represented in the case.  The bottom line of any settlement presented to the Commission must be </w:t>
      </w:r>
      <w:r w:rsidR="000D092A">
        <w:rPr>
          <w:rFonts w:ascii="Times New Roman" w:hAnsi="Times New Roman"/>
          <w:sz w:val="24"/>
        </w:rPr>
        <w:t xml:space="preserve">fair and </w:t>
      </w:r>
      <w:r w:rsidRPr="00D135DD">
        <w:rPr>
          <w:rFonts w:ascii="Times New Roman" w:hAnsi="Times New Roman"/>
          <w:sz w:val="24"/>
        </w:rPr>
        <w:t xml:space="preserve">reasonable terms that translate into fair, just, and reasonable rates.  </w:t>
      </w:r>
      <w:r w:rsidR="00557E22">
        <w:rPr>
          <w:rFonts w:ascii="Times New Roman" w:hAnsi="Times New Roman"/>
          <w:sz w:val="24"/>
        </w:rPr>
        <w:t>Among other things, t</w:t>
      </w:r>
      <w:r w:rsidRPr="00D135DD">
        <w:rPr>
          <w:rFonts w:ascii="Times New Roman" w:hAnsi="Times New Roman"/>
          <w:sz w:val="24"/>
        </w:rPr>
        <w:t>he August 15 document provides for</w:t>
      </w:r>
      <w:r w:rsidR="00557E22">
        <w:rPr>
          <w:rFonts w:ascii="Times New Roman" w:hAnsi="Times New Roman"/>
          <w:sz w:val="24"/>
        </w:rPr>
        <w:t>:  (1)</w:t>
      </w:r>
      <w:r w:rsidRPr="00D135DD">
        <w:rPr>
          <w:rFonts w:ascii="Times New Roman" w:hAnsi="Times New Roman"/>
          <w:sz w:val="24"/>
        </w:rPr>
        <w:t xml:space="preserve"> an ROE that is excessive in view of </w:t>
      </w:r>
      <w:r w:rsidR="00FF7F60">
        <w:rPr>
          <w:rFonts w:ascii="Times New Roman" w:hAnsi="Times New Roman"/>
          <w:sz w:val="24"/>
        </w:rPr>
        <w:t xml:space="preserve">the conditions of </w:t>
      </w:r>
      <w:r w:rsidRPr="00D135DD">
        <w:rPr>
          <w:rFonts w:ascii="Times New Roman" w:hAnsi="Times New Roman"/>
          <w:sz w:val="24"/>
        </w:rPr>
        <w:t xml:space="preserve">capital markets and FPL’s risk profile; </w:t>
      </w:r>
      <w:r w:rsidR="00557E22">
        <w:rPr>
          <w:rFonts w:ascii="Times New Roman" w:hAnsi="Times New Roman"/>
          <w:sz w:val="24"/>
        </w:rPr>
        <w:t xml:space="preserve">(2) </w:t>
      </w:r>
      <w:r w:rsidRPr="00D135DD">
        <w:rPr>
          <w:rFonts w:ascii="Times New Roman" w:hAnsi="Times New Roman"/>
          <w:sz w:val="24"/>
        </w:rPr>
        <w:t xml:space="preserve">an </w:t>
      </w:r>
      <w:r w:rsidR="000D092A">
        <w:rPr>
          <w:rFonts w:ascii="Times New Roman" w:hAnsi="Times New Roman"/>
          <w:sz w:val="24"/>
        </w:rPr>
        <w:t>unvetted</w:t>
      </w:r>
      <w:r w:rsidRPr="00D135DD">
        <w:rPr>
          <w:rFonts w:ascii="Times New Roman" w:hAnsi="Times New Roman"/>
          <w:sz w:val="24"/>
        </w:rPr>
        <w:t xml:space="preserve"> increase in revenues that would give FPL a “pass” on the myriad of adjustments to rate base and expenses that OPC </w:t>
      </w:r>
      <w:r w:rsidRPr="00D135DD">
        <w:rPr>
          <w:rFonts w:ascii="Times New Roman" w:hAnsi="Times New Roman"/>
          <w:sz w:val="24"/>
        </w:rPr>
        <w:lastRenderedPageBreak/>
        <w:t xml:space="preserve">and other parties advocated during the case; </w:t>
      </w:r>
      <w:r w:rsidR="00557E22">
        <w:rPr>
          <w:rFonts w:ascii="Times New Roman" w:hAnsi="Times New Roman"/>
          <w:sz w:val="24"/>
        </w:rPr>
        <w:t xml:space="preserve">(3) </w:t>
      </w:r>
      <w:r w:rsidRPr="00D135DD">
        <w:rPr>
          <w:rFonts w:ascii="Times New Roman" w:hAnsi="Times New Roman"/>
          <w:sz w:val="24"/>
        </w:rPr>
        <w:t xml:space="preserve">future base rate increases that would occur far beyond the projected test year, and would not be mitigated by strong earnings, no matter how high; </w:t>
      </w:r>
      <w:r w:rsidR="00557E22">
        <w:rPr>
          <w:rFonts w:ascii="Times New Roman" w:hAnsi="Times New Roman"/>
          <w:sz w:val="24"/>
        </w:rPr>
        <w:t xml:space="preserve">(4) </w:t>
      </w:r>
      <w:r w:rsidRPr="00D135DD">
        <w:rPr>
          <w:rFonts w:ascii="Times New Roman" w:hAnsi="Times New Roman"/>
          <w:sz w:val="24"/>
        </w:rPr>
        <w:t xml:space="preserve">amortization of dismantlement reserve that will increase FPL’s earnings, but not reduce customers’ rates; and </w:t>
      </w:r>
      <w:r w:rsidR="00557E22">
        <w:rPr>
          <w:rFonts w:ascii="Times New Roman" w:hAnsi="Times New Roman"/>
          <w:sz w:val="24"/>
        </w:rPr>
        <w:t xml:space="preserve">(5) </w:t>
      </w:r>
      <w:r w:rsidRPr="00D135DD">
        <w:rPr>
          <w:rFonts w:ascii="Times New Roman" w:hAnsi="Times New Roman"/>
          <w:sz w:val="24"/>
        </w:rPr>
        <w:t>an expansion of the existing wholesale sales incentive mechanism that would “reward” FPL for adhering to the most fundamental of economic obligations, and perversely incentivize FPL to seek off-system opportunities at the expense of retail customers.  These egregious terms, individually and collectively, would produce rates that would be unfair, unreasonable, and unjust, and would not be offset by any countervailing benefits to customers.  The Commission should see the Joint Motion For Approval for what it is</w:t>
      </w:r>
      <w:r w:rsidR="007945BF">
        <w:rPr>
          <w:rFonts w:ascii="Times New Roman" w:hAnsi="Times New Roman"/>
          <w:sz w:val="24"/>
        </w:rPr>
        <w:t xml:space="preserve"> </w:t>
      </w:r>
      <w:r w:rsidRPr="00D135DD">
        <w:rPr>
          <w:rFonts w:ascii="Times New Roman" w:hAnsi="Times New Roman"/>
          <w:sz w:val="24"/>
        </w:rPr>
        <w:t>—</w:t>
      </w:r>
      <w:r w:rsidR="007945BF">
        <w:rPr>
          <w:rFonts w:ascii="Times New Roman" w:hAnsi="Times New Roman"/>
          <w:sz w:val="24"/>
        </w:rPr>
        <w:t xml:space="preserve"> </w:t>
      </w:r>
      <w:r w:rsidR="00C73A27">
        <w:rPr>
          <w:rFonts w:ascii="Times New Roman" w:hAnsi="Times New Roman"/>
          <w:sz w:val="24"/>
        </w:rPr>
        <w:t>a “joint” Christmas wish list.</w:t>
      </w:r>
    </w:p>
    <w:p w:rsidR="00D135DD" w:rsidRPr="00D135DD" w:rsidRDefault="00D135DD" w:rsidP="002170E0">
      <w:pPr>
        <w:tabs>
          <w:tab w:val="left" w:pos="720"/>
          <w:tab w:val="left" w:pos="1440"/>
          <w:tab w:val="left" w:pos="2160"/>
          <w:tab w:val="left" w:pos="2880"/>
          <w:tab w:val="left" w:pos="3600"/>
          <w:tab w:val="left" w:pos="4320"/>
          <w:tab w:val="left" w:pos="5040"/>
          <w:tab w:val="left" w:pos="6192"/>
          <w:tab w:val="left" w:pos="7200"/>
        </w:tabs>
        <w:rPr>
          <w:rFonts w:ascii="Times New Roman" w:hAnsi="Times New Roman"/>
          <w:sz w:val="24"/>
        </w:rPr>
      </w:pPr>
    </w:p>
    <w:p w:rsidR="00D1340B" w:rsidRDefault="00D1340B" w:rsidP="00D1340B">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7971A3" w:rsidRPr="00D135DD" w:rsidRDefault="007971A3" w:rsidP="00D1340B">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AE2FBF" w:rsidRPr="00344D31" w:rsidRDefault="00AE2FBF" w:rsidP="00331BD4">
      <w:pPr>
        <w:tabs>
          <w:tab w:val="left" w:pos="720"/>
        </w:tabs>
        <w:ind w:left="4320" w:hanging="4320"/>
        <w:rPr>
          <w:rFonts w:ascii="Times New Roman" w:hAnsi="Times New Roman"/>
          <w:b/>
          <w:bCs/>
          <w:sz w:val="24"/>
        </w:rPr>
      </w:pPr>
      <w:r w:rsidRPr="00344D31">
        <w:rPr>
          <w:rFonts w:ascii="Times New Roman" w:hAnsi="Times New Roman"/>
          <w:b/>
          <w:bCs/>
          <w:sz w:val="24"/>
        </w:rPr>
        <w:t xml:space="preserve">4.  </w:t>
      </w:r>
      <w:r w:rsidR="00344D31" w:rsidRPr="00344D31">
        <w:rPr>
          <w:rFonts w:ascii="Times New Roman" w:hAnsi="Times New Roman"/>
          <w:b/>
          <w:bCs/>
          <w:sz w:val="24"/>
        </w:rPr>
        <w:tab/>
      </w:r>
      <w:r w:rsidR="002170E0">
        <w:rPr>
          <w:rFonts w:ascii="Times New Roman" w:hAnsi="Times New Roman"/>
          <w:b/>
          <w:bCs/>
          <w:sz w:val="24"/>
          <w:u w:val="single"/>
        </w:rPr>
        <w:t>ISSUES</w:t>
      </w:r>
    </w:p>
    <w:p w:rsidR="00D80701" w:rsidRPr="0094464D" w:rsidRDefault="00D80701" w:rsidP="00D80701">
      <w:pPr>
        <w:pStyle w:val="ListParagraph"/>
        <w:ind w:left="180"/>
        <w:jc w:val="both"/>
        <w:rPr>
          <w:b/>
          <w:bCs/>
          <w:u w:val="single"/>
        </w:rPr>
      </w:pPr>
    </w:p>
    <w:p w:rsidR="00D80701" w:rsidRDefault="00D80701" w:rsidP="00D80701">
      <w:pPr>
        <w:pStyle w:val="ListParagraph"/>
        <w:ind w:left="180"/>
        <w:jc w:val="both"/>
      </w:pPr>
    </w:p>
    <w:p w:rsidR="00FE1D8A" w:rsidRPr="00FE1D8A" w:rsidRDefault="00FE1D8A" w:rsidP="00FE1D8A">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 xml:space="preserve">Issue </w:t>
      </w:r>
      <w:fldSimple w:instr=" SEQ Issue \* MERGEFORMAT ">
        <w:r w:rsidR="00324A8C" w:rsidRPr="00324A8C">
          <w:rPr>
            <w:rFonts w:ascii="Times New Roman" w:hAnsi="Times New Roman"/>
            <w:b/>
            <w:noProof/>
            <w:sz w:val="24"/>
            <w:u w:val="single"/>
          </w:rPr>
          <w:t>1</w:t>
        </w:r>
      </w:fldSimple>
      <w:r w:rsidRPr="00FE1D8A">
        <w:rPr>
          <w:rFonts w:ascii="Times New Roman" w:hAnsi="Times New Roman"/>
          <w:sz w:val="24"/>
        </w:rPr>
        <w:t>:</w:t>
      </w:r>
      <w:r w:rsidRPr="00FE1D8A">
        <w:rPr>
          <w:rFonts w:ascii="Times New Roman" w:hAnsi="Times New Roman"/>
          <w:sz w:val="24"/>
        </w:rPr>
        <w:tab/>
      </w:r>
      <w:r w:rsidR="002170E0">
        <w:rPr>
          <w:rFonts w:ascii="Times New Roman" w:hAnsi="Times New Roman"/>
          <w:sz w:val="24"/>
        </w:rPr>
        <w:t>Are the generation base rate adjustments for the Canaveral Moder</w:t>
      </w:r>
      <w:r w:rsidR="007B6954">
        <w:rPr>
          <w:rFonts w:ascii="Times New Roman" w:hAnsi="Times New Roman"/>
          <w:sz w:val="24"/>
        </w:rPr>
        <w:t>n</w:t>
      </w:r>
      <w:r w:rsidR="002170E0">
        <w:rPr>
          <w:rFonts w:ascii="Times New Roman" w:hAnsi="Times New Roman"/>
          <w:sz w:val="24"/>
        </w:rPr>
        <w:t>ization Project, Riv</w:t>
      </w:r>
      <w:r w:rsidR="008519D9">
        <w:rPr>
          <w:rFonts w:ascii="Times New Roman" w:hAnsi="Times New Roman"/>
          <w:sz w:val="24"/>
        </w:rPr>
        <w:t>iera Beach Modernization Project, and Port Everglades Modernization Project, contained in paragraph 8 of the Stipulation and Settlement, in the public interest</w:t>
      </w:r>
      <w:r w:rsidRPr="00FE1D8A">
        <w:rPr>
          <w:rFonts w:ascii="Times New Roman" w:hAnsi="Times New Roman"/>
          <w:sz w:val="24"/>
        </w:rPr>
        <w:t>?</w:t>
      </w:r>
    </w:p>
    <w:p w:rsidR="00FE1D8A" w:rsidRDefault="00FE1D8A" w:rsidP="00FE1D8A">
      <w:pPr>
        <w:widowControl/>
        <w:autoSpaceDE/>
        <w:autoSpaceDN/>
        <w:adjustRightInd/>
        <w:ind w:left="1440" w:hanging="1440"/>
        <w:outlineLvl w:val="0"/>
        <w:rPr>
          <w:rFonts w:ascii="Times New Roman" w:hAnsi="Times New Roman"/>
          <w:sz w:val="24"/>
        </w:rPr>
      </w:pPr>
    </w:p>
    <w:p w:rsidR="00691140" w:rsidRDefault="00FE1D8A" w:rsidP="004442AC">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691140" w:rsidRPr="00691140">
        <w:rPr>
          <w:rFonts w:ascii="Times New Roman" w:hAnsi="Times New Roman"/>
          <w:sz w:val="24"/>
        </w:rPr>
        <w:t xml:space="preserve">No. </w:t>
      </w:r>
      <w:r w:rsidR="007971A3">
        <w:rPr>
          <w:rFonts w:ascii="Times New Roman" w:hAnsi="Times New Roman"/>
          <w:sz w:val="24"/>
        </w:rPr>
        <w:t xml:space="preserve"> </w:t>
      </w:r>
      <w:r w:rsidR="00691140" w:rsidRPr="00691140">
        <w:rPr>
          <w:rFonts w:ascii="Times New Roman" w:hAnsi="Times New Roman"/>
          <w:sz w:val="24"/>
        </w:rPr>
        <w:t xml:space="preserve">FPL’s </w:t>
      </w:r>
      <w:r w:rsidR="004B67AC">
        <w:rPr>
          <w:rFonts w:ascii="Times New Roman" w:hAnsi="Times New Roman"/>
          <w:sz w:val="24"/>
        </w:rPr>
        <w:t>generation base rate adjustment</w:t>
      </w:r>
      <w:r w:rsidR="00691140" w:rsidRPr="00691140">
        <w:rPr>
          <w:rFonts w:ascii="Times New Roman" w:hAnsi="Times New Roman"/>
          <w:sz w:val="24"/>
        </w:rPr>
        <w:t xml:space="preserve"> proposal should be rejected for the reasons stated in the testimony of Donna Ramas</w:t>
      </w:r>
      <w:r w:rsidR="0050605B">
        <w:rPr>
          <w:rFonts w:ascii="Times New Roman" w:hAnsi="Times New Roman"/>
          <w:sz w:val="24"/>
        </w:rPr>
        <w:t xml:space="preserve"> </w:t>
      </w:r>
      <w:r w:rsidR="00691140" w:rsidRPr="00691140">
        <w:rPr>
          <w:rFonts w:ascii="Times New Roman" w:hAnsi="Times New Roman"/>
          <w:sz w:val="24"/>
        </w:rPr>
        <w:t xml:space="preserve">and </w:t>
      </w:r>
      <w:r w:rsidR="00691140">
        <w:rPr>
          <w:rFonts w:ascii="Times New Roman" w:hAnsi="Times New Roman"/>
          <w:sz w:val="24"/>
        </w:rPr>
        <w:t xml:space="preserve">in </w:t>
      </w:r>
      <w:r w:rsidR="00691140" w:rsidRPr="00691140">
        <w:rPr>
          <w:rFonts w:ascii="Times New Roman" w:hAnsi="Times New Roman"/>
          <w:sz w:val="24"/>
        </w:rPr>
        <w:t xml:space="preserve">Order No. PSC-10-0153-FOF-EI </w:t>
      </w:r>
      <w:r w:rsidR="00691140">
        <w:rPr>
          <w:rFonts w:ascii="Times New Roman" w:hAnsi="Times New Roman"/>
          <w:sz w:val="24"/>
        </w:rPr>
        <w:t>(</w:t>
      </w:r>
      <w:r w:rsidR="0050605B">
        <w:rPr>
          <w:rFonts w:ascii="Times New Roman" w:hAnsi="Times New Roman"/>
          <w:sz w:val="24"/>
        </w:rPr>
        <w:t xml:space="preserve">the Commission’s final order in FPL’s last rate case, Docket No. 080677-EI, </w:t>
      </w:r>
      <w:r w:rsidR="00691140">
        <w:rPr>
          <w:rFonts w:ascii="Times New Roman" w:hAnsi="Times New Roman"/>
          <w:sz w:val="24"/>
        </w:rPr>
        <w:t>in which the Commission cited the testimony of SFHHA witness Lane Kollen</w:t>
      </w:r>
      <w:r w:rsidR="0050605B">
        <w:rPr>
          <w:rFonts w:ascii="Times New Roman" w:hAnsi="Times New Roman"/>
          <w:sz w:val="24"/>
        </w:rPr>
        <w:t xml:space="preserve"> when rejecting FPL’s proposed </w:t>
      </w:r>
      <w:r w:rsidR="004B67AC">
        <w:rPr>
          <w:rFonts w:ascii="Times New Roman" w:hAnsi="Times New Roman"/>
          <w:sz w:val="24"/>
        </w:rPr>
        <w:t>generation base rate adjustment</w:t>
      </w:r>
      <w:r w:rsidR="002753A9">
        <w:rPr>
          <w:rFonts w:ascii="Times New Roman" w:hAnsi="Times New Roman"/>
          <w:sz w:val="24"/>
        </w:rPr>
        <w:t xml:space="preserve"> </w:t>
      </w:r>
      <w:r w:rsidR="0050605B">
        <w:rPr>
          <w:rFonts w:ascii="Times New Roman" w:hAnsi="Times New Roman"/>
          <w:sz w:val="24"/>
        </w:rPr>
        <w:t>mechanism</w:t>
      </w:r>
      <w:r w:rsidR="007971A3">
        <w:rPr>
          <w:rFonts w:ascii="Times New Roman" w:hAnsi="Times New Roman"/>
          <w:sz w:val="24"/>
        </w:rPr>
        <w:t>).</w:t>
      </w:r>
      <w:r w:rsidR="004442AC">
        <w:rPr>
          <w:rFonts w:ascii="Times New Roman" w:hAnsi="Times New Roman"/>
          <w:sz w:val="24"/>
        </w:rPr>
        <w:t xml:space="preserve">  </w:t>
      </w:r>
      <w:r w:rsidR="00691140">
        <w:rPr>
          <w:rFonts w:ascii="Times New Roman" w:hAnsi="Times New Roman"/>
          <w:sz w:val="24"/>
        </w:rPr>
        <w:t xml:space="preserve">The in-service dates of the </w:t>
      </w:r>
      <w:r w:rsidR="00FF64E5">
        <w:rPr>
          <w:rFonts w:ascii="Times New Roman" w:hAnsi="Times New Roman"/>
          <w:sz w:val="24"/>
        </w:rPr>
        <w:t>Riv</w:t>
      </w:r>
      <w:r w:rsidR="00C1443D">
        <w:rPr>
          <w:rFonts w:ascii="Times New Roman" w:hAnsi="Times New Roman"/>
          <w:sz w:val="24"/>
        </w:rPr>
        <w:t>i</w:t>
      </w:r>
      <w:r w:rsidR="00FF64E5">
        <w:rPr>
          <w:rFonts w:ascii="Times New Roman" w:hAnsi="Times New Roman"/>
          <w:sz w:val="24"/>
        </w:rPr>
        <w:t xml:space="preserve">era Beach and Port Everglades </w:t>
      </w:r>
      <w:r w:rsidR="00691140">
        <w:rPr>
          <w:rFonts w:ascii="Times New Roman" w:hAnsi="Times New Roman"/>
          <w:sz w:val="24"/>
        </w:rPr>
        <w:t xml:space="preserve">generation </w:t>
      </w:r>
      <w:r w:rsidR="00FF64E5">
        <w:rPr>
          <w:rFonts w:ascii="Times New Roman" w:hAnsi="Times New Roman"/>
          <w:sz w:val="24"/>
        </w:rPr>
        <w:t xml:space="preserve">modernization </w:t>
      </w:r>
      <w:r w:rsidR="00691140">
        <w:rPr>
          <w:rFonts w:ascii="Times New Roman" w:hAnsi="Times New Roman"/>
          <w:sz w:val="24"/>
        </w:rPr>
        <w:t xml:space="preserve">projects are well beyond the projected test year on which the Commission has based </w:t>
      </w:r>
      <w:r w:rsidR="000527FF">
        <w:rPr>
          <w:rFonts w:ascii="Times New Roman" w:hAnsi="Times New Roman"/>
          <w:sz w:val="24"/>
        </w:rPr>
        <w:t>its consideration of FPL’s March 2012 filing</w:t>
      </w:r>
      <w:r w:rsidR="00691140">
        <w:rPr>
          <w:rFonts w:ascii="Times New Roman" w:hAnsi="Times New Roman"/>
          <w:sz w:val="24"/>
        </w:rPr>
        <w:t xml:space="preserve">.  On that basis alone, the Commission should refuse to entertain the proposal, just as it refused FPL’s proposal for a “subsequent step increase” in the year beyond its projected test year in Docket No. 080677-EI.  </w:t>
      </w:r>
      <w:r w:rsidR="0050605B">
        <w:rPr>
          <w:rFonts w:ascii="Times New Roman" w:hAnsi="Times New Roman"/>
          <w:sz w:val="24"/>
        </w:rPr>
        <w:t>(In that instance, FPL had provided information regarding its future overall operations that the Commission d</w:t>
      </w:r>
      <w:r w:rsidR="00920A06">
        <w:rPr>
          <w:rFonts w:ascii="Times New Roman" w:hAnsi="Times New Roman"/>
          <w:sz w:val="24"/>
        </w:rPr>
        <w:t>eemed to be unreliable.  In the instant</w:t>
      </w:r>
      <w:r w:rsidR="0050605B">
        <w:rPr>
          <w:rFonts w:ascii="Times New Roman" w:hAnsi="Times New Roman"/>
          <w:sz w:val="24"/>
        </w:rPr>
        <w:t xml:space="preserve"> case, FPL proposes to eliminate “overall information” completely.)  </w:t>
      </w:r>
      <w:r w:rsidR="00691140">
        <w:rPr>
          <w:rFonts w:ascii="Times New Roman" w:hAnsi="Times New Roman"/>
          <w:sz w:val="24"/>
        </w:rPr>
        <w:t xml:space="preserve">More importantly, FPL seeks to add the full revenue requirements of each generation project to base rates incrementally, without any obligation to demonstrate that its earnings in the future </w:t>
      </w:r>
      <w:r w:rsidR="0050605B">
        <w:rPr>
          <w:rFonts w:ascii="Times New Roman" w:hAnsi="Times New Roman"/>
          <w:sz w:val="24"/>
        </w:rPr>
        <w:t xml:space="preserve">could not absorb all or part of the additional costs without an increase in rates.  (In the past, FPL has added several power plants to rate base without increasing customers’ rates.)  </w:t>
      </w:r>
      <w:r w:rsidR="00920A06">
        <w:rPr>
          <w:rFonts w:ascii="Times New Roman" w:hAnsi="Times New Roman"/>
          <w:sz w:val="24"/>
        </w:rPr>
        <w:t>This</w:t>
      </w:r>
      <w:r w:rsidR="00FF64E5">
        <w:rPr>
          <w:rFonts w:ascii="Times New Roman" w:hAnsi="Times New Roman"/>
          <w:sz w:val="24"/>
        </w:rPr>
        <w:t xml:space="preserve"> proposal would allow FPL to inc</w:t>
      </w:r>
      <w:r w:rsidR="000D092A">
        <w:rPr>
          <w:rFonts w:ascii="Times New Roman" w:hAnsi="Times New Roman"/>
          <w:sz w:val="24"/>
        </w:rPr>
        <w:t>r</w:t>
      </w:r>
      <w:r w:rsidR="00FF64E5">
        <w:rPr>
          <w:rFonts w:ascii="Times New Roman" w:hAnsi="Times New Roman"/>
          <w:sz w:val="24"/>
        </w:rPr>
        <w:t xml:space="preserve">ease base rates even if FPL is earning above its range </w:t>
      </w:r>
      <w:r w:rsidR="00920A06">
        <w:rPr>
          <w:rFonts w:ascii="Times New Roman" w:hAnsi="Times New Roman"/>
          <w:sz w:val="24"/>
        </w:rPr>
        <w:t>during</w:t>
      </w:r>
      <w:r w:rsidR="00FF64E5">
        <w:rPr>
          <w:rFonts w:ascii="Times New Roman" w:hAnsi="Times New Roman"/>
          <w:sz w:val="24"/>
        </w:rPr>
        <w:t xml:space="preserve"> the period in which the projects are placed into service.  </w:t>
      </w:r>
      <w:r w:rsidR="0050605B">
        <w:rPr>
          <w:rFonts w:ascii="Times New Roman" w:hAnsi="Times New Roman"/>
          <w:sz w:val="24"/>
        </w:rPr>
        <w:t>The proposal is tantamount to a “power plant cost recovery clause” within base rates.  FPL’s argument that</w:t>
      </w:r>
      <w:r w:rsidR="00C73A27">
        <w:rPr>
          <w:rFonts w:ascii="Times New Roman" w:hAnsi="Times New Roman"/>
          <w:sz w:val="24"/>
        </w:rPr>
        <w:t xml:space="preserve"> a</w:t>
      </w:r>
      <w:r w:rsidR="0050605B">
        <w:rPr>
          <w:rFonts w:ascii="Times New Roman" w:hAnsi="Times New Roman"/>
          <w:sz w:val="24"/>
        </w:rPr>
        <w:t xml:space="preserve"> </w:t>
      </w:r>
      <w:r w:rsidR="00C73A27">
        <w:rPr>
          <w:rFonts w:ascii="Times New Roman" w:hAnsi="Times New Roman"/>
          <w:sz w:val="24"/>
        </w:rPr>
        <w:t>generation base rate adjustment</w:t>
      </w:r>
      <w:r w:rsidR="00920A06">
        <w:rPr>
          <w:rFonts w:ascii="Times New Roman" w:hAnsi="Times New Roman"/>
          <w:sz w:val="24"/>
        </w:rPr>
        <w:t xml:space="preserve"> </w:t>
      </w:r>
      <w:r w:rsidR="0050605B">
        <w:rPr>
          <w:rFonts w:ascii="Times New Roman" w:hAnsi="Times New Roman"/>
          <w:sz w:val="24"/>
        </w:rPr>
        <w:t xml:space="preserve">could not cause it to overearn is </w:t>
      </w:r>
      <w:r w:rsidR="004442AC">
        <w:rPr>
          <w:rFonts w:ascii="Times New Roman" w:hAnsi="Times New Roman"/>
          <w:sz w:val="24"/>
        </w:rPr>
        <w:t>an exercise in misdirection</w:t>
      </w:r>
      <w:r w:rsidR="0050605B">
        <w:rPr>
          <w:rFonts w:ascii="Times New Roman" w:hAnsi="Times New Roman"/>
          <w:sz w:val="24"/>
        </w:rPr>
        <w:t xml:space="preserve">.  Base rates are designed to produce a return that will vary within a reasonable range while rates remain constant.  FPL hopes to “flip” that concept and increase rates so that its earnings will remain whole.  This “piecemeal,” “incremental” approach to ratemaking would inappropriately shift the burden of demonstrating the need for a change in rates from the utility to the Commission and </w:t>
      </w:r>
      <w:r w:rsidR="004442AC">
        <w:rPr>
          <w:rFonts w:ascii="Times New Roman" w:hAnsi="Times New Roman"/>
          <w:sz w:val="24"/>
        </w:rPr>
        <w:t xml:space="preserve">the utility’s </w:t>
      </w:r>
      <w:r w:rsidR="0050605B">
        <w:rPr>
          <w:rFonts w:ascii="Times New Roman" w:hAnsi="Times New Roman"/>
          <w:sz w:val="24"/>
        </w:rPr>
        <w:t>customers.</w:t>
      </w:r>
    </w:p>
    <w:p w:rsidR="00541DD1" w:rsidRDefault="00541DD1" w:rsidP="007971A3">
      <w:pPr>
        <w:ind w:left="1440"/>
        <w:jc w:val="both"/>
        <w:rPr>
          <w:rFonts w:ascii="Times New Roman" w:hAnsi="Times New Roman"/>
          <w:sz w:val="24"/>
        </w:rPr>
      </w:pPr>
    </w:p>
    <w:p w:rsidR="00541DD1" w:rsidRDefault="00541DD1" w:rsidP="007971A3">
      <w:pPr>
        <w:ind w:left="1440"/>
        <w:jc w:val="both"/>
        <w:rPr>
          <w:rFonts w:ascii="Calibri" w:hAnsi="Calibri"/>
          <w:sz w:val="22"/>
          <w:szCs w:val="22"/>
        </w:rPr>
      </w:pPr>
      <w:r>
        <w:rPr>
          <w:rFonts w:ascii="Times New Roman" w:hAnsi="Times New Roman"/>
          <w:sz w:val="24"/>
        </w:rPr>
        <w:t xml:space="preserve">In Docket No. 080677-EI, FPL included its proposed </w:t>
      </w:r>
      <w:r w:rsidR="004B67AC">
        <w:rPr>
          <w:rFonts w:ascii="Times New Roman" w:hAnsi="Times New Roman"/>
          <w:sz w:val="24"/>
        </w:rPr>
        <w:t>generation base rate adjustment</w:t>
      </w:r>
      <w:r w:rsidR="00920A06">
        <w:rPr>
          <w:rFonts w:ascii="Times New Roman" w:hAnsi="Times New Roman"/>
          <w:sz w:val="24"/>
        </w:rPr>
        <w:t xml:space="preserve"> </w:t>
      </w:r>
      <w:r>
        <w:rPr>
          <w:rFonts w:ascii="Times New Roman" w:hAnsi="Times New Roman"/>
          <w:sz w:val="24"/>
        </w:rPr>
        <w:t xml:space="preserve">mechanism in its petition.  The Commission rejected it emphatically.  In </w:t>
      </w:r>
      <w:r w:rsidR="004442AC">
        <w:rPr>
          <w:rFonts w:ascii="Times New Roman" w:hAnsi="Times New Roman"/>
          <w:sz w:val="24"/>
        </w:rPr>
        <w:t>the instant</w:t>
      </w:r>
      <w:r>
        <w:rPr>
          <w:rFonts w:ascii="Times New Roman" w:hAnsi="Times New Roman"/>
          <w:sz w:val="24"/>
        </w:rPr>
        <w:t xml:space="preserve"> case, FPL waited until </w:t>
      </w:r>
      <w:r w:rsidR="00FF7F60">
        <w:rPr>
          <w:rFonts w:ascii="Times New Roman" w:hAnsi="Times New Roman"/>
          <w:sz w:val="24"/>
        </w:rPr>
        <w:t>five</w:t>
      </w:r>
      <w:r w:rsidR="00920A06">
        <w:rPr>
          <w:rFonts w:ascii="Times New Roman" w:hAnsi="Times New Roman"/>
          <w:sz w:val="24"/>
        </w:rPr>
        <w:t xml:space="preserve"> </w:t>
      </w:r>
      <w:r>
        <w:rPr>
          <w:rFonts w:ascii="Times New Roman" w:hAnsi="Times New Roman"/>
          <w:sz w:val="24"/>
        </w:rPr>
        <w:t xml:space="preserve">days before the beginning of the August 2012 hearing before injecting a similar </w:t>
      </w:r>
      <w:r w:rsidR="004B67AC">
        <w:rPr>
          <w:rFonts w:ascii="Times New Roman" w:hAnsi="Times New Roman"/>
          <w:sz w:val="24"/>
        </w:rPr>
        <w:t>generation base rate adjustment</w:t>
      </w:r>
      <w:r w:rsidR="00920A06">
        <w:rPr>
          <w:rFonts w:ascii="Times New Roman" w:hAnsi="Times New Roman"/>
          <w:sz w:val="24"/>
        </w:rPr>
        <w:t xml:space="preserve"> </w:t>
      </w:r>
      <w:r>
        <w:rPr>
          <w:rFonts w:ascii="Times New Roman" w:hAnsi="Times New Roman"/>
          <w:sz w:val="24"/>
        </w:rPr>
        <w:t xml:space="preserve">proposal into this </w:t>
      </w:r>
      <w:r w:rsidR="00920A06">
        <w:rPr>
          <w:rFonts w:ascii="Times New Roman" w:hAnsi="Times New Roman"/>
          <w:sz w:val="24"/>
        </w:rPr>
        <w:t>proceeding</w:t>
      </w:r>
      <w:r>
        <w:rPr>
          <w:rFonts w:ascii="Times New Roman" w:hAnsi="Times New Roman"/>
          <w:sz w:val="24"/>
        </w:rPr>
        <w:t xml:space="preserve">.  One must assume that FPL believes </w:t>
      </w:r>
      <w:r w:rsidR="00920A06">
        <w:rPr>
          <w:rFonts w:ascii="Times New Roman" w:hAnsi="Times New Roman"/>
          <w:sz w:val="24"/>
        </w:rPr>
        <w:t xml:space="preserve">that </w:t>
      </w:r>
      <w:r>
        <w:rPr>
          <w:rFonts w:ascii="Times New Roman" w:hAnsi="Times New Roman"/>
          <w:sz w:val="24"/>
        </w:rPr>
        <w:t xml:space="preserve">its chances for success (following the rejection in its last case) may be better if it is presented as part of a “settlement” package.  However, the purported settlement is not properly before the Commission, and the terms of the August 15 document provide no offsetting or countervailing benefits to customers that would justify the self-serving </w:t>
      </w:r>
      <w:r w:rsidR="004B67AC">
        <w:rPr>
          <w:rFonts w:ascii="Times New Roman" w:hAnsi="Times New Roman"/>
          <w:sz w:val="24"/>
        </w:rPr>
        <w:t>generation base rate adjustment</w:t>
      </w:r>
      <w:r w:rsidR="00920A06">
        <w:rPr>
          <w:rFonts w:ascii="Times New Roman" w:hAnsi="Times New Roman"/>
          <w:sz w:val="24"/>
        </w:rPr>
        <w:t xml:space="preserve"> </w:t>
      </w:r>
      <w:r>
        <w:rPr>
          <w:rFonts w:ascii="Times New Roman" w:hAnsi="Times New Roman"/>
          <w:sz w:val="24"/>
        </w:rPr>
        <w:t>proposal.</w:t>
      </w:r>
    </w:p>
    <w:p w:rsidR="00FE1D8A" w:rsidRDefault="00FE1D8A" w:rsidP="00A3692F">
      <w:pPr>
        <w:widowControl/>
        <w:autoSpaceDE/>
        <w:autoSpaceDN/>
        <w:adjustRightInd/>
        <w:ind w:left="1440" w:hanging="1440"/>
        <w:jc w:val="both"/>
        <w:outlineLvl w:val="0"/>
        <w:rPr>
          <w:rFonts w:ascii="Times New Roman" w:hAnsi="Times New Roman"/>
          <w:sz w:val="24"/>
        </w:rPr>
      </w:pPr>
    </w:p>
    <w:p w:rsid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ind w:left="1440" w:hanging="1440"/>
        <w:jc w:val="both"/>
        <w:rPr>
          <w:rFonts w:ascii="Times New Roman" w:hAnsi="Times New Roman"/>
          <w:sz w:val="24"/>
        </w:rPr>
      </w:pPr>
      <w:r w:rsidRPr="00FE1D8A">
        <w:rPr>
          <w:rFonts w:ascii="Times New Roman" w:hAnsi="Times New Roman"/>
          <w:b/>
          <w:sz w:val="24"/>
          <w:u w:val="single"/>
        </w:rPr>
        <w:t xml:space="preserve">Issue </w:t>
      </w:r>
      <w:fldSimple w:instr=" SEQ Issue \* MERGEFORMAT ">
        <w:r w:rsidR="00324A8C" w:rsidRPr="00324A8C">
          <w:rPr>
            <w:rFonts w:ascii="Times New Roman" w:hAnsi="Times New Roman"/>
            <w:b/>
            <w:noProof/>
            <w:sz w:val="24"/>
            <w:u w:val="single"/>
          </w:rPr>
          <w:t>2</w:t>
        </w:r>
      </w:fldSimple>
      <w:r w:rsidRPr="00FE1D8A">
        <w:rPr>
          <w:rFonts w:ascii="Times New Roman" w:hAnsi="Times New Roman"/>
          <w:sz w:val="24"/>
        </w:rPr>
        <w:t>:</w:t>
      </w:r>
      <w:r w:rsidRPr="00FE1D8A">
        <w:rPr>
          <w:rFonts w:ascii="Times New Roman" w:hAnsi="Times New Roman"/>
          <w:sz w:val="24"/>
        </w:rPr>
        <w:tab/>
      </w:r>
      <w:r w:rsidR="008519D9">
        <w:rPr>
          <w:rFonts w:ascii="Times New Roman" w:hAnsi="Times New Roman"/>
          <w:sz w:val="24"/>
        </w:rPr>
        <w:t>Is the provision contained in paragraph 10(b) of the Stipulation and Settlement, which allows the amortization of a portion of FPL’s Fossil Dismantlement Reserve during the Term, in the public interest</w:t>
      </w:r>
      <w:r w:rsidRPr="00FE1D8A">
        <w:rPr>
          <w:rFonts w:ascii="Times New Roman" w:hAnsi="Times New Roman"/>
          <w:sz w:val="24"/>
        </w:rPr>
        <w:t>?</w:t>
      </w:r>
    </w:p>
    <w:p w:rsidR="00FE1D8A" w:rsidRDefault="00FE1D8A" w:rsidP="00FE1D8A">
      <w:pPr>
        <w:widowControl/>
        <w:autoSpaceDE/>
        <w:autoSpaceDN/>
        <w:adjustRightInd/>
        <w:ind w:left="1440" w:hanging="1440"/>
        <w:outlineLvl w:val="0"/>
        <w:rPr>
          <w:rFonts w:ascii="Times New Roman" w:hAnsi="Times New Roman"/>
          <w:sz w:val="24"/>
        </w:rPr>
      </w:pPr>
    </w:p>
    <w:p w:rsidR="00070C88" w:rsidRDefault="00FE1D8A" w:rsidP="00346641">
      <w:pPr>
        <w:widowControl/>
        <w:autoSpaceDE/>
        <w:autoSpaceDN/>
        <w:adjustRightInd/>
        <w:ind w:left="1440" w:hanging="1440"/>
        <w:jc w:val="both"/>
        <w:outlineLvl w:val="0"/>
        <w:rPr>
          <w:rFonts w:ascii="Times New Roman" w:hAnsi="Times New Roman"/>
          <w:sz w:val="24"/>
        </w:rPr>
      </w:pPr>
      <w:r>
        <w:rPr>
          <w:rFonts w:ascii="Times New Roman" w:hAnsi="Times New Roman"/>
          <w:sz w:val="24"/>
        </w:rPr>
        <w:t>OPC:</w:t>
      </w:r>
      <w:r>
        <w:rPr>
          <w:rFonts w:ascii="Times New Roman" w:hAnsi="Times New Roman"/>
          <w:sz w:val="24"/>
        </w:rPr>
        <w:tab/>
      </w:r>
      <w:r w:rsidR="00070C88">
        <w:rPr>
          <w:rFonts w:ascii="Times New Roman" w:hAnsi="Times New Roman"/>
          <w:sz w:val="24"/>
        </w:rPr>
        <w:t>No.  The provision is intended</w:t>
      </w:r>
      <w:r w:rsidR="00920A06">
        <w:rPr>
          <w:rFonts w:ascii="Times New Roman" w:hAnsi="Times New Roman"/>
          <w:sz w:val="24"/>
        </w:rPr>
        <w:t xml:space="preserve"> – </w:t>
      </w:r>
      <w:r w:rsidR="00070C88">
        <w:rPr>
          <w:rFonts w:ascii="Times New Roman" w:hAnsi="Times New Roman"/>
          <w:sz w:val="24"/>
        </w:rPr>
        <w:t>not to accomplish intergenerational fairness</w:t>
      </w:r>
      <w:r w:rsidR="007971A3">
        <w:rPr>
          <w:rFonts w:ascii="Times New Roman" w:hAnsi="Times New Roman"/>
          <w:sz w:val="24"/>
        </w:rPr>
        <w:t xml:space="preserve"> – </w:t>
      </w:r>
      <w:r w:rsidR="00070C88">
        <w:rPr>
          <w:rFonts w:ascii="Times New Roman" w:hAnsi="Times New Roman"/>
          <w:sz w:val="24"/>
        </w:rPr>
        <w:t>but to enhance FPL’s earnings.  It is structure</w:t>
      </w:r>
      <w:r w:rsidR="003A05BB">
        <w:rPr>
          <w:rFonts w:ascii="Times New Roman" w:hAnsi="Times New Roman"/>
          <w:sz w:val="24"/>
        </w:rPr>
        <w:t>d</w:t>
      </w:r>
      <w:r w:rsidR="007971A3">
        <w:rPr>
          <w:rFonts w:ascii="Times New Roman" w:hAnsi="Times New Roman"/>
          <w:sz w:val="24"/>
        </w:rPr>
        <w:t xml:space="preserve"> – </w:t>
      </w:r>
      <w:r w:rsidR="003A05BB">
        <w:rPr>
          <w:rFonts w:ascii="Times New Roman" w:hAnsi="Times New Roman"/>
          <w:sz w:val="24"/>
        </w:rPr>
        <w:t>not to aid in establishing</w:t>
      </w:r>
      <w:r w:rsidR="00070C88">
        <w:rPr>
          <w:rFonts w:ascii="Times New Roman" w:hAnsi="Times New Roman"/>
          <w:sz w:val="24"/>
        </w:rPr>
        <w:t xml:space="preserve"> fair and reasonable rates</w:t>
      </w:r>
      <w:r w:rsidR="00920A06">
        <w:rPr>
          <w:rFonts w:ascii="Times New Roman" w:hAnsi="Times New Roman"/>
          <w:sz w:val="24"/>
        </w:rPr>
        <w:t xml:space="preserve"> – b</w:t>
      </w:r>
      <w:r w:rsidR="00070C88">
        <w:rPr>
          <w:rFonts w:ascii="Times New Roman" w:hAnsi="Times New Roman"/>
          <w:sz w:val="24"/>
        </w:rPr>
        <w:t>ut to avoid providing customers with a commensurate reduction in base rates.  Moreo</w:t>
      </w:r>
      <w:r w:rsidR="007971A3">
        <w:rPr>
          <w:rFonts w:ascii="Times New Roman" w:hAnsi="Times New Roman"/>
          <w:sz w:val="24"/>
        </w:rPr>
        <w:t xml:space="preserve">ver, the provision is dependent – </w:t>
      </w:r>
      <w:r w:rsidR="00070C88">
        <w:rPr>
          <w:rFonts w:ascii="Times New Roman" w:hAnsi="Times New Roman"/>
          <w:sz w:val="24"/>
        </w:rPr>
        <w:t>not on a supporting study of the status of the current expectation and related collection of dismantlement costs</w:t>
      </w:r>
      <w:r w:rsidR="00920A06">
        <w:rPr>
          <w:rFonts w:ascii="Times New Roman" w:hAnsi="Times New Roman"/>
          <w:sz w:val="24"/>
        </w:rPr>
        <w:t xml:space="preserve"> – b</w:t>
      </w:r>
      <w:r w:rsidR="00070C88">
        <w:rPr>
          <w:rFonts w:ascii="Times New Roman" w:hAnsi="Times New Roman"/>
          <w:sz w:val="24"/>
        </w:rPr>
        <w:t>ut on the proposed postponement of such a study.  The pr</w:t>
      </w:r>
      <w:r w:rsidR="00375563">
        <w:rPr>
          <w:rFonts w:ascii="Times New Roman" w:hAnsi="Times New Roman"/>
          <w:sz w:val="24"/>
        </w:rPr>
        <w:t xml:space="preserve">ovision, in short, is severely skewed to only </w:t>
      </w:r>
      <w:r w:rsidR="00920A06">
        <w:rPr>
          <w:rFonts w:ascii="Times New Roman" w:hAnsi="Times New Roman"/>
          <w:sz w:val="24"/>
        </w:rPr>
        <w:t xml:space="preserve">benefit </w:t>
      </w:r>
      <w:r w:rsidR="003A05BB">
        <w:rPr>
          <w:rFonts w:ascii="Times New Roman" w:hAnsi="Times New Roman"/>
          <w:sz w:val="24"/>
        </w:rPr>
        <w:t>FPL, as the amortization that produces increased earnings will also</w:t>
      </w:r>
      <w:r w:rsidR="00070C88">
        <w:rPr>
          <w:rFonts w:ascii="Times New Roman" w:hAnsi="Times New Roman"/>
          <w:sz w:val="24"/>
        </w:rPr>
        <w:t xml:space="preserve"> increase future rate base</w:t>
      </w:r>
      <w:r w:rsidR="003A05BB">
        <w:rPr>
          <w:rFonts w:ascii="Times New Roman" w:hAnsi="Times New Roman"/>
          <w:sz w:val="24"/>
        </w:rPr>
        <w:t>,</w:t>
      </w:r>
      <w:r w:rsidR="00070C88">
        <w:rPr>
          <w:rFonts w:ascii="Times New Roman" w:hAnsi="Times New Roman"/>
          <w:sz w:val="24"/>
        </w:rPr>
        <w:t xml:space="preserve"> without customers having received any corresponding monetary benefit.  Rates based on the provision would not be fair, just, and reasonable.  Accordingly, the provision is not in the public interest, either individually or as part of the August 15 document.</w:t>
      </w:r>
    </w:p>
    <w:p w:rsidR="00070C88" w:rsidRDefault="00070C88" w:rsidP="00070C88">
      <w:pPr>
        <w:widowControl/>
        <w:autoSpaceDE/>
        <w:autoSpaceDN/>
        <w:adjustRightInd/>
        <w:ind w:left="1440" w:hanging="1440"/>
        <w:outlineLvl w:val="0"/>
        <w:rPr>
          <w:rFonts w:ascii="Times New Roman" w:hAnsi="Times New Roman"/>
          <w:sz w:val="24"/>
        </w:rPr>
      </w:pPr>
    </w:p>
    <w:p w:rsidR="00070C88" w:rsidRPr="00FE1D8A" w:rsidRDefault="00070C88" w:rsidP="00070C88">
      <w:pPr>
        <w:widowControl/>
        <w:autoSpaceDE/>
        <w:autoSpaceDN/>
        <w:adjustRightInd/>
        <w:ind w:left="1440" w:hanging="1440"/>
        <w:outlineLvl w:val="0"/>
        <w:rPr>
          <w:rFonts w:ascii="Times New Roman" w:hAnsi="Times New Roman"/>
          <w:sz w:val="24"/>
        </w:rPr>
      </w:pPr>
    </w:p>
    <w:p w:rsid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jc w:val="both"/>
        <w:outlineLvl w:val="0"/>
        <w:rPr>
          <w:rFonts w:ascii="Times New Roman" w:hAnsi="Times New Roman"/>
          <w:b/>
          <w:sz w:val="24"/>
        </w:rPr>
      </w:pPr>
      <w:r w:rsidRPr="00FE1D8A">
        <w:rPr>
          <w:rFonts w:ascii="Times New Roman" w:hAnsi="Times New Roman"/>
          <w:b/>
          <w:sz w:val="24"/>
          <w:u w:val="single"/>
        </w:rPr>
        <w:t xml:space="preserve">Issue </w:t>
      </w:r>
      <w:fldSimple w:instr=" SEQ Issue \* MERGEFORMAT ">
        <w:r w:rsidR="00324A8C" w:rsidRPr="00324A8C">
          <w:rPr>
            <w:rFonts w:ascii="Times New Roman" w:hAnsi="Times New Roman"/>
            <w:b/>
            <w:noProof/>
            <w:sz w:val="24"/>
            <w:u w:val="single"/>
          </w:rPr>
          <w:t>3</w:t>
        </w:r>
      </w:fldSimple>
      <w:r w:rsidRPr="00FE1D8A">
        <w:rPr>
          <w:rFonts w:ascii="Times New Roman" w:hAnsi="Times New Roman"/>
          <w:sz w:val="24"/>
        </w:rPr>
        <w:t>:</w:t>
      </w:r>
      <w:r w:rsidRPr="00FE1D8A">
        <w:rPr>
          <w:rFonts w:ascii="Times New Roman" w:hAnsi="Times New Roman"/>
          <w:sz w:val="24"/>
        </w:rPr>
        <w:tab/>
      </w:r>
      <w:r w:rsidR="00F007C8">
        <w:rPr>
          <w:rFonts w:ascii="Times New Roman" w:hAnsi="Times New Roman"/>
          <w:sz w:val="24"/>
        </w:rPr>
        <w:t>Is the provision contained in paragraph 11 of the Stipulation and Settlement, which relieves FPL of the requirement to file any depreciation or dismantlement study during the Term, in the public interest</w:t>
      </w:r>
      <w:r w:rsidRPr="00FE1D8A">
        <w:rPr>
          <w:rFonts w:ascii="Times New Roman" w:hAnsi="Times New Roman"/>
          <w:sz w:val="24"/>
        </w:rPr>
        <w:t xml:space="preserve">? </w:t>
      </w:r>
    </w:p>
    <w:p w:rsidR="00FE1D8A" w:rsidRDefault="00FE1D8A" w:rsidP="00FE1D8A">
      <w:pPr>
        <w:widowControl/>
        <w:autoSpaceDE/>
        <w:autoSpaceDN/>
        <w:adjustRightInd/>
        <w:ind w:left="1440" w:hanging="1440"/>
        <w:outlineLvl w:val="0"/>
        <w:rPr>
          <w:rFonts w:ascii="Times New Roman" w:hAnsi="Times New Roman"/>
          <w:sz w:val="24"/>
        </w:rPr>
      </w:pPr>
    </w:p>
    <w:p w:rsidR="00070C88" w:rsidRDefault="00FE1D8A" w:rsidP="00070C88">
      <w:pPr>
        <w:widowControl/>
        <w:autoSpaceDE/>
        <w:autoSpaceDN/>
        <w:adjustRightInd/>
        <w:ind w:left="1440" w:hanging="1440"/>
        <w:jc w:val="both"/>
        <w:outlineLvl w:val="0"/>
        <w:rPr>
          <w:rFonts w:ascii="Times New Roman" w:hAnsi="Times New Roman"/>
          <w:sz w:val="24"/>
        </w:rPr>
      </w:pPr>
      <w:r>
        <w:rPr>
          <w:rFonts w:ascii="Times New Roman" w:hAnsi="Times New Roman"/>
          <w:sz w:val="24"/>
        </w:rPr>
        <w:t>OPC:</w:t>
      </w:r>
      <w:r>
        <w:rPr>
          <w:rFonts w:ascii="Times New Roman" w:hAnsi="Times New Roman"/>
          <w:sz w:val="24"/>
        </w:rPr>
        <w:tab/>
      </w:r>
      <w:r w:rsidR="00070C88">
        <w:rPr>
          <w:rFonts w:ascii="Times New Roman" w:hAnsi="Times New Roman"/>
          <w:sz w:val="24"/>
        </w:rPr>
        <w:t>No.  The purpose of the depreciation and dismantlement studies that the Commission requires FPL and other regulated utilities to file periodically is to enable the Commission to gauge whether a utility is “on course” with respect to collecting the appropriate amount of capital costs from customers over time</w:t>
      </w:r>
      <w:r w:rsidR="00375563">
        <w:rPr>
          <w:rFonts w:ascii="Times New Roman" w:hAnsi="Times New Roman"/>
          <w:sz w:val="24"/>
        </w:rPr>
        <w:t xml:space="preserve"> (the </w:t>
      </w:r>
      <w:r w:rsidR="00C1443D">
        <w:rPr>
          <w:rFonts w:ascii="Times New Roman" w:hAnsi="Times New Roman"/>
          <w:sz w:val="24"/>
        </w:rPr>
        <w:t>“</w:t>
      </w:r>
      <w:r w:rsidR="00375563">
        <w:rPr>
          <w:rFonts w:ascii="Times New Roman" w:hAnsi="Times New Roman"/>
          <w:sz w:val="24"/>
        </w:rPr>
        <w:t>matching principle”)</w:t>
      </w:r>
      <w:r w:rsidR="00070C88">
        <w:rPr>
          <w:rFonts w:ascii="Times New Roman" w:hAnsi="Times New Roman"/>
          <w:sz w:val="24"/>
        </w:rPr>
        <w:t xml:space="preserve">, and to take remedial action to achieve fairness between generations of customers if an imbalance is identified.  As demonstrated in FPL’s last rate case, establishing the degree </w:t>
      </w:r>
      <w:r w:rsidR="00E86F99">
        <w:rPr>
          <w:rFonts w:ascii="Times New Roman" w:hAnsi="Times New Roman"/>
          <w:sz w:val="24"/>
        </w:rPr>
        <w:t xml:space="preserve">to which </w:t>
      </w:r>
      <w:r w:rsidR="00070C88">
        <w:rPr>
          <w:rFonts w:ascii="Times New Roman" w:hAnsi="Times New Roman"/>
          <w:sz w:val="24"/>
        </w:rPr>
        <w:t xml:space="preserve">FPL is “on </w:t>
      </w:r>
      <w:r w:rsidR="00375563">
        <w:rPr>
          <w:rFonts w:ascii="Times New Roman" w:hAnsi="Times New Roman"/>
          <w:sz w:val="24"/>
        </w:rPr>
        <w:t xml:space="preserve">course” </w:t>
      </w:r>
      <w:r w:rsidR="00070C88">
        <w:rPr>
          <w:rFonts w:ascii="Times New Roman" w:hAnsi="Times New Roman"/>
          <w:sz w:val="24"/>
        </w:rPr>
        <w:t xml:space="preserve">or </w:t>
      </w:r>
      <w:r w:rsidR="00375563">
        <w:rPr>
          <w:rFonts w:ascii="Times New Roman" w:hAnsi="Times New Roman"/>
          <w:sz w:val="24"/>
        </w:rPr>
        <w:t>“</w:t>
      </w:r>
      <w:r w:rsidR="00070C88">
        <w:rPr>
          <w:rFonts w:ascii="Times New Roman" w:hAnsi="Times New Roman"/>
          <w:sz w:val="24"/>
        </w:rPr>
        <w:t xml:space="preserve">off course” </w:t>
      </w:r>
      <w:r w:rsidR="00375563">
        <w:rPr>
          <w:rFonts w:ascii="Times New Roman" w:hAnsi="Times New Roman"/>
          <w:sz w:val="24"/>
        </w:rPr>
        <w:t xml:space="preserve">at a given point in time </w:t>
      </w:r>
      <w:r w:rsidR="00070C88">
        <w:rPr>
          <w:rFonts w:ascii="Times New Roman" w:hAnsi="Times New Roman"/>
          <w:sz w:val="24"/>
        </w:rPr>
        <w:t xml:space="preserve">can involve a variance of more than a billion dollars, depending on the reasonableness of </w:t>
      </w:r>
      <w:r w:rsidR="00920A06">
        <w:rPr>
          <w:rFonts w:ascii="Times New Roman" w:hAnsi="Times New Roman"/>
          <w:sz w:val="24"/>
        </w:rPr>
        <w:t xml:space="preserve">the </w:t>
      </w:r>
      <w:r w:rsidR="00070C88">
        <w:rPr>
          <w:rFonts w:ascii="Times New Roman" w:hAnsi="Times New Roman"/>
          <w:sz w:val="24"/>
        </w:rPr>
        <w:t xml:space="preserve">assumptions contained in a study. </w:t>
      </w:r>
      <w:r w:rsidR="007971A3">
        <w:rPr>
          <w:rFonts w:ascii="Times New Roman" w:hAnsi="Times New Roman"/>
          <w:sz w:val="24"/>
        </w:rPr>
        <w:t xml:space="preserve"> </w:t>
      </w:r>
      <w:r w:rsidR="00070C88">
        <w:rPr>
          <w:rFonts w:ascii="Times New Roman" w:hAnsi="Times New Roman"/>
          <w:sz w:val="24"/>
        </w:rPr>
        <w:t>Variances of such magnitude</w:t>
      </w:r>
      <w:r w:rsidR="00210D91">
        <w:rPr>
          <w:rFonts w:ascii="Times New Roman" w:hAnsi="Times New Roman"/>
          <w:sz w:val="24"/>
        </w:rPr>
        <w:t>s</w:t>
      </w:r>
      <w:r w:rsidR="00070C88">
        <w:rPr>
          <w:rFonts w:ascii="Times New Roman" w:hAnsi="Times New Roman"/>
          <w:sz w:val="24"/>
        </w:rPr>
        <w:t xml:space="preserve"> demand timely studies to support any necessary reaction</w:t>
      </w:r>
      <w:r w:rsidR="00210D91">
        <w:rPr>
          <w:rFonts w:ascii="Times New Roman" w:hAnsi="Times New Roman"/>
          <w:sz w:val="24"/>
        </w:rPr>
        <w:t>s</w:t>
      </w:r>
      <w:r w:rsidR="00070C88">
        <w:rPr>
          <w:rFonts w:ascii="Times New Roman" w:hAnsi="Times New Roman"/>
          <w:sz w:val="24"/>
        </w:rPr>
        <w:t xml:space="preserve"> to correct intergenerational </w:t>
      </w:r>
      <w:r w:rsidR="00375563">
        <w:rPr>
          <w:rFonts w:ascii="Times New Roman" w:hAnsi="Times New Roman"/>
          <w:sz w:val="24"/>
        </w:rPr>
        <w:t>inequit</w:t>
      </w:r>
      <w:r w:rsidR="00210D91">
        <w:rPr>
          <w:rFonts w:ascii="Times New Roman" w:hAnsi="Times New Roman"/>
          <w:sz w:val="24"/>
        </w:rPr>
        <w:t>ies</w:t>
      </w:r>
      <w:r w:rsidR="00375563">
        <w:rPr>
          <w:rFonts w:ascii="Times New Roman" w:hAnsi="Times New Roman"/>
          <w:sz w:val="24"/>
        </w:rPr>
        <w:t xml:space="preserve">. </w:t>
      </w:r>
      <w:r w:rsidR="007971A3">
        <w:rPr>
          <w:rFonts w:ascii="Times New Roman" w:hAnsi="Times New Roman"/>
          <w:sz w:val="24"/>
        </w:rPr>
        <w:t xml:space="preserve"> </w:t>
      </w:r>
      <w:r w:rsidR="00375563">
        <w:rPr>
          <w:rFonts w:ascii="Times New Roman" w:hAnsi="Times New Roman"/>
          <w:sz w:val="24"/>
        </w:rPr>
        <w:t>By contrast, the transparent</w:t>
      </w:r>
      <w:r w:rsidR="00070C88">
        <w:rPr>
          <w:rFonts w:ascii="Times New Roman" w:hAnsi="Times New Roman"/>
          <w:sz w:val="24"/>
        </w:rPr>
        <w:t xml:space="preserve"> </w:t>
      </w:r>
      <w:r w:rsidR="00070C88">
        <w:rPr>
          <w:rFonts w:ascii="Times New Roman" w:hAnsi="Times New Roman"/>
          <w:sz w:val="24"/>
        </w:rPr>
        <w:lastRenderedPageBreak/>
        <w:t xml:space="preserve">objective of this provision of the August 15 document is to ensure that the amortization of fossil dismantlement reserve sought by FPL, the stated purpose of which is to enhance and stabilize FPL’s earnings, is not contradicted or undermined by a study that would show whether </w:t>
      </w:r>
      <w:r w:rsidR="00920A06">
        <w:rPr>
          <w:rFonts w:ascii="Times New Roman" w:hAnsi="Times New Roman"/>
          <w:sz w:val="24"/>
        </w:rPr>
        <w:t>(</w:t>
      </w:r>
      <w:r w:rsidR="00070C88">
        <w:rPr>
          <w:rFonts w:ascii="Times New Roman" w:hAnsi="Times New Roman"/>
          <w:sz w:val="24"/>
        </w:rPr>
        <w:t>and the extent to wh</w:t>
      </w:r>
      <w:r w:rsidR="00210D91">
        <w:rPr>
          <w:rFonts w:ascii="Times New Roman" w:hAnsi="Times New Roman"/>
          <w:sz w:val="24"/>
        </w:rPr>
        <w:t>ich</w:t>
      </w:r>
      <w:r w:rsidR="00920A06">
        <w:rPr>
          <w:rFonts w:ascii="Times New Roman" w:hAnsi="Times New Roman"/>
          <w:sz w:val="24"/>
        </w:rPr>
        <w:t>)</w:t>
      </w:r>
      <w:r w:rsidR="00210D91">
        <w:rPr>
          <w:rFonts w:ascii="Times New Roman" w:hAnsi="Times New Roman"/>
          <w:sz w:val="24"/>
        </w:rPr>
        <w:t xml:space="preserve"> </w:t>
      </w:r>
      <w:r w:rsidR="00070C88">
        <w:rPr>
          <w:rFonts w:ascii="Times New Roman" w:hAnsi="Times New Roman"/>
          <w:sz w:val="24"/>
        </w:rPr>
        <w:t xml:space="preserve">amortization </w:t>
      </w:r>
      <w:r w:rsidR="00210D91">
        <w:rPr>
          <w:rFonts w:ascii="Times New Roman" w:hAnsi="Times New Roman"/>
          <w:sz w:val="24"/>
        </w:rPr>
        <w:t xml:space="preserve">is </w:t>
      </w:r>
      <w:r w:rsidR="00FF7F60">
        <w:rPr>
          <w:rFonts w:ascii="Times New Roman" w:hAnsi="Times New Roman"/>
          <w:sz w:val="24"/>
        </w:rPr>
        <w:t xml:space="preserve">or is not </w:t>
      </w:r>
      <w:r w:rsidR="00210D91">
        <w:rPr>
          <w:rFonts w:ascii="Times New Roman" w:hAnsi="Times New Roman"/>
          <w:sz w:val="24"/>
        </w:rPr>
        <w:t>warranted by adherence to the matching principle</w:t>
      </w:r>
      <w:r w:rsidR="00070C88">
        <w:rPr>
          <w:rFonts w:ascii="Times New Roman" w:hAnsi="Times New Roman"/>
          <w:sz w:val="24"/>
        </w:rPr>
        <w:t xml:space="preserve">.  The proposed amortization will have the effect of increasing future rate base, which is appropriate if future customers otherwise will have paid too little of their fair share for the use of </w:t>
      </w:r>
      <w:r w:rsidR="00FF7F60">
        <w:rPr>
          <w:rFonts w:ascii="Times New Roman" w:hAnsi="Times New Roman"/>
          <w:sz w:val="24"/>
        </w:rPr>
        <w:t xml:space="preserve">the </w:t>
      </w:r>
      <w:r w:rsidR="00070C88">
        <w:rPr>
          <w:rFonts w:ascii="Times New Roman" w:hAnsi="Times New Roman"/>
          <w:sz w:val="24"/>
        </w:rPr>
        <w:t xml:space="preserve">assets; however, a study is needed to establish whether </w:t>
      </w:r>
      <w:r w:rsidR="00920A06">
        <w:rPr>
          <w:rFonts w:ascii="Times New Roman" w:hAnsi="Times New Roman"/>
          <w:sz w:val="24"/>
        </w:rPr>
        <w:t>(</w:t>
      </w:r>
      <w:r w:rsidR="00070C88">
        <w:rPr>
          <w:rFonts w:ascii="Times New Roman" w:hAnsi="Times New Roman"/>
          <w:sz w:val="24"/>
        </w:rPr>
        <w:t>and to what degree</w:t>
      </w:r>
      <w:r w:rsidR="00920A06">
        <w:rPr>
          <w:rFonts w:ascii="Times New Roman" w:hAnsi="Times New Roman"/>
          <w:sz w:val="24"/>
        </w:rPr>
        <w:t>)</w:t>
      </w:r>
      <w:r w:rsidR="00070C88">
        <w:rPr>
          <w:rFonts w:ascii="Times New Roman" w:hAnsi="Times New Roman"/>
          <w:sz w:val="24"/>
        </w:rPr>
        <w:t xml:space="preserve"> that is the case.  Acting to authorize amortization of a reserve without first performing a study that would establish whether </w:t>
      </w:r>
      <w:r w:rsidR="00FF7F60">
        <w:rPr>
          <w:rFonts w:ascii="Times New Roman" w:hAnsi="Times New Roman"/>
          <w:sz w:val="24"/>
        </w:rPr>
        <w:t xml:space="preserve">or not </w:t>
      </w:r>
      <w:r w:rsidR="00070C88">
        <w:rPr>
          <w:rFonts w:ascii="Times New Roman" w:hAnsi="Times New Roman"/>
          <w:sz w:val="24"/>
        </w:rPr>
        <w:t>an amortization is warran</w:t>
      </w:r>
      <w:r w:rsidR="00375563">
        <w:rPr>
          <w:rFonts w:ascii="Times New Roman" w:hAnsi="Times New Roman"/>
          <w:sz w:val="24"/>
        </w:rPr>
        <w:t>ted</w:t>
      </w:r>
      <w:r w:rsidR="00070C88">
        <w:rPr>
          <w:rFonts w:ascii="Times New Roman" w:hAnsi="Times New Roman"/>
          <w:sz w:val="24"/>
        </w:rPr>
        <w:t xml:space="preserve"> would be inimical to the establishment of fair, just, and reasonable rates, and therefore would not be in the publ</w:t>
      </w:r>
      <w:r w:rsidR="00375563">
        <w:rPr>
          <w:rFonts w:ascii="Times New Roman" w:hAnsi="Times New Roman"/>
          <w:sz w:val="24"/>
        </w:rPr>
        <w:t>ic interest.  In addition,</w:t>
      </w:r>
      <w:r w:rsidR="00070C88">
        <w:rPr>
          <w:rFonts w:ascii="Times New Roman" w:hAnsi="Times New Roman"/>
          <w:sz w:val="24"/>
        </w:rPr>
        <w:t xml:space="preserve"> FPL proposes that such studies occur after the </w:t>
      </w:r>
      <w:r w:rsidR="00920A06">
        <w:rPr>
          <w:rFonts w:ascii="Times New Roman" w:hAnsi="Times New Roman"/>
          <w:sz w:val="24"/>
        </w:rPr>
        <w:t>end of the four-</w:t>
      </w:r>
      <w:r w:rsidR="00375563">
        <w:rPr>
          <w:rFonts w:ascii="Times New Roman" w:hAnsi="Times New Roman"/>
          <w:sz w:val="24"/>
        </w:rPr>
        <w:t xml:space="preserve">year period prescribed in the August 15 document. </w:t>
      </w:r>
      <w:r w:rsidR="00920A06">
        <w:rPr>
          <w:rFonts w:ascii="Times New Roman" w:hAnsi="Times New Roman"/>
          <w:sz w:val="24"/>
        </w:rPr>
        <w:t xml:space="preserve"> </w:t>
      </w:r>
      <w:r w:rsidR="00375563">
        <w:rPr>
          <w:rFonts w:ascii="Times New Roman" w:hAnsi="Times New Roman"/>
          <w:sz w:val="24"/>
        </w:rPr>
        <w:t xml:space="preserve">If one assumes </w:t>
      </w:r>
      <w:r w:rsidR="00210D91">
        <w:rPr>
          <w:rFonts w:ascii="Times New Roman" w:hAnsi="Times New Roman"/>
          <w:sz w:val="24"/>
        </w:rPr>
        <w:t xml:space="preserve">that </w:t>
      </w:r>
      <w:r w:rsidR="00375563">
        <w:rPr>
          <w:rFonts w:ascii="Times New Roman" w:hAnsi="Times New Roman"/>
          <w:sz w:val="24"/>
        </w:rPr>
        <w:t>FPL will file a base rate request during the fourth year and base it on a projected test year, the proposed timing of the next studies would enable</w:t>
      </w:r>
      <w:r w:rsidR="00070C88">
        <w:rPr>
          <w:rFonts w:ascii="Times New Roman" w:hAnsi="Times New Roman"/>
          <w:sz w:val="24"/>
        </w:rPr>
        <w:t xml:space="preserve"> FPL to avoid reflecting the amortization in its revenue requirements and in </w:t>
      </w:r>
      <w:r w:rsidR="00920A06">
        <w:rPr>
          <w:rFonts w:ascii="Times New Roman" w:hAnsi="Times New Roman"/>
          <w:sz w:val="24"/>
        </w:rPr>
        <w:t xml:space="preserve">its </w:t>
      </w:r>
      <w:r w:rsidR="00070C88">
        <w:rPr>
          <w:rFonts w:ascii="Times New Roman" w:hAnsi="Times New Roman"/>
          <w:sz w:val="24"/>
        </w:rPr>
        <w:t>customers</w:t>
      </w:r>
      <w:r w:rsidR="00210D91">
        <w:rPr>
          <w:rFonts w:ascii="Times New Roman" w:hAnsi="Times New Roman"/>
          <w:sz w:val="24"/>
        </w:rPr>
        <w:t>’ rates</w:t>
      </w:r>
      <w:r w:rsidR="00375563">
        <w:rPr>
          <w:rFonts w:ascii="Times New Roman" w:hAnsi="Times New Roman"/>
          <w:sz w:val="24"/>
        </w:rPr>
        <w:t xml:space="preserve">, both in this docket and </w:t>
      </w:r>
      <w:r w:rsidR="00920A06">
        <w:rPr>
          <w:rFonts w:ascii="Times New Roman" w:hAnsi="Times New Roman"/>
          <w:sz w:val="24"/>
        </w:rPr>
        <w:t xml:space="preserve">in </w:t>
      </w:r>
      <w:r w:rsidR="00375563">
        <w:rPr>
          <w:rFonts w:ascii="Times New Roman" w:hAnsi="Times New Roman"/>
          <w:sz w:val="24"/>
        </w:rPr>
        <w:t>the next base rate proceeding</w:t>
      </w:r>
      <w:r w:rsidR="00070C88">
        <w:rPr>
          <w:rFonts w:ascii="Times New Roman" w:hAnsi="Times New Roman"/>
          <w:sz w:val="24"/>
        </w:rPr>
        <w:t>.  Rates that do not reflect the reduction in revenue requirements occasioned by an amortization of reserve, the purpose of which is to increase earnings, would not be fair, just</w:t>
      </w:r>
      <w:r w:rsidR="00E86F99">
        <w:rPr>
          <w:rFonts w:ascii="Times New Roman" w:hAnsi="Times New Roman"/>
          <w:sz w:val="24"/>
        </w:rPr>
        <w:t>,</w:t>
      </w:r>
      <w:r w:rsidR="00070C88">
        <w:rPr>
          <w:rFonts w:ascii="Times New Roman" w:hAnsi="Times New Roman"/>
          <w:sz w:val="24"/>
        </w:rPr>
        <w:t xml:space="preserve"> or reasonable</w:t>
      </w:r>
      <w:r w:rsidR="00375563">
        <w:rPr>
          <w:rFonts w:ascii="Times New Roman" w:hAnsi="Times New Roman"/>
          <w:sz w:val="24"/>
        </w:rPr>
        <w:t>.</w:t>
      </w:r>
      <w:r w:rsidR="00070C88">
        <w:rPr>
          <w:rFonts w:ascii="Times New Roman" w:hAnsi="Times New Roman"/>
          <w:sz w:val="24"/>
        </w:rPr>
        <w:t xml:space="preserve">  Accordingly, for this reason, too, the provision is not in the public interest.</w:t>
      </w:r>
    </w:p>
    <w:p w:rsidR="00070C88" w:rsidRDefault="00070C88" w:rsidP="00070C88">
      <w:pPr>
        <w:widowControl/>
        <w:autoSpaceDE/>
        <w:autoSpaceDN/>
        <w:adjustRightInd/>
        <w:ind w:left="1440" w:hanging="1440"/>
        <w:outlineLvl w:val="0"/>
        <w:rPr>
          <w:rFonts w:ascii="Times New Roman" w:hAnsi="Times New Roman"/>
          <w:sz w:val="24"/>
        </w:rPr>
      </w:pPr>
    </w:p>
    <w:p w:rsidR="00070C88" w:rsidRPr="00FE1D8A" w:rsidRDefault="00070C88" w:rsidP="00070C88">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jc w:val="both"/>
        <w:outlineLvl w:val="0"/>
        <w:rPr>
          <w:rFonts w:ascii="Times New Roman" w:hAnsi="Times New Roman"/>
          <w:b/>
          <w:sz w:val="24"/>
        </w:rPr>
      </w:pPr>
      <w:r w:rsidRPr="00FE1D8A">
        <w:rPr>
          <w:rFonts w:ascii="Times New Roman" w:hAnsi="Times New Roman"/>
          <w:b/>
          <w:sz w:val="24"/>
          <w:u w:val="single"/>
        </w:rPr>
        <w:t xml:space="preserve">Issue </w:t>
      </w:r>
      <w:fldSimple w:instr=" SEQ Issue \* MERGEFORMAT ">
        <w:r w:rsidR="00324A8C" w:rsidRPr="00324A8C">
          <w:rPr>
            <w:rFonts w:ascii="Times New Roman" w:hAnsi="Times New Roman"/>
            <w:b/>
            <w:noProof/>
            <w:sz w:val="24"/>
            <w:u w:val="single"/>
          </w:rPr>
          <w:t>4</w:t>
        </w:r>
      </w:fldSimple>
      <w:r w:rsidRPr="00FE1D8A">
        <w:rPr>
          <w:rFonts w:ascii="Times New Roman" w:hAnsi="Times New Roman"/>
          <w:sz w:val="24"/>
        </w:rPr>
        <w:t>:</w:t>
      </w:r>
      <w:r w:rsidRPr="00FE1D8A">
        <w:rPr>
          <w:rFonts w:ascii="Times New Roman" w:hAnsi="Times New Roman"/>
          <w:sz w:val="24"/>
        </w:rPr>
        <w:tab/>
      </w:r>
      <w:r w:rsidR="00D306FE">
        <w:rPr>
          <w:rFonts w:ascii="Times New Roman" w:hAnsi="Times New Roman"/>
          <w:sz w:val="24"/>
        </w:rPr>
        <w:t>Is the provision contained in paragraph 12 of the Stipulation and Settlement, which creates the “Incentive Mechanism” including the gain sharing thresholds established between customers and FPL, in the public interest</w:t>
      </w:r>
      <w:r w:rsidRPr="00FE1D8A">
        <w:rPr>
          <w:rFonts w:ascii="Times New Roman" w:hAnsi="Times New Roman"/>
          <w:sz w:val="24"/>
        </w:rPr>
        <w:t xml:space="preserve">? </w:t>
      </w:r>
    </w:p>
    <w:p w:rsidR="00FE1D8A" w:rsidRDefault="00FE1D8A" w:rsidP="00FE1D8A">
      <w:pPr>
        <w:widowControl/>
        <w:autoSpaceDE/>
        <w:autoSpaceDN/>
        <w:adjustRightInd/>
        <w:ind w:left="1440" w:hanging="1440"/>
        <w:outlineLvl w:val="0"/>
        <w:rPr>
          <w:rFonts w:ascii="Times New Roman" w:hAnsi="Times New Roman"/>
          <w:sz w:val="24"/>
        </w:rPr>
      </w:pPr>
    </w:p>
    <w:p w:rsidR="003449AE" w:rsidRDefault="00FE1D8A" w:rsidP="00E53420">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3449AE" w:rsidRPr="003449AE">
        <w:rPr>
          <w:rFonts w:ascii="Times New Roman" w:hAnsi="Times New Roman"/>
          <w:sz w:val="24"/>
        </w:rPr>
        <w:t>No.</w:t>
      </w:r>
      <w:r w:rsidR="007971A3">
        <w:rPr>
          <w:rFonts w:ascii="Times New Roman" w:hAnsi="Times New Roman"/>
          <w:sz w:val="24"/>
        </w:rPr>
        <w:t xml:space="preserve"> </w:t>
      </w:r>
      <w:r w:rsidR="003449AE" w:rsidRPr="003449AE">
        <w:rPr>
          <w:rFonts w:ascii="Times New Roman" w:hAnsi="Times New Roman"/>
          <w:sz w:val="24"/>
        </w:rPr>
        <w:t xml:space="preserve"> The “incentive mechanism” set forth in paragraph 12 of the August 15 document is </w:t>
      </w:r>
      <w:r w:rsidR="003449AE">
        <w:rPr>
          <w:rFonts w:ascii="Times New Roman" w:hAnsi="Times New Roman"/>
          <w:sz w:val="24"/>
        </w:rPr>
        <w:t>neither</w:t>
      </w:r>
      <w:r w:rsidR="003449AE" w:rsidRPr="003449AE">
        <w:rPr>
          <w:rFonts w:ascii="Times New Roman" w:hAnsi="Times New Roman"/>
          <w:sz w:val="24"/>
        </w:rPr>
        <w:t xml:space="preserve"> fair </w:t>
      </w:r>
      <w:r w:rsidR="003449AE">
        <w:rPr>
          <w:rFonts w:ascii="Times New Roman" w:hAnsi="Times New Roman"/>
          <w:sz w:val="24"/>
        </w:rPr>
        <w:t>nor</w:t>
      </w:r>
      <w:r w:rsidR="003449AE" w:rsidRPr="003449AE">
        <w:rPr>
          <w:rFonts w:ascii="Times New Roman" w:hAnsi="Times New Roman"/>
          <w:sz w:val="24"/>
        </w:rPr>
        <w:t xml:space="preserve"> reasonable</w:t>
      </w:r>
      <w:r w:rsidR="00920A06">
        <w:rPr>
          <w:rFonts w:ascii="Times New Roman" w:hAnsi="Times New Roman"/>
          <w:sz w:val="24"/>
        </w:rPr>
        <w:t>, and</w:t>
      </w:r>
      <w:r w:rsidR="00EF0E5B">
        <w:rPr>
          <w:rFonts w:ascii="Times New Roman" w:hAnsi="Times New Roman"/>
          <w:sz w:val="24"/>
        </w:rPr>
        <w:t xml:space="preserve"> does not provide</w:t>
      </w:r>
      <w:r w:rsidR="003449AE" w:rsidRPr="003449AE">
        <w:rPr>
          <w:rFonts w:ascii="Times New Roman" w:hAnsi="Times New Roman"/>
          <w:sz w:val="24"/>
        </w:rPr>
        <w:t xml:space="preserve"> benefits to FPL</w:t>
      </w:r>
      <w:r w:rsidR="00E86F99">
        <w:rPr>
          <w:rFonts w:ascii="Times New Roman" w:hAnsi="Times New Roman"/>
          <w:sz w:val="24"/>
        </w:rPr>
        <w:t>’s</w:t>
      </w:r>
      <w:r w:rsidR="003449AE" w:rsidRPr="003449AE">
        <w:rPr>
          <w:rFonts w:ascii="Times New Roman" w:hAnsi="Times New Roman"/>
          <w:sz w:val="24"/>
        </w:rPr>
        <w:t xml:space="preserve"> ratepayer</w:t>
      </w:r>
      <w:r w:rsidR="003449AE">
        <w:rPr>
          <w:rFonts w:ascii="Times New Roman" w:hAnsi="Times New Roman"/>
          <w:sz w:val="24"/>
        </w:rPr>
        <w:t>s</w:t>
      </w:r>
      <w:r w:rsidR="003449AE" w:rsidRPr="003449AE">
        <w:rPr>
          <w:rFonts w:ascii="Times New Roman" w:hAnsi="Times New Roman"/>
          <w:sz w:val="24"/>
        </w:rPr>
        <w:t>.  On the contrary, the expanded incentive mechanism produces significant additional margin-sharing opportunities for FPL</w:t>
      </w:r>
      <w:r w:rsidR="00FF7F60">
        <w:rPr>
          <w:rFonts w:ascii="Times New Roman" w:hAnsi="Times New Roman"/>
          <w:sz w:val="24"/>
        </w:rPr>
        <w:t>’s</w:t>
      </w:r>
      <w:r w:rsidR="003449AE" w:rsidRPr="003449AE">
        <w:rPr>
          <w:rFonts w:ascii="Times New Roman" w:hAnsi="Times New Roman"/>
          <w:sz w:val="24"/>
        </w:rPr>
        <w:t xml:space="preserve"> shareholders</w:t>
      </w:r>
      <w:r w:rsidR="00FF7F60">
        <w:rPr>
          <w:rFonts w:ascii="Times New Roman" w:hAnsi="Times New Roman"/>
          <w:sz w:val="24"/>
        </w:rPr>
        <w:t>,</w:t>
      </w:r>
      <w:r w:rsidR="003449AE" w:rsidRPr="003449AE">
        <w:rPr>
          <w:rFonts w:ascii="Times New Roman" w:hAnsi="Times New Roman"/>
          <w:sz w:val="24"/>
        </w:rPr>
        <w:t xml:space="preserve"> to the detriment of ratepayers.  </w:t>
      </w:r>
    </w:p>
    <w:p w:rsidR="003449AE" w:rsidRDefault="003449AE" w:rsidP="00E53420">
      <w:pPr>
        <w:ind w:firstLine="720"/>
        <w:jc w:val="both"/>
        <w:rPr>
          <w:rFonts w:ascii="Times New Roman" w:hAnsi="Times New Roman"/>
          <w:sz w:val="24"/>
        </w:rPr>
      </w:pPr>
    </w:p>
    <w:p w:rsidR="003449AE" w:rsidRDefault="003449AE" w:rsidP="00E53420">
      <w:pPr>
        <w:ind w:left="1440"/>
        <w:jc w:val="both"/>
        <w:rPr>
          <w:rFonts w:ascii="Times New Roman" w:hAnsi="Times New Roman"/>
          <w:sz w:val="24"/>
        </w:rPr>
      </w:pPr>
      <w:r w:rsidRPr="003449AE">
        <w:rPr>
          <w:rFonts w:ascii="Times New Roman" w:hAnsi="Times New Roman"/>
          <w:sz w:val="24"/>
        </w:rPr>
        <w:t xml:space="preserve">Under the current wholesale incentive mechanism, approved by Order No. PSC-00-1744-PAA-EI, issued </w:t>
      </w:r>
      <w:r w:rsidR="00FF7F60">
        <w:rPr>
          <w:rFonts w:ascii="Times New Roman" w:hAnsi="Times New Roman"/>
          <w:sz w:val="24"/>
        </w:rPr>
        <w:t xml:space="preserve">on </w:t>
      </w:r>
      <w:r w:rsidRPr="003449AE">
        <w:rPr>
          <w:rFonts w:ascii="Times New Roman" w:hAnsi="Times New Roman"/>
          <w:sz w:val="24"/>
        </w:rPr>
        <w:t>September 26, 2000, the ratepayers are credited with 100% of the gains associated with short</w:t>
      </w:r>
      <w:r w:rsidR="00EF0E5B">
        <w:rPr>
          <w:rFonts w:ascii="Times New Roman" w:hAnsi="Times New Roman"/>
          <w:sz w:val="24"/>
        </w:rPr>
        <w:t>-term power sales below a three-</w:t>
      </w:r>
      <w:r w:rsidR="00FF64E5">
        <w:rPr>
          <w:rFonts w:ascii="Times New Roman" w:hAnsi="Times New Roman"/>
          <w:sz w:val="24"/>
        </w:rPr>
        <w:t xml:space="preserve">year </w:t>
      </w:r>
      <w:r w:rsidRPr="003449AE">
        <w:rPr>
          <w:rFonts w:ascii="Times New Roman" w:hAnsi="Times New Roman"/>
          <w:sz w:val="24"/>
        </w:rPr>
        <w:t xml:space="preserve">rolling average and 80% of the gains associated with gains above that threshold.  Under the paragraph 12 expansion of the wholesale mechanism, additional types of wholesale power sales would be included and the “savings” from short-term power </w:t>
      </w:r>
      <w:r w:rsidRPr="003449AE">
        <w:rPr>
          <w:rFonts w:ascii="Times New Roman" w:hAnsi="Times New Roman"/>
          <w:i/>
          <w:sz w:val="24"/>
        </w:rPr>
        <w:t xml:space="preserve">purchases </w:t>
      </w:r>
      <w:r w:rsidRPr="003449AE">
        <w:rPr>
          <w:rFonts w:ascii="Times New Roman" w:hAnsi="Times New Roman"/>
          <w:sz w:val="24"/>
        </w:rPr>
        <w:t>would be used in cal</w:t>
      </w:r>
      <w:r w:rsidR="007971A3">
        <w:rPr>
          <w:rFonts w:ascii="Times New Roman" w:hAnsi="Times New Roman"/>
          <w:sz w:val="24"/>
        </w:rPr>
        <w:t>culating the eligible</w:t>
      </w:r>
      <w:r w:rsidR="00C1443D">
        <w:rPr>
          <w:rFonts w:ascii="Times New Roman" w:hAnsi="Times New Roman"/>
          <w:sz w:val="24"/>
        </w:rPr>
        <w:t xml:space="preserve"> </w:t>
      </w:r>
      <w:r w:rsidR="00FF64E5">
        <w:rPr>
          <w:rFonts w:ascii="Times New Roman" w:hAnsi="Times New Roman"/>
          <w:sz w:val="24"/>
        </w:rPr>
        <w:t>gains</w:t>
      </w:r>
      <w:r w:rsidRPr="003449AE">
        <w:rPr>
          <w:rFonts w:ascii="Times New Roman" w:hAnsi="Times New Roman"/>
          <w:sz w:val="24"/>
        </w:rPr>
        <w:t xml:space="preserve">.  Had FPL’s expanded incentive mechanism been in effect during the period </w:t>
      </w:r>
      <w:r w:rsidR="00E86F99">
        <w:rPr>
          <w:rFonts w:ascii="Times New Roman" w:hAnsi="Times New Roman"/>
          <w:sz w:val="24"/>
        </w:rPr>
        <w:t xml:space="preserve">from </w:t>
      </w:r>
      <w:r w:rsidRPr="003449AE">
        <w:rPr>
          <w:rFonts w:ascii="Times New Roman" w:hAnsi="Times New Roman"/>
          <w:sz w:val="24"/>
        </w:rPr>
        <w:t xml:space="preserve">2001 to </w:t>
      </w:r>
      <w:r w:rsidR="00E86F99">
        <w:rPr>
          <w:rFonts w:ascii="Times New Roman" w:hAnsi="Times New Roman"/>
          <w:sz w:val="24"/>
        </w:rPr>
        <w:t xml:space="preserve">the </w:t>
      </w:r>
      <w:r w:rsidRPr="003449AE">
        <w:rPr>
          <w:rFonts w:ascii="Times New Roman" w:hAnsi="Times New Roman"/>
          <w:sz w:val="24"/>
        </w:rPr>
        <w:t xml:space="preserve">present, the fuel costs for ratepayers would have been $47.65 million more than the amount </w:t>
      </w:r>
      <w:r w:rsidR="00FF64E5">
        <w:rPr>
          <w:rFonts w:ascii="Times New Roman" w:hAnsi="Times New Roman"/>
          <w:sz w:val="24"/>
        </w:rPr>
        <w:t>FPL</w:t>
      </w:r>
      <w:r w:rsidRPr="003449AE">
        <w:rPr>
          <w:rFonts w:ascii="Times New Roman" w:hAnsi="Times New Roman"/>
          <w:sz w:val="24"/>
        </w:rPr>
        <w:t xml:space="preserve"> actually incurred</w:t>
      </w:r>
      <w:r w:rsidR="00FF7F60">
        <w:rPr>
          <w:rFonts w:ascii="Times New Roman" w:hAnsi="Times New Roman"/>
          <w:sz w:val="24"/>
        </w:rPr>
        <w:t>,</w:t>
      </w:r>
      <w:r w:rsidRPr="003449AE">
        <w:rPr>
          <w:rFonts w:ascii="Times New Roman" w:hAnsi="Times New Roman"/>
          <w:sz w:val="24"/>
        </w:rPr>
        <w:t xml:space="preserve"> because </w:t>
      </w:r>
      <w:r w:rsidR="00FF64E5">
        <w:rPr>
          <w:rFonts w:ascii="Times New Roman" w:hAnsi="Times New Roman"/>
          <w:sz w:val="24"/>
        </w:rPr>
        <w:t xml:space="preserve">the $47.65 million </w:t>
      </w:r>
      <w:r w:rsidRPr="003449AE">
        <w:rPr>
          <w:rFonts w:ascii="Times New Roman" w:hAnsi="Times New Roman"/>
          <w:sz w:val="24"/>
        </w:rPr>
        <w:t xml:space="preserve">would have been </w:t>
      </w:r>
      <w:r w:rsidR="00FC3009">
        <w:rPr>
          <w:rFonts w:ascii="Times New Roman" w:hAnsi="Times New Roman"/>
          <w:sz w:val="24"/>
        </w:rPr>
        <w:t>paid to FPL</w:t>
      </w:r>
      <w:r w:rsidRPr="003449AE">
        <w:rPr>
          <w:rFonts w:ascii="Times New Roman" w:hAnsi="Times New Roman"/>
          <w:sz w:val="24"/>
        </w:rPr>
        <w:t xml:space="preserve"> </w:t>
      </w:r>
      <w:r w:rsidR="00E86F99">
        <w:rPr>
          <w:rFonts w:ascii="Times New Roman" w:hAnsi="Times New Roman"/>
          <w:sz w:val="24"/>
        </w:rPr>
        <w:t xml:space="preserve">for actions </w:t>
      </w:r>
      <w:r w:rsidR="00FC3009">
        <w:rPr>
          <w:rFonts w:ascii="Times New Roman" w:hAnsi="Times New Roman"/>
          <w:sz w:val="24"/>
        </w:rPr>
        <w:t>it</w:t>
      </w:r>
      <w:r w:rsidR="00E86F99">
        <w:rPr>
          <w:rFonts w:ascii="Times New Roman" w:hAnsi="Times New Roman"/>
          <w:sz w:val="24"/>
        </w:rPr>
        <w:t xml:space="preserve"> would have </w:t>
      </w:r>
      <w:r w:rsidR="000527FF">
        <w:rPr>
          <w:rFonts w:ascii="Times New Roman" w:hAnsi="Times New Roman"/>
          <w:sz w:val="24"/>
        </w:rPr>
        <w:t>un</w:t>
      </w:r>
      <w:r w:rsidR="00FC3009">
        <w:rPr>
          <w:rFonts w:ascii="Times New Roman" w:hAnsi="Times New Roman"/>
          <w:sz w:val="24"/>
        </w:rPr>
        <w:t>der</w:t>
      </w:r>
      <w:r w:rsidR="000527FF">
        <w:rPr>
          <w:rFonts w:ascii="Times New Roman" w:hAnsi="Times New Roman"/>
          <w:sz w:val="24"/>
        </w:rPr>
        <w:t xml:space="preserve">taken </w:t>
      </w:r>
      <w:r w:rsidR="00E86F99">
        <w:rPr>
          <w:rFonts w:ascii="Times New Roman" w:hAnsi="Times New Roman"/>
          <w:sz w:val="24"/>
        </w:rPr>
        <w:t>anyway</w:t>
      </w:r>
      <w:r w:rsidRPr="003449AE">
        <w:rPr>
          <w:rFonts w:ascii="Times New Roman" w:hAnsi="Times New Roman"/>
          <w:sz w:val="24"/>
        </w:rPr>
        <w:t xml:space="preserve">. </w:t>
      </w:r>
    </w:p>
    <w:p w:rsidR="003449AE" w:rsidRDefault="003449AE" w:rsidP="00E53420">
      <w:pPr>
        <w:ind w:firstLine="720"/>
        <w:jc w:val="both"/>
        <w:rPr>
          <w:rFonts w:ascii="Times New Roman" w:hAnsi="Times New Roman"/>
          <w:sz w:val="24"/>
        </w:rPr>
      </w:pPr>
    </w:p>
    <w:p w:rsidR="003449AE" w:rsidRDefault="003449AE" w:rsidP="00E53420">
      <w:pPr>
        <w:ind w:left="1440"/>
        <w:jc w:val="both"/>
        <w:rPr>
          <w:rFonts w:ascii="Times New Roman" w:hAnsi="Times New Roman"/>
          <w:sz w:val="24"/>
        </w:rPr>
      </w:pPr>
      <w:r>
        <w:rPr>
          <w:rFonts w:ascii="Times New Roman" w:hAnsi="Times New Roman"/>
          <w:sz w:val="24"/>
        </w:rPr>
        <w:t xml:space="preserve">The inclusion of power purchases in the proposed incentive program is inappropriate, </w:t>
      </w:r>
      <w:r w:rsidR="00E86F99">
        <w:rPr>
          <w:rFonts w:ascii="Times New Roman" w:hAnsi="Times New Roman"/>
          <w:sz w:val="24"/>
        </w:rPr>
        <w:t xml:space="preserve">because </w:t>
      </w:r>
      <w:r>
        <w:rPr>
          <w:rFonts w:ascii="Times New Roman" w:hAnsi="Times New Roman"/>
          <w:sz w:val="24"/>
        </w:rPr>
        <w:t xml:space="preserve">buying power when it is available at prices lower than </w:t>
      </w:r>
      <w:r>
        <w:rPr>
          <w:rFonts w:ascii="Times New Roman" w:hAnsi="Times New Roman"/>
          <w:sz w:val="24"/>
        </w:rPr>
        <w:lastRenderedPageBreak/>
        <w:t xml:space="preserve">FPL’s cost of generating it is part of FPL’s fundamental obligation to provide service at the lowest reasonable cost.  </w:t>
      </w:r>
    </w:p>
    <w:p w:rsidR="003449AE" w:rsidRPr="003449AE" w:rsidRDefault="003449AE" w:rsidP="00E53420">
      <w:pPr>
        <w:ind w:firstLine="720"/>
        <w:jc w:val="both"/>
        <w:rPr>
          <w:rFonts w:ascii="Times New Roman" w:hAnsi="Times New Roman"/>
          <w:sz w:val="24"/>
        </w:rPr>
      </w:pPr>
    </w:p>
    <w:p w:rsidR="003449AE" w:rsidRDefault="003449AE" w:rsidP="00E53420">
      <w:pPr>
        <w:ind w:left="1440"/>
        <w:jc w:val="both"/>
        <w:rPr>
          <w:rFonts w:ascii="Times New Roman" w:hAnsi="Times New Roman"/>
          <w:sz w:val="24"/>
        </w:rPr>
      </w:pPr>
      <w:r w:rsidRPr="003449AE">
        <w:rPr>
          <w:rFonts w:ascii="Times New Roman" w:hAnsi="Times New Roman"/>
          <w:sz w:val="24"/>
        </w:rPr>
        <w:t xml:space="preserve">Further, the higher incentives in the proposed expansion could encourage FPL to pursue such margins at the expense of undermining electric service for its native load customers.  Moreover, due to the complexity of the transactions, it would be difficult to reconstruct the transactions and </w:t>
      </w:r>
      <w:r>
        <w:rPr>
          <w:rFonts w:ascii="Times New Roman" w:hAnsi="Times New Roman"/>
          <w:sz w:val="24"/>
        </w:rPr>
        <w:t>ascertain</w:t>
      </w:r>
      <w:r w:rsidRPr="003449AE">
        <w:rPr>
          <w:rFonts w:ascii="Times New Roman" w:hAnsi="Times New Roman"/>
          <w:sz w:val="24"/>
        </w:rPr>
        <w:t xml:space="preserve"> whether </w:t>
      </w:r>
      <w:r w:rsidR="00EF0E5B">
        <w:rPr>
          <w:rFonts w:ascii="Times New Roman" w:hAnsi="Times New Roman"/>
          <w:sz w:val="24"/>
        </w:rPr>
        <w:t xml:space="preserve">or not </w:t>
      </w:r>
      <w:r w:rsidRPr="003449AE">
        <w:rPr>
          <w:rFonts w:ascii="Times New Roman" w:hAnsi="Times New Roman"/>
          <w:sz w:val="24"/>
        </w:rPr>
        <w:t xml:space="preserve">the lowest cost generation was used for the benefit of the native load customers.  </w:t>
      </w:r>
    </w:p>
    <w:p w:rsidR="003449AE" w:rsidRDefault="003449AE" w:rsidP="00E53420">
      <w:pPr>
        <w:ind w:firstLine="720"/>
        <w:jc w:val="both"/>
        <w:rPr>
          <w:rFonts w:ascii="Times New Roman" w:hAnsi="Times New Roman"/>
          <w:sz w:val="24"/>
        </w:rPr>
      </w:pPr>
    </w:p>
    <w:p w:rsidR="003449AE" w:rsidRPr="003449AE" w:rsidRDefault="003449AE" w:rsidP="00E53420">
      <w:pPr>
        <w:ind w:left="1440"/>
        <w:jc w:val="both"/>
        <w:rPr>
          <w:rFonts w:ascii="Times New Roman" w:hAnsi="Times New Roman"/>
          <w:sz w:val="24"/>
        </w:rPr>
      </w:pPr>
      <w:r w:rsidRPr="003449AE">
        <w:rPr>
          <w:rFonts w:ascii="Times New Roman" w:hAnsi="Times New Roman"/>
          <w:sz w:val="24"/>
        </w:rPr>
        <w:t xml:space="preserve">In addition, it is likely that other utilities will seek to adopt a similar expanded incentive mechanism.  Thus, if the proposed modifications to the current wholesale incentive mechanism are to be considered at all, it would be better to consider any modification in a generic rulemaking proceeding rather than </w:t>
      </w:r>
      <w:r w:rsidR="00E86F99">
        <w:rPr>
          <w:rFonts w:ascii="Times New Roman" w:hAnsi="Times New Roman"/>
          <w:sz w:val="24"/>
        </w:rPr>
        <w:t xml:space="preserve">in </w:t>
      </w:r>
      <w:r w:rsidRPr="003449AE">
        <w:rPr>
          <w:rFonts w:ascii="Times New Roman" w:hAnsi="Times New Roman"/>
          <w:sz w:val="24"/>
        </w:rPr>
        <w:t xml:space="preserve">an expedited proceeding </w:t>
      </w:r>
      <w:r w:rsidR="00FF7F60">
        <w:rPr>
          <w:rFonts w:ascii="Times New Roman" w:hAnsi="Times New Roman"/>
          <w:sz w:val="24"/>
        </w:rPr>
        <w:t xml:space="preserve">on </w:t>
      </w:r>
      <w:r w:rsidRPr="003449AE">
        <w:rPr>
          <w:rFonts w:ascii="Times New Roman" w:hAnsi="Times New Roman"/>
          <w:sz w:val="24"/>
        </w:rPr>
        <w:t>a company-s</w:t>
      </w:r>
      <w:r w:rsidR="00E53420">
        <w:rPr>
          <w:rFonts w:ascii="Times New Roman" w:hAnsi="Times New Roman"/>
          <w:sz w:val="24"/>
        </w:rPr>
        <w:t>pecific</w:t>
      </w:r>
      <w:r w:rsidR="00FF7F60">
        <w:rPr>
          <w:rFonts w:ascii="Times New Roman" w:hAnsi="Times New Roman"/>
          <w:sz w:val="24"/>
        </w:rPr>
        <w:t xml:space="preserve"> proposal</w:t>
      </w:r>
      <w:r w:rsidR="00E53420">
        <w:rPr>
          <w:rFonts w:ascii="Times New Roman" w:hAnsi="Times New Roman"/>
          <w:sz w:val="24"/>
        </w:rPr>
        <w:t>.</w:t>
      </w:r>
    </w:p>
    <w:p w:rsidR="00FE1D8A" w:rsidRPr="003449AE" w:rsidRDefault="00FE1D8A" w:rsidP="003449AE">
      <w:pPr>
        <w:widowControl/>
        <w:autoSpaceDE/>
        <w:autoSpaceDN/>
        <w:adjustRightInd/>
        <w:spacing w:line="276" w:lineRule="auto"/>
        <w:ind w:left="1440" w:hanging="1440"/>
        <w:jc w:val="both"/>
        <w:outlineLvl w:val="0"/>
        <w:rPr>
          <w:rFonts w:ascii="Times New Roman" w:hAnsi="Times New Roman"/>
          <w:sz w:val="24"/>
        </w:rPr>
      </w:pPr>
    </w:p>
    <w:p w:rsid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jc w:val="both"/>
        <w:outlineLvl w:val="0"/>
        <w:rPr>
          <w:rFonts w:ascii="Times New Roman" w:hAnsi="Times New Roman"/>
          <w:b/>
          <w:i/>
          <w:sz w:val="24"/>
        </w:rPr>
      </w:pPr>
      <w:r w:rsidRPr="00FE1D8A">
        <w:rPr>
          <w:rFonts w:ascii="Times New Roman" w:hAnsi="Times New Roman"/>
          <w:b/>
          <w:sz w:val="24"/>
          <w:u w:val="single"/>
        </w:rPr>
        <w:t xml:space="preserve">Issue </w:t>
      </w:r>
      <w:fldSimple w:instr=" SEQ Issue \* MERGEFORMAT ">
        <w:r w:rsidR="00324A8C" w:rsidRPr="00324A8C">
          <w:rPr>
            <w:rFonts w:ascii="Times New Roman" w:hAnsi="Times New Roman"/>
            <w:b/>
            <w:noProof/>
            <w:sz w:val="24"/>
            <w:u w:val="single"/>
          </w:rPr>
          <w:t>5</w:t>
        </w:r>
      </w:fldSimple>
      <w:r w:rsidRPr="00FE1D8A">
        <w:rPr>
          <w:rFonts w:ascii="Times New Roman" w:hAnsi="Times New Roman"/>
          <w:sz w:val="24"/>
        </w:rPr>
        <w:t>:</w:t>
      </w:r>
      <w:r w:rsidRPr="00FE1D8A">
        <w:rPr>
          <w:rFonts w:ascii="Times New Roman" w:hAnsi="Times New Roman"/>
          <w:sz w:val="24"/>
        </w:rPr>
        <w:tab/>
      </w:r>
      <w:r w:rsidR="00D306FE">
        <w:rPr>
          <w:rFonts w:ascii="Times New Roman" w:hAnsi="Times New Roman"/>
          <w:sz w:val="24"/>
        </w:rPr>
        <w:t>Is the Settlement Agreement in the public interest?</w:t>
      </w:r>
    </w:p>
    <w:p w:rsidR="00FE1D8A" w:rsidRDefault="00FE1D8A" w:rsidP="00FE1D8A">
      <w:pPr>
        <w:widowControl/>
        <w:autoSpaceDE/>
        <w:autoSpaceDN/>
        <w:adjustRightInd/>
        <w:ind w:left="1440" w:hanging="1440"/>
        <w:outlineLvl w:val="0"/>
        <w:rPr>
          <w:rFonts w:ascii="Times New Roman" w:hAnsi="Times New Roman"/>
          <w:sz w:val="24"/>
        </w:rPr>
      </w:pPr>
    </w:p>
    <w:p w:rsidR="004A0495" w:rsidRDefault="00FE1D8A" w:rsidP="004A0495">
      <w:pPr>
        <w:widowControl/>
        <w:autoSpaceDE/>
        <w:autoSpaceDN/>
        <w:adjustRightInd/>
        <w:ind w:left="1440" w:hanging="1440"/>
        <w:jc w:val="both"/>
        <w:outlineLvl w:val="0"/>
        <w:rPr>
          <w:rFonts w:ascii="Times New Roman" w:hAnsi="Times New Roman"/>
          <w:sz w:val="24"/>
        </w:rPr>
      </w:pPr>
      <w:r>
        <w:rPr>
          <w:rFonts w:ascii="Times New Roman" w:hAnsi="Times New Roman"/>
          <w:sz w:val="24"/>
        </w:rPr>
        <w:t>OPC:</w:t>
      </w:r>
      <w:r>
        <w:rPr>
          <w:rFonts w:ascii="Times New Roman" w:hAnsi="Times New Roman"/>
          <w:sz w:val="24"/>
        </w:rPr>
        <w:tab/>
      </w:r>
      <w:r w:rsidR="00ED7D4C">
        <w:rPr>
          <w:rFonts w:ascii="Times New Roman" w:hAnsi="Times New Roman"/>
          <w:sz w:val="24"/>
        </w:rPr>
        <w:t>No.  Adopting the August 15 document would not be in the public interest, because the provisions, individually and collectively, would not result in rates that meet the fair, just, and reasonable criteria of Chapter 366, Florida Statutes.  Further, implementing the August 15 document would require departures from sound regulatory policy.  The August 15 document does not reflect a fair and reasonable compromise of the interests of all parties.  Instead, the August 15 document is asymmetric in the extreme.  It is designed and structured to lavish inordinate and expensive benefits and advant</w:t>
      </w:r>
      <w:r w:rsidR="004B67AC">
        <w:rPr>
          <w:rFonts w:ascii="Times New Roman" w:hAnsi="Times New Roman"/>
          <w:sz w:val="24"/>
        </w:rPr>
        <w:t>ages on FPL</w:t>
      </w:r>
      <w:r w:rsidR="00FF7F60">
        <w:rPr>
          <w:rFonts w:ascii="Times New Roman" w:hAnsi="Times New Roman"/>
          <w:sz w:val="24"/>
        </w:rPr>
        <w:t>,</w:t>
      </w:r>
      <w:r w:rsidR="00ED7D4C">
        <w:rPr>
          <w:rFonts w:ascii="Times New Roman" w:hAnsi="Times New Roman"/>
          <w:sz w:val="24"/>
        </w:rPr>
        <w:t xml:space="preserve"> to the detriment of the vast majority of FPL’s customers.  The exorbitant ROE and the foregone opportunity to resolve numerous rate base and O&amp;M expense issues associated with the August 15 document would produce unreasonably high rates.  The proposal to amortize fossil dismantlement reserve while postponing related depreciation and dismantlement studies would distort the objective of accounting for capital costs</w:t>
      </w:r>
      <w:r w:rsidR="00E86F99">
        <w:rPr>
          <w:rFonts w:ascii="Times New Roman" w:hAnsi="Times New Roman"/>
          <w:sz w:val="24"/>
        </w:rPr>
        <w:t>, and deny customers any monetary be</w:t>
      </w:r>
      <w:r w:rsidR="004B67AC">
        <w:rPr>
          <w:rFonts w:ascii="Times New Roman" w:hAnsi="Times New Roman"/>
          <w:sz w:val="24"/>
        </w:rPr>
        <w:t>ne</w:t>
      </w:r>
      <w:r w:rsidR="00E86F99">
        <w:rPr>
          <w:rFonts w:ascii="Times New Roman" w:hAnsi="Times New Roman"/>
          <w:sz w:val="24"/>
        </w:rPr>
        <w:t>fits</w:t>
      </w:r>
      <w:r w:rsidR="00567174">
        <w:rPr>
          <w:rFonts w:ascii="Times New Roman" w:hAnsi="Times New Roman"/>
          <w:sz w:val="24"/>
        </w:rPr>
        <w:t xml:space="preserve"> that would be commensurate with the earnings enhancement that FPL would derive</w:t>
      </w:r>
      <w:r w:rsidR="00ED7D4C">
        <w:rPr>
          <w:rFonts w:ascii="Times New Roman" w:hAnsi="Times New Roman"/>
          <w:sz w:val="24"/>
        </w:rPr>
        <w:t>.  The proposed generation base rate increases and the proposed expansion of the current wholesale incentive program would involve</w:t>
      </w:r>
      <w:r w:rsidR="00E86F99">
        <w:rPr>
          <w:rFonts w:ascii="Times New Roman" w:hAnsi="Times New Roman"/>
          <w:sz w:val="24"/>
        </w:rPr>
        <w:t xml:space="preserve"> </w:t>
      </w:r>
      <w:r w:rsidR="00FF7F60">
        <w:rPr>
          <w:rFonts w:ascii="Times New Roman" w:hAnsi="Times New Roman"/>
          <w:sz w:val="24"/>
        </w:rPr>
        <w:t xml:space="preserve">potentially </w:t>
      </w:r>
      <w:r w:rsidR="00E86F99">
        <w:rPr>
          <w:rFonts w:ascii="Times New Roman" w:hAnsi="Times New Roman"/>
          <w:sz w:val="24"/>
        </w:rPr>
        <w:t xml:space="preserve">costly </w:t>
      </w:r>
      <w:r w:rsidR="00ED7D4C">
        <w:rPr>
          <w:rFonts w:ascii="Times New Roman" w:hAnsi="Times New Roman"/>
          <w:sz w:val="24"/>
        </w:rPr>
        <w:t>sacrific</w:t>
      </w:r>
      <w:r w:rsidR="00E86F99">
        <w:rPr>
          <w:rFonts w:ascii="Times New Roman" w:hAnsi="Times New Roman"/>
          <w:sz w:val="24"/>
        </w:rPr>
        <w:t>e</w:t>
      </w:r>
      <w:r w:rsidR="00567174">
        <w:rPr>
          <w:rFonts w:ascii="Times New Roman" w:hAnsi="Times New Roman"/>
          <w:sz w:val="24"/>
        </w:rPr>
        <w:t>s</w:t>
      </w:r>
      <w:r w:rsidR="00F04962">
        <w:rPr>
          <w:rFonts w:ascii="Times New Roman" w:hAnsi="Times New Roman"/>
          <w:sz w:val="24"/>
        </w:rPr>
        <w:t xml:space="preserve"> of</w:t>
      </w:r>
      <w:r w:rsidR="00ED7D4C">
        <w:rPr>
          <w:rFonts w:ascii="Times New Roman" w:hAnsi="Times New Roman"/>
          <w:sz w:val="24"/>
        </w:rPr>
        <w:t xml:space="preserve"> future regulatory oversight and scrutiny.  </w:t>
      </w:r>
      <w:r w:rsidR="00F04962">
        <w:rPr>
          <w:rFonts w:ascii="Times New Roman" w:hAnsi="Times New Roman"/>
          <w:sz w:val="24"/>
        </w:rPr>
        <w:t>Overall, t</w:t>
      </w:r>
      <w:r w:rsidR="00ED7D4C">
        <w:rPr>
          <w:rFonts w:ascii="Times New Roman" w:hAnsi="Times New Roman"/>
          <w:sz w:val="24"/>
        </w:rPr>
        <w:t>he August 15 document would presen</w:t>
      </w:r>
      <w:r w:rsidR="00F04962">
        <w:rPr>
          <w:rFonts w:ascii="Times New Roman" w:hAnsi="Times New Roman"/>
          <w:sz w:val="24"/>
        </w:rPr>
        <w:t xml:space="preserve">t an enormous gift to </w:t>
      </w:r>
      <w:r w:rsidR="00C1443D">
        <w:rPr>
          <w:rFonts w:ascii="Times New Roman" w:hAnsi="Times New Roman"/>
          <w:sz w:val="24"/>
        </w:rPr>
        <w:t>FPL;</w:t>
      </w:r>
      <w:r w:rsidR="00ED7D4C">
        <w:rPr>
          <w:rFonts w:ascii="Times New Roman" w:hAnsi="Times New Roman"/>
          <w:sz w:val="24"/>
        </w:rPr>
        <w:t xml:space="preserve"> it would be an atrocious deal for the vast majority of FPL’s customers.</w:t>
      </w:r>
    </w:p>
    <w:p w:rsidR="003002A5" w:rsidRDefault="003002A5"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outlineLvl w:val="0"/>
        <w:rPr>
          <w:rFonts w:ascii="Times New Roman" w:hAnsi="Times New Roman"/>
          <w:sz w:val="24"/>
        </w:rPr>
      </w:pPr>
    </w:p>
    <w:p w:rsidR="00901F52" w:rsidRDefault="00901F52" w:rsidP="00901F52">
      <w:pPr>
        <w:widowControl/>
        <w:autoSpaceDE/>
        <w:autoSpaceDN/>
        <w:adjustRightInd/>
        <w:ind w:left="1440" w:hanging="1440"/>
        <w:outlineLvl w:val="0"/>
        <w:rPr>
          <w:rFonts w:ascii="Times New Roman" w:hAnsi="Times New Roman"/>
          <w:sz w:val="24"/>
        </w:rPr>
      </w:pPr>
    </w:p>
    <w:p w:rsidR="00107D7C" w:rsidRPr="00C1443D" w:rsidRDefault="00107D7C" w:rsidP="00107D7C">
      <w:pPr>
        <w:spacing w:line="276" w:lineRule="auto"/>
        <w:jc w:val="both"/>
        <w:rPr>
          <w:rFonts w:ascii="Times New Roman" w:hAnsi="Times New Roman"/>
          <w:b/>
          <w:sz w:val="24"/>
          <w:u w:val="single"/>
        </w:rPr>
      </w:pPr>
      <w:r w:rsidRPr="00C1443D">
        <w:rPr>
          <w:rFonts w:ascii="Times New Roman" w:hAnsi="Times New Roman"/>
          <w:b/>
          <w:sz w:val="24"/>
        </w:rPr>
        <w:t xml:space="preserve">5.  </w:t>
      </w:r>
      <w:r w:rsidR="00344D31" w:rsidRPr="00C1443D">
        <w:rPr>
          <w:rFonts w:ascii="Times New Roman" w:hAnsi="Times New Roman"/>
          <w:b/>
          <w:sz w:val="24"/>
        </w:rPr>
        <w:tab/>
      </w:r>
      <w:r w:rsidRPr="00C1443D">
        <w:rPr>
          <w:rFonts w:ascii="Times New Roman" w:hAnsi="Times New Roman"/>
          <w:b/>
          <w:sz w:val="24"/>
          <w:u w:val="single"/>
        </w:rPr>
        <w:t>STIPULATED ISSUES:</w:t>
      </w:r>
    </w:p>
    <w:p w:rsidR="00107D7C" w:rsidRPr="00C1443D" w:rsidRDefault="00107D7C" w:rsidP="00107D7C">
      <w:pPr>
        <w:spacing w:line="276" w:lineRule="auto"/>
        <w:jc w:val="both"/>
        <w:rPr>
          <w:rFonts w:ascii="Times New Roman" w:hAnsi="Times New Roman"/>
          <w:sz w:val="24"/>
          <w:u w:val="single"/>
        </w:rPr>
      </w:pPr>
    </w:p>
    <w:p w:rsidR="00107D7C" w:rsidRPr="00C1443D" w:rsidRDefault="00344D31" w:rsidP="00107D7C">
      <w:pPr>
        <w:spacing w:line="276" w:lineRule="auto"/>
        <w:jc w:val="both"/>
        <w:rPr>
          <w:rFonts w:ascii="Times New Roman" w:hAnsi="Times New Roman"/>
          <w:sz w:val="24"/>
        </w:rPr>
      </w:pPr>
      <w:r w:rsidRPr="00C1443D">
        <w:rPr>
          <w:rFonts w:ascii="Times New Roman" w:hAnsi="Times New Roman"/>
          <w:sz w:val="24"/>
        </w:rPr>
        <w:tab/>
        <w:t>None at this time.</w:t>
      </w:r>
    </w:p>
    <w:p w:rsidR="00107D7C" w:rsidRPr="00C1443D" w:rsidRDefault="00107D7C" w:rsidP="00107D7C">
      <w:pPr>
        <w:spacing w:line="276" w:lineRule="auto"/>
        <w:jc w:val="both"/>
        <w:rPr>
          <w:rFonts w:ascii="Times New Roman" w:hAnsi="Times New Roman"/>
          <w:sz w:val="24"/>
        </w:rPr>
      </w:pPr>
    </w:p>
    <w:p w:rsidR="00107D7C" w:rsidRPr="00C1443D" w:rsidRDefault="00107D7C" w:rsidP="00493DA6">
      <w:pPr>
        <w:spacing w:line="276" w:lineRule="auto"/>
        <w:jc w:val="both"/>
        <w:rPr>
          <w:rFonts w:ascii="Times New Roman" w:hAnsi="Times New Roman"/>
          <w:sz w:val="24"/>
          <w:u w:val="single"/>
        </w:rPr>
      </w:pPr>
    </w:p>
    <w:p w:rsidR="00107D7C" w:rsidRPr="00C1443D" w:rsidRDefault="00107D7C" w:rsidP="00107D7C">
      <w:pPr>
        <w:spacing w:line="276" w:lineRule="auto"/>
        <w:ind w:left="720" w:hanging="720"/>
        <w:jc w:val="both"/>
        <w:rPr>
          <w:rFonts w:ascii="Times New Roman" w:hAnsi="Times New Roman"/>
          <w:b/>
          <w:sz w:val="24"/>
        </w:rPr>
      </w:pPr>
      <w:r w:rsidRPr="00C1443D">
        <w:rPr>
          <w:rFonts w:ascii="Times New Roman" w:hAnsi="Times New Roman"/>
          <w:b/>
          <w:sz w:val="24"/>
        </w:rPr>
        <w:lastRenderedPageBreak/>
        <w:t xml:space="preserve">6.  </w:t>
      </w:r>
      <w:r w:rsidR="00344D31" w:rsidRPr="00C1443D">
        <w:rPr>
          <w:rFonts w:ascii="Times New Roman" w:hAnsi="Times New Roman"/>
          <w:b/>
          <w:sz w:val="24"/>
        </w:rPr>
        <w:tab/>
      </w:r>
      <w:r w:rsidRPr="00C1443D">
        <w:rPr>
          <w:rFonts w:ascii="Times New Roman" w:hAnsi="Times New Roman"/>
          <w:b/>
          <w:sz w:val="24"/>
          <w:u w:val="single"/>
        </w:rPr>
        <w:t>PENDING MOTIONS</w:t>
      </w:r>
      <w:r w:rsidRPr="00C1443D">
        <w:rPr>
          <w:rFonts w:ascii="Times New Roman" w:hAnsi="Times New Roman"/>
          <w:b/>
          <w:sz w:val="24"/>
        </w:rPr>
        <w:t xml:space="preserve">:  </w:t>
      </w:r>
    </w:p>
    <w:p w:rsidR="00107D7C" w:rsidRPr="00C1443D" w:rsidRDefault="00344D31" w:rsidP="00107D7C">
      <w:pPr>
        <w:spacing w:line="276" w:lineRule="auto"/>
        <w:ind w:left="720" w:hanging="720"/>
        <w:jc w:val="both"/>
        <w:rPr>
          <w:rFonts w:ascii="Times New Roman" w:hAnsi="Times New Roman"/>
          <w:sz w:val="24"/>
        </w:rPr>
      </w:pPr>
      <w:r w:rsidRPr="00C1443D">
        <w:rPr>
          <w:rFonts w:ascii="Times New Roman" w:hAnsi="Times New Roman"/>
          <w:sz w:val="24"/>
        </w:rPr>
        <w:tab/>
      </w:r>
    </w:p>
    <w:p w:rsidR="00344D31" w:rsidRPr="00C1443D" w:rsidRDefault="00344D31" w:rsidP="00107D7C">
      <w:pPr>
        <w:spacing w:line="276" w:lineRule="auto"/>
        <w:ind w:left="720" w:hanging="720"/>
        <w:jc w:val="both"/>
        <w:rPr>
          <w:rFonts w:ascii="Times New Roman" w:hAnsi="Times New Roman"/>
          <w:sz w:val="24"/>
        </w:rPr>
      </w:pPr>
      <w:r w:rsidRPr="00C1443D">
        <w:rPr>
          <w:rFonts w:ascii="Times New Roman" w:hAnsi="Times New Roman"/>
          <w:sz w:val="24"/>
        </w:rPr>
        <w:tab/>
        <w:t>None.</w:t>
      </w:r>
    </w:p>
    <w:p w:rsidR="00516CB4" w:rsidRPr="00C1443D" w:rsidRDefault="00516CB4" w:rsidP="00107D7C">
      <w:pPr>
        <w:spacing w:line="276" w:lineRule="auto"/>
        <w:jc w:val="both"/>
        <w:rPr>
          <w:rFonts w:ascii="Times New Roman" w:hAnsi="Times New Roman"/>
          <w:sz w:val="24"/>
        </w:rPr>
      </w:pPr>
    </w:p>
    <w:p w:rsidR="00E53420" w:rsidRPr="00C1443D" w:rsidRDefault="00E53420" w:rsidP="00107D7C">
      <w:pPr>
        <w:spacing w:line="276" w:lineRule="auto"/>
        <w:jc w:val="both"/>
        <w:rPr>
          <w:rFonts w:ascii="Times New Roman" w:hAnsi="Times New Roman"/>
          <w:sz w:val="24"/>
        </w:rPr>
      </w:pPr>
    </w:p>
    <w:p w:rsidR="00107D7C" w:rsidRPr="00C1443D" w:rsidRDefault="00107D7C" w:rsidP="00107D7C">
      <w:pPr>
        <w:spacing w:line="276" w:lineRule="auto"/>
        <w:jc w:val="both"/>
        <w:rPr>
          <w:rFonts w:ascii="Times New Roman" w:hAnsi="Times New Roman"/>
          <w:b/>
          <w:sz w:val="24"/>
          <w:u w:val="single"/>
        </w:rPr>
      </w:pPr>
      <w:r w:rsidRPr="00C1443D">
        <w:rPr>
          <w:rFonts w:ascii="Times New Roman" w:hAnsi="Times New Roman"/>
          <w:b/>
          <w:sz w:val="24"/>
        </w:rPr>
        <w:t xml:space="preserve">7.  </w:t>
      </w:r>
      <w:r w:rsidR="00344D31" w:rsidRPr="00C1443D">
        <w:rPr>
          <w:rFonts w:ascii="Times New Roman" w:hAnsi="Times New Roman"/>
          <w:b/>
          <w:sz w:val="24"/>
        </w:rPr>
        <w:tab/>
      </w:r>
      <w:r w:rsidRPr="00C1443D">
        <w:rPr>
          <w:rFonts w:ascii="Times New Roman" w:hAnsi="Times New Roman"/>
          <w:b/>
          <w:sz w:val="24"/>
          <w:u w:val="single"/>
        </w:rPr>
        <w:t xml:space="preserve">STATEMENT OF PARTY’S PENDING REQUESTS OR CLAIMS FOR </w:t>
      </w:r>
    </w:p>
    <w:p w:rsidR="00107D7C" w:rsidRPr="00C1443D" w:rsidRDefault="00107D7C" w:rsidP="00344D31">
      <w:pPr>
        <w:spacing w:line="276" w:lineRule="auto"/>
        <w:ind w:left="720" w:hanging="720"/>
        <w:jc w:val="both"/>
        <w:rPr>
          <w:rFonts w:ascii="Times New Roman" w:hAnsi="Times New Roman"/>
          <w:b/>
          <w:sz w:val="24"/>
          <w:u w:val="single"/>
        </w:rPr>
      </w:pPr>
      <w:r w:rsidRPr="00C1443D">
        <w:rPr>
          <w:rFonts w:ascii="Times New Roman" w:hAnsi="Times New Roman"/>
          <w:b/>
          <w:sz w:val="24"/>
        </w:rPr>
        <w:t xml:space="preserve">    </w:t>
      </w:r>
      <w:r w:rsidR="00344D31" w:rsidRPr="00C1443D">
        <w:rPr>
          <w:rFonts w:ascii="Times New Roman" w:hAnsi="Times New Roman"/>
          <w:b/>
          <w:sz w:val="24"/>
        </w:rPr>
        <w:tab/>
      </w:r>
      <w:r w:rsidRPr="00C1443D">
        <w:rPr>
          <w:rFonts w:ascii="Times New Roman" w:hAnsi="Times New Roman"/>
          <w:b/>
          <w:sz w:val="24"/>
          <w:u w:val="single"/>
        </w:rPr>
        <w:t>CONFIDENTIALITY:</w:t>
      </w:r>
    </w:p>
    <w:p w:rsidR="00107D7C" w:rsidRPr="00C1443D" w:rsidRDefault="00107D7C" w:rsidP="00107D7C">
      <w:pPr>
        <w:spacing w:line="276" w:lineRule="auto"/>
        <w:jc w:val="both"/>
        <w:rPr>
          <w:rFonts w:ascii="Times New Roman" w:hAnsi="Times New Roman"/>
          <w:sz w:val="24"/>
          <w:u w:val="single"/>
        </w:rPr>
      </w:pPr>
    </w:p>
    <w:p w:rsidR="00107D7C" w:rsidRPr="00C1443D" w:rsidRDefault="00107D7C" w:rsidP="00107D7C">
      <w:pPr>
        <w:spacing w:line="276" w:lineRule="auto"/>
        <w:ind w:left="720"/>
        <w:jc w:val="both"/>
        <w:rPr>
          <w:rFonts w:ascii="Times New Roman" w:hAnsi="Times New Roman"/>
          <w:sz w:val="24"/>
        </w:rPr>
      </w:pPr>
      <w:r w:rsidRPr="00C1443D">
        <w:rPr>
          <w:rFonts w:ascii="Times New Roman" w:hAnsi="Times New Roman"/>
          <w:sz w:val="24"/>
        </w:rPr>
        <w:t>None.</w:t>
      </w:r>
    </w:p>
    <w:p w:rsidR="00D5389A" w:rsidRPr="00C1443D" w:rsidRDefault="00D5389A" w:rsidP="00107D7C">
      <w:pPr>
        <w:spacing w:line="276" w:lineRule="auto"/>
        <w:ind w:left="720"/>
        <w:jc w:val="both"/>
        <w:rPr>
          <w:rFonts w:ascii="Times New Roman" w:hAnsi="Times New Roman"/>
          <w:sz w:val="24"/>
        </w:rPr>
      </w:pPr>
    </w:p>
    <w:p w:rsidR="00E53420" w:rsidRPr="00C1443D" w:rsidRDefault="00E53420" w:rsidP="00107D7C">
      <w:pPr>
        <w:spacing w:line="276" w:lineRule="auto"/>
        <w:ind w:left="720"/>
        <w:jc w:val="both"/>
        <w:rPr>
          <w:rFonts w:ascii="Times New Roman" w:hAnsi="Times New Roman"/>
          <w:sz w:val="24"/>
        </w:rPr>
      </w:pPr>
    </w:p>
    <w:p w:rsidR="00107D7C" w:rsidRPr="00C1443D" w:rsidRDefault="00107D7C" w:rsidP="00107D7C">
      <w:pPr>
        <w:spacing w:line="276" w:lineRule="auto"/>
        <w:jc w:val="both"/>
        <w:rPr>
          <w:rFonts w:ascii="Times New Roman" w:hAnsi="Times New Roman"/>
          <w:b/>
          <w:sz w:val="24"/>
        </w:rPr>
      </w:pPr>
      <w:r w:rsidRPr="00C1443D">
        <w:rPr>
          <w:rFonts w:ascii="Times New Roman" w:hAnsi="Times New Roman"/>
          <w:b/>
          <w:sz w:val="24"/>
        </w:rPr>
        <w:t xml:space="preserve">8.  </w:t>
      </w:r>
      <w:r w:rsidR="00344D31" w:rsidRPr="00C1443D">
        <w:rPr>
          <w:rFonts w:ascii="Times New Roman" w:hAnsi="Times New Roman"/>
          <w:b/>
          <w:sz w:val="24"/>
        </w:rPr>
        <w:tab/>
      </w:r>
      <w:r w:rsidRPr="00C1443D">
        <w:rPr>
          <w:rFonts w:ascii="Times New Roman" w:hAnsi="Times New Roman"/>
          <w:b/>
          <w:sz w:val="24"/>
          <w:u w:val="single"/>
        </w:rPr>
        <w:t>OBJECTIONS TO QUALIFICATION OF WITNESSES AS AN EXPERT</w:t>
      </w:r>
      <w:r w:rsidRPr="00C1443D">
        <w:rPr>
          <w:rFonts w:ascii="Times New Roman" w:hAnsi="Times New Roman"/>
          <w:b/>
          <w:sz w:val="24"/>
        </w:rPr>
        <w:t>:</w:t>
      </w:r>
    </w:p>
    <w:p w:rsidR="00107D7C" w:rsidRPr="00C1443D" w:rsidRDefault="00107D7C" w:rsidP="00107D7C">
      <w:pPr>
        <w:spacing w:line="276" w:lineRule="auto"/>
        <w:jc w:val="both"/>
        <w:rPr>
          <w:rFonts w:ascii="Times New Roman" w:hAnsi="Times New Roman"/>
          <w:sz w:val="24"/>
        </w:rPr>
      </w:pPr>
    </w:p>
    <w:p w:rsidR="00107D7C" w:rsidRPr="00C1443D" w:rsidRDefault="00107D7C" w:rsidP="00107D7C">
      <w:pPr>
        <w:spacing w:line="276" w:lineRule="auto"/>
        <w:jc w:val="both"/>
        <w:rPr>
          <w:rFonts w:ascii="Times New Roman" w:hAnsi="Times New Roman"/>
          <w:sz w:val="24"/>
        </w:rPr>
      </w:pPr>
      <w:r w:rsidRPr="00C1443D">
        <w:rPr>
          <w:rFonts w:ascii="Times New Roman" w:hAnsi="Times New Roman"/>
          <w:sz w:val="24"/>
        </w:rPr>
        <w:tab/>
        <w:t>None at this time.</w:t>
      </w:r>
    </w:p>
    <w:p w:rsidR="00107D7C" w:rsidRPr="00C1443D" w:rsidRDefault="00107D7C" w:rsidP="00107D7C">
      <w:pPr>
        <w:spacing w:line="276" w:lineRule="auto"/>
        <w:jc w:val="both"/>
        <w:rPr>
          <w:rFonts w:ascii="Times New Roman" w:hAnsi="Times New Roman"/>
          <w:sz w:val="24"/>
        </w:rPr>
      </w:pPr>
    </w:p>
    <w:p w:rsidR="000364C6" w:rsidRPr="00C1443D" w:rsidRDefault="000364C6" w:rsidP="00107D7C">
      <w:pPr>
        <w:spacing w:line="276" w:lineRule="auto"/>
        <w:jc w:val="both"/>
        <w:rPr>
          <w:rFonts w:ascii="Times New Roman" w:hAnsi="Times New Roman"/>
          <w:sz w:val="24"/>
        </w:rPr>
      </w:pPr>
    </w:p>
    <w:p w:rsidR="00107D7C" w:rsidRPr="00C1443D" w:rsidRDefault="00107D7C" w:rsidP="00107D7C">
      <w:pPr>
        <w:spacing w:line="276" w:lineRule="auto"/>
        <w:ind w:left="720" w:hanging="720"/>
        <w:jc w:val="both"/>
        <w:rPr>
          <w:rFonts w:ascii="Times New Roman" w:hAnsi="Times New Roman"/>
          <w:b/>
          <w:sz w:val="24"/>
        </w:rPr>
      </w:pPr>
      <w:r w:rsidRPr="00C1443D">
        <w:rPr>
          <w:rFonts w:ascii="Times New Roman" w:hAnsi="Times New Roman"/>
          <w:b/>
          <w:sz w:val="24"/>
        </w:rPr>
        <w:t xml:space="preserve">9.  </w:t>
      </w:r>
      <w:r w:rsidR="00344D31" w:rsidRPr="00C1443D">
        <w:rPr>
          <w:rFonts w:ascii="Times New Roman" w:hAnsi="Times New Roman"/>
          <w:b/>
          <w:sz w:val="24"/>
        </w:rPr>
        <w:tab/>
      </w:r>
      <w:r w:rsidRPr="00C1443D">
        <w:rPr>
          <w:rFonts w:ascii="Times New Roman" w:hAnsi="Times New Roman"/>
          <w:b/>
          <w:sz w:val="24"/>
          <w:u w:val="single"/>
        </w:rPr>
        <w:t>STATEMENT OF COMPLIANCE WITH ORDER ESTABLISHING PROCEDURE</w:t>
      </w:r>
      <w:r w:rsidRPr="00C1443D">
        <w:rPr>
          <w:rFonts w:ascii="Times New Roman" w:hAnsi="Times New Roman"/>
          <w:b/>
          <w:sz w:val="24"/>
        </w:rPr>
        <w:t xml:space="preserve">:  </w:t>
      </w:r>
    </w:p>
    <w:p w:rsidR="00107D7C" w:rsidRPr="00C1443D" w:rsidRDefault="00107D7C" w:rsidP="00107D7C">
      <w:pPr>
        <w:spacing w:line="276" w:lineRule="auto"/>
        <w:jc w:val="both"/>
        <w:rPr>
          <w:rFonts w:ascii="Times New Roman" w:hAnsi="Times New Roman"/>
          <w:sz w:val="24"/>
        </w:rPr>
      </w:pPr>
    </w:p>
    <w:p w:rsidR="00107D7C" w:rsidRPr="00B823E9" w:rsidRDefault="00107D7C" w:rsidP="00107D7C">
      <w:pPr>
        <w:pStyle w:val="BodyTextIndent2"/>
        <w:rPr>
          <w:b/>
        </w:rPr>
      </w:pPr>
      <w:r w:rsidRPr="00C1443D">
        <w:t xml:space="preserve">There are no requirements of Order </w:t>
      </w:r>
      <w:r w:rsidR="004B67AC">
        <w:t xml:space="preserve">No. PSC-12-0529-PCO-EI </w:t>
      </w:r>
      <w:r w:rsidRPr="00C1443D">
        <w:t>with which the Office of Public Counsel cannot comply.</w:t>
      </w:r>
    </w:p>
    <w:p w:rsidR="00107D7C" w:rsidRDefault="00107D7C"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107D7C" w:rsidRPr="00B823E9" w:rsidRDefault="00344D31"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sidR="00107D7C" w:rsidRPr="00B823E9">
        <w:rPr>
          <w:rFonts w:ascii="Times New Roman" w:hAnsi="Times New Roman"/>
          <w:sz w:val="24"/>
        </w:rPr>
        <w:t xml:space="preserve">Dated this </w:t>
      </w:r>
      <w:r w:rsidR="00D306FE">
        <w:rPr>
          <w:rFonts w:ascii="Times New Roman" w:hAnsi="Times New Roman"/>
          <w:sz w:val="24"/>
        </w:rPr>
        <w:t>8</w:t>
      </w:r>
      <w:r w:rsidR="00107D7C" w:rsidRPr="00A97F64">
        <w:rPr>
          <w:rFonts w:ascii="Times New Roman" w:hAnsi="Times New Roman"/>
          <w:sz w:val="24"/>
          <w:vertAlign w:val="superscript"/>
        </w:rPr>
        <w:t>th</w:t>
      </w:r>
      <w:r w:rsidR="00107D7C">
        <w:rPr>
          <w:rFonts w:ascii="Times New Roman" w:hAnsi="Times New Roman"/>
          <w:sz w:val="24"/>
        </w:rPr>
        <w:t xml:space="preserve"> </w:t>
      </w:r>
      <w:r w:rsidR="00107D7C" w:rsidRPr="00B823E9">
        <w:rPr>
          <w:rFonts w:ascii="Times New Roman" w:hAnsi="Times New Roman"/>
          <w:sz w:val="24"/>
        </w:rPr>
        <w:t>day of</w:t>
      </w:r>
      <w:r w:rsidR="00D306FE">
        <w:rPr>
          <w:rFonts w:ascii="Times New Roman" w:hAnsi="Times New Roman"/>
          <w:sz w:val="24"/>
        </w:rPr>
        <w:t xml:space="preserve"> November</w:t>
      </w:r>
      <w:r w:rsidR="00901F52">
        <w:rPr>
          <w:rFonts w:ascii="Times New Roman" w:hAnsi="Times New Roman"/>
          <w:sz w:val="24"/>
        </w:rPr>
        <w:t>, 2012</w:t>
      </w:r>
    </w:p>
    <w:p w:rsidR="00577715" w:rsidRPr="00B823E9" w:rsidRDefault="00577715" w:rsidP="00B823E9">
      <w:pPr>
        <w:spacing w:line="276" w:lineRule="auto"/>
        <w:jc w:val="both"/>
        <w:rPr>
          <w:rFonts w:ascii="Times New Roman" w:hAnsi="Times New Roman"/>
          <w:sz w:val="24"/>
        </w:rPr>
      </w:pPr>
    </w:p>
    <w:p w:rsidR="00344D31" w:rsidRPr="00B823E9" w:rsidRDefault="00344D31" w:rsidP="00344D31">
      <w:pPr>
        <w:widowControl/>
        <w:tabs>
          <w:tab w:val="left" w:pos="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E9">
        <w:rPr>
          <w:rFonts w:ascii="Times New Roman" w:hAnsi="Times New Roman"/>
          <w:sz w:val="24"/>
        </w:rPr>
        <w:t>J.R. Kelly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73E87" w:rsidRDefault="00344D31"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E9">
        <w:rPr>
          <w:rFonts w:ascii="Times New Roman" w:hAnsi="Times New Roman"/>
          <w:sz w:val="24"/>
        </w:rPr>
        <w:t>Public Counsel</w:t>
      </w:r>
    </w:p>
    <w:p w:rsid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44D31" w:rsidRPr="00771B49"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71B49">
        <w:rPr>
          <w:rFonts w:ascii="Times New Roman" w:hAnsi="Times New Roman"/>
          <w:sz w:val="24"/>
          <w:u w:val="single"/>
        </w:rPr>
        <w:t>s/ Joseph A. McGlothlin</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 xml:space="preserve">Joseph A. McGlothlin </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Associate Public Counsel</w:t>
      </w:r>
    </w:p>
    <w:p w:rsid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p>
    <w:p w:rsidR="005A2D5E" w:rsidRDefault="005A2D5E"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Charles J. Rehwinkel</w:t>
      </w:r>
    </w:p>
    <w:p w:rsidR="005A2D5E" w:rsidRDefault="005A2D5E"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Deputy Public Counsel</w:t>
      </w:r>
    </w:p>
    <w:p w:rsidR="005A2D5E" w:rsidRPr="00344D31" w:rsidRDefault="005A2D5E"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Pr="00344D31" w:rsidRDefault="005A2D5E"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Patricia A. Christensen</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Associate Public Counsel</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Office of Public Counsel</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c/o The Florida Legislature</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44D31">
        <w:rPr>
          <w:rFonts w:ascii="Times New Roman" w:hAnsi="Times New Roman"/>
          <w:sz w:val="24"/>
        </w:rPr>
        <w:t>111 West Madison Street, Room 812</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44D31">
        <w:rPr>
          <w:rFonts w:ascii="Times New Roman" w:hAnsi="Times New Roman"/>
          <w:sz w:val="24"/>
        </w:rPr>
        <w:t>Tallahassee, FL 32399-1400</w:t>
      </w:r>
    </w:p>
    <w:p w:rsid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u w:val="single"/>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(850) 488-9330</w:t>
      </w:r>
      <w:r>
        <w:rPr>
          <w:rFonts w:ascii="Times New Roman" w:hAnsi="Times New Roman"/>
          <w:b/>
          <w:sz w:val="24"/>
          <w:u w:val="single"/>
        </w:rPr>
        <w:br w:type="page"/>
      </w:r>
    </w:p>
    <w:p w:rsidR="00D306FE" w:rsidRPr="00D306FE" w:rsidRDefault="00D306FE" w:rsidP="00D306FE">
      <w:pPr>
        <w:widowControl/>
        <w:tabs>
          <w:tab w:val="left" w:pos="0"/>
        </w:tabs>
        <w:autoSpaceDE/>
        <w:autoSpaceDN/>
        <w:adjustRightInd/>
        <w:spacing w:after="200"/>
        <w:jc w:val="center"/>
        <w:rPr>
          <w:rFonts w:ascii="Times New Roman" w:hAnsi="Times New Roman"/>
          <w:b/>
          <w:sz w:val="24"/>
          <w:u w:val="single"/>
        </w:rPr>
      </w:pPr>
      <w:r w:rsidRPr="00D306FE">
        <w:rPr>
          <w:rFonts w:ascii="Times New Roman" w:hAnsi="Times New Roman"/>
          <w:b/>
          <w:sz w:val="24"/>
          <w:u w:val="single"/>
        </w:rPr>
        <w:lastRenderedPageBreak/>
        <w:t>CERTIFICATE OF SERVICE</w:t>
      </w:r>
    </w:p>
    <w:p w:rsidR="00D306FE" w:rsidRPr="00D306FE" w:rsidRDefault="00D306FE" w:rsidP="00D306FE">
      <w:pPr>
        <w:widowControl/>
        <w:autoSpaceDE/>
        <w:autoSpaceDN/>
        <w:adjustRightInd/>
        <w:jc w:val="both"/>
        <w:rPr>
          <w:rFonts w:ascii="Times New Roman" w:hAnsi="Times New Roman"/>
          <w:sz w:val="24"/>
        </w:rPr>
      </w:pPr>
      <w:r w:rsidRPr="00D306FE">
        <w:rPr>
          <w:rFonts w:ascii="Times New Roman" w:hAnsi="Times New Roman"/>
          <w:b/>
          <w:sz w:val="24"/>
        </w:rPr>
        <w:tab/>
        <w:t xml:space="preserve">I HEREBY CERTIFY </w:t>
      </w:r>
      <w:r w:rsidRPr="00D306FE">
        <w:rPr>
          <w:rFonts w:ascii="Times New Roman" w:hAnsi="Times New Roman"/>
          <w:sz w:val="24"/>
        </w:rPr>
        <w:t xml:space="preserve">that a true and foregoing </w:t>
      </w:r>
      <w:r w:rsidR="00920109" w:rsidRPr="00C1443D">
        <w:rPr>
          <w:rFonts w:ascii="Times New Roman" w:hAnsi="Times New Roman"/>
          <w:b/>
          <w:bCs/>
          <w:sz w:val="24"/>
          <w:u w:val="single"/>
        </w:rPr>
        <w:t>PREHEARING STATEMENT OF THE OFFICE OF PUBLIC COUNSEL</w:t>
      </w:r>
      <w:r w:rsidR="00920109" w:rsidRPr="00D306FE">
        <w:rPr>
          <w:rFonts w:ascii="Times New Roman" w:hAnsi="Times New Roman"/>
          <w:sz w:val="24"/>
        </w:rPr>
        <w:t xml:space="preserve"> </w:t>
      </w:r>
      <w:r w:rsidRPr="00D306FE">
        <w:rPr>
          <w:rFonts w:ascii="Times New Roman" w:hAnsi="Times New Roman"/>
          <w:sz w:val="24"/>
        </w:rPr>
        <w:t xml:space="preserve">has been furnished by electronic mail </w:t>
      </w:r>
      <w:r w:rsidR="00920109">
        <w:rPr>
          <w:rFonts w:ascii="Times New Roman" w:hAnsi="Times New Roman"/>
          <w:sz w:val="24"/>
        </w:rPr>
        <w:t xml:space="preserve">and/or U.S. mail </w:t>
      </w:r>
      <w:r w:rsidRPr="00D306FE">
        <w:rPr>
          <w:rFonts w:ascii="Times New Roman" w:hAnsi="Times New Roman"/>
          <w:sz w:val="24"/>
        </w:rPr>
        <w:t xml:space="preserve">on this </w:t>
      </w:r>
      <w:r w:rsidR="00920109">
        <w:rPr>
          <w:rFonts w:ascii="Times New Roman" w:hAnsi="Times New Roman"/>
          <w:sz w:val="24"/>
        </w:rPr>
        <w:t>8</w:t>
      </w:r>
      <w:r w:rsidR="00920109" w:rsidRPr="00920109">
        <w:rPr>
          <w:rFonts w:ascii="Times New Roman" w:hAnsi="Times New Roman"/>
          <w:sz w:val="24"/>
          <w:vertAlign w:val="superscript"/>
        </w:rPr>
        <w:t>th</w:t>
      </w:r>
      <w:r w:rsidR="00920109">
        <w:rPr>
          <w:rFonts w:ascii="Times New Roman" w:hAnsi="Times New Roman"/>
          <w:sz w:val="24"/>
        </w:rPr>
        <w:t xml:space="preserve"> </w:t>
      </w:r>
      <w:r w:rsidRPr="00D306FE">
        <w:rPr>
          <w:rFonts w:ascii="Times New Roman" w:hAnsi="Times New Roman"/>
          <w:sz w:val="24"/>
        </w:rPr>
        <w:t>day of November, 2012, to the following:</w:t>
      </w:r>
    </w:p>
    <w:p w:rsidR="00D306FE" w:rsidRPr="00D306FE" w:rsidRDefault="00D306FE" w:rsidP="00D306FE">
      <w:pPr>
        <w:widowControl/>
        <w:autoSpaceDE/>
        <w:autoSpaceDN/>
        <w:adjustRightInd/>
        <w:rPr>
          <w:rFonts w:ascii="Times New Roman" w:hAnsi="Times New Roman"/>
          <w:sz w:val="24"/>
        </w:rPr>
      </w:pPr>
    </w:p>
    <w:tbl>
      <w:tblPr>
        <w:tblW w:w="0" w:type="auto"/>
        <w:tblLook w:val="04A0"/>
      </w:tblPr>
      <w:tblGrid>
        <w:gridCol w:w="4788"/>
        <w:gridCol w:w="4788"/>
      </w:tblGrid>
      <w:tr w:rsidR="00D306FE" w:rsidRPr="00D306FE" w:rsidTr="00070C88">
        <w:tc>
          <w:tcPr>
            <w:tcW w:w="4788" w:type="dxa"/>
            <w:hideMark/>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Caroline Klancke</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Keino Young</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Florida Public Service Commission</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Office of the General Counsel</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2540 Shumard Oak Boulevard</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Tallahassee, FL 32399-0850</w:t>
            </w:r>
          </w:p>
        </w:tc>
        <w:tc>
          <w:tcPr>
            <w:tcW w:w="4788" w:type="dxa"/>
            <w:hideMark/>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John T. Butler</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R. Wade Litchfield</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Florida Power &amp; Light Company</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700 Universe Boulevard</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Juno Beach, FL 33408-0420</w:t>
            </w:r>
          </w:p>
        </w:tc>
      </w:tr>
      <w:tr w:rsidR="00D306FE" w:rsidRPr="00D306FE" w:rsidTr="00070C88">
        <w:tc>
          <w:tcPr>
            <w:tcW w:w="4788" w:type="dxa"/>
          </w:tcPr>
          <w:p w:rsidR="00D306FE" w:rsidRPr="00D306FE" w:rsidRDefault="00D306FE" w:rsidP="00D306FE">
            <w:pPr>
              <w:widowControl/>
              <w:autoSpaceDE/>
              <w:autoSpaceDN/>
              <w:adjustRightInd/>
              <w:rPr>
                <w:rFonts w:ascii="Times New Roman" w:hAnsi="Times New Roman"/>
                <w:sz w:val="24"/>
              </w:rPr>
            </w:pP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Vickie Gordon Kaufman</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Jon C. Moyle</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c/o Moyle Law Firm</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118 North Gadsden Street</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Tallahassee, FL 32301</w:t>
            </w:r>
          </w:p>
        </w:tc>
        <w:tc>
          <w:tcPr>
            <w:tcW w:w="4788" w:type="dxa"/>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Kenneth L. Wiseman</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Mark F. Sun</w:t>
            </w:r>
            <w:r w:rsidR="004B67AC">
              <w:rPr>
                <w:rFonts w:ascii="Times New Roman" w:hAnsi="Times New Roman"/>
                <w:sz w:val="24"/>
              </w:rPr>
              <w:t>d</w:t>
            </w:r>
            <w:r w:rsidRPr="00D306FE">
              <w:rPr>
                <w:rFonts w:ascii="Times New Roman" w:hAnsi="Times New Roman"/>
                <w:sz w:val="24"/>
              </w:rPr>
              <w:t>back</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J. Peter Ripley</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Andrews Kurth LLP</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1350 I Street, NW, Suite 1100</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Washington, DC 20005</w:t>
            </w:r>
          </w:p>
          <w:p w:rsidR="00D306FE" w:rsidRPr="00D306FE" w:rsidRDefault="00D306FE" w:rsidP="00D306FE">
            <w:pPr>
              <w:widowControl/>
              <w:autoSpaceDE/>
              <w:autoSpaceDN/>
              <w:adjustRightInd/>
              <w:rPr>
                <w:rFonts w:ascii="Times New Roman" w:hAnsi="Times New Roman"/>
                <w:sz w:val="24"/>
              </w:rPr>
            </w:pPr>
          </w:p>
        </w:tc>
      </w:tr>
      <w:tr w:rsidR="00D306FE" w:rsidRPr="00D306FE" w:rsidTr="00070C88">
        <w:tc>
          <w:tcPr>
            <w:tcW w:w="4788" w:type="dxa"/>
            <w:hideMark/>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Karen White</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Federal Executive Agencies</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c/o AFLOA/JACL-ULFSC</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139 Barnes Drive, Suite 1</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Tyndall Air Force Base, FL 32403</w:t>
            </w:r>
          </w:p>
        </w:tc>
        <w:tc>
          <w:tcPr>
            <w:tcW w:w="4788" w:type="dxa"/>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Robert Scheffel Wright</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John T. LaVia</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Gardner Law Firm</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1300 Thomaswood Drive</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Tallahassee, FL 32308</w:t>
            </w:r>
          </w:p>
          <w:p w:rsidR="00D306FE" w:rsidRPr="00D306FE" w:rsidRDefault="00D306FE" w:rsidP="00D306FE">
            <w:pPr>
              <w:widowControl/>
              <w:autoSpaceDE/>
              <w:autoSpaceDN/>
              <w:adjustRightInd/>
              <w:rPr>
                <w:rFonts w:ascii="Times New Roman" w:hAnsi="Times New Roman"/>
                <w:sz w:val="24"/>
              </w:rPr>
            </w:pPr>
          </w:p>
        </w:tc>
      </w:tr>
      <w:tr w:rsidR="00D306FE" w:rsidRPr="00D306FE" w:rsidTr="00070C88">
        <w:tc>
          <w:tcPr>
            <w:tcW w:w="4788" w:type="dxa"/>
            <w:hideMark/>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John W. Hendricks</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367 S. Shore Drive</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Sarasota, FL 34234</w:t>
            </w:r>
          </w:p>
        </w:tc>
        <w:tc>
          <w:tcPr>
            <w:tcW w:w="4788" w:type="dxa"/>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Thomas Saporito</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6701 Mallards Cove Rd., Apt. 28H</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Jupiter, FL 33458</w:t>
            </w:r>
          </w:p>
          <w:p w:rsidR="00D306FE" w:rsidRPr="00D306FE" w:rsidRDefault="00D306FE" w:rsidP="00D306FE">
            <w:pPr>
              <w:widowControl/>
              <w:autoSpaceDE/>
              <w:autoSpaceDN/>
              <w:adjustRightInd/>
              <w:rPr>
                <w:rFonts w:ascii="Times New Roman" w:hAnsi="Times New Roman"/>
                <w:sz w:val="24"/>
              </w:rPr>
            </w:pPr>
          </w:p>
        </w:tc>
      </w:tr>
      <w:tr w:rsidR="00D306FE" w:rsidRPr="00D306FE" w:rsidTr="00070C88">
        <w:tc>
          <w:tcPr>
            <w:tcW w:w="4788" w:type="dxa"/>
            <w:hideMark/>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Linda S. Quick</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 xml:space="preserve">South Florida Hospital and </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 xml:space="preserve">  Healthcare Association</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6030 Hollywood Blvd., Suite 140</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Hollywood, FL 33024</w:t>
            </w:r>
          </w:p>
          <w:p w:rsidR="00D306FE" w:rsidRPr="00D306FE" w:rsidRDefault="00D306FE" w:rsidP="00D306FE">
            <w:pPr>
              <w:widowControl/>
              <w:autoSpaceDE/>
              <w:autoSpaceDN/>
              <w:adjustRightInd/>
              <w:rPr>
                <w:rFonts w:ascii="Times New Roman" w:hAnsi="Times New Roman"/>
                <w:sz w:val="24"/>
              </w:rPr>
            </w:pPr>
          </w:p>
        </w:tc>
        <w:tc>
          <w:tcPr>
            <w:tcW w:w="4788" w:type="dxa"/>
            <w:hideMark/>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Ken Hoffman</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Florida Power &amp; Light Company</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215 S. Monroe St., Suite 810</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Tallahassee, FL 32301-1859</w:t>
            </w:r>
          </w:p>
        </w:tc>
      </w:tr>
      <w:tr w:rsidR="00D306FE" w:rsidRPr="00D306FE" w:rsidTr="00070C88">
        <w:tc>
          <w:tcPr>
            <w:tcW w:w="4788" w:type="dxa"/>
          </w:tcPr>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William C. Garner</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Brian P. Armstrong</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Nabors, Goblin &amp; Nickerson, P.A.</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1500 Mahan Drive, Suite 200</w:t>
            </w:r>
          </w:p>
          <w:p w:rsidR="00D306FE" w:rsidRPr="00D306FE" w:rsidRDefault="00D306FE" w:rsidP="00D306FE">
            <w:pPr>
              <w:widowControl/>
              <w:autoSpaceDE/>
              <w:autoSpaceDN/>
              <w:adjustRightInd/>
              <w:rPr>
                <w:rFonts w:ascii="Times New Roman" w:hAnsi="Times New Roman"/>
                <w:sz w:val="24"/>
              </w:rPr>
            </w:pPr>
            <w:r w:rsidRPr="00D306FE">
              <w:rPr>
                <w:rFonts w:ascii="Times New Roman" w:hAnsi="Times New Roman"/>
                <w:sz w:val="24"/>
              </w:rPr>
              <w:t>Tallahassee, FL 32308</w:t>
            </w:r>
          </w:p>
          <w:p w:rsidR="00D306FE" w:rsidRPr="00D306FE" w:rsidRDefault="00D306FE" w:rsidP="00D306FE">
            <w:pPr>
              <w:widowControl/>
              <w:autoSpaceDE/>
              <w:autoSpaceDN/>
              <w:adjustRightInd/>
              <w:rPr>
                <w:rFonts w:ascii="Times New Roman" w:hAnsi="Times New Roman"/>
                <w:sz w:val="24"/>
              </w:rPr>
            </w:pPr>
          </w:p>
        </w:tc>
        <w:tc>
          <w:tcPr>
            <w:tcW w:w="4788" w:type="dxa"/>
          </w:tcPr>
          <w:p w:rsidR="00D306FE" w:rsidRPr="00D306FE" w:rsidRDefault="00D40B4F" w:rsidP="00D306FE">
            <w:pPr>
              <w:widowControl/>
              <w:autoSpaceDE/>
              <w:autoSpaceDN/>
              <w:adjustRightInd/>
              <w:rPr>
                <w:rFonts w:ascii="Times New Roman" w:hAnsi="Times New Roman"/>
                <w:sz w:val="24"/>
              </w:rPr>
            </w:pPr>
            <w:r>
              <w:rPr>
                <w:rFonts w:ascii="Times New Roman" w:hAnsi="Times New Roman"/>
                <w:sz w:val="24"/>
              </w:rPr>
              <w:t>Gregory J. Fike, Lt Col, USAF</w:t>
            </w:r>
          </w:p>
          <w:p w:rsidR="00D306FE" w:rsidRPr="00D306FE" w:rsidRDefault="00D40B4F" w:rsidP="00D306FE">
            <w:pPr>
              <w:widowControl/>
              <w:autoSpaceDE/>
              <w:autoSpaceDN/>
              <w:adjustRightInd/>
              <w:rPr>
                <w:rFonts w:ascii="Times New Roman" w:hAnsi="Times New Roman"/>
                <w:sz w:val="24"/>
              </w:rPr>
            </w:pPr>
            <w:r>
              <w:rPr>
                <w:rFonts w:ascii="Times New Roman" w:hAnsi="Times New Roman"/>
                <w:sz w:val="24"/>
              </w:rPr>
              <w:t>Chief, Utility Litigation FSC</w:t>
            </w:r>
          </w:p>
          <w:p w:rsidR="00D306FE" w:rsidRPr="00D306FE" w:rsidRDefault="00D40B4F" w:rsidP="00D306FE">
            <w:pPr>
              <w:widowControl/>
              <w:autoSpaceDE/>
              <w:autoSpaceDN/>
              <w:adjustRightInd/>
              <w:rPr>
                <w:rFonts w:ascii="Times New Roman" w:hAnsi="Times New Roman"/>
                <w:sz w:val="24"/>
              </w:rPr>
            </w:pPr>
            <w:r>
              <w:rPr>
                <w:rFonts w:ascii="Times New Roman" w:hAnsi="Times New Roman"/>
                <w:sz w:val="24"/>
              </w:rPr>
              <w:t>AFLOA/JACL (ULT)</w:t>
            </w:r>
          </w:p>
          <w:p w:rsidR="00D306FE" w:rsidRDefault="00D40B4F" w:rsidP="00D306FE">
            <w:pPr>
              <w:widowControl/>
              <w:autoSpaceDE/>
              <w:autoSpaceDN/>
              <w:adjustRightInd/>
              <w:rPr>
                <w:rFonts w:ascii="Times New Roman" w:hAnsi="Times New Roman"/>
                <w:sz w:val="24"/>
              </w:rPr>
            </w:pPr>
            <w:r>
              <w:rPr>
                <w:rFonts w:ascii="Times New Roman" w:hAnsi="Times New Roman"/>
                <w:sz w:val="24"/>
              </w:rPr>
              <w:t>139 Barnes Drive</w:t>
            </w:r>
          </w:p>
          <w:p w:rsidR="00D40B4F" w:rsidRPr="00D306FE" w:rsidRDefault="00D40B4F" w:rsidP="00D306FE">
            <w:pPr>
              <w:widowControl/>
              <w:autoSpaceDE/>
              <w:autoSpaceDN/>
              <w:adjustRightInd/>
              <w:rPr>
                <w:rFonts w:ascii="Times New Roman" w:hAnsi="Times New Roman"/>
                <w:sz w:val="24"/>
              </w:rPr>
            </w:pPr>
            <w:r>
              <w:rPr>
                <w:rFonts w:ascii="Times New Roman" w:hAnsi="Times New Roman"/>
                <w:sz w:val="24"/>
              </w:rPr>
              <w:t>Tyndall AFB, FL 32403-5319</w:t>
            </w:r>
          </w:p>
        </w:tc>
      </w:tr>
    </w:tbl>
    <w:p w:rsidR="00C73A27" w:rsidRDefault="00C73A27" w:rsidP="00D306FE">
      <w:pPr>
        <w:widowControl/>
        <w:autoSpaceDE/>
        <w:autoSpaceDN/>
        <w:adjustRightInd/>
        <w:rPr>
          <w:rFonts w:ascii="Times New Roman" w:eastAsia="Calibri" w:hAnsi="Times New Roman"/>
          <w:sz w:val="24"/>
        </w:rPr>
      </w:pPr>
    </w:p>
    <w:p w:rsidR="00C73A27" w:rsidRDefault="00C73A27" w:rsidP="00D306FE">
      <w:pPr>
        <w:widowControl/>
        <w:autoSpaceDE/>
        <w:autoSpaceDN/>
        <w:adjustRightInd/>
        <w:rPr>
          <w:rFonts w:ascii="Times New Roman" w:eastAsia="Calibri" w:hAnsi="Times New Roman"/>
          <w:sz w:val="24"/>
        </w:rPr>
      </w:pPr>
    </w:p>
    <w:p w:rsidR="00D306FE" w:rsidRPr="00771B49" w:rsidRDefault="00D306FE" w:rsidP="00D306FE">
      <w:pPr>
        <w:widowControl/>
        <w:autoSpaceDE/>
        <w:autoSpaceDN/>
        <w:adjustRightInd/>
        <w:rPr>
          <w:rFonts w:ascii="Times New Roman" w:hAnsi="Times New Roman"/>
          <w:sz w:val="24"/>
          <w:u w:val="single"/>
        </w:rPr>
      </w:pPr>
      <w:r w:rsidRPr="00D306FE">
        <w:rPr>
          <w:rFonts w:ascii="Times New Roman" w:eastAsia="Calibri" w:hAnsi="Times New Roman"/>
          <w:sz w:val="24"/>
        </w:rPr>
        <w:tab/>
      </w:r>
      <w:r w:rsidRPr="00D306FE">
        <w:rPr>
          <w:rFonts w:ascii="Times New Roman" w:eastAsia="Calibri" w:hAnsi="Times New Roman"/>
          <w:sz w:val="24"/>
        </w:rPr>
        <w:tab/>
      </w:r>
      <w:r w:rsidRPr="00D306FE">
        <w:rPr>
          <w:rFonts w:ascii="Times New Roman" w:eastAsia="Calibri" w:hAnsi="Times New Roman"/>
          <w:sz w:val="24"/>
        </w:rPr>
        <w:tab/>
      </w:r>
      <w:r w:rsidRPr="00D306FE">
        <w:rPr>
          <w:rFonts w:ascii="Times New Roman" w:eastAsia="Calibri" w:hAnsi="Times New Roman"/>
          <w:sz w:val="24"/>
        </w:rPr>
        <w:tab/>
      </w:r>
      <w:r w:rsidRPr="00D306FE">
        <w:rPr>
          <w:rFonts w:ascii="Times New Roman" w:eastAsia="Calibri" w:hAnsi="Times New Roman"/>
          <w:sz w:val="24"/>
        </w:rPr>
        <w:tab/>
      </w:r>
      <w:r w:rsidRPr="00D306FE">
        <w:rPr>
          <w:rFonts w:ascii="Times New Roman" w:eastAsia="Calibri" w:hAnsi="Times New Roman"/>
          <w:sz w:val="24"/>
        </w:rPr>
        <w:tab/>
      </w:r>
      <w:r w:rsidRPr="00D306FE">
        <w:rPr>
          <w:rFonts w:ascii="Times New Roman" w:eastAsia="Calibri" w:hAnsi="Times New Roman"/>
          <w:sz w:val="24"/>
        </w:rPr>
        <w:tab/>
      </w:r>
      <w:r w:rsidRPr="00D306FE">
        <w:rPr>
          <w:rFonts w:ascii="Times New Roman" w:hAnsi="Times New Roman"/>
          <w:sz w:val="24"/>
        </w:rPr>
        <w:t xml:space="preserve"> </w:t>
      </w:r>
      <w:r w:rsidR="00771B49">
        <w:rPr>
          <w:rFonts w:ascii="Times New Roman" w:hAnsi="Times New Roman"/>
          <w:sz w:val="24"/>
          <w:u w:val="single"/>
        </w:rPr>
        <w:t>s/ Joseph A. McGloth</w:t>
      </w:r>
      <w:r w:rsidR="005E509B">
        <w:rPr>
          <w:rFonts w:ascii="Times New Roman" w:hAnsi="Times New Roman"/>
          <w:sz w:val="24"/>
          <w:u w:val="single"/>
        </w:rPr>
        <w:t>l</w:t>
      </w:r>
      <w:r w:rsidR="00771B49">
        <w:rPr>
          <w:rFonts w:ascii="Times New Roman" w:hAnsi="Times New Roman"/>
          <w:sz w:val="24"/>
          <w:u w:val="single"/>
        </w:rPr>
        <w:t>in</w:t>
      </w:r>
    </w:p>
    <w:p w:rsidR="00D306FE" w:rsidRPr="00D306FE" w:rsidRDefault="00D306FE" w:rsidP="00D306FE">
      <w:pPr>
        <w:widowControl/>
        <w:autoSpaceDE/>
        <w:autoSpaceDN/>
        <w:adjustRightInd/>
        <w:ind w:left="4320" w:firstLine="720"/>
        <w:rPr>
          <w:rFonts w:ascii="Times New Roman" w:hAnsi="Times New Roman"/>
          <w:sz w:val="24"/>
        </w:rPr>
      </w:pPr>
      <w:r w:rsidRPr="00D306FE">
        <w:rPr>
          <w:rFonts w:ascii="Times New Roman" w:hAnsi="Times New Roman"/>
          <w:sz w:val="24"/>
        </w:rPr>
        <w:t>Joseph A. McGlothlin</w:t>
      </w:r>
    </w:p>
    <w:p w:rsidR="00D306FE" w:rsidRPr="00D306FE" w:rsidRDefault="00D306FE" w:rsidP="00D306FE">
      <w:pPr>
        <w:widowControl/>
        <w:autoSpaceDE/>
        <w:autoSpaceDN/>
        <w:adjustRightInd/>
        <w:ind w:left="4320" w:firstLine="720"/>
        <w:rPr>
          <w:rFonts w:ascii="Times New Roman" w:hAnsi="Times New Roman"/>
          <w:sz w:val="24"/>
        </w:rPr>
      </w:pPr>
      <w:r w:rsidRPr="00D306FE">
        <w:rPr>
          <w:rFonts w:ascii="Times New Roman" w:hAnsi="Times New Roman"/>
          <w:sz w:val="24"/>
        </w:rPr>
        <w:t>Associate Public Counsel</w:t>
      </w:r>
    </w:p>
    <w:p w:rsidR="00D306FE" w:rsidRPr="00D306FE" w:rsidRDefault="00D306FE" w:rsidP="00D306FE">
      <w:pPr>
        <w:widowControl/>
        <w:autoSpaceDE/>
        <w:autoSpaceDN/>
        <w:adjustRightInd/>
        <w:spacing w:after="200"/>
        <w:rPr>
          <w:rFonts w:ascii="Calibri" w:eastAsia="Calibri" w:hAnsi="Calibri"/>
          <w:sz w:val="22"/>
        </w:rPr>
      </w:pPr>
    </w:p>
    <w:sectPr w:rsidR="00D306FE" w:rsidRPr="00D306FE" w:rsidSect="00344D31">
      <w:footerReference w:type="default" r:id="rId7"/>
      <w:type w:val="continuous"/>
      <w:pgSz w:w="12240" w:h="15840"/>
      <w:pgMar w:top="111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7A" w:rsidRDefault="00DC2B7A" w:rsidP="00BD11E8">
      <w:pPr>
        <w:outlineLvl w:val="0"/>
        <w:rPr>
          <w:rFonts w:ascii="Cambria" w:hAnsi="Cambria"/>
        </w:rPr>
      </w:pPr>
      <w:r>
        <w:rPr>
          <w:rFonts w:ascii="Cambria" w:hAnsi="Cambria"/>
        </w:rPr>
        <w:separator/>
      </w:r>
    </w:p>
  </w:endnote>
  <w:endnote w:type="continuationSeparator" w:id="0">
    <w:p w:rsidR="00DC2B7A" w:rsidRDefault="00DC2B7A" w:rsidP="00BD11E8">
      <w:pPr>
        <w:outlineLvl w:val="0"/>
        <w:rPr>
          <w:rFonts w:ascii="Cambria" w:hAnsi="Cambria"/>
        </w:rPr>
      </w:pPr>
      <w:r>
        <w:rPr>
          <w:rFonts w:ascii="Cambria" w:hAnsi="Cambri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22" w:rsidRPr="007A0368" w:rsidRDefault="008B3956">
    <w:pPr>
      <w:pStyle w:val="Footer"/>
      <w:jc w:val="center"/>
      <w:rPr>
        <w:rFonts w:ascii="Times New Roman" w:hAnsi="Times New Roman"/>
        <w:szCs w:val="20"/>
      </w:rPr>
    </w:pPr>
    <w:r w:rsidRPr="007A0368">
      <w:rPr>
        <w:rFonts w:ascii="Times New Roman" w:hAnsi="Times New Roman"/>
        <w:szCs w:val="20"/>
      </w:rPr>
      <w:fldChar w:fldCharType="begin"/>
    </w:r>
    <w:r w:rsidR="00557E22" w:rsidRPr="007A0368">
      <w:rPr>
        <w:rFonts w:ascii="Times New Roman" w:hAnsi="Times New Roman"/>
        <w:szCs w:val="20"/>
      </w:rPr>
      <w:instrText xml:space="preserve"> PAGE   \* MERGEFORMAT </w:instrText>
    </w:r>
    <w:r w:rsidRPr="007A0368">
      <w:rPr>
        <w:rFonts w:ascii="Times New Roman" w:hAnsi="Times New Roman"/>
        <w:szCs w:val="20"/>
      </w:rPr>
      <w:fldChar w:fldCharType="separate"/>
    </w:r>
    <w:r w:rsidR="0052095A">
      <w:rPr>
        <w:rFonts w:ascii="Times New Roman" w:hAnsi="Times New Roman"/>
        <w:noProof/>
        <w:szCs w:val="20"/>
      </w:rPr>
      <w:t>2</w:t>
    </w:r>
    <w:r w:rsidRPr="007A0368">
      <w:rPr>
        <w:rFonts w:ascii="Times New Roman" w:hAnsi="Times New Roman"/>
        <w:szCs w:val="20"/>
      </w:rPr>
      <w:fldChar w:fldCharType="end"/>
    </w:r>
  </w:p>
  <w:p w:rsidR="00557E22" w:rsidRDefault="00557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7A" w:rsidRDefault="00DC2B7A" w:rsidP="00BD11E8">
      <w:pPr>
        <w:outlineLvl w:val="0"/>
        <w:rPr>
          <w:rFonts w:ascii="Cambria" w:hAnsi="Cambria"/>
        </w:rPr>
      </w:pPr>
      <w:r>
        <w:rPr>
          <w:rFonts w:ascii="Cambria" w:hAnsi="Cambria"/>
        </w:rPr>
        <w:separator/>
      </w:r>
    </w:p>
  </w:footnote>
  <w:footnote w:type="continuationSeparator" w:id="0">
    <w:p w:rsidR="00DC2B7A" w:rsidRDefault="00DC2B7A" w:rsidP="00BD11E8">
      <w:pPr>
        <w:outlineLvl w:val="0"/>
        <w:rPr>
          <w:rFonts w:ascii="Cambria" w:hAnsi="Cambria"/>
        </w:rPr>
      </w:pPr>
      <w:r>
        <w:rPr>
          <w:rFonts w:ascii="Cambria" w:hAnsi="Cambri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C82"/>
    <w:multiLevelType w:val="hybridMultilevel"/>
    <w:tmpl w:val="A8EA8BF6"/>
    <w:lvl w:ilvl="0" w:tplc="F7CC11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A5671D"/>
    <w:multiLevelType w:val="hybridMultilevel"/>
    <w:tmpl w:val="25CA25DC"/>
    <w:lvl w:ilvl="0" w:tplc="0740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F66D7D"/>
    <w:multiLevelType w:val="hybridMultilevel"/>
    <w:tmpl w:val="6CE866CA"/>
    <w:lvl w:ilvl="0" w:tplc="78223D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54DB0"/>
    <w:multiLevelType w:val="hybridMultilevel"/>
    <w:tmpl w:val="28A6D456"/>
    <w:lvl w:ilvl="0" w:tplc="4CA862A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464196F"/>
    <w:multiLevelType w:val="hybridMultilevel"/>
    <w:tmpl w:val="15E2BDD6"/>
    <w:lvl w:ilvl="0" w:tplc="24EE0640">
      <w:start w:val="1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36A047E3"/>
    <w:multiLevelType w:val="hybridMultilevel"/>
    <w:tmpl w:val="8D9281A2"/>
    <w:lvl w:ilvl="0" w:tplc="4D66949C">
      <w:start w:val="2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C664766"/>
    <w:multiLevelType w:val="hybridMultilevel"/>
    <w:tmpl w:val="15C68CFA"/>
    <w:lvl w:ilvl="0" w:tplc="B29EF148">
      <w:start w:val="28"/>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366BDB"/>
    <w:multiLevelType w:val="hybridMultilevel"/>
    <w:tmpl w:val="9F702AD6"/>
    <w:lvl w:ilvl="0" w:tplc="B32C4326">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2F5739D"/>
    <w:multiLevelType w:val="hybridMultilevel"/>
    <w:tmpl w:val="BE5ED3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534B3"/>
    <w:multiLevelType w:val="hybridMultilevel"/>
    <w:tmpl w:val="FEEADB8C"/>
    <w:lvl w:ilvl="0" w:tplc="7A300F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9E7588"/>
    <w:multiLevelType w:val="hybridMultilevel"/>
    <w:tmpl w:val="8CDA25C0"/>
    <w:lvl w:ilvl="0" w:tplc="E52AF8EE">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74831"/>
    <w:multiLevelType w:val="hybridMultilevel"/>
    <w:tmpl w:val="CEBCA5E4"/>
    <w:lvl w:ilvl="0" w:tplc="3700866E">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5340D9"/>
    <w:multiLevelType w:val="hybridMultilevel"/>
    <w:tmpl w:val="E85E0892"/>
    <w:lvl w:ilvl="0" w:tplc="6038C17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A985C51"/>
    <w:multiLevelType w:val="hybridMultilevel"/>
    <w:tmpl w:val="EC7850BE"/>
    <w:lvl w:ilvl="0" w:tplc="14E63F46">
      <w:start w:val="2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CD13640"/>
    <w:multiLevelType w:val="hybridMultilevel"/>
    <w:tmpl w:val="C7ACBE22"/>
    <w:lvl w:ilvl="0" w:tplc="77E046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8"/>
  </w:num>
  <w:num w:numId="4">
    <w:abstractNumId w:val="0"/>
  </w:num>
  <w:num w:numId="5">
    <w:abstractNumId w:val="14"/>
  </w:num>
  <w:num w:numId="6">
    <w:abstractNumId w:val="10"/>
  </w:num>
  <w:num w:numId="7">
    <w:abstractNumId w:val="4"/>
  </w:num>
  <w:num w:numId="8">
    <w:abstractNumId w:val="12"/>
  </w:num>
  <w:num w:numId="9">
    <w:abstractNumId w:val="5"/>
  </w:num>
  <w:num w:numId="10">
    <w:abstractNumId w:val="7"/>
  </w:num>
  <w:num w:numId="11">
    <w:abstractNumId w:val="1"/>
  </w:num>
  <w:num w:numId="12">
    <w:abstractNumId w:val="13"/>
  </w:num>
  <w:num w:numId="13">
    <w:abstractNumId w:val="6"/>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D6AC7"/>
    <w:rsid w:val="0000340A"/>
    <w:rsid w:val="0001182D"/>
    <w:rsid w:val="00013DE9"/>
    <w:rsid w:val="00017949"/>
    <w:rsid w:val="00020BBE"/>
    <w:rsid w:val="00021FB3"/>
    <w:rsid w:val="00024528"/>
    <w:rsid w:val="00025275"/>
    <w:rsid w:val="000259C9"/>
    <w:rsid w:val="00031B77"/>
    <w:rsid w:val="000364C6"/>
    <w:rsid w:val="00036CBF"/>
    <w:rsid w:val="0004037B"/>
    <w:rsid w:val="000418CC"/>
    <w:rsid w:val="00042617"/>
    <w:rsid w:val="000465B0"/>
    <w:rsid w:val="000515A1"/>
    <w:rsid w:val="000524AE"/>
    <w:rsid w:val="000527FF"/>
    <w:rsid w:val="00053B4E"/>
    <w:rsid w:val="000542DC"/>
    <w:rsid w:val="000547FD"/>
    <w:rsid w:val="0005606E"/>
    <w:rsid w:val="000706CC"/>
    <w:rsid w:val="00070C88"/>
    <w:rsid w:val="00073E87"/>
    <w:rsid w:val="0007519B"/>
    <w:rsid w:val="00075B55"/>
    <w:rsid w:val="00082841"/>
    <w:rsid w:val="0008544A"/>
    <w:rsid w:val="0008594C"/>
    <w:rsid w:val="000922F0"/>
    <w:rsid w:val="00095D9D"/>
    <w:rsid w:val="000A37C2"/>
    <w:rsid w:val="000A3A8C"/>
    <w:rsid w:val="000A3FD1"/>
    <w:rsid w:val="000A59C4"/>
    <w:rsid w:val="000B149F"/>
    <w:rsid w:val="000B4E14"/>
    <w:rsid w:val="000B5852"/>
    <w:rsid w:val="000C334E"/>
    <w:rsid w:val="000C3612"/>
    <w:rsid w:val="000C5E0E"/>
    <w:rsid w:val="000C5E68"/>
    <w:rsid w:val="000D092A"/>
    <w:rsid w:val="000D1A04"/>
    <w:rsid w:val="000D7324"/>
    <w:rsid w:val="000E0D5D"/>
    <w:rsid w:val="000E7EB5"/>
    <w:rsid w:val="000F38C7"/>
    <w:rsid w:val="00107D7C"/>
    <w:rsid w:val="00131131"/>
    <w:rsid w:val="001331EE"/>
    <w:rsid w:val="00136AF7"/>
    <w:rsid w:val="00136E55"/>
    <w:rsid w:val="00137989"/>
    <w:rsid w:val="0014145D"/>
    <w:rsid w:val="001416FC"/>
    <w:rsid w:val="00145D37"/>
    <w:rsid w:val="001461F0"/>
    <w:rsid w:val="00146A5F"/>
    <w:rsid w:val="00150F22"/>
    <w:rsid w:val="001536A6"/>
    <w:rsid w:val="00153E2F"/>
    <w:rsid w:val="001543A3"/>
    <w:rsid w:val="0017106B"/>
    <w:rsid w:val="00172B32"/>
    <w:rsid w:val="00185F62"/>
    <w:rsid w:val="00190BE9"/>
    <w:rsid w:val="001B33EB"/>
    <w:rsid w:val="001B4A07"/>
    <w:rsid w:val="001B565A"/>
    <w:rsid w:val="001D3AE6"/>
    <w:rsid w:val="001E0C78"/>
    <w:rsid w:val="001F1075"/>
    <w:rsid w:val="001F20F4"/>
    <w:rsid w:val="001F7595"/>
    <w:rsid w:val="0020153F"/>
    <w:rsid w:val="00203F61"/>
    <w:rsid w:val="00206EE5"/>
    <w:rsid w:val="00210D91"/>
    <w:rsid w:val="00212A75"/>
    <w:rsid w:val="002136D2"/>
    <w:rsid w:val="00216CE7"/>
    <w:rsid w:val="00216DEE"/>
    <w:rsid w:val="002170E0"/>
    <w:rsid w:val="00227723"/>
    <w:rsid w:val="00232530"/>
    <w:rsid w:val="002377EA"/>
    <w:rsid w:val="0024207C"/>
    <w:rsid w:val="00242696"/>
    <w:rsid w:val="002541B7"/>
    <w:rsid w:val="00254648"/>
    <w:rsid w:val="002568E1"/>
    <w:rsid w:val="00274190"/>
    <w:rsid w:val="002753A9"/>
    <w:rsid w:val="002756FB"/>
    <w:rsid w:val="00275B80"/>
    <w:rsid w:val="00280796"/>
    <w:rsid w:val="0028532F"/>
    <w:rsid w:val="00285E69"/>
    <w:rsid w:val="00287685"/>
    <w:rsid w:val="00287F46"/>
    <w:rsid w:val="00293B82"/>
    <w:rsid w:val="002A3A21"/>
    <w:rsid w:val="002A58F6"/>
    <w:rsid w:val="002C11AD"/>
    <w:rsid w:val="002C1405"/>
    <w:rsid w:val="002E374B"/>
    <w:rsid w:val="002E6609"/>
    <w:rsid w:val="002F2B13"/>
    <w:rsid w:val="002F40D3"/>
    <w:rsid w:val="003002A5"/>
    <w:rsid w:val="00306D80"/>
    <w:rsid w:val="0031418D"/>
    <w:rsid w:val="00323B27"/>
    <w:rsid w:val="00324373"/>
    <w:rsid w:val="00324A8C"/>
    <w:rsid w:val="00327762"/>
    <w:rsid w:val="00331BD4"/>
    <w:rsid w:val="00336B35"/>
    <w:rsid w:val="00337351"/>
    <w:rsid w:val="00341A9D"/>
    <w:rsid w:val="003429DF"/>
    <w:rsid w:val="003449AE"/>
    <w:rsid w:val="00344D31"/>
    <w:rsid w:val="00346641"/>
    <w:rsid w:val="00356CFD"/>
    <w:rsid w:val="0036295D"/>
    <w:rsid w:val="00373581"/>
    <w:rsid w:val="00373623"/>
    <w:rsid w:val="00375563"/>
    <w:rsid w:val="003826E0"/>
    <w:rsid w:val="00383C21"/>
    <w:rsid w:val="003849A7"/>
    <w:rsid w:val="0038507A"/>
    <w:rsid w:val="003852BF"/>
    <w:rsid w:val="00395163"/>
    <w:rsid w:val="003952FD"/>
    <w:rsid w:val="00395A1E"/>
    <w:rsid w:val="003A05BB"/>
    <w:rsid w:val="003A20B5"/>
    <w:rsid w:val="003A3268"/>
    <w:rsid w:val="003A3964"/>
    <w:rsid w:val="003A4D65"/>
    <w:rsid w:val="003A61A0"/>
    <w:rsid w:val="003B20A1"/>
    <w:rsid w:val="003B464D"/>
    <w:rsid w:val="003C0830"/>
    <w:rsid w:val="003C2E60"/>
    <w:rsid w:val="003C694E"/>
    <w:rsid w:val="003D05FB"/>
    <w:rsid w:val="003D4169"/>
    <w:rsid w:val="003D6AC7"/>
    <w:rsid w:val="003D762A"/>
    <w:rsid w:val="003D7879"/>
    <w:rsid w:val="003E0DA0"/>
    <w:rsid w:val="003F3271"/>
    <w:rsid w:val="00407F1D"/>
    <w:rsid w:val="0041046F"/>
    <w:rsid w:val="004125C7"/>
    <w:rsid w:val="0042138B"/>
    <w:rsid w:val="004260B4"/>
    <w:rsid w:val="00431DD2"/>
    <w:rsid w:val="00433334"/>
    <w:rsid w:val="00434AD5"/>
    <w:rsid w:val="00440004"/>
    <w:rsid w:val="004442AC"/>
    <w:rsid w:val="004450FA"/>
    <w:rsid w:val="004471A5"/>
    <w:rsid w:val="00453D22"/>
    <w:rsid w:val="004564EC"/>
    <w:rsid w:val="00460037"/>
    <w:rsid w:val="00464136"/>
    <w:rsid w:val="00471DC5"/>
    <w:rsid w:val="00475DBF"/>
    <w:rsid w:val="00481C7C"/>
    <w:rsid w:val="00493DA6"/>
    <w:rsid w:val="004A0495"/>
    <w:rsid w:val="004A08CF"/>
    <w:rsid w:val="004A14A1"/>
    <w:rsid w:val="004A1668"/>
    <w:rsid w:val="004A4594"/>
    <w:rsid w:val="004A5C62"/>
    <w:rsid w:val="004A7BFA"/>
    <w:rsid w:val="004B0BAD"/>
    <w:rsid w:val="004B557A"/>
    <w:rsid w:val="004B67AC"/>
    <w:rsid w:val="004C053D"/>
    <w:rsid w:val="004C4B58"/>
    <w:rsid w:val="004C7BE0"/>
    <w:rsid w:val="004D3462"/>
    <w:rsid w:val="004E1137"/>
    <w:rsid w:val="004E1B64"/>
    <w:rsid w:val="004E423C"/>
    <w:rsid w:val="004F0A30"/>
    <w:rsid w:val="004F11C3"/>
    <w:rsid w:val="004F3269"/>
    <w:rsid w:val="00502C3E"/>
    <w:rsid w:val="005055BB"/>
    <w:rsid w:val="0050605B"/>
    <w:rsid w:val="00507FE6"/>
    <w:rsid w:val="00516CB4"/>
    <w:rsid w:val="0052095A"/>
    <w:rsid w:val="00521AB4"/>
    <w:rsid w:val="00522382"/>
    <w:rsid w:val="0052781F"/>
    <w:rsid w:val="00530354"/>
    <w:rsid w:val="00535951"/>
    <w:rsid w:val="00536A8A"/>
    <w:rsid w:val="00541DD1"/>
    <w:rsid w:val="0054609B"/>
    <w:rsid w:val="0055624B"/>
    <w:rsid w:val="005576B0"/>
    <w:rsid w:val="00557E22"/>
    <w:rsid w:val="0056392B"/>
    <w:rsid w:val="00567174"/>
    <w:rsid w:val="00567A15"/>
    <w:rsid w:val="00571733"/>
    <w:rsid w:val="00573476"/>
    <w:rsid w:val="0057500E"/>
    <w:rsid w:val="00576931"/>
    <w:rsid w:val="00577715"/>
    <w:rsid w:val="0059063C"/>
    <w:rsid w:val="005A0C6D"/>
    <w:rsid w:val="005A18B2"/>
    <w:rsid w:val="005A2D5E"/>
    <w:rsid w:val="005A4EE3"/>
    <w:rsid w:val="005B3D07"/>
    <w:rsid w:val="005B3FC5"/>
    <w:rsid w:val="005D5CC3"/>
    <w:rsid w:val="005D67AE"/>
    <w:rsid w:val="005E2927"/>
    <w:rsid w:val="005E509B"/>
    <w:rsid w:val="005E5EF8"/>
    <w:rsid w:val="0060621C"/>
    <w:rsid w:val="00610547"/>
    <w:rsid w:val="006131DA"/>
    <w:rsid w:val="0061323D"/>
    <w:rsid w:val="006149F0"/>
    <w:rsid w:val="00620F76"/>
    <w:rsid w:val="00623224"/>
    <w:rsid w:val="00623CCE"/>
    <w:rsid w:val="0062594D"/>
    <w:rsid w:val="006346AF"/>
    <w:rsid w:val="00634A1A"/>
    <w:rsid w:val="006356D8"/>
    <w:rsid w:val="00636151"/>
    <w:rsid w:val="00636EB8"/>
    <w:rsid w:val="0064086A"/>
    <w:rsid w:val="006415B4"/>
    <w:rsid w:val="00646BAD"/>
    <w:rsid w:val="006500C4"/>
    <w:rsid w:val="00650CDC"/>
    <w:rsid w:val="0065462B"/>
    <w:rsid w:val="0065565D"/>
    <w:rsid w:val="006566A0"/>
    <w:rsid w:val="00660D71"/>
    <w:rsid w:val="00662DA8"/>
    <w:rsid w:val="00670197"/>
    <w:rsid w:val="00672484"/>
    <w:rsid w:val="0067789F"/>
    <w:rsid w:val="0068343A"/>
    <w:rsid w:val="006843BD"/>
    <w:rsid w:val="006852A5"/>
    <w:rsid w:val="006902CB"/>
    <w:rsid w:val="00691140"/>
    <w:rsid w:val="00697FF7"/>
    <w:rsid w:val="006A632A"/>
    <w:rsid w:val="006A71A2"/>
    <w:rsid w:val="006B1559"/>
    <w:rsid w:val="006B1F88"/>
    <w:rsid w:val="006B3254"/>
    <w:rsid w:val="006C4567"/>
    <w:rsid w:val="006C7F6A"/>
    <w:rsid w:val="006D20DA"/>
    <w:rsid w:val="006D2D65"/>
    <w:rsid w:val="006E13D0"/>
    <w:rsid w:val="006E59FD"/>
    <w:rsid w:val="006E779D"/>
    <w:rsid w:val="006F1DCB"/>
    <w:rsid w:val="00701FBA"/>
    <w:rsid w:val="00702AB6"/>
    <w:rsid w:val="00706184"/>
    <w:rsid w:val="00707A8B"/>
    <w:rsid w:val="00715C0C"/>
    <w:rsid w:val="00721823"/>
    <w:rsid w:val="00725A4A"/>
    <w:rsid w:val="00732FCC"/>
    <w:rsid w:val="00735761"/>
    <w:rsid w:val="007377B9"/>
    <w:rsid w:val="00744D7A"/>
    <w:rsid w:val="00745F97"/>
    <w:rsid w:val="00750DBC"/>
    <w:rsid w:val="00755D39"/>
    <w:rsid w:val="0076785F"/>
    <w:rsid w:val="00771B49"/>
    <w:rsid w:val="007738C7"/>
    <w:rsid w:val="00777C04"/>
    <w:rsid w:val="00785351"/>
    <w:rsid w:val="00787617"/>
    <w:rsid w:val="00790DA5"/>
    <w:rsid w:val="007945BF"/>
    <w:rsid w:val="00795975"/>
    <w:rsid w:val="00795B8D"/>
    <w:rsid w:val="007971A3"/>
    <w:rsid w:val="007A0368"/>
    <w:rsid w:val="007A096E"/>
    <w:rsid w:val="007A0E63"/>
    <w:rsid w:val="007A2FA1"/>
    <w:rsid w:val="007B221B"/>
    <w:rsid w:val="007B2294"/>
    <w:rsid w:val="007B41B9"/>
    <w:rsid w:val="007B6954"/>
    <w:rsid w:val="007C2054"/>
    <w:rsid w:val="007D02A9"/>
    <w:rsid w:val="007D0352"/>
    <w:rsid w:val="007E1B10"/>
    <w:rsid w:val="007F147B"/>
    <w:rsid w:val="007F1733"/>
    <w:rsid w:val="00800ACF"/>
    <w:rsid w:val="008012FF"/>
    <w:rsid w:val="00804C89"/>
    <w:rsid w:val="00806CCC"/>
    <w:rsid w:val="00812D9C"/>
    <w:rsid w:val="008147BE"/>
    <w:rsid w:val="0082107E"/>
    <w:rsid w:val="0082225B"/>
    <w:rsid w:val="00823CF4"/>
    <w:rsid w:val="00825C25"/>
    <w:rsid w:val="00830EA0"/>
    <w:rsid w:val="008330BC"/>
    <w:rsid w:val="008350E3"/>
    <w:rsid w:val="00835270"/>
    <w:rsid w:val="00837337"/>
    <w:rsid w:val="00837753"/>
    <w:rsid w:val="00844ED3"/>
    <w:rsid w:val="008519D9"/>
    <w:rsid w:val="0085240E"/>
    <w:rsid w:val="00864F13"/>
    <w:rsid w:val="0087160C"/>
    <w:rsid w:val="00873120"/>
    <w:rsid w:val="00873B00"/>
    <w:rsid w:val="00873B04"/>
    <w:rsid w:val="00886FCA"/>
    <w:rsid w:val="00893BC5"/>
    <w:rsid w:val="00895824"/>
    <w:rsid w:val="008A03B1"/>
    <w:rsid w:val="008A535C"/>
    <w:rsid w:val="008A6E56"/>
    <w:rsid w:val="008B3956"/>
    <w:rsid w:val="008B6B3A"/>
    <w:rsid w:val="008C04AA"/>
    <w:rsid w:val="008C16E3"/>
    <w:rsid w:val="008D63C5"/>
    <w:rsid w:val="008E0311"/>
    <w:rsid w:val="008E399D"/>
    <w:rsid w:val="008E73ED"/>
    <w:rsid w:val="008E7FB2"/>
    <w:rsid w:val="008F7CA6"/>
    <w:rsid w:val="009019B9"/>
    <w:rsid w:val="00901F52"/>
    <w:rsid w:val="00902952"/>
    <w:rsid w:val="00903A48"/>
    <w:rsid w:val="0090712C"/>
    <w:rsid w:val="00916E61"/>
    <w:rsid w:val="00920109"/>
    <w:rsid w:val="00920A06"/>
    <w:rsid w:val="009273C5"/>
    <w:rsid w:val="00936458"/>
    <w:rsid w:val="009416F8"/>
    <w:rsid w:val="00947DE6"/>
    <w:rsid w:val="00953201"/>
    <w:rsid w:val="00961F1E"/>
    <w:rsid w:val="009649D8"/>
    <w:rsid w:val="00964C49"/>
    <w:rsid w:val="00970685"/>
    <w:rsid w:val="009738F6"/>
    <w:rsid w:val="00975C4A"/>
    <w:rsid w:val="0098120A"/>
    <w:rsid w:val="00984D7F"/>
    <w:rsid w:val="00990411"/>
    <w:rsid w:val="0099208B"/>
    <w:rsid w:val="0099222F"/>
    <w:rsid w:val="00993D81"/>
    <w:rsid w:val="00995AF9"/>
    <w:rsid w:val="009A29D3"/>
    <w:rsid w:val="009A2F5E"/>
    <w:rsid w:val="009A3931"/>
    <w:rsid w:val="009A541D"/>
    <w:rsid w:val="009A64C7"/>
    <w:rsid w:val="009A7022"/>
    <w:rsid w:val="009A73C5"/>
    <w:rsid w:val="009A7B34"/>
    <w:rsid w:val="009A7E7E"/>
    <w:rsid w:val="009C1164"/>
    <w:rsid w:val="009C4C89"/>
    <w:rsid w:val="009D47BA"/>
    <w:rsid w:val="009D4C86"/>
    <w:rsid w:val="009D4F05"/>
    <w:rsid w:val="009D7510"/>
    <w:rsid w:val="009F1A14"/>
    <w:rsid w:val="009F71CA"/>
    <w:rsid w:val="00A00AED"/>
    <w:rsid w:val="00A00BDD"/>
    <w:rsid w:val="00A027E8"/>
    <w:rsid w:val="00A04EDD"/>
    <w:rsid w:val="00A06A77"/>
    <w:rsid w:val="00A1044A"/>
    <w:rsid w:val="00A11DB3"/>
    <w:rsid w:val="00A124B3"/>
    <w:rsid w:val="00A15A2E"/>
    <w:rsid w:val="00A1785C"/>
    <w:rsid w:val="00A17FEF"/>
    <w:rsid w:val="00A218AF"/>
    <w:rsid w:val="00A25231"/>
    <w:rsid w:val="00A26810"/>
    <w:rsid w:val="00A3692F"/>
    <w:rsid w:val="00A40BE9"/>
    <w:rsid w:val="00A426D0"/>
    <w:rsid w:val="00A4302D"/>
    <w:rsid w:val="00A508DD"/>
    <w:rsid w:val="00A50C33"/>
    <w:rsid w:val="00A52F41"/>
    <w:rsid w:val="00A55CFB"/>
    <w:rsid w:val="00A61128"/>
    <w:rsid w:val="00A62B44"/>
    <w:rsid w:val="00A635ED"/>
    <w:rsid w:val="00A66DEF"/>
    <w:rsid w:val="00A73229"/>
    <w:rsid w:val="00A80E1C"/>
    <w:rsid w:val="00A844C9"/>
    <w:rsid w:val="00A90640"/>
    <w:rsid w:val="00A91D32"/>
    <w:rsid w:val="00A96AB5"/>
    <w:rsid w:val="00A97F64"/>
    <w:rsid w:val="00AA3A84"/>
    <w:rsid w:val="00AA3F16"/>
    <w:rsid w:val="00AB54F8"/>
    <w:rsid w:val="00AB5B50"/>
    <w:rsid w:val="00AB6B7E"/>
    <w:rsid w:val="00AB6FA4"/>
    <w:rsid w:val="00AC01EA"/>
    <w:rsid w:val="00AC45AD"/>
    <w:rsid w:val="00AC4EC3"/>
    <w:rsid w:val="00AC6207"/>
    <w:rsid w:val="00AE2FBF"/>
    <w:rsid w:val="00AE6128"/>
    <w:rsid w:val="00AF0F80"/>
    <w:rsid w:val="00AF5C6D"/>
    <w:rsid w:val="00AF6136"/>
    <w:rsid w:val="00AF7156"/>
    <w:rsid w:val="00B02D3D"/>
    <w:rsid w:val="00B04258"/>
    <w:rsid w:val="00B07A3E"/>
    <w:rsid w:val="00B13C96"/>
    <w:rsid w:val="00B143A1"/>
    <w:rsid w:val="00B166A8"/>
    <w:rsid w:val="00B20753"/>
    <w:rsid w:val="00B2105B"/>
    <w:rsid w:val="00B25908"/>
    <w:rsid w:val="00B26582"/>
    <w:rsid w:val="00B27926"/>
    <w:rsid w:val="00B421CD"/>
    <w:rsid w:val="00B52458"/>
    <w:rsid w:val="00B52529"/>
    <w:rsid w:val="00B551E7"/>
    <w:rsid w:val="00B57842"/>
    <w:rsid w:val="00B620BB"/>
    <w:rsid w:val="00B65D32"/>
    <w:rsid w:val="00B73F9A"/>
    <w:rsid w:val="00B817AF"/>
    <w:rsid w:val="00B823E9"/>
    <w:rsid w:val="00B83945"/>
    <w:rsid w:val="00B83E43"/>
    <w:rsid w:val="00B85C0E"/>
    <w:rsid w:val="00B933F3"/>
    <w:rsid w:val="00B93E3F"/>
    <w:rsid w:val="00B958F1"/>
    <w:rsid w:val="00B977E9"/>
    <w:rsid w:val="00BA5999"/>
    <w:rsid w:val="00BA653B"/>
    <w:rsid w:val="00BB0749"/>
    <w:rsid w:val="00BB22AC"/>
    <w:rsid w:val="00BC2D9E"/>
    <w:rsid w:val="00BC35D1"/>
    <w:rsid w:val="00BC3CAC"/>
    <w:rsid w:val="00BC7C7A"/>
    <w:rsid w:val="00BD118B"/>
    <w:rsid w:val="00BD11E8"/>
    <w:rsid w:val="00BD6053"/>
    <w:rsid w:val="00BF02ED"/>
    <w:rsid w:val="00BF4F82"/>
    <w:rsid w:val="00BF53F4"/>
    <w:rsid w:val="00BF6369"/>
    <w:rsid w:val="00BF6E0E"/>
    <w:rsid w:val="00C0027C"/>
    <w:rsid w:val="00C02F39"/>
    <w:rsid w:val="00C055CC"/>
    <w:rsid w:val="00C062B9"/>
    <w:rsid w:val="00C075D0"/>
    <w:rsid w:val="00C10A48"/>
    <w:rsid w:val="00C1443D"/>
    <w:rsid w:val="00C14767"/>
    <w:rsid w:val="00C201CD"/>
    <w:rsid w:val="00C21149"/>
    <w:rsid w:val="00C2235F"/>
    <w:rsid w:val="00C22464"/>
    <w:rsid w:val="00C2307C"/>
    <w:rsid w:val="00C250E5"/>
    <w:rsid w:val="00C26875"/>
    <w:rsid w:val="00C300FD"/>
    <w:rsid w:val="00C3078C"/>
    <w:rsid w:val="00C36E5C"/>
    <w:rsid w:val="00C36EA0"/>
    <w:rsid w:val="00C3750D"/>
    <w:rsid w:val="00C37FD2"/>
    <w:rsid w:val="00C41BDD"/>
    <w:rsid w:val="00C45C55"/>
    <w:rsid w:val="00C464B2"/>
    <w:rsid w:val="00C4652C"/>
    <w:rsid w:val="00C509B1"/>
    <w:rsid w:val="00C537C9"/>
    <w:rsid w:val="00C56CE5"/>
    <w:rsid w:val="00C60D43"/>
    <w:rsid w:val="00C61032"/>
    <w:rsid w:val="00C67A66"/>
    <w:rsid w:val="00C7035B"/>
    <w:rsid w:val="00C711C8"/>
    <w:rsid w:val="00C73A27"/>
    <w:rsid w:val="00C76985"/>
    <w:rsid w:val="00C80D8F"/>
    <w:rsid w:val="00C90BE9"/>
    <w:rsid w:val="00C936EA"/>
    <w:rsid w:val="00C93BEE"/>
    <w:rsid w:val="00CA1D81"/>
    <w:rsid w:val="00CB1694"/>
    <w:rsid w:val="00CB2FF9"/>
    <w:rsid w:val="00CB5294"/>
    <w:rsid w:val="00CB5B99"/>
    <w:rsid w:val="00CB6C81"/>
    <w:rsid w:val="00CC0C2F"/>
    <w:rsid w:val="00CC163C"/>
    <w:rsid w:val="00CC1F45"/>
    <w:rsid w:val="00CC244C"/>
    <w:rsid w:val="00CD0D60"/>
    <w:rsid w:val="00CF7DB7"/>
    <w:rsid w:val="00D01EE1"/>
    <w:rsid w:val="00D05F08"/>
    <w:rsid w:val="00D060F6"/>
    <w:rsid w:val="00D13402"/>
    <w:rsid w:val="00D1340B"/>
    <w:rsid w:val="00D135DD"/>
    <w:rsid w:val="00D17703"/>
    <w:rsid w:val="00D27212"/>
    <w:rsid w:val="00D306FE"/>
    <w:rsid w:val="00D30F44"/>
    <w:rsid w:val="00D33ACE"/>
    <w:rsid w:val="00D34EAF"/>
    <w:rsid w:val="00D3575D"/>
    <w:rsid w:val="00D40B4F"/>
    <w:rsid w:val="00D424EE"/>
    <w:rsid w:val="00D43795"/>
    <w:rsid w:val="00D45376"/>
    <w:rsid w:val="00D46563"/>
    <w:rsid w:val="00D47284"/>
    <w:rsid w:val="00D4766F"/>
    <w:rsid w:val="00D5389A"/>
    <w:rsid w:val="00D57CDE"/>
    <w:rsid w:val="00D57EB1"/>
    <w:rsid w:val="00D67DA1"/>
    <w:rsid w:val="00D73416"/>
    <w:rsid w:val="00D73577"/>
    <w:rsid w:val="00D73C49"/>
    <w:rsid w:val="00D7430E"/>
    <w:rsid w:val="00D75911"/>
    <w:rsid w:val="00D80701"/>
    <w:rsid w:val="00D86223"/>
    <w:rsid w:val="00D94424"/>
    <w:rsid w:val="00DA497F"/>
    <w:rsid w:val="00DA4A46"/>
    <w:rsid w:val="00DA6C40"/>
    <w:rsid w:val="00DB0D63"/>
    <w:rsid w:val="00DB2A46"/>
    <w:rsid w:val="00DB587D"/>
    <w:rsid w:val="00DB6CF2"/>
    <w:rsid w:val="00DC01FD"/>
    <w:rsid w:val="00DC2B7A"/>
    <w:rsid w:val="00DC2D8E"/>
    <w:rsid w:val="00DC4189"/>
    <w:rsid w:val="00DC6925"/>
    <w:rsid w:val="00DD4EA9"/>
    <w:rsid w:val="00DF1238"/>
    <w:rsid w:val="00DF2C8B"/>
    <w:rsid w:val="00DF4CB7"/>
    <w:rsid w:val="00DF54AD"/>
    <w:rsid w:val="00E005FB"/>
    <w:rsid w:val="00E0391C"/>
    <w:rsid w:val="00E047CF"/>
    <w:rsid w:val="00E06974"/>
    <w:rsid w:val="00E14BC4"/>
    <w:rsid w:val="00E20493"/>
    <w:rsid w:val="00E209E1"/>
    <w:rsid w:val="00E21BB8"/>
    <w:rsid w:val="00E24388"/>
    <w:rsid w:val="00E37D52"/>
    <w:rsid w:val="00E41537"/>
    <w:rsid w:val="00E447D8"/>
    <w:rsid w:val="00E50074"/>
    <w:rsid w:val="00E53420"/>
    <w:rsid w:val="00E571A9"/>
    <w:rsid w:val="00E610EF"/>
    <w:rsid w:val="00E67B21"/>
    <w:rsid w:val="00E70079"/>
    <w:rsid w:val="00E74385"/>
    <w:rsid w:val="00E856C8"/>
    <w:rsid w:val="00E86F99"/>
    <w:rsid w:val="00E93017"/>
    <w:rsid w:val="00EA1F2B"/>
    <w:rsid w:val="00EB2A24"/>
    <w:rsid w:val="00EC0E3E"/>
    <w:rsid w:val="00EC21EA"/>
    <w:rsid w:val="00EC3D3B"/>
    <w:rsid w:val="00EC6159"/>
    <w:rsid w:val="00EC685C"/>
    <w:rsid w:val="00ED08FE"/>
    <w:rsid w:val="00ED12FE"/>
    <w:rsid w:val="00ED49FA"/>
    <w:rsid w:val="00ED7D4C"/>
    <w:rsid w:val="00EE3212"/>
    <w:rsid w:val="00EE55DE"/>
    <w:rsid w:val="00EE5694"/>
    <w:rsid w:val="00EF04D2"/>
    <w:rsid w:val="00EF0E5B"/>
    <w:rsid w:val="00EF7206"/>
    <w:rsid w:val="00EF7C46"/>
    <w:rsid w:val="00F007C8"/>
    <w:rsid w:val="00F01CDD"/>
    <w:rsid w:val="00F04962"/>
    <w:rsid w:val="00F10D7D"/>
    <w:rsid w:val="00F1515E"/>
    <w:rsid w:val="00F20819"/>
    <w:rsid w:val="00F22AF2"/>
    <w:rsid w:val="00F24FC7"/>
    <w:rsid w:val="00F32C19"/>
    <w:rsid w:val="00F4668A"/>
    <w:rsid w:val="00F4706A"/>
    <w:rsid w:val="00F47601"/>
    <w:rsid w:val="00F53A8C"/>
    <w:rsid w:val="00F60916"/>
    <w:rsid w:val="00F6133D"/>
    <w:rsid w:val="00F6537B"/>
    <w:rsid w:val="00F74AAF"/>
    <w:rsid w:val="00F81629"/>
    <w:rsid w:val="00FA00B2"/>
    <w:rsid w:val="00FA0A1C"/>
    <w:rsid w:val="00FA34B5"/>
    <w:rsid w:val="00FB30FB"/>
    <w:rsid w:val="00FB3734"/>
    <w:rsid w:val="00FB6FFB"/>
    <w:rsid w:val="00FB7E73"/>
    <w:rsid w:val="00FC3009"/>
    <w:rsid w:val="00FC39E0"/>
    <w:rsid w:val="00FC3FCB"/>
    <w:rsid w:val="00FC5E91"/>
    <w:rsid w:val="00FC69D8"/>
    <w:rsid w:val="00FD1575"/>
    <w:rsid w:val="00FD160C"/>
    <w:rsid w:val="00FD3C39"/>
    <w:rsid w:val="00FD4FA3"/>
    <w:rsid w:val="00FD555D"/>
    <w:rsid w:val="00FD60C6"/>
    <w:rsid w:val="00FD7362"/>
    <w:rsid w:val="00FD7739"/>
    <w:rsid w:val="00FE0E04"/>
    <w:rsid w:val="00FE1D8A"/>
    <w:rsid w:val="00FE333F"/>
    <w:rsid w:val="00FE3C6A"/>
    <w:rsid w:val="00FE49AD"/>
    <w:rsid w:val="00FE5947"/>
    <w:rsid w:val="00FE7751"/>
    <w:rsid w:val="00FF2A98"/>
    <w:rsid w:val="00FF64E5"/>
    <w:rsid w:val="00FF6B0C"/>
    <w:rsid w:val="00FF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C7"/>
    <w:pPr>
      <w:widowControl w:val="0"/>
      <w:autoSpaceDE w:val="0"/>
      <w:autoSpaceDN w:val="0"/>
      <w:adjustRightInd w:val="0"/>
    </w:pPr>
    <w:rPr>
      <w:rFonts w:ascii="Arial" w:eastAsia="Times New Roman" w:hAnsi="Arial"/>
      <w:szCs w:val="24"/>
    </w:rPr>
  </w:style>
  <w:style w:type="paragraph" w:styleId="Heading1">
    <w:name w:val="heading 1"/>
    <w:basedOn w:val="Normal"/>
    <w:next w:val="Normal"/>
    <w:link w:val="Heading1Char"/>
    <w:uiPriority w:val="9"/>
    <w:qFormat/>
    <w:rsid w:val="004B0B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D6AC7"/>
    <w:pPr>
      <w:keepNext/>
      <w:outlineLvl w:val="1"/>
    </w:pPr>
  </w:style>
  <w:style w:type="paragraph" w:styleId="Heading3">
    <w:name w:val="heading 3"/>
    <w:basedOn w:val="Normal"/>
    <w:next w:val="Normal"/>
    <w:link w:val="Heading3Char"/>
    <w:qFormat/>
    <w:rsid w:val="003D6AC7"/>
    <w:pPr>
      <w:keepNext/>
      <w:tabs>
        <w:tab w:val="left" w:pos="720"/>
        <w:tab w:val="left" w:pos="3600"/>
        <w:tab w:val="left" w:pos="3690"/>
        <w:tab w:val="center" w:pos="4680"/>
        <w:tab w:val="left" w:pos="5760"/>
      </w:tabs>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AC7"/>
    <w:rPr>
      <w:rFonts w:ascii="Arial" w:eastAsia="Times New Roman" w:hAnsi="Arial" w:cs="Times New Roman"/>
      <w:sz w:val="20"/>
    </w:rPr>
  </w:style>
  <w:style w:type="character" w:customStyle="1" w:styleId="Heading3Char">
    <w:name w:val="Heading 3 Char"/>
    <w:basedOn w:val="DefaultParagraphFont"/>
    <w:link w:val="Heading3"/>
    <w:rsid w:val="003D6AC7"/>
    <w:rPr>
      <w:rFonts w:ascii="Arial" w:eastAsia="Times New Roman" w:hAnsi="Arial" w:cs="Times New Roman"/>
      <w:sz w:val="28"/>
      <w:szCs w:val="28"/>
    </w:rPr>
  </w:style>
  <w:style w:type="paragraph" w:styleId="Footer">
    <w:name w:val="footer"/>
    <w:basedOn w:val="Normal"/>
    <w:link w:val="FooterChar"/>
    <w:unhideWhenUsed/>
    <w:rsid w:val="003D6AC7"/>
    <w:pPr>
      <w:tabs>
        <w:tab w:val="center" w:pos="4680"/>
        <w:tab w:val="right" w:pos="9360"/>
      </w:tabs>
    </w:pPr>
  </w:style>
  <w:style w:type="character" w:customStyle="1" w:styleId="FooterChar">
    <w:name w:val="Footer Char"/>
    <w:basedOn w:val="DefaultParagraphFont"/>
    <w:link w:val="Footer"/>
    <w:uiPriority w:val="99"/>
    <w:rsid w:val="003D6AC7"/>
    <w:rPr>
      <w:rFonts w:ascii="Arial" w:eastAsia="Times New Roman" w:hAnsi="Arial" w:cs="Times New Roman"/>
      <w:sz w:val="20"/>
    </w:rPr>
  </w:style>
  <w:style w:type="paragraph" w:customStyle="1" w:styleId="OrderBody">
    <w:name w:val="Order Body"/>
    <w:basedOn w:val="Normal"/>
    <w:link w:val="OrderBodyChar"/>
    <w:rsid w:val="00AF6136"/>
    <w:pPr>
      <w:widowControl/>
      <w:autoSpaceDE/>
      <w:autoSpaceDN/>
      <w:adjustRightInd/>
      <w:jc w:val="both"/>
    </w:pPr>
    <w:rPr>
      <w:rFonts w:ascii="Times New Roman" w:hAnsi="Times New Roman"/>
      <w:sz w:val="24"/>
    </w:rPr>
  </w:style>
  <w:style w:type="character" w:customStyle="1" w:styleId="OrderBodyChar">
    <w:name w:val="Order Body Char"/>
    <w:basedOn w:val="DefaultParagraphFont"/>
    <w:link w:val="OrderBody"/>
    <w:rsid w:val="00AF6136"/>
    <w:rPr>
      <w:rFonts w:eastAsia="Times New Roman"/>
      <w:sz w:val="24"/>
      <w:szCs w:val="24"/>
    </w:rPr>
  </w:style>
  <w:style w:type="character" w:styleId="PageNumber">
    <w:name w:val="page number"/>
    <w:basedOn w:val="DefaultParagraphFont"/>
    <w:rsid w:val="00755D39"/>
  </w:style>
  <w:style w:type="paragraph" w:styleId="Header">
    <w:name w:val="header"/>
    <w:basedOn w:val="Normal"/>
    <w:link w:val="HeaderChar"/>
    <w:unhideWhenUsed/>
    <w:rsid w:val="00FC39E0"/>
    <w:pPr>
      <w:tabs>
        <w:tab w:val="center" w:pos="4680"/>
        <w:tab w:val="right" w:pos="9360"/>
      </w:tabs>
    </w:pPr>
  </w:style>
  <w:style w:type="character" w:customStyle="1" w:styleId="HeaderChar">
    <w:name w:val="Header Char"/>
    <w:basedOn w:val="DefaultParagraphFont"/>
    <w:link w:val="Header"/>
    <w:uiPriority w:val="99"/>
    <w:semiHidden/>
    <w:rsid w:val="00FC39E0"/>
    <w:rPr>
      <w:rFonts w:ascii="Arial" w:eastAsia="Times New Roman" w:hAnsi="Arial"/>
      <w:szCs w:val="24"/>
    </w:rPr>
  </w:style>
  <w:style w:type="paragraph" w:styleId="BodyTextIndent2">
    <w:name w:val="Body Text Indent 2"/>
    <w:basedOn w:val="Normal"/>
    <w:link w:val="BodyTextIndent2Char"/>
    <w:rsid w:val="00B52458"/>
    <w:pPr>
      <w:spacing w:line="360" w:lineRule="auto"/>
      <w:ind w:left="720"/>
      <w:jc w:val="both"/>
    </w:pPr>
    <w:rPr>
      <w:rFonts w:ascii="Times New Roman" w:hAnsi="Times New Roman"/>
      <w:sz w:val="24"/>
    </w:rPr>
  </w:style>
  <w:style w:type="character" w:customStyle="1" w:styleId="BodyTextIndent2Char">
    <w:name w:val="Body Text Indent 2 Char"/>
    <w:basedOn w:val="DefaultParagraphFont"/>
    <w:link w:val="BodyTextIndent2"/>
    <w:rsid w:val="00B52458"/>
    <w:rPr>
      <w:rFonts w:eastAsia="Times New Roman"/>
      <w:sz w:val="24"/>
      <w:szCs w:val="24"/>
    </w:rPr>
  </w:style>
  <w:style w:type="paragraph" w:styleId="ListParagraph">
    <w:name w:val="List Paragraph"/>
    <w:basedOn w:val="Normal"/>
    <w:qFormat/>
    <w:rsid w:val="004B0BAD"/>
    <w:pPr>
      <w:widowControl/>
      <w:autoSpaceDE/>
      <w:autoSpaceDN/>
      <w:adjustRightInd/>
      <w:ind w:left="720"/>
    </w:pPr>
    <w:rPr>
      <w:rFonts w:ascii="Times New Roman" w:hAnsi="Times New Roman"/>
      <w:sz w:val="24"/>
    </w:rPr>
  </w:style>
  <w:style w:type="paragraph" w:styleId="BodyText">
    <w:name w:val="Body Text"/>
    <w:aliases w:val="s1"/>
    <w:basedOn w:val="Normal"/>
    <w:link w:val="BodyTextChar"/>
    <w:unhideWhenUsed/>
    <w:rsid w:val="004B0BAD"/>
    <w:pPr>
      <w:spacing w:after="120"/>
    </w:pPr>
  </w:style>
  <w:style w:type="character" w:customStyle="1" w:styleId="BodyTextChar">
    <w:name w:val="Body Text Char"/>
    <w:aliases w:val="s1 Char"/>
    <w:basedOn w:val="DefaultParagraphFont"/>
    <w:link w:val="BodyText"/>
    <w:rsid w:val="004B0BAD"/>
    <w:rPr>
      <w:rFonts w:ascii="Arial" w:eastAsia="Times New Roman" w:hAnsi="Arial"/>
      <w:szCs w:val="24"/>
    </w:rPr>
  </w:style>
  <w:style w:type="paragraph" w:customStyle="1" w:styleId="IssueHeading">
    <w:name w:val="Issue Heading"/>
    <w:basedOn w:val="Heading1"/>
    <w:next w:val="BodyText"/>
    <w:link w:val="IssueHeadingChar"/>
    <w:rsid w:val="004B0BAD"/>
    <w:pPr>
      <w:keepNext w:val="0"/>
      <w:widowControl/>
      <w:autoSpaceDE/>
      <w:autoSpaceDN/>
      <w:adjustRightInd/>
      <w:spacing w:before="0" w:after="240"/>
      <w:jc w:val="both"/>
    </w:pPr>
    <w:rPr>
      <w:rFonts w:ascii="Times New Roman" w:hAnsi="Times New Roman" w:cs="Arial"/>
      <w:b w:val="0"/>
      <w:sz w:val="24"/>
    </w:rPr>
  </w:style>
  <w:style w:type="character" w:customStyle="1" w:styleId="IssueHeadingChar">
    <w:name w:val="Issue Heading Char"/>
    <w:basedOn w:val="DefaultParagraphFont"/>
    <w:link w:val="IssueHeading"/>
    <w:rsid w:val="004B0BAD"/>
    <w:rPr>
      <w:rFonts w:eastAsia="Times New Roman" w:cs="Arial"/>
      <w:bCs/>
      <w:kern w:val="32"/>
      <w:sz w:val="24"/>
      <w:szCs w:val="32"/>
    </w:rPr>
  </w:style>
  <w:style w:type="character" w:customStyle="1" w:styleId="Heading1Char">
    <w:name w:val="Heading 1 Char"/>
    <w:basedOn w:val="DefaultParagraphFont"/>
    <w:link w:val="Heading1"/>
    <w:uiPriority w:val="9"/>
    <w:rsid w:val="004B0BAD"/>
    <w:rPr>
      <w:rFonts w:ascii="Cambria" w:eastAsia="Times New Roman" w:hAnsi="Cambria" w:cs="Times New Roman"/>
      <w:b/>
      <w:bCs/>
      <w:kern w:val="32"/>
      <w:sz w:val="32"/>
      <w:szCs w:val="32"/>
    </w:rPr>
  </w:style>
  <w:style w:type="paragraph" w:styleId="BalloonText">
    <w:name w:val="Balloon Text"/>
    <w:basedOn w:val="Normal"/>
    <w:link w:val="BalloonTextChar"/>
    <w:semiHidden/>
    <w:unhideWhenUsed/>
    <w:rsid w:val="006A632A"/>
    <w:rPr>
      <w:rFonts w:ascii="Tahoma" w:hAnsi="Tahoma" w:cs="Tahoma"/>
      <w:sz w:val="16"/>
      <w:szCs w:val="16"/>
    </w:rPr>
  </w:style>
  <w:style w:type="character" w:customStyle="1" w:styleId="BalloonTextChar">
    <w:name w:val="Balloon Text Char"/>
    <w:basedOn w:val="DefaultParagraphFont"/>
    <w:link w:val="BalloonText"/>
    <w:uiPriority w:val="99"/>
    <w:semiHidden/>
    <w:rsid w:val="006A63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D3462"/>
    <w:rPr>
      <w:sz w:val="16"/>
      <w:szCs w:val="16"/>
    </w:rPr>
  </w:style>
  <w:style w:type="paragraph" w:styleId="CommentText">
    <w:name w:val="annotation text"/>
    <w:basedOn w:val="Normal"/>
    <w:link w:val="CommentTextChar"/>
    <w:uiPriority w:val="99"/>
    <w:semiHidden/>
    <w:unhideWhenUsed/>
    <w:rsid w:val="004D3462"/>
    <w:rPr>
      <w:szCs w:val="20"/>
    </w:rPr>
  </w:style>
  <w:style w:type="character" w:customStyle="1" w:styleId="CommentTextChar">
    <w:name w:val="Comment Text Char"/>
    <w:basedOn w:val="DefaultParagraphFont"/>
    <w:link w:val="CommentText"/>
    <w:uiPriority w:val="99"/>
    <w:semiHidden/>
    <w:rsid w:val="004D3462"/>
    <w:rPr>
      <w:rFonts w:ascii="Arial" w:eastAsia="Times New Roman" w:hAnsi="Arial"/>
    </w:rPr>
  </w:style>
  <w:style w:type="paragraph" w:styleId="FootnoteText">
    <w:name w:val="footnote text"/>
    <w:basedOn w:val="Normal"/>
    <w:link w:val="FootnoteTextChar"/>
    <w:uiPriority w:val="99"/>
    <w:semiHidden/>
    <w:unhideWhenUsed/>
    <w:rsid w:val="004D3462"/>
    <w:rPr>
      <w:szCs w:val="20"/>
    </w:rPr>
  </w:style>
  <w:style w:type="character" w:customStyle="1" w:styleId="FootnoteTextChar">
    <w:name w:val="Footnote Text Char"/>
    <w:basedOn w:val="DefaultParagraphFont"/>
    <w:link w:val="FootnoteText"/>
    <w:uiPriority w:val="99"/>
    <w:semiHidden/>
    <w:rsid w:val="004D3462"/>
    <w:rPr>
      <w:rFonts w:ascii="Arial" w:eastAsia="Times New Roman" w:hAnsi="Arial"/>
    </w:rPr>
  </w:style>
  <w:style w:type="character" w:styleId="FootnoteReference">
    <w:name w:val="footnote reference"/>
    <w:basedOn w:val="DefaultParagraphFont"/>
    <w:unhideWhenUsed/>
    <w:rsid w:val="004D3462"/>
    <w:rPr>
      <w:vertAlign w:val="superscript"/>
    </w:rPr>
  </w:style>
  <w:style w:type="table" w:styleId="TableGrid">
    <w:name w:val="Table Grid"/>
    <w:basedOn w:val="TableNormal"/>
    <w:uiPriority w:val="59"/>
    <w:rsid w:val="00D80701"/>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link w:val="TITLEChar"/>
    <w:qFormat/>
    <w:rsid w:val="00275B80"/>
    <w:pPr>
      <w:widowControl/>
      <w:autoSpaceDE/>
      <w:autoSpaceDN/>
      <w:adjustRightInd/>
      <w:spacing w:after="200"/>
      <w:contextualSpacing/>
      <w:jc w:val="center"/>
      <w:outlineLvl w:val="0"/>
    </w:pPr>
    <w:rPr>
      <w:rFonts w:ascii="Times New Roman" w:eastAsia="Calibri" w:hAnsi="Times New Roman"/>
      <w:bCs/>
      <w:sz w:val="24"/>
    </w:rPr>
  </w:style>
  <w:style w:type="character" w:customStyle="1" w:styleId="TITLEChar">
    <w:name w:val="TITLE Char"/>
    <w:basedOn w:val="DefaultParagraphFont"/>
    <w:link w:val="Title1"/>
    <w:rsid w:val="00275B80"/>
    <w:rPr>
      <w:bCs/>
      <w:sz w:val="24"/>
      <w:szCs w:val="24"/>
    </w:rPr>
  </w:style>
  <w:style w:type="paragraph" w:styleId="CommentSubject">
    <w:name w:val="annotation subject"/>
    <w:basedOn w:val="CommentText"/>
    <w:next w:val="CommentText"/>
    <w:link w:val="CommentSubjectChar"/>
    <w:uiPriority w:val="99"/>
    <w:semiHidden/>
    <w:unhideWhenUsed/>
    <w:rsid w:val="00522382"/>
    <w:rPr>
      <w:b/>
      <w:bCs/>
    </w:rPr>
  </w:style>
  <w:style w:type="character" w:customStyle="1" w:styleId="CommentSubjectChar">
    <w:name w:val="Comment Subject Char"/>
    <w:basedOn w:val="CommentTextChar"/>
    <w:link w:val="CommentSubject"/>
    <w:uiPriority w:val="99"/>
    <w:semiHidden/>
    <w:rsid w:val="00522382"/>
    <w:rPr>
      <w:b/>
      <w:bCs/>
    </w:rPr>
  </w:style>
  <w:style w:type="paragraph" w:styleId="Revision">
    <w:name w:val="Revision"/>
    <w:hidden/>
    <w:uiPriority w:val="99"/>
    <w:semiHidden/>
    <w:rsid w:val="000D1A04"/>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6562692">
      <w:bodyDiv w:val="1"/>
      <w:marLeft w:val="0"/>
      <w:marRight w:val="0"/>
      <w:marTop w:val="0"/>
      <w:marBottom w:val="0"/>
      <w:divBdr>
        <w:top w:val="none" w:sz="0" w:space="0" w:color="auto"/>
        <w:left w:val="none" w:sz="0" w:space="0" w:color="auto"/>
        <w:bottom w:val="none" w:sz="0" w:space="0" w:color="auto"/>
        <w:right w:val="none" w:sz="0" w:space="0" w:color="auto"/>
      </w:divBdr>
    </w:div>
    <w:div w:id="38017031">
      <w:bodyDiv w:val="1"/>
      <w:marLeft w:val="0"/>
      <w:marRight w:val="0"/>
      <w:marTop w:val="0"/>
      <w:marBottom w:val="0"/>
      <w:divBdr>
        <w:top w:val="none" w:sz="0" w:space="0" w:color="auto"/>
        <w:left w:val="none" w:sz="0" w:space="0" w:color="auto"/>
        <w:bottom w:val="none" w:sz="0" w:space="0" w:color="auto"/>
        <w:right w:val="none" w:sz="0" w:space="0" w:color="auto"/>
      </w:divBdr>
    </w:div>
    <w:div w:id="100608558">
      <w:bodyDiv w:val="1"/>
      <w:marLeft w:val="0"/>
      <w:marRight w:val="0"/>
      <w:marTop w:val="0"/>
      <w:marBottom w:val="0"/>
      <w:divBdr>
        <w:top w:val="none" w:sz="0" w:space="0" w:color="auto"/>
        <w:left w:val="none" w:sz="0" w:space="0" w:color="auto"/>
        <w:bottom w:val="none" w:sz="0" w:space="0" w:color="auto"/>
        <w:right w:val="none" w:sz="0" w:space="0" w:color="auto"/>
      </w:divBdr>
    </w:div>
    <w:div w:id="564875163">
      <w:bodyDiv w:val="1"/>
      <w:marLeft w:val="0"/>
      <w:marRight w:val="0"/>
      <w:marTop w:val="0"/>
      <w:marBottom w:val="0"/>
      <w:divBdr>
        <w:top w:val="none" w:sz="0" w:space="0" w:color="auto"/>
        <w:left w:val="none" w:sz="0" w:space="0" w:color="auto"/>
        <w:bottom w:val="none" w:sz="0" w:space="0" w:color="auto"/>
        <w:right w:val="none" w:sz="0" w:space="0" w:color="auto"/>
      </w:divBdr>
    </w:div>
    <w:div w:id="604924360">
      <w:bodyDiv w:val="1"/>
      <w:marLeft w:val="0"/>
      <w:marRight w:val="0"/>
      <w:marTop w:val="0"/>
      <w:marBottom w:val="0"/>
      <w:divBdr>
        <w:top w:val="none" w:sz="0" w:space="0" w:color="auto"/>
        <w:left w:val="none" w:sz="0" w:space="0" w:color="auto"/>
        <w:bottom w:val="none" w:sz="0" w:space="0" w:color="auto"/>
        <w:right w:val="none" w:sz="0" w:space="0" w:color="auto"/>
      </w:divBdr>
    </w:div>
    <w:div w:id="662781574">
      <w:bodyDiv w:val="1"/>
      <w:marLeft w:val="0"/>
      <w:marRight w:val="0"/>
      <w:marTop w:val="0"/>
      <w:marBottom w:val="0"/>
      <w:divBdr>
        <w:top w:val="none" w:sz="0" w:space="0" w:color="auto"/>
        <w:left w:val="none" w:sz="0" w:space="0" w:color="auto"/>
        <w:bottom w:val="none" w:sz="0" w:space="0" w:color="auto"/>
        <w:right w:val="none" w:sz="0" w:space="0" w:color="auto"/>
      </w:divBdr>
    </w:div>
    <w:div w:id="898710084">
      <w:bodyDiv w:val="1"/>
      <w:marLeft w:val="0"/>
      <w:marRight w:val="0"/>
      <w:marTop w:val="0"/>
      <w:marBottom w:val="0"/>
      <w:divBdr>
        <w:top w:val="none" w:sz="0" w:space="0" w:color="auto"/>
        <w:left w:val="none" w:sz="0" w:space="0" w:color="auto"/>
        <w:bottom w:val="none" w:sz="0" w:space="0" w:color="auto"/>
        <w:right w:val="none" w:sz="0" w:space="0" w:color="auto"/>
      </w:divBdr>
    </w:div>
    <w:div w:id="939609564">
      <w:bodyDiv w:val="1"/>
      <w:marLeft w:val="0"/>
      <w:marRight w:val="0"/>
      <w:marTop w:val="0"/>
      <w:marBottom w:val="0"/>
      <w:divBdr>
        <w:top w:val="none" w:sz="0" w:space="0" w:color="auto"/>
        <w:left w:val="none" w:sz="0" w:space="0" w:color="auto"/>
        <w:bottom w:val="none" w:sz="0" w:space="0" w:color="auto"/>
        <w:right w:val="none" w:sz="0" w:space="0" w:color="auto"/>
      </w:divBdr>
    </w:div>
    <w:div w:id="996767157">
      <w:bodyDiv w:val="1"/>
      <w:marLeft w:val="0"/>
      <w:marRight w:val="0"/>
      <w:marTop w:val="0"/>
      <w:marBottom w:val="0"/>
      <w:divBdr>
        <w:top w:val="none" w:sz="0" w:space="0" w:color="auto"/>
        <w:left w:val="none" w:sz="0" w:space="0" w:color="auto"/>
        <w:bottom w:val="none" w:sz="0" w:space="0" w:color="auto"/>
        <w:right w:val="none" w:sz="0" w:space="0" w:color="auto"/>
      </w:divBdr>
    </w:div>
    <w:div w:id="1014502446">
      <w:bodyDiv w:val="1"/>
      <w:marLeft w:val="0"/>
      <w:marRight w:val="0"/>
      <w:marTop w:val="0"/>
      <w:marBottom w:val="0"/>
      <w:divBdr>
        <w:top w:val="none" w:sz="0" w:space="0" w:color="auto"/>
        <w:left w:val="none" w:sz="0" w:space="0" w:color="auto"/>
        <w:bottom w:val="none" w:sz="0" w:space="0" w:color="auto"/>
        <w:right w:val="none" w:sz="0" w:space="0" w:color="auto"/>
      </w:divBdr>
    </w:div>
    <w:div w:id="1030885778">
      <w:bodyDiv w:val="1"/>
      <w:marLeft w:val="0"/>
      <w:marRight w:val="0"/>
      <w:marTop w:val="0"/>
      <w:marBottom w:val="0"/>
      <w:divBdr>
        <w:top w:val="none" w:sz="0" w:space="0" w:color="auto"/>
        <w:left w:val="none" w:sz="0" w:space="0" w:color="auto"/>
        <w:bottom w:val="none" w:sz="0" w:space="0" w:color="auto"/>
        <w:right w:val="none" w:sz="0" w:space="0" w:color="auto"/>
      </w:divBdr>
    </w:div>
    <w:div w:id="1138061917">
      <w:bodyDiv w:val="1"/>
      <w:marLeft w:val="0"/>
      <w:marRight w:val="0"/>
      <w:marTop w:val="0"/>
      <w:marBottom w:val="0"/>
      <w:divBdr>
        <w:top w:val="none" w:sz="0" w:space="0" w:color="auto"/>
        <w:left w:val="none" w:sz="0" w:space="0" w:color="auto"/>
        <w:bottom w:val="none" w:sz="0" w:space="0" w:color="auto"/>
        <w:right w:val="none" w:sz="0" w:space="0" w:color="auto"/>
      </w:divBdr>
    </w:div>
    <w:div w:id="1165629099">
      <w:bodyDiv w:val="1"/>
      <w:marLeft w:val="0"/>
      <w:marRight w:val="0"/>
      <w:marTop w:val="0"/>
      <w:marBottom w:val="0"/>
      <w:divBdr>
        <w:top w:val="none" w:sz="0" w:space="0" w:color="auto"/>
        <w:left w:val="none" w:sz="0" w:space="0" w:color="auto"/>
        <w:bottom w:val="none" w:sz="0" w:space="0" w:color="auto"/>
        <w:right w:val="none" w:sz="0" w:space="0" w:color="auto"/>
      </w:divBdr>
    </w:div>
    <w:div w:id="1172767812">
      <w:bodyDiv w:val="1"/>
      <w:marLeft w:val="0"/>
      <w:marRight w:val="0"/>
      <w:marTop w:val="0"/>
      <w:marBottom w:val="0"/>
      <w:divBdr>
        <w:top w:val="none" w:sz="0" w:space="0" w:color="auto"/>
        <w:left w:val="none" w:sz="0" w:space="0" w:color="auto"/>
        <w:bottom w:val="none" w:sz="0" w:space="0" w:color="auto"/>
        <w:right w:val="none" w:sz="0" w:space="0" w:color="auto"/>
      </w:divBdr>
    </w:div>
    <w:div w:id="1223324104">
      <w:bodyDiv w:val="1"/>
      <w:marLeft w:val="0"/>
      <w:marRight w:val="0"/>
      <w:marTop w:val="0"/>
      <w:marBottom w:val="0"/>
      <w:divBdr>
        <w:top w:val="none" w:sz="0" w:space="0" w:color="auto"/>
        <w:left w:val="none" w:sz="0" w:space="0" w:color="auto"/>
        <w:bottom w:val="none" w:sz="0" w:space="0" w:color="auto"/>
        <w:right w:val="none" w:sz="0" w:space="0" w:color="auto"/>
      </w:divBdr>
    </w:div>
    <w:div w:id="1446339717">
      <w:bodyDiv w:val="1"/>
      <w:marLeft w:val="0"/>
      <w:marRight w:val="0"/>
      <w:marTop w:val="0"/>
      <w:marBottom w:val="0"/>
      <w:divBdr>
        <w:top w:val="none" w:sz="0" w:space="0" w:color="auto"/>
        <w:left w:val="none" w:sz="0" w:space="0" w:color="auto"/>
        <w:bottom w:val="none" w:sz="0" w:space="0" w:color="auto"/>
        <w:right w:val="none" w:sz="0" w:space="0" w:color="auto"/>
      </w:divBdr>
    </w:div>
    <w:div w:id="1448887847">
      <w:bodyDiv w:val="1"/>
      <w:marLeft w:val="0"/>
      <w:marRight w:val="0"/>
      <w:marTop w:val="0"/>
      <w:marBottom w:val="0"/>
      <w:divBdr>
        <w:top w:val="none" w:sz="0" w:space="0" w:color="auto"/>
        <w:left w:val="none" w:sz="0" w:space="0" w:color="auto"/>
        <w:bottom w:val="none" w:sz="0" w:space="0" w:color="auto"/>
        <w:right w:val="none" w:sz="0" w:space="0" w:color="auto"/>
      </w:divBdr>
    </w:div>
    <w:div w:id="1483428541">
      <w:bodyDiv w:val="1"/>
      <w:marLeft w:val="0"/>
      <w:marRight w:val="0"/>
      <w:marTop w:val="0"/>
      <w:marBottom w:val="0"/>
      <w:divBdr>
        <w:top w:val="none" w:sz="0" w:space="0" w:color="auto"/>
        <w:left w:val="none" w:sz="0" w:space="0" w:color="auto"/>
        <w:bottom w:val="none" w:sz="0" w:space="0" w:color="auto"/>
        <w:right w:val="none" w:sz="0" w:space="0" w:color="auto"/>
      </w:divBdr>
    </w:div>
    <w:div w:id="1522552073">
      <w:bodyDiv w:val="1"/>
      <w:marLeft w:val="0"/>
      <w:marRight w:val="0"/>
      <w:marTop w:val="0"/>
      <w:marBottom w:val="0"/>
      <w:divBdr>
        <w:top w:val="none" w:sz="0" w:space="0" w:color="auto"/>
        <w:left w:val="none" w:sz="0" w:space="0" w:color="auto"/>
        <w:bottom w:val="none" w:sz="0" w:space="0" w:color="auto"/>
        <w:right w:val="none" w:sz="0" w:space="0" w:color="auto"/>
      </w:divBdr>
    </w:div>
    <w:div w:id="1557660200">
      <w:bodyDiv w:val="1"/>
      <w:marLeft w:val="0"/>
      <w:marRight w:val="0"/>
      <w:marTop w:val="0"/>
      <w:marBottom w:val="0"/>
      <w:divBdr>
        <w:top w:val="none" w:sz="0" w:space="0" w:color="auto"/>
        <w:left w:val="none" w:sz="0" w:space="0" w:color="auto"/>
        <w:bottom w:val="none" w:sz="0" w:space="0" w:color="auto"/>
        <w:right w:val="none" w:sz="0" w:space="0" w:color="auto"/>
      </w:divBdr>
    </w:div>
    <w:div w:id="1659117082">
      <w:bodyDiv w:val="1"/>
      <w:marLeft w:val="0"/>
      <w:marRight w:val="0"/>
      <w:marTop w:val="0"/>
      <w:marBottom w:val="0"/>
      <w:divBdr>
        <w:top w:val="none" w:sz="0" w:space="0" w:color="auto"/>
        <w:left w:val="none" w:sz="0" w:space="0" w:color="auto"/>
        <w:bottom w:val="none" w:sz="0" w:space="0" w:color="auto"/>
        <w:right w:val="none" w:sz="0" w:space="0" w:color="auto"/>
      </w:divBdr>
    </w:div>
    <w:div w:id="1660813531">
      <w:bodyDiv w:val="1"/>
      <w:marLeft w:val="0"/>
      <w:marRight w:val="0"/>
      <w:marTop w:val="0"/>
      <w:marBottom w:val="0"/>
      <w:divBdr>
        <w:top w:val="none" w:sz="0" w:space="0" w:color="auto"/>
        <w:left w:val="none" w:sz="0" w:space="0" w:color="auto"/>
        <w:bottom w:val="none" w:sz="0" w:space="0" w:color="auto"/>
        <w:right w:val="none" w:sz="0" w:space="0" w:color="auto"/>
      </w:divBdr>
    </w:div>
    <w:div w:id="1672290511">
      <w:bodyDiv w:val="1"/>
      <w:marLeft w:val="0"/>
      <w:marRight w:val="0"/>
      <w:marTop w:val="0"/>
      <w:marBottom w:val="0"/>
      <w:divBdr>
        <w:top w:val="none" w:sz="0" w:space="0" w:color="auto"/>
        <w:left w:val="none" w:sz="0" w:space="0" w:color="auto"/>
        <w:bottom w:val="none" w:sz="0" w:space="0" w:color="auto"/>
        <w:right w:val="none" w:sz="0" w:space="0" w:color="auto"/>
      </w:divBdr>
    </w:div>
    <w:div w:id="1686907003">
      <w:bodyDiv w:val="1"/>
      <w:marLeft w:val="0"/>
      <w:marRight w:val="0"/>
      <w:marTop w:val="0"/>
      <w:marBottom w:val="0"/>
      <w:divBdr>
        <w:top w:val="none" w:sz="0" w:space="0" w:color="auto"/>
        <w:left w:val="none" w:sz="0" w:space="0" w:color="auto"/>
        <w:bottom w:val="none" w:sz="0" w:space="0" w:color="auto"/>
        <w:right w:val="none" w:sz="0" w:space="0" w:color="auto"/>
      </w:divBdr>
    </w:div>
    <w:div w:id="1708524702">
      <w:bodyDiv w:val="1"/>
      <w:marLeft w:val="0"/>
      <w:marRight w:val="0"/>
      <w:marTop w:val="0"/>
      <w:marBottom w:val="0"/>
      <w:divBdr>
        <w:top w:val="none" w:sz="0" w:space="0" w:color="auto"/>
        <w:left w:val="none" w:sz="0" w:space="0" w:color="auto"/>
        <w:bottom w:val="none" w:sz="0" w:space="0" w:color="auto"/>
        <w:right w:val="none" w:sz="0" w:space="0" w:color="auto"/>
      </w:divBdr>
    </w:div>
    <w:div w:id="1810197877">
      <w:bodyDiv w:val="1"/>
      <w:marLeft w:val="0"/>
      <w:marRight w:val="0"/>
      <w:marTop w:val="0"/>
      <w:marBottom w:val="0"/>
      <w:divBdr>
        <w:top w:val="none" w:sz="0" w:space="0" w:color="auto"/>
        <w:left w:val="none" w:sz="0" w:space="0" w:color="auto"/>
        <w:bottom w:val="none" w:sz="0" w:space="0" w:color="auto"/>
        <w:right w:val="none" w:sz="0" w:space="0" w:color="auto"/>
      </w:divBdr>
    </w:div>
    <w:div w:id="1820073474">
      <w:bodyDiv w:val="1"/>
      <w:marLeft w:val="0"/>
      <w:marRight w:val="0"/>
      <w:marTop w:val="0"/>
      <w:marBottom w:val="0"/>
      <w:divBdr>
        <w:top w:val="none" w:sz="0" w:space="0" w:color="auto"/>
        <w:left w:val="none" w:sz="0" w:space="0" w:color="auto"/>
        <w:bottom w:val="none" w:sz="0" w:space="0" w:color="auto"/>
        <w:right w:val="none" w:sz="0" w:space="0" w:color="auto"/>
      </w:divBdr>
    </w:div>
    <w:div w:id="1838350996">
      <w:bodyDiv w:val="1"/>
      <w:marLeft w:val="0"/>
      <w:marRight w:val="0"/>
      <w:marTop w:val="0"/>
      <w:marBottom w:val="0"/>
      <w:divBdr>
        <w:top w:val="none" w:sz="0" w:space="0" w:color="auto"/>
        <w:left w:val="none" w:sz="0" w:space="0" w:color="auto"/>
        <w:bottom w:val="none" w:sz="0" w:space="0" w:color="auto"/>
        <w:right w:val="none" w:sz="0" w:space="0" w:color="auto"/>
      </w:divBdr>
    </w:div>
    <w:div w:id="1839618685">
      <w:bodyDiv w:val="1"/>
      <w:marLeft w:val="0"/>
      <w:marRight w:val="0"/>
      <w:marTop w:val="0"/>
      <w:marBottom w:val="0"/>
      <w:divBdr>
        <w:top w:val="none" w:sz="0" w:space="0" w:color="auto"/>
        <w:left w:val="none" w:sz="0" w:space="0" w:color="auto"/>
        <w:bottom w:val="none" w:sz="0" w:space="0" w:color="auto"/>
        <w:right w:val="none" w:sz="0" w:space="0" w:color="auto"/>
      </w:divBdr>
    </w:div>
    <w:div w:id="1962611272">
      <w:bodyDiv w:val="1"/>
      <w:marLeft w:val="0"/>
      <w:marRight w:val="0"/>
      <w:marTop w:val="0"/>
      <w:marBottom w:val="0"/>
      <w:divBdr>
        <w:top w:val="none" w:sz="0" w:space="0" w:color="auto"/>
        <w:left w:val="none" w:sz="0" w:space="0" w:color="auto"/>
        <w:bottom w:val="none" w:sz="0" w:space="0" w:color="auto"/>
        <w:right w:val="none" w:sz="0" w:space="0" w:color="auto"/>
      </w:divBdr>
    </w:div>
    <w:div w:id="1990933798">
      <w:bodyDiv w:val="1"/>
      <w:marLeft w:val="0"/>
      <w:marRight w:val="0"/>
      <w:marTop w:val="0"/>
      <w:marBottom w:val="0"/>
      <w:divBdr>
        <w:top w:val="none" w:sz="0" w:space="0" w:color="auto"/>
        <w:left w:val="none" w:sz="0" w:space="0" w:color="auto"/>
        <w:bottom w:val="none" w:sz="0" w:space="0" w:color="auto"/>
        <w:right w:val="none" w:sz="0" w:space="0" w:color="auto"/>
      </w:divBdr>
    </w:div>
    <w:div w:id="2017882614">
      <w:bodyDiv w:val="1"/>
      <w:marLeft w:val="0"/>
      <w:marRight w:val="0"/>
      <w:marTop w:val="0"/>
      <w:marBottom w:val="0"/>
      <w:divBdr>
        <w:top w:val="none" w:sz="0" w:space="0" w:color="auto"/>
        <w:left w:val="none" w:sz="0" w:space="0" w:color="auto"/>
        <w:bottom w:val="none" w:sz="0" w:space="0" w:color="auto"/>
        <w:right w:val="none" w:sz="0" w:space="0" w:color="auto"/>
      </w:divBdr>
    </w:div>
    <w:div w:id="20762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2012-11-08T21:21:00Z</dcterms:created>
  <dcterms:modified xsi:type="dcterms:W3CDTF">2012-11-08T21:31:00Z</dcterms:modified>
</cp:coreProperties>
</file>