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CF" w:rsidRDefault="00C46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
        <w:t>BEFORE THE FLORIDA PUBLIC SERVICE COMMISSION</w:t>
      </w:r>
    </w:p>
    <w:p w:rsidR="00043ACF" w:rsidRDefault="00C4600F" w:rsidP="00AC5B4B">
      <w:pPr>
        <w:pStyle w:val="OrderHeading"/>
      </w:pPr>
      <w:r>
        <w:t xml:space="preserve">  </w:t>
      </w:r>
    </w:p>
    <w:p w:rsidR="00AC5B4B" w:rsidRDefault="00AC5B4B" w:rsidP="00AC5B4B">
      <w:pPr>
        <w:pStyle w:val="OrderBody"/>
      </w:pPr>
    </w:p>
    <w:tbl>
      <w:tblPr>
        <w:tblW w:w="0" w:type="auto"/>
        <w:tblLook w:val="01E0" w:firstRow="1" w:lastRow="1" w:firstColumn="1" w:lastColumn="1" w:noHBand="0" w:noVBand="0"/>
      </w:tblPr>
      <w:tblGrid>
        <w:gridCol w:w="4176"/>
        <w:gridCol w:w="296"/>
        <w:gridCol w:w="5104"/>
      </w:tblGrid>
      <w:tr w:rsidR="00883721" w:rsidTr="00883721">
        <w:trPr>
          <w:trHeight w:val="828"/>
        </w:trPr>
        <w:tc>
          <w:tcPr>
            <w:tcW w:w="4176" w:type="dxa"/>
          </w:tcPr>
          <w:p w:rsidR="00804960" w:rsidRDefault="00883721">
            <w:pPr>
              <w:pStyle w:val="OrderBody"/>
              <w:ind w:left="630" w:hanging="630"/>
              <w:jc w:val="left"/>
              <w:rPr>
                <w:u w:val="single"/>
              </w:rPr>
            </w:pPr>
            <w:r>
              <w:t xml:space="preserve">In re:  </w:t>
            </w:r>
            <w:bookmarkStart w:id="0" w:name="SSInRe"/>
            <w:bookmarkEnd w:id="0"/>
            <w:r>
              <w:t>Petition for increase in rates by Gulf Power Company.</w:t>
            </w:r>
          </w:p>
          <w:p w:rsidR="00804960" w:rsidRDefault="00804960">
            <w:pPr>
              <w:pStyle w:val="OrderBody"/>
              <w:ind w:left="630" w:hanging="630"/>
              <w:jc w:val="left"/>
            </w:pPr>
          </w:p>
        </w:tc>
        <w:tc>
          <w:tcPr>
            <w:tcW w:w="296" w:type="dxa"/>
          </w:tcPr>
          <w:p w:rsidR="00883721" w:rsidRDefault="00883721">
            <w:pPr>
              <w:pStyle w:val="OrderBody"/>
            </w:pPr>
            <w:r>
              <w:t>)</w:t>
            </w:r>
          </w:p>
          <w:p w:rsidR="00883721" w:rsidRDefault="00883721">
            <w:pPr>
              <w:pStyle w:val="OrderBody"/>
            </w:pPr>
            <w:r>
              <w:t>)</w:t>
            </w:r>
          </w:p>
          <w:p w:rsidR="00883721" w:rsidRDefault="00883721">
            <w:pPr>
              <w:pStyle w:val="OrderBody"/>
            </w:pPr>
            <w:r>
              <w:t>)</w:t>
            </w:r>
          </w:p>
          <w:p w:rsidR="00883721" w:rsidRDefault="00883721">
            <w:pPr>
              <w:pStyle w:val="OrderBody"/>
            </w:pPr>
            <w:r>
              <w:t>)</w:t>
            </w:r>
          </w:p>
        </w:tc>
        <w:tc>
          <w:tcPr>
            <w:tcW w:w="5104" w:type="dxa"/>
          </w:tcPr>
          <w:p w:rsidR="00883721" w:rsidRDefault="00883721">
            <w:pPr>
              <w:pStyle w:val="OrderBody"/>
            </w:pPr>
            <w:r>
              <w:t xml:space="preserve">            Docket No. </w:t>
            </w:r>
            <w:bookmarkStart w:id="1" w:name="SSDocketNo"/>
            <w:bookmarkEnd w:id="1"/>
            <w:r>
              <w:t>1</w:t>
            </w:r>
            <w:r w:rsidR="00524044">
              <w:t>3</w:t>
            </w:r>
            <w:r>
              <w:t>01</w:t>
            </w:r>
            <w:r w:rsidR="00524044">
              <w:t>40</w:t>
            </w:r>
            <w:r>
              <w:t>-EI</w:t>
            </w:r>
          </w:p>
          <w:p w:rsidR="00883721" w:rsidRDefault="00883721" w:rsidP="00524044">
            <w:pPr>
              <w:pStyle w:val="OrderBody"/>
            </w:pPr>
            <w:r>
              <w:t xml:space="preserve">            Date Filed:  November </w:t>
            </w:r>
            <w:r w:rsidR="00524044">
              <w:t>8</w:t>
            </w:r>
            <w:r>
              <w:t>, 201</w:t>
            </w:r>
            <w:r w:rsidR="00524044">
              <w:t>3</w:t>
            </w:r>
          </w:p>
        </w:tc>
      </w:tr>
    </w:tbl>
    <w:p w:rsidR="00AC5B4B" w:rsidRDefault="000E277C" w:rsidP="00AC5B4B">
      <w:r>
        <w:rPr>
          <w:noProof/>
          <w:snapToGrid/>
        </w:rPr>
        <mc:AlternateContent>
          <mc:Choice Requires="wps">
            <w:drawing>
              <wp:anchor distT="0" distB="0" distL="114300" distR="114300" simplePos="0" relativeHeight="251658240" behindDoc="0" locked="0" layoutInCell="1" allowOverlap="1" wp14:anchorId="561E544A" wp14:editId="64948834">
                <wp:simplePos x="0" y="0"/>
                <wp:positionH relativeFrom="column">
                  <wp:posOffset>-20955</wp:posOffset>
                </wp:positionH>
                <wp:positionV relativeFrom="paragraph">
                  <wp:posOffset>1270</wp:posOffset>
                </wp:positionV>
                <wp:extent cx="2615565" cy="0"/>
                <wp:effectExtent l="7620" t="10795" r="571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5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5pt;margin-top:.1pt;width:20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"/>
            </w:pict>
          </mc:Fallback>
        </mc:AlternateContent>
      </w:r>
    </w:p>
    <w:p w:rsidR="00AC5B4B"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AC5B4B"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C5B4B" w:rsidRDefault="00AC5B4B">
      <w:pPr>
        <w:widowControl/>
        <w:tabs>
          <w:tab w:val="center" w:pos="4680"/>
        </w:tabs>
        <w:jc w:val="center"/>
      </w:pPr>
      <w:r>
        <w:rPr>
          <w:b/>
          <w:u w:val="single"/>
        </w:rPr>
        <w:t>GULF POWER COMPANY’S PREHEARING STATEMENT</w:t>
      </w:r>
    </w:p>
    <w:p w:rsidR="00AC5B4B" w:rsidRDefault="00AC5B4B">
      <w:pPr>
        <w:widowControl/>
        <w:tabs>
          <w:tab w:val="left" w:pos="0"/>
        </w:tabs>
        <w:jc w:val="both"/>
      </w:pPr>
    </w:p>
    <w:p w:rsidR="00AC5B4B" w:rsidRDefault="00AC5B4B">
      <w:r>
        <w:tab/>
      </w:r>
      <w:proofErr w:type="gramStart"/>
      <w:r>
        <w:t xml:space="preserve">Gulf Power Company, (“Gulf Power”, “Gulf”, or “the Company”), by and through its undersigned attorneys, and pursuant to </w:t>
      </w:r>
      <w:r w:rsidRPr="00AF05D0">
        <w:rPr>
          <w:bCs/>
        </w:rPr>
        <w:t>Order No.</w:t>
      </w:r>
      <w:proofErr w:type="gramEnd"/>
      <w:r w:rsidRPr="00AF05D0">
        <w:t xml:space="preserve"> </w:t>
      </w:r>
      <w:r w:rsidR="00AF05D0">
        <w:rPr>
          <w:color w:val="333333"/>
        </w:rPr>
        <w:t>PSC-13-0342-PCO-EI</w:t>
      </w:r>
      <w:r>
        <w:rPr>
          <w:bCs/>
        </w:rPr>
        <w:t xml:space="preserve">, </w:t>
      </w:r>
      <w:r>
        <w:t>files this prehearing statement, saying:</w:t>
      </w:r>
    </w:p>
    <w:p w:rsidR="00AC5B4B"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AC5B4B" w:rsidRDefault="00AC5B4B">
      <w:pPr>
        <w:pStyle w:val="Heading1"/>
      </w:pPr>
      <w:r>
        <w:t xml:space="preserve">A.  APPEARANCES </w:t>
      </w:r>
    </w:p>
    <w:p w:rsidR="00AC5B4B" w:rsidRDefault="00AC5B4B" w:rsidP="00AC5B4B">
      <w:r>
        <w:t>JEFFREY A. STONE, Esquire, RUSSELL A. BADDERS, Esquire, STEVEN R. GRIFFIN, Esquire,</w:t>
      </w:r>
      <w:r w:rsidR="00514296">
        <w:t xml:space="preserve"> and </w:t>
      </w:r>
      <w:r w:rsidR="00F33E6B">
        <w:t>RUSSELL VAN SICKLE</w:t>
      </w:r>
      <w:r w:rsidR="00514296">
        <w:t xml:space="preserve">, Esquire </w:t>
      </w:r>
      <w:r>
        <w:t xml:space="preserve"> of Beggs and Lane,</w:t>
      </w:r>
      <w:r w:rsidRPr="00DA3754">
        <w:t xml:space="preserve"> P. O. Box 12950</w:t>
      </w:r>
      <w:r>
        <w:t xml:space="preserve">, </w:t>
      </w:r>
      <w:r w:rsidRPr="00DA3754">
        <w:t xml:space="preserve">Pensacola, </w:t>
      </w:r>
      <w:r w:rsidRPr="00812D61">
        <w:rPr>
          <w:bCs/>
        </w:rPr>
        <w:t>FL</w:t>
      </w:r>
      <w:r w:rsidRPr="00DA3754">
        <w:rPr>
          <w:b/>
          <w:bCs/>
        </w:rPr>
        <w:t xml:space="preserve"> </w:t>
      </w:r>
      <w:r w:rsidRPr="00DA3754">
        <w:t>32576</w:t>
      </w:r>
      <w:r>
        <w:t xml:space="preserve">, </w:t>
      </w:r>
      <w:r w:rsidRPr="002B50AE">
        <w:rPr>
          <w:bCs/>
        </w:rPr>
        <w:t>CHARLES A. GUYTON</w:t>
      </w:r>
      <w:r>
        <w:rPr>
          <w:bCs/>
        </w:rPr>
        <w:t xml:space="preserve">, Esquire, </w:t>
      </w:r>
      <w:proofErr w:type="spellStart"/>
      <w:r w:rsidRPr="00DA3754">
        <w:t>Gunster</w:t>
      </w:r>
      <w:proofErr w:type="spellEnd"/>
      <w:r w:rsidRPr="00DA3754">
        <w:t xml:space="preserve">, </w:t>
      </w:r>
      <w:proofErr w:type="spellStart"/>
      <w:r w:rsidRPr="00DA3754">
        <w:t>Yoakley</w:t>
      </w:r>
      <w:proofErr w:type="spellEnd"/>
      <w:r w:rsidRPr="00DA3754">
        <w:t xml:space="preserve"> &amp; Stewart, P.A.</w:t>
      </w:r>
      <w:r>
        <w:t xml:space="preserve">, </w:t>
      </w:r>
      <w:r w:rsidRPr="00DA3754">
        <w:t>215 South Monroe Street, Suite 6</w:t>
      </w:r>
      <w:r w:rsidR="00651E9A">
        <w:t>01</w:t>
      </w:r>
      <w:r>
        <w:t xml:space="preserve">, </w:t>
      </w:r>
      <w:r w:rsidRPr="00DA3754">
        <w:t xml:space="preserve">Tallahassee, </w:t>
      </w:r>
      <w:r w:rsidRPr="00812D61">
        <w:rPr>
          <w:bCs/>
        </w:rPr>
        <w:t>FL</w:t>
      </w:r>
      <w:r w:rsidRPr="00DA3754">
        <w:rPr>
          <w:b/>
          <w:bCs/>
        </w:rPr>
        <w:t xml:space="preserve"> </w:t>
      </w:r>
      <w:r w:rsidRPr="00DA3754">
        <w:t>32301</w:t>
      </w:r>
      <w:r>
        <w:t xml:space="preserve">, and </w:t>
      </w:r>
      <w:r w:rsidRPr="00CF2AE2">
        <w:rPr>
          <w:bCs/>
        </w:rPr>
        <w:t>RICHARD D. MELSON</w:t>
      </w:r>
      <w:r>
        <w:rPr>
          <w:bCs/>
        </w:rPr>
        <w:t xml:space="preserve">, Esquire, </w:t>
      </w:r>
      <w:r w:rsidRPr="00DA3754">
        <w:t>705 Piedmont Drive</w:t>
      </w:r>
      <w:r>
        <w:t xml:space="preserve">, </w:t>
      </w:r>
      <w:r w:rsidRPr="00DA3754">
        <w:t xml:space="preserve">Tallahassee, </w:t>
      </w:r>
      <w:r w:rsidRPr="00CF2AE2">
        <w:rPr>
          <w:bCs/>
        </w:rPr>
        <w:t>FL</w:t>
      </w:r>
      <w:r w:rsidRPr="00DA3754">
        <w:rPr>
          <w:b/>
          <w:bCs/>
        </w:rPr>
        <w:t xml:space="preserve"> </w:t>
      </w:r>
      <w:r w:rsidRPr="00DA3754">
        <w:t>32312</w:t>
      </w:r>
      <w:r>
        <w:t>.</w:t>
      </w:r>
    </w:p>
    <w:p w:rsidR="00AC5B4B" w:rsidRPr="00CF2AE2" w:rsidRDefault="00AC5B4B" w:rsidP="00AC5B4B">
      <w:pPr>
        <w:rPr>
          <w:b/>
          <w:bCs/>
        </w:rPr>
      </w:pPr>
      <w:proofErr w:type="gramStart"/>
      <w:r>
        <w:rPr>
          <w:u w:val="single"/>
        </w:rPr>
        <w:t>On behalf of Gulf Power Company</w:t>
      </w:r>
      <w:r>
        <w:t>.</w:t>
      </w:r>
      <w:proofErr w:type="gramEnd"/>
    </w:p>
    <w:p w:rsidR="00AC5B4B"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u w:val="single"/>
        </w:rPr>
      </w:pPr>
    </w:p>
    <w:p w:rsidR="00CA0CE2" w:rsidRDefault="00CA0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u w:val="single"/>
        </w:rPr>
      </w:pPr>
    </w:p>
    <w:p w:rsidR="00CA0CE2" w:rsidRPr="00CA0CE2" w:rsidRDefault="00CA0CE2" w:rsidP="00CA0CE2"/>
    <w:p w:rsidR="00CA0CE2" w:rsidRPr="00CA0CE2" w:rsidRDefault="00CA0CE2" w:rsidP="00CA0CE2"/>
    <w:p w:rsidR="00CA0CE2" w:rsidRPr="00CA0CE2" w:rsidRDefault="00CA0CE2" w:rsidP="00CA0CE2"/>
    <w:p w:rsidR="00CA0CE2" w:rsidRPr="00CA0CE2" w:rsidRDefault="00CA0CE2" w:rsidP="00CA0CE2"/>
    <w:p w:rsidR="00CA0CE2" w:rsidRDefault="00CA0CE2" w:rsidP="00CA0CE2">
      <w:pPr>
        <w:tabs>
          <w:tab w:val="left" w:pos="2835"/>
        </w:tabs>
        <w:spacing w:line="480" w:lineRule="auto"/>
      </w:pPr>
      <w:r>
        <w:tab/>
      </w:r>
    </w:p>
    <w:p w:rsidR="00AC5B4B"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CA0CE2">
        <w:br w:type="page"/>
      </w:r>
      <w:r>
        <w:rPr>
          <w:b/>
          <w:u w:val="single"/>
        </w:rPr>
        <w:lastRenderedPageBreak/>
        <w:t>B.  WITNESSES</w:t>
      </w:r>
      <w:r>
        <w:t xml:space="preserve">   </w:t>
      </w:r>
    </w:p>
    <w:tbl>
      <w:tblPr>
        <w:tblW w:w="9480" w:type="dxa"/>
        <w:tblInd w:w="120" w:type="dxa"/>
        <w:tblLayout w:type="fixed"/>
        <w:tblCellMar>
          <w:left w:w="120" w:type="dxa"/>
          <w:right w:w="120" w:type="dxa"/>
        </w:tblCellMar>
        <w:tblLook w:val="0000" w:firstRow="0" w:lastRow="0" w:firstColumn="0" w:lastColumn="0" w:noHBand="0" w:noVBand="0"/>
      </w:tblPr>
      <w:tblGrid>
        <w:gridCol w:w="3120"/>
        <w:gridCol w:w="10"/>
        <w:gridCol w:w="3440"/>
        <w:gridCol w:w="21"/>
        <w:gridCol w:w="2859"/>
        <w:gridCol w:w="30"/>
      </w:tblGrid>
      <w:tr w:rsidR="00AC5B4B" w:rsidTr="008002FB">
        <w:trPr>
          <w:trHeight w:val="689"/>
        </w:trPr>
        <w:tc>
          <w:tcPr>
            <w:tcW w:w="3130" w:type="dxa"/>
            <w:gridSpan w:val="2"/>
          </w:tcPr>
          <w:p w:rsidR="00804960" w:rsidRDefault="00AC5B4B">
            <w:pPr>
              <w:pStyle w:val="Heading2"/>
              <w:spacing w:before="0"/>
              <w:jc w:val="left"/>
            </w:pPr>
            <w:r>
              <w:t xml:space="preserve">Witness </w:t>
            </w:r>
          </w:p>
          <w:p w:rsidR="00804960" w:rsidRDefault="00AC5B4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(Direct)</w:t>
            </w:r>
          </w:p>
          <w:p w:rsidR="00804960" w:rsidRDefault="0080496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2"/>
                <w:szCs w:val="12"/>
              </w:rPr>
            </w:pPr>
          </w:p>
        </w:tc>
        <w:tc>
          <w:tcPr>
            <w:tcW w:w="3461" w:type="dxa"/>
            <w:gridSpan w:val="2"/>
          </w:tcPr>
          <w:p w:rsidR="00804960" w:rsidRDefault="00AC5B4B">
            <w:pPr>
              <w:pStyle w:val="Heading2"/>
              <w:spacing w:before="0"/>
              <w:jc w:val="left"/>
            </w:pPr>
            <w:r>
              <w:t>Subject Matter</w:t>
            </w:r>
          </w:p>
        </w:tc>
        <w:tc>
          <w:tcPr>
            <w:tcW w:w="2889" w:type="dxa"/>
            <w:gridSpan w:val="2"/>
          </w:tcPr>
          <w:p w:rsidR="00804960" w:rsidRDefault="00AC5B4B">
            <w:pPr>
              <w:pStyle w:val="Heading2"/>
              <w:spacing w:before="0"/>
              <w:jc w:val="left"/>
            </w:pPr>
            <w:r>
              <w:t>Issues</w:t>
            </w:r>
          </w:p>
        </w:tc>
      </w:tr>
      <w:tr w:rsidR="00AC5B4B" w:rsidTr="008002FB">
        <w:trPr>
          <w:trHeight w:val="291"/>
        </w:trPr>
        <w:tc>
          <w:tcPr>
            <w:tcW w:w="3130" w:type="dxa"/>
            <w:gridSpan w:val="2"/>
          </w:tcPr>
          <w:p w:rsidR="00804960" w:rsidRDefault="004C5887" w:rsidP="004C588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 W. Connally</w:t>
            </w:r>
          </w:p>
        </w:tc>
        <w:tc>
          <w:tcPr>
            <w:tcW w:w="3461" w:type="dxa"/>
            <w:gridSpan w:val="2"/>
          </w:tcPr>
          <w:p w:rsidR="00804960" w:rsidRDefault="004C5887" w:rsidP="004C5887">
            <w:pPr>
              <w:pStyle w:val="Heading2"/>
              <w:spacing w:before="0"/>
              <w:jc w:val="left"/>
              <w:rPr>
                <w:u w:val="none"/>
              </w:rPr>
            </w:pPr>
            <w:r w:rsidRPr="004C5887">
              <w:rPr>
                <w:u w:val="none"/>
              </w:rPr>
              <w:t>Rate Case Overview</w:t>
            </w:r>
          </w:p>
          <w:p w:rsidR="0087536D" w:rsidRPr="0087536D" w:rsidRDefault="0087536D" w:rsidP="0087536D"/>
        </w:tc>
        <w:tc>
          <w:tcPr>
            <w:tcW w:w="2889" w:type="dxa"/>
            <w:gridSpan w:val="2"/>
          </w:tcPr>
          <w:p w:rsidR="00804960" w:rsidRDefault="00804960">
            <w:pPr>
              <w:pStyle w:val="Heading2"/>
              <w:spacing w:before="0"/>
              <w:jc w:val="left"/>
              <w:rPr>
                <w:u w:val="none"/>
              </w:rPr>
            </w:pPr>
          </w:p>
        </w:tc>
      </w:tr>
      <w:tr w:rsidR="00B377C9" w:rsidTr="008002FB">
        <w:trPr>
          <w:trHeight w:val="551"/>
        </w:trPr>
        <w:tc>
          <w:tcPr>
            <w:tcW w:w="3130" w:type="dxa"/>
            <w:gridSpan w:val="2"/>
          </w:tcPr>
          <w:p w:rsidR="00B377C9" w:rsidRDefault="00196644" w:rsidP="00B377C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 D. Neyman</w:t>
            </w:r>
          </w:p>
        </w:tc>
        <w:tc>
          <w:tcPr>
            <w:tcW w:w="3461" w:type="dxa"/>
            <w:gridSpan w:val="2"/>
          </w:tcPr>
          <w:p w:rsidR="00B377C9" w:rsidRDefault="00196644" w:rsidP="00196644">
            <w:pPr>
              <w:pStyle w:val="Heading2"/>
              <w:spacing w:before="0"/>
              <w:jc w:val="left"/>
              <w:rPr>
                <w:u w:val="none"/>
              </w:rPr>
            </w:pPr>
            <w:r>
              <w:rPr>
                <w:u w:val="none"/>
              </w:rPr>
              <w:t>Customer Service; Customer Accounts O &amp; M</w:t>
            </w:r>
            <w:r w:rsidR="00DE21F0">
              <w:rPr>
                <w:u w:val="none"/>
              </w:rPr>
              <w:t xml:space="preserve">; </w:t>
            </w:r>
            <w:proofErr w:type="spellStart"/>
            <w:r w:rsidR="00DE21F0">
              <w:rPr>
                <w:u w:val="none"/>
              </w:rPr>
              <w:t>Uncollectibles</w:t>
            </w:r>
            <w:proofErr w:type="spellEnd"/>
            <w:r w:rsidR="00DE21F0">
              <w:rPr>
                <w:u w:val="none"/>
              </w:rPr>
              <w:t>; Service Fees</w:t>
            </w:r>
          </w:p>
          <w:p w:rsidR="0087536D" w:rsidRPr="0087536D" w:rsidRDefault="0087536D" w:rsidP="0087536D"/>
        </w:tc>
        <w:tc>
          <w:tcPr>
            <w:tcW w:w="2889" w:type="dxa"/>
            <w:gridSpan w:val="2"/>
          </w:tcPr>
          <w:p w:rsidR="00B377C9" w:rsidRDefault="004865CC" w:rsidP="00B377C9">
            <w:pPr>
              <w:pStyle w:val="Heading2"/>
              <w:spacing w:before="0"/>
              <w:jc w:val="left"/>
              <w:rPr>
                <w:u w:val="none"/>
              </w:rPr>
            </w:pPr>
            <w:r>
              <w:rPr>
                <w:u w:val="none"/>
              </w:rPr>
              <w:t xml:space="preserve">7, </w:t>
            </w:r>
            <w:r w:rsidR="00A257AC">
              <w:rPr>
                <w:u w:val="none"/>
              </w:rPr>
              <w:t>53</w:t>
            </w:r>
            <w:r w:rsidR="00F33E6B">
              <w:rPr>
                <w:u w:val="none"/>
              </w:rPr>
              <w:t>, 74</w:t>
            </w:r>
          </w:p>
        </w:tc>
      </w:tr>
      <w:tr w:rsidR="00B377C9" w:rsidTr="008002FB">
        <w:trPr>
          <w:trHeight w:val="1118"/>
        </w:trPr>
        <w:tc>
          <w:tcPr>
            <w:tcW w:w="3130" w:type="dxa"/>
            <w:gridSpan w:val="2"/>
          </w:tcPr>
          <w:p w:rsidR="00B377C9" w:rsidRDefault="00196644" w:rsidP="00196644">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G. Strickland</w:t>
            </w:r>
          </w:p>
        </w:tc>
        <w:tc>
          <w:tcPr>
            <w:tcW w:w="3461" w:type="dxa"/>
            <w:gridSpan w:val="2"/>
          </w:tcPr>
          <w:p w:rsidR="00B377C9" w:rsidRDefault="00196644" w:rsidP="00D338A8">
            <w:r>
              <w:t>Marketing</w:t>
            </w:r>
            <w:r w:rsidR="00023117">
              <w:t xml:space="preserve">; Economic Development; Customer Satisfaction; Customer Service and Information O &amp; M </w:t>
            </w:r>
          </w:p>
          <w:p w:rsidR="0087536D" w:rsidRDefault="0087536D" w:rsidP="00D338A8"/>
        </w:tc>
        <w:tc>
          <w:tcPr>
            <w:tcW w:w="2889" w:type="dxa"/>
            <w:gridSpan w:val="2"/>
          </w:tcPr>
          <w:p w:rsidR="00B377C9" w:rsidRDefault="004865CC" w:rsidP="00B377C9">
            <w:pPr>
              <w:pStyle w:val="Heading2"/>
              <w:spacing w:before="0"/>
              <w:jc w:val="left"/>
              <w:rPr>
                <w:u w:val="none"/>
              </w:rPr>
            </w:pPr>
            <w:r>
              <w:rPr>
                <w:u w:val="none"/>
              </w:rPr>
              <w:t xml:space="preserve">7, </w:t>
            </w:r>
            <w:r w:rsidR="00CE7799">
              <w:rPr>
                <w:u w:val="none"/>
              </w:rPr>
              <w:t>36</w:t>
            </w:r>
            <w:r w:rsidR="00F33E6B">
              <w:rPr>
                <w:u w:val="none"/>
              </w:rPr>
              <w:t>, 70, 71</w:t>
            </w:r>
          </w:p>
        </w:tc>
      </w:tr>
      <w:tr w:rsidR="00B377C9" w:rsidTr="008002FB">
        <w:trPr>
          <w:trHeight w:val="1408"/>
        </w:trPr>
        <w:tc>
          <w:tcPr>
            <w:tcW w:w="3130" w:type="dxa"/>
            <w:gridSpan w:val="2"/>
          </w:tcPr>
          <w:p w:rsidR="00B377C9" w:rsidRDefault="00D338A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A. McQuagge</w:t>
            </w:r>
          </w:p>
        </w:tc>
        <w:tc>
          <w:tcPr>
            <w:tcW w:w="3461" w:type="dxa"/>
            <w:gridSpan w:val="2"/>
          </w:tcPr>
          <w:p w:rsidR="00B377C9" w:rsidRDefault="00D338A8">
            <w:pPr>
              <w:pStyle w:val="Heading2"/>
              <w:spacing w:before="0"/>
              <w:jc w:val="left"/>
              <w:rPr>
                <w:u w:val="none"/>
              </w:rPr>
            </w:pPr>
            <w:r>
              <w:rPr>
                <w:u w:val="none"/>
              </w:rPr>
              <w:t>Distribution System Overview; Distribution Planning and Budget Process; Distribution Plant and O &amp; M; Distribution System Performance</w:t>
            </w:r>
          </w:p>
          <w:p w:rsidR="0087536D" w:rsidRPr="0087536D" w:rsidRDefault="0087536D" w:rsidP="0087536D"/>
        </w:tc>
        <w:tc>
          <w:tcPr>
            <w:tcW w:w="2889" w:type="dxa"/>
            <w:gridSpan w:val="2"/>
          </w:tcPr>
          <w:p w:rsidR="00B377C9" w:rsidRDefault="004865CC">
            <w:pPr>
              <w:pStyle w:val="Heading2"/>
              <w:spacing w:before="0"/>
              <w:jc w:val="left"/>
              <w:rPr>
                <w:u w:val="none"/>
              </w:rPr>
            </w:pPr>
            <w:r>
              <w:rPr>
                <w:u w:val="none"/>
              </w:rPr>
              <w:t xml:space="preserve">7, </w:t>
            </w:r>
            <w:r w:rsidR="00CE7799">
              <w:rPr>
                <w:u w:val="none"/>
              </w:rPr>
              <w:t xml:space="preserve">37, 38, </w:t>
            </w:r>
            <w:r w:rsidR="00953D3A">
              <w:rPr>
                <w:u w:val="none"/>
              </w:rPr>
              <w:t>41</w:t>
            </w:r>
          </w:p>
        </w:tc>
      </w:tr>
      <w:tr w:rsidR="00E91270" w:rsidTr="008002FB">
        <w:trPr>
          <w:trHeight w:val="551"/>
        </w:trPr>
        <w:tc>
          <w:tcPr>
            <w:tcW w:w="3130" w:type="dxa"/>
            <w:gridSpan w:val="2"/>
          </w:tcPr>
          <w:p w:rsidR="00E91270" w:rsidRDefault="00196644"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 L. Burroughs</w:t>
            </w:r>
          </w:p>
        </w:tc>
        <w:tc>
          <w:tcPr>
            <w:tcW w:w="3461" w:type="dxa"/>
            <w:gridSpan w:val="2"/>
          </w:tcPr>
          <w:p w:rsidR="00E91270" w:rsidRDefault="00196644" w:rsidP="0087536D">
            <w:pPr>
              <w:pStyle w:val="Heading2"/>
              <w:spacing w:before="0"/>
              <w:jc w:val="left"/>
              <w:rPr>
                <w:u w:val="none"/>
              </w:rPr>
            </w:pPr>
            <w:r>
              <w:rPr>
                <w:u w:val="none"/>
              </w:rPr>
              <w:t>Generation Fleet; Fuel Inventory</w:t>
            </w:r>
          </w:p>
          <w:p w:rsidR="0087536D" w:rsidRPr="0087536D" w:rsidRDefault="0087536D" w:rsidP="0087536D"/>
        </w:tc>
        <w:tc>
          <w:tcPr>
            <w:tcW w:w="2889" w:type="dxa"/>
            <w:gridSpan w:val="2"/>
          </w:tcPr>
          <w:p w:rsidR="00E91270" w:rsidRDefault="004865CC" w:rsidP="004865CC">
            <w:pPr>
              <w:pStyle w:val="Heading2"/>
              <w:spacing w:before="0"/>
              <w:jc w:val="left"/>
              <w:rPr>
                <w:u w:val="none"/>
              </w:rPr>
            </w:pPr>
            <w:r>
              <w:rPr>
                <w:u w:val="none"/>
              </w:rPr>
              <w:t xml:space="preserve">7, </w:t>
            </w:r>
            <w:r w:rsidR="00CE7799">
              <w:rPr>
                <w:u w:val="none"/>
              </w:rPr>
              <w:t>19</w:t>
            </w:r>
          </w:p>
        </w:tc>
      </w:tr>
      <w:tr w:rsidR="00E91270" w:rsidTr="008002FB">
        <w:trPr>
          <w:trHeight w:val="1684"/>
        </w:trPr>
        <w:tc>
          <w:tcPr>
            <w:tcW w:w="3130" w:type="dxa"/>
            <w:gridSpan w:val="2"/>
          </w:tcPr>
          <w:p w:rsidR="00E91270" w:rsidRDefault="00D338A8" w:rsidP="007260E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 W. Grove</w:t>
            </w:r>
          </w:p>
        </w:tc>
        <w:tc>
          <w:tcPr>
            <w:tcW w:w="3461" w:type="dxa"/>
            <w:gridSpan w:val="2"/>
          </w:tcPr>
          <w:p w:rsidR="007260E9" w:rsidRDefault="00D338A8" w:rsidP="00D338A8">
            <w:pPr>
              <w:pStyle w:val="Heading2"/>
              <w:spacing w:before="0"/>
              <w:jc w:val="left"/>
              <w:rPr>
                <w:u w:val="none"/>
              </w:rPr>
            </w:pPr>
            <w:r>
              <w:rPr>
                <w:u w:val="none"/>
              </w:rPr>
              <w:t>Generation Fleet; Resource Planning Process; Production Planning and Budget Process; Production Plant and O &amp; M</w:t>
            </w:r>
          </w:p>
          <w:p w:rsidR="0087536D" w:rsidRPr="0087536D" w:rsidRDefault="0087536D" w:rsidP="0087536D"/>
        </w:tc>
        <w:tc>
          <w:tcPr>
            <w:tcW w:w="2889" w:type="dxa"/>
            <w:gridSpan w:val="2"/>
          </w:tcPr>
          <w:p w:rsidR="00E91270" w:rsidRDefault="004865CC">
            <w:pPr>
              <w:pStyle w:val="Heading2"/>
              <w:spacing w:before="0"/>
              <w:jc w:val="left"/>
              <w:rPr>
                <w:u w:val="none"/>
              </w:rPr>
            </w:pPr>
            <w:r>
              <w:rPr>
                <w:u w:val="none"/>
              </w:rPr>
              <w:t xml:space="preserve">7, </w:t>
            </w:r>
            <w:r w:rsidR="00CE7799">
              <w:rPr>
                <w:u w:val="none"/>
              </w:rPr>
              <w:t>39</w:t>
            </w:r>
          </w:p>
        </w:tc>
      </w:tr>
      <w:tr w:rsidR="00E91270" w:rsidTr="008002FB">
        <w:trPr>
          <w:trHeight w:val="291"/>
        </w:trPr>
        <w:tc>
          <w:tcPr>
            <w:tcW w:w="3130" w:type="dxa"/>
            <w:gridSpan w:val="2"/>
          </w:tcPr>
          <w:p w:rsidR="00E91270" w:rsidRDefault="00D338A8" w:rsidP="00B377C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5850">
              <w:t>J. O. Vick</w:t>
            </w:r>
          </w:p>
        </w:tc>
        <w:tc>
          <w:tcPr>
            <w:tcW w:w="3461" w:type="dxa"/>
            <w:gridSpan w:val="2"/>
          </w:tcPr>
          <w:p w:rsidR="00E91270" w:rsidRPr="004B778C" w:rsidRDefault="004B778C" w:rsidP="007260E9">
            <w:pPr>
              <w:pStyle w:val="Heading2"/>
              <w:spacing w:before="0"/>
              <w:jc w:val="left"/>
              <w:rPr>
                <w:u w:val="none"/>
              </w:rPr>
            </w:pPr>
            <w:r>
              <w:rPr>
                <w:u w:val="none"/>
              </w:rPr>
              <w:t xml:space="preserve">2013 Environmental Compliance Program Update; Mercury and Air Toxics Standards (MATS) compliance strategy </w:t>
            </w:r>
          </w:p>
          <w:p w:rsidR="0010459F" w:rsidRPr="0010459F" w:rsidRDefault="0010459F" w:rsidP="0010459F"/>
        </w:tc>
        <w:tc>
          <w:tcPr>
            <w:tcW w:w="2889" w:type="dxa"/>
            <w:gridSpan w:val="2"/>
          </w:tcPr>
          <w:p w:rsidR="00E91270" w:rsidRDefault="00FD40A9">
            <w:pPr>
              <w:pStyle w:val="Heading2"/>
              <w:spacing w:before="0"/>
              <w:jc w:val="left"/>
              <w:rPr>
                <w:u w:val="none"/>
              </w:rPr>
            </w:pPr>
            <w:r>
              <w:rPr>
                <w:u w:val="none"/>
              </w:rPr>
              <w:t>Transmission Projects</w:t>
            </w:r>
            <w:r w:rsidR="00772C9A">
              <w:rPr>
                <w:u w:val="none"/>
              </w:rPr>
              <w:t xml:space="preserve"> (Issue Nos. not assigned)</w:t>
            </w:r>
          </w:p>
        </w:tc>
      </w:tr>
      <w:tr w:rsidR="0010459F" w:rsidTr="008002FB">
        <w:trPr>
          <w:trHeight w:val="291"/>
        </w:trPr>
        <w:tc>
          <w:tcPr>
            <w:tcW w:w="3130" w:type="dxa"/>
            <w:gridSpan w:val="2"/>
          </w:tcPr>
          <w:p w:rsidR="0010459F" w:rsidRPr="00D338A8" w:rsidRDefault="00B85850" w:rsidP="00B377C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B85850">
              <w:t xml:space="preserve">N. M. </w:t>
            </w:r>
            <w:r w:rsidR="0010459F" w:rsidRPr="00B85850">
              <w:t>Cain</w:t>
            </w:r>
          </w:p>
        </w:tc>
        <w:tc>
          <w:tcPr>
            <w:tcW w:w="3461" w:type="dxa"/>
            <w:gridSpan w:val="2"/>
          </w:tcPr>
          <w:p w:rsidR="0010459F" w:rsidRPr="004B778C" w:rsidRDefault="004B778C" w:rsidP="007260E9">
            <w:pPr>
              <w:pStyle w:val="Heading2"/>
              <w:spacing w:before="0"/>
              <w:jc w:val="left"/>
              <w:rPr>
                <w:u w:val="none"/>
              </w:rPr>
            </w:pPr>
            <w:r>
              <w:rPr>
                <w:u w:val="none"/>
              </w:rPr>
              <w:t>Economic a</w:t>
            </w:r>
            <w:r w:rsidRPr="004B778C">
              <w:rPr>
                <w:u w:val="none"/>
              </w:rPr>
              <w:t xml:space="preserve">nalysis supporting </w:t>
            </w:r>
            <w:r>
              <w:rPr>
                <w:u w:val="none"/>
              </w:rPr>
              <w:t xml:space="preserve">Gulf’s </w:t>
            </w:r>
            <w:r w:rsidRPr="004B778C">
              <w:rPr>
                <w:u w:val="none"/>
              </w:rPr>
              <w:t>MATS compliance strategy for Plant Crist and Plant Smith</w:t>
            </w:r>
          </w:p>
          <w:p w:rsidR="0010459F" w:rsidRPr="0010459F" w:rsidRDefault="0010459F" w:rsidP="0010459F"/>
        </w:tc>
        <w:tc>
          <w:tcPr>
            <w:tcW w:w="2889" w:type="dxa"/>
            <w:gridSpan w:val="2"/>
          </w:tcPr>
          <w:p w:rsidR="0010459F" w:rsidRDefault="00FD40A9">
            <w:pPr>
              <w:pStyle w:val="Heading2"/>
              <w:spacing w:before="0"/>
              <w:jc w:val="left"/>
              <w:rPr>
                <w:u w:val="none"/>
              </w:rPr>
            </w:pPr>
            <w:r>
              <w:rPr>
                <w:u w:val="none"/>
              </w:rPr>
              <w:t>Transmission Projects</w:t>
            </w:r>
          </w:p>
          <w:p w:rsidR="00772C9A" w:rsidRPr="00772C9A" w:rsidRDefault="00772C9A" w:rsidP="00772C9A">
            <w:r>
              <w:t>(Issue Nos. not assigned)</w:t>
            </w:r>
          </w:p>
        </w:tc>
      </w:tr>
      <w:tr w:rsidR="00EF7D21" w:rsidTr="008002FB">
        <w:trPr>
          <w:gridAfter w:val="1"/>
          <w:wAfter w:w="30" w:type="dxa"/>
          <w:trHeight w:val="558"/>
        </w:trPr>
        <w:tc>
          <w:tcPr>
            <w:tcW w:w="3120" w:type="dxa"/>
          </w:tcPr>
          <w:p w:rsidR="00EF7D21" w:rsidRDefault="00EF7D21" w:rsidP="00EF7D21">
            <w:pPr>
              <w:pStyle w:val="Heading2"/>
              <w:spacing w:before="0"/>
              <w:jc w:val="left"/>
            </w:pPr>
            <w:r>
              <w:lastRenderedPageBreak/>
              <w:t xml:space="preserve">Witness </w:t>
            </w:r>
          </w:p>
          <w:p w:rsidR="00EF7D21" w:rsidRDefault="00EF7D21" w:rsidP="00EF7D2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(Direct Cont.)</w:t>
            </w:r>
          </w:p>
          <w:p w:rsidR="00EF7D21" w:rsidRDefault="00EF7D21" w:rsidP="00B377C9"/>
        </w:tc>
        <w:tc>
          <w:tcPr>
            <w:tcW w:w="3450" w:type="dxa"/>
            <w:gridSpan w:val="2"/>
          </w:tcPr>
          <w:p w:rsidR="00EF7D21" w:rsidRDefault="00EF7D21" w:rsidP="00D338A8">
            <w:pPr>
              <w:pStyle w:val="Heading2"/>
              <w:spacing w:before="0"/>
              <w:jc w:val="left"/>
              <w:rPr>
                <w:u w:val="none"/>
              </w:rPr>
            </w:pPr>
            <w:r>
              <w:t>Subject Matter</w:t>
            </w:r>
          </w:p>
        </w:tc>
        <w:tc>
          <w:tcPr>
            <w:tcW w:w="2880" w:type="dxa"/>
            <w:gridSpan w:val="2"/>
          </w:tcPr>
          <w:p w:rsidR="00EF7D21" w:rsidRDefault="00EF7D21">
            <w:pPr>
              <w:pStyle w:val="Heading2"/>
              <w:spacing w:before="0"/>
              <w:jc w:val="left"/>
              <w:rPr>
                <w:u w:val="none"/>
              </w:rPr>
            </w:pPr>
            <w:r>
              <w:t>Issues</w:t>
            </w:r>
          </w:p>
        </w:tc>
      </w:tr>
      <w:tr w:rsidR="009C63BF" w:rsidTr="008002FB">
        <w:trPr>
          <w:gridAfter w:val="1"/>
          <w:wAfter w:w="30" w:type="dxa"/>
          <w:trHeight w:val="558"/>
        </w:trPr>
        <w:tc>
          <w:tcPr>
            <w:tcW w:w="3120" w:type="dxa"/>
          </w:tcPr>
          <w:p w:rsidR="009C63BF" w:rsidRPr="009C63BF" w:rsidRDefault="009C63BF" w:rsidP="00EF7D21">
            <w:pPr>
              <w:pStyle w:val="Heading2"/>
              <w:spacing w:before="0"/>
              <w:jc w:val="left"/>
              <w:rPr>
                <w:u w:val="none"/>
              </w:rPr>
            </w:pPr>
            <w:r w:rsidRPr="009C63BF">
              <w:rPr>
                <w:u w:val="none"/>
              </w:rPr>
              <w:t>P. C. Caldwell</w:t>
            </w:r>
          </w:p>
        </w:tc>
        <w:tc>
          <w:tcPr>
            <w:tcW w:w="3450" w:type="dxa"/>
            <w:gridSpan w:val="2"/>
          </w:tcPr>
          <w:p w:rsidR="00817DEE" w:rsidRDefault="009C63BF" w:rsidP="00817DEE">
            <w:pPr>
              <w:pStyle w:val="Heading2"/>
              <w:spacing w:before="0"/>
              <w:jc w:val="left"/>
              <w:rPr>
                <w:u w:val="none"/>
              </w:rPr>
            </w:pPr>
            <w:r>
              <w:rPr>
                <w:u w:val="none"/>
              </w:rPr>
              <w:t xml:space="preserve">Transmission System Overview; Transmission System </w:t>
            </w:r>
            <w:r w:rsidR="00817DEE">
              <w:rPr>
                <w:u w:val="none"/>
              </w:rPr>
              <w:t xml:space="preserve">Oversight and </w:t>
            </w:r>
            <w:r>
              <w:rPr>
                <w:u w:val="none"/>
              </w:rPr>
              <w:t>Management</w:t>
            </w:r>
            <w:r w:rsidR="00817DEE">
              <w:rPr>
                <w:u w:val="none"/>
              </w:rPr>
              <w:t xml:space="preserve"> Process</w:t>
            </w:r>
            <w:r>
              <w:rPr>
                <w:u w:val="none"/>
              </w:rPr>
              <w:t xml:space="preserve">; Transmission </w:t>
            </w:r>
            <w:r w:rsidR="00801316">
              <w:rPr>
                <w:u w:val="none"/>
              </w:rPr>
              <w:t xml:space="preserve">Planning </w:t>
            </w:r>
            <w:r>
              <w:rPr>
                <w:u w:val="none"/>
              </w:rPr>
              <w:t xml:space="preserve">Process; </w:t>
            </w:r>
            <w:r w:rsidR="00817DEE">
              <w:rPr>
                <w:u w:val="none"/>
              </w:rPr>
              <w:t>Capital Budget Process; Transmission Plant and Capital Additions Budget;</w:t>
            </w:r>
            <w:r w:rsidR="008002FB">
              <w:rPr>
                <w:u w:val="none"/>
              </w:rPr>
              <w:t xml:space="preserve"> </w:t>
            </w:r>
            <w:r w:rsidR="00817DEE">
              <w:rPr>
                <w:u w:val="none"/>
              </w:rPr>
              <w:t>2015 Compliance-related Capital Additions; Transmission O &amp; M Budget Process; Transmission Maintenance Programs and O &amp; M Budget; Transmission System Performance</w:t>
            </w:r>
          </w:p>
          <w:p w:rsidR="009C63BF" w:rsidRDefault="009C63BF" w:rsidP="00D338A8">
            <w:pPr>
              <w:pStyle w:val="Heading2"/>
              <w:spacing w:before="0"/>
              <w:jc w:val="left"/>
            </w:pPr>
          </w:p>
        </w:tc>
        <w:tc>
          <w:tcPr>
            <w:tcW w:w="2880" w:type="dxa"/>
            <w:gridSpan w:val="2"/>
          </w:tcPr>
          <w:p w:rsidR="009C63BF" w:rsidRPr="004865CC" w:rsidRDefault="004865CC">
            <w:pPr>
              <w:pStyle w:val="Heading2"/>
              <w:spacing w:before="0"/>
              <w:jc w:val="left"/>
              <w:rPr>
                <w:u w:val="none"/>
              </w:rPr>
            </w:pPr>
            <w:r w:rsidRPr="004865CC">
              <w:rPr>
                <w:u w:val="none"/>
              </w:rPr>
              <w:t xml:space="preserve">7, </w:t>
            </w:r>
            <w:r w:rsidR="00FD40A9">
              <w:rPr>
                <w:u w:val="none"/>
              </w:rPr>
              <w:t>Transmission Projects</w:t>
            </w:r>
            <w:r w:rsidR="00772C9A">
              <w:rPr>
                <w:u w:val="none"/>
              </w:rPr>
              <w:t xml:space="preserve"> (Issue Nos. not assigned)</w:t>
            </w:r>
            <w:r w:rsidR="00953D3A">
              <w:rPr>
                <w:u w:val="none"/>
              </w:rPr>
              <w:t>, 40</w:t>
            </w:r>
            <w:r w:rsidR="00D4691F">
              <w:rPr>
                <w:u w:val="none"/>
              </w:rPr>
              <w:t>, 65</w:t>
            </w:r>
            <w:r w:rsidR="00953D3A">
              <w:rPr>
                <w:u w:val="none"/>
              </w:rPr>
              <w:t xml:space="preserve"> </w:t>
            </w:r>
          </w:p>
        </w:tc>
      </w:tr>
      <w:tr w:rsidR="00196644" w:rsidTr="008002FB">
        <w:trPr>
          <w:gridAfter w:val="1"/>
          <w:wAfter w:w="30" w:type="dxa"/>
          <w:trHeight w:val="558"/>
        </w:trPr>
        <w:tc>
          <w:tcPr>
            <w:tcW w:w="3120" w:type="dxa"/>
          </w:tcPr>
          <w:p w:rsidR="00196644" w:rsidRPr="006A6CCC" w:rsidRDefault="00D338A8" w:rsidP="00B377C9">
            <w:r>
              <w:t>R. J. Alexander</w:t>
            </w:r>
          </w:p>
        </w:tc>
        <w:tc>
          <w:tcPr>
            <w:tcW w:w="3450" w:type="dxa"/>
            <w:gridSpan w:val="2"/>
          </w:tcPr>
          <w:p w:rsidR="00196644" w:rsidRDefault="00D338A8" w:rsidP="00D338A8">
            <w:pPr>
              <w:pStyle w:val="Heading2"/>
              <w:spacing w:before="0"/>
              <w:jc w:val="left"/>
              <w:rPr>
                <w:u w:val="none"/>
              </w:rPr>
            </w:pPr>
            <w:r>
              <w:rPr>
                <w:u w:val="none"/>
              </w:rPr>
              <w:t>Customer, Energy, Demand a</w:t>
            </w:r>
            <w:r w:rsidR="008F05D6">
              <w:rPr>
                <w:u w:val="none"/>
              </w:rPr>
              <w:t>nd Base Rate Revenue Forecasts</w:t>
            </w:r>
          </w:p>
          <w:p w:rsidR="0087536D" w:rsidRPr="0087536D" w:rsidRDefault="0087536D" w:rsidP="0087536D"/>
        </w:tc>
        <w:tc>
          <w:tcPr>
            <w:tcW w:w="2880" w:type="dxa"/>
            <w:gridSpan w:val="2"/>
          </w:tcPr>
          <w:p w:rsidR="00196644" w:rsidRDefault="00677A87">
            <w:pPr>
              <w:pStyle w:val="Heading2"/>
              <w:spacing w:before="0"/>
              <w:jc w:val="left"/>
              <w:rPr>
                <w:u w:val="none"/>
              </w:rPr>
            </w:pPr>
            <w:r>
              <w:rPr>
                <w:u w:val="none"/>
              </w:rPr>
              <w:t xml:space="preserve">2, 3, 4, 5, </w:t>
            </w:r>
            <w:r w:rsidR="00CE7799">
              <w:rPr>
                <w:u w:val="none"/>
              </w:rPr>
              <w:t>31</w:t>
            </w:r>
          </w:p>
        </w:tc>
      </w:tr>
      <w:tr w:rsidR="00196644" w:rsidTr="008002FB">
        <w:trPr>
          <w:gridAfter w:val="1"/>
          <w:wAfter w:w="30" w:type="dxa"/>
          <w:trHeight w:val="558"/>
        </w:trPr>
        <w:tc>
          <w:tcPr>
            <w:tcW w:w="3120" w:type="dxa"/>
          </w:tcPr>
          <w:p w:rsidR="00196644" w:rsidRDefault="0010459F" w:rsidP="00B377C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 S. Teel</w:t>
            </w:r>
          </w:p>
        </w:tc>
        <w:tc>
          <w:tcPr>
            <w:tcW w:w="3450" w:type="dxa"/>
            <w:gridSpan w:val="2"/>
          </w:tcPr>
          <w:p w:rsidR="00196644" w:rsidRDefault="00961480" w:rsidP="00961480">
            <w:pPr>
              <w:pStyle w:val="Heading2"/>
              <w:spacing w:before="0"/>
              <w:jc w:val="left"/>
              <w:rPr>
                <w:u w:val="none"/>
              </w:rPr>
            </w:pPr>
            <w:r>
              <w:rPr>
                <w:u w:val="none"/>
              </w:rPr>
              <w:t xml:space="preserve">Need for Rate Relief; </w:t>
            </w:r>
            <w:r w:rsidR="0010459F">
              <w:rPr>
                <w:u w:val="none"/>
              </w:rPr>
              <w:t>Appropriateness of 2014 Test Year;</w:t>
            </w:r>
            <w:r>
              <w:rPr>
                <w:u w:val="none"/>
              </w:rPr>
              <w:t xml:space="preserve"> </w:t>
            </w:r>
            <w:r w:rsidR="0010459F">
              <w:rPr>
                <w:u w:val="none"/>
              </w:rPr>
              <w:t xml:space="preserve">Financial Integrity and Credit Quality; </w:t>
            </w:r>
            <w:r>
              <w:rPr>
                <w:u w:val="none"/>
              </w:rPr>
              <w:t xml:space="preserve">Steps to avoid rate case; </w:t>
            </w:r>
            <w:r w:rsidR="0010459F">
              <w:rPr>
                <w:u w:val="none"/>
              </w:rPr>
              <w:t>Capital Structure and Cost of Capital;</w:t>
            </w:r>
            <w:r>
              <w:rPr>
                <w:u w:val="none"/>
              </w:rPr>
              <w:t xml:space="preserve"> Importance of </w:t>
            </w:r>
            <w:r w:rsidR="00EF7D21">
              <w:rPr>
                <w:u w:val="none"/>
              </w:rPr>
              <w:t>financial g</w:t>
            </w:r>
            <w:r>
              <w:rPr>
                <w:u w:val="none"/>
              </w:rPr>
              <w:t>oals in employee compensation package;</w:t>
            </w:r>
            <w:r w:rsidR="0010459F">
              <w:rPr>
                <w:u w:val="none"/>
              </w:rPr>
              <w:t xml:space="preserve"> Parent Debt Adjustment</w:t>
            </w:r>
          </w:p>
          <w:p w:rsidR="0087536D" w:rsidRPr="0087536D" w:rsidRDefault="0087536D" w:rsidP="0087536D"/>
        </w:tc>
        <w:tc>
          <w:tcPr>
            <w:tcW w:w="2880" w:type="dxa"/>
            <w:gridSpan w:val="2"/>
          </w:tcPr>
          <w:p w:rsidR="00196644" w:rsidRDefault="00677A87" w:rsidP="00F2356C">
            <w:pPr>
              <w:pStyle w:val="Heading2"/>
              <w:spacing w:before="0"/>
              <w:jc w:val="left"/>
              <w:rPr>
                <w:u w:val="none"/>
              </w:rPr>
            </w:pPr>
            <w:r>
              <w:rPr>
                <w:u w:val="none"/>
              </w:rPr>
              <w:t>1,</w:t>
            </w:r>
            <w:r w:rsidR="009C7364">
              <w:rPr>
                <w:u w:val="none"/>
              </w:rPr>
              <w:t xml:space="preserve"> 29, 30, </w:t>
            </w:r>
            <w:r w:rsidR="00F2356C">
              <w:rPr>
                <w:u w:val="none"/>
              </w:rPr>
              <w:t>4</w:t>
            </w:r>
            <w:r w:rsidR="009C7364">
              <w:rPr>
                <w:u w:val="none"/>
              </w:rPr>
              <w:t>2</w:t>
            </w:r>
            <w:r w:rsidR="00D4691F">
              <w:rPr>
                <w:u w:val="none"/>
              </w:rPr>
              <w:t>,</w:t>
            </w:r>
            <w:r>
              <w:rPr>
                <w:u w:val="none"/>
              </w:rPr>
              <w:t xml:space="preserve"> </w:t>
            </w:r>
            <w:r w:rsidR="00A257AC">
              <w:rPr>
                <w:u w:val="none"/>
              </w:rPr>
              <w:t>59</w:t>
            </w:r>
          </w:p>
        </w:tc>
      </w:tr>
      <w:tr w:rsidR="0087536D" w:rsidTr="008002FB">
        <w:trPr>
          <w:gridAfter w:val="1"/>
          <w:wAfter w:w="30" w:type="dxa"/>
        </w:trPr>
        <w:tc>
          <w:tcPr>
            <w:tcW w:w="3120" w:type="dxa"/>
          </w:tcPr>
          <w:p w:rsidR="0087536D" w:rsidRDefault="0087536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H. Vander Weide</w:t>
            </w:r>
          </w:p>
        </w:tc>
        <w:tc>
          <w:tcPr>
            <w:tcW w:w="3450" w:type="dxa"/>
            <w:gridSpan w:val="2"/>
          </w:tcPr>
          <w:p w:rsidR="0087536D" w:rsidRDefault="0087536D" w:rsidP="008F05D6">
            <w:pPr>
              <w:pStyle w:val="Heading2"/>
              <w:spacing w:before="0"/>
              <w:jc w:val="left"/>
              <w:rPr>
                <w:u w:val="none"/>
              </w:rPr>
            </w:pPr>
            <w:r>
              <w:rPr>
                <w:u w:val="none"/>
              </w:rPr>
              <w:t>Cost of Equity Capital; Rate of Return on Equity</w:t>
            </w:r>
          </w:p>
          <w:p w:rsidR="0087536D" w:rsidRDefault="0087536D" w:rsidP="008F05D6">
            <w:pPr>
              <w:pStyle w:val="Heading2"/>
              <w:spacing w:before="0"/>
              <w:jc w:val="left"/>
              <w:rPr>
                <w:u w:val="none"/>
              </w:rPr>
            </w:pPr>
          </w:p>
        </w:tc>
        <w:tc>
          <w:tcPr>
            <w:tcW w:w="2880" w:type="dxa"/>
            <w:gridSpan w:val="2"/>
          </w:tcPr>
          <w:p w:rsidR="0087536D" w:rsidRDefault="00953D3A">
            <w:pPr>
              <w:pStyle w:val="Heading2"/>
              <w:spacing w:before="0"/>
              <w:jc w:val="left"/>
              <w:rPr>
                <w:u w:val="none"/>
              </w:rPr>
            </w:pPr>
            <w:r>
              <w:rPr>
                <w:u w:val="none"/>
              </w:rPr>
              <w:t>29</w:t>
            </w:r>
            <w:r w:rsidR="00CE7799">
              <w:rPr>
                <w:u w:val="none"/>
              </w:rPr>
              <w:t xml:space="preserve"> </w:t>
            </w:r>
          </w:p>
        </w:tc>
      </w:tr>
      <w:tr w:rsidR="0087536D" w:rsidTr="008002FB">
        <w:trPr>
          <w:gridAfter w:val="1"/>
          <w:wAfter w:w="30" w:type="dxa"/>
        </w:trPr>
        <w:tc>
          <w:tcPr>
            <w:tcW w:w="3120" w:type="dxa"/>
          </w:tcPr>
          <w:p w:rsidR="0087536D" w:rsidRDefault="005E44A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M. Garvie</w:t>
            </w:r>
          </w:p>
        </w:tc>
        <w:tc>
          <w:tcPr>
            <w:tcW w:w="3450" w:type="dxa"/>
            <w:gridSpan w:val="2"/>
          </w:tcPr>
          <w:p w:rsidR="005E44A3" w:rsidRDefault="005E44A3" w:rsidP="00D338A8">
            <w:pPr>
              <w:pStyle w:val="Heading2"/>
              <w:spacing w:before="0"/>
              <w:jc w:val="left"/>
              <w:rPr>
                <w:u w:val="none"/>
              </w:rPr>
            </w:pPr>
            <w:proofErr w:type="gramStart"/>
            <w:r>
              <w:rPr>
                <w:u w:val="none"/>
              </w:rPr>
              <w:t>Compensation and Benefits</w:t>
            </w:r>
            <w:r w:rsidR="001A30E5">
              <w:rPr>
                <w:u w:val="none"/>
              </w:rPr>
              <w:t>.</w:t>
            </w:r>
            <w:proofErr w:type="gramEnd"/>
            <w:r w:rsidR="001A30E5">
              <w:rPr>
                <w:u w:val="none"/>
              </w:rPr>
              <w:t xml:space="preserve"> Medical Benefits</w:t>
            </w:r>
          </w:p>
          <w:p w:rsidR="0087536D" w:rsidRDefault="005E44A3" w:rsidP="00D338A8">
            <w:pPr>
              <w:pStyle w:val="Heading2"/>
              <w:spacing w:before="0"/>
              <w:jc w:val="left"/>
              <w:rPr>
                <w:u w:val="none"/>
              </w:rPr>
            </w:pPr>
            <w:r>
              <w:rPr>
                <w:u w:val="none"/>
              </w:rPr>
              <w:t xml:space="preserve"> </w:t>
            </w:r>
          </w:p>
        </w:tc>
        <w:tc>
          <w:tcPr>
            <w:tcW w:w="2880" w:type="dxa"/>
            <w:gridSpan w:val="2"/>
          </w:tcPr>
          <w:p w:rsidR="0087536D" w:rsidRDefault="00CE7799">
            <w:pPr>
              <w:pStyle w:val="Heading2"/>
              <w:spacing w:before="0"/>
              <w:jc w:val="left"/>
              <w:rPr>
                <w:u w:val="none"/>
              </w:rPr>
            </w:pPr>
            <w:r>
              <w:rPr>
                <w:u w:val="none"/>
              </w:rPr>
              <w:t>20</w:t>
            </w:r>
            <w:r w:rsidR="00953D3A">
              <w:rPr>
                <w:u w:val="none"/>
              </w:rPr>
              <w:t>, 42</w:t>
            </w:r>
            <w:r w:rsidR="00C06DA2">
              <w:rPr>
                <w:u w:val="none"/>
              </w:rPr>
              <w:t>, 44</w:t>
            </w:r>
            <w:r w:rsidR="006F6A69">
              <w:rPr>
                <w:u w:val="none"/>
              </w:rPr>
              <w:t>, 45, 46, 47</w:t>
            </w:r>
          </w:p>
          <w:p w:rsidR="005E44A3" w:rsidRPr="005E44A3" w:rsidRDefault="005E44A3" w:rsidP="005E44A3"/>
        </w:tc>
      </w:tr>
      <w:tr w:rsidR="005E44A3" w:rsidTr="008002FB">
        <w:trPr>
          <w:gridAfter w:val="1"/>
          <w:wAfter w:w="30" w:type="dxa"/>
        </w:trPr>
        <w:tc>
          <w:tcPr>
            <w:tcW w:w="3120" w:type="dxa"/>
          </w:tcPr>
          <w:p w:rsidR="005E44A3" w:rsidRDefault="005E44A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 P. Harris</w:t>
            </w:r>
          </w:p>
        </w:tc>
        <w:tc>
          <w:tcPr>
            <w:tcW w:w="3450" w:type="dxa"/>
            <w:gridSpan w:val="2"/>
          </w:tcPr>
          <w:p w:rsidR="005E44A3" w:rsidRDefault="005E44A3" w:rsidP="005E44A3">
            <w:pPr>
              <w:pStyle w:val="Heading2"/>
              <w:spacing w:before="0"/>
              <w:jc w:val="left"/>
              <w:rPr>
                <w:u w:val="none"/>
              </w:rPr>
            </w:pPr>
            <w:r>
              <w:rPr>
                <w:u w:val="none"/>
              </w:rPr>
              <w:t>Hurricane Loss Analysis; Reserve Performance Analysis</w:t>
            </w:r>
          </w:p>
          <w:p w:rsidR="005E44A3" w:rsidRPr="005E44A3" w:rsidRDefault="005E44A3" w:rsidP="005E44A3"/>
        </w:tc>
        <w:tc>
          <w:tcPr>
            <w:tcW w:w="2880" w:type="dxa"/>
            <w:gridSpan w:val="2"/>
          </w:tcPr>
          <w:p w:rsidR="005E44A3" w:rsidRDefault="00C06DA2">
            <w:pPr>
              <w:pStyle w:val="Heading2"/>
              <w:spacing w:before="0"/>
              <w:jc w:val="left"/>
              <w:rPr>
                <w:u w:val="none"/>
              </w:rPr>
            </w:pPr>
            <w:r>
              <w:rPr>
                <w:u w:val="none"/>
              </w:rPr>
              <w:t>48</w:t>
            </w:r>
          </w:p>
        </w:tc>
      </w:tr>
      <w:tr w:rsidR="005E44A3" w:rsidTr="008002FB">
        <w:trPr>
          <w:gridAfter w:val="1"/>
          <w:wAfter w:w="30" w:type="dxa"/>
        </w:trPr>
        <w:tc>
          <w:tcPr>
            <w:tcW w:w="3120" w:type="dxa"/>
          </w:tcPr>
          <w:p w:rsidR="005E44A3" w:rsidRDefault="005E44A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 S. Huck</w:t>
            </w:r>
          </w:p>
        </w:tc>
        <w:tc>
          <w:tcPr>
            <w:tcW w:w="3450" w:type="dxa"/>
            <w:gridSpan w:val="2"/>
          </w:tcPr>
          <w:p w:rsidR="005E44A3" w:rsidRDefault="005E44A3" w:rsidP="005E44A3">
            <w:pPr>
              <w:pStyle w:val="Heading2"/>
              <w:spacing w:before="0"/>
              <w:jc w:val="left"/>
              <w:rPr>
                <w:u w:val="none"/>
              </w:rPr>
            </w:pPr>
            <w:r>
              <w:rPr>
                <w:u w:val="none"/>
              </w:rPr>
              <w:t>Depreciation</w:t>
            </w:r>
          </w:p>
          <w:p w:rsidR="005E44A3" w:rsidRPr="005E44A3" w:rsidRDefault="005E44A3" w:rsidP="005E44A3"/>
        </w:tc>
        <w:tc>
          <w:tcPr>
            <w:tcW w:w="2880" w:type="dxa"/>
            <w:gridSpan w:val="2"/>
          </w:tcPr>
          <w:p w:rsidR="005E44A3" w:rsidRDefault="004865CC">
            <w:pPr>
              <w:pStyle w:val="Heading2"/>
              <w:spacing w:before="0"/>
              <w:jc w:val="left"/>
              <w:rPr>
                <w:u w:val="none"/>
              </w:rPr>
            </w:pPr>
            <w:r>
              <w:rPr>
                <w:u w:val="none"/>
              </w:rPr>
              <w:t xml:space="preserve">8, </w:t>
            </w:r>
            <w:r w:rsidR="00FD40A9">
              <w:rPr>
                <w:u w:val="none"/>
              </w:rPr>
              <w:t>8B, 8C, 9, 12</w:t>
            </w:r>
            <w:r w:rsidR="00A257AC">
              <w:rPr>
                <w:u w:val="none"/>
              </w:rPr>
              <w:t>, 56</w:t>
            </w:r>
          </w:p>
        </w:tc>
      </w:tr>
    </w:tbl>
    <w:p w:rsidR="00B86E58" w:rsidRDefault="00B86E58"/>
    <w:p w:rsidR="005965C5" w:rsidRDefault="005965C5"/>
    <w:tbl>
      <w:tblPr>
        <w:tblW w:w="9450" w:type="dxa"/>
        <w:tblInd w:w="120" w:type="dxa"/>
        <w:tblLayout w:type="fixed"/>
        <w:tblCellMar>
          <w:left w:w="120" w:type="dxa"/>
          <w:right w:w="120" w:type="dxa"/>
        </w:tblCellMar>
        <w:tblLook w:val="0000" w:firstRow="0" w:lastRow="0" w:firstColumn="0" w:lastColumn="0" w:noHBand="0" w:noVBand="0"/>
      </w:tblPr>
      <w:tblGrid>
        <w:gridCol w:w="3120"/>
        <w:gridCol w:w="3450"/>
        <w:gridCol w:w="2880"/>
      </w:tblGrid>
      <w:tr w:rsidR="009C63BF" w:rsidTr="0094336A">
        <w:tc>
          <w:tcPr>
            <w:tcW w:w="3120" w:type="dxa"/>
          </w:tcPr>
          <w:p w:rsidR="009C63BF" w:rsidRDefault="009C63BF" w:rsidP="009C63BF">
            <w:pPr>
              <w:pStyle w:val="Heading2"/>
              <w:spacing w:before="0"/>
              <w:jc w:val="left"/>
            </w:pPr>
            <w:r>
              <w:lastRenderedPageBreak/>
              <w:t xml:space="preserve">Witness </w:t>
            </w:r>
          </w:p>
          <w:p w:rsidR="009C63BF" w:rsidRDefault="009C63BF" w:rsidP="009C63B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(Direct Cont.)</w:t>
            </w:r>
          </w:p>
          <w:p w:rsidR="009C63BF" w:rsidRDefault="009C63BF"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450" w:type="dxa"/>
          </w:tcPr>
          <w:p w:rsidR="009C63BF" w:rsidRDefault="009C63BF" w:rsidP="001308F6">
            <w:pPr>
              <w:pStyle w:val="Heading2"/>
              <w:spacing w:before="0"/>
              <w:jc w:val="left"/>
              <w:rPr>
                <w:u w:val="none"/>
              </w:rPr>
            </w:pPr>
            <w:r>
              <w:t>Subject Matter</w:t>
            </w:r>
          </w:p>
        </w:tc>
        <w:tc>
          <w:tcPr>
            <w:tcW w:w="2880" w:type="dxa"/>
          </w:tcPr>
          <w:p w:rsidR="009C63BF" w:rsidRDefault="009C63BF" w:rsidP="00145C47">
            <w:pPr>
              <w:pStyle w:val="Heading2"/>
              <w:spacing w:before="0"/>
              <w:jc w:val="left"/>
              <w:rPr>
                <w:u w:val="none"/>
              </w:rPr>
            </w:pPr>
            <w:r>
              <w:t>Issues</w:t>
            </w:r>
          </w:p>
        </w:tc>
      </w:tr>
      <w:tr w:rsidR="005965C5" w:rsidTr="0094336A">
        <w:tc>
          <w:tcPr>
            <w:tcW w:w="3120" w:type="dxa"/>
          </w:tcPr>
          <w:p w:rsidR="005965C5" w:rsidRDefault="005965C5" w:rsidP="009C63B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 J. Erickson</w:t>
            </w:r>
          </w:p>
        </w:tc>
        <w:tc>
          <w:tcPr>
            <w:tcW w:w="3450" w:type="dxa"/>
          </w:tcPr>
          <w:p w:rsidR="005965C5" w:rsidRDefault="005965C5" w:rsidP="005965C5">
            <w:pPr>
              <w:pStyle w:val="Heading2"/>
              <w:spacing w:before="0"/>
              <w:jc w:val="left"/>
              <w:rPr>
                <w:u w:val="none"/>
              </w:rPr>
            </w:pPr>
            <w:r>
              <w:rPr>
                <w:u w:val="none"/>
              </w:rPr>
              <w:t xml:space="preserve">Administrative and General </w:t>
            </w:r>
            <w:r>
              <w:rPr>
                <w:u w:val="none"/>
              </w:rPr>
              <w:br/>
              <w:t>O &amp; M; D &amp; O Liability Insurance Expense; Property Damage Accrual; Depreciation and Dismantlement; Taxes</w:t>
            </w:r>
          </w:p>
          <w:p w:rsidR="005965C5" w:rsidRDefault="005965C5" w:rsidP="009C63BF">
            <w:pPr>
              <w:pStyle w:val="Heading2"/>
              <w:spacing w:before="0"/>
              <w:jc w:val="left"/>
              <w:rPr>
                <w:u w:val="none"/>
              </w:rPr>
            </w:pPr>
          </w:p>
        </w:tc>
        <w:tc>
          <w:tcPr>
            <w:tcW w:w="2880" w:type="dxa"/>
          </w:tcPr>
          <w:p w:rsidR="005965C5" w:rsidRDefault="005965C5" w:rsidP="00145C47">
            <w:pPr>
              <w:pStyle w:val="Heading2"/>
              <w:spacing w:before="0"/>
              <w:jc w:val="left"/>
              <w:rPr>
                <w:u w:val="none"/>
              </w:rPr>
            </w:pPr>
            <w:r>
              <w:rPr>
                <w:u w:val="none"/>
              </w:rPr>
              <w:t xml:space="preserve">8, </w:t>
            </w:r>
            <w:r w:rsidR="00D4691F">
              <w:rPr>
                <w:u w:val="none"/>
              </w:rPr>
              <w:t xml:space="preserve">9, </w:t>
            </w:r>
            <w:r>
              <w:rPr>
                <w:u w:val="none"/>
              </w:rPr>
              <w:t>10, 10A, 10B, 10C, 11, 12, 23, 24, 48, 49, 51, 52, 56, 57, 58, 60</w:t>
            </w:r>
          </w:p>
          <w:p w:rsidR="005965C5" w:rsidRDefault="005965C5" w:rsidP="008002FB"/>
          <w:p w:rsidR="005965C5" w:rsidRDefault="005965C5" w:rsidP="008002FB"/>
          <w:p w:rsidR="005965C5" w:rsidRPr="005965C5" w:rsidRDefault="005965C5" w:rsidP="008002FB"/>
        </w:tc>
      </w:tr>
      <w:tr w:rsidR="0087536D" w:rsidTr="0094336A">
        <w:tc>
          <w:tcPr>
            <w:tcW w:w="3120" w:type="dxa"/>
          </w:tcPr>
          <w:p w:rsidR="009C63BF" w:rsidRDefault="009C63BF" w:rsidP="009C63B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 J. McMillan</w:t>
            </w:r>
          </w:p>
          <w:p w:rsidR="0087536D" w:rsidRDefault="0087536D" w:rsidP="009C63B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450" w:type="dxa"/>
          </w:tcPr>
          <w:p w:rsidR="009C63BF" w:rsidRDefault="009C63BF" w:rsidP="009C63BF">
            <w:pPr>
              <w:pStyle w:val="Heading2"/>
              <w:spacing w:before="0"/>
              <w:jc w:val="left"/>
              <w:rPr>
                <w:u w:val="none"/>
              </w:rPr>
            </w:pPr>
            <w:r>
              <w:rPr>
                <w:u w:val="none"/>
              </w:rPr>
              <w:t xml:space="preserve">O &amp; M Benchmark; </w:t>
            </w:r>
            <w:r w:rsidR="00A257AC">
              <w:rPr>
                <w:u w:val="none"/>
              </w:rPr>
              <w:t>Affiliate Transactions</w:t>
            </w:r>
            <w:r>
              <w:rPr>
                <w:u w:val="none"/>
              </w:rPr>
              <w:t>; Employee Complement; Hiring lag adjustment</w:t>
            </w:r>
          </w:p>
          <w:p w:rsidR="0087536D" w:rsidRDefault="0087536D" w:rsidP="009C63BF">
            <w:pPr>
              <w:pStyle w:val="Heading2"/>
              <w:spacing w:before="0"/>
              <w:jc w:val="left"/>
            </w:pPr>
          </w:p>
        </w:tc>
        <w:tc>
          <w:tcPr>
            <w:tcW w:w="2880" w:type="dxa"/>
          </w:tcPr>
          <w:p w:rsidR="0087536D" w:rsidRDefault="007F426D" w:rsidP="00145C47">
            <w:pPr>
              <w:pStyle w:val="Heading2"/>
              <w:spacing w:before="0"/>
              <w:jc w:val="left"/>
              <w:rPr>
                <w:u w:val="none"/>
              </w:rPr>
            </w:pPr>
            <w:r>
              <w:rPr>
                <w:u w:val="none"/>
              </w:rPr>
              <w:t>43</w:t>
            </w:r>
            <w:r w:rsidR="00C06DA2">
              <w:rPr>
                <w:u w:val="none"/>
              </w:rPr>
              <w:t>, 44</w:t>
            </w:r>
            <w:r w:rsidR="00A257AC">
              <w:rPr>
                <w:u w:val="none"/>
              </w:rPr>
              <w:t>, 54</w:t>
            </w:r>
          </w:p>
        </w:tc>
      </w:tr>
      <w:tr w:rsidR="0087536D" w:rsidTr="0094336A">
        <w:tc>
          <w:tcPr>
            <w:tcW w:w="3120" w:type="dxa"/>
          </w:tcPr>
          <w:p w:rsidR="009C63BF" w:rsidRDefault="009C63BF" w:rsidP="009C63B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 D. Ritenour</w:t>
            </w:r>
          </w:p>
          <w:p w:rsidR="0087536D" w:rsidRPr="002E72DF" w:rsidRDefault="0087536D" w:rsidP="009C63B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2"/>
                <w:szCs w:val="12"/>
              </w:rPr>
            </w:pPr>
          </w:p>
        </w:tc>
        <w:tc>
          <w:tcPr>
            <w:tcW w:w="3450" w:type="dxa"/>
          </w:tcPr>
          <w:p w:rsidR="009C63BF" w:rsidRDefault="009C63BF" w:rsidP="009C63BF">
            <w:pPr>
              <w:pStyle w:val="Heading2"/>
              <w:spacing w:before="0"/>
              <w:jc w:val="left"/>
              <w:rPr>
                <w:u w:val="none"/>
              </w:rPr>
            </w:pPr>
            <w:r>
              <w:rPr>
                <w:u w:val="none"/>
              </w:rPr>
              <w:t xml:space="preserve">Planning and Budgeting Process Overview; Projected Test Year Financial Forecast; Net Operating Income; Rate Base; Capital Structure; Revenue Deficiency; Recovery of compliance-related transmission; Step increase associated with compliance-related transmission </w:t>
            </w:r>
          </w:p>
          <w:p w:rsidR="0087536D" w:rsidDel="0063357B" w:rsidRDefault="0087536D" w:rsidP="00E17419">
            <w:pPr>
              <w:pStyle w:val="Heading2"/>
              <w:spacing w:before="0"/>
              <w:jc w:val="left"/>
              <w:rPr>
                <w:rFonts w:cs="Arial"/>
                <w:color w:val="000000"/>
                <w:szCs w:val="24"/>
                <w:u w:val="none"/>
              </w:rPr>
            </w:pPr>
          </w:p>
        </w:tc>
        <w:tc>
          <w:tcPr>
            <w:tcW w:w="2880" w:type="dxa"/>
          </w:tcPr>
          <w:p w:rsidR="0087536D" w:rsidRDefault="00677A87" w:rsidP="00E418EC">
            <w:pPr>
              <w:pStyle w:val="Heading2"/>
              <w:spacing w:before="0"/>
              <w:jc w:val="left"/>
              <w:rPr>
                <w:u w:val="none"/>
              </w:rPr>
            </w:pPr>
            <w:r>
              <w:rPr>
                <w:u w:val="none"/>
              </w:rPr>
              <w:t xml:space="preserve">1, 5, </w:t>
            </w:r>
            <w:r w:rsidR="00FD40A9">
              <w:rPr>
                <w:u w:val="none"/>
              </w:rPr>
              <w:t xml:space="preserve">13, 14, </w:t>
            </w:r>
            <w:r w:rsidR="001E7237">
              <w:rPr>
                <w:u w:val="none"/>
              </w:rPr>
              <w:t>15, 16, 17, 18</w:t>
            </w:r>
            <w:r w:rsidR="00CE7799">
              <w:rPr>
                <w:u w:val="none"/>
              </w:rPr>
              <w:t xml:space="preserve">, 20, 21, 22, 23, 24, 25, 26, 27, 28, 30, 31, 32, 33, 34, 35, </w:t>
            </w:r>
            <w:r w:rsidR="00A257AC">
              <w:rPr>
                <w:u w:val="none"/>
              </w:rPr>
              <w:t>55, 56, 61</w:t>
            </w:r>
            <w:r w:rsidR="008949FE">
              <w:rPr>
                <w:u w:val="none"/>
              </w:rPr>
              <w:t>, 62, 63, 64, 65</w:t>
            </w:r>
            <w:r w:rsidR="00F33E6B">
              <w:rPr>
                <w:u w:val="none"/>
              </w:rPr>
              <w:t>, 82</w:t>
            </w:r>
            <w:r w:rsidR="00E418EC">
              <w:rPr>
                <w:u w:val="none"/>
              </w:rPr>
              <w:t>, Transmission Projects</w:t>
            </w:r>
            <w:r w:rsidR="0022299F">
              <w:rPr>
                <w:u w:val="none"/>
              </w:rPr>
              <w:t xml:space="preserve"> (Issue Nos. not assigned)</w:t>
            </w:r>
          </w:p>
        </w:tc>
      </w:tr>
      <w:tr w:rsidR="0087536D" w:rsidTr="0094336A">
        <w:tc>
          <w:tcPr>
            <w:tcW w:w="3120" w:type="dxa"/>
          </w:tcPr>
          <w:p w:rsidR="0087536D" w:rsidRDefault="0087536D"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 T. O’Sheasy</w:t>
            </w:r>
          </w:p>
        </w:tc>
        <w:tc>
          <w:tcPr>
            <w:tcW w:w="3450" w:type="dxa"/>
          </w:tcPr>
          <w:p w:rsidR="0087536D" w:rsidRDefault="0087536D" w:rsidP="001308F6">
            <w:pPr>
              <w:pStyle w:val="Heading2"/>
              <w:spacing w:before="0"/>
              <w:jc w:val="left"/>
              <w:rPr>
                <w:u w:val="none"/>
              </w:rPr>
            </w:pPr>
            <w:r>
              <w:rPr>
                <w:u w:val="none"/>
              </w:rPr>
              <w:t>Cost of Service Study</w:t>
            </w:r>
          </w:p>
          <w:p w:rsidR="0087536D" w:rsidRDefault="0087536D" w:rsidP="001308F6"/>
        </w:tc>
        <w:tc>
          <w:tcPr>
            <w:tcW w:w="2880" w:type="dxa"/>
          </w:tcPr>
          <w:p w:rsidR="0087536D" w:rsidRDefault="00677A87" w:rsidP="001308F6">
            <w:pPr>
              <w:pStyle w:val="Heading2"/>
              <w:spacing w:before="0"/>
              <w:jc w:val="left"/>
              <w:rPr>
                <w:u w:val="none"/>
              </w:rPr>
            </w:pPr>
            <w:r>
              <w:rPr>
                <w:u w:val="none"/>
              </w:rPr>
              <w:t xml:space="preserve">6, </w:t>
            </w:r>
            <w:r w:rsidR="00F33E6B">
              <w:rPr>
                <w:u w:val="none"/>
              </w:rPr>
              <w:t xml:space="preserve">66, 67, </w:t>
            </w:r>
          </w:p>
        </w:tc>
      </w:tr>
      <w:tr w:rsidR="0087536D" w:rsidTr="0094336A">
        <w:tc>
          <w:tcPr>
            <w:tcW w:w="3120" w:type="dxa"/>
          </w:tcPr>
          <w:p w:rsidR="0087536D" w:rsidRDefault="0087536D"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I. Thompson</w:t>
            </w:r>
          </w:p>
        </w:tc>
        <w:tc>
          <w:tcPr>
            <w:tcW w:w="3450" w:type="dxa"/>
          </w:tcPr>
          <w:p w:rsidR="0087536D" w:rsidRDefault="0087536D" w:rsidP="001308F6">
            <w:pPr>
              <w:pStyle w:val="Heading2"/>
              <w:spacing w:before="0"/>
              <w:jc w:val="left"/>
              <w:rPr>
                <w:u w:val="none"/>
              </w:rPr>
            </w:pPr>
            <w:r>
              <w:rPr>
                <w:u w:val="none"/>
              </w:rPr>
              <w:t>Rate Design</w:t>
            </w:r>
            <w:r w:rsidR="00DE21F0">
              <w:rPr>
                <w:u w:val="none"/>
              </w:rPr>
              <w:t>; Miscellaneous tariff changes; Load research; Base Charge; SBIR; LBIR</w:t>
            </w:r>
          </w:p>
          <w:p w:rsidR="0087536D" w:rsidRDefault="0087536D" w:rsidP="001308F6"/>
        </w:tc>
        <w:tc>
          <w:tcPr>
            <w:tcW w:w="2880" w:type="dxa"/>
          </w:tcPr>
          <w:p w:rsidR="0087536D" w:rsidRDefault="00F33E6B" w:rsidP="001308F6">
            <w:pPr>
              <w:pStyle w:val="Heading2"/>
              <w:spacing w:before="0"/>
              <w:jc w:val="left"/>
              <w:rPr>
                <w:u w:val="none"/>
              </w:rPr>
            </w:pPr>
            <w:r>
              <w:rPr>
                <w:u w:val="none"/>
              </w:rPr>
              <w:t>68, 69, 70, 71, 72, 73, 75, 76, 77, 78, 79, 80, 81</w:t>
            </w:r>
          </w:p>
        </w:tc>
      </w:tr>
      <w:tr w:rsidR="0087536D" w:rsidTr="0094336A">
        <w:tc>
          <w:tcPr>
            <w:tcW w:w="3120" w:type="dxa"/>
          </w:tcPr>
          <w:p w:rsidR="0087536D" w:rsidRDefault="0087536D">
            <w:pPr>
              <w:pStyle w:val="Heading2"/>
              <w:spacing w:before="0"/>
              <w:jc w:val="left"/>
            </w:pPr>
          </w:p>
          <w:p w:rsidR="0087536D" w:rsidRDefault="0087536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(Rebuttal)</w:t>
            </w:r>
          </w:p>
          <w:p w:rsidR="0087536D" w:rsidRDefault="0087536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2"/>
                <w:szCs w:val="12"/>
              </w:rPr>
            </w:pPr>
          </w:p>
        </w:tc>
        <w:tc>
          <w:tcPr>
            <w:tcW w:w="3450" w:type="dxa"/>
          </w:tcPr>
          <w:p w:rsidR="0087536D" w:rsidRDefault="0087536D">
            <w:pPr>
              <w:pStyle w:val="Heading2"/>
              <w:spacing w:before="0"/>
              <w:jc w:val="left"/>
              <w:rPr>
                <w:u w:val="none"/>
              </w:rPr>
            </w:pPr>
          </w:p>
        </w:tc>
        <w:tc>
          <w:tcPr>
            <w:tcW w:w="2880" w:type="dxa"/>
          </w:tcPr>
          <w:p w:rsidR="0087536D" w:rsidRDefault="0087536D">
            <w:pPr>
              <w:pStyle w:val="Heading2"/>
              <w:spacing w:before="0"/>
              <w:jc w:val="left"/>
              <w:rPr>
                <w:u w:val="none"/>
              </w:rPr>
            </w:pPr>
          </w:p>
        </w:tc>
      </w:tr>
      <w:tr w:rsidR="0087536D" w:rsidTr="0094336A">
        <w:tc>
          <w:tcPr>
            <w:tcW w:w="3120" w:type="dxa"/>
          </w:tcPr>
          <w:p w:rsidR="0087536D" w:rsidRDefault="0087536D"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H. Vander Weide</w:t>
            </w:r>
          </w:p>
        </w:tc>
        <w:tc>
          <w:tcPr>
            <w:tcW w:w="3450" w:type="dxa"/>
          </w:tcPr>
          <w:p w:rsidR="0087536D" w:rsidRDefault="0087536D" w:rsidP="001308F6">
            <w:pPr>
              <w:pStyle w:val="Heading2"/>
              <w:spacing w:before="0"/>
              <w:jc w:val="left"/>
              <w:rPr>
                <w:u w:val="none"/>
              </w:rPr>
            </w:pPr>
            <w:r>
              <w:rPr>
                <w:u w:val="none"/>
              </w:rPr>
              <w:t>Rate of Return on Equity</w:t>
            </w:r>
          </w:p>
          <w:p w:rsidR="0087536D" w:rsidRDefault="0087536D" w:rsidP="001308F6"/>
        </w:tc>
        <w:tc>
          <w:tcPr>
            <w:tcW w:w="2880" w:type="dxa"/>
          </w:tcPr>
          <w:p w:rsidR="0087536D" w:rsidRDefault="00CE7799">
            <w:pPr>
              <w:pStyle w:val="Heading2"/>
              <w:spacing w:before="0"/>
              <w:jc w:val="left"/>
              <w:rPr>
                <w:u w:val="none"/>
              </w:rPr>
            </w:pPr>
            <w:r>
              <w:rPr>
                <w:u w:val="none"/>
              </w:rPr>
              <w:t>29</w:t>
            </w:r>
          </w:p>
        </w:tc>
      </w:tr>
      <w:tr w:rsidR="0087536D" w:rsidTr="0094336A">
        <w:tc>
          <w:tcPr>
            <w:tcW w:w="3120" w:type="dxa"/>
          </w:tcPr>
          <w:p w:rsidR="0087536D" w:rsidRDefault="008F05D6"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F05D6">
              <w:t xml:space="preserve">S. M. </w:t>
            </w:r>
            <w:r w:rsidR="00DE21F0" w:rsidRPr="008F05D6">
              <w:t>Fetter</w:t>
            </w:r>
          </w:p>
        </w:tc>
        <w:tc>
          <w:tcPr>
            <w:tcW w:w="3450" w:type="dxa"/>
          </w:tcPr>
          <w:p w:rsidR="0087536D" w:rsidRPr="00FD4523" w:rsidRDefault="00FD4523" w:rsidP="00FD4523">
            <w:pPr>
              <w:pStyle w:val="Heading2"/>
              <w:spacing w:before="0"/>
              <w:jc w:val="left"/>
              <w:rPr>
                <w:u w:val="none"/>
              </w:rPr>
            </w:pPr>
            <w:r>
              <w:rPr>
                <w:rFonts w:cs="Arial"/>
                <w:bCs/>
                <w:szCs w:val="24"/>
                <w:u w:val="none"/>
              </w:rPr>
              <w:t>F</w:t>
            </w:r>
            <w:r w:rsidRPr="00FD4523">
              <w:rPr>
                <w:rFonts w:cs="Arial"/>
                <w:bCs/>
                <w:szCs w:val="24"/>
                <w:u w:val="none"/>
              </w:rPr>
              <w:t xml:space="preserve">inancial </w:t>
            </w:r>
            <w:r>
              <w:rPr>
                <w:rFonts w:cs="Arial"/>
                <w:bCs/>
                <w:szCs w:val="24"/>
                <w:u w:val="none"/>
              </w:rPr>
              <w:t>I</w:t>
            </w:r>
            <w:r w:rsidRPr="00FD4523">
              <w:rPr>
                <w:rFonts w:cs="Arial"/>
                <w:bCs/>
                <w:szCs w:val="24"/>
                <w:u w:val="none"/>
              </w:rPr>
              <w:t xml:space="preserve">ntegrity and </w:t>
            </w:r>
            <w:r>
              <w:rPr>
                <w:rFonts w:cs="Arial"/>
                <w:bCs/>
                <w:szCs w:val="24"/>
                <w:u w:val="none"/>
              </w:rPr>
              <w:t>Credit Ratings, C</w:t>
            </w:r>
            <w:r w:rsidRPr="00FD4523">
              <w:rPr>
                <w:rFonts w:cs="Arial"/>
                <w:bCs/>
                <w:szCs w:val="24"/>
                <w:u w:val="none"/>
              </w:rPr>
              <w:t xml:space="preserve">apital </w:t>
            </w:r>
            <w:r>
              <w:rPr>
                <w:rFonts w:cs="Arial"/>
                <w:bCs/>
                <w:szCs w:val="24"/>
                <w:u w:val="none"/>
              </w:rPr>
              <w:t>Structure</w:t>
            </w:r>
            <w:r w:rsidR="00CE7799">
              <w:rPr>
                <w:rFonts w:cs="Arial"/>
                <w:bCs/>
                <w:szCs w:val="24"/>
                <w:u w:val="none"/>
              </w:rPr>
              <w:t xml:space="preserve">; </w:t>
            </w:r>
            <w:r w:rsidR="00CE7799" w:rsidRPr="00FD4523">
              <w:rPr>
                <w:rFonts w:cs="Arial"/>
                <w:bCs/>
                <w:szCs w:val="24"/>
                <w:u w:val="none"/>
              </w:rPr>
              <w:t>Rate</w:t>
            </w:r>
            <w:r>
              <w:rPr>
                <w:rFonts w:cs="Arial"/>
                <w:bCs/>
                <w:szCs w:val="24"/>
                <w:u w:val="none"/>
              </w:rPr>
              <w:t xml:space="preserve"> of Return on E</w:t>
            </w:r>
            <w:r w:rsidRPr="00FD4523">
              <w:rPr>
                <w:rFonts w:cs="Arial"/>
                <w:bCs/>
                <w:szCs w:val="24"/>
                <w:u w:val="none"/>
              </w:rPr>
              <w:t>quity</w:t>
            </w:r>
          </w:p>
        </w:tc>
        <w:tc>
          <w:tcPr>
            <w:tcW w:w="2880" w:type="dxa"/>
          </w:tcPr>
          <w:p w:rsidR="0087536D" w:rsidRDefault="00CE7799">
            <w:pPr>
              <w:pStyle w:val="Heading2"/>
              <w:spacing w:before="0"/>
              <w:jc w:val="left"/>
              <w:rPr>
                <w:u w:val="none"/>
              </w:rPr>
            </w:pPr>
            <w:r>
              <w:rPr>
                <w:u w:val="none"/>
              </w:rPr>
              <w:t>29</w:t>
            </w:r>
          </w:p>
          <w:p w:rsidR="00FD4523" w:rsidRDefault="00FD4523" w:rsidP="00FD4523"/>
          <w:p w:rsidR="00FD4523" w:rsidRDefault="00FD4523" w:rsidP="00FD4523"/>
          <w:p w:rsidR="00FD4523" w:rsidRPr="00FD4523" w:rsidRDefault="00FD4523" w:rsidP="00FD4523"/>
        </w:tc>
      </w:tr>
      <w:tr w:rsidR="0087536D" w:rsidTr="0094336A">
        <w:tc>
          <w:tcPr>
            <w:tcW w:w="3120" w:type="dxa"/>
          </w:tcPr>
          <w:p w:rsidR="0087536D" w:rsidRDefault="00DE21F0"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 J. Alexander</w:t>
            </w:r>
          </w:p>
        </w:tc>
        <w:tc>
          <w:tcPr>
            <w:tcW w:w="3450" w:type="dxa"/>
          </w:tcPr>
          <w:p w:rsidR="0087536D" w:rsidRPr="000E28E9" w:rsidRDefault="000E28E9" w:rsidP="00DE21F0">
            <w:pPr>
              <w:pStyle w:val="Heading2"/>
              <w:spacing w:before="0"/>
              <w:jc w:val="left"/>
              <w:rPr>
                <w:u w:val="none"/>
              </w:rPr>
            </w:pPr>
            <w:r w:rsidRPr="000E28E9">
              <w:rPr>
                <w:u w:val="none"/>
              </w:rPr>
              <w:t>Forecast</w:t>
            </w:r>
          </w:p>
        </w:tc>
        <w:tc>
          <w:tcPr>
            <w:tcW w:w="2880" w:type="dxa"/>
          </w:tcPr>
          <w:p w:rsidR="0087536D" w:rsidRDefault="00F33E6B">
            <w:pPr>
              <w:pStyle w:val="Heading2"/>
              <w:spacing w:before="0"/>
              <w:jc w:val="left"/>
              <w:rPr>
                <w:u w:val="none"/>
              </w:rPr>
            </w:pPr>
            <w:r>
              <w:rPr>
                <w:u w:val="none"/>
              </w:rPr>
              <w:t>2, 3, 4</w:t>
            </w:r>
          </w:p>
          <w:p w:rsidR="00FD4523" w:rsidRPr="00FD4523" w:rsidRDefault="00FD4523" w:rsidP="00FD4523"/>
        </w:tc>
      </w:tr>
      <w:tr w:rsidR="0087536D" w:rsidTr="0094336A">
        <w:tc>
          <w:tcPr>
            <w:tcW w:w="3120" w:type="dxa"/>
          </w:tcPr>
          <w:p w:rsidR="0087536D" w:rsidRDefault="00DE21F0"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 L. Burroughs</w:t>
            </w:r>
          </w:p>
        </w:tc>
        <w:tc>
          <w:tcPr>
            <w:tcW w:w="3450" w:type="dxa"/>
          </w:tcPr>
          <w:p w:rsidR="0087536D" w:rsidRPr="004865CC" w:rsidRDefault="004865CC" w:rsidP="00DE21F0">
            <w:pPr>
              <w:pStyle w:val="Heading2"/>
              <w:spacing w:before="0"/>
              <w:jc w:val="left"/>
              <w:rPr>
                <w:u w:val="none"/>
              </w:rPr>
            </w:pPr>
            <w:r w:rsidRPr="004865CC">
              <w:rPr>
                <w:u w:val="none"/>
              </w:rPr>
              <w:t>Depreciation-Production Plant</w:t>
            </w:r>
          </w:p>
        </w:tc>
        <w:tc>
          <w:tcPr>
            <w:tcW w:w="2880" w:type="dxa"/>
          </w:tcPr>
          <w:p w:rsidR="0087536D" w:rsidRPr="00FD40A9" w:rsidRDefault="004865CC">
            <w:pPr>
              <w:pStyle w:val="Heading2"/>
              <w:spacing w:before="0"/>
              <w:jc w:val="left"/>
              <w:rPr>
                <w:caps/>
                <w:u w:val="none"/>
              </w:rPr>
            </w:pPr>
            <w:r>
              <w:rPr>
                <w:u w:val="none"/>
              </w:rPr>
              <w:t>8,</w:t>
            </w:r>
            <w:r w:rsidR="00FD40A9">
              <w:rPr>
                <w:u w:val="none"/>
              </w:rPr>
              <w:t xml:space="preserve"> 8</w:t>
            </w:r>
            <w:r w:rsidR="00FD40A9">
              <w:rPr>
                <w:caps/>
                <w:u w:val="none"/>
              </w:rPr>
              <w:t>A, 9</w:t>
            </w:r>
          </w:p>
          <w:p w:rsidR="00FD4523" w:rsidRPr="00FD4523" w:rsidRDefault="00FD4523" w:rsidP="00FD4523"/>
        </w:tc>
      </w:tr>
      <w:tr w:rsidR="0087536D" w:rsidTr="0094336A">
        <w:tc>
          <w:tcPr>
            <w:tcW w:w="3120" w:type="dxa"/>
          </w:tcPr>
          <w:p w:rsidR="0087536D" w:rsidRDefault="00DE21F0"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 W. Grove</w:t>
            </w:r>
          </w:p>
        </w:tc>
        <w:tc>
          <w:tcPr>
            <w:tcW w:w="3450" w:type="dxa"/>
          </w:tcPr>
          <w:p w:rsidR="0087536D" w:rsidRPr="007467E7" w:rsidRDefault="007467E7" w:rsidP="00DE21F0">
            <w:pPr>
              <w:pStyle w:val="Heading2"/>
              <w:spacing w:before="0"/>
              <w:jc w:val="left"/>
              <w:rPr>
                <w:u w:val="none"/>
              </w:rPr>
            </w:pPr>
            <w:r w:rsidRPr="007467E7">
              <w:rPr>
                <w:u w:val="none"/>
              </w:rPr>
              <w:t>Production O &amp; M</w:t>
            </w:r>
          </w:p>
        </w:tc>
        <w:tc>
          <w:tcPr>
            <w:tcW w:w="2880" w:type="dxa"/>
          </w:tcPr>
          <w:p w:rsidR="00FD4523" w:rsidRPr="00FD4523" w:rsidRDefault="00F33E6B" w:rsidP="0009583D">
            <w:pPr>
              <w:pStyle w:val="Heading2"/>
              <w:spacing w:before="0"/>
              <w:jc w:val="left"/>
            </w:pPr>
            <w:r>
              <w:rPr>
                <w:u w:val="none"/>
              </w:rPr>
              <w:t>39</w:t>
            </w:r>
          </w:p>
        </w:tc>
      </w:tr>
      <w:tr w:rsidR="000E28E9" w:rsidTr="0094336A">
        <w:tc>
          <w:tcPr>
            <w:tcW w:w="3120" w:type="dxa"/>
          </w:tcPr>
          <w:p w:rsidR="000E28E9" w:rsidRDefault="000E28E9" w:rsidP="000E28E9">
            <w:pPr>
              <w:pStyle w:val="Heading2"/>
              <w:spacing w:before="0"/>
              <w:jc w:val="left"/>
            </w:pPr>
            <w:r>
              <w:lastRenderedPageBreak/>
              <w:t xml:space="preserve">Witness </w:t>
            </w:r>
          </w:p>
          <w:p w:rsidR="000E28E9" w:rsidRDefault="000E28E9" w:rsidP="000E28E9">
            <w:pPr>
              <w:pStyle w:val="Heading2"/>
              <w:spacing w:before="0"/>
              <w:jc w:val="left"/>
            </w:pPr>
            <w:r>
              <w:t>(Rebuttal Cont.)</w:t>
            </w:r>
          </w:p>
          <w:p w:rsidR="000E28E9" w:rsidRDefault="000E28E9"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450" w:type="dxa"/>
          </w:tcPr>
          <w:p w:rsidR="000E28E9" w:rsidRPr="00FD4523" w:rsidRDefault="000E28E9" w:rsidP="00DE21F0">
            <w:pPr>
              <w:pStyle w:val="Heading2"/>
              <w:spacing w:before="0"/>
              <w:jc w:val="left"/>
              <w:rPr>
                <w:u w:val="none"/>
              </w:rPr>
            </w:pPr>
            <w:r>
              <w:t>Subject Matter</w:t>
            </w:r>
          </w:p>
        </w:tc>
        <w:tc>
          <w:tcPr>
            <w:tcW w:w="2880" w:type="dxa"/>
          </w:tcPr>
          <w:p w:rsidR="000E28E9" w:rsidRDefault="000E28E9">
            <w:pPr>
              <w:pStyle w:val="Heading2"/>
              <w:spacing w:before="0"/>
              <w:jc w:val="left"/>
              <w:rPr>
                <w:u w:val="none"/>
              </w:rPr>
            </w:pPr>
            <w:r>
              <w:t>Issues</w:t>
            </w:r>
          </w:p>
        </w:tc>
      </w:tr>
      <w:tr w:rsidR="007F42EF" w:rsidTr="0094336A">
        <w:tc>
          <w:tcPr>
            <w:tcW w:w="3120" w:type="dxa"/>
          </w:tcPr>
          <w:p w:rsidR="007F42EF" w:rsidRDefault="007F42EF"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 S. Huck</w:t>
            </w:r>
          </w:p>
        </w:tc>
        <w:tc>
          <w:tcPr>
            <w:tcW w:w="3450" w:type="dxa"/>
          </w:tcPr>
          <w:p w:rsidR="007F42EF" w:rsidRPr="00FD4523" w:rsidRDefault="00FD4523" w:rsidP="006F0E6C">
            <w:pPr>
              <w:pStyle w:val="Heading2"/>
              <w:spacing w:before="0"/>
              <w:jc w:val="left"/>
              <w:rPr>
                <w:u w:val="none"/>
              </w:rPr>
            </w:pPr>
            <w:r w:rsidRPr="00FD4523">
              <w:rPr>
                <w:u w:val="none"/>
              </w:rPr>
              <w:t xml:space="preserve">Depreciation </w:t>
            </w:r>
          </w:p>
        </w:tc>
        <w:tc>
          <w:tcPr>
            <w:tcW w:w="2880" w:type="dxa"/>
          </w:tcPr>
          <w:p w:rsidR="007F42EF" w:rsidRDefault="00FD40A9">
            <w:pPr>
              <w:pStyle w:val="Heading2"/>
              <w:spacing w:before="0"/>
              <w:jc w:val="left"/>
              <w:rPr>
                <w:u w:val="none"/>
              </w:rPr>
            </w:pPr>
            <w:r>
              <w:rPr>
                <w:u w:val="none"/>
              </w:rPr>
              <w:t>8, 8A, 8B, 8C, 9, 12</w:t>
            </w:r>
            <w:r w:rsidR="00A257AC">
              <w:rPr>
                <w:u w:val="none"/>
              </w:rPr>
              <w:t>, 56</w:t>
            </w:r>
          </w:p>
          <w:p w:rsidR="00FD4523" w:rsidRPr="00FD4523" w:rsidRDefault="00FD4523" w:rsidP="00FD4523"/>
        </w:tc>
      </w:tr>
      <w:tr w:rsidR="007F42EF" w:rsidTr="0094336A">
        <w:tc>
          <w:tcPr>
            <w:tcW w:w="3120" w:type="dxa"/>
          </w:tcPr>
          <w:p w:rsidR="007F42EF" w:rsidRDefault="007F42EF"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A. Burleson</w:t>
            </w:r>
          </w:p>
        </w:tc>
        <w:tc>
          <w:tcPr>
            <w:tcW w:w="3450" w:type="dxa"/>
          </w:tcPr>
          <w:p w:rsidR="007F42EF" w:rsidRDefault="00FD4523" w:rsidP="00DE21F0">
            <w:pPr>
              <w:pStyle w:val="Heading2"/>
              <w:spacing w:before="0"/>
              <w:jc w:val="left"/>
            </w:pPr>
            <w:r>
              <w:rPr>
                <w:u w:val="none"/>
              </w:rPr>
              <w:t>Compliance related transmission projects</w:t>
            </w:r>
            <w:r w:rsidR="00145B89">
              <w:rPr>
                <w:u w:val="none"/>
              </w:rPr>
              <w:t>; MATS Compliance Economic Evaluation</w:t>
            </w:r>
          </w:p>
        </w:tc>
        <w:tc>
          <w:tcPr>
            <w:tcW w:w="2880" w:type="dxa"/>
          </w:tcPr>
          <w:p w:rsidR="007F42EF" w:rsidRDefault="000C31D2">
            <w:pPr>
              <w:pStyle w:val="Heading2"/>
              <w:spacing w:before="0"/>
              <w:jc w:val="left"/>
              <w:rPr>
                <w:u w:val="none"/>
              </w:rPr>
            </w:pPr>
            <w:r>
              <w:rPr>
                <w:u w:val="none"/>
              </w:rPr>
              <w:t xml:space="preserve">65, </w:t>
            </w:r>
            <w:r w:rsidR="00FD40A9">
              <w:rPr>
                <w:u w:val="none"/>
              </w:rPr>
              <w:t>Transmission Projects</w:t>
            </w:r>
          </w:p>
          <w:p w:rsidR="00FD4523" w:rsidRDefault="00FD4523" w:rsidP="00FD4523"/>
          <w:p w:rsidR="00145B89" w:rsidRDefault="00145B89" w:rsidP="00FD4523"/>
          <w:p w:rsidR="00145B89" w:rsidRPr="00FD4523" w:rsidRDefault="00145B89" w:rsidP="00FD4523"/>
        </w:tc>
      </w:tr>
      <w:tr w:rsidR="007F42EF" w:rsidTr="0094336A">
        <w:tc>
          <w:tcPr>
            <w:tcW w:w="3120" w:type="dxa"/>
          </w:tcPr>
          <w:p w:rsidR="007F42EF" w:rsidRDefault="007F42EF"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 C. Caldwell</w:t>
            </w:r>
          </w:p>
        </w:tc>
        <w:tc>
          <w:tcPr>
            <w:tcW w:w="3450" w:type="dxa"/>
          </w:tcPr>
          <w:p w:rsidR="007F42EF" w:rsidRPr="00FD4523" w:rsidRDefault="00FD4523" w:rsidP="00DE21F0">
            <w:pPr>
              <w:pStyle w:val="Heading2"/>
              <w:spacing w:before="0"/>
              <w:jc w:val="left"/>
              <w:rPr>
                <w:u w:val="none"/>
              </w:rPr>
            </w:pPr>
            <w:r>
              <w:rPr>
                <w:u w:val="none"/>
              </w:rPr>
              <w:t>Compliance related transmission projects</w:t>
            </w:r>
          </w:p>
        </w:tc>
        <w:tc>
          <w:tcPr>
            <w:tcW w:w="2880" w:type="dxa"/>
          </w:tcPr>
          <w:p w:rsidR="007F42EF" w:rsidRDefault="00FD40A9">
            <w:pPr>
              <w:pStyle w:val="Heading2"/>
              <w:spacing w:before="0"/>
              <w:jc w:val="left"/>
              <w:rPr>
                <w:u w:val="none"/>
              </w:rPr>
            </w:pPr>
            <w:r>
              <w:rPr>
                <w:u w:val="none"/>
              </w:rPr>
              <w:t>Transmission Projects</w:t>
            </w:r>
          </w:p>
          <w:p w:rsidR="00FD4523" w:rsidRDefault="00FD4523" w:rsidP="00FD4523"/>
          <w:p w:rsidR="00FD4523" w:rsidRPr="00FD4523" w:rsidRDefault="00FD4523" w:rsidP="00FD4523"/>
        </w:tc>
      </w:tr>
      <w:tr w:rsidR="007F42EF" w:rsidTr="0094336A">
        <w:tc>
          <w:tcPr>
            <w:tcW w:w="3120" w:type="dxa"/>
          </w:tcPr>
          <w:p w:rsidR="007F42EF" w:rsidRDefault="007F42EF"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G. Strickland</w:t>
            </w:r>
          </w:p>
        </w:tc>
        <w:tc>
          <w:tcPr>
            <w:tcW w:w="3450" w:type="dxa"/>
          </w:tcPr>
          <w:p w:rsidR="007F42EF" w:rsidRPr="007467E7" w:rsidRDefault="007467E7" w:rsidP="00DE21F0">
            <w:pPr>
              <w:pStyle w:val="Heading2"/>
              <w:spacing w:before="0"/>
              <w:jc w:val="left"/>
              <w:rPr>
                <w:u w:val="none"/>
              </w:rPr>
            </w:pPr>
            <w:r>
              <w:rPr>
                <w:u w:val="none"/>
              </w:rPr>
              <w:t>Customer Satisfaction</w:t>
            </w:r>
            <w:r w:rsidR="00FD4523">
              <w:rPr>
                <w:u w:val="none"/>
              </w:rPr>
              <w:t>; Economic</w:t>
            </w:r>
            <w:r>
              <w:rPr>
                <w:u w:val="none"/>
              </w:rPr>
              <w:t xml:space="preserve"> Development-</w:t>
            </w:r>
            <w:r w:rsidRPr="007467E7">
              <w:rPr>
                <w:u w:val="none"/>
              </w:rPr>
              <w:t>LBIR</w:t>
            </w:r>
          </w:p>
        </w:tc>
        <w:tc>
          <w:tcPr>
            <w:tcW w:w="2880" w:type="dxa"/>
          </w:tcPr>
          <w:p w:rsidR="007F42EF" w:rsidRDefault="00F33E6B">
            <w:pPr>
              <w:pStyle w:val="Heading2"/>
              <w:spacing w:before="0"/>
              <w:jc w:val="left"/>
              <w:rPr>
                <w:u w:val="none"/>
              </w:rPr>
            </w:pPr>
            <w:r>
              <w:rPr>
                <w:u w:val="none"/>
              </w:rPr>
              <w:t>7, 71</w:t>
            </w:r>
          </w:p>
          <w:p w:rsidR="00FD4523" w:rsidRDefault="00FD4523" w:rsidP="00FD4523"/>
          <w:p w:rsidR="00FD4523" w:rsidRPr="00FD4523" w:rsidRDefault="00FD4523" w:rsidP="00FD4523"/>
        </w:tc>
      </w:tr>
      <w:tr w:rsidR="00923297" w:rsidTr="0094336A">
        <w:tc>
          <w:tcPr>
            <w:tcW w:w="3120" w:type="dxa"/>
          </w:tcPr>
          <w:p w:rsidR="00923297" w:rsidRDefault="00923297"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D. Whaley</w:t>
            </w:r>
          </w:p>
        </w:tc>
        <w:tc>
          <w:tcPr>
            <w:tcW w:w="3450" w:type="dxa"/>
          </w:tcPr>
          <w:p w:rsidR="00923297" w:rsidRDefault="00923297" w:rsidP="009C7364">
            <w:pPr>
              <w:pStyle w:val="Heading2"/>
              <w:spacing w:before="0"/>
              <w:jc w:val="left"/>
              <w:rPr>
                <w:u w:val="none"/>
              </w:rPr>
            </w:pPr>
            <w:r>
              <w:rPr>
                <w:u w:val="none"/>
              </w:rPr>
              <w:t>Medical Expense</w:t>
            </w:r>
          </w:p>
        </w:tc>
        <w:tc>
          <w:tcPr>
            <w:tcW w:w="2880" w:type="dxa"/>
          </w:tcPr>
          <w:p w:rsidR="00923297" w:rsidRDefault="00316726" w:rsidP="00777083">
            <w:pPr>
              <w:pStyle w:val="Heading2"/>
              <w:spacing w:before="0"/>
              <w:jc w:val="left"/>
              <w:rPr>
                <w:u w:val="none"/>
              </w:rPr>
            </w:pPr>
            <w:r>
              <w:rPr>
                <w:u w:val="none"/>
              </w:rPr>
              <w:t>Unnumbered issue</w:t>
            </w:r>
          </w:p>
          <w:p w:rsidR="00777083" w:rsidRPr="00777083" w:rsidRDefault="00777083" w:rsidP="00316726"/>
        </w:tc>
      </w:tr>
      <w:tr w:rsidR="007F42EF" w:rsidTr="0094336A">
        <w:tc>
          <w:tcPr>
            <w:tcW w:w="3120" w:type="dxa"/>
          </w:tcPr>
          <w:p w:rsidR="007F42EF" w:rsidRDefault="007F42EF" w:rsidP="001308F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M. Garvie</w:t>
            </w:r>
          </w:p>
        </w:tc>
        <w:tc>
          <w:tcPr>
            <w:tcW w:w="3450" w:type="dxa"/>
          </w:tcPr>
          <w:p w:rsidR="007F42EF" w:rsidRPr="00FD4523" w:rsidRDefault="00082E81" w:rsidP="00082E81">
            <w:pPr>
              <w:pStyle w:val="Heading2"/>
              <w:spacing w:before="0"/>
              <w:jc w:val="left"/>
              <w:rPr>
                <w:u w:val="none"/>
              </w:rPr>
            </w:pPr>
            <w:r>
              <w:rPr>
                <w:u w:val="none"/>
              </w:rPr>
              <w:t>At-Risk</w:t>
            </w:r>
            <w:r w:rsidR="00FD4523" w:rsidRPr="00FD4523">
              <w:rPr>
                <w:u w:val="none"/>
              </w:rPr>
              <w:t xml:space="preserve"> Compensation; Supplemental Pension Expense; </w:t>
            </w:r>
          </w:p>
        </w:tc>
        <w:tc>
          <w:tcPr>
            <w:tcW w:w="2880" w:type="dxa"/>
          </w:tcPr>
          <w:p w:rsidR="007F42EF" w:rsidRDefault="00953D3A">
            <w:pPr>
              <w:pStyle w:val="Heading2"/>
              <w:spacing w:before="0"/>
              <w:jc w:val="left"/>
              <w:rPr>
                <w:u w:val="none"/>
              </w:rPr>
            </w:pPr>
            <w:r>
              <w:rPr>
                <w:u w:val="none"/>
              </w:rPr>
              <w:t>42</w:t>
            </w:r>
            <w:r w:rsidR="006F6A69">
              <w:rPr>
                <w:u w:val="none"/>
              </w:rPr>
              <w:t xml:space="preserve">, </w:t>
            </w:r>
            <w:r w:rsidR="00F33E6B">
              <w:rPr>
                <w:u w:val="none"/>
              </w:rPr>
              <w:t>45</w:t>
            </w:r>
          </w:p>
          <w:p w:rsidR="00FD4523" w:rsidRDefault="00FD4523" w:rsidP="00FD4523"/>
          <w:p w:rsidR="00FD4523" w:rsidRPr="00FD4523" w:rsidRDefault="00FD4523" w:rsidP="00FD4523"/>
        </w:tc>
      </w:tr>
      <w:tr w:rsidR="007F42EF" w:rsidTr="0094336A">
        <w:tc>
          <w:tcPr>
            <w:tcW w:w="3120" w:type="dxa"/>
          </w:tcPr>
          <w:p w:rsidR="007F42EF" w:rsidRDefault="007F42EF" w:rsidP="00B86E5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 J. McMillan</w:t>
            </w:r>
          </w:p>
        </w:tc>
        <w:tc>
          <w:tcPr>
            <w:tcW w:w="3450" w:type="dxa"/>
          </w:tcPr>
          <w:p w:rsidR="007F42EF" w:rsidRPr="001D7D78" w:rsidRDefault="00FD4523" w:rsidP="00DE21F0">
            <w:pPr>
              <w:pStyle w:val="Heading2"/>
              <w:spacing w:before="0"/>
              <w:jc w:val="left"/>
              <w:rPr>
                <w:u w:val="none"/>
              </w:rPr>
            </w:pPr>
            <w:r w:rsidRPr="001D7D78">
              <w:rPr>
                <w:u w:val="none"/>
              </w:rPr>
              <w:t xml:space="preserve">Aircraft Expense; </w:t>
            </w:r>
            <w:r w:rsidR="001D7D78" w:rsidRPr="001D7D78">
              <w:rPr>
                <w:u w:val="none"/>
              </w:rPr>
              <w:t xml:space="preserve">Labor Expense; </w:t>
            </w:r>
            <w:r w:rsidR="00E35E3D">
              <w:rPr>
                <w:u w:val="none"/>
              </w:rPr>
              <w:t xml:space="preserve">Capitalized </w:t>
            </w:r>
            <w:r w:rsidR="001D7D78" w:rsidRPr="001D7D78">
              <w:rPr>
                <w:u w:val="none"/>
              </w:rPr>
              <w:t>At-Risk Compensation</w:t>
            </w:r>
          </w:p>
        </w:tc>
        <w:tc>
          <w:tcPr>
            <w:tcW w:w="2880" w:type="dxa"/>
          </w:tcPr>
          <w:p w:rsidR="007F42EF" w:rsidRDefault="009C7364">
            <w:pPr>
              <w:pStyle w:val="Heading2"/>
              <w:spacing w:before="0"/>
              <w:jc w:val="left"/>
              <w:rPr>
                <w:u w:val="none"/>
              </w:rPr>
            </w:pPr>
            <w:r>
              <w:rPr>
                <w:u w:val="none"/>
              </w:rPr>
              <w:t xml:space="preserve">15, </w:t>
            </w:r>
            <w:r w:rsidR="00C06DA2">
              <w:rPr>
                <w:u w:val="none"/>
              </w:rPr>
              <w:t>50</w:t>
            </w:r>
          </w:p>
          <w:p w:rsidR="008E41B3" w:rsidRDefault="008E41B3" w:rsidP="000A30DB"/>
          <w:p w:rsidR="008E41B3" w:rsidRPr="008E41B3" w:rsidRDefault="008E41B3" w:rsidP="000A30DB"/>
          <w:p w:rsidR="00FD4523" w:rsidRPr="00FD4523" w:rsidRDefault="00FD4523" w:rsidP="00FD4523"/>
        </w:tc>
      </w:tr>
      <w:tr w:rsidR="007F42EF" w:rsidTr="0094336A">
        <w:tc>
          <w:tcPr>
            <w:tcW w:w="3120" w:type="dxa"/>
          </w:tcPr>
          <w:p w:rsidR="007F42EF" w:rsidRDefault="007F42EF" w:rsidP="007F42E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 D. Ritenour</w:t>
            </w:r>
          </w:p>
        </w:tc>
        <w:tc>
          <w:tcPr>
            <w:tcW w:w="3450" w:type="dxa"/>
          </w:tcPr>
          <w:p w:rsidR="007F42EF" w:rsidRPr="008C2F6F" w:rsidRDefault="008C2F6F" w:rsidP="0057264F">
            <w:pPr>
              <w:pStyle w:val="Heading2"/>
              <w:spacing w:before="0"/>
              <w:jc w:val="left"/>
              <w:rPr>
                <w:u w:val="none"/>
              </w:rPr>
            </w:pPr>
            <w:r w:rsidRPr="008C2F6F">
              <w:rPr>
                <w:u w:val="none"/>
              </w:rPr>
              <w:t>Property Damage Reserve</w:t>
            </w:r>
            <w:r>
              <w:rPr>
                <w:u w:val="none"/>
              </w:rPr>
              <w:t>; Transmission Rent Expense</w:t>
            </w:r>
          </w:p>
        </w:tc>
        <w:tc>
          <w:tcPr>
            <w:tcW w:w="2880" w:type="dxa"/>
          </w:tcPr>
          <w:p w:rsidR="007F42EF" w:rsidRDefault="008949FE">
            <w:pPr>
              <w:pStyle w:val="Heading2"/>
              <w:spacing w:before="0"/>
              <w:jc w:val="left"/>
              <w:rPr>
                <w:u w:val="none"/>
              </w:rPr>
            </w:pPr>
            <w:r>
              <w:rPr>
                <w:u w:val="none"/>
              </w:rPr>
              <w:t>40, 48</w:t>
            </w:r>
          </w:p>
          <w:p w:rsidR="00FD4523" w:rsidRDefault="00FD4523" w:rsidP="00FD4523"/>
          <w:p w:rsidR="0073624E" w:rsidRPr="00FD4523" w:rsidRDefault="0073624E" w:rsidP="00FD4523"/>
        </w:tc>
      </w:tr>
      <w:tr w:rsidR="007F42EF" w:rsidTr="0094336A">
        <w:tc>
          <w:tcPr>
            <w:tcW w:w="3120" w:type="dxa"/>
          </w:tcPr>
          <w:p w:rsidR="007F42EF" w:rsidRDefault="007F42EF" w:rsidP="007F42E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T. Deason</w:t>
            </w:r>
          </w:p>
        </w:tc>
        <w:tc>
          <w:tcPr>
            <w:tcW w:w="3450" w:type="dxa"/>
          </w:tcPr>
          <w:p w:rsidR="007F42EF" w:rsidRPr="004757AE" w:rsidRDefault="00082E81" w:rsidP="00DE21F0">
            <w:pPr>
              <w:pStyle w:val="Heading2"/>
              <w:spacing w:before="0"/>
              <w:jc w:val="left"/>
              <w:rPr>
                <w:u w:val="none"/>
              </w:rPr>
            </w:pPr>
            <w:r>
              <w:rPr>
                <w:u w:val="none"/>
              </w:rPr>
              <w:t>At-Risk</w:t>
            </w:r>
            <w:r w:rsidRPr="004757AE">
              <w:rPr>
                <w:u w:val="none"/>
              </w:rPr>
              <w:t xml:space="preserve"> </w:t>
            </w:r>
            <w:r w:rsidR="004757AE" w:rsidRPr="004757AE">
              <w:rPr>
                <w:u w:val="none"/>
              </w:rPr>
              <w:t xml:space="preserve">Compensation; </w:t>
            </w:r>
            <w:r w:rsidR="004757AE">
              <w:rPr>
                <w:u w:val="none"/>
              </w:rPr>
              <w:t xml:space="preserve">Depreciation and Dismantlement; Construction Work In Progress; </w:t>
            </w:r>
            <w:r>
              <w:rPr>
                <w:u w:val="none"/>
              </w:rPr>
              <w:t xml:space="preserve">Reconciliation of Rate Base and </w:t>
            </w:r>
            <w:r w:rsidR="004757AE">
              <w:rPr>
                <w:u w:val="none"/>
              </w:rPr>
              <w:t>Capital Structure; Storm Damage Accrual; Step Increase</w:t>
            </w:r>
          </w:p>
        </w:tc>
        <w:tc>
          <w:tcPr>
            <w:tcW w:w="2880" w:type="dxa"/>
          </w:tcPr>
          <w:p w:rsidR="007F42EF" w:rsidRDefault="004865CC">
            <w:pPr>
              <w:pStyle w:val="Heading2"/>
              <w:spacing w:before="0"/>
              <w:jc w:val="left"/>
              <w:rPr>
                <w:u w:val="none"/>
              </w:rPr>
            </w:pPr>
            <w:r>
              <w:rPr>
                <w:u w:val="none"/>
              </w:rPr>
              <w:t xml:space="preserve">8, </w:t>
            </w:r>
            <w:r w:rsidR="00FD40A9">
              <w:rPr>
                <w:u w:val="none"/>
              </w:rPr>
              <w:t xml:space="preserve">8C, 9, 10, 10A, 10B, </w:t>
            </w:r>
            <w:r w:rsidR="000C31D2">
              <w:rPr>
                <w:u w:val="none"/>
              </w:rPr>
              <w:t xml:space="preserve">10C, </w:t>
            </w:r>
            <w:bookmarkStart w:id="2" w:name="_GoBack"/>
            <w:bookmarkEnd w:id="2"/>
            <w:r w:rsidR="001E7237">
              <w:rPr>
                <w:u w:val="none"/>
              </w:rPr>
              <w:t>17</w:t>
            </w:r>
            <w:r w:rsidR="00CE7799">
              <w:rPr>
                <w:u w:val="none"/>
              </w:rPr>
              <w:t>,</w:t>
            </w:r>
            <w:r w:rsidR="002A7326">
              <w:rPr>
                <w:u w:val="none"/>
              </w:rPr>
              <w:t xml:space="preserve"> </w:t>
            </w:r>
            <w:r w:rsidR="00CE7799">
              <w:rPr>
                <w:u w:val="none"/>
              </w:rPr>
              <w:t xml:space="preserve">30, </w:t>
            </w:r>
            <w:r w:rsidR="00953D3A">
              <w:rPr>
                <w:u w:val="none"/>
              </w:rPr>
              <w:t>42</w:t>
            </w:r>
            <w:r w:rsidR="00C06DA2">
              <w:rPr>
                <w:u w:val="none"/>
              </w:rPr>
              <w:t>, 48</w:t>
            </w:r>
            <w:r w:rsidR="00A257AC">
              <w:rPr>
                <w:u w:val="none"/>
              </w:rPr>
              <w:t>, 56</w:t>
            </w:r>
            <w:r w:rsidR="008949FE">
              <w:rPr>
                <w:u w:val="none"/>
              </w:rPr>
              <w:t>, 65</w:t>
            </w:r>
          </w:p>
          <w:p w:rsidR="008E41B3" w:rsidRPr="008E41B3" w:rsidRDefault="008E41B3" w:rsidP="000A30DB"/>
          <w:p w:rsidR="00FD4523" w:rsidRDefault="00FD4523" w:rsidP="00FD4523"/>
          <w:p w:rsidR="0073624E" w:rsidRDefault="0073624E" w:rsidP="00FD4523"/>
          <w:p w:rsidR="0073624E" w:rsidRDefault="0073624E" w:rsidP="00FD4523"/>
          <w:p w:rsidR="0073624E" w:rsidRDefault="0073624E" w:rsidP="00FD4523"/>
          <w:p w:rsidR="0073624E" w:rsidRPr="00FD4523" w:rsidRDefault="0073624E" w:rsidP="00FD4523"/>
        </w:tc>
      </w:tr>
      <w:tr w:rsidR="007F42EF" w:rsidTr="0094336A">
        <w:tc>
          <w:tcPr>
            <w:tcW w:w="3120" w:type="dxa"/>
          </w:tcPr>
          <w:p w:rsidR="007F42EF" w:rsidRDefault="007F42EF" w:rsidP="007F42E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 S. Teel</w:t>
            </w:r>
          </w:p>
        </w:tc>
        <w:tc>
          <w:tcPr>
            <w:tcW w:w="3450" w:type="dxa"/>
          </w:tcPr>
          <w:p w:rsidR="007F42EF" w:rsidRPr="008002FB" w:rsidRDefault="009C7364" w:rsidP="00DE21F0">
            <w:pPr>
              <w:pStyle w:val="Heading2"/>
              <w:spacing w:before="0"/>
              <w:jc w:val="left"/>
              <w:rPr>
                <w:u w:val="none"/>
              </w:rPr>
            </w:pPr>
            <w:r w:rsidRPr="008002FB">
              <w:rPr>
                <w:u w:val="none"/>
              </w:rPr>
              <w:t>Impact of Intervenors’ recommendations; Financial Integrity; Cost of Capital</w:t>
            </w:r>
          </w:p>
        </w:tc>
        <w:tc>
          <w:tcPr>
            <w:tcW w:w="2880" w:type="dxa"/>
          </w:tcPr>
          <w:p w:rsidR="007F42EF" w:rsidRDefault="00CE7799">
            <w:pPr>
              <w:pStyle w:val="Heading2"/>
              <w:spacing w:before="0"/>
              <w:jc w:val="left"/>
              <w:rPr>
                <w:u w:val="none"/>
              </w:rPr>
            </w:pPr>
            <w:r>
              <w:rPr>
                <w:u w:val="none"/>
              </w:rPr>
              <w:t>29</w:t>
            </w:r>
            <w:r w:rsidR="009C7364">
              <w:rPr>
                <w:u w:val="none"/>
              </w:rPr>
              <w:t>, 30</w:t>
            </w:r>
          </w:p>
          <w:p w:rsidR="00FD4523" w:rsidRPr="00FD4523" w:rsidRDefault="00FD4523" w:rsidP="00FD4523"/>
        </w:tc>
      </w:tr>
    </w:tbl>
    <w:p w:rsidR="0009583D" w:rsidRDefault="0009583D"/>
    <w:p w:rsidR="0009583D" w:rsidRDefault="0009583D"/>
    <w:p w:rsidR="0009583D" w:rsidRDefault="0009583D"/>
    <w:p w:rsidR="0009583D" w:rsidRDefault="0009583D"/>
    <w:p w:rsidR="0009583D" w:rsidRDefault="0009583D"/>
    <w:p w:rsidR="00604083" w:rsidRDefault="00604083"/>
    <w:p w:rsidR="00F43C97" w:rsidRDefault="00F43C97">
      <w:pPr>
        <w:pStyle w:val="Heading1"/>
      </w:pPr>
    </w:p>
    <w:p w:rsidR="00AC5B4B" w:rsidRDefault="00AC5B4B">
      <w:pPr>
        <w:pStyle w:val="Heading1"/>
      </w:pPr>
      <w:r>
        <w:t>C.  EXHIBITS</w:t>
      </w:r>
    </w:p>
    <w:tbl>
      <w:tblPr>
        <w:tblW w:w="9558" w:type="dxa"/>
        <w:tblLayout w:type="fixed"/>
        <w:tblLook w:val="0000" w:firstRow="0" w:lastRow="0" w:firstColumn="0" w:lastColumn="0" w:noHBand="0" w:noVBand="0"/>
      </w:tblPr>
      <w:tblGrid>
        <w:gridCol w:w="1998"/>
        <w:gridCol w:w="1620"/>
        <w:gridCol w:w="1800"/>
        <w:gridCol w:w="4140"/>
      </w:tblGrid>
      <w:tr w:rsidR="00AC5B4B" w:rsidTr="009F6014">
        <w:tc>
          <w:tcPr>
            <w:tcW w:w="1998" w:type="dxa"/>
          </w:tcPr>
          <w:p w:rsidR="00C0770B" w:rsidRDefault="00AC5B4B">
            <w:r>
              <w:rPr>
                <w:u w:val="single"/>
              </w:rPr>
              <w:t>Witness</w:t>
            </w:r>
          </w:p>
          <w:p w:rsidR="00AC5B4B" w:rsidRDefault="00AC5B4B" w:rsidP="00E17419">
            <w:r>
              <w:t>(Direct)</w:t>
            </w:r>
          </w:p>
          <w:p w:rsidR="002E72DF" w:rsidRPr="002E72DF" w:rsidRDefault="002E72DF" w:rsidP="00E17419">
            <w:pPr>
              <w:rPr>
                <w:sz w:val="12"/>
                <w:szCs w:val="12"/>
              </w:rPr>
            </w:pPr>
          </w:p>
        </w:tc>
        <w:tc>
          <w:tcPr>
            <w:tcW w:w="1620" w:type="dxa"/>
          </w:tcPr>
          <w:p w:rsidR="005B3E7C" w:rsidRDefault="00AC5B4B">
            <w:pPr>
              <w:jc w:val="center"/>
              <w:rPr>
                <w:u w:val="single"/>
              </w:rPr>
            </w:pPr>
            <w:r>
              <w:rPr>
                <w:u w:val="single"/>
              </w:rPr>
              <w:t>Proffered By</w:t>
            </w:r>
          </w:p>
        </w:tc>
        <w:tc>
          <w:tcPr>
            <w:tcW w:w="1800" w:type="dxa"/>
          </w:tcPr>
          <w:p w:rsidR="005B3E7C" w:rsidRDefault="00AC5B4B">
            <w:pPr>
              <w:jc w:val="center"/>
              <w:rPr>
                <w:u w:val="single"/>
              </w:rPr>
            </w:pPr>
            <w:r>
              <w:rPr>
                <w:u w:val="single"/>
              </w:rPr>
              <w:t>I.D. No.</w:t>
            </w:r>
          </w:p>
        </w:tc>
        <w:tc>
          <w:tcPr>
            <w:tcW w:w="4140" w:type="dxa"/>
          </w:tcPr>
          <w:p w:rsidR="00AC5B4B" w:rsidRDefault="00AC5B4B" w:rsidP="00E17419">
            <w:pPr>
              <w:jc w:val="center"/>
              <w:rPr>
                <w:u w:val="single"/>
              </w:rPr>
            </w:pPr>
            <w:r>
              <w:rPr>
                <w:u w:val="single"/>
              </w:rPr>
              <w:t>Description</w:t>
            </w:r>
          </w:p>
        </w:tc>
      </w:tr>
      <w:tr w:rsidR="00017DF0" w:rsidTr="009F6014">
        <w:tc>
          <w:tcPr>
            <w:tcW w:w="1998" w:type="dxa"/>
          </w:tcPr>
          <w:p w:rsidR="00017DF0" w:rsidRDefault="00017DF0" w:rsidP="00690EFA">
            <w:r>
              <w:t>Various</w:t>
            </w:r>
          </w:p>
        </w:tc>
        <w:tc>
          <w:tcPr>
            <w:tcW w:w="1620" w:type="dxa"/>
          </w:tcPr>
          <w:p w:rsidR="00017DF0" w:rsidRDefault="00017DF0" w:rsidP="00690EFA">
            <w:pPr>
              <w:jc w:val="center"/>
            </w:pPr>
            <w:r>
              <w:t>Gulf</w:t>
            </w:r>
          </w:p>
        </w:tc>
        <w:tc>
          <w:tcPr>
            <w:tcW w:w="1800" w:type="dxa"/>
          </w:tcPr>
          <w:p w:rsidR="00017DF0" w:rsidRDefault="00017DF0" w:rsidP="00690EFA">
            <w:pPr>
              <w:jc w:val="center"/>
            </w:pPr>
          </w:p>
        </w:tc>
        <w:tc>
          <w:tcPr>
            <w:tcW w:w="4140" w:type="dxa"/>
          </w:tcPr>
          <w:p w:rsidR="00017DF0" w:rsidRDefault="007C2FD7" w:rsidP="00690EFA">
            <w:r>
              <w:t xml:space="preserve">Minimum Filing Requirement (MFR) Schedules - Sections A, B, C, D, E and </w:t>
            </w:r>
            <w:r w:rsidR="0057264F">
              <w:t>F</w:t>
            </w:r>
          </w:p>
          <w:p w:rsidR="00B943A7" w:rsidRDefault="00B943A7" w:rsidP="00690EFA"/>
        </w:tc>
      </w:tr>
      <w:tr w:rsidR="007F42EF" w:rsidTr="009F6014">
        <w:tc>
          <w:tcPr>
            <w:tcW w:w="1998" w:type="dxa"/>
          </w:tcPr>
          <w:p w:rsidR="007F42EF" w:rsidRDefault="007F42EF" w:rsidP="00690EFA">
            <w:r>
              <w:t>M. D. Neyman</w:t>
            </w:r>
          </w:p>
        </w:tc>
        <w:tc>
          <w:tcPr>
            <w:tcW w:w="1620" w:type="dxa"/>
          </w:tcPr>
          <w:p w:rsidR="007F42EF" w:rsidRDefault="007F42EF" w:rsidP="00690EFA">
            <w:pPr>
              <w:jc w:val="center"/>
            </w:pPr>
            <w:r>
              <w:t>Gulf</w:t>
            </w:r>
          </w:p>
        </w:tc>
        <w:tc>
          <w:tcPr>
            <w:tcW w:w="1800" w:type="dxa"/>
          </w:tcPr>
          <w:p w:rsidR="007F42EF" w:rsidRDefault="007F42EF" w:rsidP="007F42EF">
            <w:pPr>
              <w:jc w:val="center"/>
            </w:pPr>
            <w:r>
              <w:t>______</w:t>
            </w:r>
          </w:p>
          <w:p w:rsidR="007F42EF" w:rsidRDefault="007F42EF" w:rsidP="007F42EF">
            <w:pPr>
              <w:jc w:val="center"/>
            </w:pPr>
            <w:r>
              <w:t>MDN-1</w:t>
            </w:r>
          </w:p>
        </w:tc>
        <w:tc>
          <w:tcPr>
            <w:tcW w:w="4140" w:type="dxa"/>
          </w:tcPr>
          <w:p w:rsidR="007F42EF" w:rsidRDefault="007F42EF" w:rsidP="00690EFA">
            <w:r>
              <w:t xml:space="preserve">MFR responsibility; </w:t>
            </w:r>
            <w:r w:rsidR="006E2A87">
              <w:t>Gulf’s FPSC Complaint Activity 2002-2012; Customer Accounts O &amp; M; Service Fees</w:t>
            </w:r>
          </w:p>
          <w:p w:rsidR="006E2A87" w:rsidRDefault="006E2A87" w:rsidP="00690EFA"/>
        </w:tc>
      </w:tr>
      <w:tr w:rsidR="006E2A87" w:rsidTr="009F6014">
        <w:tc>
          <w:tcPr>
            <w:tcW w:w="1998" w:type="dxa"/>
          </w:tcPr>
          <w:p w:rsidR="006E2A87" w:rsidRDefault="006E2A87" w:rsidP="00690EFA">
            <w:r>
              <w:t>A. G. Strickland</w:t>
            </w:r>
          </w:p>
        </w:tc>
        <w:tc>
          <w:tcPr>
            <w:tcW w:w="1620" w:type="dxa"/>
          </w:tcPr>
          <w:p w:rsidR="006E2A87" w:rsidRDefault="006E2A87" w:rsidP="00690EFA">
            <w:pPr>
              <w:jc w:val="center"/>
            </w:pPr>
            <w:r>
              <w:t>Gulf</w:t>
            </w:r>
          </w:p>
        </w:tc>
        <w:tc>
          <w:tcPr>
            <w:tcW w:w="1800" w:type="dxa"/>
          </w:tcPr>
          <w:p w:rsidR="006E2A87" w:rsidRDefault="006E2A87" w:rsidP="006E2A87">
            <w:pPr>
              <w:jc w:val="center"/>
            </w:pPr>
            <w:r>
              <w:t>______</w:t>
            </w:r>
          </w:p>
          <w:p w:rsidR="006E2A87" w:rsidRDefault="006E2A87" w:rsidP="006E2A87">
            <w:pPr>
              <w:jc w:val="center"/>
            </w:pPr>
            <w:r>
              <w:t>AGS-1</w:t>
            </w:r>
          </w:p>
        </w:tc>
        <w:tc>
          <w:tcPr>
            <w:tcW w:w="4140" w:type="dxa"/>
          </w:tcPr>
          <w:p w:rsidR="006E2A87" w:rsidRDefault="006E2A87" w:rsidP="006E2A87">
            <w:r>
              <w:t>MFR responsibility; Customer Value Benchmark Results; Customer Service and Information O &amp; M expense; O &amp; M Benchmark Variance</w:t>
            </w:r>
          </w:p>
          <w:p w:rsidR="006E2A87" w:rsidRDefault="006E2A87" w:rsidP="006E2A87"/>
        </w:tc>
      </w:tr>
      <w:tr w:rsidR="006E2A87" w:rsidTr="009F6014">
        <w:tc>
          <w:tcPr>
            <w:tcW w:w="1998" w:type="dxa"/>
          </w:tcPr>
          <w:p w:rsidR="006E2A87" w:rsidRDefault="006E2A87" w:rsidP="00690EFA">
            <w:r>
              <w:t>J. A. McQuagge</w:t>
            </w:r>
          </w:p>
        </w:tc>
        <w:tc>
          <w:tcPr>
            <w:tcW w:w="1620" w:type="dxa"/>
          </w:tcPr>
          <w:p w:rsidR="006E2A87" w:rsidRDefault="006E2A87" w:rsidP="00690EFA">
            <w:pPr>
              <w:jc w:val="center"/>
            </w:pPr>
            <w:r>
              <w:t>Gulf</w:t>
            </w:r>
          </w:p>
        </w:tc>
        <w:tc>
          <w:tcPr>
            <w:tcW w:w="1800" w:type="dxa"/>
          </w:tcPr>
          <w:p w:rsidR="006E2A87" w:rsidRDefault="006E2A87" w:rsidP="006E2A87">
            <w:pPr>
              <w:jc w:val="center"/>
            </w:pPr>
            <w:r>
              <w:t>______</w:t>
            </w:r>
          </w:p>
          <w:p w:rsidR="006E2A87" w:rsidRDefault="006E2A87" w:rsidP="006E2A87">
            <w:pPr>
              <w:jc w:val="center"/>
            </w:pPr>
            <w:r>
              <w:t>JAM-1</w:t>
            </w:r>
          </w:p>
        </w:tc>
        <w:tc>
          <w:tcPr>
            <w:tcW w:w="4140" w:type="dxa"/>
          </w:tcPr>
          <w:p w:rsidR="006E2A87" w:rsidRDefault="006E2A87" w:rsidP="006E2A87">
            <w:r>
              <w:t xml:space="preserve">MFR responsibility; Distribution System Components; Description of Typical Electric System; Gulf Power District Service Areas; Gulf Power Service Area and Customer Density Areas; </w:t>
            </w:r>
            <w:proofErr w:type="spellStart"/>
            <w:r>
              <w:t>Vaisala’s</w:t>
            </w:r>
            <w:proofErr w:type="spellEnd"/>
            <w:r>
              <w:t xml:space="preserve"> National Lightning Detection Network Cloud-to-Ground Lightning 1997-2012; Distribution </w:t>
            </w:r>
            <w:r>
              <w:br/>
              <w:t xml:space="preserve">O &amp; M Budget 2013-2017; Distribution O &amp; M Benchmark Variance; 2013-2014 Distribution/Fleet Capital Additions Budget; Distribution Performance with CVB Survey </w:t>
            </w:r>
          </w:p>
          <w:p w:rsidR="006E2A87" w:rsidRDefault="006E2A87" w:rsidP="006E2A87"/>
        </w:tc>
      </w:tr>
      <w:tr w:rsidR="00AB3D7C" w:rsidTr="009F6014">
        <w:tc>
          <w:tcPr>
            <w:tcW w:w="1998" w:type="dxa"/>
          </w:tcPr>
          <w:p w:rsidR="00AB3D7C" w:rsidRDefault="00AB3D7C" w:rsidP="00690EFA">
            <w:r>
              <w:t>M. L. Burroughs</w:t>
            </w:r>
          </w:p>
        </w:tc>
        <w:tc>
          <w:tcPr>
            <w:tcW w:w="1620" w:type="dxa"/>
          </w:tcPr>
          <w:p w:rsidR="00AB3D7C" w:rsidRDefault="00AB3D7C" w:rsidP="00690EFA">
            <w:pPr>
              <w:jc w:val="center"/>
            </w:pPr>
            <w:r>
              <w:t>Gulf</w:t>
            </w:r>
          </w:p>
        </w:tc>
        <w:tc>
          <w:tcPr>
            <w:tcW w:w="1800" w:type="dxa"/>
          </w:tcPr>
          <w:p w:rsidR="00AB3D7C" w:rsidRDefault="00AB3D7C" w:rsidP="00AB3D7C">
            <w:pPr>
              <w:jc w:val="center"/>
            </w:pPr>
            <w:r>
              <w:t>______</w:t>
            </w:r>
          </w:p>
          <w:p w:rsidR="00AB3D7C" w:rsidRDefault="00AB3D7C" w:rsidP="00AB3D7C">
            <w:pPr>
              <w:jc w:val="center"/>
            </w:pPr>
            <w:r>
              <w:t>MLB-1</w:t>
            </w:r>
          </w:p>
        </w:tc>
        <w:tc>
          <w:tcPr>
            <w:tcW w:w="4140" w:type="dxa"/>
          </w:tcPr>
          <w:p w:rsidR="00F149D4" w:rsidRDefault="00AB3D7C" w:rsidP="00AB3D7C">
            <w:r>
              <w:t>MFR responsibility; Owned and Operated or Jointly Owned Generating Capacity; Power Purchase Agreements; Annual EFOR; Peak Season EFOR; Gulf EFOR compared to peer group; Natural Gas Inventory</w:t>
            </w:r>
          </w:p>
          <w:p w:rsidR="00F149D4" w:rsidRDefault="00F149D4" w:rsidP="00AB3D7C"/>
          <w:p w:rsidR="00F149D4" w:rsidRDefault="00F149D4" w:rsidP="00AB3D7C"/>
          <w:p w:rsidR="00F149D4" w:rsidRDefault="00F149D4" w:rsidP="00AB3D7C"/>
          <w:p w:rsidR="00F149D4" w:rsidRDefault="00F149D4" w:rsidP="00AB3D7C"/>
          <w:p w:rsidR="00AB3D7C" w:rsidRDefault="00AB3D7C" w:rsidP="006E2A87"/>
        </w:tc>
      </w:tr>
      <w:tr w:rsidR="00F149D4" w:rsidTr="009F6014">
        <w:tc>
          <w:tcPr>
            <w:tcW w:w="1998" w:type="dxa"/>
          </w:tcPr>
          <w:p w:rsidR="00F149D4" w:rsidRDefault="00F149D4" w:rsidP="008F05D6">
            <w:r>
              <w:rPr>
                <w:u w:val="single"/>
              </w:rPr>
              <w:lastRenderedPageBreak/>
              <w:t>Witness</w:t>
            </w:r>
          </w:p>
          <w:p w:rsidR="00F149D4" w:rsidRDefault="00F149D4" w:rsidP="008F05D6">
            <w:r>
              <w:t>(Direct Cont.)</w:t>
            </w:r>
          </w:p>
          <w:p w:rsidR="00F149D4" w:rsidRPr="002E72DF" w:rsidRDefault="00F149D4" w:rsidP="008F05D6">
            <w:pPr>
              <w:rPr>
                <w:sz w:val="12"/>
                <w:szCs w:val="12"/>
              </w:rPr>
            </w:pPr>
          </w:p>
        </w:tc>
        <w:tc>
          <w:tcPr>
            <w:tcW w:w="1620" w:type="dxa"/>
          </w:tcPr>
          <w:p w:rsidR="00F149D4" w:rsidRDefault="00F149D4" w:rsidP="008F05D6">
            <w:pPr>
              <w:jc w:val="center"/>
            </w:pPr>
            <w:r>
              <w:rPr>
                <w:u w:val="single"/>
              </w:rPr>
              <w:t>Proffered By</w:t>
            </w:r>
          </w:p>
        </w:tc>
        <w:tc>
          <w:tcPr>
            <w:tcW w:w="1800" w:type="dxa"/>
          </w:tcPr>
          <w:p w:rsidR="00F149D4" w:rsidRDefault="00F149D4" w:rsidP="008F05D6">
            <w:pPr>
              <w:jc w:val="center"/>
            </w:pPr>
            <w:r>
              <w:rPr>
                <w:u w:val="single"/>
              </w:rPr>
              <w:t>I.D. No.</w:t>
            </w:r>
          </w:p>
        </w:tc>
        <w:tc>
          <w:tcPr>
            <w:tcW w:w="4140" w:type="dxa"/>
          </w:tcPr>
          <w:p w:rsidR="00F149D4" w:rsidRDefault="00F149D4" w:rsidP="008F05D6">
            <w:r>
              <w:rPr>
                <w:u w:val="single"/>
              </w:rPr>
              <w:t>Description</w:t>
            </w:r>
          </w:p>
        </w:tc>
      </w:tr>
      <w:tr w:rsidR="00AB3D7C" w:rsidTr="009F6014">
        <w:tc>
          <w:tcPr>
            <w:tcW w:w="1998" w:type="dxa"/>
          </w:tcPr>
          <w:p w:rsidR="00AB3D7C" w:rsidRDefault="00AB3D7C" w:rsidP="00690EFA">
            <w:r>
              <w:t>R. W. Grove</w:t>
            </w:r>
          </w:p>
        </w:tc>
        <w:tc>
          <w:tcPr>
            <w:tcW w:w="1620" w:type="dxa"/>
          </w:tcPr>
          <w:p w:rsidR="00AB3D7C" w:rsidRDefault="00AB3D7C" w:rsidP="00690EFA">
            <w:pPr>
              <w:jc w:val="center"/>
            </w:pPr>
            <w:r>
              <w:t>Gulf</w:t>
            </w:r>
          </w:p>
        </w:tc>
        <w:tc>
          <w:tcPr>
            <w:tcW w:w="1800" w:type="dxa"/>
          </w:tcPr>
          <w:p w:rsidR="00AB3D7C" w:rsidRDefault="00AB3D7C" w:rsidP="00AB3D7C">
            <w:pPr>
              <w:jc w:val="center"/>
            </w:pPr>
            <w:r>
              <w:t>______</w:t>
            </w:r>
          </w:p>
          <w:p w:rsidR="00AB3D7C" w:rsidRDefault="00AB3D7C" w:rsidP="00AB3D7C">
            <w:pPr>
              <w:jc w:val="center"/>
            </w:pPr>
            <w:r>
              <w:t>RWG-1</w:t>
            </w:r>
          </w:p>
        </w:tc>
        <w:tc>
          <w:tcPr>
            <w:tcW w:w="4140" w:type="dxa"/>
          </w:tcPr>
          <w:p w:rsidR="00AB3D7C" w:rsidRDefault="00AB3D7C" w:rsidP="00AB3D7C">
            <w:r>
              <w:t>MFR responsibility; Net Generation Capability by Type; Owned and Operated or Jointly Owned Generating Capacity; Power Purchase Agreements; 2013 Production Capital Additions Budget; 2014 Production Capital Additions Budget; 2014 Production O &amp; M Budget; Planned Outages 2013</w:t>
            </w:r>
            <w:r w:rsidR="00D15F78">
              <w:t xml:space="preserve"> to </w:t>
            </w:r>
            <w:r>
              <w:t xml:space="preserve">2017; Production O &amp; M Expenses; Benchmark Comparison </w:t>
            </w:r>
          </w:p>
          <w:p w:rsidR="00AB3D7C" w:rsidRDefault="00AB3D7C" w:rsidP="00AB3D7C"/>
        </w:tc>
      </w:tr>
      <w:tr w:rsidR="00AB3D7C" w:rsidTr="009F6014">
        <w:tc>
          <w:tcPr>
            <w:tcW w:w="1998" w:type="dxa"/>
          </w:tcPr>
          <w:p w:rsidR="00AB3D7C" w:rsidRDefault="00AB3D7C" w:rsidP="00690EFA">
            <w:r>
              <w:t>J. O. Vick</w:t>
            </w:r>
          </w:p>
        </w:tc>
        <w:tc>
          <w:tcPr>
            <w:tcW w:w="1620" w:type="dxa"/>
          </w:tcPr>
          <w:p w:rsidR="00AB3D7C" w:rsidRDefault="00AB3D7C" w:rsidP="00690EFA">
            <w:pPr>
              <w:jc w:val="center"/>
            </w:pPr>
            <w:r>
              <w:t>Gulf</w:t>
            </w:r>
          </w:p>
        </w:tc>
        <w:tc>
          <w:tcPr>
            <w:tcW w:w="1800" w:type="dxa"/>
          </w:tcPr>
          <w:p w:rsidR="00AB3D7C" w:rsidRDefault="00AB3D7C" w:rsidP="00AB3D7C">
            <w:pPr>
              <w:jc w:val="center"/>
            </w:pPr>
            <w:r>
              <w:t>______</w:t>
            </w:r>
          </w:p>
          <w:p w:rsidR="00AB3D7C" w:rsidRDefault="00AB3D7C" w:rsidP="00AB3D7C">
            <w:pPr>
              <w:jc w:val="center"/>
            </w:pPr>
            <w:r>
              <w:t>JOV-1</w:t>
            </w:r>
          </w:p>
        </w:tc>
        <w:tc>
          <w:tcPr>
            <w:tcW w:w="4140" w:type="dxa"/>
          </w:tcPr>
          <w:p w:rsidR="00AB3D7C" w:rsidRDefault="00AB3D7C" w:rsidP="00AB3D7C">
            <w:r>
              <w:t>Gulf’s 2013 Environmental Compliance Program Update</w:t>
            </w:r>
          </w:p>
          <w:p w:rsidR="0046274F" w:rsidRDefault="0046274F" w:rsidP="00AB3D7C"/>
        </w:tc>
      </w:tr>
      <w:tr w:rsidR="0046274F" w:rsidTr="009F6014">
        <w:tc>
          <w:tcPr>
            <w:tcW w:w="1998" w:type="dxa"/>
          </w:tcPr>
          <w:p w:rsidR="0046274F" w:rsidRDefault="0046274F" w:rsidP="00690EFA">
            <w:r>
              <w:t>J. O. Vick</w:t>
            </w:r>
          </w:p>
        </w:tc>
        <w:tc>
          <w:tcPr>
            <w:tcW w:w="1620" w:type="dxa"/>
          </w:tcPr>
          <w:p w:rsidR="0046274F" w:rsidRDefault="0046274F" w:rsidP="00690EFA">
            <w:pPr>
              <w:jc w:val="center"/>
            </w:pPr>
            <w:r>
              <w:t>Gulf</w:t>
            </w:r>
          </w:p>
        </w:tc>
        <w:tc>
          <w:tcPr>
            <w:tcW w:w="1800" w:type="dxa"/>
          </w:tcPr>
          <w:p w:rsidR="0046274F" w:rsidRDefault="0046274F" w:rsidP="0046274F">
            <w:pPr>
              <w:jc w:val="center"/>
            </w:pPr>
            <w:r>
              <w:t>______</w:t>
            </w:r>
          </w:p>
          <w:p w:rsidR="0046274F" w:rsidRDefault="0046274F" w:rsidP="0046274F">
            <w:pPr>
              <w:jc w:val="center"/>
            </w:pPr>
            <w:r>
              <w:t>JOV-2</w:t>
            </w:r>
          </w:p>
        </w:tc>
        <w:tc>
          <w:tcPr>
            <w:tcW w:w="4140" w:type="dxa"/>
          </w:tcPr>
          <w:p w:rsidR="0046274F" w:rsidRDefault="0046274F" w:rsidP="00AB3D7C">
            <w:r>
              <w:t xml:space="preserve">Federal Register publication of the Mercury and Air Toxics Standards (MATS) rule </w:t>
            </w:r>
          </w:p>
          <w:p w:rsidR="0046274F" w:rsidRDefault="0046274F" w:rsidP="00AB3D7C"/>
        </w:tc>
      </w:tr>
      <w:tr w:rsidR="0046274F" w:rsidTr="009F6014">
        <w:tc>
          <w:tcPr>
            <w:tcW w:w="1998" w:type="dxa"/>
          </w:tcPr>
          <w:p w:rsidR="0046274F" w:rsidRDefault="0046274F" w:rsidP="00690EFA">
            <w:r>
              <w:t>P. C. Caldwell</w:t>
            </w:r>
          </w:p>
        </w:tc>
        <w:tc>
          <w:tcPr>
            <w:tcW w:w="1620" w:type="dxa"/>
          </w:tcPr>
          <w:p w:rsidR="0046274F" w:rsidRDefault="0046274F" w:rsidP="00690EFA">
            <w:pPr>
              <w:jc w:val="center"/>
            </w:pPr>
            <w:r>
              <w:t>Gulf</w:t>
            </w:r>
          </w:p>
        </w:tc>
        <w:tc>
          <w:tcPr>
            <w:tcW w:w="1800" w:type="dxa"/>
          </w:tcPr>
          <w:p w:rsidR="0046274F" w:rsidRDefault="0046274F" w:rsidP="0046274F">
            <w:pPr>
              <w:jc w:val="center"/>
            </w:pPr>
            <w:r>
              <w:t>______</w:t>
            </w:r>
          </w:p>
          <w:p w:rsidR="0046274F" w:rsidRDefault="0046274F" w:rsidP="0046274F">
            <w:pPr>
              <w:jc w:val="center"/>
            </w:pPr>
            <w:r>
              <w:t>PCC-1</w:t>
            </w:r>
          </w:p>
        </w:tc>
        <w:tc>
          <w:tcPr>
            <w:tcW w:w="4140" w:type="dxa"/>
          </w:tcPr>
          <w:p w:rsidR="0046274F" w:rsidRDefault="0046274F" w:rsidP="0046274F">
            <w:r>
              <w:t>MFR responsibility; Transmission Capital Budget 2013</w:t>
            </w:r>
            <w:r w:rsidR="00D15F78">
              <w:t xml:space="preserve"> to </w:t>
            </w:r>
            <w:r>
              <w:t>2014; MATS transmission projects through 2015; Gulf Transmission O &amp; M Budget 2013-2017; Transmission O &amp; M Benchmark Comparison; Transmission Reliability History</w:t>
            </w:r>
          </w:p>
          <w:p w:rsidR="0046274F" w:rsidRDefault="0046274F" w:rsidP="00AB3D7C"/>
        </w:tc>
      </w:tr>
      <w:tr w:rsidR="00690EFA" w:rsidTr="009F6014">
        <w:tc>
          <w:tcPr>
            <w:tcW w:w="1998" w:type="dxa"/>
          </w:tcPr>
          <w:p w:rsidR="00690EFA" w:rsidRDefault="00F149D4" w:rsidP="00690EFA">
            <w:r>
              <w:t>R. J. Alexander</w:t>
            </w:r>
          </w:p>
        </w:tc>
        <w:tc>
          <w:tcPr>
            <w:tcW w:w="1620" w:type="dxa"/>
          </w:tcPr>
          <w:p w:rsidR="00690EFA" w:rsidRDefault="00690EFA" w:rsidP="00690EFA">
            <w:pPr>
              <w:jc w:val="center"/>
            </w:pPr>
            <w:r>
              <w:t>Gulf</w:t>
            </w:r>
          </w:p>
        </w:tc>
        <w:tc>
          <w:tcPr>
            <w:tcW w:w="1800" w:type="dxa"/>
          </w:tcPr>
          <w:p w:rsidR="00690EFA" w:rsidRDefault="00690EFA" w:rsidP="00690EFA">
            <w:pPr>
              <w:jc w:val="center"/>
            </w:pPr>
            <w:r>
              <w:t>______</w:t>
            </w:r>
          </w:p>
          <w:p w:rsidR="00690EFA" w:rsidRDefault="00F149D4" w:rsidP="00690EFA">
            <w:pPr>
              <w:jc w:val="center"/>
            </w:pPr>
            <w:r>
              <w:t>RJA</w:t>
            </w:r>
            <w:r w:rsidR="00690EFA">
              <w:t>-1</w:t>
            </w:r>
          </w:p>
        </w:tc>
        <w:tc>
          <w:tcPr>
            <w:tcW w:w="4140" w:type="dxa"/>
          </w:tcPr>
          <w:p w:rsidR="00690EFA" w:rsidRDefault="00690EFA" w:rsidP="00690EFA">
            <w:r>
              <w:t xml:space="preserve">MFR responsibility; </w:t>
            </w:r>
            <w:r w:rsidR="00D15F78">
              <w:t>Forecas</w:t>
            </w:r>
            <w:r w:rsidR="007F4C13">
              <w:t>t</w:t>
            </w:r>
            <w:r w:rsidR="00D15F78">
              <w:t xml:space="preserve"> 2011 and 2012 Cumulative Annual Growth in U.S. Real GDP;  </w:t>
            </w:r>
            <w:r>
              <w:t>Residential Regression Model-Predicted vs. Actual; Small Commercial Regression Model-Predicted vs. Actual; Large Commercial Regression Model-Predicted vs. Actual</w:t>
            </w:r>
          </w:p>
          <w:p w:rsidR="00690EFA" w:rsidRDefault="00690EFA" w:rsidP="00690EFA"/>
        </w:tc>
      </w:tr>
    </w:tbl>
    <w:p w:rsidR="00690EFA" w:rsidRDefault="00690EFA"/>
    <w:p w:rsidR="00690EFA" w:rsidRDefault="00690EFA">
      <w:pPr>
        <w:widowControl/>
      </w:pPr>
      <w:r>
        <w:br w:type="page"/>
      </w:r>
    </w:p>
    <w:p w:rsidR="002E72DF" w:rsidRDefault="002E72DF"/>
    <w:p w:rsidR="00604083" w:rsidRDefault="00604083"/>
    <w:tbl>
      <w:tblPr>
        <w:tblW w:w="9558" w:type="dxa"/>
        <w:tblLayout w:type="fixed"/>
        <w:tblLook w:val="0000" w:firstRow="0" w:lastRow="0" w:firstColumn="0" w:lastColumn="0" w:noHBand="0" w:noVBand="0"/>
      </w:tblPr>
      <w:tblGrid>
        <w:gridCol w:w="1998"/>
        <w:gridCol w:w="1620"/>
        <w:gridCol w:w="1800"/>
        <w:gridCol w:w="4140"/>
      </w:tblGrid>
      <w:tr w:rsidR="00604083" w:rsidTr="009F6014">
        <w:tc>
          <w:tcPr>
            <w:tcW w:w="1998" w:type="dxa"/>
          </w:tcPr>
          <w:p w:rsidR="00C0770B" w:rsidRDefault="00604083">
            <w:r>
              <w:rPr>
                <w:u w:val="single"/>
              </w:rPr>
              <w:t>Witness</w:t>
            </w:r>
          </w:p>
          <w:p w:rsidR="00604083" w:rsidRDefault="00604083" w:rsidP="00E17419">
            <w:r>
              <w:t>(Direct</w:t>
            </w:r>
            <w:r w:rsidR="002E72DF">
              <w:t xml:space="preserve"> Cont.</w:t>
            </w:r>
            <w:r>
              <w:t>)</w:t>
            </w:r>
          </w:p>
          <w:p w:rsidR="002E72DF" w:rsidRPr="002E72DF" w:rsidRDefault="002E72DF" w:rsidP="00E17419">
            <w:pPr>
              <w:rPr>
                <w:sz w:val="12"/>
                <w:szCs w:val="12"/>
              </w:rPr>
            </w:pPr>
          </w:p>
        </w:tc>
        <w:tc>
          <w:tcPr>
            <w:tcW w:w="1620" w:type="dxa"/>
          </w:tcPr>
          <w:p w:rsidR="00C0770B" w:rsidRDefault="00604083">
            <w:pPr>
              <w:jc w:val="center"/>
            </w:pPr>
            <w:r>
              <w:rPr>
                <w:u w:val="single"/>
              </w:rPr>
              <w:t>Proffered By</w:t>
            </w:r>
          </w:p>
        </w:tc>
        <w:tc>
          <w:tcPr>
            <w:tcW w:w="1800" w:type="dxa"/>
          </w:tcPr>
          <w:p w:rsidR="00C0770B" w:rsidRDefault="00604083">
            <w:pPr>
              <w:jc w:val="center"/>
            </w:pPr>
            <w:r>
              <w:rPr>
                <w:u w:val="single"/>
              </w:rPr>
              <w:t>I.D. No.</w:t>
            </w:r>
          </w:p>
        </w:tc>
        <w:tc>
          <w:tcPr>
            <w:tcW w:w="4140" w:type="dxa"/>
          </w:tcPr>
          <w:p w:rsidR="00604083" w:rsidRDefault="00604083" w:rsidP="00E17419">
            <w:r>
              <w:rPr>
                <w:u w:val="single"/>
              </w:rPr>
              <w:t>Description</w:t>
            </w:r>
          </w:p>
        </w:tc>
      </w:tr>
      <w:tr w:rsidR="00D15F78" w:rsidTr="009F6014">
        <w:tc>
          <w:tcPr>
            <w:tcW w:w="1998" w:type="dxa"/>
          </w:tcPr>
          <w:p w:rsidR="00D15F78" w:rsidRDefault="00D15F78" w:rsidP="00690EFA">
            <w:r>
              <w:t>R. S. Teel</w:t>
            </w:r>
          </w:p>
        </w:tc>
        <w:tc>
          <w:tcPr>
            <w:tcW w:w="1620" w:type="dxa"/>
          </w:tcPr>
          <w:p w:rsidR="00D15F78" w:rsidRDefault="00D15F78" w:rsidP="00690EFA">
            <w:pPr>
              <w:jc w:val="center"/>
            </w:pPr>
            <w:r>
              <w:t>Gulf</w:t>
            </w:r>
          </w:p>
        </w:tc>
        <w:tc>
          <w:tcPr>
            <w:tcW w:w="1800" w:type="dxa"/>
          </w:tcPr>
          <w:p w:rsidR="00D15F78" w:rsidRDefault="00D15F78" w:rsidP="00D15F78">
            <w:pPr>
              <w:jc w:val="center"/>
            </w:pPr>
            <w:r>
              <w:t>______</w:t>
            </w:r>
          </w:p>
          <w:p w:rsidR="00D15F78" w:rsidRDefault="00D15F78" w:rsidP="00D15F78">
            <w:pPr>
              <w:jc w:val="center"/>
            </w:pPr>
            <w:r>
              <w:t>RST-1</w:t>
            </w:r>
          </w:p>
        </w:tc>
        <w:tc>
          <w:tcPr>
            <w:tcW w:w="4140" w:type="dxa"/>
          </w:tcPr>
          <w:p w:rsidR="00D15F78" w:rsidRDefault="00D15F78" w:rsidP="00D15F78">
            <w:pPr>
              <w:rPr>
                <w:rFonts w:cs="Arial"/>
                <w:snapToGrid/>
                <w:color w:val="000000"/>
                <w:szCs w:val="25"/>
              </w:rPr>
            </w:pPr>
            <w:r>
              <w:t xml:space="preserve">MFR responsibility; 2011 Forecast vs. 2013 Forecast; Base Rate Capital Expenditures 2002 – 2014; Rate Case Drivers; Base Retail Return on Equity; Total Retail Capital Expenditures 2002 to 2014; Rule 25-14.004, Florida Administrative Code; </w:t>
            </w:r>
            <w:r w:rsidRPr="008D3446">
              <w:rPr>
                <w:rFonts w:cs="Arial"/>
                <w:snapToGrid/>
                <w:color w:val="000000"/>
                <w:szCs w:val="25"/>
              </w:rPr>
              <w:t xml:space="preserve">Gulf Power Dividends Compared </w:t>
            </w:r>
            <w:r w:rsidRPr="008D3446">
              <w:rPr>
                <w:rFonts w:cs="Arial"/>
                <w:snapToGrid/>
                <w:color w:val="000000"/>
                <w:szCs w:val="24"/>
              </w:rPr>
              <w:t xml:space="preserve">To </w:t>
            </w:r>
            <w:r w:rsidRPr="008D3446">
              <w:rPr>
                <w:rFonts w:cs="Arial"/>
                <w:snapToGrid/>
                <w:color w:val="000000"/>
                <w:szCs w:val="25"/>
              </w:rPr>
              <w:t>Souther</w:t>
            </w:r>
            <w:r>
              <w:rPr>
                <w:rFonts w:cs="Arial"/>
                <w:snapToGrid/>
                <w:color w:val="000000"/>
                <w:szCs w:val="25"/>
              </w:rPr>
              <w:t>n Company Capital Contributions 2011</w:t>
            </w:r>
            <w:r w:rsidRPr="008D3446">
              <w:rPr>
                <w:rFonts w:cs="Arial"/>
                <w:snapToGrid/>
                <w:color w:val="000000"/>
                <w:szCs w:val="25"/>
              </w:rPr>
              <w:t xml:space="preserve"> to 201</w:t>
            </w:r>
            <w:r>
              <w:rPr>
                <w:rFonts w:cs="Arial"/>
                <w:snapToGrid/>
                <w:color w:val="000000"/>
                <w:szCs w:val="25"/>
              </w:rPr>
              <w:t>4</w:t>
            </w:r>
          </w:p>
          <w:p w:rsidR="009F6014" w:rsidRDefault="009F6014" w:rsidP="00D15F78"/>
        </w:tc>
      </w:tr>
      <w:tr w:rsidR="00690EFA" w:rsidTr="009F6014">
        <w:tc>
          <w:tcPr>
            <w:tcW w:w="1998" w:type="dxa"/>
          </w:tcPr>
          <w:p w:rsidR="00690EFA" w:rsidRDefault="00D15F78" w:rsidP="00690EF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DE8">
              <w:t>Vander Weide</w:t>
            </w:r>
          </w:p>
        </w:tc>
        <w:tc>
          <w:tcPr>
            <w:tcW w:w="1620" w:type="dxa"/>
          </w:tcPr>
          <w:p w:rsidR="00690EFA" w:rsidRDefault="00D15F78" w:rsidP="00690EFA">
            <w:pPr>
              <w:jc w:val="center"/>
            </w:pPr>
            <w:r>
              <w:t>Gulf</w:t>
            </w:r>
          </w:p>
        </w:tc>
        <w:tc>
          <w:tcPr>
            <w:tcW w:w="1800" w:type="dxa"/>
          </w:tcPr>
          <w:p w:rsidR="00D15F78" w:rsidRDefault="00D15F78" w:rsidP="00D15F78">
            <w:pPr>
              <w:jc w:val="center"/>
            </w:pPr>
            <w:r>
              <w:t>______</w:t>
            </w:r>
          </w:p>
          <w:p w:rsidR="00690EFA" w:rsidRDefault="00D15F78" w:rsidP="00D15F78">
            <w:pPr>
              <w:jc w:val="center"/>
            </w:pPr>
            <w:r>
              <w:t>JVW-1</w:t>
            </w:r>
          </w:p>
        </w:tc>
        <w:tc>
          <w:tcPr>
            <w:tcW w:w="4140" w:type="dxa"/>
          </w:tcPr>
          <w:p w:rsidR="00690EFA" w:rsidRDefault="007E0F97" w:rsidP="00C456B3">
            <w:r>
              <w:rPr>
                <w:snapToGrid/>
                <w:color w:val="000000"/>
                <w:szCs w:val="24"/>
              </w:rPr>
              <w:t xml:space="preserve">Summary of Discounted Cash Flow Analysis for Electric </w:t>
            </w:r>
            <w:r w:rsidR="00C456B3">
              <w:rPr>
                <w:snapToGrid/>
                <w:color w:val="000000"/>
                <w:szCs w:val="24"/>
              </w:rPr>
              <w:t>Utilities</w:t>
            </w:r>
            <w:r>
              <w:rPr>
                <w:snapToGrid/>
                <w:color w:val="000000"/>
                <w:szCs w:val="24"/>
              </w:rPr>
              <w:t xml:space="preserve">; Comparison of the DCF Expected Return on an Investment in Electric </w:t>
            </w:r>
            <w:r w:rsidR="00C456B3">
              <w:rPr>
                <w:snapToGrid/>
                <w:color w:val="000000"/>
                <w:szCs w:val="24"/>
              </w:rPr>
              <w:t>Utilities</w:t>
            </w:r>
            <w:r>
              <w:rPr>
                <w:snapToGrid/>
                <w:color w:val="000000"/>
                <w:szCs w:val="24"/>
              </w:rPr>
              <w:t xml:space="preserve"> to the Interest Rate on Moody’s A-Rated Utility Bonds; Comparative Returns on S&amp;P </w:t>
            </w:r>
            <w:r>
              <w:rPr>
                <w:snapToGrid/>
                <w:color w:val="000000"/>
                <w:sz w:val="26"/>
                <w:szCs w:val="26"/>
              </w:rPr>
              <w:t xml:space="preserve">500 </w:t>
            </w:r>
            <w:r>
              <w:rPr>
                <w:snapToGrid/>
                <w:color w:val="000000"/>
                <w:szCs w:val="24"/>
              </w:rPr>
              <w:t>Stock Index and Moody’s A-Rated Bonds 1937-201</w:t>
            </w:r>
            <w:r w:rsidR="008F05D6">
              <w:rPr>
                <w:snapToGrid/>
                <w:color w:val="000000"/>
                <w:szCs w:val="24"/>
              </w:rPr>
              <w:t>3</w:t>
            </w:r>
            <w:r>
              <w:rPr>
                <w:snapToGrid/>
                <w:color w:val="000000"/>
                <w:szCs w:val="24"/>
              </w:rPr>
              <w:t xml:space="preserve">; Comparative Returns on S&amp;P Utility Stock Index and Moody’s A-Rated </w:t>
            </w:r>
            <w:r w:rsidR="00C456B3">
              <w:rPr>
                <w:snapToGrid/>
                <w:color w:val="000000"/>
                <w:szCs w:val="24"/>
              </w:rPr>
              <w:t xml:space="preserve">Utility </w:t>
            </w:r>
            <w:r>
              <w:rPr>
                <w:snapToGrid/>
                <w:color w:val="000000"/>
                <w:szCs w:val="24"/>
              </w:rPr>
              <w:t>Bonds 1937-201</w:t>
            </w:r>
            <w:r w:rsidR="008F05D6">
              <w:rPr>
                <w:snapToGrid/>
                <w:color w:val="000000"/>
                <w:szCs w:val="24"/>
              </w:rPr>
              <w:t>3</w:t>
            </w:r>
            <w:r>
              <w:rPr>
                <w:snapToGrid/>
                <w:color w:val="000000"/>
                <w:szCs w:val="24"/>
              </w:rPr>
              <w:t xml:space="preserve">; Using the Arithmetic Mean to Estimate the Cost of Equity Capital; Calculation of Capital Asset Pricing Model Cost </w:t>
            </w:r>
            <w:r w:rsidRPr="00C30904">
              <w:rPr>
                <w:snapToGrid/>
                <w:color w:val="000000"/>
                <w:szCs w:val="24"/>
              </w:rPr>
              <w:t xml:space="preserve">of </w:t>
            </w:r>
            <w:r>
              <w:rPr>
                <w:snapToGrid/>
                <w:color w:val="000000"/>
                <w:szCs w:val="24"/>
              </w:rPr>
              <w:t xml:space="preserve">Equity Using the SBBI </w:t>
            </w:r>
            <w:r w:rsidRPr="00C30904">
              <w:rPr>
                <w:snapToGrid/>
                <w:color w:val="000000"/>
                <w:szCs w:val="24"/>
              </w:rPr>
              <w:t xml:space="preserve">6.7 </w:t>
            </w:r>
            <w:r>
              <w:rPr>
                <w:snapToGrid/>
                <w:color w:val="000000"/>
                <w:szCs w:val="24"/>
              </w:rPr>
              <w:t>Percent Risk Premium; Comparison of Risk Premi</w:t>
            </w:r>
            <w:r w:rsidR="008F05D6">
              <w:rPr>
                <w:snapToGrid/>
                <w:color w:val="000000"/>
                <w:szCs w:val="24"/>
              </w:rPr>
              <w:t>ums</w:t>
            </w:r>
            <w:r>
              <w:rPr>
                <w:snapToGrid/>
                <w:color w:val="000000"/>
                <w:szCs w:val="24"/>
              </w:rPr>
              <w:t xml:space="preserve"> on S&amp;P 500 and S&amp;P Utilities Index 1937</w:t>
            </w:r>
            <w:r w:rsidRPr="00C30904">
              <w:rPr>
                <w:snapToGrid/>
                <w:color w:val="000000"/>
                <w:szCs w:val="24"/>
              </w:rPr>
              <w:t>-</w:t>
            </w:r>
            <w:r>
              <w:rPr>
                <w:snapToGrid/>
                <w:color w:val="000000"/>
                <w:szCs w:val="24"/>
              </w:rPr>
              <w:t>201</w:t>
            </w:r>
            <w:r w:rsidR="008F05D6">
              <w:rPr>
                <w:snapToGrid/>
                <w:color w:val="000000"/>
                <w:szCs w:val="24"/>
              </w:rPr>
              <w:t>3</w:t>
            </w:r>
            <w:r>
              <w:rPr>
                <w:snapToGrid/>
                <w:color w:val="000000"/>
                <w:szCs w:val="24"/>
              </w:rPr>
              <w:t xml:space="preserve">; Calculation of Capital Asset Pricing Model Cost of Equity Using DCF Estimate of the Expected Rate </w:t>
            </w:r>
            <w:r>
              <w:rPr>
                <w:snapToGrid/>
                <w:color w:val="000000"/>
                <w:sz w:val="25"/>
                <w:szCs w:val="25"/>
              </w:rPr>
              <w:t xml:space="preserve">of </w:t>
            </w:r>
            <w:r>
              <w:rPr>
                <w:snapToGrid/>
                <w:color w:val="000000"/>
                <w:szCs w:val="24"/>
              </w:rPr>
              <w:t xml:space="preserve">Return on the Market Portfolio; Illustration of Calculation of Cost </w:t>
            </w:r>
            <w:r>
              <w:rPr>
                <w:snapToGrid/>
                <w:color w:val="000000"/>
                <w:sz w:val="26"/>
                <w:szCs w:val="26"/>
              </w:rPr>
              <w:t xml:space="preserve">of </w:t>
            </w:r>
            <w:r>
              <w:rPr>
                <w:snapToGrid/>
                <w:color w:val="000000"/>
                <w:szCs w:val="24"/>
              </w:rPr>
              <w:t xml:space="preserve">Equity Required for the Company to have the same Weighted Average Cost of Capital As </w:t>
            </w:r>
            <w:r w:rsidR="008F05D6">
              <w:rPr>
                <w:snapToGrid/>
                <w:color w:val="000000"/>
                <w:szCs w:val="24"/>
              </w:rPr>
              <w:t>Comparable Electric Utilities</w:t>
            </w:r>
          </w:p>
        </w:tc>
      </w:tr>
    </w:tbl>
    <w:p w:rsidR="00604083" w:rsidRDefault="00604083"/>
    <w:p w:rsidR="00604083" w:rsidRDefault="00604083">
      <w:pPr>
        <w:widowControl/>
      </w:pPr>
      <w:r>
        <w:br w:type="page"/>
      </w:r>
    </w:p>
    <w:tbl>
      <w:tblPr>
        <w:tblW w:w="9558" w:type="dxa"/>
        <w:tblLayout w:type="fixed"/>
        <w:tblLook w:val="0000" w:firstRow="0" w:lastRow="0" w:firstColumn="0" w:lastColumn="0" w:noHBand="0" w:noVBand="0"/>
      </w:tblPr>
      <w:tblGrid>
        <w:gridCol w:w="1998"/>
        <w:gridCol w:w="1620"/>
        <w:gridCol w:w="1800"/>
        <w:gridCol w:w="4140"/>
      </w:tblGrid>
      <w:tr w:rsidR="00AC5B4B" w:rsidTr="009F6014">
        <w:tc>
          <w:tcPr>
            <w:tcW w:w="1998" w:type="dxa"/>
          </w:tcPr>
          <w:p w:rsidR="00C0770B" w:rsidRDefault="00AC5B4B">
            <w:r>
              <w:rPr>
                <w:u w:val="single"/>
              </w:rPr>
              <w:lastRenderedPageBreak/>
              <w:t>Witness</w:t>
            </w:r>
          </w:p>
          <w:p w:rsidR="00AC5B4B" w:rsidRDefault="00AC5B4B" w:rsidP="00E17419">
            <w:r>
              <w:t>(Direct Cont.)</w:t>
            </w:r>
          </w:p>
          <w:p w:rsidR="002E72DF" w:rsidRPr="002E72DF" w:rsidRDefault="002E72DF" w:rsidP="00E17419">
            <w:pPr>
              <w:rPr>
                <w:sz w:val="12"/>
                <w:szCs w:val="12"/>
              </w:rPr>
            </w:pPr>
          </w:p>
        </w:tc>
        <w:tc>
          <w:tcPr>
            <w:tcW w:w="1620" w:type="dxa"/>
          </w:tcPr>
          <w:p w:rsidR="005B3E7C" w:rsidRDefault="00AC5B4B">
            <w:pPr>
              <w:jc w:val="center"/>
              <w:rPr>
                <w:u w:val="single"/>
              </w:rPr>
            </w:pPr>
            <w:r>
              <w:rPr>
                <w:u w:val="single"/>
              </w:rPr>
              <w:t>Proffered By</w:t>
            </w:r>
          </w:p>
        </w:tc>
        <w:tc>
          <w:tcPr>
            <w:tcW w:w="1800" w:type="dxa"/>
          </w:tcPr>
          <w:p w:rsidR="005B3E7C" w:rsidRDefault="00AC5B4B">
            <w:pPr>
              <w:jc w:val="center"/>
              <w:rPr>
                <w:u w:val="single"/>
              </w:rPr>
            </w:pPr>
            <w:r>
              <w:rPr>
                <w:u w:val="single"/>
              </w:rPr>
              <w:t>I.D. No.</w:t>
            </w:r>
          </w:p>
        </w:tc>
        <w:tc>
          <w:tcPr>
            <w:tcW w:w="4140" w:type="dxa"/>
          </w:tcPr>
          <w:p w:rsidR="00AC5B4B" w:rsidRDefault="00AC5B4B" w:rsidP="00E17419">
            <w:pPr>
              <w:jc w:val="center"/>
              <w:rPr>
                <w:u w:val="single"/>
              </w:rPr>
            </w:pPr>
            <w:r>
              <w:rPr>
                <w:u w:val="single"/>
              </w:rPr>
              <w:t>Description</w:t>
            </w:r>
          </w:p>
        </w:tc>
      </w:tr>
      <w:tr w:rsidR="00066724" w:rsidTr="009F6014">
        <w:tc>
          <w:tcPr>
            <w:tcW w:w="1998" w:type="dxa"/>
          </w:tcPr>
          <w:p w:rsidR="00066724" w:rsidRPr="006D4DE8" w:rsidRDefault="00066724" w:rsidP="00066724">
            <w:r w:rsidRPr="006D4DE8">
              <w:t>Vander Weide</w:t>
            </w:r>
          </w:p>
        </w:tc>
        <w:tc>
          <w:tcPr>
            <w:tcW w:w="1620" w:type="dxa"/>
          </w:tcPr>
          <w:p w:rsidR="00066724" w:rsidRDefault="00066724" w:rsidP="00066724">
            <w:pPr>
              <w:jc w:val="center"/>
            </w:pPr>
            <w:r>
              <w:t>Gulf</w:t>
            </w:r>
          </w:p>
        </w:tc>
        <w:tc>
          <w:tcPr>
            <w:tcW w:w="1800" w:type="dxa"/>
          </w:tcPr>
          <w:p w:rsidR="00066724" w:rsidRDefault="00066724" w:rsidP="00066724">
            <w:pPr>
              <w:jc w:val="center"/>
            </w:pPr>
            <w:r>
              <w:t>______</w:t>
            </w:r>
          </w:p>
          <w:p w:rsidR="00066724" w:rsidRDefault="00066724" w:rsidP="00066724">
            <w:pPr>
              <w:jc w:val="center"/>
            </w:pPr>
            <w:r>
              <w:t>JVW-2</w:t>
            </w:r>
          </w:p>
        </w:tc>
        <w:tc>
          <w:tcPr>
            <w:tcW w:w="4140" w:type="dxa"/>
          </w:tcPr>
          <w:p w:rsidR="00066724" w:rsidRDefault="00066724" w:rsidP="0006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r>
              <w:rPr>
                <w:snapToGrid/>
                <w:color w:val="000000"/>
                <w:szCs w:val="24"/>
              </w:rPr>
              <w:t xml:space="preserve">Qualifications of James </w:t>
            </w:r>
            <w:r>
              <w:rPr>
                <w:snapToGrid/>
                <w:color w:val="000000"/>
                <w:sz w:val="25"/>
                <w:szCs w:val="25"/>
              </w:rPr>
              <w:t xml:space="preserve">H. </w:t>
            </w:r>
            <w:r>
              <w:rPr>
                <w:snapToGrid/>
                <w:color w:val="000000"/>
                <w:szCs w:val="24"/>
              </w:rPr>
              <w:t>Vander Weide;  Derivation of the Quarterly DCF Model; Adjusting for Flotation Costs in Determining a Public Utility’s Allowed Rate of Return on Equity; Ex Ante Risk Premium Method;  Ex Post Risk Premium Approach</w:t>
            </w:r>
          </w:p>
          <w:p w:rsidR="00066724" w:rsidRDefault="00066724" w:rsidP="0006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p>
        </w:tc>
      </w:tr>
      <w:tr w:rsidR="008F05D6" w:rsidTr="009F6014">
        <w:tc>
          <w:tcPr>
            <w:tcW w:w="1998" w:type="dxa"/>
          </w:tcPr>
          <w:p w:rsidR="008F05D6" w:rsidRPr="006D4DE8" w:rsidRDefault="00B17D0B" w:rsidP="00066724">
            <w:r>
              <w:t>J. M. Garvie</w:t>
            </w:r>
          </w:p>
        </w:tc>
        <w:tc>
          <w:tcPr>
            <w:tcW w:w="1620" w:type="dxa"/>
          </w:tcPr>
          <w:p w:rsidR="008F05D6" w:rsidRDefault="00B17D0B" w:rsidP="00066724">
            <w:pPr>
              <w:jc w:val="center"/>
            </w:pPr>
            <w:r>
              <w:t>Gulf</w:t>
            </w:r>
          </w:p>
        </w:tc>
        <w:tc>
          <w:tcPr>
            <w:tcW w:w="1800" w:type="dxa"/>
          </w:tcPr>
          <w:p w:rsidR="00B17D0B" w:rsidRDefault="00B17D0B" w:rsidP="00B17D0B">
            <w:pPr>
              <w:jc w:val="center"/>
            </w:pPr>
            <w:r>
              <w:t>______</w:t>
            </w:r>
          </w:p>
          <w:p w:rsidR="008F05D6" w:rsidRDefault="00B17D0B" w:rsidP="00B17D0B">
            <w:pPr>
              <w:jc w:val="center"/>
            </w:pPr>
            <w:r>
              <w:t>JMG-1</w:t>
            </w:r>
          </w:p>
        </w:tc>
        <w:tc>
          <w:tcPr>
            <w:tcW w:w="4140" w:type="dxa"/>
          </w:tcPr>
          <w:p w:rsidR="008F05D6" w:rsidRDefault="00B17D0B" w:rsidP="00B17D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r>
              <w:rPr>
                <w:snapToGrid/>
                <w:color w:val="000000"/>
                <w:szCs w:val="24"/>
              </w:rPr>
              <w:t>Fundamental beliefs regarding compensation and benefits; Base salary and total compensation to market median; Towers Watson memorandum on Audit of Gulf Power Company’s compensation programs; Aon Hewitt comparison of employer-paid benefit value; Towers Watson comparison of employer-paid benefit value</w:t>
            </w:r>
          </w:p>
          <w:p w:rsidR="00B17D0B" w:rsidRDefault="00B17D0B" w:rsidP="00B17D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p>
        </w:tc>
      </w:tr>
      <w:tr w:rsidR="00B17D0B" w:rsidTr="009F6014">
        <w:tc>
          <w:tcPr>
            <w:tcW w:w="1998" w:type="dxa"/>
          </w:tcPr>
          <w:p w:rsidR="00B17D0B" w:rsidRDefault="00B17D0B" w:rsidP="00066724">
            <w:r>
              <w:t>S. P. Harris</w:t>
            </w:r>
          </w:p>
        </w:tc>
        <w:tc>
          <w:tcPr>
            <w:tcW w:w="1620" w:type="dxa"/>
          </w:tcPr>
          <w:p w:rsidR="00B17D0B" w:rsidRDefault="00B17D0B" w:rsidP="00066724">
            <w:pPr>
              <w:jc w:val="center"/>
            </w:pPr>
            <w:r>
              <w:t>Gulf</w:t>
            </w:r>
          </w:p>
        </w:tc>
        <w:tc>
          <w:tcPr>
            <w:tcW w:w="1800" w:type="dxa"/>
          </w:tcPr>
          <w:p w:rsidR="00B17D0B" w:rsidRDefault="00B17D0B" w:rsidP="00B17D0B">
            <w:pPr>
              <w:jc w:val="center"/>
            </w:pPr>
            <w:r>
              <w:t>______</w:t>
            </w:r>
          </w:p>
          <w:p w:rsidR="00B17D0B" w:rsidRDefault="00B17D0B" w:rsidP="00B17D0B">
            <w:pPr>
              <w:jc w:val="center"/>
            </w:pPr>
            <w:r>
              <w:t>SPH-1</w:t>
            </w:r>
          </w:p>
        </w:tc>
        <w:tc>
          <w:tcPr>
            <w:tcW w:w="4140" w:type="dxa"/>
          </w:tcPr>
          <w:p w:rsidR="00B17D0B" w:rsidRDefault="0082755F" w:rsidP="00B17D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r>
              <w:rPr>
                <w:snapToGrid/>
                <w:color w:val="000000"/>
                <w:szCs w:val="24"/>
              </w:rPr>
              <w:t xml:space="preserve">Selected charts from the EQECAT Study </w:t>
            </w:r>
          </w:p>
          <w:p w:rsidR="00C20C78" w:rsidRDefault="00C20C78" w:rsidP="00B17D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p>
        </w:tc>
      </w:tr>
      <w:tr w:rsidR="00B17D0B" w:rsidTr="009F6014">
        <w:tc>
          <w:tcPr>
            <w:tcW w:w="1998" w:type="dxa"/>
          </w:tcPr>
          <w:p w:rsidR="00B17D0B" w:rsidRDefault="00B17D0B" w:rsidP="00066724">
            <w:r>
              <w:t>S. P. Harris</w:t>
            </w:r>
          </w:p>
        </w:tc>
        <w:tc>
          <w:tcPr>
            <w:tcW w:w="1620" w:type="dxa"/>
          </w:tcPr>
          <w:p w:rsidR="00B17D0B" w:rsidRDefault="00B17D0B" w:rsidP="00066724">
            <w:pPr>
              <w:jc w:val="center"/>
            </w:pPr>
            <w:r>
              <w:t>Gulf</w:t>
            </w:r>
          </w:p>
        </w:tc>
        <w:tc>
          <w:tcPr>
            <w:tcW w:w="1800" w:type="dxa"/>
          </w:tcPr>
          <w:p w:rsidR="00B17D0B" w:rsidRDefault="00B17D0B" w:rsidP="00B17D0B">
            <w:pPr>
              <w:jc w:val="center"/>
            </w:pPr>
            <w:r>
              <w:t>______</w:t>
            </w:r>
          </w:p>
          <w:p w:rsidR="00B17D0B" w:rsidRDefault="00B17D0B" w:rsidP="00B17D0B">
            <w:pPr>
              <w:jc w:val="center"/>
            </w:pPr>
            <w:r>
              <w:t>SPH-2</w:t>
            </w:r>
          </w:p>
        </w:tc>
        <w:tc>
          <w:tcPr>
            <w:tcW w:w="4140" w:type="dxa"/>
          </w:tcPr>
          <w:p w:rsidR="00B17D0B" w:rsidRDefault="00B17D0B" w:rsidP="00B17D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r>
              <w:rPr>
                <w:snapToGrid/>
                <w:color w:val="000000"/>
                <w:szCs w:val="24"/>
              </w:rPr>
              <w:t>Gulf Power Company Transmission and Distribution Hurricane Loss and Reserve Performance Analysis performed by EQECAT</w:t>
            </w:r>
            <w:r w:rsidR="0082755F">
              <w:rPr>
                <w:snapToGrid/>
                <w:color w:val="000000"/>
                <w:szCs w:val="24"/>
              </w:rPr>
              <w:t xml:space="preserve"> (EQECAT Study)</w:t>
            </w:r>
          </w:p>
          <w:p w:rsidR="0082755F" w:rsidRDefault="0082755F" w:rsidP="00B17D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p>
        </w:tc>
      </w:tr>
      <w:tr w:rsidR="0082755F" w:rsidTr="009F6014">
        <w:tc>
          <w:tcPr>
            <w:tcW w:w="1998" w:type="dxa"/>
          </w:tcPr>
          <w:p w:rsidR="0082755F" w:rsidRDefault="0082755F" w:rsidP="00066724">
            <w:r>
              <w:t>P. S. Huck</w:t>
            </w:r>
          </w:p>
        </w:tc>
        <w:tc>
          <w:tcPr>
            <w:tcW w:w="1620" w:type="dxa"/>
          </w:tcPr>
          <w:p w:rsidR="0082755F" w:rsidRDefault="0082755F" w:rsidP="00066724">
            <w:pPr>
              <w:jc w:val="center"/>
            </w:pPr>
            <w:r>
              <w:t>Gulf</w:t>
            </w:r>
          </w:p>
        </w:tc>
        <w:tc>
          <w:tcPr>
            <w:tcW w:w="1800" w:type="dxa"/>
          </w:tcPr>
          <w:p w:rsidR="0082755F" w:rsidRDefault="0082755F" w:rsidP="0082755F">
            <w:pPr>
              <w:jc w:val="center"/>
            </w:pPr>
            <w:r>
              <w:t>______</w:t>
            </w:r>
          </w:p>
          <w:p w:rsidR="0082755F" w:rsidRDefault="0082755F" w:rsidP="0082755F">
            <w:pPr>
              <w:jc w:val="center"/>
            </w:pPr>
            <w:r>
              <w:t>PSH-1</w:t>
            </w:r>
          </w:p>
        </w:tc>
        <w:tc>
          <w:tcPr>
            <w:tcW w:w="4140" w:type="dxa"/>
          </w:tcPr>
          <w:p w:rsidR="0082755F" w:rsidRDefault="0082755F" w:rsidP="00B17D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r>
              <w:rPr>
                <w:snapToGrid/>
                <w:color w:val="000000"/>
                <w:szCs w:val="24"/>
              </w:rPr>
              <w:t>Gulf’s Depreciation Study</w:t>
            </w:r>
          </w:p>
          <w:p w:rsidR="0082755F" w:rsidRDefault="0082755F" w:rsidP="00B17D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p>
          <w:p w:rsidR="0082755F" w:rsidRDefault="0082755F" w:rsidP="00B17D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p>
        </w:tc>
      </w:tr>
      <w:tr w:rsidR="0082755F" w:rsidTr="009F6014">
        <w:tc>
          <w:tcPr>
            <w:tcW w:w="1998" w:type="dxa"/>
          </w:tcPr>
          <w:p w:rsidR="0082755F" w:rsidRDefault="0082755F" w:rsidP="00066724">
            <w:r>
              <w:t>C. J. Erickson</w:t>
            </w:r>
          </w:p>
        </w:tc>
        <w:tc>
          <w:tcPr>
            <w:tcW w:w="1620" w:type="dxa"/>
          </w:tcPr>
          <w:p w:rsidR="0082755F" w:rsidRDefault="0082755F" w:rsidP="00066724">
            <w:pPr>
              <w:jc w:val="center"/>
            </w:pPr>
            <w:r>
              <w:t>Gulf</w:t>
            </w:r>
          </w:p>
        </w:tc>
        <w:tc>
          <w:tcPr>
            <w:tcW w:w="1800" w:type="dxa"/>
          </w:tcPr>
          <w:p w:rsidR="0082755F" w:rsidRDefault="0082755F" w:rsidP="0082755F">
            <w:pPr>
              <w:jc w:val="center"/>
            </w:pPr>
            <w:r>
              <w:t>______</w:t>
            </w:r>
          </w:p>
          <w:p w:rsidR="0082755F" w:rsidRDefault="0082755F" w:rsidP="0082755F">
            <w:pPr>
              <w:jc w:val="center"/>
            </w:pPr>
            <w:r>
              <w:t>CJE-1</w:t>
            </w:r>
          </w:p>
        </w:tc>
        <w:tc>
          <w:tcPr>
            <w:tcW w:w="4140" w:type="dxa"/>
          </w:tcPr>
          <w:p w:rsidR="0082755F" w:rsidRDefault="0082755F" w:rsidP="0082755F">
            <w:r>
              <w:t>MFR responsibility; A &amp; G Budgeted Expenses; A &amp; G Benchmark Variance; Depreciation and Dismantlement Calculation; Gulf Power’s 2013 Dismantling Study</w:t>
            </w:r>
          </w:p>
          <w:p w:rsidR="0082755F" w:rsidRDefault="0082755F" w:rsidP="00B17D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color w:val="000000"/>
                <w:szCs w:val="24"/>
              </w:rPr>
            </w:pPr>
          </w:p>
        </w:tc>
      </w:tr>
      <w:tr w:rsidR="0082755F" w:rsidTr="009F6014">
        <w:tc>
          <w:tcPr>
            <w:tcW w:w="1998" w:type="dxa"/>
          </w:tcPr>
          <w:p w:rsidR="0082755F" w:rsidRDefault="0082755F" w:rsidP="00066724">
            <w:r>
              <w:t>R. J. McMillan</w:t>
            </w:r>
          </w:p>
        </w:tc>
        <w:tc>
          <w:tcPr>
            <w:tcW w:w="1620" w:type="dxa"/>
          </w:tcPr>
          <w:p w:rsidR="0082755F" w:rsidRDefault="0082755F" w:rsidP="00066724">
            <w:pPr>
              <w:jc w:val="center"/>
            </w:pPr>
            <w:r>
              <w:t>Gulf</w:t>
            </w:r>
          </w:p>
        </w:tc>
        <w:tc>
          <w:tcPr>
            <w:tcW w:w="1800" w:type="dxa"/>
          </w:tcPr>
          <w:p w:rsidR="0082755F" w:rsidRDefault="0082755F" w:rsidP="0082755F">
            <w:pPr>
              <w:jc w:val="center"/>
            </w:pPr>
            <w:r>
              <w:t>______</w:t>
            </w:r>
          </w:p>
          <w:p w:rsidR="0082755F" w:rsidRDefault="0082755F" w:rsidP="0082755F">
            <w:pPr>
              <w:jc w:val="center"/>
            </w:pPr>
            <w:r>
              <w:t>RJM-1</w:t>
            </w:r>
          </w:p>
        </w:tc>
        <w:tc>
          <w:tcPr>
            <w:tcW w:w="4140" w:type="dxa"/>
          </w:tcPr>
          <w:p w:rsidR="0082755F" w:rsidRDefault="0082755F" w:rsidP="0082755F">
            <w:r>
              <w:t xml:space="preserve">MFR responsibility; O &amp; M Expenses Benchmark Variance by Function; </w:t>
            </w:r>
            <w:r w:rsidR="00A31007">
              <w:t xml:space="preserve">Benchmark Year Recoverable O &amp; M Expenses by Function; O </w:t>
            </w:r>
            <w:r w:rsidR="00A31007" w:rsidRPr="008F0E60">
              <w:t>&amp;</w:t>
            </w:r>
            <w:r w:rsidR="00A31007">
              <w:t xml:space="preserve"> </w:t>
            </w:r>
            <w:r w:rsidR="00A31007" w:rsidRPr="008F0E60">
              <w:t>M Adjustments by Function;</w:t>
            </w:r>
            <w:r w:rsidR="00A31007">
              <w:t xml:space="preserve"> Hiring Lag</w:t>
            </w:r>
          </w:p>
          <w:p w:rsidR="00A31007" w:rsidRDefault="00A31007" w:rsidP="0082755F"/>
        </w:tc>
      </w:tr>
    </w:tbl>
    <w:p w:rsidR="00C058F4" w:rsidRDefault="00C058F4"/>
    <w:tbl>
      <w:tblPr>
        <w:tblW w:w="9558" w:type="dxa"/>
        <w:tblLayout w:type="fixed"/>
        <w:tblLook w:val="0000" w:firstRow="0" w:lastRow="0" w:firstColumn="0" w:lastColumn="0" w:noHBand="0" w:noVBand="0"/>
      </w:tblPr>
      <w:tblGrid>
        <w:gridCol w:w="1998"/>
        <w:gridCol w:w="1620"/>
        <w:gridCol w:w="1800"/>
        <w:gridCol w:w="4140"/>
      </w:tblGrid>
      <w:tr w:rsidR="00C058F4" w:rsidTr="009F6014">
        <w:tc>
          <w:tcPr>
            <w:tcW w:w="1998" w:type="dxa"/>
          </w:tcPr>
          <w:p w:rsidR="00C0770B" w:rsidRDefault="00C058F4">
            <w:r>
              <w:rPr>
                <w:u w:val="single"/>
              </w:rPr>
              <w:lastRenderedPageBreak/>
              <w:t>Witness</w:t>
            </w:r>
          </w:p>
          <w:p w:rsidR="00C058F4" w:rsidRDefault="00C058F4" w:rsidP="00E17419">
            <w:r>
              <w:t>(Direct Cont.)</w:t>
            </w:r>
          </w:p>
          <w:p w:rsidR="002E72DF" w:rsidRPr="002E72DF" w:rsidRDefault="002E72DF" w:rsidP="00E17419">
            <w:pPr>
              <w:rPr>
                <w:sz w:val="12"/>
                <w:szCs w:val="12"/>
              </w:rPr>
            </w:pPr>
          </w:p>
        </w:tc>
        <w:tc>
          <w:tcPr>
            <w:tcW w:w="1620" w:type="dxa"/>
          </w:tcPr>
          <w:p w:rsidR="00C0770B" w:rsidRDefault="00C058F4">
            <w:pPr>
              <w:jc w:val="center"/>
            </w:pPr>
            <w:r>
              <w:rPr>
                <w:u w:val="single"/>
              </w:rPr>
              <w:t>Proffered By</w:t>
            </w:r>
          </w:p>
        </w:tc>
        <w:tc>
          <w:tcPr>
            <w:tcW w:w="1800" w:type="dxa"/>
          </w:tcPr>
          <w:p w:rsidR="00C0770B" w:rsidRDefault="00C058F4">
            <w:pPr>
              <w:jc w:val="center"/>
            </w:pPr>
            <w:r>
              <w:rPr>
                <w:u w:val="single"/>
              </w:rPr>
              <w:t>I.D. No.</w:t>
            </w:r>
          </w:p>
        </w:tc>
        <w:tc>
          <w:tcPr>
            <w:tcW w:w="4140" w:type="dxa"/>
          </w:tcPr>
          <w:p w:rsidR="00C058F4" w:rsidRDefault="00C058F4" w:rsidP="00E17419">
            <w:r>
              <w:rPr>
                <w:u w:val="single"/>
              </w:rPr>
              <w:t>Description</w:t>
            </w:r>
          </w:p>
        </w:tc>
      </w:tr>
      <w:tr w:rsidR="009B63FA" w:rsidTr="009F6014">
        <w:tc>
          <w:tcPr>
            <w:tcW w:w="1998" w:type="dxa"/>
          </w:tcPr>
          <w:p w:rsidR="009B63FA" w:rsidRDefault="00A31007" w:rsidP="009B63FA">
            <w:r>
              <w:t>S. D. Ritenour</w:t>
            </w:r>
          </w:p>
        </w:tc>
        <w:tc>
          <w:tcPr>
            <w:tcW w:w="1620" w:type="dxa"/>
          </w:tcPr>
          <w:p w:rsidR="009B63FA" w:rsidRDefault="00A31007" w:rsidP="009B63FA">
            <w:pPr>
              <w:jc w:val="center"/>
            </w:pPr>
            <w:r>
              <w:t>Gulf</w:t>
            </w:r>
          </w:p>
        </w:tc>
        <w:tc>
          <w:tcPr>
            <w:tcW w:w="1800" w:type="dxa"/>
          </w:tcPr>
          <w:p w:rsidR="00A31007" w:rsidRDefault="00A31007" w:rsidP="00A31007">
            <w:pPr>
              <w:jc w:val="center"/>
            </w:pPr>
            <w:r>
              <w:t>______</w:t>
            </w:r>
          </w:p>
          <w:p w:rsidR="009B63FA" w:rsidRDefault="00A31007" w:rsidP="00A31007">
            <w:pPr>
              <w:jc w:val="center"/>
            </w:pPr>
            <w:r>
              <w:t>SDR-1</w:t>
            </w:r>
          </w:p>
        </w:tc>
        <w:tc>
          <w:tcPr>
            <w:tcW w:w="4140" w:type="dxa"/>
          </w:tcPr>
          <w:p w:rsidR="001B7223" w:rsidRDefault="00A31007" w:rsidP="001B7223">
            <w:r w:rsidRPr="00A31007">
              <w:rPr>
                <w:szCs w:val="24"/>
              </w:rPr>
              <w:t xml:space="preserve">MFR responsibility; Planning </w:t>
            </w:r>
            <w:r w:rsidR="0057264F">
              <w:rPr>
                <w:szCs w:val="24"/>
              </w:rPr>
              <w:t xml:space="preserve">and Budgeting </w:t>
            </w:r>
            <w:r w:rsidRPr="00A31007">
              <w:rPr>
                <w:szCs w:val="24"/>
              </w:rPr>
              <w:t>Process Chart; Budget Process</w:t>
            </w:r>
            <w:r w:rsidR="0057264F">
              <w:rPr>
                <w:szCs w:val="24"/>
              </w:rPr>
              <w:t xml:space="preserve"> Chart</w:t>
            </w:r>
            <w:r w:rsidRPr="00A31007">
              <w:rPr>
                <w:szCs w:val="24"/>
              </w:rPr>
              <w:t>; 2014 Test Year Capital Additions Budget By Function; 2014 Test Year Operation and Maintenance Expense By Function; Financial Model</w:t>
            </w:r>
            <w:r w:rsidR="0057264F">
              <w:rPr>
                <w:szCs w:val="24"/>
              </w:rPr>
              <w:t xml:space="preserve"> Flowchart</w:t>
            </w:r>
            <w:r w:rsidRPr="00A31007">
              <w:rPr>
                <w:szCs w:val="24"/>
              </w:rPr>
              <w:t>; Gulf Power Balance Sheet December 2013 through December 2014;</w:t>
            </w:r>
            <w:r>
              <w:t xml:space="preserve"> Gulf Power Income Statement for twelve months end</w:t>
            </w:r>
            <w:r w:rsidR="0057264F">
              <w:t>ed</w:t>
            </w:r>
            <w:r>
              <w:t xml:space="preserve"> December 31, 2014; Gulf Power Utility Plant balances December 2013 through December 2014</w:t>
            </w:r>
            <w:r w:rsidR="001B7223">
              <w:t>; 13-Month Average Rate Base; 13-Month Average Working Capital; Net Operating Income; Fuel Revenues and Expenses; Purchase Power Capacity Cost Recovery Clause Revenues and Expenses; Energy Conservation Cost Recovery Clause Revenues and Expenses; Environmental Cost Recovery Clause Revenues and Expenses; 2013 Rate Case Amortization; FPSC Assessment Fees; Income Tax</w:t>
            </w:r>
            <w:r w:rsidR="00FD3613">
              <w:t>es</w:t>
            </w:r>
            <w:r w:rsidR="001B7223">
              <w:t xml:space="preserve"> Adjustments; Interest Synchronization Adjustment; 13-Month Average Jurisdictional Cost of Capital; </w:t>
            </w:r>
          </w:p>
          <w:p w:rsidR="00A31007" w:rsidRDefault="001B7223" w:rsidP="00A31007">
            <w:r w:rsidRPr="00E74724">
              <w:rPr>
                <w:rFonts w:cs="Arial"/>
                <w:bCs/>
                <w:snapToGrid/>
                <w:color w:val="000000"/>
                <w:szCs w:val="24"/>
              </w:rPr>
              <w:t>FPSC Adjusted Achieved Rate of Return and Return on Common Equity</w:t>
            </w:r>
            <w:r>
              <w:rPr>
                <w:rFonts w:cs="Arial"/>
                <w:bCs/>
                <w:snapToGrid/>
                <w:color w:val="000000"/>
                <w:szCs w:val="24"/>
              </w:rPr>
              <w:t xml:space="preserve">; </w:t>
            </w:r>
            <w:r>
              <w:t xml:space="preserve"> Calculation of Revenue Deficiency;  Revenue Expansion Factor &amp; NOI Multiplier; </w:t>
            </w:r>
            <w:r w:rsidRPr="008F0E60">
              <w:rPr>
                <w:rFonts w:cs="Arial"/>
                <w:bCs/>
                <w:snapToGrid/>
                <w:color w:val="000000"/>
                <w:szCs w:val="24"/>
              </w:rPr>
              <w:t xml:space="preserve">General Plant Capital Additions </w:t>
            </w:r>
            <w:r>
              <w:rPr>
                <w:rFonts w:cs="Arial"/>
                <w:bCs/>
                <w:snapToGrid/>
                <w:color w:val="000000"/>
                <w:szCs w:val="24"/>
              </w:rPr>
              <w:t>f</w:t>
            </w:r>
            <w:r w:rsidRPr="008F0E60">
              <w:rPr>
                <w:rFonts w:cs="Arial"/>
                <w:bCs/>
                <w:snapToGrid/>
                <w:color w:val="000000"/>
                <w:szCs w:val="24"/>
              </w:rPr>
              <w:t>or the Prior Year Ended 12/31/2</w:t>
            </w:r>
            <w:r>
              <w:rPr>
                <w:rFonts w:cs="Arial"/>
                <w:bCs/>
                <w:snapToGrid/>
                <w:color w:val="000000"/>
                <w:szCs w:val="24"/>
              </w:rPr>
              <w:t>013</w:t>
            </w:r>
            <w:r w:rsidRPr="008F0E60">
              <w:rPr>
                <w:rFonts w:cs="Arial"/>
                <w:bCs/>
                <w:snapToGrid/>
                <w:color w:val="000000"/>
                <w:szCs w:val="24"/>
              </w:rPr>
              <w:t xml:space="preserve"> and Test Year Ended 12/31/201</w:t>
            </w:r>
            <w:r>
              <w:rPr>
                <w:rFonts w:cs="Arial"/>
                <w:bCs/>
                <w:snapToGrid/>
                <w:color w:val="000000"/>
                <w:szCs w:val="24"/>
              </w:rPr>
              <w:t xml:space="preserve">4 </w:t>
            </w:r>
          </w:p>
          <w:p w:rsidR="009B63FA" w:rsidRPr="00A31007" w:rsidRDefault="009B63FA" w:rsidP="00A31007">
            <w:pPr>
              <w:rPr>
                <w:szCs w:val="24"/>
              </w:rPr>
            </w:pPr>
          </w:p>
        </w:tc>
      </w:tr>
    </w:tbl>
    <w:p w:rsidR="00C058F4" w:rsidRDefault="00C058F4">
      <w:r>
        <w:br w:type="page"/>
      </w:r>
    </w:p>
    <w:tbl>
      <w:tblPr>
        <w:tblW w:w="0" w:type="auto"/>
        <w:tblLayout w:type="fixed"/>
        <w:tblLook w:val="0000" w:firstRow="0" w:lastRow="0" w:firstColumn="0" w:lastColumn="0" w:noHBand="0" w:noVBand="0"/>
      </w:tblPr>
      <w:tblGrid>
        <w:gridCol w:w="1998"/>
        <w:gridCol w:w="1620"/>
        <w:gridCol w:w="1800"/>
        <w:gridCol w:w="4158"/>
      </w:tblGrid>
      <w:tr w:rsidR="00C058F4" w:rsidTr="009F6014">
        <w:tc>
          <w:tcPr>
            <w:tcW w:w="1998" w:type="dxa"/>
          </w:tcPr>
          <w:p w:rsidR="00C0770B" w:rsidRDefault="00C058F4">
            <w:r>
              <w:rPr>
                <w:u w:val="single"/>
              </w:rPr>
              <w:lastRenderedPageBreak/>
              <w:t>Witness</w:t>
            </w:r>
          </w:p>
          <w:p w:rsidR="00C058F4" w:rsidRDefault="00C058F4" w:rsidP="00E17419">
            <w:r>
              <w:t>(Direct Cont.)</w:t>
            </w:r>
          </w:p>
          <w:p w:rsidR="002E72DF" w:rsidRPr="002E72DF" w:rsidRDefault="002E72DF" w:rsidP="00E17419">
            <w:pPr>
              <w:rPr>
                <w:sz w:val="12"/>
                <w:szCs w:val="12"/>
              </w:rPr>
            </w:pPr>
          </w:p>
        </w:tc>
        <w:tc>
          <w:tcPr>
            <w:tcW w:w="1620" w:type="dxa"/>
          </w:tcPr>
          <w:p w:rsidR="00C0770B" w:rsidRDefault="00C058F4">
            <w:pPr>
              <w:jc w:val="center"/>
            </w:pPr>
            <w:r>
              <w:rPr>
                <w:u w:val="single"/>
              </w:rPr>
              <w:t>Proffered By</w:t>
            </w:r>
          </w:p>
        </w:tc>
        <w:tc>
          <w:tcPr>
            <w:tcW w:w="1800" w:type="dxa"/>
          </w:tcPr>
          <w:p w:rsidR="00C0770B" w:rsidRDefault="00C058F4">
            <w:pPr>
              <w:jc w:val="center"/>
            </w:pPr>
            <w:r>
              <w:rPr>
                <w:u w:val="single"/>
              </w:rPr>
              <w:t>I.D. No.</w:t>
            </w:r>
          </w:p>
        </w:tc>
        <w:tc>
          <w:tcPr>
            <w:tcW w:w="4158" w:type="dxa"/>
          </w:tcPr>
          <w:p w:rsidR="00C058F4" w:rsidRPr="00B40817" w:rsidRDefault="00C058F4" w:rsidP="00E17419">
            <w:pPr>
              <w:rPr>
                <w:rFonts w:cs="Helvetica"/>
                <w:snapToGrid/>
                <w:szCs w:val="27"/>
              </w:rPr>
            </w:pPr>
            <w:r>
              <w:rPr>
                <w:u w:val="single"/>
              </w:rPr>
              <w:t>Description</w:t>
            </w:r>
          </w:p>
        </w:tc>
      </w:tr>
      <w:tr w:rsidR="00316676" w:rsidTr="009F6014">
        <w:tc>
          <w:tcPr>
            <w:tcW w:w="1998" w:type="dxa"/>
          </w:tcPr>
          <w:p w:rsidR="00316676" w:rsidRDefault="00316676">
            <w:pPr>
              <w:rPr>
                <w:u w:val="single"/>
              </w:rPr>
            </w:pPr>
            <w:r>
              <w:t>S. D. Ritenour</w:t>
            </w:r>
          </w:p>
        </w:tc>
        <w:tc>
          <w:tcPr>
            <w:tcW w:w="1620" w:type="dxa"/>
          </w:tcPr>
          <w:p w:rsidR="00316676" w:rsidRDefault="00316676">
            <w:pPr>
              <w:jc w:val="center"/>
              <w:rPr>
                <w:u w:val="single"/>
              </w:rPr>
            </w:pPr>
            <w:r>
              <w:t>Gulf</w:t>
            </w:r>
          </w:p>
        </w:tc>
        <w:tc>
          <w:tcPr>
            <w:tcW w:w="1800" w:type="dxa"/>
          </w:tcPr>
          <w:p w:rsidR="00316676" w:rsidRDefault="00316676" w:rsidP="00316676">
            <w:pPr>
              <w:jc w:val="center"/>
            </w:pPr>
            <w:r>
              <w:t>______</w:t>
            </w:r>
          </w:p>
          <w:p w:rsidR="00316676" w:rsidRDefault="00316676" w:rsidP="00316676">
            <w:pPr>
              <w:jc w:val="center"/>
              <w:rPr>
                <w:u w:val="single"/>
              </w:rPr>
            </w:pPr>
            <w:r>
              <w:t>SDR-2</w:t>
            </w:r>
          </w:p>
        </w:tc>
        <w:tc>
          <w:tcPr>
            <w:tcW w:w="4158" w:type="dxa"/>
          </w:tcPr>
          <w:p w:rsidR="00316676" w:rsidRDefault="00316676" w:rsidP="00316676">
            <w:r>
              <w:t xml:space="preserve">Compliance-Related Transmission Investment and Expenses in Test Year ended 12/31/2014; Calculation of Step-Increase Effective July 1, 2015 for Compliance-Related Transmission </w:t>
            </w:r>
            <w:r w:rsidR="005115F1">
              <w:t xml:space="preserve">(CRT) </w:t>
            </w:r>
            <w:r>
              <w:t>Costs for the period ended June 30, 2016</w:t>
            </w:r>
            <w:r w:rsidR="005115F1">
              <w:t>; CRT-Deferred Return/Regulatory Asset</w:t>
            </w:r>
          </w:p>
          <w:p w:rsidR="00316676" w:rsidRDefault="00316676" w:rsidP="00E17419">
            <w:pPr>
              <w:rPr>
                <w:u w:val="single"/>
              </w:rPr>
            </w:pPr>
          </w:p>
        </w:tc>
      </w:tr>
      <w:tr w:rsidR="009B63FA" w:rsidTr="009F6014">
        <w:tc>
          <w:tcPr>
            <w:tcW w:w="1998" w:type="dxa"/>
          </w:tcPr>
          <w:p w:rsidR="009B63FA" w:rsidRDefault="00C20C78" w:rsidP="009B63FA">
            <w:r>
              <w:t>M. T. O’Sheasy</w:t>
            </w:r>
          </w:p>
        </w:tc>
        <w:tc>
          <w:tcPr>
            <w:tcW w:w="1620" w:type="dxa"/>
          </w:tcPr>
          <w:p w:rsidR="009B63FA" w:rsidRDefault="00C20C78" w:rsidP="009B63FA">
            <w:pPr>
              <w:jc w:val="center"/>
            </w:pPr>
            <w:r>
              <w:t>Gulf</w:t>
            </w:r>
          </w:p>
        </w:tc>
        <w:tc>
          <w:tcPr>
            <w:tcW w:w="1800" w:type="dxa"/>
          </w:tcPr>
          <w:p w:rsidR="00C20C78" w:rsidRDefault="00C20C78" w:rsidP="00C20C78">
            <w:pPr>
              <w:jc w:val="center"/>
            </w:pPr>
            <w:r>
              <w:t>______</w:t>
            </w:r>
          </w:p>
          <w:p w:rsidR="009B63FA" w:rsidRDefault="00C20C78" w:rsidP="00C20C78">
            <w:pPr>
              <w:jc w:val="center"/>
            </w:pPr>
            <w:r>
              <w:t>MTO-1</w:t>
            </w:r>
          </w:p>
        </w:tc>
        <w:tc>
          <w:tcPr>
            <w:tcW w:w="4158" w:type="dxa"/>
          </w:tcPr>
          <w:p w:rsidR="00C20C78" w:rsidRDefault="00C20C78" w:rsidP="00C20C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napToGrid/>
                <w:color w:val="000000"/>
                <w:szCs w:val="27"/>
              </w:rPr>
            </w:pPr>
            <w:r>
              <w:t xml:space="preserve">MFR responsibility; Illustration of Simple Distribution Network; </w:t>
            </w:r>
            <w:r w:rsidRPr="00557322">
              <w:rPr>
                <w:rFonts w:cs="Arial"/>
                <w:bCs/>
                <w:snapToGrid/>
                <w:color w:val="000000"/>
                <w:szCs w:val="27"/>
              </w:rPr>
              <w:t>MDS Customer/Demand Percentages by FERC Account</w:t>
            </w:r>
          </w:p>
          <w:p w:rsidR="009B63FA" w:rsidRDefault="009B63FA" w:rsidP="009B63FA"/>
        </w:tc>
      </w:tr>
      <w:tr w:rsidR="009B63FA" w:rsidTr="009F6014">
        <w:tc>
          <w:tcPr>
            <w:tcW w:w="1998" w:type="dxa"/>
          </w:tcPr>
          <w:p w:rsidR="009B63FA" w:rsidRDefault="00C20C78" w:rsidP="009B63FA">
            <w:r>
              <w:t>M. T. O’Sheasy</w:t>
            </w:r>
          </w:p>
        </w:tc>
        <w:tc>
          <w:tcPr>
            <w:tcW w:w="1620" w:type="dxa"/>
          </w:tcPr>
          <w:p w:rsidR="009B63FA" w:rsidRDefault="00C20C78" w:rsidP="009B63FA">
            <w:pPr>
              <w:jc w:val="center"/>
            </w:pPr>
            <w:r>
              <w:t>Gulf</w:t>
            </w:r>
          </w:p>
        </w:tc>
        <w:tc>
          <w:tcPr>
            <w:tcW w:w="1800" w:type="dxa"/>
          </w:tcPr>
          <w:p w:rsidR="00C20C78" w:rsidRDefault="00C20C78" w:rsidP="00C20C78">
            <w:pPr>
              <w:jc w:val="center"/>
            </w:pPr>
            <w:r>
              <w:t>______</w:t>
            </w:r>
          </w:p>
          <w:p w:rsidR="009B63FA" w:rsidRDefault="00C20C78" w:rsidP="00C20C78">
            <w:pPr>
              <w:jc w:val="center"/>
            </w:pPr>
            <w:r>
              <w:t>MTO-2</w:t>
            </w:r>
          </w:p>
        </w:tc>
        <w:tc>
          <w:tcPr>
            <w:tcW w:w="4158" w:type="dxa"/>
          </w:tcPr>
          <w:p w:rsidR="009B63FA" w:rsidRDefault="00C20C78" w:rsidP="00AB3D7C">
            <w:r>
              <w:t>Analysis and Results of Cost of Service Study</w:t>
            </w:r>
          </w:p>
          <w:p w:rsidR="008D361A" w:rsidRDefault="008D361A" w:rsidP="00AB3D7C"/>
        </w:tc>
      </w:tr>
      <w:tr w:rsidR="009B63FA" w:rsidTr="009F6014">
        <w:tc>
          <w:tcPr>
            <w:tcW w:w="1998" w:type="dxa"/>
          </w:tcPr>
          <w:p w:rsidR="009B63FA" w:rsidRDefault="00C20C78" w:rsidP="009B63FA">
            <w:r>
              <w:t>J. I. Thompson</w:t>
            </w:r>
          </w:p>
        </w:tc>
        <w:tc>
          <w:tcPr>
            <w:tcW w:w="1620" w:type="dxa"/>
          </w:tcPr>
          <w:p w:rsidR="009B63FA" w:rsidRDefault="009B63FA" w:rsidP="009B63FA">
            <w:pPr>
              <w:jc w:val="center"/>
            </w:pPr>
            <w:r>
              <w:t>Gulf</w:t>
            </w:r>
          </w:p>
        </w:tc>
        <w:tc>
          <w:tcPr>
            <w:tcW w:w="1800" w:type="dxa"/>
          </w:tcPr>
          <w:p w:rsidR="009B63FA" w:rsidRDefault="009B63FA" w:rsidP="009B63FA">
            <w:pPr>
              <w:jc w:val="center"/>
            </w:pPr>
            <w:r>
              <w:t>______</w:t>
            </w:r>
          </w:p>
          <w:p w:rsidR="009B63FA" w:rsidRDefault="00C20C78" w:rsidP="009B63FA">
            <w:pPr>
              <w:jc w:val="center"/>
            </w:pPr>
            <w:r>
              <w:t>JIT</w:t>
            </w:r>
            <w:r w:rsidR="009B63FA">
              <w:t>-1</w:t>
            </w:r>
          </w:p>
        </w:tc>
        <w:tc>
          <w:tcPr>
            <w:tcW w:w="4158" w:type="dxa"/>
          </w:tcPr>
          <w:p w:rsidR="008D361A" w:rsidRDefault="00C20C78" w:rsidP="008D3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MFR responsibility; Allocation of Revenue Increase </w:t>
            </w:r>
          </w:p>
          <w:p w:rsidR="009B63FA" w:rsidRDefault="009B63FA" w:rsidP="008D3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8D361A" w:rsidTr="009F6014">
        <w:tc>
          <w:tcPr>
            <w:tcW w:w="1998" w:type="dxa"/>
          </w:tcPr>
          <w:p w:rsidR="008D361A" w:rsidRDefault="008D361A" w:rsidP="009B63FA">
            <w:r>
              <w:t>J. I. Thompson</w:t>
            </w:r>
          </w:p>
        </w:tc>
        <w:tc>
          <w:tcPr>
            <w:tcW w:w="1620" w:type="dxa"/>
          </w:tcPr>
          <w:p w:rsidR="008D361A" w:rsidRDefault="008D361A" w:rsidP="009B63FA">
            <w:pPr>
              <w:jc w:val="center"/>
            </w:pPr>
            <w:r>
              <w:t>Gulf</w:t>
            </w:r>
          </w:p>
        </w:tc>
        <w:tc>
          <w:tcPr>
            <w:tcW w:w="1800" w:type="dxa"/>
          </w:tcPr>
          <w:p w:rsidR="008D361A" w:rsidRDefault="008D361A" w:rsidP="008D361A">
            <w:pPr>
              <w:jc w:val="center"/>
            </w:pPr>
            <w:r>
              <w:t>______</w:t>
            </w:r>
          </w:p>
          <w:p w:rsidR="008D361A" w:rsidRDefault="008D361A" w:rsidP="008D361A">
            <w:pPr>
              <w:jc w:val="center"/>
            </w:pPr>
            <w:r>
              <w:t>JIT-2</w:t>
            </w:r>
          </w:p>
        </w:tc>
        <w:tc>
          <w:tcPr>
            <w:tcW w:w="4158" w:type="dxa"/>
          </w:tcPr>
          <w:p w:rsidR="008D361A" w:rsidRDefault="008D361A" w:rsidP="008D3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Proposed Tariff Sheets</w:t>
            </w:r>
          </w:p>
          <w:p w:rsidR="008D361A" w:rsidRDefault="008D361A" w:rsidP="00C20C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bl>
    <w:p w:rsidR="006E54A4" w:rsidRDefault="006E54A4"/>
    <w:tbl>
      <w:tblPr>
        <w:tblW w:w="0" w:type="auto"/>
        <w:tblLayout w:type="fixed"/>
        <w:tblLook w:val="0000" w:firstRow="0" w:lastRow="0" w:firstColumn="0" w:lastColumn="0" w:noHBand="0" w:noVBand="0"/>
      </w:tblPr>
      <w:tblGrid>
        <w:gridCol w:w="1957"/>
        <w:gridCol w:w="41"/>
        <w:gridCol w:w="1548"/>
        <w:gridCol w:w="72"/>
        <w:gridCol w:w="1693"/>
        <w:gridCol w:w="107"/>
        <w:gridCol w:w="3946"/>
        <w:gridCol w:w="194"/>
        <w:gridCol w:w="18"/>
      </w:tblGrid>
      <w:tr w:rsidR="006E54A4" w:rsidTr="009F6014">
        <w:tc>
          <w:tcPr>
            <w:tcW w:w="1998" w:type="dxa"/>
            <w:gridSpan w:val="2"/>
          </w:tcPr>
          <w:p w:rsidR="00C0770B" w:rsidRDefault="006E54A4">
            <w:r>
              <w:rPr>
                <w:u w:val="single"/>
              </w:rPr>
              <w:t>Witness</w:t>
            </w:r>
          </w:p>
          <w:p w:rsidR="006E54A4" w:rsidRDefault="006E54A4" w:rsidP="006E54A4">
            <w:r>
              <w:t>(</w:t>
            </w:r>
            <w:r w:rsidR="00C20C78">
              <w:t>Rebuttal</w:t>
            </w:r>
            <w:r>
              <w:t>)</w:t>
            </w:r>
          </w:p>
          <w:p w:rsidR="002E72DF" w:rsidRPr="002E72DF" w:rsidRDefault="002E72DF" w:rsidP="006E54A4">
            <w:pPr>
              <w:rPr>
                <w:sz w:val="12"/>
                <w:szCs w:val="12"/>
              </w:rPr>
            </w:pPr>
          </w:p>
        </w:tc>
        <w:tc>
          <w:tcPr>
            <w:tcW w:w="1620" w:type="dxa"/>
            <w:gridSpan w:val="2"/>
          </w:tcPr>
          <w:p w:rsidR="00C0770B" w:rsidRDefault="006E54A4">
            <w:pPr>
              <w:jc w:val="center"/>
            </w:pPr>
            <w:r>
              <w:rPr>
                <w:u w:val="single"/>
              </w:rPr>
              <w:t>Proffered By</w:t>
            </w:r>
          </w:p>
        </w:tc>
        <w:tc>
          <w:tcPr>
            <w:tcW w:w="1800" w:type="dxa"/>
            <w:gridSpan w:val="2"/>
          </w:tcPr>
          <w:p w:rsidR="00C0770B" w:rsidRDefault="006E54A4">
            <w:pPr>
              <w:jc w:val="center"/>
            </w:pPr>
            <w:r>
              <w:rPr>
                <w:u w:val="single"/>
              </w:rPr>
              <w:t>I.D. No.</w:t>
            </w:r>
          </w:p>
        </w:tc>
        <w:tc>
          <w:tcPr>
            <w:tcW w:w="4158" w:type="dxa"/>
            <w:gridSpan w:val="3"/>
          </w:tcPr>
          <w:p w:rsidR="006E54A4" w:rsidRDefault="006E54A4" w:rsidP="006E54A4">
            <w:r>
              <w:rPr>
                <w:u w:val="single"/>
              </w:rPr>
              <w:t>Description</w:t>
            </w:r>
          </w:p>
        </w:tc>
      </w:tr>
      <w:tr w:rsidR="00066724" w:rsidTr="009F6014">
        <w:trPr>
          <w:gridAfter w:val="1"/>
          <w:wAfter w:w="18" w:type="dxa"/>
        </w:trPr>
        <w:tc>
          <w:tcPr>
            <w:tcW w:w="1998" w:type="dxa"/>
            <w:gridSpan w:val="2"/>
          </w:tcPr>
          <w:p w:rsidR="00066724" w:rsidRDefault="00066724" w:rsidP="00066724">
            <w:r>
              <w:t>Vander Weide</w:t>
            </w:r>
          </w:p>
        </w:tc>
        <w:tc>
          <w:tcPr>
            <w:tcW w:w="1620" w:type="dxa"/>
            <w:gridSpan w:val="2"/>
          </w:tcPr>
          <w:p w:rsidR="00066724" w:rsidRDefault="00066724" w:rsidP="00066724">
            <w:pPr>
              <w:jc w:val="center"/>
            </w:pPr>
            <w:r>
              <w:t>Gulf</w:t>
            </w:r>
          </w:p>
        </w:tc>
        <w:tc>
          <w:tcPr>
            <w:tcW w:w="1800" w:type="dxa"/>
            <w:gridSpan w:val="2"/>
          </w:tcPr>
          <w:p w:rsidR="00066724" w:rsidRPr="0028486B" w:rsidRDefault="00066724" w:rsidP="00066724">
            <w:pPr>
              <w:jc w:val="center"/>
            </w:pPr>
            <w:r w:rsidRPr="0028486B">
              <w:t>______</w:t>
            </w:r>
          </w:p>
          <w:p w:rsidR="00066724" w:rsidRPr="004F5CFB" w:rsidRDefault="00066724" w:rsidP="00066724">
            <w:pPr>
              <w:jc w:val="center"/>
              <w:rPr>
                <w:highlight w:val="yellow"/>
              </w:rPr>
            </w:pPr>
            <w:r w:rsidRPr="0028486B">
              <w:t>JVW-3</w:t>
            </w:r>
          </w:p>
        </w:tc>
        <w:tc>
          <w:tcPr>
            <w:tcW w:w="4140" w:type="dxa"/>
            <w:gridSpan w:val="2"/>
          </w:tcPr>
          <w:p w:rsidR="0028486B" w:rsidRPr="0028486B" w:rsidRDefault="0028486B" w:rsidP="00DA29CC">
            <w:pPr>
              <w:pStyle w:val="Caption"/>
            </w:pPr>
            <w:r w:rsidRPr="0028486B">
              <w:rPr>
                <w:b w:val="0"/>
                <w:bCs/>
                <w:color w:val="000000"/>
                <w:szCs w:val="25"/>
              </w:rPr>
              <w:t xml:space="preserve">Research Literature that Studies the Efficacy of Analysts’ Earnings Forecasts; </w:t>
            </w:r>
            <w:r w:rsidR="00066724" w:rsidRPr="0028486B">
              <w:rPr>
                <w:b w:val="0"/>
                <w:bCs/>
                <w:color w:val="000000"/>
                <w:szCs w:val="25"/>
              </w:rPr>
              <w:t xml:space="preserve">Summary of Discounted Cash Flow Analysis for Electric </w:t>
            </w:r>
            <w:r w:rsidRPr="0028486B">
              <w:rPr>
                <w:b w:val="0"/>
                <w:bCs/>
                <w:color w:val="000000"/>
                <w:szCs w:val="25"/>
              </w:rPr>
              <w:t>Utilities</w:t>
            </w:r>
            <w:r w:rsidR="00066724" w:rsidRPr="0028486B">
              <w:rPr>
                <w:b w:val="0"/>
                <w:bCs/>
                <w:color w:val="000000"/>
                <w:szCs w:val="25"/>
              </w:rPr>
              <w:t xml:space="preserve">; </w:t>
            </w:r>
            <w:r w:rsidRPr="0028486B">
              <w:rPr>
                <w:b w:val="0"/>
                <w:bCs/>
                <w:color w:val="000000"/>
                <w:szCs w:val="25"/>
              </w:rPr>
              <w:t>Comparison of DCF</w:t>
            </w:r>
            <w:r w:rsidRPr="00D95E10">
              <w:rPr>
                <w:rFonts w:ascii="Arial" w:hAnsi="Arial" w:cs="Arial"/>
                <w:color w:val="000000"/>
              </w:rPr>
              <w:t xml:space="preserve"> </w:t>
            </w:r>
            <w:r w:rsidRPr="0028486B">
              <w:rPr>
                <w:b w:val="0"/>
                <w:color w:val="000000"/>
              </w:rPr>
              <w:t>expected return on an investment in electric</w:t>
            </w:r>
            <w:r w:rsidRPr="0028486B">
              <w:rPr>
                <w:b w:val="0"/>
              </w:rPr>
              <w:t xml:space="preserve"> utilities to the interest rate on </w:t>
            </w:r>
            <w:r>
              <w:rPr>
                <w:b w:val="0"/>
              </w:rPr>
              <w:t>Moody's A</w:t>
            </w:r>
            <w:r w:rsidRPr="0028486B">
              <w:rPr>
                <w:b w:val="0"/>
              </w:rPr>
              <w:t>-rated utility bonds</w:t>
            </w:r>
            <w:r>
              <w:rPr>
                <w:b w:val="0"/>
              </w:rPr>
              <w:t>; Ex P</w:t>
            </w:r>
            <w:r w:rsidRPr="0028486B">
              <w:rPr>
                <w:b w:val="0"/>
              </w:rPr>
              <w:t xml:space="preserve">ost </w:t>
            </w:r>
            <w:r>
              <w:rPr>
                <w:b w:val="0"/>
              </w:rPr>
              <w:t>R</w:t>
            </w:r>
            <w:r w:rsidRPr="0028486B">
              <w:rPr>
                <w:b w:val="0"/>
              </w:rPr>
              <w:t xml:space="preserve">isk </w:t>
            </w:r>
            <w:r>
              <w:rPr>
                <w:b w:val="0"/>
              </w:rPr>
              <w:t>P</w:t>
            </w:r>
            <w:r w:rsidRPr="0028486B">
              <w:rPr>
                <w:b w:val="0"/>
              </w:rPr>
              <w:t xml:space="preserve">remium </w:t>
            </w:r>
            <w:r>
              <w:rPr>
                <w:b w:val="0"/>
              </w:rPr>
              <w:t>Cost of E</w:t>
            </w:r>
            <w:r w:rsidRPr="0028486B">
              <w:rPr>
                <w:b w:val="0"/>
              </w:rPr>
              <w:t>quity</w:t>
            </w:r>
            <w:r>
              <w:rPr>
                <w:b w:val="0"/>
              </w:rPr>
              <w:t xml:space="preserve">; </w:t>
            </w:r>
            <w:r w:rsidRPr="0028486B">
              <w:rPr>
                <w:b w:val="0"/>
              </w:rPr>
              <w:t xml:space="preserve">Calculation </w:t>
            </w:r>
            <w:r>
              <w:rPr>
                <w:b w:val="0"/>
              </w:rPr>
              <w:t>o</w:t>
            </w:r>
            <w:r w:rsidRPr="0028486B">
              <w:rPr>
                <w:b w:val="0"/>
              </w:rPr>
              <w:t xml:space="preserve">f Capital Asset Pricing Model Cost </w:t>
            </w:r>
            <w:r>
              <w:rPr>
                <w:b w:val="0"/>
              </w:rPr>
              <w:t>of Equity Using</w:t>
            </w:r>
            <w:r w:rsidR="00F8580F">
              <w:rPr>
                <w:b w:val="0"/>
              </w:rPr>
              <w:t xml:space="preserve"> t</w:t>
            </w:r>
            <w:r w:rsidRPr="0028486B">
              <w:rPr>
                <w:b w:val="0"/>
              </w:rPr>
              <w:t>he Ibbotson® S</w:t>
            </w:r>
            <w:r w:rsidR="00E35E3D">
              <w:rPr>
                <w:b w:val="0"/>
              </w:rPr>
              <w:t>BBI</w:t>
            </w:r>
            <w:r w:rsidRPr="0028486B">
              <w:rPr>
                <w:b w:val="0"/>
              </w:rPr>
              <w:t>® 6.7 Percent Risk Premium</w:t>
            </w:r>
            <w:r>
              <w:rPr>
                <w:b w:val="0"/>
              </w:rPr>
              <w:t xml:space="preserve">; </w:t>
            </w:r>
            <w:r w:rsidRPr="0028486B">
              <w:rPr>
                <w:b w:val="0"/>
              </w:rPr>
              <w:t xml:space="preserve">Calculation </w:t>
            </w:r>
            <w:r>
              <w:rPr>
                <w:b w:val="0"/>
              </w:rPr>
              <w:t>o</w:t>
            </w:r>
            <w:r w:rsidRPr="0028486B">
              <w:rPr>
                <w:b w:val="0"/>
              </w:rPr>
              <w:t xml:space="preserve">f Capital Asset Pricing Model Cost </w:t>
            </w:r>
            <w:r>
              <w:rPr>
                <w:b w:val="0"/>
              </w:rPr>
              <w:t>o</w:t>
            </w:r>
            <w:r w:rsidRPr="0028486B">
              <w:rPr>
                <w:b w:val="0"/>
              </w:rPr>
              <w:t>f Equity Using D</w:t>
            </w:r>
            <w:r>
              <w:rPr>
                <w:b w:val="0"/>
              </w:rPr>
              <w:t>CF</w:t>
            </w:r>
            <w:r w:rsidRPr="0028486B">
              <w:rPr>
                <w:b w:val="0"/>
              </w:rPr>
              <w:t xml:space="preserve"> Estimate </w:t>
            </w:r>
            <w:r>
              <w:rPr>
                <w:b w:val="0"/>
              </w:rPr>
              <w:t>of t</w:t>
            </w:r>
            <w:r w:rsidRPr="0028486B">
              <w:rPr>
                <w:b w:val="0"/>
              </w:rPr>
              <w:t xml:space="preserve">he Expected Rate </w:t>
            </w:r>
            <w:r>
              <w:rPr>
                <w:b w:val="0"/>
              </w:rPr>
              <w:t xml:space="preserve">of </w:t>
            </w:r>
            <w:r w:rsidR="00F8580F">
              <w:rPr>
                <w:b w:val="0"/>
              </w:rPr>
              <w:t xml:space="preserve">Return on the Market Portfolio </w:t>
            </w:r>
          </w:p>
        </w:tc>
      </w:tr>
      <w:tr w:rsidR="00066724" w:rsidTr="00DA29CC">
        <w:trPr>
          <w:gridAfter w:val="1"/>
          <w:wAfter w:w="18" w:type="dxa"/>
          <w:trHeight w:val="86"/>
        </w:trPr>
        <w:tc>
          <w:tcPr>
            <w:tcW w:w="1998" w:type="dxa"/>
            <w:gridSpan w:val="2"/>
          </w:tcPr>
          <w:p w:rsidR="00066724" w:rsidRDefault="00066724" w:rsidP="00E17419"/>
          <w:p w:rsidR="007B40FF" w:rsidRDefault="007B40FF" w:rsidP="00E17419"/>
        </w:tc>
        <w:tc>
          <w:tcPr>
            <w:tcW w:w="1620" w:type="dxa"/>
            <w:gridSpan w:val="2"/>
          </w:tcPr>
          <w:p w:rsidR="00066724" w:rsidRDefault="00066724">
            <w:pPr>
              <w:jc w:val="center"/>
            </w:pPr>
          </w:p>
        </w:tc>
        <w:tc>
          <w:tcPr>
            <w:tcW w:w="1800" w:type="dxa"/>
            <w:gridSpan w:val="2"/>
          </w:tcPr>
          <w:p w:rsidR="00EE7316" w:rsidRPr="004F5CFB" w:rsidRDefault="00EE7316" w:rsidP="00CD379D">
            <w:pPr>
              <w:jc w:val="center"/>
              <w:rPr>
                <w:highlight w:val="yellow"/>
              </w:rPr>
            </w:pPr>
          </w:p>
        </w:tc>
        <w:tc>
          <w:tcPr>
            <w:tcW w:w="4140" w:type="dxa"/>
            <w:gridSpan w:val="2"/>
          </w:tcPr>
          <w:p w:rsidR="004F5CFB" w:rsidRPr="009A3A55" w:rsidRDefault="004F5CFB" w:rsidP="00E17419"/>
        </w:tc>
      </w:tr>
      <w:tr w:rsidR="00AC5B4B" w:rsidTr="009F6014">
        <w:trPr>
          <w:gridAfter w:val="2"/>
          <w:wAfter w:w="212" w:type="dxa"/>
        </w:trPr>
        <w:tc>
          <w:tcPr>
            <w:tcW w:w="1957" w:type="dxa"/>
          </w:tcPr>
          <w:p w:rsidR="00C0770B" w:rsidRDefault="00AC5B4B">
            <w:r>
              <w:rPr>
                <w:u w:val="single"/>
              </w:rPr>
              <w:lastRenderedPageBreak/>
              <w:t>Witness</w:t>
            </w:r>
          </w:p>
          <w:p w:rsidR="00AC5B4B" w:rsidRDefault="00AC5B4B" w:rsidP="00E17419">
            <w:pPr>
              <w:ind w:right="-108"/>
            </w:pPr>
            <w:r>
              <w:t>(Rebuttal Cont.)</w:t>
            </w:r>
          </w:p>
          <w:p w:rsidR="002E72DF" w:rsidRPr="002E72DF" w:rsidRDefault="002E72DF" w:rsidP="00E17419">
            <w:pPr>
              <w:ind w:right="-108"/>
              <w:rPr>
                <w:sz w:val="12"/>
                <w:szCs w:val="12"/>
              </w:rPr>
            </w:pPr>
          </w:p>
        </w:tc>
        <w:tc>
          <w:tcPr>
            <w:tcW w:w="1589" w:type="dxa"/>
            <w:gridSpan w:val="2"/>
          </w:tcPr>
          <w:p w:rsidR="005B3E7C" w:rsidRDefault="00AC5B4B">
            <w:pPr>
              <w:jc w:val="center"/>
              <w:rPr>
                <w:u w:val="single"/>
              </w:rPr>
            </w:pPr>
            <w:r>
              <w:rPr>
                <w:u w:val="single"/>
              </w:rPr>
              <w:t>Proffered By</w:t>
            </w:r>
          </w:p>
        </w:tc>
        <w:tc>
          <w:tcPr>
            <w:tcW w:w="1765" w:type="dxa"/>
            <w:gridSpan w:val="2"/>
          </w:tcPr>
          <w:p w:rsidR="005B3E7C" w:rsidRPr="004F5CFB" w:rsidRDefault="00AC5B4B">
            <w:pPr>
              <w:jc w:val="center"/>
              <w:rPr>
                <w:highlight w:val="yellow"/>
                <w:u w:val="single"/>
              </w:rPr>
            </w:pPr>
            <w:r w:rsidRPr="006E11FE">
              <w:rPr>
                <w:u w:val="single"/>
              </w:rPr>
              <w:t>I.D. No.</w:t>
            </w:r>
          </w:p>
        </w:tc>
        <w:tc>
          <w:tcPr>
            <w:tcW w:w="4053" w:type="dxa"/>
            <w:gridSpan w:val="2"/>
          </w:tcPr>
          <w:p w:rsidR="00AC5B4B" w:rsidRDefault="00AC5B4B" w:rsidP="00E17419">
            <w:pPr>
              <w:jc w:val="center"/>
              <w:rPr>
                <w:u w:val="single"/>
              </w:rPr>
            </w:pPr>
            <w:r>
              <w:rPr>
                <w:u w:val="single"/>
              </w:rPr>
              <w:t>Description</w:t>
            </w:r>
          </w:p>
        </w:tc>
      </w:tr>
      <w:tr w:rsidR="005115F1" w:rsidTr="009F6014">
        <w:trPr>
          <w:gridAfter w:val="2"/>
          <w:wAfter w:w="212" w:type="dxa"/>
        </w:trPr>
        <w:tc>
          <w:tcPr>
            <w:tcW w:w="1957" w:type="dxa"/>
          </w:tcPr>
          <w:p w:rsidR="005115F1" w:rsidRDefault="005115F1" w:rsidP="00066724">
            <w:r>
              <w:t>S. M. Fetter</w:t>
            </w:r>
          </w:p>
        </w:tc>
        <w:tc>
          <w:tcPr>
            <w:tcW w:w="1589" w:type="dxa"/>
            <w:gridSpan w:val="2"/>
          </w:tcPr>
          <w:p w:rsidR="005115F1" w:rsidRDefault="005115F1" w:rsidP="00066724">
            <w:pPr>
              <w:jc w:val="center"/>
            </w:pPr>
            <w:r>
              <w:t xml:space="preserve">Gulf </w:t>
            </w:r>
          </w:p>
        </w:tc>
        <w:tc>
          <w:tcPr>
            <w:tcW w:w="1765" w:type="dxa"/>
            <w:gridSpan w:val="2"/>
          </w:tcPr>
          <w:p w:rsidR="005115F1" w:rsidRPr="00AD0A45" w:rsidRDefault="005115F1" w:rsidP="005115F1">
            <w:pPr>
              <w:jc w:val="center"/>
            </w:pPr>
            <w:r w:rsidRPr="00AD0A45">
              <w:t>______</w:t>
            </w:r>
          </w:p>
          <w:p w:rsidR="005115F1" w:rsidRPr="00A6616B" w:rsidRDefault="005115F1" w:rsidP="005115F1">
            <w:pPr>
              <w:jc w:val="center"/>
            </w:pPr>
            <w:r w:rsidRPr="00AD0A45">
              <w:t>SMF-1</w:t>
            </w:r>
          </w:p>
        </w:tc>
        <w:tc>
          <w:tcPr>
            <w:tcW w:w="4053" w:type="dxa"/>
            <w:gridSpan w:val="2"/>
          </w:tcPr>
          <w:p w:rsidR="005115F1" w:rsidRDefault="005115F1" w:rsidP="005115F1">
            <w:r>
              <w:rPr>
                <w:snapToGrid/>
                <w:color w:val="000000"/>
                <w:szCs w:val="24"/>
              </w:rPr>
              <w:t>Qualifications of S. M. Fetter; “The A Rating” by Steven M. Fetter, Electric Perspectives, EEI.  May/June 2009</w:t>
            </w:r>
          </w:p>
          <w:p w:rsidR="005115F1" w:rsidRDefault="005115F1" w:rsidP="0026091B"/>
        </w:tc>
      </w:tr>
      <w:tr w:rsidR="0026091B" w:rsidTr="009F6014">
        <w:trPr>
          <w:gridAfter w:val="2"/>
          <w:wAfter w:w="212" w:type="dxa"/>
        </w:trPr>
        <w:tc>
          <w:tcPr>
            <w:tcW w:w="1957" w:type="dxa"/>
          </w:tcPr>
          <w:p w:rsidR="0026091B" w:rsidRDefault="0026091B" w:rsidP="00066724">
            <w:r>
              <w:t>R. J. Alexander</w:t>
            </w:r>
          </w:p>
        </w:tc>
        <w:tc>
          <w:tcPr>
            <w:tcW w:w="1589" w:type="dxa"/>
            <w:gridSpan w:val="2"/>
          </w:tcPr>
          <w:p w:rsidR="0026091B" w:rsidRDefault="0026091B" w:rsidP="00066724">
            <w:pPr>
              <w:jc w:val="center"/>
            </w:pPr>
            <w:r>
              <w:t>Gulf</w:t>
            </w:r>
          </w:p>
        </w:tc>
        <w:tc>
          <w:tcPr>
            <w:tcW w:w="1765" w:type="dxa"/>
            <w:gridSpan w:val="2"/>
          </w:tcPr>
          <w:p w:rsidR="0026091B" w:rsidRPr="00A6616B" w:rsidRDefault="0026091B" w:rsidP="0026091B">
            <w:pPr>
              <w:jc w:val="center"/>
            </w:pPr>
            <w:r w:rsidRPr="00A6616B">
              <w:t>______</w:t>
            </w:r>
          </w:p>
          <w:p w:rsidR="0026091B" w:rsidRPr="00380F81" w:rsidRDefault="0026091B" w:rsidP="0026091B">
            <w:pPr>
              <w:jc w:val="center"/>
            </w:pPr>
            <w:r w:rsidRPr="00A6616B">
              <w:t>RJA-2</w:t>
            </w:r>
          </w:p>
        </w:tc>
        <w:tc>
          <w:tcPr>
            <w:tcW w:w="4053" w:type="dxa"/>
            <w:gridSpan w:val="2"/>
          </w:tcPr>
          <w:p w:rsidR="0026091B" w:rsidRDefault="0026091B" w:rsidP="0026091B">
            <w:r>
              <w:t>Residential Energy Sales Model-Impact of Independent Variables on Energy Sales and Base Revenue Comparison</w:t>
            </w:r>
          </w:p>
          <w:p w:rsidR="0026091B" w:rsidRDefault="0026091B" w:rsidP="0026091B"/>
        </w:tc>
      </w:tr>
      <w:tr w:rsidR="0026091B" w:rsidTr="009F6014">
        <w:trPr>
          <w:gridAfter w:val="2"/>
          <w:wAfter w:w="212" w:type="dxa"/>
        </w:trPr>
        <w:tc>
          <w:tcPr>
            <w:tcW w:w="1957" w:type="dxa"/>
          </w:tcPr>
          <w:p w:rsidR="0026091B" w:rsidRDefault="0026091B" w:rsidP="00066724">
            <w:r>
              <w:t>M. L. Burroughs</w:t>
            </w:r>
          </w:p>
        </w:tc>
        <w:tc>
          <w:tcPr>
            <w:tcW w:w="1589" w:type="dxa"/>
            <w:gridSpan w:val="2"/>
          </w:tcPr>
          <w:p w:rsidR="0026091B" w:rsidRDefault="0026091B" w:rsidP="00066724">
            <w:pPr>
              <w:jc w:val="center"/>
            </w:pPr>
            <w:r>
              <w:t>Gulf</w:t>
            </w:r>
          </w:p>
        </w:tc>
        <w:tc>
          <w:tcPr>
            <w:tcW w:w="1765" w:type="dxa"/>
            <w:gridSpan w:val="2"/>
          </w:tcPr>
          <w:p w:rsidR="0026091B" w:rsidRPr="00380F81" w:rsidRDefault="0026091B" w:rsidP="0026091B">
            <w:pPr>
              <w:jc w:val="center"/>
            </w:pPr>
            <w:r w:rsidRPr="00380F81">
              <w:t>______</w:t>
            </w:r>
          </w:p>
          <w:p w:rsidR="0026091B" w:rsidRPr="000A5D63" w:rsidRDefault="0026091B" w:rsidP="0026091B">
            <w:pPr>
              <w:jc w:val="center"/>
            </w:pPr>
            <w:r w:rsidRPr="00380F81">
              <w:t>MLB-2</w:t>
            </w:r>
          </w:p>
        </w:tc>
        <w:tc>
          <w:tcPr>
            <w:tcW w:w="4053" w:type="dxa"/>
            <w:gridSpan w:val="2"/>
          </w:tcPr>
          <w:p w:rsidR="0026091B" w:rsidRDefault="0026091B" w:rsidP="0026091B">
            <w:r>
              <w:t>Account 343- Prime Movers Combined Cycle</w:t>
            </w:r>
          </w:p>
          <w:p w:rsidR="0026091B" w:rsidRDefault="0026091B" w:rsidP="006E11FE"/>
        </w:tc>
      </w:tr>
      <w:tr w:rsidR="006E11FE" w:rsidTr="009F6014">
        <w:trPr>
          <w:gridAfter w:val="2"/>
          <w:wAfter w:w="212" w:type="dxa"/>
        </w:trPr>
        <w:tc>
          <w:tcPr>
            <w:tcW w:w="1957" w:type="dxa"/>
          </w:tcPr>
          <w:p w:rsidR="006E11FE" w:rsidRDefault="006E11FE" w:rsidP="00066724">
            <w:r>
              <w:t>R. W. Grove</w:t>
            </w:r>
          </w:p>
        </w:tc>
        <w:tc>
          <w:tcPr>
            <w:tcW w:w="1589" w:type="dxa"/>
            <w:gridSpan w:val="2"/>
          </w:tcPr>
          <w:p w:rsidR="006E11FE" w:rsidRDefault="006E11FE" w:rsidP="00066724">
            <w:pPr>
              <w:jc w:val="center"/>
            </w:pPr>
            <w:r>
              <w:t>Gulf</w:t>
            </w:r>
          </w:p>
        </w:tc>
        <w:tc>
          <w:tcPr>
            <w:tcW w:w="1765" w:type="dxa"/>
            <w:gridSpan w:val="2"/>
          </w:tcPr>
          <w:p w:rsidR="006E11FE" w:rsidRPr="000A5D63" w:rsidRDefault="006E11FE" w:rsidP="006E11FE">
            <w:pPr>
              <w:jc w:val="center"/>
            </w:pPr>
            <w:r w:rsidRPr="000A5D63">
              <w:t>______</w:t>
            </w:r>
          </w:p>
          <w:p w:rsidR="006E11FE" w:rsidRPr="004F5CFB" w:rsidRDefault="006E11FE" w:rsidP="006E11FE">
            <w:pPr>
              <w:jc w:val="center"/>
              <w:rPr>
                <w:highlight w:val="yellow"/>
              </w:rPr>
            </w:pPr>
            <w:r w:rsidRPr="000A5D63">
              <w:t>RWG-2</w:t>
            </w:r>
          </w:p>
        </w:tc>
        <w:tc>
          <w:tcPr>
            <w:tcW w:w="4053" w:type="dxa"/>
            <w:gridSpan w:val="2"/>
          </w:tcPr>
          <w:p w:rsidR="006E11FE" w:rsidRDefault="006E11FE" w:rsidP="006E11FE">
            <w:r>
              <w:t xml:space="preserve">Prior base rate case testimony </w:t>
            </w:r>
          </w:p>
          <w:p w:rsidR="006E11FE" w:rsidRDefault="006E11FE" w:rsidP="00D14C56"/>
        </w:tc>
      </w:tr>
      <w:tr w:rsidR="00066724" w:rsidTr="009F6014">
        <w:trPr>
          <w:gridAfter w:val="2"/>
          <w:wAfter w:w="212" w:type="dxa"/>
        </w:trPr>
        <w:tc>
          <w:tcPr>
            <w:tcW w:w="1957" w:type="dxa"/>
          </w:tcPr>
          <w:p w:rsidR="00066724" w:rsidRDefault="004F5CFB" w:rsidP="00066724">
            <w:r>
              <w:t>J. A. Burleson</w:t>
            </w:r>
          </w:p>
        </w:tc>
        <w:tc>
          <w:tcPr>
            <w:tcW w:w="1589" w:type="dxa"/>
            <w:gridSpan w:val="2"/>
          </w:tcPr>
          <w:p w:rsidR="00066724" w:rsidRDefault="004F5CFB" w:rsidP="00066724">
            <w:pPr>
              <w:jc w:val="center"/>
            </w:pPr>
            <w:r>
              <w:t>Gulf</w:t>
            </w:r>
          </w:p>
        </w:tc>
        <w:tc>
          <w:tcPr>
            <w:tcW w:w="1765" w:type="dxa"/>
            <w:gridSpan w:val="2"/>
          </w:tcPr>
          <w:p w:rsidR="004F5CFB" w:rsidRPr="006E11FE" w:rsidRDefault="004F5CFB" w:rsidP="004F5CFB">
            <w:pPr>
              <w:jc w:val="center"/>
            </w:pPr>
            <w:r w:rsidRPr="006E11FE">
              <w:t>______</w:t>
            </w:r>
          </w:p>
          <w:p w:rsidR="00066724" w:rsidRPr="004F5CFB" w:rsidRDefault="004F5CFB" w:rsidP="004F5CFB">
            <w:pPr>
              <w:jc w:val="center"/>
              <w:rPr>
                <w:highlight w:val="yellow"/>
              </w:rPr>
            </w:pPr>
            <w:r w:rsidRPr="006E11FE">
              <w:t>JAB-1</w:t>
            </w:r>
          </w:p>
        </w:tc>
        <w:tc>
          <w:tcPr>
            <w:tcW w:w="4053" w:type="dxa"/>
            <w:gridSpan w:val="2"/>
          </w:tcPr>
          <w:p w:rsidR="00066724" w:rsidRDefault="00D14C56" w:rsidP="00D14C56">
            <w:r>
              <w:t xml:space="preserve">MATS Compliance Evaluation; </w:t>
            </w:r>
            <w:r w:rsidRPr="00D14C56">
              <w:t>Florida Department of Environmental Protection</w:t>
            </w:r>
            <w:r>
              <w:t xml:space="preserve"> letter stating transmission is valid compliance method for MATS</w:t>
            </w:r>
          </w:p>
          <w:p w:rsidR="006E11FE" w:rsidRPr="00B74AA3" w:rsidRDefault="006E11FE" w:rsidP="00D14C56"/>
        </w:tc>
      </w:tr>
      <w:tr w:rsidR="00066724" w:rsidTr="009F6014">
        <w:trPr>
          <w:gridAfter w:val="2"/>
          <w:wAfter w:w="212" w:type="dxa"/>
        </w:trPr>
        <w:tc>
          <w:tcPr>
            <w:tcW w:w="1957" w:type="dxa"/>
          </w:tcPr>
          <w:p w:rsidR="00066724" w:rsidRDefault="004F5CFB" w:rsidP="00066724">
            <w:r>
              <w:t>P. C. Caldwell</w:t>
            </w:r>
          </w:p>
        </w:tc>
        <w:tc>
          <w:tcPr>
            <w:tcW w:w="1589" w:type="dxa"/>
            <w:gridSpan w:val="2"/>
          </w:tcPr>
          <w:p w:rsidR="00066724" w:rsidRDefault="004F5CFB" w:rsidP="00066724">
            <w:pPr>
              <w:jc w:val="center"/>
            </w:pPr>
            <w:r>
              <w:t>Gulf</w:t>
            </w:r>
          </w:p>
        </w:tc>
        <w:tc>
          <w:tcPr>
            <w:tcW w:w="1765" w:type="dxa"/>
            <w:gridSpan w:val="2"/>
          </w:tcPr>
          <w:p w:rsidR="004F5CFB" w:rsidRPr="006E11FE" w:rsidRDefault="004F5CFB" w:rsidP="004F5CFB">
            <w:pPr>
              <w:jc w:val="center"/>
            </w:pPr>
            <w:r w:rsidRPr="006E11FE">
              <w:t>______</w:t>
            </w:r>
          </w:p>
          <w:p w:rsidR="00066724" w:rsidRPr="004F5CFB" w:rsidRDefault="004F5CFB" w:rsidP="004F5CFB">
            <w:pPr>
              <w:jc w:val="center"/>
              <w:rPr>
                <w:highlight w:val="yellow"/>
              </w:rPr>
            </w:pPr>
            <w:r w:rsidRPr="006E11FE">
              <w:t>PCC-2</w:t>
            </w:r>
          </w:p>
        </w:tc>
        <w:tc>
          <w:tcPr>
            <w:tcW w:w="4053" w:type="dxa"/>
            <w:gridSpan w:val="2"/>
          </w:tcPr>
          <w:p w:rsidR="00066724" w:rsidRPr="00295357" w:rsidRDefault="00150671" w:rsidP="00066724">
            <w:pPr>
              <w:rPr>
                <w:szCs w:val="24"/>
              </w:rPr>
            </w:pPr>
            <w:r w:rsidRPr="00295357">
              <w:rPr>
                <w:szCs w:val="24"/>
              </w:rPr>
              <w:t>Transmission Ten Year Plan</w:t>
            </w:r>
            <w:r w:rsidR="005115F1">
              <w:rPr>
                <w:szCs w:val="24"/>
              </w:rPr>
              <w:t xml:space="preserve"> (Confidential)</w:t>
            </w:r>
            <w:r w:rsidRPr="00295357">
              <w:rPr>
                <w:szCs w:val="24"/>
              </w:rPr>
              <w:t xml:space="preserve">; </w:t>
            </w:r>
            <w:r w:rsidR="00295357" w:rsidRPr="00295357">
              <w:rPr>
                <w:szCs w:val="24"/>
              </w:rPr>
              <w:t>MATS Transmission Projects List</w:t>
            </w:r>
          </w:p>
          <w:p w:rsidR="00295357" w:rsidRPr="00CC4163" w:rsidRDefault="00295357" w:rsidP="00066724">
            <w:pPr>
              <w:rPr>
                <w:rFonts w:cs="Arial"/>
                <w:bCs/>
                <w:snapToGrid/>
                <w:color w:val="000000"/>
                <w:szCs w:val="21"/>
              </w:rPr>
            </w:pPr>
          </w:p>
        </w:tc>
      </w:tr>
      <w:tr w:rsidR="00066724" w:rsidTr="009F6014">
        <w:trPr>
          <w:gridAfter w:val="2"/>
          <w:wAfter w:w="212" w:type="dxa"/>
        </w:trPr>
        <w:tc>
          <w:tcPr>
            <w:tcW w:w="1957" w:type="dxa"/>
          </w:tcPr>
          <w:p w:rsidR="00066724" w:rsidRDefault="004F5CFB" w:rsidP="00066724">
            <w:r>
              <w:t>A. G. Strickland</w:t>
            </w:r>
          </w:p>
        </w:tc>
        <w:tc>
          <w:tcPr>
            <w:tcW w:w="1589" w:type="dxa"/>
            <w:gridSpan w:val="2"/>
          </w:tcPr>
          <w:p w:rsidR="00066724" w:rsidRDefault="004F5CFB" w:rsidP="00066724">
            <w:pPr>
              <w:jc w:val="center"/>
            </w:pPr>
            <w:r>
              <w:t>Gulf</w:t>
            </w:r>
          </w:p>
        </w:tc>
        <w:tc>
          <w:tcPr>
            <w:tcW w:w="1765" w:type="dxa"/>
            <w:gridSpan w:val="2"/>
          </w:tcPr>
          <w:p w:rsidR="004F5CFB" w:rsidRPr="006E11FE" w:rsidRDefault="004F5CFB" w:rsidP="004F5CFB">
            <w:pPr>
              <w:jc w:val="center"/>
            </w:pPr>
            <w:r w:rsidRPr="006E11FE">
              <w:t>______</w:t>
            </w:r>
          </w:p>
          <w:p w:rsidR="00066724" w:rsidRPr="004F5CFB" w:rsidRDefault="004F5CFB" w:rsidP="004F5CFB">
            <w:pPr>
              <w:jc w:val="center"/>
              <w:rPr>
                <w:highlight w:val="yellow"/>
              </w:rPr>
            </w:pPr>
            <w:r w:rsidRPr="006E11FE">
              <w:t>AGS-2</w:t>
            </w:r>
          </w:p>
        </w:tc>
        <w:tc>
          <w:tcPr>
            <w:tcW w:w="4053" w:type="dxa"/>
            <w:gridSpan w:val="2"/>
          </w:tcPr>
          <w:p w:rsidR="00C7647D" w:rsidRDefault="00C7647D" w:rsidP="00066724">
            <w:r>
              <w:t>2013 Summary CVB Rank Chart-All Customer Classes; 2013 Perceived Value Rank Chart-Residential Customers; 2013 Perceived Value Rank Chart-General Business Customers; 2013 Perceived Value Rank Chart-Large Business Customers</w:t>
            </w:r>
          </w:p>
          <w:p w:rsidR="00066724" w:rsidRPr="00EF16A1" w:rsidRDefault="00C7647D" w:rsidP="00066724">
            <w:r>
              <w:t xml:space="preserve"> </w:t>
            </w:r>
          </w:p>
        </w:tc>
      </w:tr>
      <w:tr w:rsidR="004D6D66" w:rsidTr="009F6014">
        <w:trPr>
          <w:gridAfter w:val="2"/>
          <w:wAfter w:w="212" w:type="dxa"/>
        </w:trPr>
        <w:tc>
          <w:tcPr>
            <w:tcW w:w="1957" w:type="dxa"/>
          </w:tcPr>
          <w:p w:rsidR="004D6D66" w:rsidRDefault="004D6D66" w:rsidP="00066724">
            <w:r>
              <w:t>A. D. Whaley</w:t>
            </w:r>
          </w:p>
        </w:tc>
        <w:tc>
          <w:tcPr>
            <w:tcW w:w="1589" w:type="dxa"/>
            <w:gridSpan w:val="2"/>
          </w:tcPr>
          <w:p w:rsidR="004D6D66" w:rsidRDefault="004D6D66" w:rsidP="00066724">
            <w:pPr>
              <w:jc w:val="center"/>
            </w:pPr>
            <w:r>
              <w:t>Gulf</w:t>
            </w:r>
          </w:p>
        </w:tc>
        <w:tc>
          <w:tcPr>
            <w:tcW w:w="1765" w:type="dxa"/>
            <w:gridSpan w:val="2"/>
          </w:tcPr>
          <w:p w:rsidR="004D6D66" w:rsidRPr="006E11FE" w:rsidRDefault="004D6D66" w:rsidP="004D6D66">
            <w:pPr>
              <w:jc w:val="center"/>
            </w:pPr>
            <w:r w:rsidRPr="006E11FE">
              <w:t>______</w:t>
            </w:r>
          </w:p>
          <w:p w:rsidR="004D6D66" w:rsidRPr="006E11FE" w:rsidRDefault="004D6D66" w:rsidP="006F6A69">
            <w:pPr>
              <w:jc w:val="center"/>
            </w:pPr>
            <w:r>
              <w:t>ADW</w:t>
            </w:r>
            <w:r w:rsidRPr="006E11FE">
              <w:t>-</w:t>
            </w:r>
            <w:r w:rsidR="006F6A69">
              <w:t>1</w:t>
            </w:r>
          </w:p>
        </w:tc>
        <w:tc>
          <w:tcPr>
            <w:tcW w:w="4053" w:type="dxa"/>
            <w:gridSpan w:val="2"/>
          </w:tcPr>
          <w:p w:rsidR="004D6D66" w:rsidRDefault="006F6A69" w:rsidP="00066724">
            <w:r>
              <w:t>Survey data excerpts from Towers Watson 18</w:t>
            </w:r>
            <w:r w:rsidRPr="00144856">
              <w:rPr>
                <w:vertAlign w:val="superscript"/>
              </w:rPr>
              <w:t>th</w:t>
            </w:r>
            <w:r>
              <w:t xml:space="preserve"> Annual Employer Survey on Purchasing Value in Health Care</w:t>
            </w:r>
          </w:p>
          <w:p w:rsidR="001650D6" w:rsidRPr="00EF16A1" w:rsidRDefault="001650D6" w:rsidP="00066724"/>
        </w:tc>
      </w:tr>
      <w:tr w:rsidR="004F5CFB" w:rsidTr="009F6014">
        <w:trPr>
          <w:gridAfter w:val="2"/>
          <w:wAfter w:w="212" w:type="dxa"/>
        </w:trPr>
        <w:tc>
          <w:tcPr>
            <w:tcW w:w="1957" w:type="dxa"/>
          </w:tcPr>
          <w:p w:rsidR="004F5CFB" w:rsidRDefault="007D0D26" w:rsidP="00066724">
            <w:r>
              <w:t>R. J. McMillan</w:t>
            </w:r>
          </w:p>
        </w:tc>
        <w:tc>
          <w:tcPr>
            <w:tcW w:w="1589" w:type="dxa"/>
            <w:gridSpan w:val="2"/>
          </w:tcPr>
          <w:p w:rsidR="004F5CFB" w:rsidRDefault="007D0D26" w:rsidP="00066724">
            <w:pPr>
              <w:jc w:val="center"/>
            </w:pPr>
            <w:r>
              <w:t>Gulf</w:t>
            </w:r>
          </w:p>
        </w:tc>
        <w:tc>
          <w:tcPr>
            <w:tcW w:w="1765" w:type="dxa"/>
            <w:gridSpan w:val="2"/>
          </w:tcPr>
          <w:p w:rsidR="007D0D26" w:rsidRPr="006E11FE" w:rsidRDefault="007D0D26" w:rsidP="007D0D26">
            <w:pPr>
              <w:jc w:val="center"/>
            </w:pPr>
            <w:r w:rsidRPr="006E11FE">
              <w:t>______</w:t>
            </w:r>
          </w:p>
          <w:p w:rsidR="004F5CFB" w:rsidRPr="007D0D26" w:rsidRDefault="007D0D26" w:rsidP="007D0D26">
            <w:pPr>
              <w:jc w:val="center"/>
              <w:rPr>
                <w:highlight w:val="yellow"/>
              </w:rPr>
            </w:pPr>
            <w:r w:rsidRPr="006E11FE">
              <w:t>RJM-2</w:t>
            </w:r>
          </w:p>
        </w:tc>
        <w:tc>
          <w:tcPr>
            <w:tcW w:w="4053" w:type="dxa"/>
            <w:gridSpan w:val="2"/>
          </w:tcPr>
          <w:p w:rsidR="004F5CFB" w:rsidRDefault="006E11FE" w:rsidP="00DA29CC">
            <w:r>
              <w:t>Bureau of Labor Statistics</w:t>
            </w:r>
            <w:r w:rsidR="0028486B">
              <w:t xml:space="preserve"> Release dated May 2013</w:t>
            </w:r>
            <w:r>
              <w:t>-</w:t>
            </w:r>
            <w:r w:rsidR="0028486B">
              <w:t>“</w:t>
            </w:r>
            <w:r>
              <w:t>Productivity and Cost by Industry: Selected Service-Providing and Mining Industries, 2011</w:t>
            </w:r>
            <w:r w:rsidR="0028486B">
              <w:t xml:space="preserve">”; Industry Labor Productivity and Costs: Percent Changes August 29, </w:t>
            </w:r>
            <w:r w:rsidR="00EE7316">
              <w:t>2</w:t>
            </w:r>
            <w:r w:rsidR="0028486B">
              <w:t>013</w:t>
            </w:r>
          </w:p>
          <w:p w:rsidR="007B40FF" w:rsidRDefault="007B40FF" w:rsidP="00DA29CC"/>
          <w:p w:rsidR="00EE7316" w:rsidRDefault="00EE7316" w:rsidP="00DA29CC"/>
          <w:p w:rsidR="00EE7316" w:rsidRPr="00EF16A1" w:rsidRDefault="00EE7316" w:rsidP="00DA29CC"/>
        </w:tc>
      </w:tr>
      <w:tr w:rsidR="00C833A9" w:rsidTr="009F6014">
        <w:trPr>
          <w:gridAfter w:val="2"/>
          <w:wAfter w:w="212" w:type="dxa"/>
        </w:trPr>
        <w:tc>
          <w:tcPr>
            <w:tcW w:w="1957" w:type="dxa"/>
          </w:tcPr>
          <w:p w:rsidR="00C833A9" w:rsidRDefault="00C833A9" w:rsidP="00017DF0">
            <w:r>
              <w:lastRenderedPageBreak/>
              <w:t>J. T. Deason</w:t>
            </w:r>
          </w:p>
        </w:tc>
        <w:tc>
          <w:tcPr>
            <w:tcW w:w="1589" w:type="dxa"/>
            <w:gridSpan w:val="2"/>
          </w:tcPr>
          <w:p w:rsidR="00C833A9" w:rsidRDefault="00C833A9" w:rsidP="00017DF0">
            <w:pPr>
              <w:jc w:val="center"/>
            </w:pPr>
            <w:r>
              <w:t>Gulf</w:t>
            </w:r>
          </w:p>
        </w:tc>
        <w:tc>
          <w:tcPr>
            <w:tcW w:w="1765" w:type="dxa"/>
            <w:gridSpan w:val="2"/>
          </w:tcPr>
          <w:p w:rsidR="00C833A9" w:rsidRPr="0028486B" w:rsidRDefault="00C833A9" w:rsidP="00017DF0">
            <w:pPr>
              <w:jc w:val="center"/>
            </w:pPr>
            <w:r w:rsidRPr="0028486B">
              <w:t>______</w:t>
            </w:r>
          </w:p>
          <w:p w:rsidR="00C833A9" w:rsidRPr="004F5CFB" w:rsidRDefault="004F5CFB" w:rsidP="00017DF0">
            <w:pPr>
              <w:jc w:val="center"/>
              <w:rPr>
                <w:highlight w:val="yellow"/>
              </w:rPr>
            </w:pPr>
            <w:r w:rsidRPr="0028486B">
              <w:t>JT</w:t>
            </w:r>
            <w:r w:rsidR="00C833A9" w:rsidRPr="0028486B">
              <w:t>D-1</w:t>
            </w:r>
          </w:p>
        </w:tc>
        <w:tc>
          <w:tcPr>
            <w:tcW w:w="4053" w:type="dxa"/>
            <w:gridSpan w:val="2"/>
          </w:tcPr>
          <w:p w:rsidR="00C833A9" w:rsidRDefault="00C833A9" w:rsidP="00017DF0">
            <w:pPr>
              <w:rPr>
                <w:rFonts w:cs="Arial"/>
                <w:snapToGrid/>
                <w:color w:val="000000"/>
                <w:szCs w:val="24"/>
              </w:rPr>
            </w:pPr>
            <w:r w:rsidRPr="00E263B6">
              <w:rPr>
                <w:rFonts w:cs="Arial"/>
                <w:snapToGrid/>
                <w:color w:val="000000"/>
                <w:szCs w:val="24"/>
              </w:rPr>
              <w:t>Biographical Information</w:t>
            </w:r>
            <w:r>
              <w:rPr>
                <w:rFonts w:cs="Arial"/>
                <w:snapToGrid/>
                <w:color w:val="000000"/>
                <w:szCs w:val="24"/>
              </w:rPr>
              <w:t xml:space="preserve"> </w:t>
            </w:r>
            <w:r w:rsidRPr="00E263B6">
              <w:rPr>
                <w:rFonts w:cs="Arial"/>
                <w:snapToGrid/>
                <w:color w:val="000000"/>
                <w:szCs w:val="24"/>
              </w:rPr>
              <w:t>for Terry Deason</w:t>
            </w:r>
          </w:p>
          <w:p w:rsidR="00C833A9" w:rsidRPr="00C833A9" w:rsidRDefault="00C833A9" w:rsidP="00017DF0">
            <w:pPr>
              <w:rPr>
                <w:rFonts w:cs="Arial"/>
                <w:snapToGrid/>
                <w:color w:val="000000"/>
                <w:szCs w:val="24"/>
              </w:rPr>
            </w:pPr>
          </w:p>
        </w:tc>
      </w:tr>
      <w:tr w:rsidR="007D0D26" w:rsidTr="009F6014">
        <w:trPr>
          <w:gridAfter w:val="2"/>
          <w:wAfter w:w="212" w:type="dxa"/>
        </w:trPr>
        <w:tc>
          <w:tcPr>
            <w:tcW w:w="1957" w:type="dxa"/>
          </w:tcPr>
          <w:p w:rsidR="007D0D26" w:rsidRDefault="007D0D26" w:rsidP="00017DF0">
            <w:r>
              <w:t>R. S. Teel</w:t>
            </w:r>
          </w:p>
        </w:tc>
        <w:tc>
          <w:tcPr>
            <w:tcW w:w="1589" w:type="dxa"/>
            <w:gridSpan w:val="2"/>
          </w:tcPr>
          <w:p w:rsidR="007D0D26" w:rsidRDefault="007D0D26" w:rsidP="00017DF0">
            <w:pPr>
              <w:jc w:val="center"/>
            </w:pPr>
            <w:r>
              <w:t>Gulf</w:t>
            </w:r>
          </w:p>
        </w:tc>
        <w:tc>
          <w:tcPr>
            <w:tcW w:w="1765" w:type="dxa"/>
            <w:gridSpan w:val="2"/>
          </w:tcPr>
          <w:p w:rsidR="007D0D26" w:rsidRPr="0026091B" w:rsidRDefault="007D0D26" w:rsidP="007D0D26">
            <w:pPr>
              <w:jc w:val="center"/>
            </w:pPr>
            <w:r w:rsidRPr="0026091B">
              <w:t>______</w:t>
            </w:r>
          </w:p>
          <w:p w:rsidR="007D0D26" w:rsidRPr="004F5CFB" w:rsidRDefault="007D0D26" w:rsidP="007D0D26">
            <w:pPr>
              <w:jc w:val="center"/>
              <w:rPr>
                <w:highlight w:val="yellow"/>
              </w:rPr>
            </w:pPr>
            <w:r w:rsidRPr="0026091B">
              <w:t>RST-2</w:t>
            </w:r>
          </w:p>
        </w:tc>
        <w:tc>
          <w:tcPr>
            <w:tcW w:w="4053" w:type="dxa"/>
            <w:gridSpan w:val="2"/>
          </w:tcPr>
          <w:p w:rsidR="007D0D26" w:rsidRPr="00E263B6" w:rsidRDefault="00654CB8" w:rsidP="00654CB8">
            <w:pPr>
              <w:rPr>
                <w:rFonts w:cs="Arial"/>
                <w:snapToGrid/>
                <w:color w:val="000000"/>
                <w:szCs w:val="24"/>
              </w:rPr>
            </w:pPr>
            <w:r>
              <w:rPr>
                <w:rFonts w:cs="Arial"/>
                <w:snapToGrid/>
                <w:color w:val="000000"/>
                <w:szCs w:val="24"/>
              </w:rPr>
              <w:t xml:space="preserve">Updated </w:t>
            </w:r>
            <w:r w:rsidR="000A2C78">
              <w:rPr>
                <w:rFonts w:cs="Arial"/>
                <w:snapToGrid/>
                <w:color w:val="000000"/>
                <w:szCs w:val="24"/>
              </w:rPr>
              <w:t>Base Retail ROE</w:t>
            </w:r>
            <w:r>
              <w:rPr>
                <w:rFonts w:cs="Arial"/>
                <w:snapToGrid/>
                <w:color w:val="000000"/>
                <w:szCs w:val="24"/>
              </w:rPr>
              <w:t xml:space="preserve"> Chart</w:t>
            </w:r>
            <w:r w:rsidR="000A2C78">
              <w:rPr>
                <w:rFonts w:cs="Arial"/>
                <w:snapToGrid/>
                <w:color w:val="000000"/>
                <w:szCs w:val="24"/>
              </w:rPr>
              <w:t xml:space="preserve"> </w:t>
            </w:r>
          </w:p>
        </w:tc>
      </w:tr>
    </w:tbl>
    <w:p w:rsidR="001650D6" w:rsidRDefault="001650D6"/>
    <w:p w:rsidR="004E59EE" w:rsidRPr="004E59EE" w:rsidRDefault="008002FB" w:rsidP="004E59EE">
      <w:pPr>
        <w:pStyle w:val="ListParagraph"/>
        <w:ind w:left="0"/>
        <w:rPr>
          <w:rFonts w:ascii="Times New Roman" w:hAnsi="Times New Roman"/>
          <w:noProof/>
          <w:sz w:val="24"/>
          <w:szCs w:val="24"/>
        </w:rPr>
      </w:pPr>
      <w:r>
        <w:rPr>
          <w:rFonts w:ascii="Times New Roman" w:hAnsi="Times New Roman"/>
          <w:noProof/>
          <w:sz w:val="24"/>
          <w:szCs w:val="24"/>
        </w:rPr>
        <w:t>**</w:t>
      </w:r>
      <w:r w:rsidR="004E59EE" w:rsidRPr="004E59EE">
        <w:rPr>
          <w:rFonts w:ascii="Times New Roman" w:hAnsi="Times New Roman"/>
          <w:noProof/>
          <w:sz w:val="24"/>
          <w:szCs w:val="24"/>
        </w:rPr>
        <w:t>Gulf reserves the right to use additional exhibits for the purposes of cross-examination.</w:t>
      </w:r>
    </w:p>
    <w:p w:rsidR="005115F1" w:rsidRDefault="005115F1">
      <w:pPr>
        <w:pStyle w:val="Heading1"/>
      </w:pPr>
    </w:p>
    <w:p w:rsidR="00AC5B4B" w:rsidRDefault="00AC5B4B">
      <w:pPr>
        <w:pStyle w:val="Heading1"/>
      </w:pPr>
      <w:r>
        <w:t>D.  STATEMENT OF BASIC POSITION</w:t>
      </w:r>
    </w:p>
    <w:p w:rsidR="00212C3B" w:rsidRDefault="00212C3B" w:rsidP="00212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Gulf Power Company's Statement of Basic Position:</w:t>
      </w:r>
    </w:p>
    <w:p w:rsidR="00212C3B" w:rsidRDefault="00212C3B" w:rsidP="00212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12C3B" w:rsidRPr="00C358ED" w:rsidRDefault="00212C3B" w:rsidP="00D66D6F">
      <w:pPr>
        <w:ind w:firstLine="720"/>
        <w:jc w:val="both"/>
      </w:pPr>
      <w:r w:rsidRPr="00C358ED">
        <w:t>Gulf Power Company’s current rates and charges will not provide Gulf a reasonable opportunity to earn a fair and reasonable rate of r</w:t>
      </w:r>
      <w:r w:rsidR="00514296" w:rsidRPr="00C358ED">
        <w:t>eturn for the period January 2014</w:t>
      </w:r>
      <w:r w:rsidRPr="00C358ED">
        <w:t xml:space="preserve"> through December 201</w:t>
      </w:r>
      <w:r w:rsidR="00514296" w:rsidRPr="00C358ED">
        <w:t>4</w:t>
      </w:r>
      <w:r w:rsidRPr="00C358ED">
        <w:t xml:space="preserve"> and beyond.  Gulf filed this case seeking an annual increase in its rates and charges of approximately </w:t>
      </w:r>
      <w:r w:rsidRPr="00B9436A">
        <w:t>$</w:t>
      </w:r>
      <w:r w:rsidR="00646B73" w:rsidRPr="00B9436A">
        <w:t>74.</w:t>
      </w:r>
      <w:r w:rsidR="00C17031">
        <w:t>4</w:t>
      </w:r>
      <w:r w:rsidRPr="00B9436A">
        <w:t xml:space="preserve"> million.</w:t>
      </w:r>
      <w:r w:rsidRPr="00C358ED">
        <w:t xml:space="preserve">  The most reasonable period on which to base new rates and charges for Gulf is January 201</w:t>
      </w:r>
      <w:r w:rsidR="00514296" w:rsidRPr="00C358ED">
        <w:t>4</w:t>
      </w:r>
      <w:r w:rsidRPr="00C358ED">
        <w:t xml:space="preserve"> through December 201</w:t>
      </w:r>
      <w:r w:rsidR="00514296" w:rsidRPr="00C358ED">
        <w:t>4</w:t>
      </w:r>
      <w:r w:rsidRPr="00C358ED">
        <w:t>.</w:t>
      </w:r>
      <w:r w:rsidR="002044DD">
        <w:t xml:space="preserve"> </w:t>
      </w:r>
      <w:r w:rsidRPr="00C358ED">
        <w:t xml:space="preserve"> </w:t>
      </w:r>
      <w:r w:rsidR="002044DD">
        <w:t>In addition, Gulf is seeking a</w:t>
      </w:r>
      <w:r w:rsidR="002044DD" w:rsidRPr="00677A87">
        <w:rPr>
          <w:bCs/>
        </w:rPr>
        <w:t xml:space="preserve"> step increase of $16,392,000, effective July 1, 2015, for the Plant Crist and Plant Smith transmission upgrade projects</w:t>
      </w:r>
      <w:r w:rsidR="002044DD">
        <w:rPr>
          <w:bCs/>
        </w:rPr>
        <w:t xml:space="preserve">.  </w:t>
      </w:r>
    </w:p>
    <w:p w:rsidR="00212C3B" w:rsidRPr="00646B73" w:rsidRDefault="00212C3B" w:rsidP="00D66D6F">
      <w:pPr>
        <w:ind w:firstLine="720"/>
        <w:jc w:val="both"/>
        <w:rPr>
          <w:highlight w:val="yellow"/>
        </w:rPr>
      </w:pPr>
    </w:p>
    <w:p w:rsidR="00212C3B" w:rsidRDefault="00212C3B" w:rsidP="00D66D6F">
      <w:pPr>
        <w:ind w:firstLine="720"/>
        <w:jc w:val="both"/>
      </w:pPr>
      <w:r w:rsidRPr="000A5D63">
        <w:t>The Company’s adjusted 13-month average jurisdictional rate base for the period January 201</w:t>
      </w:r>
      <w:r w:rsidR="00CB7075" w:rsidRPr="000A5D63">
        <w:t>4 through December 2014</w:t>
      </w:r>
      <w:r w:rsidRPr="000A5D63">
        <w:t xml:space="preserve"> (the “test year”) is projected to be </w:t>
      </w:r>
      <w:r w:rsidR="00B9436A" w:rsidRPr="000A5D63">
        <w:t>$1,883,901,000</w:t>
      </w:r>
      <w:r w:rsidRPr="000A5D63">
        <w:t xml:space="preserve">; and the jurisdictional </w:t>
      </w:r>
      <w:r w:rsidR="005F43DE">
        <w:t xml:space="preserve">achieved </w:t>
      </w:r>
      <w:r w:rsidRPr="000A5D63">
        <w:t>net operating income is projected to</w:t>
      </w:r>
      <w:r w:rsidR="00B8359A">
        <w:t xml:space="preserve"> be</w:t>
      </w:r>
      <w:r w:rsidRPr="000A5D63">
        <w:t xml:space="preserve"> </w:t>
      </w:r>
      <w:r w:rsidR="00B9436A" w:rsidRPr="000A5D63">
        <w:t xml:space="preserve">$76,359,000 </w:t>
      </w:r>
      <w:r w:rsidRPr="000A5D63">
        <w:t>using the rates currently in effect.  The resulting adjusted</w:t>
      </w:r>
      <w:r w:rsidR="00301E9C">
        <w:t xml:space="preserve"> achieved</w:t>
      </w:r>
      <w:r w:rsidRPr="000A5D63">
        <w:t xml:space="preserve"> jurisdictional rate of return on average rate base is projected to </w:t>
      </w:r>
      <w:r w:rsidRPr="00B65C2C">
        <w:t xml:space="preserve">be </w:t>
      </w:r>
      <w:r w:rsidR="00B65C2C" w:rsidRPr="00B65C2C">
        <w:t>4.05</w:t>
      </w:r>
      <w:r w:rsidRPr="00B65C2C">
        <w:t>%,</w:t>
      </w:r>
      <w:r w:rsidRPr="000A5D63">
        <w:t xml:space="preserve"> while the </w:t>
      </w:r>
      <w:r w:rsidR="00301E9C">
        <w:t xml:space="preserve">achieved </w:t>
      </w:r>
      <w:r w:rsidRPr="000A5D63">
        <w:t xml:space="preserve">return on common equity is projected to be </w:t>
      </w:r>
      <w:r w:rsidR="00B65C2C" w:rsidRPr="00B65C2C">
        <w:t>5.14</w:t>
      </w:r>
      <w:r w:rsidRPr="00B65C2C">
        <w:t>%</w:t>
      </w:r>
      <w:r w:rsidRPr="000A5D63">
        <w:t xml:space="preserve"> for the projected test year.  Such a return is so low that it would severely jeopardize the Company’s ability to finance future operations.  The continued compulsory application of Gulf’s present rates and charges will result in the unlawful taking of the Company’s property without just compensation, resulting in confiscation of the Company’s property in violation of the guarantees of the state and federal constitutions.  </w:t>
      </w:r>
    </w:p>
    <w:p w:rsidR="007D31B1" w:rsidRDefault="007D31B1" w:rsidP="00D66D6F">
      <w:pPr>
        <w:ind w:firstLine="720"/>
        <w:jc w:val="both"/>
      </w:pPr>
    </w:p>
    <w:p w:rsidR="007D31B1" w:rsidRPr="000A5D63" w:rsidRDefault="007D31B1" w:rsidP="00D66D6F">
      <w:pPr>
        <w:ind w:firstLine="720"/>
        <w:jc w:val="both"/>
      </w:pPr>
      <w:r w:rsidRPr="00C358ED">
        <w:t>As a provider of retail electric service to the people of Northwest Florida, Gulf is obligated by statute to provide such service in a reasonable, “sufficient, adequate, and efficient” manner.  Gulf has a similar obligation to provide its shareholders with a reasonable and adequate return on their investment.  Without the revenue increase requested, Gulf cannot meet its obligations to either constituency in the long run.  If Gulf is rendered unable to meet its obligations to the customers and shareholders due to inadequate rates, both stakeholder groups will suffer.  The customers will suffer from less reliable service and eventually higher costs of electricity</w:t>
      </w:r>
      <w:r w:rsidR="00805994">
        <w:t xml:space="preserve"> than would otherwise be the case</w:t>
      </w:r>
      <w:r w:rsidRPr="00C358ED">
        <w:t xml:space="preserve">, while the shareholders will suffer from an inadequate and confiscatory return on investment and will seek other places to invest their money.  </w:t>
      </w:r>
    </w:p>
    <w:p w:rsidR="00212C3B" w:rsidRPr="00646B73" w:rsidRDefault="00212C3B" w:rsidP="00D66D6F">
      <w:pPr>
        <w:ind w:firstLine="720"/>
        <w:jc w:val="both"/>
        <w:rPr>
          <w:highlight w:val="yellow"/>
        </w:rPr>
      </w:pPr>
    </w:p>
    <w:p w:rsidR="00212C3B" w:rsidRPr="00C358ED" w:rsidRDefault="00212A62" w:rsidP="00D66D6F">
      <w:pPr>
        <w:ind w:firstLine="720"/>
        <w:jc w:val="both"/>
      </w:pPr>
      <w:r w:rsidRPr="00C358ED">
        <w:t>Rates approved in Gulf’s 2011 base rate case have not been and are not projected to be adequate</w:t>
      </w:r>
      <w:r w:rsidR="00C358ED" w:rsidRPr="00C358ED">
        <w:t xml:space="preserve"> to cover Gulf’s cost of providing electric service.  As projected in Gulf’s 2011 base rate </w:t>
      </w:r>
      <w:r w:rsidR="00C358ED" w:rsidRPr="00C358ED">
        <w:lastRenderedPageBreak/>
        <w:t>case, Gulf has continued to invest heavily in infrastructure required for us to serve our customers.  The investment in transmission assets has been particularly heavy.  At the same time that Gulf has been investing increasing amounts in infrastructure</w:t>
      </w:r>
      <w:r w:rsidR="00301E9C">
        <w:t>,</w:t>
      </w:r>
      <w:r w:rsidR="00C358ED" w:rsidRPr="00C358ED">
        <w:t xml:space="preserve"> sales growth has been far less than expected.  The</w:t>
      </w:r>
      <w:r w:rsidR="00212C3B" w:rsidRPr="00C358ED">
        <w:t xml:space="preserve"> requested rate relief should restore the relationship between growing capital requirements and base rate revenues necessary for Gulf to achieve the fair rate of return that would allow Gulf to attract capital necessary to serve</w:t>
      </w:r>
      <w:r w:rsidR="00C358ED" w:rsidRPr="00C358ED">
        <w:t xml:space="preserve"> our</w:t>
      </w:r>
      <w:r w:rsidR="00212C3B" w:rsidRPr="00C358ED">
        <w:t xml:space="preserve"> customers. </w:t>
      </w:r>
    </w:p>
    <w:p w:rsidR="00212C3B" w:rsidRPr="00C358ED" w:rsidRDefault="00212C3B" w:rsidP="00D66D6F">
      <w:pPr>
        <w:ind w:firstLine="720"/>
        <w:jc w:val="both"/>
      </w:pPr>
    </w:p>
    <w:p w:rsidR="002044DD" w:rsidRPr="00C358ED" w:rsidRDefault="00212C3B" w:rsidP="002044DD">
      <w:pPr>
        <w:ind w:firstLine="720"/>
        <w:jc w:val="both"/>
      </w:pPr>
      <w:r w:rsidRPr="00C358ED">
        <w:t xml:space="preserve">For these and other reasons detailed in the testimony and exhibits of Gulf’s witnesses filed with its petition in this case, Gulf is respectfully requesting an increase in rates and charges that will produce an increase in total annual revenues of at least </w:t>
      </w:r>
      <w:r w:rsidRPr="00B9436A">
        <w:t>$</w:t>
      </w:r>
      <w:r w:rsidR="00CB7075" w:rsidRPr="00B9436A">
        <w:t>74.</w:t>
      </w:r>
      <w:r w:rsidR="00D20678">
        <w:t>4</w:t>
      </w:r>
      <w:r w:rsidR="00CB7075" w:rsidRPr="00B9436A">
        <w:t xml:space="preserve"> </w:t>
      </w:r>
      <w:r w:rsidR="00CB7075" w:rsidRPr="002044DD">
        <w:t>million</w:t>
      </w:r>
      <w:r w:rsidRPr="00C358ED">
        <w:t xml:space="preserve"> </w:t>
      </w:r>
      <w:r w:rsidR="002044DD">
        <w:t>with an additional</w:t>
      </w:r>
      <w:r w:rsidR="002044DD" w:rsidRPr="00677A87">
        <w:rPr>
          <w:bCs/>
        </w:rPr>
        <w:t xml:space="preserve"> step increase of $16,392,000, effective July 1, 2015, for the Plant Crist and Plant Smith transmission upgrade projects</w:t>
      </w:r>
      <w:r w:rsidR="002044DD">
        <w:rPr>
          <w:bCs/>
        </w:rPr>
        <w:t xml:space="preserve">.  </w:t>
      </w:r>
    </w:p>
    <w:p w:rsidR="005C01B5" w:rsidRDefault="005C01B5">
      <w:pPr>
        <w:pStyle w:val="Heading1"/>
        <w:spacing w:line="240" w:lineRule="auto"/>
      </w:pPr>
    </w:p>
    <w:p w:rsidR="005C01B5" w:rsidRDefault="005C01B5">
      <w:pPr>
        <w:pStyle w:val="Heading1"/>
        <w:spacing w:line="240" w:lineRule="auto"/>
      </w:pPr>
    </w:p>
    <w:p w:rsidR="00AC5B4B" w:rsidRPr="00BF0BB9" w:rsidRDefault="00AC5B4B">
      <w:pPr>
        <w:pStyle w:val="Heading1"/>
        <w:spacing w:line="240" w:lineRule="auto"/>
        <w:rPr>
          <w:b w:val="0"/>
        </w:rPr>
      </w:pPr>
      <w:r w:rsidRPr="00BF0BB9">
        <w:t>E.  STATEMENT OF ISSUES AND POSITIONS</w:t>
      </w:r>
    </w:p>
    <w:p w:rsidR="00514296" w:rsidRDefault="00514296" w:rsidP="00514296">
      <w:pPr>
        <w:pStyle w:val="ColorfulList-Accent11"/>
        <w:ind w:left="0"/>
        <w:jc w:val="both"/>
        <w:rPr>
          <w:rFonts w:ascii="Times" w:hAnsi="Times" w:cs="Times"/>
          <w:sz w:val="32"/>
          <w:szCs w:val="32"/>
        </w:rPr>
      </w:pPr>
    </w:p>
    <w:p w:rsidR="00AC5B4B" w:rsidRPr="00BF0BB9" w:rsidRDefault="00AC5B4B" w:rsidP="00514296">
      <w:pPr>
        <w:pStyle w:val="ColorfulList-Accent11"/>
        <w:ind w:left="0"/>
        <w:jc w:val="both"/>
      </w:pPr>
      <w:r w:rsidRPr="00BF0BB9">
        <w:rPr>
          <w:rFonts w:ascii="Times" w:hAnsi="Times" w:cs="Times"/>
          <w:sz w:val="32"/>
          <w:szCs w:val="32"/>
        </w:rPr>
        <w:t> </w:t>
      </w:r>
      <w:r w:rsidR="00514296">
        <w:rPr>
          <w:rFonts w:ascii="Times" w:hAnsi="Times" w:cs="Times"/>
          <w:sz w:val="32"/>
          <w:szCs w:val="32"/>
        </w:rPr>
        <w:tab/>
      </w:r>
      <w:r w:rsidR="00514296">
        <w:rPr>
          <w:rFonts w:ascii="Times" w:hAnsi="Times" w:cs="Times"/>
          <w:sz w:val="32"/>
          <w:szCs w:val="32"/>
        </w:rPr>
        <w:tab/>
      </w:r>
      <w:r w:rsidR="00514296">
        <w:rPr>
          <w:rFonts w:ascii="Times" w:hAnsi="Times" w:cs="Times"/>
          <w:sz w:val="32"/>
          <w:szCs w:val="32"/>
        </w:rPr>
        <w:tab/>
      </w:r>
      <w:r w:rsidR="00514296">
        <w:rPr>
          <w:rFonts w:ascii="Times" w:hAnsi="Times" w:cs="Times"/>
          <w:sz w:val="32"/>
          <w:szCs w:val="32"/>
        </w:rPr>
        <w:tab/>
      </w:r>
      <w:r w:rsidR="00514296">
        <w:rPr>
          <w:rFonts w:ascii="Times" w:hAnsi="Times" w:cs="Times"/>
          <w:sz w:val="32"/>
          <w:szCs w:val="32"/>
        </w:rPr>
        <w:tab/>
      </w:r>
      <w:r w:rsidRPr="00BF0BB9">
        <w:rPr>
          <w:b/>
          <w:bCs/>
          <w:u w:val="single"/>
        </w:rPr>
        <w:t>Test Period and Forecasting</w:t>
      </w:r>
    </w:p>
    <w:p w:rsidR="00AC5B4B" w:rsidRPr="00BF0BB9" w:rsidRDefault="00AC5B4B" w:rsidP="00AC5B4B">
      <w:pPr>
        <w:widowControl/>
        <w:tabs>
          <w:tab w:val="left" w:pos="-1440"/>
        </w:tabs>
        <w:jc w:val="both"/>
      </w:pPr>
    </w:p>
    <w:p w:rsidR="00530FB5" w:rsidRPr="00677A87" w:rsidRDefault="00530FB5" w:rsidP="008B7F36">
      <w:pPr>
        <w:widowControl/>
        <w:tabs>
          <w:tab w:val="left" w:pos="-1440"/>
        </w:tabs>
        <w:ind w:left="1440" w:hanging="1440"/>
        <w:jc w:val="both"/>
      </w:pPr>
      <w:r w:rsidRPr="00677A87">
        <w:rPr>
          <w:b/>
          <w:u w:val="single"/>
        </w:rPr>
        <w:t xml:space="preserve">Issue </w:t>
      </w:r>
      <w:fldSimple w:instr=" SEQ Issue \* MERGEFORMAT ">
        <w:r w:rsidR="00275319" w:rsidRPr="00275319">
          <w:rPr>
            <w:b/>
            <w:noProof/>
            <w:u w:val="single"/>
          </w:rPr>
          <w:t>1</w:t>
        </w:r>
      </w:fldSimple>
      <w:r w:rsidRPr="00677A87">
        <w:t>:</w:t>
      </w:r>
      <w:r w:rsidRPr="00677A87">
        <w:tab/>
        <w:t>Is Gulf’s projected test period of the 12</w:t>
      </w:r>
      <w:r w:rsidR="00514296" w:rsidRPr="00677A87">
        <w:t xml:space="preserve"> months ending December 31, 2014</w:t>
      </w:r>
      <w:r w:rsidRPr="00677A87">
        <w:t xml:space="preserve"> appropriate?</w:t>
      </w:r>
    </w:p>
    <w:p w:rsidR="00B902F1" w:rsidRPr="00677A87" w:rsidRDefault="00B902F1" w:rsidP="00530FB5">
      <w:pPr>
        <w:tabs>
          <w:tab w:val="left" w:pos="-1440"/>
        </w:tabs>
        <w:ind w:left="1440" w:hanging="1440"/>
        <w:jc w:val="both"/>
        <w:rPr>
          <w:b/>
          <w:u w:val="single"/>
        </w:rPr>
      </w:pPr>
    </w:p>
    <w:p w:rsidR="00D67B77" w:rsidRPr="00677A87" w:rsidRDefault="00530FB5" w:rsidP="00D67B77">
      <w:pPr>
        <w:tabs>
          <w:tab w:val="left" w:pos="-1440"/>
          <w:tab w:val="left" w:pos="1080"/>
        </w:tabs>
        <w:ind w:left="1440" w:hanging="1440"/>
      </w:pPr>
      <w:r w:rsidRPr="00677A87">
        <w:rPr>
          <w:b/>
          <w:u w:val="single"/>
        </w:rPr>
        <w:t>GULF</w:t>
      </w:r>
      <w:r w:rsidRPr="00677A87">
        <w:t>:</w:t>
      </w:r>
      <w:r w:rsidRPr="00677A87">
        <w:tab/>
      </w:r>
      <w:r w:rsidR="00D67B77" w:rsidRPr="00677A87">
        <w:tab/>
        <w:t xml:space="preserve">Yes.  The 12 months ending December 31, 2014 is the most appropriate test period, as it is representative of future operations, with respect to investment, operations and maintenance expenses, and future expected revenues. </w:t>
      </w:r>
      <w:r w:rsidR="00651E9A">
        <w:t xml:space="preserve">This issue is not contested in testimony and it appears it could be stipulated. </w:t>
      </w:r>
      <w:r w:rsidR="00D67B77" w:rsidRPr="00677A87">
        <w:t xml:space="preserve"> (Teel, Ritenour)  </w:t>
      </w:r>
    </w:p>
    <w:p w:rsidR="00D67B77" w:rsidRPr="00677A87" w:rsidRDefault="00D67B77" w:rsidP="00D67B77">
      <w:pPr>
        <w:tabs>
          <w:tab w:val="left" w:pos="1080"/>
        </w:tabs>
      </w:pPr>
    </w:p>
    <w:p w:rsidR="00D67B77" w:rsidRPr="00677A87" w:rsidRDefault="00D67B77" w:rsidP="00514296">
      <w:pPr>
        <w:tabs>
          <w:tab w:val="left" w:pos="720"/>
          <w:tab w:val="left" w:pos="1440"/>
          <w:tab w:val="left" w:pos="2160"/>
          <w:tab w:val="left" w:pos="2880"/>
          <w:tab w:val="left" w:pos="3600"/>
          <w:tab w:val="left" w:pos="4320"/>
          <w:tab w:val="left" w:pos="5040"/>
          <w:tab w:val="left" w:pos="6192"/>
          <w:tab w:val="left" w:pos="7200"/>
        </w:tabs>
        <w:ind w:left="1440" w:hanging="1440"/>
        <w:jc w:val="both"/>
        <w:rPr>
          <w:b/>
          <w:u w:val="single"/>
        </w:rPr>
      </w:pPr>
    </w:p>
    <w:p w:rsidR="00514296" w:rsidRPr="00677A87" w:rsidRDefault="00530FB5" w:rsidP="00514296">
      <w:pPr>
        <w:tabs>
          <w:tab w:val="left" w:pos="720"/>
          <w:tab w:val="left" w:pos="1440"/>
          <w:tab w:val="left" w:pos="2160"/>
          <w:tab w:val="left" w:pos="2880"/>
          <w:tab w:val="left" w:pos="3600"/>
          <w:tab w:val="left" w:pos="4320"/>
          <w:tab w:val="left" w:pos="5040"/>
          <w:tab w:val="left" w:pos="6192"/>
          <w:tab w:val="left" w:pos="7200"/>
        </w:tabs>
        <w:ind w:left="1440" w:hanging="1440"/>
        <w:jc w:val="both"/>
      </w:pPr>
      <w:r w:rsidRPr="00677A87">
        <w:rPr>
          <w:b/>
          <w:u w:val="single"/>
        </w:rPr>
        <w:t xml:space="preserve">Issue </w:t>
      </w:r>
      <w:fldSimple w:instr=" SEQ Issue \* MERGEFORMAT ">
        <w:r w:rsidR="00275319" w:rsidRPr="00275319">
          <w:rPr>
            <w:b/>
            <w:noProof/>
            <w:u w:val="single"/>
          </w:rPr>
          <w:t>2</w:t>
        </w:r>
      </w:fldSimple>
      <w:r w:rsidRPr="00677A87">
        <w:t>:</w:t>
      </w:r>
      <w:r w:rsidRPr="00677A87">
        <w:tab/>
      </w:r>
      <w:r w:rsidR="00514296" w:rsidRPr="00677A87">
        <w:t>Are Gulf's forecasts of Customers, kWh, and kW by rate class, for the 2014 projected test year appropriate?  If not, what adjustments should be made?</w:t>
      </w:r>
    </w:p>
    <w:p w:rsidR="00B902F1" w:rsidRPr="00677A87" w:rsidRDefault="00B902F1" w:rsidP="00530FB5">
      <w:pPr>
        <w:widowControl/>
        <w:tabs>
          <w:tab w:val="left" w:pos="0"/>
        </w:tabs>
        <w:ind w:left="1440" w:hanging="1440"/>
        <w:jc w:val="both"/>
        <w:rPr>
          <w:b/>
          <w:u w:val="single"/>
        </w:rPr>
      </w:pPr>
    </w:p>
    <w:p w:rsidR="003C7888" w:rsidRDefault="00530FB5" w:rsidP="003C7888">
      <w:pPr>
        <w:tabs>
          <w:tab w:val="left" w:pos="810"/>
          <w:tab w:val="left" w:pos="1440"/>
          <w:tab w:val="left" w:pos="2160"/>
          <w:tab w:val="left" w:pos="2880"/>
          <w:tab w:val="left" w:pos="3600"/>
          <w:tab w:val="left" w:pos="4320"/>
          <w:tab w:val="left" w:pos="5040"/>
          <w:tab w:val="left" w:pos="6192"/>
          <w:tab w:val="left" w:pos="7200"/>
        </w:tabs>
        <w:ind w:left="1440" w:hanging="1440"/>
        <w:rPr>
          <w:snapToGrid/>
          <w:szCs w:val="24"/>
        </w:rPr>
      </w:pPr>
      <w:r w:rsidRPr="00677A87">
        <w:rPr>
          <w:b/>
          <w:u w:val="single"/>
        </w:rPr>
        <w:t>GULF</w:t>
      </w:r>
      <w:r w:rsidRPr="00677A87">
        <w:t>:</w:t>
      </w:r>
      <w:r w:rsidRPr="00677A87">
        <w:tab/>
      </w:r>
      <w:r w:rsidR="00E46EDF" w:rsidRPr="00677A87">
        <w:tab/>
      </w:r>
      <w:r w:rsidR="003C7888" w:rsidRPr="00677A87">
        <w:rPr>
          <w:snapToGrid/>
          <w:szCs w:val="24"/>
        </w:rPr>
        <w:t xml:space="preserve">Yes.  Gulf’s forecasts of customers and energy sales (kWh) by rate class and demand (kW) for the 2014 projected test year are based on sound methods which consistently produce accurate results, have been relied on by Gulf and the Commission in a number of other proceedings, and are appropriate for use in this proceeding.  </w:t>
      </w:r>
      <w:r w:rsidR="003C7888" w:rsidRPr="00DB6BDC">
        <w:rPr>
          <w:snapToGrid/>
          <w:szCs w:val="24"/>
        </w:rPr>
        <w:t>FEA’s proposed adjustment ignores the fact and evidence that Gulf has already appropriately included projected effects of economic recovery in its forecast.  OPC’s proposed adjustment is unsupported and uses an unusual method to alter Gulf’s revenue projection with a miscalculation of customers in the test year.  Both of these proposed adjustments should be rejected because they are based on inappropriate methods and erroneous conclusions.</w:t>
      </w:r>
      <w:r w:rsidR="003C7888">
        <w:rPr>
          <w:snapToGrid/>
          <w:szCs w:val="24"/>
        </w:rPr>
        <w:t xml:space="preserve"> </w:t>
      </w:r>
      <w:r w:rsidR="003C7888" w:rsidRPr="007B37A2">
        <w:rPr>
          <w:snapToGrid/>
          <w:szCs w:val="24"/>
        </w:rPr>
        <w:t xml:space="preserve"> (Alexander)</w:t>
      </w:r>
    </w:p>
    <w:p w:rsidR="00436ABB" w:rsidRDefault="00436ABB" w:rsidP="003C7888">
      <w:pPr>
        <w:tabs>
          <w:tab w:val="left" w:pos="810"/>
          <w:tab w:val="left" w:pos="1440"/>
          <w:tab w:val="left" w:pos="2160"/>
          <w:tab w:val="left" w:pos="2880"/>
          <w:tab w:val="left" w:pos="3600"/>
          <w:tab w:val="left" w:pos="4320"/>
          <w:tab w:val="left" w:pos="5040"/>
          <w:tab w:val="left" w:pos="6192"/>
          <w:tab w:val="left" w:pos="7200"/>
        </w:tabs>
        <w:ind w:left="1440" w:hanging="1440"/>
        <w:rPr>
          <w:snapToGrid/>
          <w:szCs w:val="24"/>
        </w:rPr>
      </w:pPr>
    </w:p>
    <w:p w:rsidR="00436ABB" w:rsidRPr="007B37A2" w:rsidRDefault="00436ABB" w:rsidP="003C7888">
      <w:pPr>
        <w:tabs>
          <w:tab w:val="left" w:pos="810"/>
          <w:tab w:val="left" w:pos="1440"/>
          <w:tab w:val="left" w:pos="2160"/>
          <w:tab w:val="left" w:pos="2880"/>
          <w:tab w:val="left" w:pos="3600"/>
          <w:tab w:val="left" w:pos="4320"/>
          <w:tab w:val="left" w:pos="5040"/>
          <w:tab w:val="left" w:pos="6192"/>
          <w:tab w:val="left" w:pos="7200"/>
        </w:tabs>
        <w:ind w:left="1440" w:hanging="1440"/>
        <w:rPr>
          <w:snapToGrid/>
          <w:szCs w:val="24"/>
        </w:rPr>
      </w:pPr>
    </w:p>
    <w:p w:rsidR="000D6DDF" w:rsidRDefault="000D6DDF">
      <w:pPr>
        <w:widowControl/>
        <w:rPr>
          <w:b/>
          <w:u w:val="single"/>
        </w:rPr>
      </w:pPr>
      <w:r>
        <w:rPr>
          <w:b/>
          <w:u w:val="single"/>
        </w:rPr>
        <w:br w:type="page"/>
      </w:r>
    </w:p>
    <w:p w:rsidR="00514296" w:rsidRPr="00677A87" w:rsidRDefault="00530FB5" w:rsidP="00514296">
      <w:pPr>
        <w:ind w:left="1440" w:hanging="1440"/>
        <w:jc w:val="both"/>
      </w:pPr>
      <w:r w:rsidRPr="00677A87">
        <w:rPr>
          <w:b/>
          <w:u w:val="single"/>
        </w:rPr>
        <w:lastRenderedPageBreak/>
        <w:t xml:space="preserve">Issue </w:t>
      </w:r>
      <w:fldSimple w:instr=" SEQ Issue \* MERGEFORMAT ">
        <w:r w:rsidR="00275319" w:rsidRPr="00275319">
          <w:rPr>
            <w:b/>
            <w:noProof/>
            <w:u w:val="single"/>
          </w:rPr>
          <w:t>3</w:t>
        </w:r>
      </w:fldSimple>
      <w:r w:rsidRPr="00677A87">
        <w:t>:</w:t>
      </w:r>
      <w:r w:rsidRPr="00677A87">
        <w:tab/>
      </w:r>
      <w:r w:rsidR="00514296" w:rsidRPr="00677A87">
        <w:t xml:space="preserve">Are Gulf’s forecasts of billing determinants by rate schedule for the 2014 projected test year appropriate?  If not, what adjustments should be made? </w:t>
      </w:r>
    </w:p>
    <w:p w:rsidR="00B902F1" w:rsidRPr="00677A87" w:rsidRDefault="00B902F1" w:rsidP="00530FB5">
      <w:pPr>
        <w:widowControl/>
        <w:tabs>
          <w:tab w:val="left" w:pos="-1440"/>
        </w:tabs>
        <w:ind w:left="1440" w:hanging="1440"/>
        <w:jc w:val="both"/>
        <w:rPr>
          <w:b/>
          <w:u w:val="single"/>
        </w:rPr>
      </w:pPr>
    </w:p>
    <w:p w:rsidR="003C7888" w:rsidRPr="00677A87" w:rsidRDefault="00530FB5" w:rsidP="003C7888">
      <w:pPr>
        <w:tabs>
          <w:tab w:val="left" w:pos="810"/>
          <w:tab w:val="left" w:pos="1440"/>
          <w:tab w:val="left" w:pos="2160"/>
          <w:tab w:val="left" w:pos="2880"/>
          <w:tab w:val="left" w:pos="3600"/>
          <w:tab w:val="left" w:pos="4320"/>
          <w:tab w:val="left" w:pos="5040"/>
          <w:tab w:val="left" w:pos="6192"/>
          <w:tab w:val="left" w:pos="7200"/>
        </w:tabs>
        <w:ind w:left="1440" w:hanging="1440"/>
        <w:rPr>
          <w:snapToGrid/>
          <w:szCs w:val="24"/>
        </w:rPr>
      </w:pPr>
      <w:r w:rsidRPr="00677A87">
        <w:rPr>
          <w:b/>
          <w:u w:val="single"/>
        </w:rPr>
        <w:t>GULF</w:t>
      </w:r>
      <w:r w:rsidRPr="00677A87">
        <w:t xml:space="preserve">: </w:t>
      </w:r>
      <w:r w:rsidRPr="00677A87">
        <w:tab/>
      </w:r>
      <w:r w:rsidR="006300AF" w:rsidRPr="00677A87">
        <w:tab/>
      </w:r>
      <w:r w:rsidR="003C7888" w:rsidRPr="00677A87">
        <w:rPr>
          <w:snapToGrid/>
          <w:szCs w:val="24"/>
        </w:rPr>
        <w:t xml:space="preserve">Yes.  Gulf’s forecasts of billing determinants by rate schedule for the 2014 projected test year are based on sound methods, include all billing components necessary for the development of the base revenue forecast, and are appropriate for use in this proceeding. </w:t>
      </w:r>
      <w:r w:rsidR="003C7888">
        <w:rPr>
          <w:snapToGrid/>
          <w:szCs w:val="24"/>
        </w:rPr>
        <w:t xml:space="preserve"> </w:t>
      </w:r>
      <w:r w:rsidR="003C7888" w:rsidRPr="00DB6BDC">
        <w:rPr>
          <w:snapToGrid/>
          <w:szCs w:val="24"/>
        </w:rPr>
        <w:t xml:space="preserve">FEA’s proposed adjustment ignores the fact and evidence that Gulf has already appropriately included projected effects of economic recovery in its forecast.  OPC’s proposed adjustment is unsupported and uses an unusual method to </w:t>
      </w:r>
      <w:r w:rsidR="00F3482D">
        <w:rPr>
          <w:snapToGrid/>
          <w:szCs w:val="24"/>
        </w:rPr>
        <w:t>alter</w:t>
      </w:r>
      <w:r w:rsidR="00F3482D" w:rsidRPr="00DB6BDC">
        <w:rPr>
          <w:snapToGrid/>
          <w:szCs w:val="24"/>
        </w:rPr>
        <w:t xml:space="preserve"> </w:t>
      </w:r>
      <w:r w:rsidR="003C7888" w:rsidRPr="00DB6BDC">
        <w:rPr>
          <w:snapToGrid/>
          <w:szCs w:val="24"/>
        </w:rPr>
        <w:t>Gulf’s revenue projection with a miscalculation of customers in the test year.  Both of these proposed adjustments should be rejected because they are based on inappropriate methods and erroneous conclusions.</w:t>
      </w:r>
      <w:r w:rsidR="003C7888">
        <w:rPr>
          <w:snapToGrid/>
          <w:szCs w:val="24"/>
        </w:rPr>
        <w:t xml:space="preserve"> </w:t>
      </w:r>
      <w:r w:rsidR="003C7888" w:rsidRPr="007B37A2">
        <w:rPr>
          <w:snapToGrid/>
          <w:szCs w:val="24"/>
        </w:rPr>
        <w:t xml:space="preserve"> </w:t>
      </w:r>
      <w:r w:rsidR="003C7888" w:rsidRPr="00677A87">
        <w:rPr>
          <w:snapToGrid/>
          <w:szCs w:val="24"/>
        </w:rPr>
        <w:t xml:space="preserve"> (Alexander)</w:t>
      </w:r>
    </w:p>
    <w:p w:rsidR="001C6CFF" w:rsidRPr="00677A87" w:rsidRDefault="001C6CFF" w:rsidP="00530FB5">
      <w:pPr>
        <w:widowControl/>
        <w:tabs>
          <w:tab w:val="left" w:pos="-1440"/>
        </w:tabs>
        <w:ind w:left="1440" w:hanging="1440"/>
        <w:jc w:val="both"/>
        <w:rPr>
          <w:b/>
          <w:u w:val="single"/>
        </w:rPr>
      </w:pPr>
    </w:p>
    <w:p w:rsidR="00DC0CCA" w:rsidRPr="00677A87" w:rsidRDefault="00DC0CCA" w:rsidP="00530FB5">
      <w:pPr>
        <w:widowControl/>
        <w:tabs>
          <w:tab w:val="left" w:pos="-1440"/>
        </w:tabs>
        <w:ind w:left="1440" w:hanging="1440"/>
        <w:jc w:val="both"/>
        <w:rPr>
          <w:b/>
          <w:u w:val="single"/>
        </w:rPr>
      </w:pPr>
    </w:p>
    <w:p w:rsidR="00530FB5" w:rsidRPr="00677A87" w:rsidRDefault="00530FB5" w:rsidP="00514296">
      <w:pPr>
        <w:widowControl/>
        <w:tabs>
          <w:tab w:val="left" w:pos="-1440"/>
        </w:tabs>
        <w:ind w:left="1440" w:hanging="1440"/>
        <w:jc w:val="both"/>
      </w:pPr>
      <w:r w:rsidRPr="00677A87">
        <w:rPr>
          <w:b/>
          <w:u w:val="single"/>
        </w:rPr>
        <w:t xml:space="preserve">Issue </w:t>
      </w:r>
      <w:fldSimple w:instr=" SEQ Issue \* MERGEFORMAT ">
        <w:r w:rsidR="00275319" w:rsidRPr="00275319">
          <w:rPr>
            <w:b/>
            <w:noProof/>
            <w:u w:val="single"/>
          </w:rPr>
          <w:t>4</w:t>
        </w:r>
      </w:fldSimple>
      <w:r w:rsidRPr="00677A87">
        <w:t>:</w:t>
      </w:r>
      <w:r w:rsidRPr="00677A87">
        <w:tab/>
      </w:r>
      <w:r w:rsidR="00514296" w:rsidRPr="00677A87">
        <w:t xml:space="preserve">Are Gulf's estimated revenues from sales of electricity by rate class at present rates for the projected 2014 test year appropriate?  If not, what </w:t>
      </w:r>
      <w:r w:rsidR="000C2495" w:rsidRPr="00677A87">
        <w:t>adjustments should be made</w:t>
      </w:r>
      <w:r w:rsidR="00514296" w:rsidRPr="00677A87">
        <w:t>?</w:t>
      </w:r>
    </w:p>
    <w:p w:rsidR="00B902F1" w:rsidRPr="00677A87" w:rsidRDefault="00B902F1" w:rsidP="00514296">
      <w:pPr>
        <w:widowControl/>
        <w:tabs>
          <w:tab w:val="left" w:pos="-1440"/>
        </w:tabs>
        <w:ind w:left="1440" w:hanging="1440"/>
        <w:jc w:val="both"/>
        <w:rPr>
          <w:b/>
          <w:u w:val="single"/>
        </w:rPr>
      </w:pPr>
    </w:p>
    <w:p w:rsidR="003C7888" w:rsidRDefault="00530FB5" w:rsidP="00053A57">
      <w:pPr>
        <w:widowControl/>
        <w:tabs>
          <w:tab w:val="left" w:pos="900"/>
          <w:tab w:val="left" w:pos="1440"/>
          <w:tab w:val="left" w:pos="2160"/>
          <w:tab w:val="left" w:pos="2880"/>
          <w:tab w:val="left" w:pos="3600"/>
          <w:tab w:val="left" w:pos="4320"/>
          <w:tab w:val="left" w:pos="5040"/>
          <w:tab w:val="left" w:pos="6192"/>
          <w:tab w:val="left" w:pos="7200"/>
        </w:tabs>
        <w:ind w:left="1440" w:hanging="1440"/>
        <w:rPr>
          <w:snapToGrid/>
          <w:szCs w:val="24"/>
        </w:rPr>
      </w:pPr>
      <w:r w:rsidRPr="00677A87">
        <w:rPr>
          <w:b/>
          <w:u w:val="single"/>
        </w:rPr>
        <w:t>GULF:</w:t>
      </w:r>
      <w:r w:rsidRPr="00677A87">
        <w:rPr>
          <w:b/>
        </w:rPr>
        <w:tab/>
      </w:r>
      <w:r w:rsidR="00053A57">
        <w:rPr>
          <w:b/>
        </w:rPr>
        <w:tab/>
      </w:r>
      <w:r w:rsidR="003C7888" w:rsidRPr="00677A87">
        <w:rPr>
          <w:snapToGrid/>
          <w:szCs w:val="24"/>
        </w:rPr>
        <w:t xml:space="preserve">Yes.  Gulf appropriately applied present rates to forecast billing determinants, resulting in estimated revenues from sales of electricity by rate class at present rates for the projected 2014 test year that are appropriate for use in this proceeding. </w:t>
      </w:r>
      <w:r w:rsidR="003C7888">
        <w:rPr>
          <w:snapToGrid/>
          <w:szCs w:val="24"/>
        </w:rPr>
        <w:t xml:space="preserve"> </w:t>
      </w:r>
      <w:r w:rsidR="003C7888" w:rsidRPr="00DB6BDC">
        <w:rPr>
          <w:snapToGrid/>
          <w:szCs w:val="24"/>
        </w:rPr>
        <w:t>FEA’s proposed adjustment ignores the fact and evidence that Gulf has already appropriately included projected effects of economic recovery in its forecast.  OPC’s proposed adjustment is unsupported and uses an unusual method to alter Gulf’s revenue projection with a miscalculation of customers in the test year.  Both of these proposed adjustments should be rejected because they are based on inappropriate methods and erroneous conclusions.</w:t>
      </w:r>
      <w:r w:rsidR="003C7888">
        <w:rPr>
          <w:snapToGrid/>
          <w:szCs w:val="24"/>
        </w:rPr>
        <w:t xml:space="preserve"> </w:t>
      </w:r>
      <w:r w:rsidR="003C7888" w:rsidRPr="007B37A2">
        <w:rPr>
          <w:snapToGrid/>
          <w:szCs w:val="24"/>
        </w:rPr>
        <w:t xml:space="preserve"> </w:t>
      </w:r>
      <w:r w:rsidR="003C7888" w:rsidRPr="00677A87">
        <w:rPr>
          <w:snapToGrid/>
          <w:szCs w:val="24"/>
        </w:rPr>
        <w:t xml:space="preserve"> (Alexander)</w:t>
      </w:r>
    </w:p>
    <w:p w:rsidR="003C7888" w:rsidRDefault="003C7888" w:rsidP="006300AF">
      <w:pPr>
        <w:widowControl/>
        <w:tabs>
          <w:tab w:val="left" w:pos="900"/>
          <w:tab w:val="left" w:pos="1440"/>
          <w:tab w:val="left" w:pos="2160"/>
          <w:tab w:val="left" w:pos="2880"/>
          <w:tab w:val="left" w:pos="3600"/>
          <w:tab w:val="left" w:pos="4320"/>
          <w:tab w:val="left" w:pos="5040"/>
          <w:tab w:val="left" w:pos="6192"/>
          <w:tab w:val="left" w:pos="7200"/>
        </w:tabs>
        <w:ind w:left="1440" w:hanging="900"/>
        <w:rPr>
          <w:snapToGrid/>
          <w:szCs w:val="24"/>
        </w:rPr>
      </w:pPr>
    </w:p>
    <w:p w:rsidR="000D6DDF" w:rsidRDefault="000D6DDF" w:rsidP="00530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u w:val="single"/>
        </w:rPr>
      </w:pPr>
    </w:p>
    <w:p w:rsidR="00530FB5" w:rsidRPr="00677A87" w:rsidRDefault="00530FB5" w:rsidP="00530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677A87">
        <w:rPr>
          <w:b/>
          <w:u w:val="single"/>
        </w:rPr>
        <w:t xml:space="preserve">Issue </w:t>
      </w:r>
      <w:fldSimple w:instr=" SEQ Issue \* MERGEFORMAT ">
        <w:r w:rsidR="00275319" w:rsidRPr="00275319">
          <w:rPr>
            <w:b/>
            <w:noProof/>
            <w:u w:val="single"/>
          </w:rPr>
          <w:t>5</w:t>
        </w:r>
      </w:fldSimple>
      <w:r w:rsidRPr="00677A87">
        <w:t>:</w:t>
      </w:r>
      <w:r w:rsidRPr="00677A87">
        <w:tab/>
      </w:r>
      <w:r w:rsidR="00514296" w:rsidRPr="00677A87">
        <w:t xml:space="preserve">What are the appropriate inflation, customer growth, and other trend factors for use in forecasting the 2014 projected test year budget?  </w:t>
      </w:r>
    </w:p>
    <w:p w:rsidR="00B902F1" w:rsidRPr="00677A87" w:rsidRDefault="00B902F1" w:rsidP="00D66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u w:val="single"/>
        </w:rPr>
      </w:pPr>
    </w:p>
    <w:p w:rsidR="00B104EE" w:rsidRPr="00677A87" w:rsidRDefault="00530FB5" w:rsidP="00B104EE">
      <w:pPr>
        <w:tabs>
          <w:tab w:val="left" w:pos="-1440"/>
        </w:tabs>
        <w:ind w:left="1440" w:hanging="1440"/>
        <w:jc w:val="both"/>
      </w:pPr>
      <w:r w:rsidRPr="00677A87">
        <w:rPr>
          <w:b/>
          <w:u w:val="single"/>
        </w:rPr>
        <w:t>GULF:</w:t>
      </w:r>
      <w:r w:rsidRPr="00677A87">
        <w:t xml:space="preserve">  </w:t>
      </w:r>
      <w:r w:rsidR="00D555B6" w:rsidRPr="00677A87">
        <w:tab/>
      </w:r>
      <w:r w:rsidR="00B104EE" w:rsidRPr="00677A87">
        <w:t xml:space="preserve">The inflation, customer growth and other trend factors shown on MFR F-8 result in a reasonable and appropriate forecast of the 2014 projected test year budget. </w:t>
      </w:r>
      <w:r w:rsidR="00BA2319">
        <w:t>This issue is not contested in testimony and it appears it could be stipulated.</w:t>
      </w:r>
      <w:r w:rsidR="00B104EE" w:rsidRPr="00677A87">
        <w:t xml:space="preserve"> (Ritenour, Alexander)</w:t>
      </w:r>
    </w:p>
    <w:p w:rsidR="00530FB5" w:rsidRPr="00677A87" w:rsidRDefault="00530FB5" w:rsidP="00D66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677A87">
        <w:tab/>
      </w:r>
    </w:p>
    <w:p w:rsidR="000D6DDF" w:rsidRDefault="000D6DDF" w:rsidP="00514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u w:val="single"/>
        </w:rPr>
      </w:pPr>
    </w:p>
    <w:p w:rsidR="00514296" w:rsidRPr="00677A87" w:rsidRDefault="00514296" w:rsidP="00514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677A87">
        <w:rPr>
          <w:b/>
          <w:u w:val="single"/>
        </w:rPr>
        <w:t>Issue 6:</w:t>
      </w:r>
      <w:r w:rsidRPr="00677A87">
        <w:tab/>
        <w:t>Is Gulf’s proposed separation of costs and revenues between the wholesale and retail jurisdictions appropriate?  If not, what adjustments should be made?</w:t>
      </w:r>
    </w:p>
    <w:p w:rsidR="00B902F1" w:rsidRPr="00677A87" w:rsidRDefault="00B902F1" w:rsidP="00514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u w:val="single"/>
        </w:rPr>
      </w:pPr>
    </w:p>
    <w:p w:rsidR="00514296" w:rsidRDefault="00514296" w:rsidP="00514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677A87">
        <w:rPr>
          <w:b/>
          <w:u w:val="single"/>
        </w:rPr>
        <w:t>GULF:</w:t>
      </w:r>
      <w:r w:rsidRPr="00677A87">
        <w:tab/>
      </w:r>
      <w:r w:rsidR="009034F4" w:rsidRPr="00677A87">
        <w:t xml:space="preserve">Yes. Wholesale allocations are predominantly based upon the 12 MCP </w:t>
      </w:r>
      <w:proofErr w:type="gramStart"/>
      <w:r w:rsidR="009034F4" w:rsidRPr="00677A87">
        <w:t>methodology</w:t>
      </w:r>
      <w:proofErr w:type="gramEnd"/>
      <w:r w:rsidR="009034F4" w:rsidRPr="00677A87">
        <w:t xml:space="preserve"> with some revenues, investments, and expenses allocated upon the energy allocator and customer allocator. These methods are based upon cost causation. This is consistent with Gulf’s prior rate case and was approved by this </w:t>
      </w:r>
      <w:r w:rsidR="009034F4" w:rsidRPr="00677A87">
        <w:lastRenderedPageBreak/>
        <w:t xml:space="preserve">Commission. </w:t>
      </w:r>
      <w:r w:rsidR="00960F93">
        <w:t xml:space="preserve">It is in fact consistent with Gulf’s last three retail filings and subsequent Commission approvals over the past 23 years.  The 12 MCP </w:t>
      </w:r>
      <w:proofErr w:type="gramStart"/>
      <w:r w:rsidR="00960F93">
        <w:t>methodology</w:t>
      </w:r>
      <w:proofErr w:type="gramEnd"/>
      <w:r w:rsidR="00960F93">
        <w:t xml:space="preserve"> </w:t>
      </w:r>
      <w:r w:rsidR="00960F93" w:rsidRPr="00677A87">
        <w:t xml:space="preserve">has </w:t>
      </w:r>
      <w:r w:rsidR="00960F93">
        <w:t xml:space="preserve">also </w:t>
      </w:r>
      <w:r w:rsidR="00960F93" w:rsidRPr="00677A87">
        <w:t xml:space="preserve">traditionally been FERC’s preferred methodology. </w:t>
      </w:r>
      <w:r w:rsidR="00960F93">
        <w:t>This issue is not contested in testimony and it appears it could be stipulated.  (O’Sheasy)</w:t>
      </w:r>
    </w:p>
    <w:p w:rsidR="000D6DDF" w:rsidRDefault="000D6DDF" w:rsidP="00514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rsidR="000D6DDF" w:rsidRPr="00677A87" w:rsidRDefault="000D6DDF" w:rsidP="00514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rsidR="00530FB5" w:rsidRPr="00677A87" w:rsidRDefault="00530FB5" w:rsidP="00530FB5">
      <w:pPr>
        <w:widowControl/>
        <w:jc w:val="center"/>
      </w:pPr>
      <w:r w:rsidRPr="00677A87">
        <w:rPr>
          <w:b/>
          <w:bCs/>
          <w:u w:val="single"/>
        </w:rPr>
        <w:t>Quality of Service</w:t>
      </w:r>
    </w:p>
    <w:p w:rsidR="00530FB5" w:rsidRPr="00677A87" w:rsidRDefault="00530FB5" w:rsidP="00530FB5">
      <w:pPr>
        <w:widowControl/>
        <w:jc w:val="both"/>
        <w:rPr>
          <w:u w:val="single"/>
        </w:rPr>
      </w:pPr>
    </w:p>
    <w:p w:rsidR="00530FB5" w:rsidRPr="00677A87" w:rsidRDefault="00530FB5" w:rsidP="00530FB5">
      <w:pPr>
        <w:widowControl/>
        <w:jc w:val="both"/>
        <w:rPr>
          <w:b/>
          <w:bCs/>
          <w:u w:val="single"/>
        </w:rPr>
      </w:pPr>
      <w:r w:rsidRPr="00677A87">
        <w:rPr>
          <w:b/>
          <w:u w:val="single"/>
        </w:rPr>
        <w:t xml:space="preserve">Issue </w:t>
      </w:r>
      <w:r w:rsidR="00677A87">
        <w:rPr>
          <w:b/>
          <w:u w:val="single"/>
        </w:rPr>
        <w:t>7</w:t>
      </w:r>
      <w:r w:rsidRPr="00677A87">
        <w:t>:</w:t>
      </w:r>
      <w:r w:rsidRPr="00677A87">
        <w:tab/>
        <w:t xml:space="preserve">Is the quality and reliability of electric service provided by Gulf adequate? </w:t>
      </w:r>
    </w:p>
    <w:p w:rsidR="00530FB5" w:rsidRPr="00677A87" w:rsidRDefault="00530FB5" w:rsidP="00530FB5">
      <w:pPr>
        <w:pStyle w:val="ColorfulList-Accent11"/>
        <w:ind w:left="0"/>
        <w:jc w:val="both"/>
      </w:pPr>
    </w:p>
    <w:p w:rsidR="00530FB5" w:rsidRPr="00677A87" w:rsidRDefault="00530FB5" w:rsidP="00530FB5">
      <w:pPr>
        <w:widowControl/>
        <w:tabs>
          <w:tab w:val="left" w:pos="-1440"/>
        </w:tabs>
        <w:ind w:left="1440" w:hanging="1440"/>
        <w:jc w:val="both"/>
      </w:pPr>
      <w:r w:rsidRPr="00677A87">
        <w:rPr>
          <w:b/>
          <w:u w:val="single"/>
        </w:rPr>
        <w:t>GULF</w:t>
      </w:r>
      <w:r w:rsidRPr="00677A87">
        <w:t xml:space="preserve">: </w:t>
      </w:r>
      <w:r w:rsidRPr="00677A87">
        <w:tab/>
        <w:t xml:space="preserve">Yes.  Gulf’s quality and reliability of electric service is adequate as evidenced by Gulf’s low customer complaint activity with the Florida Public Service Commission.  Additionally, Gulf’s service and reliability attributes in customer surveys are consistently among the best in the industry. </w:t>
      </w:r>
      <w:r w:rsidR="00300BA7">
        <w:t xml:space="preserve">This issue is not contested in testimony and it appears it could be stipulated. </w:t>
      </w:r>
      <w:r w:rsidRPr="00677A87">
        <w:t xml:space="preserve">(Burroughs, Caldwell, Grove, </w:t>
      </w:r>
      <w:r w:rsidR="00514296" w:rsidRPr="00677A87">
        <w:t>McQuagge</w:t>
      </w:r>
      <w:r w:rsidRPr="00677A87">
        <w:t>, Neyman</w:t>
      </w:r>
      <w:r w:rsidR="00D555B6" w:rsidRPr="00677A87">
        <w:t>, Strickland</w:t>
      </w:r>
      <w:r w:rsidRPr="00677A87">
        <w:t xml:space="preserve">)  </w:t>
      </w:r>
    </w:p>
    <w:p w:rsidR="000C2495" w:rsidRPr="00677A87" w:rsidRDefault="000C2495" w:rsidP="00530FB5">
      <w:pPr>
        <w:widowControl/>
        <w:tabs>
          <w:tab w:val="left" w:pos="-1440"/>
        </w:tabs>
        <w:ind w:left="1440" w:hanging="1440"/>
        <w:jc w:val="both"/>
      </w:pPr>
    </w:p>
    <w:p w:rsidR="0022642E" w:rsidRPr="00677A87" w:rsidRDefault="0022642E" w:rsidP="0022642E">
      <w:pPr>
        <w:widowControl/>
        <w:jc w:val="both"/>
        <w:rPr>
          <w:b/>
          <w:bCs/>
          <w:snapToGrid/>
          <w:szCs w:val="24"/>
          <w:u w:val="single"/>
        </w:rPr>
      </w:pPr>
    </w:p>
    <w:p w:rsidR="0022642E" w:rsidRPr="00245DF5" w:rsidRDefault="0022642E" w:rsidP="0022642E">
      <w:pPr>
        <w:widowControl/>
        <w:jc w:val="center"/>
        <w:rPr>
          <w:b/>
          <w:bCs/>
          <w:snapToGrid/>
          <w:szCs w:val="24"/>
          <w:u w:val="single"/>
        </w:rPr>
      </w:pPr>
      <w:r w:rsidRPr="00245DF5">
        <w:rPr>
          <w:b/>
          <w:bCs/>
          <w:snapToGrid/>
          <w:szCs w:val="24"/>
          <w:u w:val="single"/>
        </w:rPr>
        <w:t>Depreciation and Dismantlement</w:t>
      </w:r>
    </w:p>
    <w:p w:rsidR="0022642E" w:rsidRPr="00677A87" w:rsidRDefault="0022642E" w:rsidP="0022642E">
      <w:pPr>
        <w:widowControl/>
        <w:jc w:val="center"/>
        <w:rPr>
          <w:b/>
          <w:bCs/>
          <w:snapToGrid/>
          <w:szCs w:val="24"/>
          <w:highlight w:val="yellow"/>
          <w:u w:val="single"/>
        </w:rPr>
      </w:pPr>
    </w:p>
    <w:p w:rsidR="00151091" w:rsidRPr="00677A87" w:rsidRDefault="00151091" w:rsidP="00151091">
      <w:pPr>
        <w:ind w:left="1440" w:hanging="1440"/>
        <w:jc w:val="both"/>
        <w:rPr>
          <w:bCs/>
        </w:rPr>
      </w:pPr>
      <w:r w:rsidRPr="00677A87">
        <w:rPr>
          <w:b/>
          <w:bCs/>
          <w:u w:val="single"/>
        </w:rPr>
        <w:t>Issue 8:</w:t>
      </w:r>
      <w:r w:rsidRPr="00677A87">
        <w:rPr>
          <w:bCs/>
        </w:rPr>
        <w:t xml:space="preserve">  </w:t>
      </w:r>
      <w:r w:rsidRPr="00677A87">
        <w:rPr>
          <w:bCs/>
        </w:rPr>
        <w:tab/>
        <w:t xml:space="preserve">Are the depreciation parameters for production plant </w:t>
      </w:r>
      <w:r w:rsidR="00712091">
        <w:rPr>
          <w:bCs/>
        </w:rPr>
        <w:t>pro</w:t>
      </w:r>
      <w:r w:rsidRPr="00677A87">
        <w:rPr>
          <w:bCs/>
        </w:rPr>
        <w:t>posed by Gulf appropriate?  If not, what adjustments should be made?</w:t>
      </w:r>
    </w:p>
    <w:p w:rsidR="00151091" w:rsidRPr="00677A87" w:rsidRDefault="00151091" w:rsidP="00151091">
      <w:pPr>
        <w:ind w:left="1440" w:hanging="1440"/>
        <w:jc w:val="both"/>
        <w:rPr>
          <w:bCs/>
        </w:rPr>
      </w:pPr>
    </w:p>
    <w:p w:rsidR="003A7CE1" w:rsidRPr="00677A87" w:rsidRDefault="00151091" w:rsidP="003A7CE1">
      <w:pPr>
        <w:ind w:left="1440" w:hanging="1440"/>
        <w:jc w:val="both"/>
        <w:rPr>
          <w:bCs/>
          <w:snapToGrid/>
          <w:szCs w:val="24"/>
        </w:rPr>
      </w:pPr>
      <w:r w:rsidRPr="00677A87">
        <w:rPr>
          <w:b/>
          <w:bCs/>
          <w:u w:val="single"/>
        </w:rPr>
        <w:t>GULF:</w:t>
      </w:r>
      <w:r w:rsidRPr="00677A87">
        <w:rPr>
          <w:bCs/>
        </w:rPr>
        <w:tab/>
      </w:r>
      <w:r w:rsidR="003A7CE1" w:rsidRPr="00677A87">
        <w:rPr>
          <w:bCs/>
          <w:snapToGrid/>
          <w:szCs w:val="24"/>
        </w:rPr>
        <w:t>Yes.  Gulf’s depreciation rates for production plant are based upon the depreciation study performed by American Appraisal, a well-respected and independent third party upon which the Commission has previously relied.  OPC’s</w:t>
      </w:r>
      <w:r w:rsidR="00053A57">
        <w:rPr>
          <w:bCs/>
          <w:snapToGrid/>
          <w:szCs w:val="24"/>
        </w:rPr>
        <w:t xml:space="preserve"> </w:t>
      </w:r>
      <w:r w:rsidR="003A7CE1" w:rsidRPr="00677A87">
        <w:rPr>
          <w:bCs/>
          <w:snapToGrid/>
          <w:szCs w:val="24"/>
        </w:rPr>
        <w:t xml:space="preserve">attacks on </w:t>
      </w:r>
      <w:r w:rsidR="00C456B3">
        <w:rPr>
          <w:bCs/>
          <w:snapToGrid/>
          <w:szCs w:val="24"/>
        </w:rPr>
        <w:t xml:space="preserve">selective </w:t>
      </w:r>
      <w:r w:rsidR="003A7CE1" w:rsidRPr="00677A87">
        <w:rPr>
          <w:bCs/>
          <w:snapToGrid/>
          <w:szCs w:val="24"/>
        </w:rPr>
        <w:t xml:space="preserve">elements of Gulf’s production depreciation rates </w:t>
      </w:r>
      <w:r w:rsidR="009937BD">
        <w:rPr>
          <w:bCs/>
          <w:snapToGrid/>
          <w:szCs w:val="24"/>
        </w:rPr>
        <w:t>are without merit</w:t>
      </w:r>
      <w:r w:rsidR="003A7CE1" w:rsidRPr="00677A87">
        <w:rPr>
          <w:bCs/>
          <w:snapToGrid/>
          <w:szCs w:val="24"/>
        </w:rPr>
        <w:t>.  (Huck, Erickson, Burroughs</w:t>
      </w:r>
      <w:r w:rsidR="00CA46C5">
        <w:rPr>
          <w:bCs/>
          <w:snapToGrid/>
          <w:szCs w:val="24"/>
        </w:rPr>
        <w:t>,</w:t>
      </w:r>
      <w:r w:rsidR="003A7CE1" w:rsidRPr="00677A87">
        <w:rPr>
          <w:bCs/>
          <w:snapToGrid/>
          <w:szCs w:val="24"/>
        </w:rPr>
        <w:t xml:space="preserve"> Deason).</w:t>
      </w:r>
    </w:p>
    <w:p w:rsidR="00151091" w:rsidRPr="00677A87" w:rsidRDefault="00151091" w:rsidP="00151091">
      <w:pPr>
        <w:ind w:left="1440" w:hanging="1440"/>
        <w:jc w:val="both"/>
        <w:rPr>
          <w:bCs/>
        </w:rPr>
      </w:pPr>
    </w:p>
    <w:p w:rsidR="00151091" w:rsidRPr="00677A87" w:rsidRDefault="00151091" w:rsidP="00151091">
      <w:pPr>
        <w:jc w:val="both"/>
        <w:rPr>
          <w:bCs/>
        </w:rPr>
      </w:pPr>
    </w:p>
    <w:p w:rsidR="00151091" w:rsidRPr="00677A87" w:rsidRDefault="00151091" w:rsidP="00151091">
      <w:pPr>
        <w:ind w:left="1440" w:hanging="1440"/>
        <w:jc w:val="both"/>
        <w:rPr>
          <w:bCs/>
        </w:rPr>
      </w:pPr>
      <w:r w:rsidRPr="00677A87">
        <w:rPr>
          <w:b/>
          <w:bCs/>
          <w:u w:val="single"/>
        </w:rPr>
        <w:t>Issue 8A</w:t>
      </w:r>
      <w:r w:rsidRPr="00677A87">
        <w:rPr>
          <w:b/>
          <w:bCs/>
        </w:rPr>
        <w:t>:</w:t>
      </w:r>
      <w:r w:rsidRPr="00677A87">
        <w:rPr>
          <w:b/>
          <w:bCs/>
        </w:rPr>
        <w:tab/>
      </w:r>
      <w:r w:rsidRPr="00677A87">
        <w:rPr>
          <w:bCs/>
        </w:rPr>
        <w:t>Is Gulf’s level of estimated interim retirements appropriate?  If not, what adjustments should be made?</w:t>
      </w:r>
    </w:p>
    <w:p w:rsidR="00151091" w:rsidRPr="00677A87" w:rsidRDefault="00151091" w:rsidP="00151091">
      <w:pPr>
        <w:jc w:val="both"/>
        <w:rPr>
          <w:b/>
          <w:bCs/>
        </w:rPr>
      </w:pPr>
      <w:r w:rsidRPr="00677A87">
        <w:rPr>
          <w:b/>
          <w:bCs/>
        </w:rPr>
        <w:tab/>
      </w:r>
    </w:p>
    <w:p w:rsidR="003A7CE1" w:rsidRPr="00677A87" w:rsidRDefault="00151091" w:rsidP="003A7CE1">
      <w:pPr>
        <w:ind w:left="1440" w:hanging="1440"/>
        <w:jc w:val="both"/>
        <w:rPr>
          <w:bCs/>
          <w:snapToGrid/>
          <w:szCs w:val="24"/>
        </w:rPr>
      </w:pPr>
      <w:r w:rsidRPr="00677A87">
        <w:rPr>
          <w:b/>
          <w:bCs/>
          <w:u w:val="single"/>
        </w:rPr>
        <w:t>GULF:</w:t>
      </w:r>
      <w:r w:rsidRPr="00677A87">
        <w:rPr>
          <w:b/>
          <w:bCs/>
        </w:rPr>
        <w:tab/>
      </w:r>
      <w:r w:rsidR="003A7CE1" w:rsidRPr="00677A87">
        <w:rPr>
          <w:bCs/>
          <w:snapToGrid/>
          <w:szCs w:val="24"/>
        </w:rPr>
        <w:t xml:space="preserve">Yes.  All </w:t>
      </w:r>
      <w:r w:rsidR="003A7CE1" w:rsidRPr="00012094">
        <w:rPr>
          <w:bCs/>
          <w:snapToGrid/>
          <w:szCs w:val="24"/>
        </w:rPr>
        <w:t>17</w:t>
      </w:r>
      <w:r w:rsidR="003A7CE1" w:rsidRPr="00677A87">
        <w:rPr>
          <w:bCs/>
          <w:snapToGrid/>
          <w:szCs w:val="24"/>
        </w:rPr>
        <w:t xml:space="preserve"> Interim Retirement Rates (IRR) proposed </w:t>
      </w:r>
      <w:r w:rsidR="005509F0">
        <w:rPr>
          <w:bCs/>
          <w:snapToGrid/>
          <w:szCs w:val="24"/>
        </w:rPr>
        <w:t xml:space="preserve">by Gulf </w:t>
      </w:r>
      <w:r w:rsidR="003A7CE1" w:rsidRPr="00677A87">
        <w:rPr>
          <w:bCs/>
          <w:snapToGrid/>
          <w:szCs w:val="24"/>
        </w:rPr>
        <w:t xml:space="preserve">are appropriate.  </w:t>
      </w:r>
      <w:r w:rsidR="00012094">
        <w:rPr>
          <w:bCs/>
          <w:snapToGrid/>
          <w:szCs w:val="24"/>
        </w:rPr>
        <w:t>Fifteen</w:t>
      </w:r>
      <w:r w:rsidR="003A7CE1" w:rsidRPr="00677A87">
        <w:rPr>
          <w:bCs/>
          <w:snapToGrid/>
          <w:szCs w:val="24"/>
        </w:rPr>
        <w:t xml:space="preserve"> are uncontested.  OPC’</w:t>
      </w:r>
      <w:r w:rsidR="00A124AF">
        <w:rPr>
          <w:bCs/>
          <w:snapToGrid/>
          <w:szCs w:val="24"/>
        </w:rPr>
        <w:t>s</w:t>
      </w:r>
      <w:r w:rsidR="003A7CE1" w:rsidRPr="00677A87">
        <w:rPr>
          <w:bCs/>
          <w:snapToGrid/>
          <w:szCs w:val="24"/>
        </w:rPr>
        <w:t xml:space="preserve"> reduction to Account 312 IRR is inconsistent with historic data and improperly calculated.  OPC’s adjustment to Account 343 IRR is based upon factual inaccuracies and is </w:t>
      </w:r>
      <w:r w:rsidR="004D556C">
        <w:rPr>
          <w:bCs/>
          <w:snapToGrid/>
          <w:szCs w:val="24"/>
        </w:rPr>
        <w:t>without merit</w:t>
      </w:r>
      <w:r w:rsidR="003A7CE1" w:rsidRPr="00677A87">
        <w:rPr>
          <w:bCs/>
          <w:snapToGrid/>
          <w:szCs w:val="24"/>
        </w:rPr>
        <w:t>.  (Huck, Burroughs)</w:t>
      </w:r>
    </w:p>
    <w:p w:rsidR="00151091" w:rsidRPr="00677A87" w:rsidRDefault="00151091" w:rsidP="00D66699">
      <w:pPr>
        <w:ind w:left="1440" w:hanging="1440"/>
        <w:jc w:val="both"/>
        <w:rPr>
          <w:b/>
          <w:bCs/>
        </w:rPr>
      </w:pPr>
    </w:p>
    <w:p w:rsidR="00EC3F14" w:rsidRDefault="00151091" w:rsidP="003A7CE1">
      <w:pPr>
        <w:ind w:left="1440" w:hanging="1440"/>
        <w:jc w:val="both"/>
        <w:rPr>
          <w:b/>
          <w:bCs/>
        </w:rPr>
      </w:pPr>
      <w:r w:rsidRPr="00677A87">
        <w:rPr>
          <w:b/>
          <w:bCs/>
        </w:rPr>
        <w:tab/>
      </w:r>
    </w:p>
    <w:p w:rsidR="00151091" w:rsidRPr="00677A87" w:rsidRDefault="00151091" w:rsidP="003A7CE1">
      <w:pPr>
        <w:ind w:left="1440" w:hanging="1440"/>
        <w:jc w:val="both"/>
        <w:rPr>
          <w:bCs/>
        </w:rPr>
      </w:pPr>
      <w:r w:rsidRPr="005C6F34">
        <w:rPr>
          <w:b/>
          <w:bCs/>
        </w:rPr>
        <w:t>OPC ISSUE:</w:t>
      </w:r>
      <w:r w:rsidRPr="00677A87">
        <w:rPr>
          <w:bCs/>
        </w:rPr>
        <w:tab/>
        <w:t xml:space="preserve">Is Gulf’s quantification of the level of interim </w:t>
      </w:r>
      <w:r w:rsidR="008C3C08">
        <w:rPr>
          <w:bCs/>
        </w:rPr>
        <w:t>retirements</w:t>
      </w:r>
      <w:r w:rsidR="008C3C08" w:rsidRPr="00677A87">
        <w:rPr>
          <w:bCs/>
        </w:rPr>
        <w:t xml:space="preserve"> </w:t>
      </w:r>
      <w:r w:rsidRPr="00677A87">
        <w:rPr>
          <w:bCs/>
        </w:rPr>
        <w:t>for Account 312-Steam Production Boiler Plant appropriate?  If not, what adjustment should be made?</w:t>
      </w:r>
    </w:p>
    <w:p w:rsidR="00B0002E" w:rsidRPr="00677A87" w:rsidRDefault="00B0002E" w:rsidP="00151091">
      <w:pPr>
        <w:jc w:val="both"/>
        <w:rPr>
          <w:bCs/>
        </w:rPr>
      </w:pPr>
    </w:p>
    <w:p w:rsidR="003A7CE1" w:rsidRPr="00677A87" w:rsidRDefault="003A7CE1" w:rsidP="003A7CE1">
      <w:pPr>
        <w:widowControl/>
        <w:ind w:left="1440" w:hanging="1440"/>
        <w:jc w:val="both"/>
        <w:rPr>
          <w:bCs/>
          <w:snapToGrid/>
          <w:szCs w:val="24"/>
        </w:rPr>
      </w:pPr>
      <w:r w:rsidRPr="005C6F34">
        <w:rPr>
          <w:b/>
          <w:bCs/>
          <w:snapToGrid/>
          <w:szCs w:val="24"/>
          <w:u w:val="single"/>
        </w:rPr>
        <w:t>GULF:</w:t>
      </w:r>
      <w:r w:rsidRPr="00677A87">
        <w:rPr>
          <w:bCs/>
          <w:snapToGrid/>
          <w:szCs w:val="24"/>
        </w:rPr>
        <w:tab/>
      </w:r>
      <w:r w:rsidR="001C5FB3">
        <w:rPr>
          <w:bCs/>
          <w:snapToGrid/>
          <w:szCs w:val="24"/>
        </w:rPr>
        <w:t xml:space="preserve">Yes. </w:t>
      </w:r>
      <w:r w:rsidRPr="00677A87">
        <w:rPr>
          <w:bCs/>
          <w:snapToGrid/>
          <w:szCs w:val="24"/>
        </w:rPr>
        <w:t xml:space="preserve">Gulf’s 1% interim retirement rate for Account 312 was developed by a reputable, independent third party and is lower than Gulf’s historic interim </w:t>
      </w:r>
      <w:r w:rsidRPr="00677A87">
        <w:rPr>
          <w:bCs/>
          <w:snapToGrid/>
          <w:szCs w:val="24"/>
        </w:rPr>
        <w:lastRenderedPageBreak/>
        <w:t xml:space="preserve">retirement data.  OPC’s interim retirement rate </w:t>
      </w:r>
      <w:r w:rsidRPr="00B0002E">
        <w:rPr>
          <w:bCs/>
          <w:snapToGrid/>
          <w:szCs w:val="24"/>
        </w:rPr>
        <w:t>of .65%</w:t>
      </w:r>
      <w:r w:rsidRPr="00677A87">
        <w:rPr>
          <w:bCs/>
          <w:snapToGrid/>
          <w:szCs w:val="24"/>
        </w:rPr>
        <w:t xml:space="preserve"> is based upon faulty math and logic, is much lower than FPL’s rate </w:t>
      </w:r>
      <w:r w:rsidRPr="00B0002E">
        <w:rPr>
          <w:bCs/>
          <w:snapToGrid/>
          <w:szCs w:val="24"/>
        </w:rPr>
        <w:t>of .94%</w:t>
      </w:r>
      <w:r w:rsidRPr="00677A87">
        <w:rPr>
          <w:bCs/>
          <w:snapToGrid/>
          <w:szCs w:val="24"/>
        </w:rPr>
        <w:t xml:space="preserve"> and is </w:t>
      </w:r>
      <w:r w:rsidR="004D556C">
        <w:rPr>
          <w:bCs/>
          <w:snapToGrid/>
          <w:szCs w:val="24"/>
        </w:rPr>
        <w:t>without merit</w:t>
      </w:r>
      <w:r w:rsidRPr="00677A87">
        <w:rPr>
          <w:bCs/>
          <w:snapToGrid/>
          <w:szCs w:val="24"/>
        </w:rPr>
        <w:t>.</w:t>
      </w:r>
      <w:r w:rsidR="002E193A">
        <w:rPr>
          <w:bCs/>
          <w:snapToGrid/>
          <w:szCs w:val="24"/>
        </w:rPr>
        <w:t xml:space="preserve"> </w:t>
      </w:r>
      <w:r w:rsidRPr="00677A87">
        <w:rPr>
          <w:bCs/>
          <w:snapToGrid/>
          <w:szCs w:val="24"/>
        </w:rPr>
        <w:t xml:space="preserve"> (Huck)</w:t>
      </w:r>
    </w:p>
    <w:p w:rsidR="003A7CE1" w:rsidRPr="00677A87" w:rsidRDefault="003A7CE1" w:rsidP="00151091">
      <w:pPr>
        <w:jc w:val="both"/>
        <w:rPr>
          <w:bCs/>
        </w:rPr>
      </w:pPr>
    </w:p>
    <w:p w:rsidR="00527765" w:rsidRDefault="00527765" w:rsidP="003A7CE1">
      <w:pPr>
        <w:ind w:left="1440" w:hanging="1440"/>
        <w:jc w:val="both"/>
        <w:rPr>
          <w:b/>
          <w:bCs/>
        </w:rPr>
      </w:pPr>
    </w:p>
    <w:p w:rsidR="00151091" w:rsidRPr="00677A87" w:rsidRDefault="00151091" w:rsidP="003A7CE1">
      <w:pPr>
        <w:ind w:left="1440" w:hanging="1440"/>
        <w:jc w:val="both"/>
        <w:rPr>
          <w:bCs/>
        </w:rPr>
      </w:pPr>
      <w:r w:rsidRPr="005C6F34">
        <w:rPr>
          <w:b/>
          <w:bCs/>
        </w:rPr>
        <w:t>OPC ISSUE:</w:t>
      </w:r>
      <w:r w:rsidRPr="00677A87">
        <w:rPr>
          <w:bCs/>
        </w:rPr>
        <w:tab/>
        <w:t xml:space="preserve">Is Gulf’s quantification of the level of interim </w:t>
      </w:r>
      <w:r w:rsidR="008C3C08" w:rsidRPr="00677A87">
        <w:rPr>
          <w:bCs/>
        </w:rPr>
        <w:t>re</w:t>
      </w:r>
      <w:r w:rsidR="008C3C08">
        <w:rPr>
          <w:bCs/>
        </w:rPr>
        <w:t>tirements</w:t>
      </w:r>
      <w:r w:rsidR="008C3C08" w:rsidRPr="00677A87">
        <w:rPr>
          <w:bCs/>
        </w:rPr>
        <w:t xml:space="preserve"> </w:t>
      </w:r>
      <w:r w:rsidRPr="00677A87">
        <w:rPr>
          <w:bCs/>
        </w:rPr>
        <w:t xml:space="preserve">for Account 343-Other Production Prime Movers appropriate?  If not, what adjustment should be made?   </w:t>
      </w:r>
    </w:p>
    <w:p w:rsidR="003A7CE1" w:rsidRPr="00677A87" w:rsidRDefault="003A7CE1" w:rsidP="003A7CE1">
      <w:pPr>
        <w:ind w:left="1440" w:hanging="1440"/>
        <w:jc w:val="both"/>
        <w:rPr>
          <w:bCs/>
        </w:rPr>
      </w:pPr>
    </w:p>
    <w:p w:rsidR="003A7CE1" w:rsidRPr="00677A87" w:rsidRDefault="003A7CE1" w:rsidP="003A7CE1">
      <w:pPr>
        <w:widowControl/>
        <w:ind w:left="1440" w:hanging="1440"/>
        <w:jc w:val="both"/>
        <w:rPr>
          <w:bCs/>
          <w:snapToGrid/>
          <w:szCs w:val="24"/>
        </w:rPr>
      </w:pPr>
      <w:r w:rsidRPr="00677A87">
        <w:rPr>
          <w:b/>
          <w:bCs/>
          <w:snapToGrid/>
          <w:szCs w:val="24"/>
          <w:u w:val="single"/>
        </w:rPr>
        <w:t>GULF:</w:t>
      </w:r>
      <w:r w:rsidRPr="00677A87">
        <w:rPr>
          <w:bCs/>
          <w:snapToGrid/>
          <w:szCs w:val="24"/>
        </w:rPr>
        <w:tab/>
      </w:r>
      <w:r w:rsidR="001C5FB3">
        <w:rPr>
          <w:bCs/>
          <w:snapToGrid/>
          <w:szCs w:val="24"/>
        </w:rPr>
        <w:t xml:space="preserve">Yes. </w:t>
      </w:r>
      <w:r w:rsidRPr="00677A87">
        <w:rPr>
          <w:bCs/>
          <w:snapToGrid/>
          <w:szCs w:val="24"/>
        </w:rPr>
        <w:t>Gulf’s conservative $2.3 million Account 343 interim retirement was developed by a reputable, independent third party and is significantly lower than Gulf’s historic ($6.7 million) and projected ($7 million) interim retirement data.  OPC’s $1.2 million interim retirement is based upon demonstrably inaccurate assertions and a misleading comparison to FPL.</w:t>
      </w:r>
      <w:r w:rsidR="003A4F57">
        <w:rPr>
          <w:bCs/>
          <w:snapToGrid/>
          <w:szCs w:val="24"/>
        </w:rPr>
        <w:t xml:space="preserve"> </w:t>
      </w:r>
      <w:r w:rsidR="008C3C08">
        <w:rPr>
          <w:bCs/>
          <w:snapToGrid/>
          <w:szCs w:val="24"/>
        </w:rPr>
        <w:t>OPC’s implication that they know more about maintenance cycles of Gulf’s generation equipment than Gulf does is clearly unfounded and their suggested adjustment should be rejected.</w:t>
      </w:r>
      <w:r w:rsidR="008C3C08" w:rsidRPr="00677A87">
        <w:rPr>
          <w:bCs/>
          <w:snapToGrid/>
          <w:szCs w:val="24"/>
        </w:rPr>
        <w:t xml:space="preserve"> </w:t>
      </w:r>
      <w:r w:rsidR="008C3C08">
        <w:rPr>
          <w:bCs/>
          <w:snapToGrid/>
          <w:szCs w:val="24"/>
        </w:rPr>
        <w:t xml:space="preserve"> </w:t>
      </w:r>
      <w:r w:rsidRPr="00677A87">
        <w:rPr>
          <w:bCs/>
          <w:snapToGrid/>
          <w:szCs w:val="24"/>
        </w:rPr>
        <w:t xml:space="preserve"> (Huck, Burroughs)</w:t>
      </w:r>
    </w:p>
    <w:p w:rsidR="003A7CE1" w:rsidRPr="00677A87" w:rsidRDefault="003A7CE1" w:rsidP="003A7CE1">
      <w:pPr>
        <w:ind w:left="1440" w:hanging="1440"/>
        <w:jc w:val="both"/>
        <w:rPr>
          <w:bCs/>
        </w:rPr>
      </w:pPr>
    </w:p>
    <w:p w:rsidR="00151091" w:rsidRPr="00677A87" w:rsidRDefault="00151091" w:rsidP="00151091">
      <w:pPr>
        <w:jc w:val="both"/>
        <w:rPr>
          <w:bCs/>
        </w:rPr>
      </w:pPr>
      <w:r w:rsidRPr="00677A87">
        <w:rPr>
          <w:bCs/>
        </w:rPr>
        <w:tab/>
      </w:r>
    </w:p>
    <w:p w:rsidR="00151091" w:rsidRPr="00677A87" w:rsidRDefault="00151091" w:rsidP="00151091">
      <w:pPr>
        <w:jc w:val="both"/>
        <w:rPr>
          <w:bCs/>
        </w:rPr>
      </w:pPr>
      <w:r w:rsidRPr="00677A87">
        <w:rPr>
          <w:b/>
          <w:bCs/>
          <w:u w:val="single"/>
        </w:rPr>
        <w:t xml:space="preserve">Issue 8B: </w:t>
      </w:r>
      <w:r w:rsidRPr="00677A87">
        <w:rPr>
          <w:bCs/>
        </w:rPr>
        <w:t xml:space="preserve"> </w:t>
      </w:r>
      <w:r w:rsidRPr="00677A87">
        <w:rPr>
          <w:bCs/>
        </w:rPr>
        <w:tab/>
        <w:t>What is the appropriate level of interim retirement-related production net salvage?</w:t>
      </w:r>
    </w:p>
    <w:p w:rsidR="00151091" w:rsidRPr="00677A87" w:rsidRDefault="00151091" w:rsidP="00151091">
      <w:pPr>
        <w:jc w:val="both"/>
        <w:rPr>
          <w:bCs/>
        </w:rPr>
      </w:pPr>
    </w:p>
    <w:p w:rsidR="00D66699" w:rsidRPr="00677A87" w:rsidRDefault="00151091" w:rsidP="00D66699">
      <w:pPr>
        <w:ind w:left="1440" w:hanging="1440"/>
        <w:jc w:val="both"/>
        <w:rPr>
          <w:bCs/>
          <w:snapToGrid/>
          <w:szCs w:val="24"/>
        </w:rPr>
      </w:pPr>
      <w:r w:rsidRPr="00677A87">
        <w:rPr>
          <w:b/>
          <w:bCs/>
          <w:u w:val="single"/>
        </w:rPr>
        <w:t>GULF:</w:t>
      </w:r>
      <w:r w:rsidRPr="00677A87">
        <w:rPr>
          <w:bCs/>
        </w:rPr>
        <w:tab/>
      </w:r>
      <w:r w:rsidR="00C500C5">
        <w:rPr>
          <w:color w:val="000000"/>
          <w:u w:color="000000"/>
        </w:rPr>
        <w:t xml:space="preserve">Gulf's proposed level of interim retirement-related production net salvage is appropriate. </w:t>
      </w:r>
      <w:r w:rsidR="003A7CE1" w:rsidRPr="00677A87">
        <w:rPr>
          <w:bCs/>
        </w:rPr>
        <w:t>Mr. Huck’s 25% net removal for Steam Production interim retirements is appropriate.  OPC’s 20% net removal for Steam Production overstates the import of recent retirements, is inconsistent with historic experience prior to recent retirements</w:t>
      </w:r>
      <w:r w:rsidR="00C500C5">
        <w:rPr>
          <w:color w:val="000000"/>
          <w:u w:color="000000"/>
        </w:rPr>
        <w:t xml:space="preserve"> </w:t>
      </w:r>
      <w:r w:rsidR="003A7CE1" w:rsidRPr="00677A87">
        <w:rPr>
          <w:bCs/>
        </w:rPr>
        <w:t xml:space="preserve">and </w:t>
      </w:r>
      <w:r w:rsidR="006F0E6C">
        <w:rPr>
          <w:bCs/>
        </w:rPr>
        <w:t xml:space="preserve">makes a misleading comparison to </w:t>
      </w:r>
      <w:r w:rsidR="003A7CE1" w:rsidRPr="00677A87">
        <w:rPr>
          <w:bCs/>
        </w:rPr>
        <w:t>the recent FPL decision.  (Huck)</w:t>
      </w:r>
    </w:p>
    <w:p w:rsidR="00151091" w:rsidRPr="00677A87" w:rsidRDefault="00151091" w:rsidP="00151091">
      <w:pPr>
        <w:jc w:val="both"/>
        <w:rPr>
          <w:bCs/>
        </w:rPr>
      </w:pPr>
    </w:p>
    <w:p w:rsidR="00151091" w:rsidRPr="00677A87" w:rsidRDefault="00151091" w:rsidP="00151091">
      <w:pPr>
        <w:jc w:val="both"/>
        <w:rPr>
          <w:bCs/>
        </w:rPr>
      </w:pPr>
    </w:p>
    <w:p w:rsidR="00151091" w:rsidRPr="00677A87" w:rsidRDefault="00151091" w:rsidP="00151091">
      <w:pPr>
        <w:ind w:left="1440" w:hanging="1440"/>
        <w:jc w:val="both"/>
        <w:rPr>
          <w:bCs/>
        </w:rPr>
      </w:pPr>
      <w:r w:rsidRPr="00677A87">
        <w:rPr>
          <w:b/>
          <w:bCs/>
          <w:u w:val="single"/>
        </w:rPr>
        <w:t>Issue 8C:</w:t>
      </w:r>
      <w:r w:rsidRPr="00677A87">
        <w:rPr>
          <w:bCs/>
        </w:rPr>
        <w:t xml:space="preserve">  </w:t>
      </w:r>
      <w:r w:rsidRPr="00677A87">
        <w:rPr>
          <w:bCs/>
        </w:rPr>
        <w:tab/>
        <w:t>Based on the decisions made in Issues 8A and 8B, what are the appropriate deprecation rates for production plant?</w:t>
      </w:r>
    </w:p>
    <w:p w:rsidR="00151091" w:rsidRPr="00677A87" w:rsidRDefault="00151091" w:rsidP="00151091">
      <w:pPr>
        <w:ind w:left="1440" w:hanging="1440"/>
        <w:jc w:val="both"/>
        <w:rPr>
          <w:bCs/>
        </w:rPr>
      </w:pPr>
    </w:p>
    <w:p w:rsidR="00151091" w:rsidRPr="00677A87" w:rsidRDefault="00151091" w:rsidP="00151091">
      <w:pPr>
        <w:ind w:left="1440" w:hanging="1440"/>
        <w:jc w:val="both"/>
        <w:rPr>
          <w:bCs/>
        </w:rPr>
      </w:pPr>
      <w:r w:rsidRPr="00677A87">
        <w:rPr>
          <w:b/>
          <w:bCs/>
          <w:u w:val="single"/>
        </w:rPr>
        <w:t>GULF:</w:t>
      </w:r>
      <w:r w:rsidRPr="00677A87">
        <w:rPr>
          <w:bCs/>
        </w:rPr>
        <w:tab/>
      </w:r>
      <w:r w:rsidR="008E4633" w:rsidRPr="00677A87">
        <w:rPr>
          <w:bCs/>
        </w:rPr>
        <w:t xml:space="preserve">The appropriate depreciation rates for Gulf’s production plant are the rates proposed by American Appraisal, a reputable and independent third party, the only entity providing a depreciation study.  The three adjustments offered by </w:t>
      </w:r>
      <w:r w:rsidR="00CA3CCD">
        <w:rPr>
          <w:bCs/>
        </w:rPr>
        <w:t xml:space="preserve">OPC witness </w:t>
      </w:r>
      <w:proofErr w:type="spellStart"/>
      <w:r w:rsidR="008E4633" w:rsidRPr="00677A87">
        <w:rPr>
          <w:bCs/>
        </w:rPr>
        <w:t>Pous</w:t>
      </w:r>
      <w:proofErr w:type="spellEnd"/>
      <w:r w:rsidR="008E4633" w:rsidRPr="00677A87">
        <w:rPr>
          <w:bCs/>
        </w:rPr>
        <w:t xml:space="preserve"> suffer from a variety of infirmities and </w:t>
      </w:r>
      <w:r w:rsidR="004D556C">
        <w:rPr>
          <w:bCs/>
        </w:rPr>
        <w:t>are without merit</w:t>
      </w:r>
      <w:r w:rsidR="008E4633" w:rsidRPr="00677A87">
        <w:rPr>
          <w:bCs/>
        </w:rPr>
        <w:t>.  (Huck, Deason</w:t>
      </w:r>
      <w:r w:rsidR="004C6E75">
        <w:rPr>
          <w:bCs/>
        </w:rPr>
        <w:t>)</w:t>
      </w:r>
    </w:p>
    <w:p w:rsidR="00151091" w:rsidRPr="00677A87" w:rsidRDefault="00151091" w:rsidP="00151091">
      <w:pPr>
        <w:jc w:val="both"/>
        <w:rPr>
          <w:bCs/>
        </w:rPr>
      </w:pPr>
    </w:p>
    <w:p w:rsidR="00151091" w:rsidRPr="00677A87" w:rsidRDefault="00151091" w:rsidP="00151091">
      <w:pPr>
        <w:ind w:left="1440" w:hanging="1440"/>
        <w:jc w:val="both"/>
        <w:rPr>
          <w:bCs/>
        </w:rPr>
      </w:pPr>
      <w:r w:rsidRPr="00677A87">
        <w:rPr>
          <w:b/>
          <w:bCs/>
          <w:u w:val="single"/>
        </w:rPr>
        <w:t>Issue 9:</w:t>
      </w:r>
      <w:r w:rsidRPr="00677A87">
        <w:rPr>
          <w:bCs/>
        </w:rPr>
        <w:tab/>
        <w:t>Are Gulf’s proposed depreciation parameters and resulting rates for transmission, distribution, general and intangible plant accounts appropriate?  If not, what adjustments should be made?</w:t>
      </w:r>
    </w:p>
    <w:p w:rsidR="00A344AF" w:rsidRPr="00677A87" w:rsidRDefault="00A344AF" w:rsidP="00151091">
      <w:pPr>
        <w:ind w:left="1440" w:hanging="1440"/>
        <w:jc w:val="both"/>
        <w:rPr>
          <w:bCs/>
        </w:rPr>
      </w:pPr>
    </w:p>
    <w:p w:rsidR="008E4633" w:rsidRPr="00677A87" w:rsidRDefault="00A344AF" w:rsidP="008E4633">
      <w:pPr>
        <w:ind w:left="1440" w:hanging="1440"/>
        <w:contextualSpacing/>
        <w:rPr>
          <w:snapToGrid/>
          <w:szCs w:val="24"/>
        </w:rPr>
      </w:pPr>
      <w:r w:rsidRPr="00677A87">
        <w:rPr>
          <w:b/>
          <w:bCs/>
          <w:u w:val="single"/>
        </w:rPr>
        <w:t>GULF:</w:t>
      </w:r>
      <w:r w:rsidRPr="00677A87">
        <w:rPr>
          <w:bCs/>
        </w:rPr>
        <w:tab/>
      </w:r>
      <w:r w:rsidR="008E4633" w:rsidRPr="00677A87">
        <w:rPr>
          <w:bCs/>
          <w:snapToGrid/>
          <w:szCs w:val="24"/>
        </w:rPr>
        <w:t>Yes.  American Appraisal’s depreciation study was performed consistently with prior studies relied upon by this Commission.  It is well documented and thoroughly defended.  It should be used to set Gulf’s</w:t>
      </w:r>
      <w:r w:rsidR="00A7542C">
        <w:rPr>
          <w:bCs/>
          <w:snapToGrid/>
          <w:szCs w:val="24"/>
        </w:rPr>
        <w:t xml:space="preserve"> depreciation</w:t>
      </w:r>
      <w:r w:rsidR="008E4633" w:rsidRPr="00677A87">
        <w:rPr>
          <w:bCs/>
          <w:snapToGrid/>
          <w:szCs w:val="24"/>
        </w:rPr>
        <w:t xml:space="preserve"> rates.  There are more instances where </w:t>
      </w:r>
      <w:r w:rsidR="003A4F57">
        <w:rPr>
          <w:bCs/>
          <w:snapToGrid/>
          <w:szCs w:val="24"/>
        </w:rPr>
        <w:t xml:space="preserve">OPC witness </w:t>
      </w:r>
      <w:proofErr w:type="spellStart"/>
      <w:r w:rsidR="008E4633" w:rsidRPr="00677A87">
        <w:rPr>
          <w:bCs/>
          <w:snapToGrid/>
          <w:szCs w:val="24"/>
        </w:rPr>
        <w:t>Pous</w:t>
      </w:r>
      <w:proofErr w:type="spellEnd"/>
      <w:r w:rsidR="008E4633" w:rsidRPr="00677A87">
        <w:rPr>
          <w:bCs/>
          <w:snapToGrid/>
          <w:szCs w:val="24"/>
        </w:rPr>
        <w:t xml:space="preserve"> agrees than disagrees with the study, and his </w:t>
      </w:r>
      <w:r w:rsidR="00037907" w:rsidRPr="00677A87">
        <w:rPr>
          <w:bCs/>
          <w:snapToGrid/>
          <w:szCs w:val="24"/>
        </w:rPr>
        <w:t xml:space="preserve">attacks on </w:t>
      </w:r>
      <w:r w:rsidR="009C56D5">
        <w:rPr>
          <w:bCs/>
          <w:snapToGrid/>
          <w:szCs w:val="24"/>
        </w:rPr>
        <w:t xml:space="preserve">selective </w:t>
      </w:r>
      <w:r w:rsidR="00037907" w:rsidRPr="00677A87">
        <w:rPr>
          <w:bCs/>
          <w:snapToGrid/>
          <w:szCs w:val="24"/>
        </w:rPr>
        <w:t xml:space="preserve">elements of </w:t>
      </w:r>
      <w:r w:rsidR="00037907">
        <w:rPr>
          <w:bCs/>
          <w:snapToGrid/>
          <w:szCs w:val="24"/>
        </w:rPr>
        <w:t>Gulf’s comprehensive study are without merit</w:t>
      </w:r>
      <w:r w:rsidR="004D556C">
        <w:rPr>
          <w:bCs/>
          <w:snapToGrid/>
          <w:szCs w:val="24"/>
        </w:rPr>
        <w:t>.</w:t>
      </w:r>
      <w:r w:rsidR="008E4633" w:rsidRPr="00677A87">
        <w:rPr>
          <w:bCs/>
          <w:snapToGrid/>
          <w:szCs w:val="24"/>
        </w:rPr>
        <w:t xml:space="preserve">  (Huck, Deason, Erickson, Burroughs)</w:t>
      </w:r>
    </w:p>
    <w:p w:rsidR="00A344AF" w:rsidRPr="00677A87" w:rsidRDefault="00A344AF" w:rsidP="00151091">
      <w:pPr>
        <w:ind w:left="1440" w:hanging="1440"/>
        <w:jc w:val="both"/>
        <w:rPr>
          <w:bCs/>
        </w:rPr>
      </w:pPr>
    </w:p>
    <w:p w:rsidR="00527765" w:rsidRDefault="00527765" w:rsidP="00151091">
      <w:pPr>
        <w:jc w:val="both"/>
        <w:rPr>
          <w:bCs/>
        </w:rPr>
      </w:pPr>
    </w:p>
    <w:p w:rsidR="00527765" w:rsidRPr="00677A87" w:rsidRDefault="00527765" w:rsidP="00151091">
      <w:pPr>
        <w:jc w:val="both"/>
        <w:rPr>
          <w:bCs/>
        </w:rPr>
      </w:pPr>
    </w:p>
    <w:p w:rsidR="00151091" w:rsidRPr="00677A87" w:rsidRDefault="00151091" w:rsidP="00A344AF">
      <w:pPr>
        <w:ind w:left="2160" w:hanging="2160"/>
        <w:jc w:val="both"/>
        <w:rPr>
          <w:bCs/>
        </w:rPr>
      </w:pPr>
      <w:r w:rsidRPr="00677A87">
        <w:rPr>
          <w:b/>
          <w:bCs/>
          <w:u w:val="single"/>
        </w:rPr>
        <w:t>OPC ISSUE 9A:</w:t>
      </w:r>
      <w:r w:rsidRPr="00677A87">
        <w:rPr>
          <w:bCs/>
        </w:rPr>
        <w:t xml:space="preserve"> </w:t>
      </w:r>
      <w:r w:rsidR="00A344AF" w:rsidRPr="00677A87">
        <w:rPr>
          <w:bCs/>
        </w:rPr>
        <w:tab/>
      </w:r>
      <w:r w:rsidRPr="00677A87">
        <w:rPr>
          <w:bCs/>
        </w:rPr>
        <w:t xml:space="preserve"> What are the appropriate average service lives for the following mass property accounts?</w:t>
      </w:r>
    </w:p>
    <w:p w:rsidR="00A344AF" w:rsidRPr="00677A87" w:rsidRDefault="00A344AF" w:rsidP="00A344AF">
      <w:pPr>
        <w:ind w:left="2160" w:hanging="2160"/>
        <w:jc w:val="both"/>
        <w:rPr>
          <w:bCs/>
        </w:rPr>
      </w:pPr>
    </w:p>
    <w:p w:rsidR="00151091" w:rsidRPr="00677A87" w:rsidRDefault="00151091" w:rsidP="00151091">
      <w:pPr>
        <w:widowControl/>
        <w:numPr>
          <w:ilvl w:val="0"/>
          <w:numId w:val="37"/>
        </w:numPr>
        <w:jc w:val="both"/>
        <w:rPr>
          <w:bCs/>
        </w:rPr>
      </w:pPr>
      <w:r w:rsidRPr="00677A87">
        <w:rPr>
          <w:bCs/>
        </w:rPr>
        <w:t>Account 350.2 – Transmission Easements and Rights-of-Way</w:t>
      </w:r>
    </w:p>
    <w:p w:rsidR="00151091" w:rsidRPr="00677A87" w:rsidRDefault="00151091" w:rsidP="00151091">
      <w:pPr>
        <w:widowControl/>
        <w:numPr>
          <w:ilvl w:val="0"/>
          <w:numId w:val="37"/>
        </w:numPr>
        <w:jc w:val="both"/>
        <w:rPr>
          <w:bCs/>
        </w:rPr>
      </w:pPr>
      <w:r w:rsidRPr="00677A87">
        <w:rPr>
          <w:bCs/>
        </w:rPr>
        <w:t>Account 353- Transmission Station Equipment</w:t>
      </w:r>
    </w:p>
    <w:p w:rsidR="00151091" w:rsidRPr="00677A87" w:rsidRDefault="00151091" w:rsidP="00151091">
      <w:pPr>
        <w:widowControl/>
        <w:numPr>
          <w:ilvl w:val="0"/>
          <w:numId w:val="37"/>
        </w:numPr>
        <w:jc w:val="both"/>
        <w:rPr>
          <w:bCs/>
        </w:rPr>
      </w:pPr>
      <w:r w:rsidRPr="00677A87">
        <w:rPr>
          <w:bCs/>
        </w:rPr>
        <w:t>Account 356 – Transmission Overhead Conductors</w:t>
      </w:r>
    </w:p>
    <w:p w:rsidR="00151091" w:rsidRPr="00677A87" w:rsidRDefault="00151091" w:rsidP="00151091">
      <w:pPr>
        <w:widowControl/>
        <w:numPr>
          <w:ilvl w:val="0"/>
          <w:numId w:val="37"/>
        </w:numPr>
        <w:jc w:val="both"/>
        <w:rPr>
          <w:bCs/>
        </w:rPr>
      </w:pPr>
      <w:r w:rsidRPr="00677A87">
        <w:rPr>
          <w:bCs/>
        </w:rPr>
        <w:t>Account 364- Distribution Poles and Fixtures</w:t>
      </w:r>
    </w:p>
    <w:p w:rsidR="00151091" w:rsidRPr="00677A87" w:rsidRDefault="00151091" w:rsidP="00151091">
      <w:pPr>
        <w:widowControl/>
        <w:numPr>
          <w:ilvl w:val="0"/>
          <w:numId w:val="37"/>
        </w:numPr>
        <w:jc w:val="both"/>
        <w:rPr>
          <w:bCs/>
        </w:rPr>
      </w:pPr>
      <w:r w:rsidRPr="00677A87">
        <w:rPr>
          <w:bCs/>
        </w:rPr>
        <w:t>Account 365 – Distribution Overhead Conductors</w:t>
      </w:r>
    </w:p>
    <w:p w:rsidR="00151091" w:rsidRPr="00677A87" w:rsidRDefault="00151091" w:rsidP="00151091">
      <w:pPr>
        <w:widowControl/>
        <w:numPr>
          <w:ilvl w:val="0"/>
          <w:numId w:val="37"/>
        </w:numPr>
        <w:jc w:val="both"/>
        <w:rPr>
          <w:bCs/>
        </w:rPr>
      </w:pPr>
      <w:r w:rsidRPr="00677A87">
        <w:rPr>
          <w:bCs/>
        </w:rPr>
        <w:t>Account 367 – Distribution Underground Conductors and Devices</w:t>
      </w:r>
    </w:p>
    <w:p w:rsidR="00151091" w:rsidRPr="00677A87" w:rsidRDefault="00151091" w:rsidP="00151091">
      <w:pPr>
        <w:widowControl/>
        <w:numPr>
          <w:ilvl w:val="0"/>
          <w:numId w:val="37"/>
        </w:numPr>
        <w:jc w:val="both"/>
        <w:rPr>
          <w:bCs/>
        </w:rPr>
      </w:pPr>
      <w:r w:rsidRPr="00677A87">
        <w:rPr>
          <w:bCs/>
        </w:rPr>
        <w:t>Account 368- Distribution Line Transformers</w:t>
      </w:r>
    </w:p>
    <w:p w:rsidR="00151091" w:rsidRPr="00677A87" w:rsidRDefault="00151091" w:rsidP="00151091">
      <w:pPr>
        <w:widowControl/>
        <w:numPr>
          <w:ilvl w:val="0"/>
          <w:numId w:val="37"/>
        </w:numPr>
        <w:jc w:val="both"/>
        <w:rPr>
          <w:bCs/>
        </w:rPr>
      </w:pPr>
      <w:r w:rsidRPr="00677A87">
        <w:rPr>
          <w:bCs/>
        </w:rPr>
        <w:t>Account 369.1 -  Distribution Overhead Services</w:t>
      </w:r>
    </w:p>
    <w:p w:rsidR="00151091" w:rsidRPr="00677A87" w:rsidRDefault="00151091" w:rsidP="00151091">
      <w:pPr>
        <w:widowControl/>
        <w:numPr>
          <w:ilvl w:val="0"/>
          <w:numId w:val="37"/>
        </w:numPr>
        <w:jc w:val="both"/>
        <w:rPr>
          <w:bCs/>
        </w:rPr>
      </w:pPr>
      <w:r w:rsidRPr="00677A87">
        <w:rPr>
          <w:bCs/>
        </w:rPr>
        <w:t>Account 370.1 – Distribution Meters – AMR</w:t>
      </w:r>
    </w:p>
    <w:p w:rsidR="00151091" w:rsidRPr="00677A87" w:rsidRDefault="00151091" w:rsidP="00151091">
      <w:pPr>
        <w:widowControl/>
        <w:numPr>
          <w:ilvl w:val="0"/>
          <w:numId w:val="37"/>
        </w:numPr>
        <w:jc w:val="both"/>
        <w:rPr>
          <w:bCs/>
        </w:rPr>
      </w:pPr>
      <w:r w:rsidRPr="00677A87">
        <w:rPr>
          <w:bCs/>
        </w:rPr>
        <w:t>Account 373- Distribution Street Lights</w:t>
      </w:r>
    </w:p>
    <w:p w:rsidR="00151091" w:rsidRPr="00677A87" w:rsidRDefault="00151091" w:rsidP="00151091">
      <w:pPr>
        <w:widowControl/>
        <w:numPr>
          <w:ilvl w:val="0"/>
          <w:numId w:val="37"/>
        </w:numPr>
        <w:jc w:val="both"/>
        <w:rPr>
          <w:bCs/>
        </w:rPr>
      </w:pPr>
      <w:r w:rsidRPr="00677A87">
        <w:rPr>
          <w:bCs/>
        </w:rPr>
        <w:t>Account 390- General Plant Structures and Improvements</w:t>
      </w:r>
    </w:p>
    <w:p w:rsidR="00151091" w:rsidRPr="00677A87" w:rsidRDefault="00151091" w:rsidP="00151091">
      <w:pPr>
        <w:widowControl/>
        <w:numPr>
          <w:ilvl w:val="0"/>
          <w:numId w:val="37"/>
        </w:numPr>
        <w:jc w:val="both"/>
        <w:rPr>
          <w:bCs/>
        </w:rPr>
      </w:pPr>
      <w:r w:rsidRPr="00677A87">
        <w:rPr>
          <w:bCs/>
        </w:rPr>
        <w:t xml:space="preserve">Account 303 – Intangible Plant- Software </w:t>
      </w:r>
    </w:p>
    <w:p w:rsidR="008E4633" w:rsidRPr="00677A87" w:rsidRDefault="008E4633" w:rsidP="008E4633">
      <w:pPr>
        <w:widowControl/>
        <w:jc w:val="both"/>
        <w:rPr>
          <w:bCs/>
        </w:rPr>
      </w:pPr>
    </w:p>
    <w:p w:rsidR="009A469B" w:rsidRPr="00677A87" w:rsidRDefault="008E4633" w:rsidP="009A469B">
      <w:pPr>
        <w:widowControl/>
        <w:ind w:left="1440" w:hanging="1080"/>
        <w:jc w:val="both"/>
        <w:rPr>
          <w:bCs/>
          <w:snapToGrid/>
          <w:szCs w:val="24"/>
        </w:rPr>
      </w:pPr>
      <w:r w:rsidRPr="00677A87">
        <w:rPr>
          <w:b/>
          <w:bCs/>
          <w:u w:val="single"/>
        </w:rPr>
        <w:t>GULF:</w:t>
      </w:r>
      <w:r w:rsidRPr="00677A87">
        <w:rPr>
          <w:bCs/>
        </w:rPr>
        <w:tab/>
      </w:r>
      <w:r w:rsidR="009A469B" w:rsidRPr="00677A87">
        <w:rPr>
          <w:bCs/>
        </w:rPr>
        <w:t xml:space="preserve">The following life-curve combinations show the appropriate average service lives by account. </w:t>
      </w:r>
    </w:p>
    <w:p w:rsidR="009A469B" w:rsidRPr="00677A87" w:rsidRDefault="009A469B" w:rsidP="009A469B">
      <w:pPr>
        <w:pStyle w:val="ListParagraph"/>
        <w:rPr>
          <w:rFonts w:ascii="Times New Roman" w:hAnsi="Times New Roman"/>
          <w:bCs/>
          <w:szCs w:val="24"/>
        </w:rPr>
      </w:pPr>
    </w:p>
    <w:p w:rsidR="009A469B" w:rsidRPr="00677A87" w:rsidRDefault="009A469B" w:rsidP="009A469B">
      <w:pPr>
        <w:widowControl/>
        <w:numPr>
          <w:ilvl w:val="0"/>
          <w:numId w:val="37"/>
        </w:numPr>
        <w:jc w:val="both"/>
        <w:rPr>
          <w:bCs/>
          <w:snapToGrid/>
          <w:szCs w:val="24"/>
        </w:rPr>
      </w:pPr>
      <w:r w:rsidRPr="00677A87">
        <w:rPr>
          <w:bCs/>
          <w:snapToGrid/>
          <w:szCs w:val="24"/>
        </w:rPr>
        <w:t xml:space="preserve">Account 350.2 – </w:t>
      </w:r>
      <w:r w:rsidRPr="00677A87">
        <w:rPr>
          <w:bCs/>
          <w:snapToGrid/>
          <w:szCs w:val="24"/>
        </w:rPr>
        <w:tab/>
        <w:t>65R</w:t>
      </w:r>
      <w:r w:rsidR="006F0E6C">
        <w:rPr>
          <w:bCs/>
          <w:snapToGrid/>
          <w:szCs w:val="24"/>
        </w:rPr>
        <w:t>5</w:t>
      </w:r>
    </w:p>
    <w:p w:rsidR="009A469B" w:rsidRPr="00677A87" w:rsidRDefault="009A469B" w:rsidP="009A469B">
      <w:pPr>
        <w:widowControl/>
        <w:numPr>
          <w:ilvl w:val="0"/>
          <w:numId w:val="37"/>
        </w:numPr>
        <w:jc w:val="both"/>
        <w:rPr>
          <w:bCs/>
          <w:snapToGrid/>
          <w:szCs w:val="24"/>
        </w:rPr>
      </w:pPr>
      <w:r w:rsidRPr="00677A87">
        <w:rPr>
          <w:bCs/>
          <w:snapToGrid/>
          <w:szCs w:val="24"/>
        </w:rPr>
        <w:t xml:space="preserve">Account 353- </w:t>
      </w:r>
      <w:r w:rsidRPr="00677A87">
        <w:rPr>
          <w:bCs/>
          <w:snapToGrid/>
          <w:szCs w:val="24"/>
        </w:rPr>
        <w:tab/>
      </w:r>
      <w:r w:rsidRPr="00677A87">
        <w:rPr>
          <w:bCs/>
          <w:snapToGrid/>
          <w:szCs w:val="24"/>
        </w:rPr>
        <w:tab/>
        <w:t>45S</w:t>
      </w:r>
      <w:r w:rsidR="006F0E6C">
        <w:rPr>
          <w:bCs/>
          <w:snapToGrid/>
          <w:szCs w:val="24"/>
        </w:rPr>
        <w:t>0</w:t>
      </w:r>
    </w:p>
    <w:p w:rsidR="009A469B" w:rsidRPr="00677A87" w:rsidRDefault="009A469B" w:rsidP="009A469B">
      <w:pPr>
        <w:widowControl/>
        <w:numPr>
          <w:ilvl w:val="0"/>
          <w:numId w:val="37"/>
        </w:numPr>
        <w:jc w:val="both"/>
        <w:rPr>
          <w:bCs/>
          <w:snapToGrid/>
          <w:szCs w:val="24"/>
        </w:rPr>
      </w:pPr>
      <w:r w:rsidRPr="00677A87">
        <w:rPr>
          <w:bCs/>
          <w:snapToGrid/>
          <w:szCs w:val="24"/>
        </w:rPr>
        <w:t xml:space="preserve">Account 356 – </w:t>
      </w:r>
      <w:r w:rsidRPr="00677A87">
        <w:rPr>
          <w:bCs/>
          <w:snapToGrid/>
          <w:szCs w:val="24"/>
        </w:rPr>
        <w:tab/>
        <w:t>50R1.5</w:t>
      </w:r>
    </w:p>
    <w:p w:rsidR="009A469B" w:rsidRPr="00677A87" w:rsidRDefault="009A469B" w:rsidP="009A469B">
      <w:pPr>
        <w:widowControl/>
        <w:numPr>
          <w:ilvl w:val="0"/>
          <w:numId w:val="37"/>
        </w:numPr>
        <w:jc w:val="both"/>
        <w:rPr>
          <w:bCs/>
          <w:snapToGrid/>
          <w:szCs w:val="24"/>
        </w:rPr>
      </w:pPr>
      <w:r w:rsidRPr="00677A87">
        <w:rPr>
          <w:bCs/>
          <w:snapToGrid/>
          <w:szCs w:val="24"/>
        </w:rPr>
        <w:t xml:space="preserve">Account 364- </w:t>
      </w:r>
      <w:r w:rsidRPr="00677A87">
        <w:rPr>
          <w:bCs/>
          <w:snapToGrid/>
          <w:szCs w:val="24"/>
        </w:rPr>
        <w:tab/>
      </w:r>
      <w:r w:rsidRPr="00677A87">
        <w:rPr>
          <w:bCs/>
          <w:snapToGrid/>
          <w:szCs w:val="24"/>
        </w:rPr>
        <w:tab/>
        <w:t>32L</w:t>
      </w:r>
      <w:r w:rsidR="006F0E6C">
        <w:rPr>
          <w:bCs/>
          <w:snapToGrid/>
          <w:szCs w:val="24"/>
        </w:rPr>
        <w:t>0</w:t>
      </w:r>
    </w:p>
    <w:p w:rsidR="009A469B" w:rsidRPr="00677A87" w:rsidRDefault="009A469B" w:rsidP="009A469B">
      <w:pPr>
        <w:widowControl/>
        <w:numPr>
          <w:ilvl w:val="0"/>
          <w:numId w:val="37"/>
        </w:numPr>
        <w:jc w:val="both"/>
        <w:rPr>
          <w:bCs/>
          <w:snapToGrid/>
          <w:szCs w:val="24"/>
        </w:rPr>
      </w:pPr>
      <w:r w:rsidRPr="00677A87">
        <w:rPr>
          <w:bCs/>
          <w:snapToGrid/>
          <w:szCs w:val="24"/>
        </w:rPr>
        <w:t>Account 365 –</w:t>
      </w:r>
      <w:r w:rsidRPr="00677A87">
        <w:rPr>
          <w:bCs/>
          <w:snapToGrid/>
          <w:szCs w:val="24"/>
        </w:rPr>
        <w:tab/>
      </w:r>
      <w:r w:rsidRPr="00677A87">
        <w:rPr>
          <w:bCs/>
          <w:snapToGrid/>
          <w:szCs w:val="24"/>
        </w:rPr>
        <w:tab/>
        <w:t xml:space="preserve">40R1 </w:t>
      </w:r>
    </w:p>
    <w:p w:rsidR="009A469B" w:rsidRPr="00677A87" w:rsidRDefault="009A469B" w:rsidP="009A469B">
      <w:pPr>
        <w:widowControl/>
        <w:numPr>
          <w:ilvl w:val="0"/>
          <w:numId w:val="37"/>
        </w:numPr>
        <w:jc w:val="both"/>
        <w:rPr>
          <w:bCs/>
          <w:snapToGrid/>
          <w:szCs w:val="24"/>
        </w:rPr>
      </w:pPr>
      <w:r w:rsidRPr="00677A87">
        <w:rPr>
          <w:bCs/>
          <w:snapToGrid/>
          <w:szCs w:val="24"/>
        </w:rPr>
        <w:t>Account 367 –</w:t>
      </w:r>
      <w:r w:rsidRPr="00677A87">
        <w:rPr>
          <w:bCs/>
          <w:snapToGrid/>
          <w:szCs w:val="24"/>
        </w:rPr>
        <w:tab/>
      </w:r>
      <w:r w:rsidRPr="00677A87">
        <w:rPr>
          <w:bCs/>
          <w:snapToGrid/>
          <w:szCs w:val="24"/>
        </w:rPr>
        <w:tab/>
        <w:t xml:space="preserve">34S2 </w:t>
      </w:r>
    </w:p>
    <w:p w:rsidR="009A469B" w:rsidRPr="00677A87" w:rsidRDefault="009A469B" w:rsidP="009A469B">
      <w:pPr>
        <w:widowControl/>
        <w:numPr>
          <w:ilvl w:val="0"/>
          <w:numId w:val="37"/>
        </w:numPr>
        <w:jc w:val="both"/>
        <w:rPr>
          <w:bCs/>
          <w:snapToGrid/>
          <w:szCs w:val="24"/>
        </w:rPr>
      </w:pPr>
      <w:r w:rsidRPr="00677A87">
        <w:rPr>
          <w:bCs/>
          <w:snapToGrid/>
          <w:szCs w:val="24"/>
        </w:rPr>
        <w:t xml:space="preserve">Account 368- </w:t>
      </w:r>
      <w:r w:rsidRPr="00677A87">
        <w:rPr>
          <w:bCs/>
          <w:snapToGrid/>
          <w:szCs w:val="24"/>
        </w:rPr>
        <w:tab/>
      </w:r>
      <w:r w:rsidRPr="00677A87">
        <w:rPr>
          <w:bCs/>
          <w:snapToGrid/>
          <w:szCs w:val="24"/>
        </w:rPr>
        <w:tab/>
        <w:t>32S</w:t>
      </w:r>
      <w:r w:rsidR="006F0E6C">
        <w:rPr>
          <w:bCs/>
          <w:snapToGrid/>
          <w:szCs w:val="24"/>
        </w:rPr>
        <w:t>0</w:t>
      </w:r>
    </w:p>
    <w:p w:rsidR="009A469B" w:rsidRPr="00677A87" w:rsidRDefault="009A469B" w:rsidP="009A469B">
      <w:pPr>
        <w:widowControl/>
        <w:numPr>
          <w:ilvl w:val="0"/>
          <w:numId w:val="37"/>
        </w:numPr>
        <w:jc w:val="both"/>
        <w:rPr>
          <w:bCs/>
          <w:snapToGrid/>
          <w:szCs w:val="24"/>
        </w:rPr>
      </w:pPr>
      <w:r w:rsidRPr="00677A87">
        <w:rPr>
          <w:bCs/>
          <w:snapToGrid/>
          <w:szCs w:val="24"/>
        </w:rPr>
        <w:t xml:space="preserve">Account 369.1 -  </w:t>
      </w:r>
      <w:r w:rsidRPr="00677A87">
        <w:rPr>
          <w:bCs/>
          <w:snapToGrid/>
          <w:szCs w:val="24"/>
        </w:rPr>
        <w:tab/>
        <w:t>40R1</w:t>
      </w:r>
    </w:p>
    <w:p w:rsidR="009A469B" w:rsidRPr="00677A87" w:rsidRDefault="009A469B" w:rsidP="009A469B">
      <w:pPr>
        <w:widowControl/>
        <w:numPr>
          <w:ilvl w:val="0"/>
          <w:numId w:val="37"/>
        </w:numPr>
        <w:jc w:val="both"/>
        <w:rPr>
          <w:bCs/>
          <w:snapToGrid/>
          <w:szCs w:val="24"/>
        </w:rPr>
      </w:pPr>
      <w:r w:rsidRPr="00677A87">
        <w:rPr>
          <w:bCs/>
          <w:snapToGrid/>
          <w:szCs w:val="24"/>
        </w:rPr>
        <w:t xml:space="preserve">Account 370.1 – </w:t>
      </w:r>
      <w:r w:rsidRPr="00677A87">
        <w:rPr>
          <w:bCs/>
          <w:snapToGrid/>
          <w:szCs w:val="24"/>
        </w:rPr>
        <w:tab/>
        <w:t>15R1</w:t>
      </w:r>
    </w:p>
    <w:p w:rsidR="009A469B" w:rsidRPr="00677A87" w:rsidRDefault="009A469B" w:rsidP="009A469B">
      <w:pPr>
        <w:widowControl/>
        <w:numPr>
          <w:ilvl w:val="0"/>
          <w:numId w:val="37"/>
        </w:numPr>
        <w:jc w:val="both"/>
        <w:rPr>
          <w:bCs/>
          <w:snapToGrid/>
          <w:szCs w:val="24"/>
        </w:rPr>
      </w:pPr>
      <w:r w:rsidRPr="00677A87">
        <w:rPr>
          <w:bCs/>
          <w:snapToGrid/>
          <w:szCs w:val="24"/>
        </w:rPr>
        <w:t>Account 373-</w:t>
      </w:r>
      <w:r w:rsidRPr="00677A87">
        <w:rPr>
          <w:bCs/>
          <w:snapToGrid/>
          <w:szCs w:val="24"/>
        </w:rPr>
        <w:tab/>
      </w:r>
      <w:r w:rsidRPr="00677A87">
        <w:rPr>
          <w:bCs/>
          <w:snapToGrid/>
          <w:szCs w:val="24"/>
        </w:rPr>
        <w:tab/>
        <w:t xml:space="preserve">22L1 </w:t>
      </w:r>
    </w:p>
    <w:p w:rsidR="009A469B" w:rsidRPr="00677A87" w:rsidRDefault="009A469B" w:rsidP="009A469B">
      <w:pPr>
        <w:widowControl/>
        <w:numPr>
          <w:ilvl w:val="0"/>
          <w:numId w:val="37"/>
        </w:numPr>
        <w:jc w:val="both"/>
        <w:rPr>
          <w:bCs/>
          <w:snapToGrid/>
          <w:szCs w:val="24"/>
        </w:rPr>
      </w:pPr>
      <w:r w:rsidRPr="00677A87">
        <w:rPr>
          <w:bCs/>
          <w:snapToGrid/>
          <w:szCs w:val="24"/>
        </w:rPr>
        <w:t xml:space="preserve">Account 390- </w:t>
      </w:r>
      <w:r w:rsidRPr="00677A87">
        <w:rPr>
          <w:bCs/>
          <w:snapToGrid/>
          <w:szCs w:val="24"/>
        </w:rPr>
        <w:tab/>
      </w:r>
      <w:r w:rsidRPr="00677A87">
        <w:rPr>
          <w:bCs/>
          <w:snapToGrid/>
          <w:szCs w:val="24"/>
        </w:rPr>
        <w:tab/>
        <w:t>45S1.5</w:t>
      </w:r>
    </w:p>
    <w:p w:rsidR="009A469B" w:rsidRPr="00677A87" w:rsidRDefault="009A469B" w:rsidP="009A469B">
      <w:pPr>
        <w:widowControl/>
        <w:numPr>
          <w:ilvl w:val="0"/>
          <w:numId w:val="37"/>
        </w:numPr>
        <w:jc w:val="both"/>
        <w:rPr>
          <w:bCs/>
          <w:snapToGrid/>
          <w:szCs w:val="24"/>
        </w:rPr>
      </w:pPr>
      <w:r w:rsidRPr="00677A87">
        <w:rPr>
          <w:bCs/>
          <w:snapToGrid/>
          <w:szCs w:val="24"/>
        </w:rPr>
        <w:t>Account 303 –</w:t>
      </w:r>
      <w:r w:rsidRPr="00677A87">
        <w:rPr>
          <w:bCs/>
          <w:snapToGrid/>
          <w:szCs w:val="24"/>
        </w:rPr>
        <w:tab/>
      </w:r>
      <w:r w:rsidRPr="00677A87">
        <w:rPr>
          <w:bCs/>
          <w:snapToGrid/>
          <w:szCs w:val="24"/>
        </w:rPr>
        <w:tab/>
        <w:t xml:space="preserve">7 yr. Amortization </w:t>
      </w:r>
    </w:p>
    <w:p w:rsidR="009A469B" w:rsidRPr="00677A87" w:rsidRDefault="009A469B" w:rsidP="009A469B">
      <w:pPr>
        <w:widowControl/>
        <w:jc w:val="both"/>
        <w:rPr>
          <w:bCs/>
          <w:snapToGrid/>
          <w:szCs w:val="24"/>
          <w:u w:val="single"/>
        </w:rPr>
      </w:pPr>
    </w:p>
    <w:p w:rsidR="008E4633" w:rsidRPr="00677A87" w:rsidRDefault="008E4633" w:rsidP="008E4633">
      <w:pPr>
        <w:widowControl/>
        <w:jc w:val="both"/>
        <w:rPr>
          <w:bCs/>
        </w:rPr>
      </w:pPr>
    </w:p>
    <w:p w:rsidR="00C01777" w:rsidRDefault="00C01777" w:rsidP="00A344AF">
      <w:pPr>
        <w:ind w:left="2160" w:hanging="2160"/>
        <w:jc w:val="both"/>
        <w:rPr>
          <w:b/>
          <w:bCs/>
          <w:u w:val="single"/>
        </w:rPr>
      </w:pPr>
    </w:p>
    <w:p w:rsidR="00C01777" w:rsidRDefault="00C01777" w:rsidP="00A344AF">
      <w:pPr>
        <w:ind w:left="2160" w:hanging="2160"/>
        <w:jc w:val="both"/>
        <w:rPr>
          <w:b/>
          <w:bCs/>
          <w:u w:val="single"/>
        </w:rPr>
      </w:pPr>
    </w:p>
    <w:p w:rsidR="00C01777" w:rsidRDefault="00C01777" w:rsidP="00A344AF">
      <w:pPr>
        <w:ind w:left="2160" w:hanging="2160"/>
        <w:jc w:val="both"/>
        <w:rPr>
          <w:b/>
          <w:bCs/>
          <w:u w:val="single"/>
        </w:rPr>
      </w:pPr>
    </w:p>
    <w:p w:rsidR="00C01777" w:rsidRDefault="00C01777" w:rsidP="00A344AF">
      <w:pPr>
        <w:ind w:left="2160" w:hanging="2160"/>
        <w:jc w:val="both"/>
        <w:rPr>
          <w:b/>
          <w:bCs/>
          <w:u w:val="single"/>
        </w:rPr>
      </w:pPr>
    </w:p>
    <w:p w:rsidR="00C01777" w:rsidRDefault="00C01777" w:rsidP="00A344AF">
      <w:pPr>
        <w:ind w:left="2160" w:hanging="2160"/>
        <w:jc w:val="both"/>
        <w:rPr>
          <w:b/>
          <w:bCs/>
          <w:u w:val="single"/>
        </w:rPr>
      </w:pPr>
    </w:p>
    <w:p w:rsidR="00C01777" w:rsidRDefault="00C01777" w:rsidP="00A344AF">
      <w:pPr>
        <w:ind w:left="2160" w:hanging="2160"/>
        <w:jc w:val="both"/>
        <w:rPr>
          <w:b/>
          <w:bCs/>
          <w:u w:val="single"/>
        </w:rPr>
      </w:pPr>
    </w:p>
    <w:p w:rsidR="00C01777" w:rsidRDefault="00C01777" w:rsidP="00A344AF">
      <w:pPr>
        <w:ind w:left="2160" w:hanging="2160"/>
        <w:jc w:val="both"/>
        <w:rPr>
          <w:b/>
          <w:bCs/>
          <w:u w:val="single"/>
        </w:rPr>
      </w:pPr>
    </w:p>
    <w:p w:rsidR="00C01777" w:rsidRDefault="00C01777" w:rsidP="00A344AF">
      <w:pPr>
        <w:ind w:left="2160" w:hanging="2160"/>
        <w:jc w:val="both"/>
        <w:rPr>
          <w:b/>
          <w:bCs/>
          <w:u w:val="single"/>
        </w:rPr>
      </w:pPr>
    </w:p>
    <w:p w:rsidR="00C01777" w:rsidRDefault="00C01777" w:rsidP="00A344AF">
      <w:pPr>
        <w:ind w:left="2160" w:hanging="2160"/>
        <w:jc w:val="both"/>
        <w:rPr>
          <w:b/>
          <w:bCs/>
          <w:u w:val="single"/>
        </w:rPr>
      </w:pPr>
    </w:p>
    <w:p w:rsidR="00151091" w:rsidRPr="00677A87" w:rsidRDefault="00151091" w:rsidP="00A344AF">
      <w:pPr>
        <w:ind w:left="2160" w:hanging="2160"/>
        <w:jc w:val="both"/>
        <w:rPr>
          <w:bCs/>
        </w:rPr>
      </w:pPr>
      <w:r w:rsidRPr="00677A87">
        <w:rPr>
          <w:b/>
          <w:bCs/>
          <w:u w:val="single"/>
        </w:rPr>
        <w:lastRenderedPageBreak/>
        <w:t>OPC ISSUE 9B:</w:t>
      </w:r>
      <w:r w:rsidRPr="00677A87">
        <w:rPr>
          <w:bCs/>
        </w:rPr>
        <w:t xml:space="preserve"> </w:t>
      </w:r>
      <w:r w:rsidR="00A344AF" w:rsidRPr="00677A87">
        <w:rPr>
          <w:bCs/>
        </w:rPr>
        <w:tab/>
      </w:r>
      <w:r w:rsidRPr="00677A87">
        <w:rPr>
          <w:bCs/>
        </w:rPr>
        <w:t xml:space="preserve"> What is the appropriate net salvage for the following mass property accounts?</w:t>
      </w:r>
    </w:p>
    <w:p w:rsidR="00A344AF" w:rsidRPr="00677A87" w:rsidRDefault="00A344AF" w:rsidP="00A344AF">
      <w:pPr>
        <w:ind w:left="2160" w:hanging="2160"/>
        <w:jc w:val="both"/>
        <w:rPr>
          <w:bCs/>
        </w:rPr>
      </w:pPr>
    </w:p>
    <w:p w:rsidR="00151091" w:rsidRPr="00677A87" w:rsidRDefault="00151091" w:rsidP="00151091">
      <w:pPr>
        <w:widowControl/>
        <w:numPr>
          <w:ilvl w:val="0"/>
          <w:numId w:val="38"/>
        </w:numPr>
        <w:jc w:val="both"/>
        <w:rPr>
          <w:bCs/>
        </w:rPr>
      </w:pPr>
      <w:r w:rsidRPr="00677A87">
        <w:rPr>
          <w:bCs/>
        </w:rPr>
        <w:t>Account 356- Transmission Overhead Conductors and Devices</w:t>
      </w:r>
    </w:p>
    <w:p w:rsidR="00151091" w:rsidRPr="00677A87" w:rsidRDefault="00151091" w:rsidP="00151091">
      <w:pPr>
        <w:widowControl/>
        <w:numPr>
          <w:ilvl w:val="0"/>
          <w:numId w:val="38"/>
        </w:numPr>
        <w:jc w:val="both"/>
        <w:rPr>
          <w:bCs/>
        </w:rPr>
      </w:pPr>
      <w:r w:rsidRPr="00677A87">
        <w:rPr>
          <w:bCs/>
        </w:rPr>
        <w:t>Account 362 – Distribution Station Equipment</w:t>
      </w:r>
    </w:p>
    <w:p w:rsidR="00151091" w:rsidRPr="00677A87" w:rsidRDefault="00151091" w:rsidP="00151091">
      <w:pPr>
        <w:widowControl/>
        <w:numPr>
          <w:ilvl w:val="0"/>
          <w:numId w:val="38"/>
        </w:numPr>
        <w:jc w:val="both"/>
        <w:rPr>
          <w:bCs/>
        </w:rPr>
      </w:pPr>
      <w:r w:rsidRPr="00677A87">
        <w:rPr>
          <w:bCs/>
        </w:rPr>
        <w:t>Account 368- Distribution Line Transformers</w:t>
      </w:r>
    </w:p>
    <w:p w:rsidR="00151091" w:rsidRPr="00677A87" w:rsidRDefault="00151091" w:rsidP="00151091">
      <w:pPr>
        <w:widowControl/>
        <w:numPr>
          <w:ilvl w:val="0"/>
          <w:numId w:val="38"/>
        </w:numPr>
        <w:jc w:val="both"/>
        <w:rPr>
          <w:bCs/>
        </w:rPr>
      </w:pPr>
      <w:r w:rsidRPr="00677A87">
        <w:rPr>
          <w:bCs/>
        </w:rPr>
        <w:t>Account 390- General Plant Structures and Improvements</w:t>
      </w:r>
    </w:p>
    <w:p w:rsidR="00151091" w:rsidRPr="00677A87" w:rsidRDefault="00151091" w:rsidP="00151091">
      <w:pPr>
        <w:widowControl/>
        <w:numPr>
          <w:ilvl w:val="0"/>
          <w:numId w:val="38"/>
        </w:numPr>
        <w:jc w:val="both"/>
        <w:rPr>
          <w:bCs/>
        </w:rPr>
      </w:pPr>
      <w:r w:rsidRPr="00677A87">
        <w:rPr>
          <w:bCs/>
        </w:rPr>
        <w:t>Account 392.3 – General Plant Heavy Trucks</w:t>
      </w:r>
    </w:p>
    <w:p w:rsidR="009A469B" w:rsidRPr="00677A87" w:rsidRDefault="009A469B" w:rsidP="009A469B">
      <w:pPr>
        <w:widowControl/>
        <w:ind w:left="1440"/>
        <w:jc w:val="both"/>
        <w:rPr>
          <w:bCs/>
        </w:rPr>
      </w:pPr>
    </w:p>
    <w:p w:rsidR="009A469B" w:rsidRPr="00677A87" w:rsidRDefault="009A469B" w:rsidP="009A469B">
      <w:pPr>
        <w:jc w:val="both"/>
        <w:rPr>
          <w:bCs/>
          <w:snapToGrid/>
          <w:szCs w:val="24"/>
        </w:rPr>
      </w:pPr>
      <w:r w:rsidRPr="00677A87">
        <w:rPr>
          <w:b/>
          <w:bCs/>
          <w:u w:val="single"/>
        </w:rPr>
        <w:t>GULF:</w:t>
      </w:r>
      <w:r w:rsidRPr="00677A87">
        <w:rPr>
          <w:bCs/>
        </w:rPr>
        <w:tab/>
        <w:t>T</w:t>
      </w:r>
      <w:r w:rsidRPr="00677A87">
        <w:rPr>
          <w:bCs/>
          <w:snapToGrid/>
          <w:szCs w:val="24"/>
        </w:rPr>
        <w:t>he appropriate net salvage rate</w:t>
      </w:r>
      <w:r w:rsidR="002750E8">
        <w:rPr>
          <w:bCs/>
          <w:snapToGrid/>
          <w:szCs w:val="24"/>
        </w:rPr>
        <w:t>s</w:t>
      </w:r>
      <w:r w:rsidRPr="00677A87">
        <w:rPr>
          <w:bCs/>
          <w:snapToGrid/>
          <w:szCs w:val="24"/>
        </w:rPr>
        <w:t xml:space="preserve"> by account are listed below.  </w:t>
      </w:r>
    </w:p>
    <w:p w:rsidR="009A469B" w:rsidRPr="00677A87" w:rsidRDefault="009A469B" w:rsidP="009A469B">
      <w:pPr>
        <w:widowControl/>
        <w:jc w:val="both"/>
        <w:rPr>
          <w:bCs/>
          <w:snapToGrid/>
          <w:szCs w:val="24"/>
        </w:rPr>
      </w:pPr>
    </w:p>
    <w:p w:rsidR="009A469B" w:rsidRPr="00677A87" w:rsidRDefault="009A469B" w:rsidP="009A469B">
      <w:pPr>
        <w:widowControl/>
        <w:numPr>
          <w:ilvl w:val="0"/>
          <w:numId w:val="38"/>
        </w:numPr>
        <w:jc w:val="both"/>
        <w:rPr>
          <w:bCs/>
          <w:snapToGrid/>
          <w:szCs w:val="24"/>
        </w:rPr>
      </w:pPr>
      <w:r w:rsidRPr="00677A87">
        <w:rPr>
          <w:bCs/>
          <w:snapToGrid/>
          <w:szCs w:val="24"/>
        </w:rPr>
        <w:t xml:space="preserve">Account 356 </w:t>
      </w:r>
      <w:r w:rsidRPr="00677A87">
        <w:rPr>
          <w:bCs/>
          <w:snapToGrid/>
          <w:szCs w:val="24"/>
        </w:rPr>
        <w:tab/>
        <w:t xml:space="preserve"> -30%</w:t>
      </w:r>
    </w:p>
    <w:p w:rsidR="009A469B" w:rsidRPr="00677A87" w:rsidRDefault="009A469B" w:rsidP="009A469B">
      <w:pPr>
        <w:widowControl/>
        <w:numPr>
          <w:ilvl w:val="0"/>
          <w:numId w:val="38"/>
        </w:numPr>
        <w:jc w:val="both"/>
        <w:rPr>
          <w:bCs/>
          <w:snapToGrid/>
          <w:szCs w:val="24"/>
        </w:rPr>
      </w:pPr>
      <w:r w:rsidRPr="00677A87">
        <w:rPr>
          <w:bCs/>
          <w:snapToGrid/>
          <w:szCs w:val="24"/>
        </w:rPr>
        <w:t>Account 362    -  8%</w:t>
      </w:r>
    </w:p>
    <w:p w:rsidR="009A469B" w:rsidRPr="00677A87" w:rsidRDefault="009A469B" w:rsidP="009A469B">
      <w:pPr>
        <w:widowControl/>
        <w:numPr>
          <w:ilvl w:val="0"/>
          <w:numId w:val="38"/>
        </w:numPr>
        <w:jc w:val="both"/>
        <w:rPr>
          <w:bCs/>
          <w:snapToGrid/>
          <w:szCs w:val="24"/>
        </w:rPr>
      </w:pPr>
      <w:r w:rsidRPr="00677A87">
        <w:rPr>
          <w:bCs/>
          <w:snapToGrid/>
          <w:szCs w:val="24"/>
        </w:rPr>
        <w:t xml:space="preserve">Account 368 </w:t>
      </w:r>
      <w:r w:rsidRPr="00677A87">
        <w:rPr>
          <w:bCs/>
          <w:snapToGrid/>
          <w:szCs w:val="24"/>
        </w:rPr>
        <w:tab/>
        <w:t>- 24%</w:t>
      </w:r>
    </w:p>
    <w:p w:rsidR="009A469B" w:rsidRPr="00677A87" w:rsidRDefault="009A469B" w:rsidP="009A469B">
      <w:pPr>
        <w:widowControl/>
        <w:numPr>
          <w:ilvl w:val="0"/>
          <w:numId w:val="38"/>
        </w:numPr>
        <w:jc w:val="both"/>
        <w:rPr>
          <w:bCs/>
          <w:snapToGrid/>
          <w:szCs w:val="24"/>
        </w:rPr>
      </w:pPr>
      <w:r w:rsidRPr="00677A87">
        <w:rPr>
          <w:bCs/>
          <w:snapToGrid/>
          <w:szCs w:val="24"/>
        </w:rPr>
        <w:t xml:space="preserve">Account 390 </w:t>
      </w:r>
      <w:r w:rsidRPr="00677A87">
        <w:rPr>
          <w:bCs/>
          <w:snapToGrid/>
          <w:szCs w:val="24"/>
        </w:rPr>
        <w:tab/>
        <w:t>-  5%</w:t>
      </w:r>
    </w:p>
    <w:p w:rsidR="009A469B" w:rsidRPr="00677A87" w:rsidRDefault="009A469B" w:rsidP="009A469B">
      <w:pPr>
        <w:widowControl/>
        <w:numPr>
          <w:ilvl w:val="0"/>
          <w:numId w:val="38"/>
        </w:numPr>
        <w:jc w:val="both"/>
        <w:rPr>
          <w:bCs/>
          <w:snapToGrid/>
          <w:szCs w:val="24"/>
        </w:rPr>
      </w:pPr>
      <w:r w:rsidRPr="00677A87">
        <w:rPr>
          <w:bCs/>
          <w:snapToGrid/>
          <w:szCs w:val="24"/>
        </w:rPr>
        <w:t>Account 392.3 +13%</w:t>
      </w:r>
    </w:p>
    <w:p w:rsidR="00151091" w:rsidRPr="00677A87" w:rsidRDefault="00151091" w:rsidP="00151091">
      <w:pPr>
        <w:jc w:val="both"/>
        <w:rPr>
          <w:bCs/>
        </w:rPr>
      </w:pPr>
    </w:p>
    <w:p w:rsidR="00DC0CCA" w:rsidRPr="00677A87" w:rsidRDefault="00DC0CCA" w:rsidP="00151091">
      <w:pPr>
        <w:jc w:val="both"/>
        <w:rPr>
          <w:bCs/>
        </w:rPr>
      </w:pPr>
    </w:p>
    <w:p w:rsidR="00151091" w:rsidRPr="00677A87" w:rsidRDefault="00151091" w:rsidP="00A344AF">
      <w:pPr>
        <w:ind w:left="1440" w:hanging="1440"/>
        <w:jc w:val="both"/>
        <w:rPr>
          <w:bCs/>
        </w:rPr>
      </w:pPr>
      <w:r w:rsidRPr="00677A87">
        <w:rPr>
          <w:b/>
          <w:bCs/>
          <w:u w:val="single"/>
        </w:rPr>
        <w:t>Issue 10:</w:t>
      </w:r>
      <w:r w:rsidR="00A344AF" w:rsidRPr="00677A87">
        <w:rPr>
          <w:bCs/>
        </w:rPr>
        <w:tab/>
      </w:r>
      <w:r w:rsidRPr="00677A87">
        <w:rPr>
          <w:bCs/>
        </w:rPr>
        <w:t>Is Gulf’s base cost of dismantlement appropriate?  If not, what adjustments should be made?</w:t>
      </w:r>
    </w:p>
    <w:p w:rsidR="00A344AF" w:rsidRPr="00677A87" w:rsidRDefault="00A344AF" w:rsidP="00A344AF">
      <w:pPr>
        <w:ind w:left="1440" w:hanging="1440"/>
        <w:jc w:val="both"/>
        <w:rPr>
          <w:bCs/>
        </w:rPr>
      </w:pPr>
    </w:p>
    <w:p w:rsidR="001962F1" w:rsidRPr="00677A87" w:rsidRDefault="00A344AF" w:rsidP="001962F1">
      <w:pPr>
        <w:ind w:left="1440" w:hanging="1440"/>
        <w:jc w:val="both"/>
        <w:rPr>
          <w:bCs/>
          <w:snapToGrid/>
          <w:szCs w:val="24"/>
        </w:rPr>
      </w:pPr>
      <w:r w:rsidRPr="00677A87">
        <w:rPr>
          <w:b/>
          <w:bCs/>
          <w:u w:val="single"/>
        </w:rPr>
        <w:t>GULF:</w:t>
      </w:r>
      <w:r w:rsidRPr="00677A87">
        <w:rPr>
          <w:bCs/>
        </w:rPr>
        <w:tab/>
      </w:r>
      <w:r w:rsidR="001962F1" w:rsidRPr="00677A87">
        <w:rPr>
          <w:bCs/>
          <w:snapToGrid/>
          <w:szCs w:val="24"/>
        </w:rPr>
        <w:t>Yes.  Gulf’s dismantlement cost of $7 million is based upon Gulf’s dismantlement study and is a $2.</w:t>
      </w:r>
      <w:r w:rsidR="00913A4C">
        <w:rPr>
          <w:bCs/>
          <w:snapToGrid/>
          <w:szCs w:val="24"/>
        </w:rPr>
        <w:t>6</w:t>
      </w:r>
      <w:r w:rsidR="001962F1" w:rsidRPr="00677A87">
        <w:rPr>
          <w:bCs/>
          <w:snapToGrid/>
          <w:szCs w:val="24"/>
        </w:rPr>
        <w:t xml:space="preserve"> million reduction from the currently approved cost.  </w:t>
      </w:r>
      <w:r w:rsidR="002F6F5B">
        <w:rPr>
          <w:bCs/>
          <w:snapToGrid/>
          <w:szCs w:val="24"/>
        </w:rPr>
        <w:t xml:space="preserve">In contrast, </w:t>
      </w:r>
      <w:r w:rsidR="003A4F57">
        <w:rPr>
          <w:bCs/>
          <w:snapToGrid/>
          <w:szCs w:val="24"/>
        </w:rPr>
        <w:t>OPC witness</w:t>
      </w:r>
      <w:r w:rsidR="001962F1" w:rsidRPr="00677A87">
        <w:rPr>
          <w:bCs/>
          <w:snapToGrid/>
          <w:szCs w:val="24"/>
        </w:rPr>
        <w:t xml:space="preserve"> </w:t>
      </w:r>
      <w:proofErr w:type="spellStart"/>
      <w:r w:rsidR="001962F1" w:rsidRPr="00677A87">
        <w:rPr>
          <w:bCs/>
          <w:snapToGrid/>
          <w:szCs w:val="24"/>
        </w:rPr>
        <w:t>Pous</w:t>
      </w:r>
      <w:proofErr w:type="spellEnd"/>
      <w:r w:rsidR="003A4F57">
        <w:rPr>
          <w:bCs/>
          <w:snapToGrid/>
          <w:szCs w:val="24"/>
        </w:rPr>
        <w:t>’</w:t>
      </w:r>
      <w:r w:rsidR="001962F1" w:rsidRPr="00677A87">
        <w:rPr>
          <w:bCs/>
          <w:snapToGrid/>
          <w:szCs w:val="24"/>
        </w:rPr>
        <w:t xml:space="preserve"> $</w:t>
      </w:r>
      <w:r w:rsidR="002F6F5B">
        <w:rPr>
          <w:bCs/>
          <w:snapToGrid/>
          <w:szCs w:val="24"/>
        </w:rPr>
        <w:t>0</w:t>
      </w:r>
      <w:r w:rsidR="001962F1" w:rsidRPr="00677A87">
        <w:rPr>
          <w:bCs/>
          <w:snapToGrid/>
          <w:szCs w:val="24"/>
        </w:rPr>
        <w:t>.7 million expense is a 92% reduction from the current Commission-approved level and is an attack on the Commission’s dismantlement rule and prior orders.  (Erickson</w:t>
      </w:r>
      <w:r w:rsidR="00A220F9">
        <w:rPr>
          <w:bCs/>
          <w:snapToGrid/>
          <w:szCs w:val="24"/>
        </w:rPr>
        <w:t>, Deason</w:t>
      </w:r>
      <w:r w:rsidR="001962F1" w:rsidRPr="00677A87">
        <w:rPr>
          <w:bCs/>
          <w:snapToGrid/>
          <w:szCs w:val="24"/>
        </w:rPr>
        <w:t>)</w:t>
      </w:r>
    </w:p>
    <w:p w:rsidR="00A344AF" w:rsidRPr="00677A87" w:rsidRDefault="00A344AF" w:rsidP="00A344AF">
      <w:pPr>
        <w:ind w:left="1440" w:hanging="1440"/>
        <w:jc w:val="both"/>
        <w:rPr>
          <w:bCs/>
        </w:rPr>
      </w:pPr>
    </w:p>
    <w:p w:rsidR="00151091" w:rsidRPr="00677A87" w:rsidRDefault="00151091" w:rsidP="00151091">
      <w:pPr>
        <w:jc w:val="both"/>
        <w:rPr>
          <w:b/>
          <w:bCs/>
        </w:rPr>
      </w:pPr>
    </w:p>
    <w:p w:rsidR="00151091" w:rsidRPr="00677A87" w:rsidRDefault="00151091" w:rsidP="00151091">
      <w:pPr>
        <w:jc w:val="both"/>
        <w:rPr>
          <w:bCs/>
        </w:rPr>
      </w:pPr>
      <w:r w:rsidRPr="00677A87">
        <w:rPr>
          <w:b/>
          <w:bCs/>
          <w:u w:val="single"/>
        </w:rPr>
        <w:t>Issue 10A</w:t>
      </w:r>
      <w:r w:rsidRPr="00677A87">
        <w:rPr>
          <w:b/>
          <w:bCs/>
        </w:rPr>
        <w:t>:</w:t>
      </w:r>
      <w:r w:rsidR="00A344AF" w:rsidRPr="00677A87">
        <w:rPr>
          <w:b/>
          <w:bCs/>
        </w:rPr>
        <w:tab/>
      </w:r>
      <w:r w:rsidRPr="00677A87">
        <w:rPr>
          <w:bCs/>
        </w:rPr>
        <w:t>Is Gulf’s 10% contingency component for dismantlement appropriate?</w:t>
      </w:r>
    </w:p>
    <w:p w:rsidR="00A344AF" w:rsidRPr="00677A87" w:rsidRDefault="00A344AF" w:rsidP="00151091">
      <w:pPr>
        <w:jc w:val="both"/>
        <w:rPr>
          <w:bCs/>
        </w:rPr>
      </w:pPr>
    </w:p>
    <w:p w:rsidR="00975F0C" w:rsidRPr="00677A87" w:rsidRDefault="00A344AF" w:rsidP="00975F0C">
      <w:pPr>
        <w:ind w:left="1440" w:hanging="1440"/>
        <w:jc w:val="both"/>
        <w:rPr>
          <w:bCs/>
          <w:snapToGrid/>
          <w:szCs w:val="24"/>
        </w:rPr>
      </w:pPr>
      <w:r w:rsidRPr="00677A87">
        <w:rPr>
          <w:b/>
          <w:bCs/>
          <w:u w:val="single"/>
        </w:rPr>
        <w:t>GULF:</w:t>
      </w:r>
      <w:r w:rsidRPr="00677A87">
        <w:rPr>
          <w:bCs/>
        </w:rPr>
        <w:tab/>
      </w:r>
      <w:r w:rsidR="00975F0C" w:rsidRPr="00677A87">
        <w:rPr>
          <w:bCs/>
          <w:snapToGrid/>
          <w:szCs w:val="24"/>
        </w:rPr>
        <w:t xml:space="preserve">Yes.  The Commission’s dismantlement rule envisions the use of a contingency factor, and the 10% factor chosen for use in </w:t>
      </w:r>
      <w:r w:rsidR="009C56D5">
        <w:rPr>
          <w:bCs/>
          <w:snapToGrid/>
          <w:szCs w:val="24"/>
        </w:rPr>
        <w:t>Gulf’s</w:t>
      </w:r>
      <w:r w:rsidR="009C56D5" w:rsidRPr="00677A87">
        <w:rPr>
          <w:bCs/>
          <w:snapToGrid/>
          <w:szCs w:val="24"/>
        </w:rPr>
        <w:t xml:space="preserve"> </w:t>
      </w:r>
      <w:r w:rsidR="00975F0C" w:rsidRPr="00677A87">
        <w:rPr>
          <w:bCs/>
          <w:snapToGrid/>
          <w:szCs w:val="24"/>
        </w:rPr>
        <w:t xml:space="preserve">study is below other recently approved factors.  </w:t>
      </w:r>
      <w:r w:rsidR="00E64F8D">
        <w:rPr>
          <w:bCs/>
          <w:snapToGrid/>
          <w:szCs w:val="24"/>
        </w:rPr>
        <w:t>OPC witness</w:t>
      </w:r>
      <w:r w:rsidR="00975F0C" w:rsidRPr="00677A87">
        <w:rPr>
          <w:bCs/>
          <w:snapToGrid/>
          <w:szCs w:val="24"/>
        </w:rPr>
        <w:t xml:space="preserve"> </w:t>
      </w:r>
      <w:proofErr w:type="spellStart"/>
      <w:r w:rsidR="00975F0C" w:rsidRPr="00677A87">
        <w:rPr>
          <w:bCs/>
          <w:snapToGrid/>
          <w:szCs w:val="24"/>
        </w:rPr>
        <w:t>Pous</w:t>
      </w:r>
      <w:proofErr w:type="spellEnd"/>
      <w:r w:rsidR="00975F0C" w:rsidRPr="00677A87">
        <w:rPr>
          <w:bCs/>
          <w:snapToGrid/>
          <w:szCs w:val="24"/>
        </w:rPr>
        <w:t>’ removal of any contingency factor is inconsistent with the Commission’s dismantlement rule</w:t>
      </w:r>
      <w:r w:rsidR="00801C6D">
        <w:rPr>
          <w:bCs/>
          <w:snapToGrid/>
          <w:szCs w:val="24"/>
        </w:rPr>
        <w:t xml:space="preserve"> and past Commission practice</w:t>
      </w:r>
      <w:r w:rsidR="00975F0C" w:rsidRPr="00677A87">
        <w:rPr>
          <w:bCs/>
          <w:snapToGrid/>
          <w:szCs w:val="24"/>
        </w:rPr>
        <w:t xml:space="preserve">.  </w:t>
      </w:r>
      <w:r w:rsidR="00A220F9">
        <w:rPr>
          <w:bCs/>
          <w:snapToGrid/>
          <w:szCs w:val="24"/>
        </w:rPr>
        <w:t>(</w:t>
      </w:r>
      <w:r w:rsidR="00975F0C" w:rsidRPr="00677A87">
        <w:rPr>
          <w:bCs/>
          <w:snapToGrid/>
          <w:szCs w:val="24"/>
        </w:rPr>
        <w:t>Erickson</w:t>
      </w:r>
      <w:r w:rsidR="00A220F9">
        <w:rPr>
          <w:bCs/>
          <w:snapToGrid/>
          <w:szCs w:val="24"/>
        </w:rPr>
        <w:t>, Deason</w:t>
      </w:r>
      <w:r w:rsidR="00975F0C" w:rsidRPr="00677A87">
        <w:rPr>
          <w:bCs/>
          <w:snapToGrid/>
          <w:szCs w:val="24"/>
        </w:rPr>
        <w:t>)</w:t>
      </w:r>
    </w:p>
    <w:p w:rsidR="00A344AF" w:rsidRPr="00677A87" w:rsidRDefault="00A344AF" w:rsidP="00151091">
      <w:pPr>
        <w:jc w:val="both"/>
        <w:rPr>
          <w:bCs/>
        </w:rPr>
      </w:pPr>
    </w:p>
    <w:p w:rsidR="00151091" w:rsidRPr="00677A87" w:rsidRDefault="00151091" w:rsidP="00151091">
      <w:pPr>
        <w:jc w:val="both"/>
        <w:rPr>
          <w:bCs/>
        </w:rPr>
      </w:pPr>
    </w:p>
    <w:p w:rsidR="00A344AF" w:rsidRPr="00677A87" w:rsidRDefault="00151091" w:rsidP="00A344AF">
      <w:pPr>
        <w:ind w:left="1440" w:hanging="1440"/>
        <w:jc w:val="both"/>
        <w:rPr>
          <w:bCs/>
        </w:rPr>
      </w:pPr>
      <w:r w:rsidRPr="00677A87">
        <w:rPr>
          <w:b/>
          <w:bCs/>
          <w:u w:val="single"/>
        </w:rPr>
        <w:t>Issue 10B</w:t>
      </w:r>
      <w:r w:rsidRPr="00677A87">
        <w:rPr>
          <w:b/>
          <w:bCs/>
        </w:rPr>
        <w:t>:</w:t>
      </w:r>
      <w:r w:rsidR="00A344AF" w:rsidRPr="00677A87">
        <w:rPr>
          <w:b/>
          <w:bCs/>
        </w:rPr>
        <w:tab/>
      </w:r>
      <w:r w:rsidRPr="00677A87">
        <w:rPr>
          <w:bCs/>
        </w:rPr>
        <w:t xml:space="preserve">Did Gulf properly apply the Commission’s methodology as set forth in Rule 25-6.04364, F.A.C., for escalating future costs and discounting those costs to net present value? </w:t>
      </w:r>
    </w:p>
    <w:p w:rsidR="00A344AF" w:rsidRPr="00677A87" w:rsidRDefault="00A344AF" w:rsidP="00A344AF">
      <w:pPr>
        <w:ind w:left="1440" w:hanging="1440"/>
        <w:jc w:val="both"/>
        <w:rPr>
          <w:bCs/>
        </w:rPr>
      </w:pPr>
    </w:p>
    <w:p w:rsidR="00A344AF" w:rsidRPr="00677A87" w:rsidRDefault="00A344AF" w:rsidP="00A344AF">
      <w:pPr>
        <w:ind w:left="1440" w:hanging="1440"/>
        <w:jc w:val="both"/>
        <w:rPr>
          <w:bCs/>
        </w:rPr>
      </w:pPr>
      <w:r w:rsidRPr="00677A87">
        <w:rPr>
          <w:b/>
          <w:bCs/>
          <w:u w:val="single"/>
        </w:rPr>
        <w:t>GULF:</w:t>
      </w:r>
      <w:r w:rsidRPr="00677A87">
        <w:rPr>
          <w:bCs/>
        </w:rPr>
        <w:tab/>
      </w:r>
      <w:r w:rsidR="007239F3" w:rsidRPr="00677A87">
        <w:rPr>
          <w:bCs/>
        </w:rPr>
        <w:t xml:space="preserve">Yes. </w:t>
      </w:r>
      <w:r w:rsidR="00037907">
        <w:rPr>
          <w:bCs/>
        </w:rPr>
        <w:t>Gulf properly and appropriately applied the Commission’s methodology and no intervenor has supplied testimony to the contrary. O</w:t>
      </w:r>
      <w:r w:rsidR="00E64F8D">
        <w:rPr>
          <w:bCs/>
        </w:rPr>
        <w:t>PC witness</w:t>
      </w:r>
      <w:r w:rsidR="007239F3" w:rsidRPr="00677A87">
        <w:rPr>
          <w:bCs/>
        </w:rPr>
        <w:t xml:space="preserve"> </w:t>
      </w:r>
      <w:proofErr w:type="spellStart"/>
      <w:r w:rsidR="007239F3" w:rsidRPr="00677A87">
        <w:rPr>
          <w:bCs/>
        </w:rPr>
        <w:t>Pous</w:t>
      </w:r>
      <w:proofErr w:type="spellEnd"/>
      <w:r w:rsidR="007239F3" w:rsidRPr="00677A87">
        <w:rPr>
          <w:bCs/>
        </w:rPr>
        <w:t xml:space="preserve">’ proposed </w:t>
      </w:r>
      <w:r w:rsidR="00A75314">
        <w:rPr>
          <w:bCs/>
        </w:rPr>
        <w:t>adjustment</w:t>
      </w:r>
      <w:r w:rsidR="00037907">
        <w:rPr>
          <w:bCs/>
        </w:rPr>
        <w:t xml:space="preserve">, on the other hand, </w:t>
      </w:r>
      <w:r w:rsidR="007239F3" w:rsidRPr="00677A87">
        <w:rPr>
          <w:bCs/>
        </w:rPr>
        <w:t xml:space="preserve">is inconsistent with the method set forth in the </w:t>
      </w:r>
      <w:r w:rsidR="00037907">
        <w:rPr>
          <w:bCs/>
        </w:rPr>
        <w:t xml:space="preserve">Commission’s </w:t>
      </w:r>
      <w:r w:rsidR="007239F3" w:rsidRPr="00677A87">
        <w:rPr>
          <w:bCs/>
        </w:rPr>
        <w:t>rule.  (Erickson</w:t>
      </w:r>
      <w:r w:rsidR="009502DA">
        <w:rPr>
          <w:bCs/>
        </w:rPr>
        <w:t>, Deason</w:t>
      </w:r>
      <w:r w:rsidR="007239F3" w:rsidRPr="00677A87">
        <w:rPr>
          <w:bCs/>
        </w:rPr>
        <w:t xml:space="preserve">)      </w:t>
      </w:r>
    </w:p>
    <w:p w:rsidR="00151091" w:rsidRPr="00677A87" w:rsidRDefault="00151091" w:rsidP="00A344AF">
      <w:pPr>
        <w:ind w:left="1440" w:hanging="1440"/>
        <w:jc w:val="both"/>
        <w:rPr>
          <w:bCs/>
        </w:rPr>
      </w:pPr>
      <w:r w:rsidRPr="00677A87">
        <w:rPr>
          <w:b/>
          <w:bCs/>
          <w:u w:val="single"/>
        </w:rPr>
        <w:lastRenderedPageBreak/>
        <w:t>Issue 10C</w:t>
      </w:r>
      <w:r w:rsidRPr="00677A87">
        <w:rPr>
          <w:b/>
          <w:bCs/>
        </w:rPr>
        <w:t>:</w:t>
      </w:r>
      <w:r w:rsidR="00A344AF" w:rsidRPr="00677A87">
        <w:rPr>
          <w:b/>
          <w:bCs/>
        </w:rPr>
        <w:tab/>
      </w:r>
      <w:r w:rsidRPr="00677A87">
        <w:rPr>
          <w:bCs/>
        </w:rPr>
        <w:t>Based on the decisions in Issues 10 through 10B, what is the appropriate annual accrual for dismantlement?</w:t>
      </w:r>
    </w:p>
    <w:p w:rsidR="00832A86" w:rsidRPr="00677A87" w:rsidRDefault="00832A86" w:rsidP="00A344AF">
      <w:pPr>
        <w:ind w:left="1440" w:hanging="1440"/>
        <w:jc w:val="both"/>
        <w:rPr>
          <w:bCs/>
        </w:rPr>
      </w:pPr>
    </w:p>
    <w:p w:rsidR="00832A86" w:rsidRPr="00677A87" w:rsidRDefault="00A344AF" w:rsidP="00832A86">
      <w:pPr>
        <w:ind w:left="1440" w:hanging="1440"/>
        <w:jc w:val="both"/>
        <w:rPr>
          <w:bCs/>
          <w:snapToGrid/>
          <w:szCs w:val="24"/>
        </w:rPr>
      </w:pPr>
      <w:r w:rsidRPr="00677A87">
        <w:rPr>
          <w:b/>
          <w:bCs/>
          <w:u w:val="single"/>
        </w:rPr>
        <w:t>GULF:</w:t>
      </w:r>
      <w:r w:rsidRPr="00677A87">
        <w:rPr>
          <w:b/>
          <w:bCs/>
        </w:rPr>
        <w:tab/>
      </w:r>
      <w:r w:rsidR="00832A86" w:rsidRPr="00677A87">
        <w:rPr>
          <w:bCs/>
          <w:snapToGrid/>
          <w:szCs w:val="24"/>
        </w:rPr>
        <w:t>$7,023,000 is the annual accrual for dismantlement that Gulf’s dismantlement study supports.  This is $2.</w:t>
      </w:r>
      <w:r w:rsidR="004C6E75">
        <w:rPr>
          <w:bCs/>
          <w:snapToGrid/>
          <w:szCs w:val="24"/>
        </w:rPr>
        <w:t>6</w:t>
      </w:r>
      <w:r w:rsidR="00832A86" w:rsidRPr="00677A87">
        <w:rPr>
          <w:bCs/>
          <w:snapToGrid/>
          <w:szCs w:val="24"/>
        </w:rPr>
        <w:t xml:space="preserve"> million </w:t>
      </w:r>
      <w:r w:rsidR="00253856">
        <w:rPr>
          <w:bCs/>
          <w:snapToGrid/>
          <w:szCs w:val="24"/>
        </w:rPr>
        <w:t xml:space="preserve">less than </w:t>
      </w:r>
      <w:r w:rsidR="00832A86" w:rsidRPr="00677A87">
        <w:rPr>
          <w:bCs/>
          <w:snapToGrid/>
          <w:szCs w:val="24"/>
        </w:rPr>
        <w:t>or a 27% reduction from the currently-approved level of the dismantlement accrual.  (Erickson</w:t>
      </w:r>
      <w:r w:rsidR="009502DA">
        <w:rPr>
          <w:bCs/>
          <w:snapToGrid/>
          <w:szCs w:val="24"/>
        </w:rPr>
        <w:t>, Deason</w:t>
      </w:r>
      <w:r w:rsidR="00832A86" w:rsidRPr="00677A87">
        <w:rPr>
          <w:bCs/>
          <w:snapToGrid/>
          <w:szCs w:val="24"/>
        </w:rPr>
        <w:t>)</w:t>
      </w:r>
    </w:p>
    <w:p w:rsidR="00832A86" w:rsidRPr="00677A87" w:rsidRDefault="00832A86" w:rsidP="00832A86">
      <w:pPr>
        <w:widowControl/>
        <w:jc w:val="both"/>
        <w:rPr>
          <w:bCs/>
          <w:snapToGrid/>
          <w:szCs w:val="24"/>
        </w:rPr>
      </w:pPr>
    </w:p>
    <w:p w:rsidR="002D0E05" w:rsidRPr="00677A87" w:rsidRDefault="002D0E05" w:rsidP="00A344AF">
      <w:pPr>
        <w:ind w:left="1440" w:hanging="1440"/>
        <w:jc w:val="both"/>
        <w:rPr>
          <w:bCs/>
        </w:rPr>
      </w:pPr>
    </w:p>
    <w:p w:rsidR="00151091" w:rsidRPr="00677A87" w:rsidRDefault="00151091" w:rsidP="00A344AF">
      <w:pPr>
        <w:ind w:left="1440" w:hanging="1440"/>
        <w:jc w:val="both"/>
        <w:rPr>
          <w:bCs/>
        </w:rPr>
      </w:pPr>
      <w:r w:rsidRPr="00677A87">
        <w:rPr>
          <w:b/>
          <w:bCs/>
          <w:u w:val="single"/>
        </w:rPr>
        <w:t>Issue 11:</w:t>
      </w:r>
      <w:r w:rsidR="00A344AF" w:rsidRPr="00677A87">
        <w:rPr>
          <w:bCs/>
        </w:rPr>
        <w:tab/>
      </w:r>
      <w:r w:rsidRPr="00677A87">
        <w:rPr>
          <w:bCs/>
        </w:rPr>
        <w:t>What should the implementation date for the recommended depreciation rates, amortizations and dismantlement provisions be?</w:t>
      </w:r>
    </w:p>
    <w:p w:rsidR="00A344AF" w:rsidRPr="00677A87" w:rsidRDefault="00A344AF" w:rsidP="00A344AF">
      <w:pPr>
        <w:ind w:left="1440" w:hanging="1440"/>
        <w:jc w:val="both"/>
        <w:rPr>
          <w:bCs/>
        </w:rPr>
      </w:pPr>
    </w:p>
    <w:p w:rsidR="00981A32" w:rsidRPr="00677A87" w:rsidRDefault="00A344AF" w:rsidP="00981A32">
      <w:pPr>
        <w:ind w:left="1440" w:hanging="1440"/>
        <w:jc w:val="both"/>
        <w:rPr>
          <w:bCs/>
          <w:snapToGrid/>
          <w:szCs w:val="24"/>
        </w:rPr>
      </w:pPr>
      <w:r w:rsidRPr="00677A87">
        <w:rPr>
          <w:b/>
          <w:bCs/>
          <w:u w:val="single"/>
        </w:rPr>
        <w:t>GULF:</w:t>
      </w:r>
      <w:r w:rsidRPr="00677A87">
        <w:rPr>
          <w:bCs/>
        </w:rPr>
        <w:tab/>
      </w:r>
      <w:r w:rsidR="00981A32" w:rsidRPr="00677A87">
        <w:rPr>
          <w:bCs/>
          <w:snapToGrid/>
          <w:szCs w:val="24"/>
        </w:rPr>
        <w:t xml:space="preserve">The implementation date should </w:t>
      </w:r>
      <w:r w:rsidR="006F4261">
        <w:rPr>
          <w:bCs/>
          <w:snapToGrid/>
          <w:szCs w:val="24"/>
        </w:rPr>
        <w:t>be January 1, 2014</w:t>
      </w:r>
      <w:r w:rsidR="00981A32" w:rsidRPr="00677A87">
        <w:rPr>
          <w:bCs/>
          <w:snapToGrid/>
          <w:szCs w:val="24"/>
        </w:rPr>
        <w:t>.  (Erickson)</w:t>
      </w:r>
    </w:p>
    <w:p w:rsidR="00A344AF" w:rsidRPr="00677A87" w:rsidRDefault="00A344AF" w:rsidP="00A344AF">
      <w:pPr>
        <w:ind w:left="1440" w:hanging="1440"/>
        <w:jc w:val="both"/>
        <w:rPr>
          <w:bCs/>
        </w:rPr>
      </w:pPr>
    </w:p>
    <w:p w:rsidR="00151091" w:rsidRPr="00677A87" w:rsidRDefault="00151091" w:rsidP="00151091">
      <w:pPr>
        <w:jc w:val="both"/>
        <w:rPr>
          <w:bCs/>
        </w:rPr>
      </w:pPr>
    </w:p>
    <w:p w:rsidR="00151091" w:rsidRPr="00677A87" w:rsidRDefault="00151091" w:rsidP="00151091">
      <w:pPr>
        <w:jc w:val="both"/>
        <w:rPr>
          <w:bCs/>
        </w:rPr>
      </w:pPr>
      <w:r w:rsidRPr="00677A87">
        <w:rPr>
          <w:b/>
          <w:bCs/>
          <w:u w:val="single"/>
        </w:rPr>
        <w:t>Issue 12:</w:t>
      </w:r>
      <w:r w:rsidR="00A344AF" w:rsidRPr="00677A87">
        <w:rPr>
          <w:bCs/>
        </w:rPr>
        <w:t xml:space="preserve"> </w:t>
      </w:r>
      <w:r w:rsidR="00A344AF" w:rsidRPr="00677A87">
        <w:rPr>
          <w:bCs/>
        </w:rPr>
        <w:tab/>
      </w:r>
      <w:r w:rsidRPr="00677A87">
        <w:rPr>
          <w:bCs/>
        </w:rPr>
        <w:t>What, if any, corrective reserve allocations should be made?</w:t>
      </w:r>
    </w:p>
    <w:p w:rsidR="00A344AF" w:rsidRPr="00677A87" w:rsidRDefault="00A344AF" w:rsidP="00151091">
      <w:pPr>
        <w:jc w:val="both"/>
        <w:rPr>
          <w:bCs/>
        </w:rPr>
      </w:pPr>
    </w:p>
    <w:p w:rsidR="00981A32" w:rsidRPr="00677A87" w:rsidRDefault="00A344AF" w:rsidP="00981A32">
      <w:pPr>
        <w:ind w:left="1440" w:hanging="1440"/>
        <w:jc w:val="both"/>
        <w:rPr>
          <w:bCs/>
          <w:snapToGrid/>
          <w:szCs w:val="24"/>
        </w:rPr>
      </w:pPr>
      <w:r w:rsidRPr="00677A87">
        <w:rPr>
          <w:b/>
          <w:bCs/>
          <w:u w:val="single"/>
        </w:rPr>
        <w:t>GULF:</w:t>
      </w:r>
      <w:r w:rsidRPr="00677A87">
        <w:rPr>
          <w:bCs/>
        </w:rPr>
        <w:tab/>
      </w:r>
      <w:r w:rsidR="00981A32" w:rsidRPr="00677A87">
        <w:rPr>
          <w:bCs/>
          <w:snapToGrid/>
          <w:szCs w:val="24"/>
        </w:rPr>
        <w:t>None.  No corrective reserve allocations have been proposed by any intervenors. (Huck, Erickson)</w:t>
      </w:r>
    </w:p>
    <w:p w:rsidR="00A344AF" w:rsidRPr="00677A87" w:rsidRDefault="00A344AF" w:rsidP="00151091">
      <w:pPr>
        <w:jc w:val="both"/>
        <w:rPr>
          <w:bCs/>
        </w:rPr>
      </w:pPr>
    </w:p>
    <w:p w:rsidR="00FF004B" w:rsidRDefault="00FF004B" w:rsidP="00A344AF">
      <w:pPr>
        <w:widowControl/>
        <w:jc w:val="center"/>
        <w:rPr>
          <w:b/>
          <w:bCs/>
          <w:snapToGrid/>
          <w:szCs w:val="24"/>
          <w:u w:val="single"/>
        </w:rPr>
      </w:pPr>
    </w:p>
    <w:p w:rsidR="00A344AF" w:rsidRPr="00677A87" w:rsidRDefault="00A344AF" w:rsidP="00A344AF">
      <w:pPr>
        <w:widowControl/>
        <w:jc w:val="center"/>
        <w:rPr>
          <w:b/>
          <w:bCs/>
          <w:snapToGrid/>
          <w:szCs w:val="24"/>
          <w:u w:val="single"/>
        </w:rPr>
      </w:pPr>
      <w:r w:rsidRPr="00677A87">
        <w:rPr>
          <w:b/>
          <w:bCs/>
          <w:snapToGrid/>
          <w:szCs w:val="24"/>
          <w:u w:val="single"/>
        </w:rPr>
        <w:t>Transmission Projects</w:t>
      </w:r>
    </w:p>
    <w:p w:rsidR="00A344AF" w:rsidRPr="00677A87" w:rsidRDefault="00A344AF" w:rsidP="00A344AF">
      <w:pPr>
        <w:widowControl/>
        <w:jc w:val="center"/>
        <w:rPr>
          <w:b/>
          <w:bCs/>
          <w:snapToGrid/>
          <w:szCs w:val="24"/>
          <w:u w:val="single"/>
        </w:rPr>
      </w:pPr>
    </w:p>
    <w:p w:rsidR="00CD073B" w:rsidRPr="00677A87" w:rsidRDefault="00344357" w:rsidP="00CD073B">
      <w:pPr>
        <w:widowControl/>
        <w:ind w:left="2880" w:hanging="2880"/>
        <w:rPr>
          <w:snapToGrid/>
          <w:szCs w:val="24"/>
        </w:rPr>
      </w:pPr>
      <w:r>
        <w:rPr>
          <w:b/>
          <w:snapToGrid/>
          <w:szCs w:val="24"/>
          <w:u w:val="single"/>
        </w:rPr>
        <w:t>1</w:t>
      </w:r>
      <w:r w:rsidRPr="00E06A3B">
        <w:rPr>
          <w:b/>
          <w:snapToGrid/>
          <w:szCs w:val="24"/>
          <w:u w:val="single"/>
          <w:vertAlign w:val="superscript"/>
        </w:rPr>
        <w:t>st</w:t>
      </w:r>
      <w:r>
        <w:rPr>
          <w:b/>
          <w:snapToGrid/>
          <w:szCs w:val="24"/>
          <w:u w:val="single"/>
        </w:rPr>
        <w:t xml:space="preserve"> </w:t>
      </w:r>
      <w:r w:rsidR="00A344AF" w:rsidRPr="00677A87">
        <w:rPr>
          <w:b/>
          <w:snapToGrid/>
          <w:szCs w:val="24"/>
          <w:u w:val="single"/>
        </w:rPr>
        <w:t>GULF/</w:t>
      </w:r>
      <w:proofErr w:type="gramStart"/>
      <w:r w:rsidR="00A344AF" w:rsidRPr="00677A87">
        <w:rPr>
          <w:b/>
          <w:snapToGrid/>
          <w:szCs w:val="24"/>
          <w:u w:val="single"/>
        </w:rPr>
        <w:t>STAFF  ISSUE</w:t>
      </w:r>
      <w:proofErr w:type="gramEnd"/>
      <w:r w:rsidR="00A344AF" w:rsidRPr="00677A87">
        <w:rPr>
          <w:b/>
          <w:snapToGrid/>
          <w:szCs w:val="24"/>
          <w:u w:val="single"/>
        </w:rPr>
        <w:t>:</w:t>
      </w:r>
      <w:r w:rsidR="00A344AF" w:rsidRPr="00677A87">
        <w:rPr>
          <w:snapToGrid/>
          <w:szCs w:val="24"/>
        </w:rPr>
        <w:t xml:space="preserve"> </w:t>
      </w:r>
    </w:p>
    <w:p w:rsidR="00CD073B" w:rsidRPr="00677A87" w:rsidRDefault="00CD073B" w:rsidP="00CD073B">
      <w:pPr>
        <w:widowControl/>
        <w:ind w:left="2880" w:hanging="2880"/>
        <w:rPr>
          <w:snapToGrid/>
          <w:szCs w:val="24"/>
        </w:rPr>
      </w:pPr>
    </w:p>
    <w:p w:rsidR="00A344AF" w:rsidRPr="00677A87" w:rsidRDefault="00CD073B" w:rsidP="00CD073B">
      <w:pPr>
        <w:widowControl/>
        <w:ind w:left="1440" w:hanging="1440"/>
        <w:rPr>
          <w:snapToGrid/>
          <w:szCs w:val="24"/>
        </w:rPr>
      </w:pPr>
      <w:r w:rsidRPr="00677A87">
        <w:rPr>
          <w:b/>
          <w:snapToGrid/>
          <w:szCs w:val="24"/>
        </w:rPr>
        <w:t>Issue___:</w:t>
      </w:r>
      <w:r w:rsidRPr="00677A87">
        <w:rPr>
          <w:b/>
          <w:snapToGrid/>
          <w:szCs w:val="24"/>
        </w:rPr>
        <w:tab/>
      </w:r>
      <w:r w:rsidR="00A344AF" w:rsidRPr="00677A87">
        <w:rPr>
          <w:snapToGrid/>
          <w:szCs w:val="24"/>
        </w:rPr>
        <w:t>Are the following transmission projects related to Plant Crist appropriate and prudent for cost recovery?</w:t>
      </w:r>
    </w:p>
    <w:p w:rsidR="00A344AF" w:rsidRPr="00677A87" w:rsidRDefault="00CD073B" w:rsidP="00A344AF">
      <w:pPr>
        <w:widowControl/>
        <w:rPr>
          <w:snapToGrid/>
          <w:szCs w:val="24"/>
        </w:rPr>
      </w:pPr>
      <w:r w:rsidRPr="00677A87">
        <w:rPr>
          <w:snapToGrid/>
          <w:szCs w:val="24"/>
        </w:rPr>
        <w:tab/>
      </w:r>
      <w:r w:rsidR="00A344AF" w:rsidRPr="00677A87">
        <w:rPr>
          <w:snapToGrid/>
          <w:szCs w:val="24"/>
        </w:rPr>
        <w:tab/>
      </w:r>
      <w:proofErr w:type="gramStart"/>
      <w:r w:rsidR="00A344AF" w:rsidRPr="00677A87">
        <w:rPr>
          <w:snapToGrid/>
          <w:szCs w:val="24"/>
        </w:rPr>
        <w:t>a.</w:t>
      </w:r>
      <w:r w:rsidR="00A344AF" w:rsidRPr="00677A87">
        <w:rPr>
          <w:snapToGrid/>
          <w:szCs w:val="24"/>
        </w:rPr>
        <w:tab/>
        <w:t>Pensacola</w:t>
      </w:r>
      <w:proofErr w:type="gramEnd"/>
      <w:r w:rsidR="00A344AF" w:rsidRPr="00677A87">
        <w:rPr>
          <w:snapToGrid/>
          <w:szCs w:val="24"/>
        </w:rPr>
        <w:t xml:space="preserve"> SVC (Alligator Swamp)( in-service date 2015)</w:t>
      </w:r>
    </w:p>
    <w:p w:rsidR="00A344AF" w:rsidRPr="00677A87" w:rsidRDefault="00CD073B" w:rsidP="00A344AF">
      <w:pPr>
        <w:widowControl/>
        <w:rPr>
          <w:snapToGrid/>
          <w:szCs w:val="24"/>
        </w:rPr>
      </w:pPr>
      <w:r w:rsidRPr="00677A87">
        <w:rPr>
          <w:snapToGrid/>
          <w:szCs w:val="24"/>
        </w:rPr>
        <w:tab/>
      </w:r>
      <w:r w:rsidR="00A344AF" w:rsidRPr="00677A87">
        <w:rPr>
          <w:snapToGrid/>
          <w:szCs w:val="24"/>
        </w:rPr>
        <w:tab/>
      </w:r>
      <w:proofErr w:type="gramStart"/>
      <w:r w:rsidR="00A344AF" w:rsidRPr="00677A87">
        <w:rPr>
          <w:snapToGrid/>
          <w:szCs w:val="24"/>
        </w:rPr>
        <w:t>b</w:t>
      </w:r>
      <w:proofErr w:type="gramEnd"/>
      <w:r w:rsidR="00A344AF" w:rsidRPr="00677A87">
        <w:rPr>
          <w:snapToGrid/>
          <w:szCs w:val="24"/>
        </w:rPr>
        <w:t>.</w:t>
      </w:r>
      <w:r w:rsidR="00A344AF" w:rsidRPr="00677A87">
        <w:rPr>
          <w:snapToGrid/>
          <w:szCs w:val="24"/>
        </w:rPr>
        <w:tab/>
        <w:t>Alligator Swamp Capacitor Bank (in-service date 2015)</w:t>
      </w:r>
    </w:p>
    <w:p w:rsidR="00A344AF" w:rsidRPr="00677A87" w:rsidRDefault="00A344AF" w:rsidP="00A344AF">
      <w:pPr>
        <w:widowControl/>
        <w:rPr>
          <w:snapToGrid/>
          <w:szCs w:val="24"/>
        </w:rPr>
      </w:pPr>
      <w:r w:rsidRPr="00677A87">
        <w:rPr>
          <w:snapToGrid/>
          <w:szCs w:val="24"/>
        </w:rPr>
        <w:t xml:space="preserve"> </w:t>
      </w:r>
      <w:r w:rsidR="00CD073B" w:rsidRPr="00677A87">
        <w:rPr>
          <w:snapToGrid/>
          <w:szCs w:val="24"/>
        </w:rPr>
        <w:tab/>
      </w:r>
      <w:r w:rsidRPr="00677A87">
        <w:rPr>
          <w:snapToGrid/>
          <w:szCs w:val="24"/>
        </w:rPr>
        <w:tab/>
        <w:t>c.</w:t>
      </w:r>
      <w:r w:rsidRPr="00677A87">
        <w:rPr>
          <w:snapToGrid/>
          <w:szCs w:val="24"/>
        </w:rPr>
        <w:tab/>
        <w:t>North Brewton – Alligator Swamp 230 kV line (in-service date 2015)</w:t>
      </w:r>
    </w:p>
    <w:p w:rsidR="00A344AF" w:rsidRPr="00677A87" w:rsidRDefault="00CD073B" w:rsidP="00A344AF">
      <w:pPr>
        <w:widowControl/>
        <w:rPr>
          <w:snapToGrid/>
          <w:szCs w:val="24"/>
        </w:rPr>
      </w:pPr>
      <w:r w:rsidRPr="00677A87">
        <w:rPr>
          <w:snapToGrid/>
          <w:szCs w:val="24"/>
        </w:rPr>
        <w:tab/>
      </w:r>
      <w:r w:rsidR="00A344AF" w:rsidRPr="00677A87">
        <w:rPr>
          <w:snapToGrid/>
          <w:szCs w:val="24"/>
        </w:rPr>
        <w:tab/>
      </w:r>
      <w:proofErr w:type="gramStart"/>
      <w:r w:rsidR="00A344AF" w:rsidRPr="00677A87">
        <w:rPr>
          <w:snapToGrid/>
          <w:szCs w:val="24"/>
        </w:rPr>
        <w:t>d</w:t>
      </w:r>
      <w:proofErr w:type="gramEnd"/>
      <w:r w:rsidR="00A344AF" w:rsidRPr="00677A87">
        <w:rPr>
          <w:snapToGrid/>
          <w:szCs w:val="24"/>
        </w:rPr>
        <w:t>.</w:t>
      </w:r>
      <w:r w:rsidR="00A344AF" w:rsidRPr="00677A87">
        <w:rPr>
          <w:snapToGrid/>
          <w:szCs w:val="24"/>
        </w:rPr>
        <w:tab/>
        <w:t>Alligator Swamp Substation (in-service date 2015)</w:t>
      </w:r>
    </w:p>
    <w:p w:rsidR="00A344AF" w:rsidRPr="00677A87" w:rsidRDefault="00CD073B" w:rsidP="00A344AF">
      <w:pPr>
        <w:widowControl/>
        <w:rPr>
          <w:snapToGrid/>
          <w:szCs w:val="24"/>
        </w:rPr>
      </w:pPr>
      <w:r w:rsidRPr="00677A87">
        <w:rPr>
          <w:snapToGrid/>
          <w:szCs w:val="24"/>
        </w:rPr>
        <w:tab/>
      </w:r>
      <w:r w:rsidR="00A344AF" w:rsidRPr="00677A87">
        <w:rPr>
          <w:snapToGrid/>
          <w:szCs w:val="24"/>
        </w:rPr>
        <w:tab/>
        <w:t>e.</w:t>
      </w:r>
      <w:r w:rsidR="00A344AF" w:rsidRPr="00677A87">
        <w:rPr>
          <w:snapToGrid/>
          <w:szCs w:val="24"/>
        </w:rPr>
        <w:tab/>
        <w:t>West Pensacola Capacitor Bank (</w:t>
      </w:r>
      <w:proofErr w:type="spellStart"/>
      <w:r w:rsidR="00A344AF" w:rsidRPr="00677A87">
        <w:rPr>
          <w:snapToGrid/>
          <w:szCs w:val="24"/>
        </w:rPr>
        <w:t>Bellview</w:t>
      </w:r>
      <w:proofErr w:type="spellEnd"/>
      <w:r w:rsidR="00A344AF" w:rsidRPr="00677A87">
        <w:rPr>
          <w:snapToGrid/>
          <w:szCs w:val="24"/>
        </w:rPr>
        <w:t>) (in-service date 201</w:t>
      </w:r>
      <w:r w:rsidR="00221F5E">
        <w:rPr>
          <w:snapToGrid/>
          <w:szCs w:val="24"/>
        </w:rPr>
        <w:t>6</w:t>
      </w:r>
      <w:r w:rsidR="00A344AF" w:rsidRPr="00677A87">
        <w:rPr>
          <w:snapToGrid/>
          <w:szCs w:val="24"/>
        </w:rPr>
        <w:t>)</w:t>
      </w:r>
    </w:p>
    <w:p w:rsidR="00A344AF" w:rsidRPr="00677A87" w:rsidRDefault="00A344AF" w:rsidP="00CD073B">
      <w:pPr>
        <w:widowControl/>
        <w:ind w:left="2160" w:hanging="720"/>
        <w:rPr>
          <w:snapToGrid/>
          <w:szCs w:val="24"/>
        </w:rPr>
      </w:pPr>
      <w:r w:rsidRPr="00677A87">
        <w:rPr>
          <w:snapToGrid/>
          <w:szCs w:val="24"/>
        </w:rPr>
        <w:t>f.</w:t>
      </w:r>
      <w:r w:rsidRPr="00677A87">
        <w:rPr>
          <w:snapToGrid/>
          <w:szCs w:val="24"/>
        </w:rPr>
        <w:tab/>
        <w:t xml:space="preserve">Brentwood – Scenic Hills 115 kV Transmission Line </w:t>
      </w:r>
      <w:proofErr w:type="spellStart"/>
      <w:r w:rsidRPr="00677A87">
        <w:rPr>
          <w:snapToGrid/>
          <w:szCs w:val="24"/>
        </w:rPr>
        <w:t>Reconductor</w:t>
      </w:r>
      <w:proofErr w:type="spellEnd"/>
      <w:r w:rsidRPr="00677A87">
        <w:rPr>
          <w:snapToGrid/>
          <w:szCs w:val="24"/>
        </w:rPr>
        <w:t xml:space="preserve"> (in-service date 2017)</w:t>
      </w:r>
    </w:p>
    <w:p w:rsidR="00A344AF" w:rsidRPr="00677A87" w:rsidRDefault="00A344AF" w:rsidP="00CD073B">
      <w:pPr>
        <w:widowControl/>
        <w:ind w:left="2160" w:hanging="720"/>
        <w:rPr>
          <w:snapToGrid/>
          <w:szCs w:val="24"/>
        </w:rPr>
      </w:pPr>
      <w:r w:rsidRPr="00677A87">
        <w:rPr>
          <w:snapToGrid/>
          <w:szCs w:val="24"/>
        </w:rPr>
        <w:t>g.</w:t>
      </w:r>
      <w:r w:rsidRPr="00677A87">
        <w:rPr>
          <w:snapToGrid/>
          <w:szCs w:val="24"/>
        </w:rPr>
        <w:tab/>
        <w:t>West Pensacola +/- 100 MVAR Static VAR Compensator (SVC) (in-service date 2018)</w:t>
      </w:r>
    </w:p>
    <w:p w:rsidR="00A344AF" w:rsidRPr="00677A87" w:rsidRDefault="00A344AF" w:rsidP="00A344AF">
      <w:pPr>
        <w:widowControl/>
        <w:rPr>
          <w:snapToGrid/>
          <w:szCs w:val="24"/>
        </w:rPr>
      </w:pPr>
    </w:p>
    <w:p w:rsidR="00CD073B" w:rsidRDefault="00CD073B" w:rsidP="009502DA">
      <w:pPr>
        <w:widowControl/>
        <w:ind w:left="1440" w:hanging="1440"/>
        <w:rPr>
          <w:snapToGrid/>
          <w:szCs w:val="24"/>
        </w:rPr>
      </w:pPr>
      <w:r w:rsidRPr="00677A87">
        <w:rPr>
          <w:b/>
          <w:snapToGrid/>
          <w:szCs w:val="24"/>
          <w:u w:val="single"/>
        </w:rPr>
        <w:t>GULF:</w:t>
      </w:r>
      <w:r w:rsidRPr="00677A87">
        <w:rPr>
          <w:snapToGrid/>
          <w:szCs w:val="24"/>
        </w:rPr>
        <w:tab/>
      </w:r>
      <w:r w:rsidR="009502DA" w:rsidRPr="00677A87">
        <w:rPr>
          <w:snapToGrid/>
          <w:szCs w:val="24"/>
        </w:rPr>
        <w:t>Yes.  These</w:t>
      </w:r>
      <w:r w:rsidR="009502DA" w:rsidRPr="00677A87">
        <w:rPr>
          <w:szCs w:val="24"/>
        </w:rPr>
        <w:t xml:space="preserve"> transmission projects represent the most reasonable, cost-effective means of complying with the new Mercury and Air Toxics Standards (MATS) while maintaining compliance with NERC </w:t>
      </w:r>
      <w:r w:rsidR="001E7F0C">
        <w:rPr>
          <w:szCs w:val="24"/>
        </w:rPr>
        <w:t>R</w:t>
      </w:r>
      <w:r w:rsidR="009502DA" w:rsidRPr="00677A87">
        <w:rPr>
          <w:szCs w:val="24"/>
        </w:rPr>
        <w:t xml:space="preserve">eliability </w:t>
      </w:r>
      <w:r w:rsidR="001E7F0C">
        <w:rPr>
          <w:szCs w:val="24"/>
        </w:rPr>
        <w:t>S</w:t>
      </w:r>
      <w:r w:rsidR="009502DA" w:rsidRPr="00677A87">
        <w:rPr>
          <w:szCs w:val="24"/>
        </w:rPr>
        <w:t xml:space="preserve">tandards.  </w:t>
      </w:r>
      <w:r w:rsidR="009502DA">
        <w:rPr>
          <w:szCs w:val="24"/>
        </w:rPr>
        <w:t xml:space="preserve">With the present transmission system, some </w:t>
      </w:r>
      <w:r w:rsidR="009502DA" w:rsidRPr="00677A87">
        <w:rPr>
          <w:szCs w:val="24"/>
        </w:rPr>
        <w:t xml:space="preserve">combination of </w:t>
      </w:r>
      <w:r w:rsidR="009502DA">
        <w:rPr>
          <w:szCs w:val="24"/>
        </w:rPr>
        <w:t xml:space="preserve">the </w:t>
      </w:r>
      <w:r w:rsidR="009502DA" w:rsidRPr="00677A87">
        <w:rPr>
          <w:szCs w:val="24"/>
        </w:rPr>
        <w:t xml:space="preserve">four units </w:t>
      </w:r>
      <w:r w:rsidR="009502DA">
        <w:rPr>
          <w:szCs w:val="24"/>
        </w:rPr>
        <w:t xml:space="preserve">at Plant Crist </w:t>
      </w:r>
      <w:r w:rsidR="009502DA" w:rsidRPr="00677A87">
        <w:rPr>
          <w:szCs w:val="24"/>
        </w:rPr>
        <w:t xml:space="preserve">must be available </w:t>
      </w:r>
      <w:r w:rsidR="009502DA">
        <w:rPr>
          <w:szCs w:val="24"/>
        </w:rPr>
        <w:t>to operate</w:t>
      </w:r>
      <w:r w:rsidR="008C07C3">
        <w:rPr>
          <w:szCs w:val="24"/>
        </w:rPr>
        <w:t xml:space="preserve"> </w:t>
      </w:r>
      <w:r w:rsidR="009502DA" w:rsidRPr="00677A87">
        <w:rPr>
          <w:szCs w:val="24"/>
        </w:rPr>
        <w:t xml:space="preserve">to </w:t>
      </w:r>
      <w:r w:rsidR="009502DA">
        <w:rPr>
          <w:szCs w:val="24"/>
        </w:rPr>
        <w:t xml:space="preserve">maintain </w:t>
      </w:r>
      <w:r w:rsidR="009502DA" w:rsidRPr="00677A87">
        <w:rPr>
          <w:szCs w:val="24"/>
        </w:rPr>
        <w:t xml:space="preserve">transmission </w:t>
      </w:r>
      <w:r w:rsidR="008C07C3">
        <w:rPr>
          <w:szCs w:val="24"/>
        </w:rPr>
        <w:t>reliability</w:t>
      </w:r>
      <w:r w:rsidR="009502DA" w:rsidRPr="00677A87">
        <w:rPr>
          <w:szCs w:val="24"/>
        </w:rPr>
        <w:t xml:space="preserve"> under certain system conditions.  </w:t>
      </w:r>
      <w:r w:rsidR="00834325">
        <w:rPr>
          <w:szCs w:val="24"/>
        </w:rPr>
        <w:t xml:space="preserve">Therefore, under certain system conditions, the </w:t>
      </w:r>
      <w:r w:rsidR="006E473B">
        <w:rPr>
          <w:szCs w:val="24"/>
        </w:rPr>
        <w:t xml:space="preserve">Plant </w:t>
      </w:r>
      <w:r w:rsidR="00834325">
        <w:rPr>
          <w:szCs w:val="24"/>
        </w:rPr>
        <w:t xml:space="preserve">Crist Units have been designated as Must-Run to support transmission reliability.  </w:t>
      </w:r>
      <w:r w:rsidR="009502DA" w:rsidRPr="00677A87">
        <w:rPr>
          <w:szCs w:val="24"/>
        </w:rPr>
        <w:t xml:space="preserve">These four units utilize a common scrubber that today may be by-passed to allow a combination of the units to </w:t>
      </w:r>
      <w:r w:rsidR="009502DA">
        <w:rPr>
          <w:szCs w:val="24"/>
        </w:rPr>
        <w:t xml:space="preserve">continue to </w:t>
      </w:r>
      <w:r w:rsidR="009502DA" w:rsidRPr="00677A87">
        <w:rPr>
          <w:szCs w:val="24"/>
        </w:rPr>
        <w:t xml:space="preserve">operate </w:t>
      </w:r>
      <w:r w:rsidR="009502DA">
        <w:rPr>
          <w:szCs w:val="24"/>
        </w:rPr>
        <w:t xml:space="preserve">in order </w:t>
      </w:r>
      <w:r w:rsidR="009502DA" w:rsidRPr="00677A87">
        <w:rPr>
          <w:szCs w:val="24"/>
        </w:rPr>
        <w:t xml:space="preserve">to provide transmission system </w:t>
      </w:r>
      <w:r w:rsidR="000B2521">
        <w:rPr>
          <w:szCs w:val="24"/>
        </w:rPr>
        <w:t>reliability</w:t>
      </w:r>
      <w:r w:rsidR="000B2521" w:rsidRPr="00677A87">
        <w:rPr>
          <w:szCs w:val="24"/>
        </w:rPr>
        <w:t xml:space="preserve"> </w:t>
      </w:r>
      <w:r w:rsidR="009502DA" w:rsidRPr="00677A87">
        <w:rPr>
          <w:szCs w:val="24"/>
        </w:rPr>
        <w:t>when the scrubber is offline.  Beginning in</w:t>
      </w:r>
      <w:r w:rsidR="00383747">
        <w:rPr>
          <w:szCs w:val="24"/>
        </w:rPr>
        <w:t xml:space="preserve"> April</w:t>
      </w:r>
      <w:r w:rsidR="009502DA" w:rsidRPr="00677A87">
        <w:rPr>
          <w:szCs w:val="24"/>
        </w:rPr>
        <w:t xml:space="preserve"> 2015, the new </w:t>
      </w:r>
      <w:r w:rsidR="009502DA" w:rsidRPr="00677A87">
        <w:rPr>
          <w:szCs w:val="24"/>
        </w:rPr>
        <w:lastRenderedPageBreak/>
        <w:t xml:space="preserve">MATS requirements eliminate Gulf’s ability to bypass the scrubber </w:t>
      </w:r>
      <w:r w:rsidR="009502DA">
        <w:rPr>
          <w:szCs w:val="24"/>
        </w:rPr>
        <w:t xml:space="preserve">and continue to generate </w:t>
      </w:r>
      <w:r w:rsidR="00383747">
        <w:rPr>
          <w:szCs w:val="24"/>
        </w:rPr>
        <w:t xml:space="preserve">coal-fired </w:t>
      </w:r>
      <w:r w:rsidR="009502DA">
        <w:rPr>
          <w:szCs w:val="24"/>
        </w:rPr>
        <w:t>power from any of the four units at Plant Crist.  T</w:t>
      </w:r>
      <w:r w:rsidR="009502DA" w:rsidRPr="00677A87">
        <w:rPr>
          <w:szCs w:val="24"/>
        </w:rPr>
        <w:t>herefore</w:t>
      </w:r>
      <w:r w:rsidR="009502DA">
        <w:rPr>
          <w:szCs w:val="24"/>
        </w:rPr>
        <w:t xml:space="preserve">, in order to continue to meet existing NERC reliability requirements </w:t>
      </w:r>
      <w:r w:rsidR="00C53ABE">
        <w:rPr>
          <w:szCs w:val="24"/>
        </w:rPr>
        <w:t xml:space="preserve">and keep the lights on for Gulf’s customers in the Pensacola area, </w:t>
      </w:r>
      <w:r w:rsidR="009502DA">
        <w:rPr>
          <w:szCs w:val="24"/>
        </w:rPr>
        <w:t>Gulf studied available options</w:t>
      </w:r>
      <w:r w:rsidR="009502DA" w:rsidRPr="00677A87">
        <w:rPr>
          <w:szCs w:val="24"/>
        </w:rPr>
        <w:t xml:space="preserve"> to determine how to </w:t>
      </w:r>
      <w:r w:rsidR="009502DA">
        <w:rPr>
          <w:szCs w:val="24"/>
        </w:rPr>
        <w:t xml:space="preserve">also </w:t>
      </w:r>
      <w:r w:rsidR="009502DA" w:rsidRPr="00677A87">
        <w:rPr>
          <w:szCs w:val="24"/>
        </w:rPr>
        <w:t>meet the new MATS requirements.  The specific options considered were: 1) increasing the capability of natural gas generation at the plant, 2) adding injections of activated carbon and sorbent at the plant, 3)</w:t>
      </w:r>
      <w:r w:rsidR="00847204" w:rsidRPr="00677A87">
        <w:rPr>
          <w:szCs w:val="24"/>
        </w:rPr>
        <w:t xml:space="preserve"> </w:t>
      </w:r>
      <w:r w:rsidR="00847204">
        <w:rPr>
          <w:szCs w:val="24"/>
        </w:rPr>
        <w:t xml:space="preserve">a combination of transmission upgrades to reduce the Must-Run requirements and conversion of some of </w:t>
      </w:r>
      <w:r w:rsidR="006E473B">
        <w:rPr>
          <w:szCs w:val="24"/>
        </w:rPr>
        <w:t xml:space="preserve">Plant </w:t>
      </w:r>
      <w:r w:rsidR="00847204">
        <w:rPr>
          <w:szCs w:val="24"/>
        </w:rPr>
        <w:t>Crist’s units to gas generation</w:t>
      </w:r>
      <w:r w:rsidR="009502DA" w:rsidRPr="00677A87">
        <w:rPr>
          <w:szCs w:val="24"/>
        </w:rPr>
        <w:t xml:space="preserve"> and 4) relying solely on transmission upgrades with no injections and with no Must-Run requirement for any of the units.  The economic analysis performed shows that the addition of these transmission upgrades (option 4) is the lowest cost </w:t>
      </w:r>
      <w:r w:rsidR="00E300D4">
        <w:rPr>
          <w:szCs w:val="24"/>
        </w:rPr>
        <w:t xml:space="preserve">to customers </w:t>
      </w:r>
      <w:r w:rsidR="009502DA" w:rsidRPr="00677A87">
        <w:rPr>
          <w:szCs w:val="24"/>
        </w:rPr>
        <w:t>and</w:t>
      </w:r>
      <w:r w:rsidR="00E300D4" w:rsidRPr="00E300D4">
        <w:rPr>
          <w:szCs w:val="24"/>
        </w:rPr>
        <w:t xml:space="preserve"> </w:t>
      </w:r>
      <w:r w:rsidR="00E300D4">
        <w:rPr>
          <w:szCs w:val="24"/>
        </w:rPr>
        <w:t>is also the</w:t>
      </w:r>
      <w:r w:rsidR="009502DA" w:rsidRPr="00677A87">
        <w:rPr>
          <w:szCs w:val="24"/>
        </w:rPr>
        <w:t xml:space="preserve"> </w:t>
      </w:r>
      <w:r w:rsidR="009502DA">
        <w:rPr>
          <w:szCs w:val="24"/>
        </w:rPr>
        <w:t>l</w:t>
      </w:r>
      <w:r w:rsidR="001E7000">
        <w:rPr>
          <w:szCs w:val="24"/>
        </w:rPr>
        <w:t>east</w:t>
      </w:r>
      <w:r w:rsidR="009502DA">
        <w:rPr>
          <w:szCs w:val="24"/>
        </w:rPr>
        <w:t xml:space="preserve"> </w:t>
      </w:r>
      <w:r w:rsidR="009502DA" w:rsidRPr="00677A87">
        <w:rPr>
          <w:szCs w:val="24"/>
        </w:rPr>
        <w:t>risk option of the available compliance options.  Gulf’s Ten Year Transmission Plan identifies the specific transmission upgrades</w:t>
      </w:r>
      <w:r w:rsidR="006659D7">
        <w:rPr>
          <w:szCs w:val="24"/>
        </w:rPr>
        <w:t xml:space="preserve"> as well as the needed timing of those upgrades</w:t>
      </w:r>
      <w:r w:rsidR="00DC6E2F">
        <w:rPr>
          <w:szCs w:val="24"/>
        </w:rPr>
        <w:t xml:space="preserve">. </w:t>
      </w:r>
      <w:r w:rsidR="009502DA" w:rsidRPr="00677A87">
        <w:rPr>
          <w:szCs w:val="24"/>
        </w:rPr>
        <w:t xml:space="preserve"> </w:t>
      </w:r>
      <w:r w:rsidR="009502DA" w:rsidRPr="00677A87">
        <w:rPr>
          <w:snapToGrid/>
          <w:szCs w:val="24"/>
        </w:rPr>
        <w:t>(Vick, Cain, Caldwell, Burleson)</w:t>
      </w:r>
    </w:p>
    <w:p w:rsidR="00CD073B" w:rsidRDefault="00CD073B" w:rsidP="00A344AF">
      <w:pPr>
        <w:widowControl/>
        <w:rPr>
          <w:snapToGrid/>
          <w:szCs w:val="24"/>
        </w:rPr>
      </w:pPr>
    </w:p>
    <w:p w:rsidR="002D0E05" w:rsidRPr="00677A87" w:rsidRDefault="002D0E05" w:rsidP="00A344AF">
      <w:pPr>
        <w:widowControl/>
        <w:rPr>
          <w:snapToGrid/>
          <w:szCs w:val="24"/>
        </w:rPr>
      </w:pPr>
    </w:p>
    <w:p w:rsidR="00CD073B" w:rsidRPr="00677A87" w:rsidRDefault="00344357" w:rsidP="00CD073B">
      <w:pPr>
        <w:widowControl/>
        <w:ind w:left="2880" w:hanging="2880"/>
        <w:jc w:val="both"/>
        <w:rPr>
          <w:snapToGrid/>
          <w:szCs w:val="24"/>
        </w:rPr>
      </w:pPr>
      <w:r>
        <w:rPr>
          <w:b/>
          <w:snapToGrid/>
          <w:szCs w:val="24"/>
          <w:u w:val="single"/>
        </w:rPr>
        <w:t>2</w:t>
      </w:r>
      <w:r w:rsidRPr="00E06A3B">
        <w:rPr>
          <w:b/>
          <w:snapToGrid/>
          <w:szCs w:val="24"/>
          <w:u w:val="single"/>
          <w:vertAlign w:val="superscript"/>
        </w:rPr>
        <w:t>nd</w:t>
      </w:r>
      <w:r>
        <w:rPr>
          <w:b/>
          <w:snapToGrid/>
          <w:szCs w:val="24"/>
          <w:u w:val="single"/>
        </w:rPr>
        <w:t xml:space="preserve"> </w:t>
      </w:r>
      <w:r w:rsidR="00A344AF" w:rsidRPr="00677A87">
        <w:rPr>
          <w:b/>
          <w:snapToGrid/>
          <w:szCs w:val="24"/>
          <w:u w:val="single"/>
        </w:rPr>
        <w:t>GULF/STAFF ISSUE:</w:t>
      </w:r>
      <w:r w:rsidR="00CD073B" w:rsidRPr="00677A87">
        <w:rPr>
          <w:snapToGrid/>
          <w:szCs w:val="24"/>
        </w:rPr>
        <w:tab/>
      </w:r>
    </w:p>
    <w:p w:rsidR="00CD073B" w:rsidRPr="00677A87" w:rsidRDefault="00CD073B" w:rsidP="00CD073B">
      <w:pPr>
        <w:widowControl/>
        <w:ind w:left="2880" w:hanging="2880"/>
        <w:jc w:val="both"/>
        <w:rPr>
          <w:snapToGrid/>
          <w:szCs w:val="24"/>
        </w:rPr>
      </w:pPr>
    </w:p>
    <w:p w:rsidR="00A344AF" w:rsidRPr="00677A87" w:rsidRDefault="00CD073B" w:rsidP="00CD073B">
      <w:pPr>
        <w:widowControl/>
        <w:ind w:left="1440" w:hanging="1440"/>
        <w:jc w:val="both"/>
        <w:rPr>
          <w:snapToGrid/>
          <w:szCs w:val="24"/>
        </w:rPr>
      </w:pPr>
      <w:r w:rsidRPr="00677A87">
        <w:rPr>
          <w:b/>
          <w:snapToGrid/>
          <w:szCs w:val="24"/>
        </w:rPr>
        <w:t>Issue___:</w:t>
      </w:r>
      <w:r w:rsidRPr="00677A87">
        <w:rPr>
          <w:b/>
          <w:snapToGrid/>
          <w:szCs w:val="24"/>
        </w:rPr>
        <w:tab/>
      </w:r>
      <w:r w:rsidR="00A344AF" w:rsidRPr="00677A87">
        <w:rPr>
          <w:snapToGrid/>
          <w:szCs w:val="24"/>
        </w:rPr>
        <w:t xml:space="preserve">If the Commission approves Gulf’s request to recover the costs of transmission upgrades for Plant Crist listed in Issue </w:t>
      </w:r>
      <w:r w:rsidR="009502DA">
        <w:rPr>
          <w:snapToGrid/>
          <w:szCs w:val="24"/>
        </w:rPr>
        <w:t>{1</w:t>
      </w:r>
      <w:r w:rsidR="009502DA" w:rsidRPr="00951292">
        <w:rPr>
          <w:snapToGrid/>
          <w:szCs w:val="24"/>
          <w:vertAlign w:val="superscript"/>
        </w:rPr>
        <w:t>st</w:t>
      </w:r>
      <w:r w:rsidR="009502DA">
        <w:rPr>
          <w:snapToGrid/>
          <w:szCs w:val="24"/>
        </w:rPr>
        <w:t xml:space="preserve"> GULF/STAFF ISSUE}</w:t>
      </w:r>
      <w:r w:rsidR="009502DA" w:rsidRPr="00677A87">
        <w:rPr>
          <w:snapToGrid/>
          <w:szCs w:val="24"/>
        </w:rPr>
        <w:t xml:space="preserve"> </w:t>
      </w:r>
      <w:r w:rsidR="00897A33" w:rsidRPr="00677A87">
        <w:rPr>
          <w:snapToGrid/>
          <w:szCs w:val="24"/>
        </w:rPr>
        <w:t>above</w:t>
      </w:r>
      <w:r w:rsidR="00A344AF" w:rsidRPr="00677A87">
        <w:rPr>
          <w:snapToGrid/>
          <w:szCs w:val="24"/>
        </w:rPr>
        <w:t>, should those costs be recovered through the Environmental Cost Recovery Clause (ECRC)?</w:t>
      </w:r>
    </w:p>
    <w:p w:rsidR="00CD073B" w:rsidRPr="00677A87" w:rsidRDefault="00CD073B" w:rsidP="00CD073B">
      <w:pPr>
        <w:widowControl/>
        <w:ind w:left="1440" w:hanging="1440"/>
        <w:jc w:val="both"/>
        <w:rPr>
          <w:snapToGrid/>
          <w:szCs w:val="24"/>
        </w:rPr>
      </w:pPr>
    </w:p>
    <w:p w:rsidR="00CD073B" w:rsidRPr="00677A87" w:rsidRDefault="00CD073B" w:rsidP="006C6713">
      <w:pPr>
        <w:widowControl/>
        <w:ind w:left="1440" w:hanging="1440"/>
        <w:jc w:val="both"/>
        <w:rPr>
          <w:snapToGrid/>
          <w:szCs w:val="24"/>
        </w:rPr>
      </w:pPr>
      <w:r w:rsidRPr="00677A87">
        <w:rPr>
          <w:b/>
          <w:snapToGrid/>
          <w:szCs w:val="24"/>
          <w:u w:val="single"/>
        </w:rPr>
        <w:t>GULF:</w:t>
      </w:r>
      <w:r w:rsidR="006C6713">
        <w:rPr>
          <w:snapToGrid/>
          <w:szCs w:val="24"/>
        </w:rPr>
        <w:tab/>
      </w:r>
      <w:r w:rsidR="0053777D" w:rsidRPr="006C6713">
        <w:rPr>
          <w:snapToGrid/>
          <w:szCs w:val="24"/>
        </w:rPr>
        <w:t>These</w:t>
      </w:r>
      <w:r w:rsidR="0053777D" w:rsidRPr="0053777D">
        <w:rPr>
          <w:snapToGrid/>
          <w:szCs w:val="24"/>
        </w:rPr>
        <w:t xml:space="preserve"> transmission projects represent the most reasonable, cost-effective means of complying with the new Mercury and Air Toxics Standards (MATS) while maintaining compliance with NERC </w:t>
      </w:r>
      <w:r w:rsidR="00577F2C">
        <w:rPr>
          <w:snapToGrid/>
          <w:szCs w:val="24"/>
        </w:rPr>
        <w:t>R</w:t>
      </w:r>
      <w:r w:rsidR="0053777D" w:rsidRPr="0053777D">
        <w:rPr>
          <w:snapToGrid/>
          <w:szCs w:val="24"/>
        </w:rPr>
        <w:t xml:space="preserve">eliability </w:t>
      </w:r>
      <w:r w:rsidR="00577F2C">
        <w:rPr>
          <w:snapToGrid/>
          <w:szCs w:val="24"/>
        </w:rPr>
        <w:t>S</w:t>
      </w:r>
      <w:r w:rsidR="0053777D" w:rsidRPr="0053777D">
        <w:rPr>
          <w:snapToGrid/>
          <w:szCs w:val="24"/>
        </w:rPr>
        <w:t xml:space="preserve">tandards.  </w:t>
      </w:r>
      <w:r w:rsidR="00786BB6">
        <w:rPr>
          <w:snapToGrid/>
          <w:szCs w:val="24"/>
        </w:rPr>
        <w:t xml:space="preserve">These transmission upgrades are reasonable and prudent expenditures necessary for Gulf to continue providing reliable electric service to our customers.  These transmission projects clearly meet the requirements for </w:t>
      </w:r>
      <w:r w:rsidR="00211CF7">
        <w:rPr>
          <w:snapToGrid/>
          <w:szCs w:val="24"/>
        </w:rPr>
        <w:t>inclusion</w:t>
      </w:r>
      <w:r w:rsidR="00786BB6">
        <w:rPr>
          <w:snapToGrid/>
          <w:szCs w:val="24"/>
        </w:rPr>
        <w:t xml:space="preserve"> in base rates. Moreover, </w:t>
      </w:r>
      <w:r w:rsidR="0064247A">
        <w:rPr>
          <w:snapToGrid/>
          <w:szCs w:val="24"/>
        </w:rPr>
        <w:t xml:space="preserve">unless and until recovery is provided for through base rates or some other cost recovery </w:t>
      </w:r>
      <w:proofErr w:type="gramStart"/>
      <w:r w:rsidR="0064247A">
        <w:rPr>
          <w:snapToGrid/>
          <w:szCs w:val="24"/>
        </w:rPr>
        <w:t>mechanism,</w:t>
      </w:r>
      <w:proofErr w:type="gramEnd"/>
      <w:r w:rsidR="0064247A">
        <w:rPr>
          <w:snapToGrid/>
          <w:szCs w:val="24"/>
        </w:rPr>
        <w:t xml:space="preserve"> </w:t>
      </w:r>
      <w:r w:rsidR="00786BB6">
        <w:rPr>
          <w:snapToGrid/>
          <w:szCs w:val="24"/>
        </w:rPr>
        <w:t xml:space="preserve">these </w:t>
      </w:r>
      <w:r w:rsidR="00211CF7">
        <w:rPr>
          <w:snapToGrid/>
          <w:szCs w:val="24"/>
        </w:rPr>
        <w:t xml:space="preserve">projects </w:t>
      </w:r>
      <w:r w:rsidR="00786BB6">
        <w:rPr>
          <w:snapToGrid/>
          <w:szCs w:val="24"/>
        </w:rPr>
        <w:t xml:space="preserve">meet the criteria for ECRC cost recovery set forth in Order No. PSC-94-0044-FOF-EI in that (1) they will be prudently incurred after April 13, 1993; (2) the activities are legally required to comply with an environmental regulation (MATS rule) that became effective after the Company’s last test year upon which rates are based; and (3) the costs are not being recovered through any other cost recovery mechanism or through base rates.  </w:t>
      </w:r>
      <w:r w:rsidR="003B6966" w:rsidRPr="00677A87">
        <w:rPr>
          <w:snapToGrid/>
          <w:szCs w:val="24"/>
        </w:rPr>
        <w:t>(Vick, Ritenour</w:t>
      </w:r>
      <w:r w:rsidR="003B7C75">
        <w:rPr>
          <w:snapToGrid/>
          <w:szCs w:val="24"/>
        </w:rPr>
        <w:t>, Burleson</w:t>
      </w:r>
      <w:r w:rsidR="003B6966" w:rsidRPr="00677A87">
        <w:rPr>
          <w:snapToGrid/>
          <w:szCs w:val="24"/>
        </w:rPr>
        <w:t>)</w:t>
      </w:r>
      <w:r w:rsidR="00E3501A" w:rsidRPr="00677A87">
        <w:rPr>
          <w:snapToGrid/>
          <w:szCs w:val="24"/>
        </w:rPr>
        <w:t xml:space="preserve">  </w:t>
      </w:r>
    </w:p>
    <w:p w:rsidR="00CD073B" w:rsidRPr="00677A87" w:rsidRDefault="00CD073B" w:rsidP="00CD073B">
      <w:pPr>
        <w:widowControl/>
        <w:ind w:left="2880" w:hanging="2880"/>
        <w:jc w:val="both"/>
        <w:rPr>
          <w:b/>
          <w:snapToGrid/>
          <w:szCs w:val="24"/>
          <w:u w:val="single"/>
        </w:rPr>
      </w:pPr>
    </w:p>
    <w:p w:rsidR="00A344AF" w:rsidRPr="00677A87" w:rsidRDefault="00A344AF" w:rsidP="00A344AF">
      <w:pPr>
        <w:widowControl/>
        <w:jc w:val="both"/>
        <w:rPr>
          <w:snapToGrid/>
          <w:szCs w:val="24"/>
        </w:rPr>
      </w:pPr>
    </w:p>
    <w:p w:rsidR="00C01777" w:rsidRDefault="00C01777" w:rsidP="00CD073B">
      <w:pPr>
        <w:widowControl/>
        <w:ind w:left="2880" w:hanging="2880"/>
        <w:jc w:val="both"/>
        <w:rPr>
          <w:b/>
          <w:snapToGrid/>
          <w:szCs w:val="24"/>
          <w:u w:val="single"/>
        </w:rPr>
      </w:pPr>
    </w:p>
    <w:p w:rsidR="00084A98" w:rsidRDefault="00084A98" w:rsidP="00CD073B">
      <w:pPr>
        <w:widowControl/>
        <w:ind w:left="2880" w:hanging="2880"/>
        <w:jc w:val="both"/>
        <w:rPr>
          <w:b/>
          <w:snapToGrid/>
          <w:szCs w:val="24"/>
          <w:u w:val="single"/>
        </w:rPr>
      </w:pPr>
    </w:p>
    <w:p w:rsidR="005F1A8A" w:rsidRDefault="005F1A8A" w:rsidP="00CD073B">
      <w:pPr>
        <w:widowControl/>
        <w:ind w:left="2880" w:hanging="2880"/>
        <w:jc w:val="both"/>
        <w:rPr>
          <w:b/>
          <w:snapToGrid/>
          <w:szCs w:val="24"/>
          <w:u w:val="single"/>
        </w:rPr>
      </w:pPr>
    </w:p>
    <w:p w:rsidR="00C01777" w:rsidRDefault="00C01777" w:rsidP="00CD073B">
      <w:pPr>
        <w:widowControl/>
        <w:ind w:left="2880" w:hanging="2880"/>
        <w:jc w:val="both"/>
        <w:rPr>
          <w:b/>
          <w:snapToGrid/>
          <w:szCs w:val="24"/>
          <w:u w:val="single"/>
        </w:rPr>
      </w:pPr>
    </w:p>
    <w:p w:rsidR="00344357" w:rsidRDefault="00344357" w:rsidP="00CD073B">
      <w:pPr>
        <w:widowControl/>
        <w:ind w:left="2880" w:hanging="2880"/>
        <w:jc w:val="both"/>
        <w:rPr>
          <w:b/>
          <w:snapToGrid/>
          <w:szCs w:val="24"/>
          <w:u w:val="single"/>
        </w:rPr>
      </w:pPr>
    </w:p>
    <w:p w:rsidR="00C01777" w:rsidRDefault="00C01777" w:rsidP="00CD073B">
      <w:pPr>
        <w:widowControl/>
        <w:ind w:left="2880" w:hanging="2880"/>
        <w:jc w:val="both"/>
        <w:rPr>
          <w:b/>
          <w:snapToGrid/>
          <w:szCs w:val="24"/>
          <w:u w:val="single"/>
        </w:rPr>
      </w:pPr>
    </w:p>
    <w:p w:rsidR="00CD073B" w:rsidRPr="00677A87" w:rsidRDefault="00344357" w:rsidP="00CD073B">
      <w:pPr>
        <w:widowControl/>
        <w:ind w:left="2880" w:hanging="2880"/>
        <w:jc w:val="both"/>
        <w:rPr>
          <w:b/>
          <w:snapToGrid/>
          <w:szCs w:val="24"/>
          <w:u w:val="single"/>
        </w:rPr>
      </w:pPr>
      <w:r>
        <w:rPr>
          <w:b/>
          <w:snapToGrid/>
          <w:szCs w:val="24"/>
          <w:u w:val="single"/>
        </w:rPr>
        <w:lastRenderedPageBreak/>
        <w:t>3</w:t>
      </w:r>
      <w:r w:rsidRPr="00E06A3B">
        <w:rPr>
          <w:b/>
          <w:snapToGrid/>
          <w:szCs w:val="24"/>
          <w:u w:val="single"/>
          <w:vertAlign w:val="superscript"/>
        </w:rPr>
        <w:t>rd</w:t>
      </w:r>
      <w:r>
        <w:rPr>
          <w:b/>
          <w:snapToGrid/>
          <w:szCs w:val="24"/>
          <w:u w:val="single"/>
        </w:rPr>
        <w:t xml:space="preserve"> </w:t>
      </w:r>
      <w:r w:rsidR="00A344AF" w:rsidRPr="00677A87">
        <w:rPr>
          <w:b/>
          <w:snapToGrid/>
          <w:szCs w:val="24"/>
          <w:u w:val="single"/>
        </w:rPr>
        <w:t>GULF/STAFF ISSUE:</w:t>
      </w:r>
    </w:p>
    <w:p w:rsidR="00CD073B" w:rsidRPr="00677A87" w:rsidRDefault="00CD073B" w:rsidP="00CD073B">
      <w:pPr>
        <w:widowControl/>
        <w:ind w:left="2880" w:hanging="2880"/>
        <w:jc w:val="both"/>
        <w:rPr>
          <w:b/>
          <w:snapToGrid/>
          <w:szCs w:val="24"/>
          <w:u w:val="single"/>
        </w:rPr>
      </w:pPr>
    </w:p>
    <w:p w:rsidR="00A344AF" w:rsidRPr="00677A87" w:rsidRDefault="00CD073B" w:rsidP="00CD073B">
      <w:pPr>
        <w:widowControl/>
        <w:ind w:left="1440" w:hanging="1440"/>
        <w:jc w:val="both"/>
        <w:rPr>
          <w:snapToGrid/>
          <w:szCs w:val="24"/>
        </w:rPr>
      </w:pPr>
      <w:r w:rsidRPr="00677A87">
        <w:rPr>
          <w:b/>
          <w:snapToGrid/>
          <w:szCs w:val="24"/>
        </w:rPr>
        <w:t>Issue___:</w:t>
      </w:r>
      <w:r w:rsidRPr="00677A87">
        <w:rPr>
          <w:snapToGrid/>
          <w:szCs w:val="24"/>
        </w:rPr>
        <w:tab/>
      </w:r>
      <w:r w:rsidR="00A344AF" w:rsidRPr="00677A87">
        <w:rPr>
          <w:snapToGrid/>
          <w:szCs w:val="24"/>
        </w:rPr>
        <w:t xml:space="preserve">Are the following transmission projects related to Plant </w:t>
      </w:r>
      <w:r w:rsidRPr="00677A87">
        <w:rPr>
          <w:snapToGrid/>
          <w:szCs w:val="24"/>
        </w:rPr>
        <w:t>Smith appropriate</w:t>
      </w:r>
      <w:r w:rsidR="00A344AF" w:rsidRPr="00677A87">
        <w:rPr>
          <w:snapToGrid/>
          <w:szCs w:val="24"/>
        </w:rPr>
        <w:t xml:space="preserve"> and prudent for cost recovery?</w:t>
      </w:r>
    </w:p>
    <w:p w:rsidR="00A344AF" w:rsidRPr="00677A87" w:rsidRDefault="00A344AF" w:rsidP="00CD073B">
      <w:pPr>
        <w:widowControl/>
        <w:ind w:left="2160" w:hanging="720"/>
        <w:jc w:val="both"/>
        <w:rPr>
          <w:snapToGrid/>
          <w:szCs w:val="24"/>
        </w:rPr>
      </w:pPr>
      <w:proofErr w:type="gramStart"/>
      <w:r w:rsidRPr="00677A87">
        <w:rPr>
          <w:snapToGrid/>
          <w:szCs w:val="24"/>
        </w:rPr>
        <w:t>a</w:t>
      </w:r>
      <w:proofErr w:type="gramEnd"/>
      <w:r w:rsidRPr="00677A87">
        <w:rPr>
          <w:snapToGrid/>
          <w:szCs w:val="24"/>
        </w:rPr>
        <w:t>.</w:t>
      </w:r>
      <w:r w:rsidRPr="00677A87">
        <w:rPr>
          <w:snapToGrid/>
          <w:szCs w:val="24"/>
        </w:rPr>
        <w:tab/>
        <w:t>Rebuild Holmes Creek – Bonifay Tap Section Double Circuit (in-service date 2014)</w:t>
      </w:r>
    </w:p>
    <w:p w:rsidR="00A344AF" w:rsidRPr="00677A87" w:rsidRDefault="00A344AF" w:rsidP="00CD073B">
      <w:pPr>
        <w:widowControl/>
        <w:ind w:left="2160" w:hanging="720"/>
        <w:jc w:val="both"/>
        <w:rPr>
          <w:snapToGrid/>
          <w:szCs w:val="24"/>
        </w:rPr>
      </w:pPr>
      <w:proofErr w:type="gramStart"/>
      <w:r w:rsidRPr="00677A87">
        <w:rPr>
          <w:snapToGrid/>
          <w:szCs w:val="24"/>
        </w:rPr>
        <w:t>b</w:t>
      </w:r>
      <w:proofErr w:type="gramEnd"/>
      <w:r w:rsidRPr="00677A87">
        <w:rPr>
          <w:snapToGrid/>
          <w:szCs w:val="24"/>
        </w:rPr>
        <w:t>.</w:t>
      </w:r>
      <w:r w:rsidRPr="00677A87">
        <w:rPr>
          <w:snapToGrid/>
          <w:szCs w:val="24"/>
        </w:rPr>
        <w:tab/>
        <w:t xml:space="preserve">Holmes Creek – Highland City Capacitor New 230 kV – </w:t>
      </w:r>
      <w:proofErr w:type="spellStart"/>
      <w:r w:rsidRPr="00677A87">
        <w:rPr>
          <w:snapToGrid/>
          <w:szCs w:val="24"/>
        </w:rPr>
        <w:t>Autobank</w:t>
      </w:r>
      <w:proofErr w:type="spellEnd"/>
      <w:r w:rsidRPr="00677A87">
        <w:rPr>
          <w:snapToGrid/>
          <w:szCs w:val="24"/>
        </w:rPr>
        <w:t xml:space="preserve"> (in-service date 2014)</w:t>
      </w:r>
    </w:p>
    <w:p w:rsidR="00A344AF" w:rsidRPr="00677A87" w:rsidRDefault="00A344AF" w:rsidP="00A344AF">
      <w:pPr>
        <w:widowControl/>
        <w:jc w:val="both"/>
        <w:rPr>
          <w:snapToGrid/>
          <w:szCs w:val="24"/>
        </w:rPr>
      </w:pPr>
      <w:r w:rsidRPr="00677A87">
        <w:rPr>
          <w:snapToGrid/>
          <w:szCs w:val="24"/>
        </w:rPr>
        <w:tab/>
      </w:r>
      <w:r w:rsidR="00CD073B" w:rsidRPr="00677A87">
        <w:rPr>
          <w:snapToGrid/>
          <w:szCs w:val="24"/>
        </w:rPr>
        <w:tab/>
      </w:r>
      <w:proofErr w:type="gramStart"/>
      <w:r w:rsidRPr="00677A87">
        <w:rPr>
          <w:snapToGrid/>
          <w:szCs w:val="24"/>
        </w:rPr>
        <w:t>c</w:t>
      </w:r>
      <w:proofErr w:type="gramEnd"/>
      <w:r w:rsidRPr="00677A87">
        <w:rPr>
          <w:snapToGrid/>
          <w:szCs w:val="24"/>
        </w:rPr>
        <w:t>.</w:t>
      </w:r>
      <w:r w:rsidRPr="00677A87">
        <w:rPr>
          <w:snapToGrid/>
          <w:szCs w:val="24"/>
        </w:rPr>
        <w:tab/>
        <w:t>Holmes Creek – Highland City new 230 kV – Cap Bank (in-service</w:t>
      </w:r>
    </w:p>
    <w:p w:rsidR="00A344AF" w:rsidRPr="00677A87" w:rsidRDefault="00A344AF" w:rsidP="00CD073B">
      <w:pPr>
        <w:widowControl/>
        <w:ind w:left="1440" w:firstLine="720"/>
        <w:jc w:val="both"/>
        <w:rPr>
          <w:snapToGrid/>
          <w:szCs w:val="24"/>
        </w:rPr>
      </w:pPr>
      <w:proofErr w:type="gramStart"/>
      <w:r w:rsidRPr="00677A87">
        <w:rPr>
          <w:snapToGrid/>
          <w:szCs w:val="24"/>
        </w:rPr>
        <w:t>date</w:t>
      </w:r>
      <w:proofErr w:type="gramEnd"/>
      <w:r w:rsidRPr="00677A87">
        <w:rPr>
          <w:snapToGrid/>
          <w:szCs w:val="24"/>
        </w:rPr>
        <w:t xml:space="preserve"> 2014)</w:t>
      </w:r>
    </w:p>
    <w:p w:rsidR="00A344AF" w:rsidRPr="00677A87" w:rsidRDefault="00A344AF" w:rsidP="00CD073B">
      <w:pPr>
        <w:widowControl/>
        <w:ind w:left="2160" w:hanging="720"/>
        <w:jc w:val="both"/>
        <w:rPr>
          <w:snapToGrid/>
          <w:szCs w:val="24"/>
        </w:rPr>
      </w:pPr>
      <w:proofErr w:type="gramStart"/>
      <w:r w:rsidRPr="00677A87">
        <w:rPr>
          <w:snapToGrid/>
          <w:szCs w:val="24"/>
        </w:rPr>
        <w:t>d</w:t>
      </w:r>
      <w:proofErr w:type="gramEnd"/>
      <w:r w:rsidRPr="00677A87">
        <w:rPr>
          <w:snapToGrid/>
          <w:szCs w:val="24"/>
        </w:rPr>
        <w:t>.</w:t>
      </w:r>
      <w:r w:rsidRPr="00677A87">
        <w:rPr>
          <w:snapToGrid/>
          <w:szCs w:val="24"/>
        </w:rPr>
        <w:tab/>
        <w:t>Holmes Creek – Highland City New 230 kV Transmission Line (in-service date 2015)</w:t>
      </w:r>
    </w:p>
    <w:p w:rsidR="00A344AF" w:rsidRPr="00677A87" w:rsidRDefault="00A344AF" w:rsidP="00A344AF">
      <w:pPr>
        <w:widowControl/>
        <w:jc w:val="both"/>
        <w:rPr>
          <w:snapToGrid/>
          <w:szCs w:val="24"/>
        </w:rPr>
      </w:pPr>
      <w:r w:rsidRPr="00677A87">
        <w:rPr>
          <w:snapToGrid/>
          <w:szCs w:val="24"/>
        </w:rPr>
        <w:tab/>
      </w:r>
      <w:r w:rsidR="00CD073B" w:rsidRPr="00677A87">
        <w:rPr>
          <w:snapToGrid/>
          <w:szCs w:val="24"/>
        </w:rPr>
        <w:tab/>
      </w:r>
      <w:r w:rsidRPr="00677A87">
        <w:rPr>
          <w:snapToGrid/>
          <w:szCs w:val="24"/>
        </w:rPr>
        <w:t>e.</w:t>
      </w:r>
      <w:r w:rsidRPr="00677A87">
        <w:rPr>
          <w:snapToGrid/>
          <w:szCs w:val="24"/>
        </w:rPr>
        <w:tab/>
        <w:t xml:space="preserve">Panama City SVC (Highland City) (in-service date 2015) </w:t>
      </w:r>
    </w:p>
    <w:p w:rsidR="00CD073B" w:rsidRPr="00677A87" w:rsidRDefault="00CD073B" w:rsidP="00A344AF">
      <w:pPr>
        <w:widowControl/>
        <w:jc w:val="both"/>
        <w:rPr>
          <w:snapToGrid/>
          <w:szCs w:val="24"/>
        </w:rPr>
      </w:pPr>
    </w:p>
    <w:p w:rsidR="00CD073B" w:rsidRPr="00677A87" w:rsidRDefault="00CD073B" w:rsidP="00CD1506">
      <w:pPr>
        <w:ind w:left="1440" w:hanging="1440"/>
        <w:rPr>
          <w:snapToGrid/>
          <w:szCs w:val="24"/>
        </w:rPr>
      </w:pPr>
      <w:r w:rsidRPr="00677A87">
        <w:rPr>
          <w:b/>
          <w:snapToGrid/>
          <w:szCs w:val="24"/>
          <w:u w:val="single"/>
        </w:rPr>
        <w:t>GULF:</w:t>
      </w:r>
      <w:r w:rsidRPr="00677A87">
        <w:rPr>
          <w:snapToGrid/>
          <w:szCs w:val="24"/>
        </w:rPr>
        <w:tab/>
      </w:r>
      <w:r w:rsidR="0033517E" w:rsidRPr="00677A87">
        <w:rPr>
          <w:snapToGrid/>
          <w:szCs w:val="24"/>
        </w:rPr>
        <w:t>Yes</w:t>
      </w:r>
      <w:r w:rsidR="0033517E" w:rsidRPr="004C0169">
        <w:rPr>
          <w:snapToGrid/>
          <w:szCs w:val="24"/>
        </w:rPr>
        <w:t>.</w:t>
      </w:r>
      <w:r w:rsidR="004C0169">
        <w:rPr>
          <w:snapToGrid/>
          <w:szCs w:val="24"/>
        </w:rPr>
        <w:t xml:space="preserve"> The</w:t>
      </w:r>
      <w:r w:rsidR="004C0169" w:rsidRPr="00B67A3B">
        <w:rPr>
          <w:szCs w:val="24"/>
        </w:rPr>
        <w:t xml:space="preserve"> transmission </w:t>
      </w:r>
      <w:r w:rsidR="004C0169">
        <w:rPr>
          <w:szCs w:val="24"/>
        </w:rPr>
        <w:t>projects</w:t>
      </w:r>
      <w:r w:rsidR="004C0169" w:rsidRPr="00B67A3B">
        <w:rPr>
          <w:szCs w:val="24"/>
        </w:rPr>
        <w:t xml:space="preserve"> associated with Plant Smith </w:t>
      </w:r>
      <w:r w:rsidR="00705580">
        <w:rPr>
          <w:szCs w:val="24"/>
        </w:rPr>
        <w:t xml:space="preserve">represent the most reasonable, cost-effective means of complying with the New Mercury and Air Toxics Standards (MATS) while </w:t>
      </w:r>
      <w:r w:rsidR="004C0169" w:rsidRPr="00B67A3B">
        <w:rPr>
          <w:szCs w:val="24"/>
        </w:rPr>
        <w:t xml:space="preserve">maintaining compliance with NERC </w:t>
      </w:r>
      <w:r w:rsidR="00577F2C">
        <w:rPr>
          <w:szCs w:val="24"/>
        </w:rPr>
        <w:t>R</w:t>
      </w:r>
      <w:r w:rsidR="004C0169" w:rsidRPr="00B67A3B">
        <w:rPr>
          <w:szCs w:val="24"/>
        </w:rPr>
        <w:t xml:space="preserve">eliability </w:t>
      </w:r>
      <w:r w:rsidR="00577F2C">
        <w:rPr>
          <w:szCs w:val="24"/>
        </w:rPr>
        <w:t>S</w:t>
      </w:r>
      <w:r w:rsidR="004C0169" w:rsidRPr="00B67A3B">
        <w:rPr>
          <w:szCs w:val="24"/>
        </w:rPr>
        <w:t>tandards</w:t>
      </w:r>
      <w:r w:rsidR="004C0169">
        <w:rPr>
          <w:szCs w:val="24"/>
        </w:rPr>
        <w:t>.</w:t>
      </w:r>
      <w:r w:rsidR="00705580">
        <w:rPr>
          <w:szCs w:val="24"/>
        </w:rPr>
        <w:t xml:space="preserve">  </w:t>
      </w:r>
      <w:r w:rsidR="00964539" w:rsidRPr="00677A87">
        <w:rPr>
          <w:szCs w:val="24"/>
        </w:rPr>
        <w:t xml:space="preserve">Beginning in </w:t>
      </w:r>
      <w:r w:rsidR="001E7000">
        <w:rPr>
          <w:szCs w:val="24"/>
        </w:rPr>
        <w:t xml:space="preserve">April </w:t>
      </w:r>
      <w:r w:rsidR="00964539" w:rsidRPr="00677A87">
        <w:rPr>
          <w:szCs w:val="24"/>
        </w:rPr>
        <w:t xml:space="preserve">2015, the new MATS requirements eliminate Gulf’s ability to </w:t>
      </w:r>
      <w:r w:rsidR="00964539">
        <w:rPr>
          <w:szCs w:val="24"/>
        </w:rPr>
        <w:t xml:space="preserve">operate Plant Smith </w:t>
      </w:r>
      <w:r w:rsidR="00B64AF3">
        <w:rPr>
          <w:szCs w:val="24"/>
        </w:rPr>
        <w:t xml:space="preserve">Units 1 and 2 </w:t>
      </w:r>
      <w:r w:rsidR="00964539">
        <w:rPr>
          <w:szCs w:val="24"/>
        </w:rPr>
        <w:t xml:space="preserve">without the installation of </w:t>
      </w:r>
      <w:r w:rsidR="004075CA">
        <w:rPr>
          <w:szCs w:val="24"/>
        </w:rPr>
        <w:t xml:space="preserve">additional </w:t>
      </w:r>
      <w:r w:rsidR="00964539">
        <w:rPr>
          <w:szCs w:val="24"/>
        </w:rPr>
        <w:t>environmental controls.</w:t>
      </w:r>
      <w:r w:rsidR="00964539" w:rsidRPr="00677A87">
        <w:rPr>
          <w:szCs w:val="24"/>
        </w:rPr>
        <w:t xml:space="preserve"> </w:t>
      </w:r>
      <w:r w:rsidR="0064247A">
        <w:rPr>
          <w:szCs w:val="24"/>
        </w:rPr>
        <w:t xml:space="preserve"> With the present transmission system, </w:t>
      </w:r>
      <w:r w:rsidR="0033517E" w:rsidRPr="00677A87">
        <w:rPr>
          <w:szCs w:val="24"/>
        </w:rPr>
        <w:t xml:space="preserve">a combination </w:t>
      </w:r>
      <w:r w:rsidR="00A3066D" w:rsidRPr="00677A87">
        <w:rPr>
          <w:szCs w:val="24"/>
        </w:rPr>
        <w:t xml:space="preserve">of </w:t>
      </w:r>
      <w:r w:rsidR="0064247A">
        <w:rPr>
          <w:szCs w:val="24"/>
        </w:rPr>
        <w:t>the coal units at Plant Smith</w:t>
      </w:r>
      <w:r w:rsidR="0033517E" w:rsidRPr="00677A87">
        <w:rPr>
          <w:szCs w:val="24"/>
        </w:rPr>
        <w:t xml:space="preserve"> must be available to </w:t>
      </w:r>
      <w:r w:rsidR="0064247A">
        <w:rPr>
          <w:szCs w:val="24"/>
        </w:rPr>
        <w:t>operate in order to provide</w:t>
      </w:r>
      <w:r w:rsidR="0064247A" w:rsidRPr="00677A87">
        <w:rPr>
          <w:szCs w:val="24"/>
        </w:rPr>
        <w:t xml:space="preserve"> </w:t>
      </w:r>
      <w:r w:rsidR="0033517E" w:rsidRPr="00677A87">
        <w:rPr>
          <w:szCs w:val="24"/>
        </w:rPr>
        <w:t xml:space="preserve">transmission </w:t>
      </w:r>
      <w:r w:rsidR="00705580">
        <w:rPr>
          <w:szCs w:val="24"/>
        </w:rPr>
        <w:t>reliability</w:t>
      </w:r>
      <w:r w:rsidR="0033517E" w:rsidRPr="00677A87">
        <w:rPr>
          <w:szCs w:val="24"/>
        </w:rPr>
        <w:t xml:space="preserve"> under certain system conditions</w:t>
      </w:r>
      <w:r w:rsidR="00705580">
        <w:rPr>
          <w:szCs w:val="24"/>
        </w:rPr>
        <w:t xml:space="preserve"> requiring the Company to designate these units as Must-Run.</w:t>
      </w:r>
      <w:r w:rsidR="0033517E">
        <w:rPr>
          <w:szCs w:val="24"/>
        </w:rPr>
        <w:t xml:space="preserve">  </w:t>
      </w:r>
      <w:r w:rsidR="00964539">
        <w:rPr>
          <w:szCs w:val="24"/>
        </w:rPr>
        <w:t>T</w:t>
      </w:r>
      <w:r w:rsidR="0033517E" w:rsidRPr="00677A87">
        <w:rPr>
          <w:szCs w:val="24"/>
        </w:rPr>
        <w:t>herefore</w:t>
      </w:r>
      <w:r w:rsidR="00F824D0">
        <w:rPr>
          <w:szCs w:val="24"/>
        </w:rPr>
        <w:t>,</w:t>
      </w:r>
      <w:r w:rsidR="0033517E" w:rsidRPr="00677A87">
        <w:rPr>
          <w:szCs w:val="24"/>
        </w:rPr>
        <w:t xml:space="preserve"> </w:t>
      </w:r>
      <w:r w:rsidR="0064247A">
        <w:rPr>
          <w:szCs w:val="24"/>
        </w:rPr>
        <w:t xml:space="preserve">in order to continue to meet existing NERC reliability requirements, </w:t>
      </w:r>
      <w:r w:rsidR="00DC6E2F">
        <w:rPr>
          <w:szCs w:val="24"/>
        </w:rPr>
        <w:t xml:space="preserve">and keep the lights on for Gulf’s customers in the Panama City area, </w:t>
      </w:r>
      <w:r w:rsidR="00964539">
        <w:rPr>
          <w:szCs w:val="24"/>
        </w:rPr>
        <w:t xml:space="preserve">Gulf evaluated options that would allow it to </w:t>
      </w:r>
      <w:r w:rsidR="0033517E" w:rsidRPr="00677A87">
        <w:rPr>
          <w:szCs w:val="24"/>
        </w:rPr>
        <w:t xml:space="preserve">meet the new MATS requirements and existing NERC </w:t>
      </w:r>
      <w:r w:rsidR="00577F2C">
        <w:rPr>
          <w:szCs w:val="24"/>
        </w:rPr>
        <w:t>R</w:t>
      </w:r>
      <w:r w:rsidR="0033517E" w:rsidRPr="00677A87">
        <w:rPr>
          <w:szCs w:val="24"/>
        </w:rPr>
        <w:t>eliability requirements</w:t>
      </w:r>
      <w:r w:rsidR="009E430D" w:rsidRPr="009E430D">
        <w:rPr>
          <w:szCs w:val="24"/>
        </w:rPr>
        <w:t xml:space="preserve">.  </w:t>
      </w:r>
      <w:r w:rsidR="009E430D">
        <w:rPr>
          <w:szCs w:val="24"/>
        </w:rPr>
        <w:t>After a thorough review of available options for compliance, Gulf determined that</w:t>
      </w:r>
      <w:r w:rsidR="00B64AF3">
        <w:rPr>
          <w:szCs w:val="24"/>
        </w:rPr>
        <w:t xml:space="preserve"> there are </w:t>
      </w:r>
      <w:r w:rsidR="00B64AF3" w:rsidRPr="00B32AE2">
        <w:rPr>
          <w:szCs w:val="24"/>
        </w:rPr>
        <w:t>only two cost</w:t>
      </w:r>
      <w:r w:rsidR="001E7000">
        <w:rPr>
          <w:szCs w:val="24"/>
        </w:rPr>
        <w:t>-</w:t>
      </w:r>
      <w:r w:rsidR="00B64AF3" w:rsidRPr="00B32AE2">
        <w:rPr>
          <w:szCs w:val="24"/>
        </w:rPr>
        <w:t>effective and reliable means of compliance for Plant Smith</w:t>
      </w:r>
      <w:r w:rsidR="00B64AF3">
        <w:rPr>
          <w:szCs w:val="24"/>
        </w:rPr>
        <w:t xml:space="preserve">.  </w:t>
      </w:r>
      <w:r w:rsidR="0064247A">
        <w:rPr>
          <w:szCs w:val="24"/>
        </w:rPr>
        <w:t xml:space="preserve">One of these two </w:t>
      </w:r>
      <w:r w:rsidR="00B64AF3">
        <w:rPr>
          <w:szCs w:val="24"/>
        </w:rPr>
        <w:t xml:space="preserve">options </w:t>
      </w:r>
      <w:r w:rsidR="0064247A">
        <w:rPr>
          <w:szCs w:val="24"/>
        </w:rPr>
        <w:t>would be</w:t>
      </w:r>
      <w:r w:rsidR="00B64AF3">
        <w:rPr>
          <w:szCs w:val="24"/>
        </w:rPr>
        <w:t xml:space="preserve"> </w:t>
      </w:r>
      <w:r w:rsidR="00820661">
        <w:rPr>
          <w:szCs w:val="24"/>
        </w:rPr>
        <w:t xml:space="preserve">to </w:t>
      </w:r>
      <w:r w:rsidR="00B64AF3">
        <w:rPr>
          <w:szCs w:val="24"/>
        </w:rPr>
        <w:t xml:space="preserve">retire and replace the </w:t>
      </w:r>
      <w:r w:rsidR="00832F7D">
        <w:rPr>
          <w:szCs w:val="24"/>
        </w:rPr>
        <w:t xml:space="preserve">Plant </w:t>
      </w:r>
      <w:r w:rsidR="00B64AF3">
        <w:rPr>
          <w:szCs w:val="24"/>
        </w:rPr>
        <w:t xml:space="preserve">Smith coal generation offsite </w:t>
      </w:r>
      <w:r w:rsidR="00BD3155">
        <w:rPr>
          <w:szCs w:val="24"/>
        </w:rPr>
        <w:t xml:space="preserve">which </w:t>
      </w:r>
      <w:r w:rsidR="00206964">
        <w:rPr>
          <w:szCs w:val="24"/>
        </w:rPr>
        <w:t xml:space="preserve">also </w:t>
      </w:r>
      <w:r w:rsidR="00BD3155">
        <w:rPr>
          <w:szCs w:val="24"/>
        </w:rPr>
        <w:t xml:space="preserve">requires the </w:t>
      </w:r>
      <w:r w:rsidR="00B64AF3">
        <w:rPr>
          <w:szCs w:val="24"/>
        </w:rPr>
        <w:t>identified transmission projects</w:t>
      </w:r>
      <w:r w:rsidR="0064247A">
        <w:rPr>
          <w:szCs w:val="24"/>
        </w:rPr>
        <w:t xml:space="preserve">.  The other would be </w:t>
      </w:r>
      <w:r w:rsidR="00B64AF3">
        <w:rPr>
          <w:szCs w:val="24"/>
        </w:rPr>
        <w:t xml:space="preserve">to install environmental controls </w:t>
      </w:r>
      <w:r w:rsidR="00BD3155">
        <w:rPr>
          <w:szCs w:val="24"/>
        </w:rPr>
        <w:t xml:space="preserve">along </w:t>
      </w:r>
      <w:r w:rsidR="00B64AF3">
        <w:rPr>
          <w:szCs w:val="24"/>
        </w:rPr>
        <w:t xml:space="preserve">with the </w:t>
      </w:r>
      <w:r w:rsidR="00705580">
        <w:rPr>
          <w:szCs w:val="24"/>
        </w:rPr>
        <w:t xml:space="preserve">removal of the Must-Run </w:t>
      </w:r>
      <w:r w:rsidR="0026353D">
        <w:rPr>
          <w:szCs w:val="24"/>
        </w:rPr>
        <w:t>requirements</w:t>
      </w:r>
      <w:r w:rsidR="00705580">
        <w:rPr>
          <w:szCs w:val="24"/>
        </w:rPr>
        <w:t xml:space="preserve"> which requires the </w:t>
      </w:r>
      <w:r w:rsidR="0064247A">
        <w:rPr>
          <w:szCs w:val="24"/>
        </w:rPr>
        <w:t xml:space="preserve">same </w:t>
      </w:r>
      <w:r w:rsidR="00B64AF3">
        <w:rPr>
          <w:szCs w:val="24"/>
        </w:rPr>
        <w:t>identified transmission projects.  Since each option requires</w:t>
      </w:r>
      <w:r w:rsidR="00B64AF3" w:rsidRPr="00B67A3B">
        <w:rPr>
          <w:szCs w:val="24"/>
        </w:rPr>
        <w:t xml:space="preserve"> the </w:t>
      </w:r>
      <w:r w:rsidR="00705580">
        <w:rPr>
          <w:szCs w:val="24"/>
        </w:rPr>
        <w:t xml:space="preserve">same </w:t>
      </w:r>
      <w:r w:rsidR="00B64AF3">
        <w:rPr>
          <w:szCs w:val="24"/>
        </w:rPr>
        <w:t xml:space="preserve">identified </w:t>
      </w:r>
      <w:r w:rsidR="00B64AF3" w:rsidRPr="00B67A3B">
        <w:rPr>
          <w:szCs w:val="24"/>
        </w:rPr>
        <w:t>transmission upgrades</w:t>
      </w:r>
      <w:r w:rsidR="00B64AF3">
        <w:rPr>
          <w:szCs w:val="24"/>
        </w:rPr>
        <w:t>, the</w:t>
      </w:r>
      <w:r w:rsidR="0064247A">
        <w:rPr>
          <w:szCs w:val="24"/>
        </w:rPr>
        <w:t>se</w:t>
      </w:r>
      <w:r w:rsidR="00B64AF3">
        <w:rPr>
          <w:szCs w:val="24"/>
        </w:rPr>
        <w:t xml:space="preserve"> </w:t>
      </w:r>
      <w:r w:rsidR="00AB11E5">
        <w:rPr>
          <w:szCs w:val="24"/>
        </w:rPr>
        <w:t>transmission</w:t>
      </w:r>
      <w:r w:rsidR="00B64AF3">
        <w:rPr>
          <w:szCs w:val="24"/>
        </w:rPr>
        <w:t xml:space="preserve"> projects are </w:t>
      </w:r>
      <w:r w:rsidR="00344357">
        <w:rPr>
          <w:szCs w:val="24"/>
        </w:rPr>
        <w:t xml:space="preserve">clearly </w:t>
      </w:r>
      <w:r w:rsidR="00B64AF3">
        <w:rPr>
          <w:szCs w:val="24"/>
        </w:rPr>
        <w:t xml:space="preserve">a necessary part of </w:t>
      </w:r>
      <w:r w:rsidR="00AB11E5">
        <w:rPr>
          <w:szCs w:val="24"/>
        </w:rPr>
        <w:t xml:space="preserve">Gulf’s cost-effective </w:t>
      </w:r>
      <w:r w:rsidR="00CD1506">
        <w:rPr>
          <w:szCs w:val="24"/>
        </w:rPr>
        <w:t xml:space="preserve">MATS </w:t>
      </w:r>
      <w:r w:rsidR="00AB11E5">
        <w:rPr>
          <w:szCs w:val="24"/>
        </w:rPr>
        <w:t xml:space="preserve">compliance strategy.  </w:t>
      </w:r>
      <w:r w:rsidR="00834E07">
        <w:rPr>
          <w:szCs w:val="24"/>
        </w:rPr>
        <w:t xml:space="preserve">Gulf is continuing to evaluate the two remaining options to determine which represents the most cost-effective means of compliance.  </w:t>
      </w:r>
      <w:r w:rsidR="0064247A">
        <w:rPr>
          <w:szCs w:val="24"/>
        </w:rPr>
        <w:t xml:space="preserve">In the meantime, Gulf must proceed with the transmission upgrades that are a common requirement </w:t>
      </w:r>
      <w:r w:rsidR="00344357">
        <w:rPr>
          <w:szCs w:val="24"/>
        </w:rPr>
        <w:t>for</w:t>
      </w:r>
      <w:r w:rsidR="00705580">
        <w:rPr>
          <w:szCs w:val="24"/>
        </w:rPr>
        <w:t xml:space="preserve"> either</w:t>
      </w:r>
      <w:r w:rsidR="00344357">
        <w:rPr>
          <w:szCs w:val="24"/>
        </w:rPr>
        <w:t xml:space="preserve"> of the two </w:t>
      </w:r>
      <w:r w:rsidR="00705580">
        <w:rPr>
          <w:szCs w:val="24"/>
        </w:rPr>
        <w:t>remaining compliance option</w:t>
      </w:r>
      <w:r w:rsidR="00344357">
        <w:rPr>
          <w:szCs w:val="24"/>
        </w:rPr>
        <w:t>s</w:t>
      </w:r>
      <w:r w:rsidR="00705580">
        <w:rPr>
          <w:szCs w:val="24"/>
        </w:rPr>
        <w:t xml:space="preserve"> or </w:t>
      </w:r>
      <w:r w:rsidR="0064247A">
        <w:rPr>
          <w:szCs w:val="24"/>
        </w:rPr>
        <w:t xml:space="preserve">risk </w:t>
      </w:r>
      <w:r w:rsidR="00705580">
        <w:rPr>
          <w:szCs w:val="24"/>
        </w:rPr>
        <w:t xml:space="preserve">significant customer outages </w:t>
      </w:r>
      <w:r w:rsidR="0064247A">
        <w:rPr>
          <w:szCs w:val="24"/>
        </w:rPr>
        <w:t xml:space="preserve">in the Panama City area.  </w:t>
      </w:r>
      <w:r w:rsidR="0033517E" w:rsidRPr="00677A87">
        <w:rPr>
          <w:szCs w:val="24"/>
        </w:rPr>
        <w:t xml:space="preserve">Gulf’s Ten Year Transmission Plan identifies the specific transmission upgrades </w:t>
      </w:r>
      <w:r w:rsidR="00461287">
        <w:rPr>
          <w:szCs w:val="24"/>
        </w:rPr>
        <w:t xml:space="preserve">associated with Plant Smith that are </w:t>
      </w:r>
      <w:r w:rsidR="00461287" w:rsidRPr="00677A87">
        <w:rPr>
          <w:szCs w:val="24"/>
        </w:rPr>
        <w:t xml:space="preserve">needed for </w:t>
      </w:r>
      <w:r w:rsidR="00461287">
        <w:rPr>
          <w:szCs w:val="24"/>
        </w:rPr>
        <w:t xml:space="preserve">MATS </w:t>
      </w:r>
      <w:r w:rsidR="00461287" w:rsidRPr="00677A87">
        <w:rPr>
          <w:szCs w:val="24"/>
        </w:rPr>
        <w:t>compliance</w:t>
      </w:r>
      <w:r w:rsidR="00461287" w:rsidRPr="00461287">
        <w:rPr>
          <w:szCs w:val="24"/>
        </w:rPr>
        <w:t xml:space="preserve"> </w:t>
      </w:r>
      <w:r w:rsidR="00461287">
        <w:rPr>
          <w:szCs w:val="24"/>
        </w:rPr>
        <w:t xml:space="preserve">as well as the needed timing of those upgrades. </w:t>
      </w:r>
      <w:r w:rsidR="0033517E" w:rsidRPr="00677A87" w:rsidDel="0033517E">
        <w:rPr>
          <w:snapToGrid/>
          <w:szCs w:val="24"/>
        </w:rPr>
        <w:t xml:space="preserve"> </w:t>
      </w:r>
      <w:r w:rsidR="003B6966" w:rsidRPr="00677A87">
        <w:rPr>
          <w:snapToGrid/>
          <w:szCs w:val="24"/>
        </w:rPr>
        <w:t xml:space="preserve">(Vick, Cain, Caldwell, Burleson) </w:t>
      </w:r>
    </w:p>
    <w:p w:rsidR="00CD073B" w:rsidRPr="00677A87" w:rsidRDefault="00CD073B" w:rsidP="00A344AF">
      <w:pPr>
        <w:widowControl/>
        <w:jc w:val="both"/>
        <w:rPr>
          <w:snapToGrid/>
          <w:szCs w:val="24"/>
        </w:rPr>
      </w:pPr>
    </w:p>
    <w:p w:rsidR="00A344AF" w:rsidRPr="00677A87" w:rsidRDefault="00A344AF" w:rsidP="00A344AF">
      <w:pPr>
        <w:widowControl/>
        <w:jc w:val="both"/>
        <w:rPr>
          <w:snapToGrid/>
          <w:szCs w:val="24"/>
        </w:rPr>
      </w:pPr>
    </w:p>
    <w:p w:rsidR="00C01777" w:rsidRDefault="00C01777" w:rsidP="00A344AF">
      <w:pPr>
        <w:widowControl/>
        <w:jc w:val="both"/>
        <w:rPr>
          <w:b/>
          <w:snapToGrid/>
          <w:szCs w:val="24"/>
          <w:u w:val="single"/>
        </w:rPr>
      </w:pPr>
    </w:p>
    <w:p w:rsidR="00C01777" w:rsidRDefault="00C01777" w:rsidP="00A344AF">
      <w:pPr>
        <w:widowControl/>
        <w:jc w:val="both"/>
        <w:rPr>
          <w:b/>
          <w:snapToGrid/>
          <w:szCs w:val="24"/>
          <w:u w:val="single"/>
        </w:rPr>
      </w:pPr>
    </w:p>
    <w:p w:rsidR="00344357" w:rsidRDefault="00344357" w:rsidP="00A344AF">
      <w:pPr>
        <w:widowControl/>
        <w:jc w:val="both"/>
        <w:rPr>
          <w:b/>
          <w:snapToGrid/>
          <w:szCs w:val="24"/>
          <w:u w:val="single"/>
        </w:rPr>
      </w:pPr>
    </w:p>
    <w:p w:rsidR="00CD073B" w:rsidRPr="00677A87" w:rsidRDefault="00344357" w:rsidP="00A344AF">
      <w:pPr>
        <w:widowControl/>
        <w:jc w:val="both"/>
        <w:rPr>
          <w:snapToGrid/>
          <w:szCs w:val="24"/>
        </w:rPr>
      </w:pPr>
      <w:r>
        <w:rPr>
          <w:b/>
          <w:snapToGrid/>
          <w:szCs w:val="24"/>
          <w:u w:val="single"/>
        </w:rPr>
        <w:t>4</w:t>
      </w:r>
      <w:r w:rsidRPr="00E06A3B">
        <w:rPr>
          <w:b/>
          <w:snapToGrid/>
          <w:szCs w:val="24"/>
          <w:u w:val="single"/>
          <w:vertAlign w:val="superscript"/>
        </w:rPr>
        <w:t>th</w:t>
      </w:r>
      <w:r>
        <w:rPr>
          <w:b/>
          <w:snapToGrid/>
          <w:szCs w:val="24"/>
          <w:u w:val="single"/>
        </w:rPr>
        <w:t xml:space="preserve"> </w:t>
      </w:r>
      <w:r w:rsidR="00A344AF" w:rsidRPr="00677A87">
        <w:rPr>
          <w:b/>
          <w:snapToGrid/>
          <w:szCs w:val="24"/>
          <w:u w:val="single"/>
        </w:rPr>
        <w:t>GULF/STAFF ISSUE:</w:t>
      </w:r>
      <w:r w:rsidR="00A344AF" w:rsidRPr="00677A87">
        <w:rPr>
          <w:snapToGrid/>
          <w:szCs w:val="24"/>
        </w:rPr>
        <w:t xml:space="preserve">   </w:t>
      </w:r>
    </w:p>
    <w:p w:rsidR="00CD073B" w:rsidRPr="00677A87" w:rsidRDefault="00CD073B" w:rsidP="00A344AF">
      <w:pPr>
        <w:widowControl/>
        <w:jc w:val="both"/>
        <w:rPr>
          <w:snapToGrid/>
          <w:szCs w:val="24"/>
        </w:rPr>
      </w:pPr>
    </w:p>
    <w:p w:rsidR="00A344AF" w:rsidRPr="00677A87" w:rsidRDefault="00CD073B" w:rsidP="00CD073B">
      <w:pPr>
        <w:widowControl/>
        <w:ind w:left="1440" w:hanging="1440"/>
        <w:jc w:val="both"/>
        <w:rPr>
          <w:snapToGrid/>
          <w:szCs w:val="24"/>
        </w:rPr>
      </w:pPr>
      <w:r w:rsidRPr="00677A87">
        <w:rPr>
          <w:b/>
          <w:snapToGrid/>
          <w:szCs w:val="24"/>
        </w:rPr>
        <w:t>Issue___:</w:t>
      </w:r>
      <w:r w:rsidRPr="00677A87">
        <w:rPr>
          <w:snapToGrid/>
          <w:szCs w:val="24"/>
        </w:rPr>
        <w:tab/>
      </w:r>
      <w:r w:rsidR="00A344AF" w:rsidRPr="00677A87">
        <w:rPr>
          <w:snapToGrid/>
          <w:szCs w:val="24"/>
        </w:rPr>
        <w:t>If the Commission approves Gulf’s request to recover the costs of transmission upgrades for Plant Smith listed in Issue</w:t>
      </w:r>
      <w:r w:rsidR="005C20BA">
        <w:rPr>
          <w:snapToGrid/>
          <w:szCs w:val="24"/>
        </w:rPr>
        <w:t xml:space="preserve"> {3rd GULF/STAFF ISSUE} </w:t>
      </w:r>
      <w:r w:rsidRPr="00677A87">
        <w:rPr>
          <w:snapToGrid/>
          <w:szCs w:val="24"/>
        </w:rPr>
        <w:t>above</w:t>
      </w:r>
      <w:r w:rsidR="00A344AF" w:rsidRPr="00677A87">
        <w:rPr>
          <w:snapToGrid/>
          <w:szCs w:val="24"/>
        </w:rPr>
        <w:t>, should those costs be recovered through the Environmental Cost Recovery Clause (ECRC)?</w:t>
      </w:r>
    </w:p>
    <w:p w:rsidR="00CD073B" w:rsidRPr="00677A87" w:rsidRDefault="00CD073B" w:rsidP="00CD073B">
      <w:pPr>
        <w:widowControl/>
        <w:ind w:left="1440" w:hanging="1440"/>
        <w:jc w:val="both"/>
        <w:rPr>
          <w:snapToGrid/>
          <w:szCs w:val="24"/>
        </w:rPr>
      </w:pPr>
    </w:p>
    <w:p w:rsidR="00CD073B" w:rsidRPr="00677A87" w:rsidRDefault="00CD073B" w:rsidP="00CD073B">
      <w:pPr>
        <w:widowControl/>
        <w:ind w:left="1440" w:hanging="1440"/>
        <w:jc w:val="both"/>
        <w:rPr>
          <w:snapToGrid/>
          <w:szCs w:val="24"/>
        </w:rPr>
      </w:pPr>
      <w:r w:rsidRPr="00677A87">
        <w:rPr>
          <w:b/>
          <w:snapToGrid/>
          <w:szCs w:val="24"/>
          <w:u w:val="single"/>
        </w:rPr>
        <w:t>GULF:</w:t>
      </w:r>
      <w:r w:rsidRPr="00677A87">
        <w:rPr>
          <w:snapToGrid/>
          <w:szCs w:val="24"/>
        </w:rPr>
        <w:tab/>
      </w:r>
      <w:r w:rsidR="00211CF7" w:rsidRPr="006C6713">
        <w:rPr>
          <w:snapToGrid/>
          <w:szCs w:val="24"/>
        </w:rPr>
        <w:t>These</w:t>
      </w:r>
      <w:r w:rsidR="00211CF7" w:rsidRPr="0053777D">
        <w:rPr>
          <w:snapToGrid/>
          <w:szCs w:val="24"/>
        </w:rPr>
        <w:t xml:space="preserve"> transmission projects represent the most reasonable, cost-effective means of complying with the new Mercury and Air Toxics Standards (MATS) while maintaining compliance with NERC </w:t>
      </w:r>
      <w:r w:rsidR="00577F2C">
        <w:rPr>
          <w:snapToGrid/>
          <w:szCs w:val="24"/>
        </w:rPr>
        <w:t>R</w:t>
      </w:r>
      <w:r w:rsidR="00211CF7" w:rsidRPr="0053777D">
        <w:rPr>
          <w:snapToGrid/>
          <w:szCs w:val="24"/>
        </w:rPr>
        <w:t xml:space="preserve">eliability </w:t>
      </w:r>
      <w:r w:rsidR="00577F2C">
        <w:rPr>
          <w:snapToGrid/>
          <w:szCs w:val="24"/>
        </w:rPr>
        <w:t>S</w:t>
      </w:r>
      <w:r w:rsidR="00211CF7" w:rsidRPr="0053777D">
        <w:rPr>
          <w:snapToGrid/>
          <w:szCs w:val="24"/>
        </w:rPr>
        <w:t xml:space="preserve">tandards.  </w:t>
      </w:r>
      <w:r w:rsidR="00211CF7">
        <w:rPr>
          <w:snapToGrid/>
          <w:szCs w:val="24"/>
        </w:rPr>
        <w:t xml:space="preserve">As such, these transmission upgrades are reasonable and prudent expenditures necessary for Gulf to continue providing reliable electric service to our customers.  These transmission projects clearly meet the requirements for inclusion in base rates. Moreover, </w:t>
      </w:r>
      <w:r w:rsidR="000636E9">
        <w:rPr>
          <w:snapToGrid/>
          <w:szCs w:val="24"/>
        </w:rPr>
        <w:t xml:space="preserve">unless and until recovery is provided for through base rates or some other cost recovery </w:t>
      </w:r>
      <w:proofErr w:type="gramStart"/>
      <w:r w:rsidR="000636E9">
        <w:rPr>
          <w:snapToGrid/>
          <w:szCs w:val="24"/>
        </w:rPr>
        <w:t>mechanism,</w:t>
      </w:r>
      <w:proofErr w:type="gramEnd"/>
      <w:r w:rsidR="000636E9">
        <w:rPr>
          <w:snapToGrid/>
          <w:szCs w:val="24"/>
        </w:rPr>
        <w:t xml:space="preserve"> </w:t>
      </w:r>
      <w:r w:rsidR="00211CF7">
        <w:rPr>
          <w:snapToGrid/>
          <w:szCs w:val="24"/>
        </w:rPr>
        <w:t xml:space="preserve">these projects meet the criteria for ECRC cost recovery set forth in Order No. PSC-94-0044-FOF-EI in that (1) they will be prudently incurred after April 13, 1993; (2) the activities are legally required to comply with an environmental regulation (MATS rule) that became effective after the Company’s last test year upon which rates are based; and (3) the costs are not being recovered through any other cost recovery mechanism or through base rates. </w:t>
      </w:r>
      <w:r w:rsidR="003B6966" w:rsidRPr="00677A87">
        <w:rPr>
          <w:snapToGrid/>
          <w:szCs w:val="24"/>
        </w:rPr>
        <w:t>(Vick, Ritenour</w:t>
      </w:r>
      <w:r w:rsidR="003B7C75">
        <w:rPr>
          <w:snapToGrid/>
          <w:szCs w:val="24"/>
        </w:rPr>
        <w:t>, Burleson</w:t>
      </w:r>
      <w:r w:rsidR="003B6966" w:rsidRPr="00677A87">
        <w:rPr>
          <w:snapToGrid/>
          <w:szCs w:val="24"/>
        </w:rPr>
        <w:t>)</w:t>
      </w:r>
      <w:r w:rsidR="00E3501A" w:rsidRPr="00211CF7">
        <w:rPr>
          <w:snapToGrid/>
          <w:szCs w:val="24"/>
        </w:rPr>
        <w:t xml:space="preserve"> </w:t>
      </w:r>
    </w:p>
    <w:p w:rsidR="00CD073B" w:rsidRPr="00677A87" w:rsidRDefault="00CD073B" w:rsidP="00CD073B">
      <w:pPr>
        <w:widowControl/>
        <w:ind w:left="1440" w:hanging="1440"/>
        <w:jc w:val="both"/>
        <w:rPr>
          <w:snapToGrid/>
          <w:szCs w:val="24"/>
        </w:rPr>
      </w:pPr>
    </w:p>
    <w:p w:rsidR="00A344AF" w:rsidRPr="00677A87" w:rsidRDefault="00A344AF" w:rsidP="00A344AF">
      <w:pPr>
        <w:widowControl/>
        <w:jc w:val="both"/>
        <w:rPr>
          <w:snapToGrid/>
          <w:szCs w:val="24"/>
        </w:rPr>
      </w:pPr>
    </w:p>
    <w:p w:rsidR="00CD073B" w:rsidRPr="00677A87" w:rsidRDefault="00344357" w:rsidP="00A344AF">
      <w:pPr>
        <w:widowControl/>
        <w:jc w:val="both"/>
        <w:rPr>
          <w:snapToGrid/>
          <w:szCs w:val="24"/>
        </w:rPr>
      </w:pPr>
      <w:r>
        <w:rPr>
          <w:b/>
          <w:snapToGrid/>
          <w:szCs w:val="24"/>
          <w:u w:val="single"/>
        </w:rPr>
        <w:t>5</w:t>
      </w:r>
      <w:r w:rsidRPr="00E06A3B">
        <w:rPr>
          <w:b/>
          <w:snapToGrid/>
          <w:szCs w:val="24"/>
          <w:u w:val="single"/>
          <w:vertAlign w:val="superscript"/>
        </w:rPr>
        <w:t>th</w:t>
      </w:r>
      <w:r>
        <w:rPr>
          <w:b/>
          <w:snapToGrid/>
          <w:szCs w:val="24"/>
          <w:u w:val="single"/>
        </w:rPr>
        <w:t xml:space="preserve"> </w:t>
      </w:r>
      <w:r w:rsidR="00A344AF" w:rsidRPr="00677A87">
        <w:rPr>
          <w:b/>
          <w:snapToGrid/>
          <w:szCs w:val="24"/>
          <w:u w:val="single"/>
        </w:rPr>
        <w:t>GULF/STAFF ISSUE</w:t>
      </w:r>
      <w:r w:rsidR="00A344AF" w:rsidRPr="00677A87">
        <w:rPr>
          <w:b/>
          <w:snapToGrid/>
          <w:szCs w:val="24"/>
        </w:rPr>
        <w:t>:</w:t>
      </w:r>
      <w:r w:rsidR="00A344AF" w:rsidRPr="00677A87">
        <w:rPr>
          <w:snapToGrid/>
          <w:szCs w:val="24"/>
        </w:rPr>
        <w:t xml:space="preserve">  </w:t>
      </w:r>
    </w:p>
    <w:p w:rsidR="00CD073B" w:rsidRPr="00677A87" w:rsidRDefault="00CD073B" w:rsidP="00A344AF">
      <w:pPr>
        <w:widowControl/>
        <w:jc w:val="both"/>
        <w:rPr>
          <w:snapToGrid/>
          <w:szCs w:val="24"/>
        </w:rPr>
      </w:pPr>
    </w:p>
    <w:p w:rsidR="00A344AF" w:rsidRPr="00677A87" w:rsidRDefault="00CD073B" w:rsidP="00CD073B">
      <w:pPr>
        <w:widowControl/>
        <w:ind w:left="1440" w:hanging="1440"/>
        <w:jc w:val="both"/>
        <w:rPr>
          <w:bCs/>
          <w:snapToGrid/>
          <w:szCs w:val="24"/>
        </w:rPr>
      </w:pPr>
      <w:r w:rsidRPr="00677A87">
        <w:rPr>
          <w:b/>
          <w:bCs/>
          <w:snapToGrid/>
          <w:szCs w:val="24"/>
        </w:rPr>
        <w:t>Issue___:</w:t>
      </w:r>
      <w:r w:rsidRPr="00677A87">
        <w:rPr>
          <w:bCs/>
          <w:snapToGrid/>
          <w:szCs w:val="24"/>
        </w:rPr>
        <w:tab/>
      </w:r>
      <w:r w:rsidR="00A344AF" w:rsidRPr="00677A87">
        <w:rPr>
          <w:bCs/>
          <w:snapToGrid/>
          <w:szCs w:val="24"/>
        </w:rPr>
        <w:t xml:space="preserve">Should the Commission approve Gulf’s request to recover $637,000 in revenue requirements for the following transmission projects that are projected to go into service during the 2014 projected test year? </w:t>
      </w:r>
    </w:p>
    <w:p w:rsidR="00A344AF" w:rsidRPr="00677A87" w:rsidRDefault="00A344AF" w:rsidP="00A344AF">
      <w:pPr>
        <w:widowControl/>
        <w:jc w:val="both"/>
        <w:rPr>
          <w:bCs/>
          <w:snapToGrid/>
          <w:szCs w:val="24"/>
        </w:rPr>
      </w:pPr>
      <w:r w:rsidRPr="00677A87">
        <w:rPr>
          <w:bCs/>
          <w:snapToGrid/>
          <w:szCs w:val="24"/>
        </w:rPr>
        <w:tab/>
      </w:r>
      <w:r w:rsidR="00CD073B" w:rsidRPr="00677A87">
        <w:rPr>
          <w:bCs/>
          <w:snapToGrid/>
          <w:szCs w:val="24"/>
        </w:rPr>
        <w:tab/>
      </w:r>
      <w:proofErr w:type="gramStart"/>
      <w:r w:rsidRPr="00677A87">
        <w:rPr>
          <w:bCs/>
          <w:snapToGrid/>
          <w:szCs w:val="24"/>
        </w:rPr>
        <w:t>a</w:t>
      </w:r>
      <w:proofErr w:type="gramEnd"/>
      <w:r w:rsidRPr="00677A87">
        <w:rPr>
          <w:bCs/>
          <w:snapToGrid/>
          <w:szCs w:val="24"/>
        </w:rPr>
        <w:t>.</w:t>
      </w:r>
      <w:r w:rsidRPr="00677A87">
        <w:rPr>
          <w:bCs/>
          <w:snapToGrid/>
          <w:szCs w:val="24"/>
        </w:rPr>
        <w:tab/>
        <w:t>Rebuild Holmes Creek – Bonifay Tap Section Double Circuit</w:t>
      </w:r>
    </w:p>
    <w:p w:rsidR="00A344AF" w:rsidRPr="00677A87" w:rsidRDefault="00A344AF" w:rsidP="00A344AF">
      <w:pPr>
        <w:widowControl/>
        <w:jc w:val="both"/>
        <w:rPr>
          <w:bCs/>
          <w:snapToGrid/>
          <w:szCs w:val="24"/>
        </w:rPr>
      </w:pPr>
      <w:r w:rsidRPr="00677A87">
        <w:rPr>
          <w:bCs/>
          <w:snapToGrid/>
          <w:szCs w:val="24"/>
        </w:rPr>
        <w:tab/>
      </w:r>
      <w:r w:rsidR="00CD073B" w:rsidRPr="00677A87">
        <w:rPr>
          <w:bCs/>
          <w:snapToGrid/>
          <w:szCs w:val="24"/>
        </w:rPr>
        <w:tab/>
      </w:r>
      <w:proofErr w:type="gramStart"/>
      <w:r w:rsidRPr="00677A87">
        <w:rPr>
          <w:bCs/>
          <w:snapToGrid/>
          <w:szCs w:val="24"/>
        </w:rPr>
        <w:t>b</w:t>
      </w:r>
      <w:proofErr w:type="gramEnd"/>
      <w:r w:rsidRPr="00677A87">
        <w:rPr>
          <w:bCs/>
          <w:snapToGrid/>
          <w:szCs w:val="24"/>
        </w:rPr>
        <w:t>.</w:t>
      </w:r>
      <w:r w:rsidRPr="00677A87">
        <w:rPr>
          <w:bCs/>
          <w:snapToGrid/>
          <w:szCs w:val="24"/>
        </w:rPr>
        <w:tab/>
        <w:t xml:space="preserve">Holmes Creek – Highland City Capacitor new 230 kV – </w:t>
      </w:r>
      <w:proofErr w:type="spellStart"/>
      <w:r w:rsidRPr="00677A87">
        <w:rPr>
          <w:bCs/>
          <w:snapToGrid/>
          <w:szCs w:val="24"/>
        </w:rPr>
        <w:t>Autobank</w:t>
      </w:r>
      <w:proofErr w:type="spellEnd"/>
    </w:p>
    <w:p w:rsidR="00A344AF" w:rsidRPr="00677A87" w:rsidRDefault="00A344AF" w:rsidP="00A344AF">
      <w:pPr>
        <w:widowControl/>
        <w:jc w:val="both"/>
        <w:rPr>
          <w:bCs/>
          <w:snapToGrid/>
          <w:szCs w:val="24"/>
        </w:rPr>
      </w:pPr>
      <w:r w:rsidRPr="00677A87">
        <w:rPr>
          <w:bCs/>
          <w:snapToGrid/>
          <w:szCs w:val="24"/>
        </w:rPr>
        <w:tab/>
      </w:r>
      <w:r w:rsidR="00CD073B" w:rsidRPr="00677A87">
        <w:rPr>
          <w:bCs/>
          <w:snapToGrid/>
          <w:szCs w:val="24"/>
        </w:rPr>
        <w:tab/>
      </w:r>
      <w:proofErr w:type="gramStart"/>
      <w:r w:rsidRPr="00677A87">
        <w:rPr>
          <w:bCs/>
          <w:snapToGrid/>
          <w:szCs w:val="24"/>
        </w:rPr>
        <w:t>c</w:t>
      </w:r>
      <w:proofErr w:type="gramEnd"/>
      <w:r w:rsidRPr="00677A87">
        <w:rPr>
          <w:bCs/>
          <w:snapToGrid/>
          <w:szCs w:val="24"/>
        </w:rPr>
        <w:t>.</w:t>
      </w:r>
      <w:r w:rsidRPr="00677A87">
        <w:rPr>
          <w:bCs/>
          <w:snapToGrid/>
          <w:szCs w:val="24"/>
        </w:rPr>
        <w:tab/>
        <w:t>Holmes Creek – Highland City New 230 kV – Cap Bank</w:t>
      </w:r>
    </w:p>
    <w:p w:rsidR="00A344AF" w:rsidRPr="00677A87" w:rsidRDefault="00A344AF" w:rsidP="00A344AF">
      <w:pPr>
        <w:widowControl/>
        <w:jc w:val="both"/>
        <w:rPr>
          <w:bCs/>
          <w:snapToGrid/>
          <w:szCs w:val="24"/>
        </w:rPr>
      </w:pPr>
    </w:p>
    <w:p w:rsidR="00347ACC" w:rsidRPr="00677A87" w:rsidRDefault="00CD073B" w:rsidP="00347ACC">
      <w:pPr>
        <w:widowControl/>
        <w:ind w:left="1440" w:hanging="1440"/>
        <w:jc w:val="both"/>
        <w:rPr>
          <w:bCs/>
          <w:snapToGrid/>
          <w:szCs w:val="24"/>
        </w:rPr>
      </w:pPr>
      <w:r w:rsidRPr="00677A87">
        <w:rPr>
          <w:b/>
          <w:bCs/>
          <w:snapToGrid/>
          <w:szCs w:val="24"/>
          <w:u w:val="single"/>
        </w:rPr>
        <w:t>GULF:</w:t>
      </w:r>
      <w:r w:rsidR="00CD1506">
        <w:rPr>
          <w:bCs/>
          <w:snapToGrid/>
          <w:szCs w:val="24"/>
        </w:rPr>
        <w:tab/>
      </w:r>
      <w:r w:rsidR="00344357">
        <w:t>Yes, unless the Commission decides to allow recovery of these projects through the ECRC.</w:t>
      </w:r>
      <w:r w:rsidR="00347ACC">
        <w:rPr>
          <w:bCs/>
          <w:snapToGrid/>
          <w:szCs w:val="24"/>
        </w:rPr>
        <w:t xml:space="preserve"> </w:t>
      </w:r>
      <w:r w:rsidR="00347ACC">
        <w:rPr>
          <w:snapToGrid/>
          <w:szCs w:val="24"/>
        </w:rPr>
        <w:t xml:space="preserve">These three </w:t>
      </w:r>
      <w:r w:rsidR="00347ACC" w:rsidRPr="00B67A3B">
        <w:rPr>
          <w:szCs w:val="24"/>
        </w:rPr>
        <w:t xml:space="preserve">transmission </w:t>
      </w:r>
      <w:r w:rsidR="00347ACC">
        <w:rPr>
          <w:szCs w:val="24"/>
        </w:rPr>
        <w:t>projects</w:t>
      </w:r>
      <w:r w:rsidR="00347ACC" w:rsidRPr="00B67A3B">
        <w:rPr>
          <w:szCs w:val="24"/>
        </w:rPr>
        <w:t xml:space="preserve"> </w:t>
      </w:r>
      <w:r w:rsidR="00347ACC">
        <w:rPr>
          <w:szCs w:val="24"/>
        </w:rPr>
        <w:t xml:space="preserve">associated with Plant Smith are the first three projects listed in </w:t>
      </w:r>
      <w:proofErr w:type="gramStart"/>
      <w:r w:rsidR="00347ACC">
        <w:rPr>
          <w:szCs w:val="24"/>
        </w:rPr>
        <w:t xml:space="preserve">Issue </w:t>
      </w:r>
      <w:r w:rsidR="00347ACC" w:rsidRPr="008A4EA8">
        <w:rPr>
          <w:szCs w:val="24"/>
          <w:u w:val="single"/>
        </w:rPr>
        <w:t xml:space="preserve"> {</w:t>
      </w:r>
      <w:proofErr w:type="gramEnd"/>
      <w:r w:rsidR="00347ACC" w:rsidRPr="008A4EA8">
        <w:rPr>
          <w:szCs w:val="24"/>
          <w:u w:val="single"/>
        </w:rPr>
        <w:t>3</w:t>
      </w:r>
      <w:r w:rsidR="00347ACC" w:rsidRPr="008A4EA8">
        <w:rPr>
          <w:szCs w:val="24"/>
          <w:u w:val="single"/>
          <w:vertAlign w:val="superscript"/>
        </w:rPr>
        <w:t>rd</w:t>
      </w:r>
      <w:r w:rsidR="00347ACC" w:rsidRPr="008A4EA8">
        <w:rPr>
          <w:szCs w:val="24"/>
          <w:u w:val="single"/>
        </w:rPr>
        <w:t xml:space="preserve"> GULF/STAFF ISSUE}</w:t>
      </w:r>
      <w:r w:rsidR="00347ACC">
        <w:rPr>
          <w:szCs w:val="24"/>
        </w:rPr>
        <w:t xml:space="preserve"> and are scheduled to go into service in 2014.  </w:t>
      </w:r>
      <w:r w:rsidR="00344357">
        <w:rPr>
          <w:szCs w:val="24"/>
        </w:rPr>
        <w:t>Since these projects are part of the investment placed in service during the 2014 test year and, as discussed in Gulf’s position on Issue</w:t>
      </w:r>
      <w:r w:rsidR="00344357" w:rsidRPr="00A748DF">
        <w:rPr>
          <w:szCs w:val="24"/>
          <w:u w:val="single"/>
        </w:rPr>
        <w:t xml:space="preserve"> {3</w:t>
      </w:r>
      <w:r w:rsidR="00344357" w:rsidRPr="00A748DF">
        <w:rPr>
          <w:szCs w:val="24"/>
          <w:u w:val="single"/>
          <w:vertAlign w:val="superscript"/>
        </w:rPr>
        <w:t>rd</w:t>
      </w:r>
      <w:r w:rsidR="00344357" w:rsidRPr="00A748DF">
        <w:rPr>
          <w:szCs w:val="24"/>
          <w:u w:val="single"/>
        </w:rPr>
        <w:t xml:space="preserve"> GULF/STAFF ISSUE}</w:t>
      </w:r>
      <w:r w:rsidR="00344357">
        <w:rPr>
          <w:szCs w:val="24"/>
        </w:rPr>
        <w:t>, these transmission projects are</w:t>
      </w:r>
      <w:r w:rsidR="00344357" w:rsidRPr="00B67A3B">
        <w:rPr>
          <w:szCs w:val="24"/>
        </w:rPr>
        <w:t xml:space="preserve"> required for compliance with the MATS rule while maintaining compliance with NERC Reliability Standards</w:t>
      </w:r>
      <w:r w:rsidR="00344357">
        <w:rPr>
          <w:szCs w:val="24"/>
        </w:rPr>
        <w:t>, the revenue requirements associated with these projects c</w:t>
      </w:r>
      <w:r w:rsidR="00344357">
        <w:rPr>
          <w:snapToGrid/>
          <w:szCs w:val="24"/>
        </w:rPr>
        <w:t>learly meet the requirements for inclusion in base rates</w:t>
      </w:r>
      <w:r w:rsidR="00344357">
        <w:rPr>
          <w:szCs w:val="24"/>
        </w:rPr>
        <w:t xml:space="preserve">.  </w:t>
      </w:r>
      <w:r w:rsidR="00344357" w:rsidRPr="00CD04E5">
        <w:rPr>
          <w:szCs w:val="24"/>
        </w:rPr>
        <w:t xml:space="preserve">Moreover, </w:t>
      </w:r>
      <w:r w:rsidR="00344357">
        <w:rPr>
          <w:szCs w:val="24"/>
        </w:rPr>
        <w:t xml:space="preserve">as discussed in Gulf’s position on Issue </w:t>
      </w:r>
      <w:r w:rsidR="00344357" w:rsidRPr="00A748DF">
        <w:rPr>
          <w:szCs w:val="24"/>
          <w:u w:val="single"/>
        </w:rPr>
        <w:t>{</w:t>
      </w:r>
      <w:r w:rsidR="00344357">
        <w:rPr>
          <w:szCs w:val="24"/>
          <w:u w:val="single"/>
        </w:rPr>
        <w:t>4</w:t>
      </w:r>
      <w:r w:rsidR="00344357" w:rsidRPr="00D918E5">
        <w:rPr>
          <w:szCs w:val="24"/>
          <w:u w:val="single"/>
          <w:vertAlign w:val="superscript"/>
        </w:rPr>
        <w:t>th</w:t>
      </w:r>
      <w:r w:rsidR="00344357" w:rsidRPr="00A748DF">
        <w:rPr>
          <w:szCs w:val="24"/>
          <w:u w:val="single"/>
        </w:rPr>
        <w:t xml:space="preserve"> GULF/STAFF ISSUE}</w:t>
      </w:r>
      <w:r w:rsidR="00344357">
        <w:rPr>
          <w:szCs w:val="24"/>
        </w:rPr>
        <w:t xml:space="preserve">, </w:t>
      </w:r>
      <w:r w:rsidR="00344357" w:rsidRPr="00CD04E5">
        <w:rPr>
          <w:szCs w:val="24"/>
        </w:rPr>
        <w:t xml:space="preserve">unless and until recovery is provided for through base rates or some other cost recovery </w:t>
      </w:r>
      <w:proofErr w:type="gramStart"/>
      <w:r w:rsidR="00344357" w:rsidRPr="00CD04E5">
        <w:rPr>
          <w:szCs w:val="24"/>
        </w:rPr>
        <w:t>mechanism,</w:t>
      </w:r>
      <w:proofErr w:type="gramEnd"/>
      <w:r w:rsidR="00344357" w:rsidRPr="00CD04E5">
        <w:rPr>
          <w:szCs w:val="24"/>
        </w:rPr>
        <w:t xml:space="preserve"> these projects meet the criteria for ECRC cost</w:t>
      </w:r>
      <w:r w:rsidR="00344357">
        <w:rPr>
          <w:szCs w:val="24"/>
        </w:rPr>
        <w:t xml:space="preserve"> recovery.</w:t>
      </w:r>
      <w:r w:rsidR="00344357" w:rsidRPr="00CD04E5">
        <w:rPr>
          <w:szCs w:val="24"/>
        </w:rPr>
        <w:t xml:space="preserve"> </w:t>
      </w:r>
      <w:r w:rsidR="00347ACC">
        <w:rPr>
          <w:bCs/>
          <w:snapToGrid/>
          <w:szCs w:val="24"/>
        </w:rPr>
        <w:t xml:space="preserve"> </w:t>
      </w:r>
      <w:r w:rsidR="00347ACC" w:rsidRPr="00677A87">
        <w:rPr>
          <w:bCs/>
          <w:snapToGrid/>
          <w:szCs w:val="24"/>
        </w:rPr>
        <w:t>(</w:t>
      </w:r>
      <w:r w:rsidR="00347ACC">
        <w:rPr>
          <w:bCs/>
          <w:snapToGrid/>
          <w:szCs w:val="24"/>
        </w:rPr>
        <w:t>Ritenour</w:t>
      </w:r>
      <w:r w:rsidR="00347ACC" w:rsidRPr="00677A87">
        <w:rPr>
          <w:bCs/>
          <w:snapToGrid/>
          <w:szCs w:val="24"/>
        </w:rPr>
        <w:t>)</w:t>
      </w:r>
    </w:p>
    <w:p w:rsidR="00AC6033" w:rsidRDefault="00AC6033" w:rsidP="00A344AF">
      <w:pPr>
        <w:widowControl/>
        <w:jc w:val="both"/>
        <w:rPr>
          <w:b/>
          <w:bCs/>
          <w:snapToGrid/>
          <w:szCs w:val="24"/>
        </w:rPr>
      </w:pPr>
    </w:p>
    <w:p w:rsidR="00012094" w:rsidRPr="00FF004B" w:rsidRDefault="00012094" w:rsidP="00A344AF">
      <w:pPr>
        <w:widowControl/>
        <w:jc w:val="both"/>
        <w:rPr>
          <w:b/>
          <w:bCs/>
          <w:snapToGrid/>
          <w:szCs w:val="24"/>
        </w:rPr>
      </w:pPr>
      <w:r w:rsidRPr="00FF004B">
        <w:rPr>
          <w:b/>
          <w:bCs/>
          <w:snapToGrid/>
          <w:szCs w:val="24"/>
        </w:rPr>
        <w:lastRenderedPageBreak/>
        <w:t>***Gulf objects to the following two issues raised by the Office of Public Counsel***</w:t>
      </w:r>
    </w:p>
    <w:p w:rsidR="00012094" w:rsidRPr="00677A87" w:rsidRDefault="00012094" w:rsidP="00A344AF">
      <w:pPr>
        <w:widowControl/>
        <w:jc w:val="both"/>
        <w:rPr>
          <w:bCs/>
          <w:snapToGrid/>
          <w:szCs w:val="24"/>
        </w:rPr>
      </w:pPr>
      <w:r>
        <w:rPr>
          <w:bCs/>
          <w:snapToGrid/>
          <w:szCs w:val="24"/>
        </w:rPr>
        <w:t xml:space="preserve"> </w:t>
      </w:r>
    </w:p>
    <w:p w:rsidR="00A344AF" w:rsidRPr="00677A87" w:rsidRDefault="00A344AF" w:rsidP="00A344AF">
      <w:pPr>
        <w:widowControl/>
        <w:jc w:val="both"/>
        <w:rPr>
          <w:bCs/>
          <w:snapToGrid/>
          <w:szCs w:val="24"/>
        </w:rPr>
      </w:pPr>
      <w:r w:rsidRPr="00677A87">
        <w:rPr>
          <w:bCs/>
          <w:snapToGrid/>
          <w:szCs w:val="24"/>
          <w:u w:val="single"/>
        </w:rPr>
        <w:t>OPC ISSUE</w:t>
      </w:r>
      <w:r w:rsidRPr="00677A87">
        <w:rPr>
          <w:bCs/>
          <w:snapToGrid/>
          <w:szCs w:val="24"/>
        </w:rPr>
        <w:t>:</w:t>
      </w:r>
      <w:r w:rsidRPr="00677A87">
        <w:rPr>
          <w:bCs/>
          <w:snapToGrid/>
          <w:szCs w:val="24"/>
        </w:rPr>
        <w:tab/>
        <w:t>With respect to the Plant Crist transmission upgrade project that Gulf has identified, which includes the following components, projected in-service dates, and projected expenditures (“PE”):</w:t>
      </w:r>
    </w:p>
    <w:p w:rsidR="00A344AF" w:rsidRPr="00677A87" w:rsidRDefault="00A344AF" w:rsidP="00A344AF">
      <w:pPr>
        <w:widowControl/>
        <w:rPr>
          <w:snapToGrid/>
          <w:szCs w:val="24"/>
        </w:rPr>
      </w:pPr>
      <w:r w:rsidRPr="00677A87">
        <w:rPr>
          <w:snapToGrid/>
          <w:szCs w:val="24"/>
        </w:rPr>
        <w:tab/>
      </w:r>
      <w:proofErr w:type="gramStart"/>
      <w:r w:rsidRPr="00677A87">
        <w:rPr>
          <w:snapToGrid/>
          <w:szCs w:val="24"/>
        </w:rPr>
        <w:t>a.</w:t>
      </w:r>
      <w:r w:rsidRPr="00677A87">
        <w:rPr>
          <w:snapToGrid/>
          <w:szCs w:val="24"/>
        </w:rPr>
        <w:tab/>
        <w:t>Pensacola</w:t>
      </w:r>
      <w:proofErr w:type="gramEnd"/>
      <w:r w:rsidRPr="00677A87">
        <w:rPr>
          <w:snapToGrid/>
          <w:szCs w:val="24"/>
        </w:rPr>
        <w:t xml:space="preserve"> SVC (Alligator Swamp)( in-service date 2015)(PE ____)</w:t>
      </w:r>
    </w:p>
    <w:p w:rsidR="00A344AF" w:rsidRPr="00677A87" w:rsidRDefault="00A344AF" w:rsidP="00A344AF">
      <w:pPr>
        <w:widowControl/>
        <w:rPr>
          <w:snapToGrid/>
          <w:szCs w:val="24"/>
        </w:rPr>
      </w:pPr>
      <w:r w:rsidRPr="00677A87">
        <w:rPr>
          <w:snapToGrid/>
          <w:szCs w:val="24"/>
        </w:rPr>
        <w:tab/>
      </w:r>
      <w:proofErr w:type="gramStart"/>
      <w:r w:rsidRPr="00677A87">
        <w:rPr>
          <w:snapToGrid/>
          <w:szCs w:val="24"/>
        </w:rPr>
        <w:t>b</w:t>
      </w:r>
      <w:proofErr w:type="gramEnd"/>
      <w:r w:rsidRPr="00677A87">
        <w:rPr>
          <w:snapToGrid/>
          <w:szCs w:val="24"/>
        </w:rPr>
        <w:t>.</w:t>
      </w:r>
      <w:r w:rsidRPr="00677A87">
        <w:rPr>
          <w:snapToGrid/>
          <w:szCs w:val="24"/>
        </w:rPr>
        <w:tab/>
        <w:t>Alligator Swamp Capacitor Bank (in-service date 2015) (PE ____)</w:t>
      </w:r>
    </w:p>
    <w:p w:rsidR="00A344AF" w:rsidRPr="00677A87" w:rsidRDefault="00A344AF" w:rsidP="00A344AF">
      <w:pPr>
        <w:widowControl/>
        <w:rPr>
          <w:snapToGrid/>
          <w:szCs w:val="24"/>
        </w:rPr>
      </w:pPr>
      <w:r w:rsidRPr="00677A87">
        <w:rPr>
          <w:snapToGrid/>
          <w:szCs w:val="24"/>
        </w:rPr>
        <w:t xml:space="preserve"> </w:t>
      </w:r>
      <w:r w:rsidRPr="00677A87">
        <w:rPr>
          <w:snapToGrid/>
          <w:szCs w:val="24"/>
        </w:rPr>
        <w:tab/>
      </w:r>
      <w:proofErr w:type="gramStart"/>
      <w:r w:rsidRPr="00677A87">
        <w:rPr>
          <w:snapToGrid/>
          <w:szCs w:val="24"/>
        </w:rPr>
        <w:t>c.</w:t>
      </w:r>
      <w:r w:rsidRPr="00677A87">
        <w:rPr>
          <w:snapToGrid/>
          <w:szCs w:val="24"/>
        </w:rPr>
        <w:tab/>
        <w:t>North</w:t>
      </w:r>
      <w:proofErr w:type="gramEnd"/>
      <w:r w:rsidRPr="00677A87">
        <w:rPr>
          <w:snapToGrid/>
          <w:szCs w:val="24"/>
        </w:rPr>
        <w:t xml:space="preserve"> Brewton–Alligator Swamp 230 kV line (in-service date 2015)(PE ____)</w:t>
      </w:r>
    </w:p>
    <w:p w:rsidR="00A344AF" w:rsidRPr="00677A87" w:rsidRDefault="00A344AF" w:rsidP="00A344AF">
      <w:pPr>
        <w:widowControl/>
        <w:rPr>
          <w:snapToGrid/>
          <w:szCs w:val="24"/>
        </w:rPr>
      </w:pPr>
      <w:r w:rsidRPr="00677A87">
        <w:rPr>
          <w:snapToGrid/>
          <w:szCs w:val="24"/>
        </w:rPr>
        <w:tab/>
      </w:r>
      <w:proofErr w:type="gramStart"/>
      <w:r w:rsidRPr="00677A87">
        <w:rPr>
          <w:snapToGrid/>
          <w:szCs w:val="24"/>
        </w:rPr>
        <w:t>d</w:t>
      </w:r>
      <w:proofErr w:type="gramEnd"/>
      <w:r w:rsidRPr="00677A87">
        <w:rPr>
          <w:snapToGrid/>
          <w:szCs w:val="24"/>
        </w:rPr>
        <w:t>.</w:t>
      </w:r>
      <w:r w:rsidRPr="00677A87">
        <w:rPr>
          <w:snapToGrid/>
          <w:szCs w:val="24"/>
        </w:rPr>
        <w:tab/>
        <w:t>Alligator Swamp Substation (in-service date 2015) (PE ____)</w:t>
      </w:r>
    </w:p>
    <w:p w:rsidR="00A344AF" w:rsidRPr="00677A87" w:rsidRDefault="00A344AF" w:rsidP="00A344AF">
      <w:pPr>
        <w:widowControl/>
        <w:rPr>
          <w:snapToGrid/>
          <w:szCs w:val="24"/>
        </w:rPr>
      </w:pPr>
      <w:r w:rsidRPr="00677A87">
        <w:rPr>
          <w:snapToGrid/>
          <w:szCs w:val="24"/>
        </w:rPr>
        <w:tab/>
        <w:t>e.</w:t>
      </w:r>
      <w:r w:rsidRPr="00677A87">
        <w:rPr>
          <w:snapToGrid/>
          <w:szCs w:val="24"/>
        </w:rPr>
        <w:tab/>
        <w:t>West Pensacola Capacitor Bank (</w:t>
      </w:r>
      <w:proofErr w:type="spellStart"/>
      <w:r w:rsidRPr="00677A87">
        <w:rPr>
          <w:snapToGrid/>
          <w:szCs w:val="24"/>
        </w:rPr>
        <w:t>Bellview</w:t>
      </w:r>
      <w:proofErr w:type="spellEnd"/>
      <w:r w:rsidRPr="00677A87">
        <w:rPr>
          <w:snapToGrid/>
          <w:szCs w:val="24"/>
        </w:rPr>
        <w:t>) (in-service date 2015) (PE ____)</w:t>
      </w:r>
    </w:p>
    <w:p w:rsidR="00A344AF" w:rsidRPr="00677A87" w:rsidRDefault="00A344AF" w:rsidP="00A344AF">
      <w:pPr>
        <w:widowControl/>
        <w:rPr>
          <w:snapToGrid/>
          <w:szCs w:val="24"/>
        </w:rPr>
      </w:pPr>
    </w:p>
    <w:p w:rsidR="00A344AF" w:rsidRPr="00677A87" w:rsidRDefault="00A344AF" w:rsidP="00A344AF">
      <w:pPr>
        <w:widowControl/>
        <w:jc w:val="both"/>
        <w:rPr>
          <w:bCs/>
          <w:snapToGrid/>
          <w:szCs w:val="24"/>
        </w:rPr>
      </w:pPr>
      <w:r w:rsidRPr="00677A87">
        <w:rPr>
          <w:bCs/>
          <w:snapToGrid/>
          <w:szCs w:val="24"/>
        </w:rPr>
        <w:tab/>
        <w:t>A.</w:t>
      </w:r>
      <w:r w:rsidRPr="00677A87">
        <w:rPr>
          <w:bCs/>
          <w:snapToGrid/>
          <w:szCs w:val="24"/>
        </w:rPr>
        <w:tab/>
        <w:t xml:space="preserve">Has Gulf Power demonstrated that the above Plant Crist transmission upgrade project components satisfy the eligibility criteria of the Environmental Cost Recovery Clause (ECRC) established in Order No. </w:t>
      </w:r>
      <w:proofErr w:type="gramStart"/>
      <w:r w:rsidRPr="00677A87">
        <w:rPr>
          <w:bCs/>
          <w:snapToGrid/>
          <w:szCs w:val="24"/>
        </w:rPr>
        <w:t>PSC-94-0044-FOF-EI, such that the Commission should grant Gulf’s request for authority to recover the costs of the project through the ECRC as they are incurred?</w:t>
      </w:r>
      <w:proofErr w:type="gramEnd"/>
    </w:p>
    <w:p w:rsidR="00A344AF" w:rsidRPr="00677A87" w:rsidRDefault="00A344AF" w:rsidP="00A344AF">
      <w:pPr>
        <w:widowControl/>
        <w:jc w:val="both"/>
        <w:rPr>
          <w:bCs/>
          <w:snapToGrid/>
          <w:szCs w:val="24"/>
        </w:rPr>
      </w:pPr>
    </w:p>
    <w:p w:rsidR="00A344AF" w:rsidRPr="00677A87" w:rsidRDefault="00A344AF" w:rsidP="00A344AF">
      <w:pPr>
        <w:widowControl/>
        <w:jc w:val="both"/>
        <w:rPr>
          <w:bCs/>
          <w:snapToGrid/>
          <w:szCs w:val="24"/>
        </w:rPr>
      </w:pPr>
      <w:r w:rsidRPr="00677A87">
        <w:rPr>
          <w:bCs/>
          <w:snapToGrid/>
          <w:szCs w:val="24"/>
        </w:rPr>
        <w:tab/>
        <w:t>B.</w:t>
      </w:r>
      <w:r w:rsidRPr="00677A87">
        <w:rPr>
          <w:bCs/>
          <w:snapToGrid/>
          <w:szCs w:val="24"/>
        </w:rPr>
        <w:tab/>
        <w:t xml:space="preserve">(If the answer to A above is in the negative) In the alternative, has Gulf demonstrated that any portions of the transmission upgrade project for Plant Crist identified in (A) above are reasonable, prudent and will enter into service in 2014, such that the Commission should authorize Gulf to include said portions in rate base and recover related </w:t>
      </w:r>
      <w:proofErr w:type="gramStart"/>
      <w:r w:rsidRPr="00677A87">
        <w:rPr>
          <w:bCs/>
          <w:snapToGrid/>
          <w:szCs w:val="24"/>
        </w:rPr>
        <w:t>costs  through</w:t>
      </w:r>
      <w:proofErr w:type="gramEnd"/>
      <w:r w:rsidRPr="00677A87">
        <w:rPr>
          <w:bCs/>
          <w:snapToGrid/>
          <w:szCs w:val="24"/>
        </w:rPr>
        <w:t xml:space="preserve"> the 2014 base rates established in this proceeding?  If the answer is in the affirmative, what is the amount of the project costs that should be included in test </w:t>
      </w:r>
      <w:proofErr w:type="gramStart"/>
      <w:r w:rsidRPr="00677A87">
        <w:rPr>
          <w:bCs/>
          <w:snapToGrid/>
          <w:szCs w:val="24"/>
        </w:rPr>
        <w:t>year  revenue</w:t>
      </w:r>
      <w:proofErr w:type="gramEnd"/>
      <w:r w:rsidRPr="00677A87">
        <w:rPr>
          <w:bCs/>
          <w:snapToGrid/>
          <w:szCs w:val="24"/>
        </w:rPr>
        <w:t xml:space="preserve"> requirements?</w:t>
      </w:r>
    </w:p>
    <w:p w:rsidR="00A344AF" w:rsidRPr="00677A87" w:rsidRDefault="00A344AF" w:rsidP="00A344AF">
      <w:pPr>
        <w:widowControl/>
        <w:jc w:val="both"/>
        <w:rPr>
          <w:bCs/>
          <w:snapToGrid/>
          <w:szCs w:val="24"/>
        </w:rPr>
      </w:pPr>
    </w:p>
    <w:p w:rsidR="00A344AF" w:rsidRPr="00677A87" w:rsidRDefault="00A344AF" w:rsidP="00A344AF">
      <w:pPr>
        <w:widowControl/>
        <w:jc w:val="both"/>
        <w:rPr>
          <w:bCs/>
          <w:snapToGrid/>
          <w:szCs w:val="24"/>
        </w:rPr>
      </w:pPr>
      <w:r w:rsidRPr="00677A87">
        <w:rPr>
          <w:bCs/>
          <w:snapToGrid/>
          <w:szCs w:val="24"/>
        </w:rPr>
        <w:tab/>
        <w:t xml:space="preserve">C.  </w:t>
      </w:r>
      <w:r w:rsidRPr="00677A87">
        <w:rPr>
          <w:bCs/>
          <w:snapToGrid/>
          <w:szCs w:val="24"/>
        </w:rPr>
        <w:tab/>
        <w:t>(If the answer to A is in the negative):  Has Gulf demonstrated that any portions of the Plant Crist transmission upgrade project are reasonable, prudent, and will be in service as of June 30, 2015?  If the answer is in the affirmative, should the Commission approve now any portion of the $16,392,000 (total) “step increase” sought by Gulf to become effective on July 1, 2015 that is associated with Plant Crist transmission upgrade costs?</w:t>
      </w:r>
    </w:p>
    <w:p w:rsidR="00A344AF" w:rsidRPr="00677A87" w:rsidRDefault="00A344AF" w:rsidP="00A344AF">
      <w:pPr>
        <w:widowControl/>
        <w:jc w:val="both"/>
        <w:rPr>
          <w:bCs/>
          <w:snapToGrid/>
          <w:szCs w:val="24"/>
        </w:rPr>
      </w:pPr>
    </w:p>
    <w:p w:rsidR="00A344AF" w:rsidRPr="00677A87" w:rsidRDefault="00A344AF" w:rsidP="00A344AF">
      <w:pPr>
        <w:widowControl/>
        <w:jc w:val="both"/>
        <w:rPr>
          <w:bCs/>
          <w:snapToGrid/>
          <w:szCs w:val="24"/>
        </w:rPr>
      </w:pPr>
      <w:r w:rsidRPr="00677A87">
        <w:rPr>
          <w:bCs/>
          <w:snapToGrid/>
          <w:szCs w:val="24"/>
          <w:u w:val="single"/>
        </w:rPr>
        <w:t>OPC ISSUE:</w:t>
      </w:r>
      <w:r w:rsidRPr="00677A87">
        <w:rPr>
          <w:bCs/>
          <w:snapToGrid/>
          <w:szCs w:val="24"/>
        </w:rPr>
        <w:t xml:space="preserve">  With respect to the Plant Smith transmission upgrade project that Gulf has identified, which includes the following components:</w:t>
      </w:r>
    </w:p>
    <w:p w:rsidR="00A344AF" w:rsidRPr="00677A87" w:rsidRDefault="00A344AF" w:rsidP="00A344AF">
      <w:pPr>
        <w:widowControl/>
        <w:rPr>
          <w:snapToGrid/>
          <w:szCs w:val="24"/>
        </w:rPr>
      </w:pPr>
      <w:r w:rsidRPr="00677A87">
        <w:rPr>
          <w:snapToGrid/>
          <w:szCs w:val="24"/>
        </w:rPr>
        <w:tab/>
      </w:r>
      <w:proofErr w:type="gramStart"/>
      <w:r w:rsidRPr="00677A87">
        <w:rPr>
          <w:snapToGrid/>
          <w:szCs w:val="24"/>
        </w:rPr>
        <w:t>a</w:t>
      </w:r>
      <w:proofErr w:type="gramEnd"/>
      <w:r w:rsidRPr="00677A87">
        <w:rPr>
          <w:snapToGrid/>
          <w:szCs w:val="24"/>
        </w:rPr>
        <w:t>.</w:t>
      </w:r>
      <w:r w:rsidRPr="00677A87">
        <w:rPr>
          <w:snapToGrid/>
          <w:szCs w:val="24"/>
        </w:rPr>
        <w:tab/>
        <w:t>Rebuild Holmes Creek – Bonifay Tap Section Double Circuit (in-service date 2014) (PE ____)</w:t>
      </w:r>
    </w:p>
    <w:p w:rsidR="00A344AF" w:rsidRPr="00677A87" w:rsidRDefault="00A344AF" w:rsidP="00A344AF">
      <w:pPr>
        <w:widowControl/>
        <w:rPr>
          <w:snapToGrid/>
          <w:szCs w:val="24"/>
        </w:rPr>
      </w:pPr>
      <w:r w:rsidRPr="00677A87">
        <w:rPr>
          <w:snapToGrid/>
          <w:szCs w:val="24"/>
        </w:rPr>
        <w:tab/>
      </w:r>
      <w:proofErr w:type="gramStart"/>
      <w:r w:rsidRPr="00677A87">
        <w:rPr>
          <w:snapToGrid/>
          <w:szCs w:val="24"/>
        </w:rPr>
        <w:t>b</w:t>
      </w:r>
      <w:proofErr w:type="gramEnd"/>
      <w:r w:rsidRPr="00677A87">
        <w:rPr>
          <w:snapToGrid/>
          <w:szCs w:val="24"/>
        </w:rPr>
        <w:t>.</w:t>
      </w:r>
      <w:r w:rsidRPr="00677A87">
        <w:rPr>
          <w:snapToGrid/>
          <w:szCs w:val="24"/>
        </w:rPr>
        <w:tab/>
        <w:t xml:space="preserve">Holmes Creek – Highland City Capacitor New 230 kV – </w:t>
      </w:r>
      <w:proofErr w:type="spellStart"/>
      <w:r w:rsidRPr="00677A87">
        <w:rPr>
          <w:snapToGrid/>
          <w:szCs w:val="24"/>
        </w:rPr>
        <w:t>Autobank</w:t>
      </w:r>
      <w:proofErr w:type="spellEnd"/>
      <w:r w:rsidRPr="00677A87">
        <w:rPr>
          <w:snapToGrid/>
          <w:szCs w:val="24"/>
        </w:rPr>
        <w:t xml:space="preserve"> (in-service date 2014) (PE ____)</w:t>
      </w:r>
    </w:p>
    <w:p w:rsidR="00A344AF" w:rsidRPr="00677A87" w:rsidRDefault="00A344AF" w:rsidP="00A344AF">
      <w:pPr>
        <w:widowControl/>
        <w:jc w:val="both"/>
        <w:rPr>
          <w:snapToGrid/>
          <w:szCs w:val="24"/>
        </w:rPr>
      </w:pPr>
      <w:r w:rsidRPr="00677A87">
        <w:rPr>
          <w:snapToGrid/>
          <w:szCs w:val="24"/>
        </w:rPr>
        <w:tab/>
      </w:r>
      <w:proofErr w:type="gramStart"/>
      <w:r w:rsidRPr="00677A87">
        <w:rPr>
          <w:snapToGrid/>
          <w:szCs w:val="24"/>
        </w:rPr>
        <w:t>c</w:t>
      </w:r>
      <w:proofErr w:type="gramEnd"/>
      <w:r w:rsidRPr="00677A87">
        <w:rPr>
          <w:snapToGrid/>
          <w:szCs w:val="24"/>
        </w:rPr>
        <w:t>.</w:t>
      </w:r>
      <w:r w:rsidRPr="00677A87">
        <w:rPr>
          <w:snapToGrid/>
          <w:szCs w:val="24"/>
        </w:rPr>
        <w:tab/>
        <w:t>Holmes Creek – Highland City new 230 kV – Cap Bank (in-service</w:t>
      </w:r>
    </w:p>
    <w:p w:rsidR="00A344AF" w:rsidRPr="00677A87" w:rsidRDefault="00A344AF" w:rsidP="00A344AF">
      <w:pPr>
        <w:widowControl/>
        <w:rPr>
          <w:snapToGrid/>
          <w:szCs w:val="24"/>
        </w:rPr>
      </w:pPr>
      <w:proofErr w:type="gramStart"/>
      <w:r w:rsidRPr="00677A87">
        <w:rPr>
          <w:snapToGrid/>
          <w:szCs w:val="24"/>
        </w:rPr>
        <w:t>date</w:t>
      </w:r>
      <w:proofErr w:type="gramEnd"/>
      <w:r w:rsidRPr="00677A87">
        <w:rPr>
          <w:snapToGrid/>
          <w:szCs w:val="24"/>
        </w:rPr>
        <w:t xml:space="preserve"> 2014) (PE ____)</w:t>
      </w:r>
    </w:p>
    <w:p w:rsidR="00A344AF" w:rsidRPr="00677A87" w:rsidRDefault="00A344AF" w:rsidP="00A344AF">
      <w:pPr>
        <w:widowControl/>
        <w:rPr>
          <w:snapToGrid/>
          <w:szCs w:val="24"/>
        </w:rPr>
      </w:pPr>
      <w:r w:rsidRPr="00677A87">
        <w:rPr>
          <w:snapToGrid/>
          <w:szCs w:val="24"/>
        </w:rPr>
        <w:tab/>
      </w:r>
      <w:proofErr w:type="gramStart"/>
      <w:r w:rsidRPr="00677A87">
        <w:rPr>
          <w:snapToGrid/>
          <w:szCs w:val="24"/>
        </w:rPr>
        <w:t>d</w:t>
      </w:r>
      <w:proofErr w:type="gramEnd"/>
      <w:r w:rsidRPr="00677A87">
        <w:rPr>
          <w:snapToGrid/>
          <w:szCs w:val="24"/>
        </w:rPr>
        <w:t>.</w:t>
      </w:r>
      <w:r w:rsidRPr="00677A87">
        <w:rPr>
          <w:snapToGrid/>
          <w:szCs w:val="24"/>
        </w:rPr>
        <w:tab/>
        <w:t>Holmes Creek – Highland City New 230 kV Transmission Line (in-service date 2015) (PE ____)</w:t>
      </w:r>
    </w:p>
    <w:p w:rsidR="00A344AF" w:rsidRPr="00677A87" w:rsidRDefault="00A344AF" w:rsidP="00A344AF">
      <w:pPr>
        <w:widowControl/>
        <w:rPr>
          <w:snapToGrid/>
          <w:szCs w:val="24"/>
        </w:rPr>
      </w:pPr>
      <w:r w:rsidRPr="00677A87">
        <w:rPr>
          <w:snapToGrid/>
          <w:szCs w:val="24"/>
        </w:rPr>
        <w:tab/>
        <w:t>e.</w:t>
      </w:r>
      <w:r w:rsidRPr="00677A87">
        <w:rPr>
          <w:snapToGrid/>
          <w:szCs w:val="24"/>
        </w:rPr>
        <w:tab/>
        <w:t>Panama City SVC (Highland City) (in-service date 2015) (PE ____)</w:t>
      </w:r>
    </w:p>
    <w:p w:rsidR="00A344AF" w:rsidRPr="00677A87" w:rsidRDefault="00A344AF" w:rsidP="00A344AF">
      <w:pPr>
        <w:widowControl/>
        <w:jc w:val="both"/>
        <w:rPr>
          <w:bCs/>
          <w:snapToGrid/>
          <w:szCs w:val="24"/>
        </w:rPr>
      </w:pPr>
    </w:p>
    <w:p w:rsidR="00A344AF" w:rsidRPr="00677A87" w:rsidRDefault="00A344AF" w:rsidP="00A344AF">
      <w:pPr>
        <w:widowControl/>
        <w:jc w:val="both"/>
        <w:rPr>
          <w:bCs/>
          <w:snapToGrid/>
          <w:szCs w:val="24"/>
        </w:rPr>
      </w:pPr>
      <w:r w:rsidRPr="00677A87">
        <w:rPr>
          <w:bCs/>
          <w:snapToGrid/>
          <w:szCs w:val="24"/>
        </w:rPr>
        <w:tab/>
        <w:t>A.</w:t>
      </w:r>
      <w:r w:rsidRPr="00677A87">
        <w:rPr>
          <w:bCs/>
          <w:snapToGrid/>
          <w:szCs w:val="24"/>
        </w:rPr>
        <w:tab/>
        <w:t xml:space="preserve">Has Gulf Power demonstrated that the above Plant Smith transmission upgrade project components satisfy the eligibility requirements of the Environmental Cost Recovery Clause (ECRC) established in Order No. </w:t>
      </w:r>
      <w:proofErr w:type="gramStart"/>
      <w:r w:rsidRPr="00677A87">
        <w:rPr>
          <w:bCs/>
          <w:snapToGrid/>
          <w:szCs w:val="24"/>
        </w:rPr>
        <w:t xml:space="preserve">PSC-94-0044-FOF-EI, such that the Commission </w:t>
      </w:r>
      <w:r w:rsidRPr="00677A87">
        <w:rPr>
          <w:bCs/>
          <w:snapToGrid/>
          <w:szCs w:val="24"/>
        </w:rPr>
        <w:lastRenderedPageBreak/>
        <w:t>should grant Gulf’s request for authority to recover the costs of the project through the ECRC as they are incurred?</w:t>
      </w:r>
      <w:proofErr w:type="gramEnd"/>
    </w:p>
    <w:p w:rsidR="00A344AF" w:rsidRPr="00677A87" w:rsidRDefault="00A344AF" w:rsidP="00A344AF">
      <w:pPr>
        <w:widowControl/>
        <w:jc w:val="both"/>
        <w:rPr>
          <w:bCs/>
          <w:snapToGrid/>
          <w:szCs w:val="24"/>
        </w:rPr>
      </w:pPr>
    </w:p>
    <w:p w:rsidR="00A344AF" w:rsidRPr="00677A87" w:rsidRDefault="00A344AF" w:rsidP="00A344AF">
      <w:pPr>
        <w:widowControl/>
        <w:jc w:val="both"/>
        <w:rPr>
          <w:bCs/>
          <w:snapToGrid/>
          <w:szCs w:val="24"/>
        </w:rPr>
      </w:pPr>
      <w:r w:rsidRPr="00677A87">
        <w:rPr>
          <w:bCs/>
          <w:snapToGrid/>
          <w:szCs w:val="24"/>
        </w:rPr>
        <w:tab/>
        <w:t>B.</w:t>
      </w:r>
      <w:r w:rsidRPr="00677A87">
        <w:rPr>
          <w:bCs/>
          <w:snapToGrid/>
          <w:szCs w:val="24"/>
        </w:rPr>
        <w:tab/>
        <w:t>(If the answer to (A) is in the negative) In the alternative, has Gulf demonstrated that portions of the Plant Smith transmission upgrade project identified in (A) above are reasonable, prudent and will enter into service in 2014, such that the Commission should authorize Gulf to include said portions scheduled for completion in 2014 in rate base and recover the related costs through the 2014 base rates established in this proceeding?  If the answer to (B) is yes, what is the amount of project costs that should be included in test year revenue requirements?</w:t>
      </w:r>
    </w:p>
    <w:p w:rsidR="00A344AF" w:rsidRPr="00677A87" w:rsidRDefault="00A344AF" w:rsidP="00A344AF">
      <w:pPr>
        <w:widowControl/>
        <w:jc w:val="both"/>
        <w:rPr>
          <w:bCs/>
          <w:snapToGrid/>
          <w:szCs w:val="24"/>
        </w:rPr>
      </w:pPr>
    </w:p>
    <w:p w:rsidR="00A344AF" w:rsidRPr="00677A87" w:rsidRDefault="00A344AF" w:rsidP="00A344AF">
      <w:pPr>
        <w:widowControl/>
        <w:jc w:val="both"/>
        <w:rPr>
          <w:bCs/>
          <w:snapToGrid/>
          <w:szCs w:val="24"/>
        </w:rPr>
      </w:pPr>
      <w:r w:rsidRPr="00677A87">
        <w:rPr>
          <w:bCs/>
          <w:snapToGrid/>
          <w:szCs w:val="24"/>
        </w:rPr>
        <w:tab/>
        <w:t xml:space="preserve">C.  </w:t>
      </w:r>
      <w:r w:rsidRPr="00677A87">
        <w:rPr>
          <w:bCs/>
          <w:snapToGrid/>
          <w:szCs w:val="24"/>
        </w:rPr>
        <w:tab/>
        <w:t xml:space="preserve">(If the answer to (A) is in the negative):  Has Gulf demonstrated </w:t>
      </w:r>
      <w:proofErr w:type="gramStart"/>
      <w:r w:rsidRPr="00677A87">
        <w:rPr>
          <w:bCs/>
          <w:snapToGrid/>
          <w:szCs w:val="24"/>
        </w:rPr>
        <w:t>that  portions</w:t>
      </w:r>
      <w:proofErr w:type="gramEnd"/>
      <w:r w:rsidRPr="00677A87">
        <w:rPr>
          <w:bCs/>
          <w:snapToGrid/>
          <w:szCs w:val="24"/>
        </w:rPr>
        <w:t xml:space="preserve"> of the Plant Smith transmission upgrade project are reasonable, prudent, and will be in service as of June 30, 2015?  If the answer is in the affirmative, should the Commission approve now any portion of the $16,392,000 (total) “step increase” sought by Gulf to become effective on July 1, 2015 that is associated with the Plant Smith transmission upgrade project costs?</w:t>
      </w:r>
    </w:p>
    <w:p w:rsidR="00CD073B" w:rsidRPr="00677A87" w:rsidRDefault="00CD073B" w:rsidP="00A344AF">
      <w:pPr>
        <w:widowControl/>
        <w:jc w:val="both"/>
        <w:rPr>
          <w:bCs/>
          <w:snapToGrid/>
          <w:szCs w:val="24"/>
        </w:rPr>
      </w:pPr>
    </w:p>
    <w:p w:rsidR="00A344AF" w:rsidRPr="00677A87" w:rsidRDefault="00A344AF" w:rsidP="00530FB5">
      <w:pPr>
        <w:widowControl/>
        <w:jc w:val="both"/>
        <w:rPr>
          <w:bCs/>
          <w:u w:val="single"/>
        </w:rPr>
      </w:pPr>
    </w:p>
    <w:p w:rsidR="00530FB5" w:rsidRPr="00677A87" w:rsidRDefault="00530FB5" w:rsidP="00530FB5">
      <w:pPr>
        <w:widowControl/>
        <w:jc w:val="center"/>
      </w:pPr>
      <w:r w:rsidRPr="00677A87">
        <w:rPr>
          <w:b/>
          <w:bCs/>
          <w:u w:val="single"/>
        </w:rPr>
        <w:t>Rate Base</w:t>
      </w:r>
    </w:p>
    <w:p w:rsidR="00530FB5" w:rsidRPr="00677A87" w:rsidRDefault="00530FB5" w:rsidP="00530FB5">
      <w:pPr>
        <w:widowControl/>
        <w:jc w:val="both"/>
        <w:rPr>
          <w:u w:val="single"/>
        </w:rPr>
      </w:pPr>
    </w:p>
    <w:p w:rsidR="000C2495" w:rsidRPr="00677A87" w:rsidRDefault="00530FB5" w:rsidP="000C2495">
      <w:pPr>
        <w:tabs>
          <w:tab w:val="left" w:pos="-1440"/>
        </w:tabs>
        <w:ind w:left="1440" w:hanging="1440"/>
        <w:jc w:val="both"/>
      </w:pPr>
      <w:r w:rsidRPr="00677A87">
        <w:rPr>
          <w:b/>
          <w:u w:val="single"/>
        </w:rPr>
        <w:t>Issue</w:t>
      </w:r>
      <w:r w:rsidR="000C2495" w:rsidRPr="00677A87">
        <w:rPr>
          <w:b/>
          <w:u w:val="single"/>
        </w:rPr>
        <w:t xml:space="preserve"> 13</w:t>
      </w:r>
      <w:r w:rsidRPr="00677A87">
        <w:t>:</w:t>
      </w:r>
      <w:r w:rsidRPr="00677A87">
        <w:tab/>
      </w:r>
      <w:r w:rsidR="000C2495" w:rsidRPr="00677A87">
        <w:t>Should capital items currently approved for recovery through the Environmental Cost Recovery Clause be included in rate base for Gulf?  If not, what adjustment should be made?</w:t>
      </w:r>
    </w:p>
    <w:p w:rsidR="00B902F1" w:rsidRPr="00677A87" w:rsidRDefault="00B902F1" w:rsidP="00530FB5">
      <w:pPr>
        <w:widowControl/>
        <w:tabs>
          <w:tab w:val="left" w:pos="-1440"/>
        </w:tabs>
        <w:ind w:left="1440" w:hanging="1440"/>
        <w:jc w:val="both"/>
        <w:rPr>
          <w:b/>
          <w:u w:val="single"/>
        </w:rPr>
      </w:pPr>
    </w:p>
    <w:p w:rsidR="00B902F1" w:rsidRPr="00677A87" w:rsidRDefault="00530FB5" w:rsidP="00530FB5">
      <w:pPr>
        <w:widowControl/>
        <w:tabs>
          <w:tab w:val="left" w:pos="-1440"/>
        </w:tabs>
        <w:ind w:left="1440" w:hanging="1440"/>
        <w:jc w:val="both"/>
      </w:pPr>
      <w:r w:rsidRPr="00677A87">
        <w:rPr>
          <w:b/>
          <w:u w:val="single"/>
        </w:rPr>
        <w:t>GULF</w:t>
      </w:r>
      <w:r w:rsidRPr="00677A87">
        <w:t xml:space="preserve">: </w:t>
      </w:r>
      <w:r w:rsidR="00173D28" w:rsidRPr="00677A87">
        <w:tab/>
      </w:r>
      <w:r w:rsidR="00B104EE" w:rsidRPr="00677A87">
        <w:t>No.  The capital items currently approved for recovery through the Environmental Cost Recovery Clause (ECRC) should continue to be recovered through the ECRC.</w:t>
      </w:r>
      <w:r w:rsidR="009C56D5">
        <w:t xml:space="preserve">  </w:t>
      </w:r>
      <w:r w:rsidR="00B104EE" w:rsidRPr="00677A87">
        <w:t xml:space="preserve">In its filing, Gulf removed from rate base all investment currently approved for recovery through the ECRC; therefore, no additional adjustment is necessary. </w:t>
      </w:r>
      <w:r w:rsidR="00173D28" w:rsidRPr="00677A87">
        <w:t>(Ritenour)</w:t>
      </w:r>
    </w:p>
    <w:p w:rsidR="00B902F1" w:rsidRPr="00677A87" w:rsidRDefault="00B902F1" w:rsidP="00530FB5">
      <w:pPr>
        <w:widowControl/>
        <w:tabs>
          <w:tab w:val="left" w:pos="-1440"/>
        </w:tabs>
        <w:ind w:left="1440" w:hanging="1440"/>
        <w:jc w:val="both"/>
      </w:pPr>
    </w:p>
    <w:p w:rsidR="00B902F1" w:rsidRPr="00677A87" w:rsidRDefault="00B902F1" w:rsidP="00530FB5">
      <w:pPr>
        <w:widowControl/>
        <w:tabs>
          <w:tab w:val="left" w:pos="-1440"/>
        </w:tabs>
        <w:ind w:left="1440" w:hanging="1440"/>
        <w:jc w:val="both"/>
      </w:pPr>
    </w:p>
    <w:p w:rsidR="00530FB5" w:rsidRPr="00677A87" w:rsidRDefault="00B902F1" w:rsidP="00B902F1">
      <w:pPr>
        <w:widowControl/>
        <w:tabs>
          <w:tab w:val="left" w:pos="-1440"/>
        </w:tabs>
        <w:ind w:left="1440" w:hanging="1440"/>
        <w:jc w:val="both"/>
      </w:pPr>
      <w:r w:rsidRPr="00677A87">
        <w:rPr>
          <w:b/>
          <w:u w:val="single"/>
        </w:rPr>
        <w:t>Issue 14:</w:t>
      </w:r>
      <w:r w:rsidRPr="00677A87">
        <w:tab/>
      </w:r>
      <w:r w:rsidR="00530FB5" w:rsidRPr="00677A87">
        <w:t xml:space="preserve">Has </w:t>
      </w:r>
      <w:r w:rsidR="000C2495" w:rsidRPr="00677A87">
        <w:t>the Company removed all non-utility activities from rate base?  If not, what adjustment should be made</w:t>
      </w:r>
      <w:r w:rsidR="00530FB5" w:rsidRPr="00677A87">
        <w:t xml:space="preserve">?  </w:t>
      </w:r>
    </w:p>
    <w:p w:rsidR="00B902F1" w:rsidRPr="00677A87" w:rsidRDefault="00B902F1" w:rsidP="00530FB5">
      <w:pPr>
        <w:widowControl/>
        <w:tabs>
          <w:tab w:val="left" w:pos="-1440"/>
        </w:tabs>
        <w:ind w:left="1440" w:hanging="1440"/>
        <w:jc w:val="both"/>
        <w:rPr>
          <w:b/>
          <w:u w:val="single"/>
        </w:rPr>
      </w:pPr>
    </w:p>
    <w:p w:rsidR="00530FB5" w:rsidRPr="00677A87" w:rsidRDefault="00530FB5" w:rsidP="00530FB5">
      <w:pPr>
        <w:widowControl/>
        <w:tabs>
          <w:tab w:val="left" w:pos="-1440"/>
        </w:tabs>
        <w:ind w:left="1440" w:hanging="1440"/>
        <w:jc w:val="both"/>
      </w:pPr>
      <w:r w:rsidRPr="00677A87">
        <w:rPr>
          <w:b/>
          <w:u w:val="single"/>
        </w:rPr>
        <w:t>GULF</w:t>
      </w:r>
      <w:r w:rsidRPr="00677A87">
        <w:t>:</w:t>
      </w:r>
      <w:r w:rsidRPr="00677A87">
        <w:tab/>
      </w:r>
      <w:r w:rsidR="00B104EE" w:rsidRPr="00677A87">
        <w:t xml:space="preserve">Yes.  Gulf has removed all amounts related to non-utility activities from rate base for the 2014 projected test year.  </w:t>
      </w:r>
      <w:r w:rsidR="0090073D">
        <w:t xml:space="preserve">Therefore, no additional adjustment is necessary.  </w:t>
      </w:r>
      <w:r w:rsidR="0090073D" w:rsidRPr="00677A87">
        <w:t xml:space="preserve"> </w:t>
      </w:r>
      <w:r w:rsidR="00173D28" w:rsidRPr="00677A87">
        <w:t>(Ritenour)</w:t>
      </w:r>
    </w:p>
    <w:p w:rsidR="00530FB5" w:rsidRPr="00677A87" w:rsidRDefault="00530FB5" w:rsidP="00530FB5">
      <w:pPr>
        <w:pStyle w:val="ColorfulList-Accent11"/>
        <w:ind w:left="0"/>
        <w:jc w:val="both"/>
      </w:pPr>
    </w:p>
    <w:p w:rsidR="004E7111" w:rsidRDefault="004E7111" w:rsidP="00530FB5">
      <w:pPr>
        <w:widowControl/>
        <w:tabs>
          <w:tab w:val="left" w:pos="-1440"/>
        </w:tabs>
        <w:ind w:left="1440" w:hanging="1440"/>
        <w:jc w:val="both"/>
        <w:rPr>
          <w:b/>
          <w:u w:val="single"/>
        </w:rPr>
      </w:pPr>
    </w:p>
    <w:p w:rsidR="00530FB5" w:rsidRPr="00677A87" w:rsidRDefault="00530FB5" w:rsidP="00530FB5">
      <w:pPr>
        <w:widowControl/>
        <w:tabs>
          <w:tab w:val="left" w:pos="-1440"/>
        </w:tabs>
        <w:ind w:left="1440" w:hanging="1440"/>
        <w:jc w:val="both"/>
      </w:pPr>
      <w:r w:rsidRPr="00677A87">
        <w:rPr>
          <w:b/>
          <w:u w:val="single"/>
        </w:rPr>
        <w:t>Issue</w:t>
      </w:r>
      <w:r w:rsidR="004718CF">
        <w:rPr>
          <w:b/>
          <w:u w:val="single"/>
        </w:rPr>
        <w:t xml:space="preserve"> 15</w:t>
      </w:r>
      <w:r w:rsidRPr="00677A87">
        <w:t xml:space="preserve">:        </w:t>
      </w:r>
      <w:r w:rsidRPr="00677A87">
        <w:tab/>
        <w:t>Is Gulf’s requested level of Plant in Service in the amount of $</w:t>
      </w:r>
      <w:r w:rsidR="00DB4CED" w:rsidRPr="00677A87">
        <w:t>2,944,168,000</w:t>
      </w:r>
      <w:r w:rsidRPr="00677A87">
        <w:t xml:space="preserve"> ($2,</w:t>
      </w:r>
      <w:r w:rsidR="00DB4CED" w:rsidRPr="00677A87">
        <w:t>999</w:t>
      </w:r>
      <w:r w:rsidRPr="00677A87">
        <w:t>,</w:t>
      </w:r>
      <w:r w:rsidR="00DB4CED" w:rsidRPr="00677A87">
        <w:t>897</w:t>
      </w:r>
      <w:r w:rsidRPr="00677A87">
        <w:t>,000 system) for the 201</w:t>
      </w:r>
      <w:r w:rsidR="000C2495" w:rsidRPr="00677A87">
        <w:t>4</w:t>
      </w:r>
      <w:r w:rsidRPr="00677A87">
        <w:t xml:space="preserve"> projected test year appropriate? </w:t>
      </w:r>
      <w:r w:rsidR="00DB4CED" w:rsidRPr="00677A87">
        <w:t xml:space="preserve"> If</w:t>
      </w:r>
      <w:r w:rsidR="00A344AF" w:rsidRPr="00677A87">
        <w:t xml:space="preserve"> </w:t>
      </w:r>
      <w:r w:rsidR="00DB4CED" w:rsidRPr="00677A87">
        <w:t xml:space="preserve">not, what is the appropriate amount? </w:t>
      </w:r>
      <w:r w:rsidRPr="00677A87">
        <w:t xml:space="preserve"> </w:t>
      </w:r>
    </w:p>
    <w:p w:rsidR="00B902F1" w:rsidRPr="00677A87" w:rsidRDefault="00B902F1" w:rsidP="00530FB5">
      <w:pPr>
        <w:widowControl/>
        <w:tabs>
          <w:tab w:val="left" w:pos="-1440"/>
        </w:tabs>
        <w:ind w:left="1440" w:hanging="1440"/>
        <w:jc w:val="both"/>
        <w:rPr>
          <w:b/>
          <w:u w:val="single"/>
        </w:rPr>
      </w:pPr>
    </w:p>
    <w:p w:rsidR="00530FB5" w:rsidRDefault="00530FB5" w:rsidP="00530FB5">
      <w:pPr>
        <w:widowControl/>
        <w:tabs>
          <w:tab w:val="left" w:pos="-1440"/>
        </w:tabs>
        <w:ind w:left="1440" w:hanging="1440"/>
        <w:jc w:val="both"/>
      </w:pPr>
      <w:r w:rsidRPr="00677A87">
        <w:rPr>
          <w:b/>
          <w:u w:val="single"/>
        </w:rPr>
        <w:t>GULF:</w:t>
      </w:r>
      <w:r w:rsidRPr="00677A87">
        <w:t xml:space="preserve"> </w:t>
      </w:r>
      <w:r w:rsidRPr="00677A87">
        <w:tab/>
      </w:r>
      <w:r w:rsidR="00A92B57" w:rsidRPr="00677A87">
        <w:t xml:space="preserve">Yes.  Gulf’s requested level of Plant in Service in the amount of $2,944,168,000 ($2,999,897,000 system) for the 2014 projected test year is appropriate. </w:t>
      </w:r>
      <w:r w:rsidR="00D72E34">
        <w:t xml:space="preserve"> </w:t>
      </w:r>
      <w:r w:rsidR="00173D28" w:rsidRPr="00677A87">
        <w:t>(Ritenour</w:t>
      </w:r>
      <w:r w:rsidR="003A4F57">
        <w:t>, McMillan</w:t>
      </w:r>
      <w:r w:rsidR="00173D28" w:rsidRPr="00677A87">
        <w:t>)</w:t>
      </w:r>
    </w:p>
    <w:p w:rsidR="00530FB5" w:rsidRPr="00677A87" w:rsidRDefault="00530FB5" w:rsidP="00530FB5">
      <w:pPr>
        <w:widowControl/>
        <w:tabs>
          <w:tab w:val="left" w:pos="-1440"/>
        </w:tabs>
        <w:ind w:left="1440" w:hanging="1440"/>
        <w:jc w:val="both"/>
      </w:pPr>
      <w:r w:rsidRPr="00677A87">
        <w:rPr>
          <w:b/>
          <w:u w:val="single"/>
        </w:rPr>
        <w:lastRenderedPageBreak/>
        <w:t xml:space="preserve">Issue </w:t>
      </w:r>
      <w:r w:rsidR="00DB4CED" w:rsidRPr="00677A87">
        <w:rPr>
          <w:b/>
          <w:u w:val="single"/>
        </w:rPr>
        <w:t>16</w:t>
      </w:r>
      <w:r w:rsidRPr="00677A87">
        <w:t>:</w:t>
      </w:r>
      <w:r w:rsidRPr="00677A87">
        <w:tab/>
        <w:t>Is Gulf’s requested level of Accumulated Depreciation in the amount of $1,</w:t>
      </w:r>
      <w:r w:rsidR="00DB4CED" w:rsidRPr="00677A87">
        <w:t>243,319</w:t>
      </w:r>
      <w:r w:rsidRPr="00677A87">
        <w:t>,000 ($1,2</w:t>
      </w:r>
      <w:r w:rsidR="00DB4CED" w:rsidRPr="00677A87">
        <w:t>68</w:t>
      </w:r>
      <w:r w:rsidRPr="00677A87">
        <w:t>,</w:t>
      </w:r>
      <w:r w:rsidR="00DB4CED" w:rsidRPr="00677A87">
        <w:t>049</w:t>
      </w:r>
      <w:r w:rsidRPr="00677A87">
        <w:t>,000 system) for the 201</w:t>
      </w:r>
      <w:r w:rsidR="00DB4CED" w:rsidRPr="00677A87">
        <w:t>4</w:t>
      </w:r>
      <w:r w:rsidRPr="00677A87">
        <w:t xml:space="preserve"> projected test year appropriate? </w:t>
      </w:r>
      <w:r w:rsidR="00DB4CED" w:rsidRPr="00677A87">
        <w:t xml:space="preserve"> If not, what is the appropriate amount?</w:t>
      </w:r>
      <w:r w:rsidRPr="00677A87">
        <w:t xml:space="preserve"> </w:t>
      </w:r>
    </w:p>
    <w:p w:rsidR="00B902F1" w:rsidRPr="00677A87" w:rsidRDefault="00B902F1" w:rsidP="00530FB5">
      <w:pPr>
        <w:widowControl/>
        <w:tabs>
          <w:tab w:val="left" w:pos="-1440"/>
        </w:tabs>
        <w:ind w:left="1440" w:hanging="1440"/>
        <w:jc w:val="both"/>
        <w:rPr>
          <w:b/>
          <w:u w:val="single"/>
        </w:rPr>
      </w:pPr>
    </w:p>
    <w:p w:rsidR="00530FB5" w:rsidRPr="00677A87" w:rsidRDefault="00530FB5" w:rsidP="00530FB5">
      <w:pPr>
        <w:widowControl/>
        <w:tabs>
          <w:tab w:val="left" w:pos="-1440"/>
        </w:tabs>
        <w:ind w:left="1440" w:hanging="1440"/>
        <w:jc w:val="both"/>
      </w:pPr>
      <w:r w:rsidRPr="00677A87">
        <w:rPr>
          <w:b/>
          <w:u w:val="single"/>
        </w:rPr>
        <w:t>GULF</w:t>
      </w:r>
      <w:r w:rsidRPr="00677A87">
        <w:t>:</w:t>
      </w:r>
      <w:r w:rsidRPr="00677A87">
        <w:tab/>
      </w:r>
      <w:r w:rsidR="00B65C2C" w:rsidRPr="00677A87">
        <w:t xml:space="preserve">Yes. Gulf’s requested level of Accumulated Depreciation in the amount of $1,243,319,000 ($1,268,049,000 system) for the 2014 projected test year is appropriate.  </w:t>
      </w:r>
      <w:r w:rsidR="0090073D">
        <w:t xml:space="preserve"> </w:t>
      </w:r>
      <w:r w:rsidR="00173D28" w:rsidRPr="00677A87">
        <w:t>(Ritenour)</w:t>
      </w:r>
    </w:p>
    <w:p w:rsidR="00530FB5" w:rsidRPr="00677A87" w:rsidRDefault="00530FB5" w:rsidP="00530FB5">
      <w:pPr>
        <w:widowControl/>
        <w:tabs>
          <w:tab w:val="left" w:pos="-1440"/>
        </w:tabs>
        <w:jc w:val="both"/>
      </w:pPr>
    </w:p>
    <w:p w:rsidR="00530FB5" w:rsidRPr="00677A87" w:rsidRDefault="00530FB5" w:rsidP="00530FB5">
      <w:pPr>
        <w:widowControl/>
        <w:tabs>
          <w:tab w:val="left" w:pos="-1440"/>
        </w:tabs>
        <w:jc w:val="both"/>
      </w:pPr>
    </w:p>
    <w:p w:rsidR="00530FB5" w:rsidRPr="00677A87" w:rsidRDefault="00530FB5" w:rsidP="00530FB5">
      <w:pPr>
        <w:widowControl/>
        <w:ind w:left="1440" w:hanging="1440"/>
        <w:jc w:val="both"/>
      </w:pPr>
      <w:r w:rsidRPr="00677A87">
        <w:rPr>
          <w:b/>
          <w:u w:val="single"/>
        </w:rPr>
        <w:t xml:space="preserve">Issue </w:t>
      </w:r>
      <w:r w:rsidR="00DB4CED" w:rsidRPr="00677A87">
        <w:rPr>
          <w:b/>
          <w:u w:val="single"/>
        </w:rPr>
        <w:t>17</w:t>
      </w:r>
      <w:r w:rsidRPr="00677A87">
        <w:t>:</w:t>
      </w:r>
      <w:r w:rsidRPr="00677A87">
        <w:tab/>
        <w:t xml:space="preserve">Is Gulf’s requested </w:t>
      </w:r>
      <w:r w:rsidR="00DB4CED" w:rsidRPr="00677A87">
        <w:t xml:space="preserve">level of </w:t>
      </w:r>
      <w:r w:rsidRPr="00677A87">
        <w:t>Construction Work in Progress in the amount of $</w:t>
      </w:r>
      <w:r w:rsidR="00DB4CED" w:rsidRPr="00677A87">
        <w:t>26</w:t>
      </w:r>
      <w:r w:rsidRPr="00677A87">
        <w:t>,</w:t>
      </w:r>
      <w:r w:rsidR="00DB4CED" w:rsidRPr="00677A87">
        <w:t>656</w:t>
      </w:r>
      <w:r w:rsidRPr="00677A87">
        <w:t>,000 ($</w:t>
      </w:r>
      <w:r w:rsidR="00DB4CED" w:rsidRPr="00677A87">
        <w:t>27,290,000 system) for the 2014</w:t>
      </w:r>
      <w:r w:rsidRPr="00677A87">
        <w:t xml:space="preserve"> projected test year appropriate?  </w:t>
      </w:r>
      <w:r w:rsidR="00DB4CED" w:rsidRPr="00677A87">
        <w:t>If not, what is the appropriate amount?</w:t>
      </w:r>
    </w:p>
    <w:p w:rsidR="00B902F1" w:rsidRPr="00677A87" w:rsidRDefault="00B902F1" w:rsidP="00530FB5">
      <w:pPr>
        <w:widowControl/>
        <w:tabs>
          <w:tab w:val="left" w:pos="-1440"/>
        </w:tabs>
        <w:ind w:left="1440" w:hanging="1440"/>
        <w:jc w:val="both"/>
        <w:rPr>
          <w:b/>
          <w:u w:val="single"/>
        </w:rPr>
      </w:pPr>
    </w:p>
    <w:p w:rsidR="00530FB5" w:rsidRPr="00677A87" w:rsidRDefault="00530FB5" w:rsidP="00530FB5">
      <w:pPr>
        <w:widowControl/>
        <w:tabs>
          <w:tab w:val="left" w:pos="-1440"/>
        </w:tabs>
        <w:ind w:left="1440" w:hanging="1440"/>
        <w:jc w:val="both"/>
      </w:pPr>
      <w:r w:rsidRPr="00677A87">
        <w:rPr>
          <w:b/>
          <w:u w:val="single"/>
        </w:rPr>
        <w:t>GULF</w:t>
      </w:r>
      <w:r w:rsidRPr="00677A87">
        <w:t>:</w:t>
      </w:r>
      <w:r w:rsidRPr="00677A87">
        <w:tab/>
      </w:r>
      <w:r w:rsidR="00B65C2C" w:rsidRPr="00677A87">
        <w:t xml:space="preserve">Yes.  Gulf’s requested level of Construction Work in Progress (CWIP) is not eligible to accrue an Allowance for Funds Used </w:t>
      </w:r>
      <w:proofErr w:type="gramStart"/>
      <w:r w:rsidR="00B65C2C" w:rsidRPr="00677A87">
        <w:t>During</w:t>
      </w:r>
      <w:proofErr w:type="gramEnd"/>
      <w:r w:rsidR="00B65C2C" w:rsidRPr="00677A87">
        <w:t xml:space="preserve"> Construction (AFUDC) and should be allowed in rate base consistent with Commission policy.  CWIP in the amount of $26,656,000 ($27,290,000 system) is necessary in order to continue to maintain reliability and meet the service needs of our customers. </w:t>
      </w:r>
      <w:r w:rsidRPr="00677A87">
        <w:t xml:space="preserve"> </w:t>
      </w:r>
      <w:r w:rsidR="00B65C2C" w:rsidRPr="00677A87">
        <w:t>(</w:t>
      </w:r>
      <w:r w:rsidR="00173D28" w:rsidRPr="00677A87">
        <w:t>Deason</w:t>
      </w:r>
      <w:r w:rsidR="00B65C2C" w:rsidRPr="00677A87">
        <w:t>, Ritenour</w:t>
      </w:r>
      <w:r w:rsidR="00173D28" w:rsidRPr="00677A87">
        <w:t>)</w:t>
      </w:r>
    </w:p>
    <w:p w:rsidR="00D43A7E" w:rsidRPr="00677A87" w:rsidRDefault="00D43A7E" w:rsidP="00530FB5">
      <w:pPr>
        <w:widowControl/>
        <w:jc w:val="both"/>
      </w:pPr>
    </w:p>
    <w:p w:rsidR="00D43A7E" w:rsidRPr="00677A87" w:rsidRDefault="00D43A7E" w:rsidP="00530FB5">
      <w:pPr>
        <w:widowControl/>
        <w:jc w:val="both"/>
      </w:pPr>
    </w:p>
    <w:p w:rsidR="00530FB5" w:rsidRPr="00677A87" w:rsidRDefault="00530FB5" w:rsidP="00530FB5">
      <w:pPr>
        <w:widowControl/>
        <w:tabs>
          <w:tab w:val="left" w:pos="-1440"/>
        </w:tabs>
        <w:ind w:left="1440" w:hanging="1440"/>
        <w:jc w:val="both"/>
      </w:pPr>
      <w:r w:rsidRPr="00677A87">
        <w:rPr>
          <w:b/>
          <w:u w:val="single"/>
        </w:rPr>
        <w:t>Issue</w:t>
      </w:r>
      <w:r w:rsidR="001E7237">
        <w:rPr>
          <w:b/>
          <w:u w:val="single"/>
        </w:rPr>
        <w:t xml:space="preserve"> </w:t>
      </w:r>
      <w:r w:rsidR="00DB4CED" w:rsidRPr="00677A87">
        <w:rPr>
          <w:b/>
          <w:u w:val="single"/>
        </w:rPr>
        <w:t>18</w:t>
      </w:r>
      <w:r w:rsidRPr="00677A87">
        <w:t>:</w:t>
      </w:r>
      <w:r w:rsidRPr="00677A87">
        <w:tab/>
        <w:t>Is Gulf's requested level of Property Held for Future Use in the amount of $</w:t>
      </w:r>
      <w:r w:rsidR="00DB4CED" w:rsidRPr="00677A87">
        <w:t>5</w:t>
      </w:r>
      <w:r w:rsidRPr="00677A87">
        <w:t>,</w:t>
      </w:r>
      <w:r w:rsidR="00DB4CED" w:rsidRPr="00677A87">
        <w:t>276</w:t>
      </w:r>
      <w:r w:rsidRPr="00677A87">
        <w:t>,000 ($</w:t>
      </w:r>
      <w:r w:rsidR="00DB4CED" w:rsidRPr="00677A87">
        <w:t>5</w:t>
      </w:r>
      <w:r w:rsidRPr="00677A87">
        <w:t>,</w:t>
      </w:r>
      <w:r w:rsidR="00DB4CED" w:rsidRPr="00677A87">
        <w:t>435</w:t>
      </w:r>
      <w:r w:rsidRPr="00677A87">
        <w:t>,000 system) for the 201</w:t>
      </w:r>
      <w:r w:rsidR="00DB4CED" w:rsidRPr="00677A87">
        <w:t>4</w:t>
      </w:r>
      <w:r w:rsidRPr="00677A87">
        <w:t xml:space="preserve"> projected test year appropriate?  </w:t>
      </w:r>
      <w:r w:rsidR="00DB4CED" w:rsidRPr="00677A87">
        <w:t xml:space="preserve">If not, what is the appropriate amount? </w:t>
      </w:r>
    </w:p>
    <w:p w:rsidR="00B902F1" w:rsidRPr="00677A87" w:rsidRDefault="00B902F1" w:rsidP="00530FB5">
      <w:pPr>
        <w:widowControl/>
        <w:tabs>
          <w:tab w:val="left" w:pos="-1440"/>
        </w:tabs>
        <w:ind w:left="1440" w:hanging="1440"/>
        <w:jc w:val="both"/>
        <w:rPr>
          <w:b/>
          <w:u w:val="single"/>
        </w:rPr>
      </w:pPr>
    </w:p>
    <w:p w:rsidR="00530FB5" w:rsidRPr="00677A87" w:rsidRDefault="00530FB5" w:rsidP="00530FB5">
      <w:pPr>
        <w:widowControl/>
        <w:tabs>
          <w:tab w:val="left" w:pos="-1440"/>
        </w:tabs>
        <w:ind w:left="1440" w:hanging="1440"/>
        <w:jc w:val="both"/>
      </w:pPr>
      <w:r w:rsidRPr="00677A87">
        <w:rPr>
          <w:b/>
          <w:u w:val="single"/>
        </w:rPr>
        <w:t>GULF</w:t>
      </w:r>
      <w:r w:rsidRPr="00677A87">
        <w:t>:</w:t>
      </w:r>
      <w:r w:rsidRPr="00677A87">
        <w:tab/>
      </w:r>
      <w:r w:rsidR="00B65C2C" w:rsidRPr="00677A87">
        <w:t>Yes.  Gulf’s requested level of Property Held for Future Use in the amount of $5,276,000 ($5,435,000 system) for the 2014 projected test year is appropriate.</w:t>
      </w:r>
      <w:r w:rsidR="00C41E9D" w:rsidRPr="00C41E9D">
        <w:t xml:space="preserve"> </w:t>
      </w:r>
      <w:r w:rsidR="00C41E9D">
        <w:t xml:space="preserve">This issue is not contested in testimony and it appears it could be stipulated. </w:t>
      </w:r>
      <w:r w:rsidR="00C41E9D" w:rsidRPr="00677A87">
        <w:t xml:space="preserve"> </w:t>
      </w:r>
      <w:r w:rsidR="00B65C2C" w:rsidRPr="00677A87">
        <w:t xml:space="preserve"> </w:t>
      </w:r>
      <w:r w:rsidR="00173D28" w:rsidRPr="00677A87">
        <w:t>(Ritenour)</w:t>
      </w:r>
    </w:p>
    <w:p w:rsidR="00530FB5" w:rsidRPr="00677A87" w:rsidRDefault="00530FB5" w:rsidP="00530FB5">
      <w:pPr>
        <w:pStyle w:val="ColorfulList-Accent11"/>
        <w:ind w:left="0"/>
        <w:jc w:val="both"/>
      </w:pPr>
    </w:p>
    <w:p w:rsidR="00040BAF" w:rsidRPr="00677A87" w:rsidRDefault="00040BAF" w:rsidP="00530FB5">
      <w:pPr>
        <w:widowControl/>
        <w:jc w:val="both"/>
        <w:rPr>
          <w:u w:val="single"/>
        </w:rPr>
      </w:pPr>
    </w:p>
    <w:p w:rsidR="00530FB5" w:rsidRPr="00677A87" w:rsidRDefault="00530FB5" w:rsidP="00530FB5">
      <w:pPr>
        <w:widowControl/>
        <w:tabs>
          <w:tab w:val="left" w:pos="-1440"/>
        </w:tabs>
        <w:ind w:left="1440" w:hanging="1440"/>
        <w:jc w:val="both"/>
      </w:pPr>
      <w:r w:rsidRPr="00677A87">
        <w:rPr>
          <w:b/>
          <w:u w:val="single"/>
        </w:rPr>
        <w:t>Issue</w:t>
      </w:r>
      <w:r w:rsidR="001E7237">
        <w:rPr>
          <w:b/>
          <w:u w:val="single"/>
        </w:rPr>
        <w:t xml:space="preserve"> </w:t>
      </w:r>
      <w:r w:rsidR="00DB4CED" w:rsidRPr="00677A87">
        <w:rPr>
          <w:b/>
          <w:u w:val="single"/>
        </w:rPr>
        <w:t>19</w:t>
      </w:r>
      <w:r w:rsidRPr="00677A87">
        <w:t>:</w:t>
      </w:r>
      <w:r w:rsidRPr="00677A87">
        <w:tab/>
        <w:t>Should any adjustments be made to Gulf's fuel inventories</w:t>
      </w:r>
      <w:r w:rsidR="00DB4CED" w:rsidRPr="00677A87">
        <w:t xml:space="preserve"> for the projected 2014 test year</w:t>
      </w:r>
      <w:r w:rsidRPr="00677A87">
        <w:t xml:space="preserve">?  </w:t>
      </w:r>
    </w:p>
    <w:p w:rsidR="00B902F1" w:rsidRPr="00677A87" w:rsidRDefault="00B902F1" w:rsidP="00530FB5">
      <w:pPr>
        <w:widowControl/>
        <w:tabs>
          <w:tab w:val="left" w:pos="-1440"/>
        </w:tabs>
        <w:ind w:left="1440" w:hanging="1440"/>
        <w:jc w:val="both"/>
        <w:rPr>
          <w:b/>
        </w:rPr>
      </w:pPr>
    </w:p>
    <w:p w:rsidR="0022642E" w:rsidRPr="00677A87" w:rsidRDefault="00530FB5" w:rsidP="0022642E">
      <w:pPr>
        <w:tabs>
          <w:tab w:val="left" w:pos="-1440"/>
        </w:tabs>
        <w:ind w:left="1440" w:hanging="1440"/>
        <w:jc w:val="both"/>
        <w:rPr>
          <w:snapToGrid/>
          <w:szCs w:val="24"/>
        </w:rPr>
      </w:pPr>
      <w:r w:rsidRPr="00677A87">
        <w:rPr>
          <w:b/>
          <w:u w:val="single"/>
        </w:rPr>
        <w:t>GULF</w:t>
      </w:r>
      <w:r w:rsidRPr="00677A87">
        <w:rPr>
          <w:u w:val="single"/>
        </w:rPr>
        <w:t>:</w:t>
      </w:r>
      <w:r w:rsidR="00173D28" w:rsidRPr="00677A87">
        <w:tab/>
      </w:r>
      <w:r w:rsidR="009A4B7B" w:rsidRPr="00677A87">
        <w:t>No</w:t>
      </w:r>
      <w:r w:rsidR="0001614D">
        <w:t xml:space="preserve"> adjustment is necessary.</w:t>
      </w:r>
      <w:r w:rsidR="00905781">
        <w:t xml:space="preserve"> </w:t>
      </w:r>
      <w:r w:rsidR="0001614D">
        <w:t>T</w:t>
      </w:r>
      <w:r w:rsidR="009A4B7B" w:rsidRPr="00677A87">
        <w:t xml:space="preserve">he fuel inventories for 2014 were developed pursuant to Gulf’s fuel inventory policy that has been reviewed and approved in the last several rate cases.  </w:t>
      </w:r>
      <w:r w:rsidR="009669B0">
        <w:t>T</w:t>
      </w:r>
      <w:r w:rsidR="00141734">
        <w:t xml:space="preserve">his issue is not contested in testimony and it appears it could be stipulated. </w:t>
      </w:r>
      <w:r w:rsidR="009A4B7B" w:rsidRPr="00677A87">
        <w:t xml:space="preserve"> (Burroughs)</w:t>
      </w:r>
    </w:p>
    <w:p w:rsidR="00B902F1" w:rsidRPr="00677A87" w:rsidRDefault="00B902F1" w:rsidP="00B902F1">
      <w:pPr>
        <w:widowControl/>
        <w:tabs>
          <w:tab w:val="left" w:pos="-1440"/>
        </w:tabs>
        <w:ind w:left="1440" w:hanging="1440"/>
        <w:jc w:val="both"/>
        <w:rPr>
          <w:u w:val="single"/>
        </w:rPr>
      </w:pPr>
    </w:p>
    <w:p w:rsidR="00B902F1" w:rsidRPr="00677A87" w:rsidRDefault="00B902F1" w:rsidP="00B902F1">
      <w:pPr>
        <w:widowControl/>
        <w:tabs>
          <w:tab w:val="left" w:pos="-1440"/>
        </w:tabs>
        <w:ind w:left="1440" w:hanging="1440"/>
        <w:jc w:val="both"/>
        <w:rPr>
          <w:u w:val="single"/>
        </w:rPr>
      </w:pPr>
    </w:p>
    <w:p w:rsidR="00530FB5" w:rsidRPr="00677A87" w:rsidRDefault="00530FB5" w:rsidP="00530FB5">
      <w:pPr>
        <w:widowControl/>
        <w:ind w:left="1440" w:hanging="1440"/>
        <w:jc w:val="both"/>
      </w:pPr>
      <w:r w:rsidRPr="00677A87">
        <w:rPr>
          <w:b/>
          <w:u w:val="single"/>
        </w:rPr>
        <w:t>Issue</w:t>
      </w:r>
      <w:r w:rsidR="001E7237">
        <w:rPr>
          <w:b/>
          <w:u w:val="single"/>
        </w:rPr>
        <w:t xml:space="preserve"> 20</w:t>
      </w:r>
      <w:r w:rsidRPr="00677A87">
        <w:t>:</w:t>
      </w:r>
      <w:r w:rsidRPr="00677A87">
        <w:tab/>
      </w:r>
      <w:r w:rsidR="00DB4CED" w:rsidRPr="00677A87">
        <w:t>Should any adjustments be made to the net Prepaid Pension Assets included in the Working Capital Allowance?</w:t>
      </w:r>
    </w:p>
    <w:p w:rsidR="00B902F1" w:rsidRPr="00677A87" w:rsidRDefault="00B902F1" w:rsidP="00530FB5">
      <w:pPr>
        <w:widowControl/>
        <w:tabs>
          <w:tab w:val="left" w:pos="-1440"/>
        </w:tabs>
        <w:ind w:left="1440" w:hanging="1440"/>
        <w:jc w:val="both"/>
        <w:rPr>
          <w:b/>
          <w:u w:val="single"/>
        </w:rPr>
      </w:pPr>
    </w:p>
    <w:p w:rsidR="00530FB5" w:rsidRPr="00677A87" w:rsidRDefault="00530FB5" w:rsidP="00530FB5">
      <w:pPr>
        <w:widowControl/>
        <w:tabs>
          <w:tab w:val="left" w:pos="-1440"/>
        </w:tabs>
        <w:ind w:left="1440" w:hanging="1440"/>
        <w:jc w:val="both"/>
      </w:pPr>
      <w:r w:rsidRPr="00677A87">
        <w:rPr>
          <w:b/>
          <w:u w:val="single"/>
        </w:rPr>
        <w:t>GULF</w:t>
      </w:r>
      <w:r w:rsidRPr="00677A87">
        <w:t>:</w:t>
      </w:r>
      <w:r w:rsidRPr="00677A87">
        <w:tab/>
      </w:r>
      <w:r w:rsidR="00B65C2C" w:rsidRPr="00677A87">
        <w:t>No</w:t>
      </w:r>
      <w:r w:rsidR="006B2C2B" w:rsidRPr="006B2C2B">
        <w:t xml:space="preserve"> </w:t>
      </w:r>
      <w:r w:rsidR="006B2C2B">
        <w:t>adjustment is necessary</w:t>
      </w:r>
      <w:r w:rsidR="00B65C2C" w:rsidRPr="00677A87">
        <w:t xml:space="preserve">.  Gulf has included the appropriate amount of Prepaid Pension Assets in Working Capital in the 2014 test year. </w:t>
      </w:r>
      <w:r w:rsidR="00C41E9D">
        <w:t xml:space="preserve">This issue is not contested in testimony and it appears it could be stipulated. </w:t>
      </w:r>
      <w:r w:rsidR="00C41E9D" w:rsidRPr="00677A87">
        <w:t xml:space="preserve"> </w:t>
      </w:r>
      <w:r w:rsidR="00B65C2C" w:rsidRPr="00677A87">
        <w:t xml:space="preserve"> </w:t>
      </w:r>
      <w:r w:rsidR="00173D28" w:rsidRPr="00677A87">
        <w:t>(Ritenour, Garvie)</w:t>
      </w:r>
    </w:p>
    <w:p w:rsidR="00530FB5" w:rsidRPr="00677A87" w:rsidRDefault="00530FB5" w:rsidP="000D6307">
      <w:pPr>
        <w:widowControl/>
        <w:ind w:left="1440" w:hanging="1440"/>
      </w:pPr>
      <w:r w:rsidRPr="00677A87">
        <w:rPr>
          <w:b/>
          <w:u w:val="single"/>
        </w:rPr>
        <w:lastRenderedPageBreak/>
        <w:t>Issue</w:t>
      </w:r>
      <w:r w:rsidR="00DB4CED" w:rsidRPr="00677A87">
        <w:rPr>
          <w:b/>
          <w:u w:val="single"/>
        </w:rPr>
        <w:t xml:space="preserve"> 21</w:t>
      </w:r>
      <w:r w:rsidRPr="00677A87">
        <w:t>:</w:t>
      </w:r>
      <w:r w:rsidRPr="00677A87">
        <w:tab/>
      </w:r>
      <w:r w:rsidR="000D6307" w:rsidRPr="00677A87">
        <w:t xml:space="preserve">Is Gulf’s proposed level of Working Capital for the 2014 projected test year appropriate?  </w:t>
      </w:r>
      <w:r w:rsidR="000D6307" w:rsidRPr="00677A87">
        <w:rPr>
          <w:color w:val="0D0D0D"/>
        </w:rPr>
        <w:t>If not, what is the appropriate amount?</w:t>
      </w:r>
    </w:p>
    <w:p w:rsidR="00B902F1" w:rsidRPr="00677A87" w:rsidRDefault="00B902F1" w:rsidP="00530FB5">
      <w:pPr>
        <w:widowControl/>
        <w:tabs>
          <w:tab w:val="left" w:pos="-1440"/>
        </w:tabs>
        <w:ind w:left="1440" w:hanging="1440"/>
        <w:jc w:val="both"/>
        <w:rPr>
          <w:b/>
          <w:u w:val="single"/>
        </w:rPr>
      </w:pPr>
    </w:p>
    <w:p w:rsidR="00530FB5" w:rsidRPr="00677A87" w:rsidRDefault="00530FB5" w:rsidP="00530FB5">
      <w:pPr>
        <w:widowControl/>
        <w:tabs>
          <w:tab w:val="left" w:pos="-1440"/>
        </w:tabs>
        <w:ind w:left="1440" w:hanging="1440"/>
        <w:jc w:val="both"/>
      </w:pPr>
      <w:r w:rsidRPr="00677A87">
        <w:rPr>
          <w:b/>
          <w:u w:val="single"/>
        </w:rPr>
        <w:t>GULF</w:t>
      </w:r>
      <w:r w:rsidRPr="00677A87">
        <w:t>:</w:t>
      </w:r>
      <w:r w:rsidRPr="00677A87">
        <w:tab/>
      </w:r>
      <w:r w:rsidR="00B65C2C" w:rsidRPr="00677A87">
        <w:t xml:space="preserve">Yes.  Gulf’s requested level of Working Capital in the amount of $151,120,000 ($155,196,000 system) for the 2014 projected test year is appropriate. </w:t>
      </w:r>
      <w:r w:rsidR="00173D28" w:rsidRPr="00677A87">
        <w:t>(Ritenour)</w:t>
      </w:r>
    </w:p>
    <w:p w:rsidR="00FE6608" w:rsidRPr="00677A87" w:rsidRDefault="00FE6608" w:rsidP="00530FB5">
      <w:pPr>
        <w:widowControl/>
        <w:tabs>
          <w:tab w:val="left" w:pos="-1440"/>
        </w:tabs>
        <w:ind w:left="1440" w:hanging="1440"/>
        <w:jc w:val="both"/>
      </w:pPr>
    </w:p>
    <w:p w:rsidR="00FE6608" w:rsidRPr="00677A87" w:rsidRDefault="00FE6608" w:rsidP="00530FB5">
      <w:pPr>
        <w:widowControl/>
        <w:tabs>
          <w:tab w:val="left" w:pos="-1440"/>
        </w:tabs>
        <w:ind w:left="1440" w:hanging="1440"/>
        <w:jc w:val="both"/>
      </w:pPr>
    </w:p>
    <w:p w:rsidR="000D6307" w:rsidRPr="00677A87" w:rsidRDefault="00530FB5" w:rsidP="000D6307">
      <w:pPr>
        <w:tabs>
          <w:tab w:val="left" w:pos="-1440"/>
        </w:tabs>
        <w:ind w:left="1440" w:hanging="1440"/>
        <w:jc w:val="both"/>
        <w:rPr>
          <w:color w:val="0D0D0D"/>
        </w:rPr>
      </w:pPr>
      <w:r w:rsidRPr="00677A87">
        <w:rPr>
          <w:b/>
          <w:u w:val="single"/>
        </w:rPr>
        <w:t>Issue</w:t>
      </w:r>
      <w:r w:rsidR="0088574A">
        <w:rPr>
          <w:b/>
          <w:u w:val="single"/>
        </w:rPr>
        <w:t xml:space="preserve"> 2</w:t>
      </w:r>
      <w:r w:rsidR="000D6307" w:rsidRPr="00677A87">
        <w:rPr>
          <w:b/>
          <w:noProof/>
          <w:u w:val="single"/>
        </w:rPr>
        <w:t>2</w:t>
      </w:r>
      <w:r w:rsidR="000D6307" w:rsidRPr="00677A87">
        <w:rPr>
          <w:b/>
          <w:noProof/>
        </w:rPr>
        <w:t>:</w:t>
      </w:r>
      <w:r w:rsidRPr="00677A87">
        <w:tab/>
      </w:r>
      <w:r w:rsidR="000D6307" w:rsidRPr="00677A87">
        <w:t>Is Gulf's requested rate base in the amount of $1,883,901,000 ($1,919,769</w:t>
      </w:r>
      <w:r w:rsidR="00A7542C">
        <w:t>,000</w:t>
      </w:r>
      <w:r w:rsidR="000D6307" w:rsidRPr="00677A87">
        <w:t xml:space="preserve"> system) for the 2014 projected test year appropriate?  </w:t>
      </w:r>
      <w:r w:rsidR="000D6307" w:rsidRPr="00677A87">
        <w:rPr>
          <w:color w:val="0D0D0D"/>
        </w:rPr>
        <w:t>If not, what is the appropriate amount?</w:t>
      </w:r>
    </w:p>
    <w:p w:rsidR="00B902F1" w:rsidRPr="00677A87" w:rsidRDefault="00B902F1" w:rsidP="00530FB5">
      <w:pPr>
        <w:widowControl/>
        <w:ind w:left="1440" w:hanging="1440"/>
        <w:jc w:val="both"/>
        <w:rPr>
          <w:b/>
          <w:u w:val="single"/>
        </w:rPr>
      </w:pPr>
    </w:p>
    <w:p w:rsidR="00B65C2C" w:rsidRPr="00677A87" w:rsidRDefault="00530FB5" w:rsidP="00B65C2C">
      <w:pPr>
        <w:tabs>
          <w:tab w:val="left" w:pos="-1440"/>
        </w:tabs>
        <w:ind w:left="1440" w:hanging="1440"/>
        <w:jc w:val="both"/>
      </w:pPr>
      <w:r w:rsidRPr="00677A87">
        <w:rPr>
          <w:b/>
          <w:u w:val="single"/>
        </w:rPr>
        <w:t>GULF:</w:t>
      </w:r>
      <w:r w:rsidRPr="00677A87">
        <w:t xml:space="preserve"> </w:t>
      </w:r>
      <w:r w:rsidRPr="00677A87">
        <w:tab/>
      </w:r>
      <w:r w:rsidR="00B65C2C" w:rsidRPr="00677A87">
        <w:t>Yes.  Gulf’s requested level of rate base in the amount of $1,883,901,000 ($1,919,769,000 system) for the 2014 projected test year is appropriate. (Ritenour)</w:t>
      </w:r>
    </w:p>
    <w:p w:rsidR="000D6307" w:rsidRPr="00677A87" w:rsidRDefault="000D6307" w:rsidP="00530FB5">
      <w:pPr>
        <w:widowControl/>
        <w:ind w:left="1440" w:hanging="1440"/>
        <w:jc w:val="both"/>
      </w:pPr>
    </w:p>
    <w:p w:rsidR="00FE6608" w:rsidRPr="00677A87" w:rsidRDefault="00FE6608" w:rsidP="00530FB5">
      <w:pPr>
        <w:widowControl/>
        <w:ind w:left="1440" w:hanging="1440"/>
        <w:jc w:val="both"/>
      </w:pPr>
    </w:p>
    <w:p w:rsidR="00530FB5" w:rsidRPr="00677A87" w:rsidRDefault="00530FB5" w:rsidP="00530FB5">
      <w:pPr>
        <w:widowControl/>
        <w:jc w:val="center"/>
      </w:pPr>
      <w:r w:rsidRPr="00677A87">
        <w:rPr>
          <w:b/>
          <w:bCs/>
          <w:u w:val="single"/>
        </w:rPr>
        <w:t>Cost of Capital</w:t>
      </w:r>
    </w:p>
    <w:p w:rsidR="00530FB5" w:rsidRPr="00677A87" w:rsidRDefault="00530FB5" w:rsidP="00530FB5">
      <w:pPr>
        <w:widowControl/>
        <w:jc w:val="both"/>
        <w:rPr>
          <w:u w:val="single"/>
        </w:rPr>
      </w:pPr>
    </w:p>
    <w:p w:rsidR="00530FB5" w:rsidRPr="00677A87" w:rsidRDefault="00530FB5" w:rsidP="00530FB5">
      <w:pPr>
        <w:widowControl/>
        <w:tabs>
          <w:tab w:val="left" w:pos="-1440"/>
        </w:tabs>
        <w:ind w:left="1440" w:hanging="1440"/>
        <w:jc w:val="both"/>
      </w:pPr>
      <w:r w:rsidRPr="00677A87">
        <w:rPr>
          <w:b/>
          <w:u w:val="single"/>
        </w:rPr>
        <w:t xml:space="preserve">Issue </w:t>
      </w:r>
      <w:r w:rsidR="000D6307" w:rsidRPr="00677A87">
        <w:rPr>
          <w:b/>
          <w:u w:val="single"/>
        </w:rPr>
        <w:t>23</w:t>
      </w:r>
      <w:r w:rsidRPr="00677A87">
        <w:t>:</w:t>
      </w:r>
      <w:r w:rsidRPr="00677A87">
        <w:tab/>
        <w:t>What is the appropriate amount of accumulated deferred taxes to include in the capital structure</w:t>
      </w:r>
      <w:r w:rsidR="000D6307" w:rsidRPr="00677A87">
        <w:t xml:space="preserve"> for the 2014 projected test year</w:t>
      </w:r>
      <w:r w:rsidRPr="00677A87">
        <w:t>?</w:t>
      </w:r>
    </w:p>
    <w:p w:rsidR="00B902F1" w:rsidRPr="00677A87" w:rsidRDefault="00B902F1" w:rsidP="00530FB5">
      <w:pPr>
        <w:widowControl/>
        <w:tabs>
          <w:tab w:val="left" w:pos="-1440"/>
        </w:tabs>
        <w:ind w:left="1440" w:hanging="1440"/>
        <w:jc w:val="both"/>
        <w:rPr>
          <w:b/>
          <w:u w:val="single"/>
        </w:rPr>
      </w:pPr>
    </w:p>
    <w:p w:rsidR="009C2505" w:rsidRPr="00677A87" w:rsidRDefault="00530FB5" w:rsidP="009C2505">
      <w:pPr>
        <w:tabs>
          <w:tab w:val="left" w:pos="-1440"/>
        </w:tabs>
        <w:ind w:left="1440" w:hanging="1440"/>
        <w:jc w:val="both"/>
      </w:pPr>
      <w:r w:rsidRPr="00677A87">
        <w:rPr>
          <w:b/>
          <w:u w:val="single"/>
        </w:rPr>
        <w:t>GULF:</w:t>
      </w:r>
      <w:r w:rsidRPr="00677A87">
        <w:tab/>
      </w:r>
      <w:r w:rsidR="009C2505" w:rsidRPr="00677A87">
        <w:t>Gulf’s requested level of accumulated deferred taxes in the amount of $354,200,000 ($361,019,000 system) for the 2014 projected test year is appropriate. (Ritenour, Erickson)</w:t>
      </w:r>
    </w:p>
    <w:p w:rsidR="000D6307" w:rsidRPr="00677A87" w:rsidRDefault="000D6307" w:rsidP="00530FB5">
      <w:pPr>
        <w:widowControl/>
        <w:tabs>
          <w:tab w:val="left" w:pos="-1440"/>
        </w:tabs>
        <w:ind w:left="1440" w:hanging="1440"/>
        <w:jc w:val="both"/>
      </w:pPr>
    </w:p>
    <w:p w:rsidR="00530FB5" w:rsidRPr="00677A87" w:rsidRDefault="00530FB5" w:rsidP="00530FB5">
      <w:pPr>
        <w:widowControl/>
        <w:tabs>
          <w:tab w:val="left" w:pos="-1440"/>
        </w:tabs>
        <w:ind w:left="1440" w:hanging="1440"/>
        <w:jc w:val="both"/>
      </w:pPr>
      <w:r w:rsidRPr="00677A87">
        <w:t xml:space="preserve"> </w:t>
      </w:r>
    </w:p>
    <w:p w:rsidR="00530FB5" w:rsidRPr="00677A87" w:rsidRDefault="00530FB5" w:rsidP="00530FB5">
      <w:pPr>
        <w:widowControl/>
        <w:tabs>
          <w:tab w:val="left" w:pos="-1440"/>
        </w:tabs>
        <w:ind w:left="1440" w:hanging="1440"/>
        <w:jc w:val="both"/>
      </w:pPr>
      <w:r w:rsidRPr="00677A87">
        <w:rPr>
          <w:b/>
          <w:u w:val="single"/>
        </w:rPr>
        <w:t xml:space="preserve">Issue </w:t>
      </w:r>
      <w:r w:rsidR="000D6307" w:rsidRPr="00677A87">
        <w:rPr>
          <w:b/>
          <w:u w:val="single"/>
        </w:rPr>
        <w:t>24</w:t>
      </w:r>
      <w:r w:rsidRPr="00677A87">
        <w:t>:</w:t>
      </w:r>
      <w:r w:rsidRPr="00677A87">
        <w:tab/>
        <w:t>What is the appropriate amount and cost rate of the unamortized investment tax credits to include in the capital structure</w:t>
      </w:r>
      <w:r w:rsidR="000D6307" w:rsidRPr="00677A87">
        <w:t xml:space="preserve"> for the 2014 projected test year</w:t>
      </w:r>
      <w:r w:rsidRPr="00677A87">
        <w:t>?</w:t>
      </w:r>
    </w:p>
    <w:p w:rsidR="00B902F1" w:rsidRPr="00677A87" w:rsidRDefault="00B902F1" w:rsidP="000D6307">
      <w:pPr>
        <w:widowControl/>
        <w:tabs>
          <w:tab w:val="left" w:pos="-1440"/>
        </w:tabs>
        <w:ind w:left="1440" w:hanging="1440"/>
        <w:jc w:val="both"/>
        <w:rPr>
          <w:b/>
          <w:u w:val="single"/>
        </w:rPr>
      </w:pPr>
    </w:p>
    <w:p w:rsidR="009C2505" w:rsidRPr="00677A87" w:rsidRDefault="00530FB5" w:rsidP="009C2505">
      <w:pPr>
        <w:tabs>
          <w:tab w:val="left" w:pos="-1440"/>
        </w:tabs>
        <w:ind w:left="1440" w:hanging="1440"/>
        <w:jc w:val="both"/>
      </w:pPr>
      <w:r w:rsidRPr="00677A87">
        <w:rPr>
          <w:b/>
          <w:u w:val="single"/>
        </w:rPr>
        <w:t>GULF:</w:t>
      </w:r>
      <w:r w:rsidRPr="00677A87">
        <w:tab/>
      </w:r>
      <w:r w:rsidR="009C2505" w:rsidRPr="00677A87">
        <w:t>Gulf’s requested level of unamortized investment tax credits in the amount of $1,812,000 ($1,847,000 system) for the 2014 projected test year is appropriate. The appropriate cost rate is 8.18% for purposes of calculating the weighted average cost of capital. (Ritenour, Erickson)</w:t>
      </w:r>
    </w:p>
    <w:p w:rsidR="00DF30C4" w:rsidRPr="00677A87" w:rsidRDefault="00DF30C4" w:rsidP="009C2505">
      <w:pPr>
        <w:widowControl/>
        <w:tabs>
          <w:tab w:val="left" w:pos="-1440"/>
        </w:tabs>
        <w:ind w:left="1440" w:hanging="1440"/>
        <w:jc w:val="both"/>
        <w:rPr>
          <w:u w:val="single"/>
        </w:rPr>
      </w:pPr>
    </w:p>
    <w:p w:rsidR="004E7111" w:rsidRPr="00677A87" w:rsidRDefault="004E7111" w:rsidP="00530FB5">
      <w:pPr>
        <w:widowControl/>
        <w:jc w:val="both"/>
        <w:rPr>
          <w:u w:val="single"/>
        </w:rPr>
      </w:pPr>
    </w:p>
    <w:p w:rsidR="000D6307" w:rsidRPr="00677A87" w:rsidRDefault="00530FB5" w:rsidP="000D6307">
      <w:pPr>
        <w:tabs>
          <w:tab w:val="left" w:pos="-1440"/>
        </w:tabs>
        <w:ind w:left="1440" w:hanging="1440"/>
        <w:jc w:val="both"/>
      </w:pPr>
      <w:r w:rsidRPr="00677A87">
        <w:rPr>
          <w:b/>
          <w:u w:val="single"/>
        </w:rPr>
        <w:t>Issue</w:t>
      </w:r>
      <w:r w:rsidR="000D6307" w:rsidRPr="00677A87">
        <w:rPr>
          <w:b/>
          <w:u w:val="single"/>
        </w:rPr>
        <w:t xml:space="preserve"> 25</w:t>
      </w:r>
      <w:r w:rsidRPr="00677A87">
        <w:t>:</w:t>
      </w:r>
      <w:r w:rsidRPr="00677A87">
        <w:tab/>
      </w:r>
      <w:r w:rsidR="000D6307" w:rsidRPr="00677A87">
        <w:t xml:space="preserve">What is the appropriate cost rate for customer deposits for the 2014 projected test year?  </w:t>
      </w:r>
    </w:p>
    <w:p w:rsidR="00B902F1" w:rsidRPr="00677A87" w:rsidRDefault="00B902F1" w:rsidP="00530FB5">
      <w:pPr>
        <w:widowControl/>
        <w:ind w:left="1440" w:hanging="1440"/>
        <w:jc w:val="both"/>
        <w:rPr>
          <w:b/>
          <w:u w:val="single"/>
        </w:rPr>
      </w:pPr>
    </w:p>
    <w:p w:rsidR="009C2505" w:rsidRPr="00677A87" w:rsidRDefault="00530FB5" w:rsidP="009C2505">
      <w:pPr>
        <w:tabs>
          <w:tab w:val="left" w:pos="-1440"/>
        </w:tabs>
        <w:ind w:left="1440" w:hanging="1440"/>
        <w:jc w:val="both"/>
      </w:pPr>
      <w:r w:rsidRPr="00677A87">
        <w:rPr>
          <w:b/>
          <w:u w:val="single"/>
        </w:rPr>
        <w:t>GULF:</w:t>
      </w:r>
      <w:r w:rsidRPr="00677A87">
        <w:t xml:space="preserve"> </w:t>
      </w:r>
      <w:r w:rsidRPr="00677A87">
        <w:tab/>
      </w:r>
      <w:r w:rsidR="009C2505" w:rsidRPr="00677A87">
        <w:t xml:space="preserve">The appropriate cost rate for customer deposits for the 2014 projected test year is 2.30%.  </w:t>
      </w:r>
      <w:r w:rsidR="00BB7ACC">
        <w:t xml:space="preserve">This issue is not contested in testimony and it appears it could be stipulated. </w:t>
      </w:r>
      <w:r w:rsidR="009C2505" w:rsidRPr="00677A87">
        <w:t>(Ritenour)</w:t>
      </w:r>
    </w:p>
    <w:p w:rsidR="00B902F1" w:rsidRDefault="00B902F1" w:rsidP="00530FB5">
      <w:pPr>
        <w:widowControl/>
        <w:ind w:left="1440" w:hanging="1440"/>
        <w:jc w:val="both"/>
        <w:rPr>
          <w:u w:val="single"/>
        </w:rPr>
      </w:pPr>
    </w:p>
    <w:p w:rsidR="00C01777" w:rsidRDefault="00C01777" w:rsidP="000D6307">
      <w:pPr>
        <w:widowControl/>
        <w:tabs>
          <w:tab w:val="left" w:pos="-1440"/>
        </w:tabs>
        <w:ind w:left="1440" w:hanging="1440"/>
        <w:jc w:val="both"/>
        <w:rPr>
          <w:b/>
          <w:u w:val="single"/>
        </w:rPr>
      </w:pPr>
    </w:p>
    <w:p w:rsidR="00DF30C4" w:rsidRDefault="00DF30C4" w:rsidP="000D6307">
      <w:pPr>
        <w:widowControl/>
        <w:tabs>
          <w:tab w:val="left" w:pos="-1440"/>
        </w:tabs>
        <w:ind w:left="1440" w:hanging="1440"/>
        <w:jc w:val="both"/>
        <w:rPr>
          <w:b/>
          <w:u w:val="single"/>
        </w:rPr>
      </w:pPr>
    </w:p>
    <w:p w:rsidR="00DF30C4" w:rsidRDefault="00DF30C4" w:rsidP="000D6307">
      <w:pPr>
        <w:widowControl/>
        <w:tabs>
          <w:tab w:val="left" w:pos="-1440"/>
        </w:tabs>
        <w:ind w:left="1440" w:hanging="1440"/>
        <w:jc w:val="both"/>
        <w:rPr>
          <w:b/>
          <w:u w:val="single"/>
        </w:rPr>
      </w:pPr>
    </w:p>
    <w:p w:rsidR="00530FB5" w:rsidRPr="00677A87" w:rsidRDefault="00530FB5" w:rsidP="000D6307">
      <w:pPr>
        <w:widowControl/>
        <w:tabs>
          <w:tab w:val="left" w:pos="-1440"/>
        </w:tabs>
        <w:ind w:left="1440" w:hanging="1440"/>
        <w:jc w:val="both"/>
      </w:pPr>
      <w:r w:rsidRPr="00677A87">
        <w:rPr>
          <w:b/>
          <w:u w:val="single"/>
        </w:rPr>
        <w:lastRenderedPageBreak/>
        <w:t>Issue</w:t>
      </w:r>
      <w:r w:rsidR="000D6307" w:rsidRPr="00677A87">
        <w:rPr>
          <w:b/>
          <w:u w:val="single"/>
        </w:rPr>
        <w:t xml:space="preserve"> 26</w:t>
      </w:r>
      <w:r w:rsidRPr="00677A87">
        <w:t>:</w:t>
      </w:r>
      <w:r w:rsidRPr="00677A87">
        <w:tab/>
      </w:r>
      <w:r w:rsidR="000D6307" w:rsidRPr="00677A87">
        <w:t xml:space="preserve">What is the appropriate cost rate for short-term debt for the 2014 projected test year?     </w:t>
      </w:r>
    </w:p>
    <w:p w:rsidR="00B902F1" w:rsidRPr="00677A87" w:rsidRDefault="00B902F1" w:rsidP="00530FB5">
      <w:pPr>
        <w:widowControl/>
        <w:tabs>
          <w:tab w:val="left" w:pos="-1440"/>
        </w:tabs>
        <w:ind w:left="1440" w:hanging="1440"/>
        <w:jc w:val="both"/>
        <w:rPr>
          <w:b/>
          <w:u w:val="single"/>
        </w:rPr>
      </w:pPr>
    </w:p>
    <w:p w:rsidR="00530FB5" w:rsidRPr="00677A87" w:rsidRDefault="00530FB5" w:rsidP="00530FB5">
      <w:pPr>
        <w:widowControl/>
        <w:tabs>
          <w:tab w:val="left" w:pos="-1440"/>
        </w:tabs>
        <w:ind w:left="1440" w:hanging="1440"/>
        <w:jc w:val="both"/>
      </w:pPr>
      <w:r w:rsidRPr="00677A87">
        <w:rPr>
          <w:b/>
          <w:u w:val="single"/>
        </w:rPr>
        <w:t>GULF:</w:t>
      </w:r>
      <w:r w:rsidRPr="00677A87">
        <w:t xml:space="preserve"> </w:t>
      </w:r>
      <w:r w:rsidRPr="00677A87">
        <w:tab/>
      </w:r>
      <w:r w:rsidR="009C2505" w:rsidRPr="00677A87">
        <w:t xml:space="preserve">The appropriate cost rate for short-term for the 2014 projected test year is 0.82%.  </w:t>
      </w:r>
      <w:r w:rsidR="00BB7ACC">
        <w:t xml:space="preserve">This issue is not contested in testimony and it appears it could be stipulated. </w:t>
      </w:r>
      <w:r w:rsidR="00173D28" w:rsidRPr="00677A87">
        <w:t>(Ritenour)</w:t>
      </w:r>
    </w:p>
    <w:p w:rsidR="00530FB5" w:rsidRPr="00677A87" w:rsidRDefault="00530FB5" w:rsidP="00530FB5">
      <w:pPr>
        <w:widowControl/>
        <w:tabs>
          <w:tab w:val="left" w:pos="-1440"/>
        </w:tabs>
        <w:jc w:val="both"/>
      </w:pPr>
    </w:p>
    <w:p w:rsidR="00530FB5" w:rsidRPr="00677A87" w:rsidRDefault="00530FB5" w:rsidP="00530FB5">
      <w:pPr>
        <w:widowControl/>
        <w:tabs>
          <w:tab w:val="left" w:pos="-1440"/>
        </w:tabs>
        <w:jc w:val="both"/>
      </w:pPr>
    </w:p>
    <w:p w:rsidR="00530FB5" w:rsidRPr="00677A87" w:rsidRDefault="00530FB5" w:rsidP="000D6307">
      <w:pPr>
        <w:widowControl/>
        <w:ind w:left="1440" w:hanging="1440"/>
        <w:jc w:val="both"/>
      </w:pPr>
      <w:r w:rsidRPr="00677A87">
        <w:rPr>
          <w:b/>
          <w:u w:val="single"/>
        </w:rPr>
        <w:t>Issue</w:t>
      </w:r>
      <w:r w:rsidR="000D6307" w:rsidRPr="00677A87">
        <w:rPr>
          <w:b/>
          <w:u w:val="single"/>
        </w:rPr>
        <w:t xml:space="preserve"> 27</w:t>
      </w:r>
      <w:r w:rsidRPr="00677A87">
        <w:t>:</w:t>
      </w:r>
      <w:r w:rsidRPr="00677A87">
        <w:tab/>
      </w:r>
      <w:r w:rsidR="000D6307" w:rsidRPr="00677A87">
        <w:t xml:space="preserve">What is the appropriate cost rate for long-term debt for the 2014 projected test year?      </w:t>
      </w:r>
    </w:p>
    <w:p w:rsidR="00B902F1" w:rsidRPr="00677A87" w:rsidRDefault="00B902F1" w:rsidP="000D6307">
      <w:pPr>
        <w:widowControl/>
        <w:ind w:left="1440" w:hanging="1440"/>
        <w:jc w:val="both"/>
        <w:rPr>
          <w:b/>
          <w:u w:val="single"/>
        </w:rPr>
      </w:pPr>
    </w:p>
    <w:p w:rsidR="00530FB5" w:rsidRPr="00677A87" w:rsidRDefault="00530FB5" w:rsidP="000D6307">
      <w:pPr>
        <w:widowControl/>
        <w:ind w:left="1440" w:hanging="1440"/>
        <w:jc w:val="both"/>
      </w:pPr>
      <w:r w:rsidRPr="00677A87">
        <w:rPr>
          <w:b/>
          <w:u w:val="single"/>
        </w:rPr>
        <w:t>GULF:</w:t>
      </w:r>
      <w:r w:rsidRPr="00677A87">
        <w:t xml:space="preserve"> </w:t>
      </w:r>
      <w:r w:rsidRPr="00677A87">
        <w:tab/>
      </w:r>
      <w:r w:rsidR="009C2505" w:rsidRPr="00677A87">
        <w:t>The appropriate cost rate for long-term debt for the 2014 projected test year is 4.96%.</w:t>
      </w:r>
      <w:r w:rsidR="00BB7ACC">
        <w:t xml:space="preserve"> This issue is not contested in testimony and it appears it could be stipulated. </w:t>
      </w:r>
      <w:r w:rsidR="00173D28" w:rsidRPr="00677A87">
        <w:t>(Ritenour)</w:t>
      </w:r>
    </w:p>
    <w:p w:rsidR="00530FB5" w:rsidRPr="00677A87" w:rsidRDefault="00530FB5" w:rsidP="00530FB5">
      <w:pPr>
        <w:widowControl/>
        <w:jc w:val="both"/>
      </w:pPr>
    </w:p>
    <w:p w:rsidR="00B902F1" w:rsidRPr="00677A87" w:rsidRDefault="00B902F1" w:rsidP="00530FB5">
      <w:pPr>
        <w:widowControl/>
        <w:jc w:val="both"/>
      </w:pPr>
    </w:p>
    <w:p w:rsidR="000D6307" w:rsidRPr="00677A87" w:rsidRDefault="00530FB5" w:rsidP="000D6307">
      <w:pPr>
        <w:widowControl/>
        <w:ind w:left="1440" w:hanging="1440"/>
        <w:jc w:val="both"/>
      </w:pPr>
      <w:r w:rsidRPr="00677A87">
        <w:rPr>
          <w:b/>
          <w:u w:val="single"/>
        </w:rPr>
        <w:t>Issue</w:t>
      </w:r>
      <w:r w:rsidR="000D6307" w:rsidRPr="00677A87">
        <w:rPr>
          <w:b/>
          <w:u w:val="single"/>
        </w:rPr>
        <w:t xml:space="preserve"> 28</w:t>
      </w:r>
      <w:r w:rsidRPr="00677A87">
        <w:t>:</w:t>
      </w:r>
      <w:r w:rsidRPr="00677A87">
        <w:tab/>
      </w:r>
      <w:r w:rsidR="000D6307" w:rsidRPr="00677A87">
        <w:t xml:space="preserve">What is the appropriate cost rate for preference stock for the 2014 projected test year?   </w:t>
      </w:r>
    </w:p>
    <w:p w:rsidR="00B902F1" w:rsidRPr="00677A87" w:rsidRDefault="00B902F1" w:rsidP="000D6307">
      <w:pPr>
        <w:widowControl/>
        <w:ind w:left="1440" w:hanging="1440"/>
        <w:jc w:val="both"/>
        <w:rPr>
          <w:b/>
          <w:u w:val="single"/>
        </w:rPr>
      </w:pPr>
    </w:p>
    <w:p w:rsidR="00530FB5" w:rsidRPr="00677A87" w:rsidRDefault="00530FB5" w:rsidP="000D6307">
      <w:pPr>
        <w:widowControl/>
        <w:ind w:left="1440" w:hanging="1440"/>
        <w:jc w:val="both"/>
      </w:pPr>
      <w:r w:rsidRPr="00677A87">
        <w:rPr>
          <w:b/>
          <w:u w:val="single"/>
        </w:rPr>
        <w:t>GULF</w:t>
      </w:r>
      <w:r w:rsidRPr="00677A87">
        <w:t xml:space="preserve">: </w:t>
      </w:r>
      <w:r w:rsidRPr="00677A87">
        <w:tab/>
      </w:r>
      <w:r w:rsidR="009C2505" w:rsidRPr="00677A87">
        <w:t xml:space="preserve">The appropriate cost rate for preference stock for the 2014 projected test year is 6.00%.  </w:t>
      </w:r>
      <w:r w:rsidR="00BB7ACC">
        <w:t xml:space="preserve">This issue is not contested in testimony and it appears it could be stipulated. </w:t>
      </w:r>
      <w:r w:rsidRPr="00677A87">
        <w:t xml:space="preserve"> </w:t>
      </w:r>
      <w:r w:rsidR="00173D28" w:rsidRPr="00677A87">
        <w:t>(Ritenour)</w:t>
      </w:r>
    </w:p>
    <w:p w:rsidR="00530FB5" w:rsidRPr="00677A87" w:rsidRDefault="00530FB5" w:rsidP="00530FB5">
      <w:pPr>
        <w:widowControl/>
        <w:jc w:val="both"/>
        <w:rPr>
          <w:u w:val="single"/>
        </w:rPr>
      </w:pPr>
    </w:p>
    <w:p w:rsidR="00B902F1" w:rsidRPr="00677A87" w:rsidRDefault="00B902F1" w:rsidP="00530FB5">
      <w:pPr>
        <w:widowControl/>
        <w:jc w:val="both"/>
        <w:rPr>
          <w:u w:val="single"/>
        </w:rPr>
      </w:pPr>
    </w:p>
    <w:p w:rsidR="000D6307" w:rsidRPr="00677A87" w:rsidRDefault="00530FB5" w:rsidP="000D6307">
      <w:pPr>
        <w:ind w:left="1440" w:hanging="1440"/>
        <w:jc w:val="both"/>
      </w:pPr>
      <w:r w:rsidRPr="00677A87">
        <w:rPr>
          <w:b/>
          <w:u w:val="single"/>
        </w:rPr>
        <w:t xml:space="preserve">Issue </w:t>
      </w:r>
      <w:r w:rsidR="000D6307" w:rsidRPr="00677A87">
        <w:rPr>
          <w:b/>
          <w:u w:val="single"/>
        </w:rPr>
        <w:t>29</w:t>
      </w:r>
      <w:r w:rsidRPr="00677A87">
        <w:t>:</w:t>
      </w:r>
      <w:r w:rsidRPr="00677A87">
        <w:tab/>
      </w:r>
      <w:r w:rsidR="000D6307" w:rsidRPr="00677A87">
        <w:t>What is the appropriate return on equity (ROE) to use in establishing Gulf</w:t>
      </w:r>
      <w:r w:rsidR="002D2D8A" w:rsidRPr="00677A87">
        <w:t>’</w:t>
      </w:r>
      <w:r w:rsidR="000D6307" w:rsidRPr="00677A87">
        <w:t xml:space="preserve">s revenue requirement?  </w:t>
      </w:r>
    </w:p>
    <w:p w:rsidR="00B902F1" w:rsidRPr="00677A87" w:rsidRDefault="00B902F1" w:rsidP="00530FB5">
      <w:pPr>
        <w:widowControl/>
        <w:tabs>
          <w:tab w:val="left" w:pos="-1440"/>
        </w:tabs>
        <w:ind w:left="1440" w:hanging="1440"/>
        <w:jc w:val="both"/>
        <w:rPr>
          <w:b/>
          <w:u w:val="single"/>
        </w:rPr>
      </w:pPr>
    </w:p>
    <w:p w:rsidR="009C2505" w:rsidRPr="00677A87" w:rsidRDefault="00530FB5" w:rsidP="009C2505">
      <w:pPr>
        <w:ind w:left="1440" w:hanging="1440"/>
        <w:jc w:val="both"/>
      </w:pPr>
      <w:r w:rsidRPr="00677A87">
        <w:rPr>
          <w:b/>
          <w:u w:val="single"/>
        </w:rPr>
        <w:t>GULF</w:t>
      </w:r>
      <w:r w:rsidRPr="00677A87">
        <w:t>:</w:t>
      </w:r>
      <w:r w:rsidR="00173D28" w:rsidRPr="00677A87">
        <w:tab/>
      </w:r>
      <w:r w:rsidR="009C2505" w:rsidRPr="00677A87">
        <w:t xml:space="preserve">Evaluating both the operational and financial risks facing Gulf Power indicates that the market would expect a company with Gulf Power’s profile to earn a return of 11.5% commensurate with the risk to investors’ equity capital. </w:t>
      </w:r>
      <w:r w:rsidR="00E27B96">
        <w:t>Gulf’s ROE must include consideration of its higher financial risk associated with a lower equity ratio compared to the proxy group and to other Florida utilities.  It must also consider the impact on Gulf’s financial integrity, including its ability to access credit markets at all times on reasonable terms.</w:t>
      </w:r>
      <w:r w:rsidR="00E27B96" w:rsidRPr="00677A87">
        <w:t xml:space="preserve"> </w:t>
      </w:r>
      <w:r w:rsidR="00E27B96">
        <w:t xml:space="preserve"> </w:t>
      </w:r>
      <w:r w:rsidR="009C2505" w:rsidRPr="00677A87">
        <w:t>(Vander Weide, Fetter, Teel)</w:t>
      </w:r>
    </w:p>
    <w:p w:rsidR="00530FB5" w:rsidRPr="00677A87" w:rsidRDefault="00530FB5" w:rsidP="009C2505">
      <w:pPr>
        <w:ind w:left="1440" w:hanging="1440"/>
        <w:jc w:val="both"/>
      </w:pPr>
      <w:r w:rsidRPr="00677A87">
        <w:tab/>
      </w:r>
    </w:p>
    <w:p w:rsidR="002D2D8A" w:rsidRPr="00677A87" w:rsidRDefault="002D2D8A" w:rsidP="00530FB5">
      <w:pPr>
        <w:widowControl/>
        <w:tabs>
          <w:tab w:val="left" w:pos="-1440"/>
        </w:tabs>
        <w:ind w:left="1440" w:hanging="1440"/>
        <w:jc w:val="both"/>
      </w:pPr>
    </w:p>
    <w:p w:rsidR="002D2D8A" w:rsidRPr="00677A87" w:rsidRDefault="002D2D8A" w:rsidP="00530FB5">
      <w:pPr>
        <w:widowControl/>
        <w:tabs>
          <w:tab w:val="left" w:pos="-1440"/>
        </w:tabs>
        <w:ind w:left="1440" w:hanging="1440"/>
        <w:jc w:val="both"/>
      </w:pPr>
      <w:r w:rsidRPr="00677A87">
        <w:rPr>
          <w:b/>
          <w:u w:val="single"/>
        </w:rPr>
        <w:t>Issue 30:</w:t>
      </w:r>
      <w:r w:rsidRPr="00677A87">
        <w:t xml:space="preserve">  </w:t>
      </w:r>
      <w:r w:rsidRPr="00677A87">
        <w:tab/>
        <w:t xml:space="preserve">What is the appropriate weighted average cost of capital including the proper components, amounts and cost rates associated with the capital structure for the 2014 projected test year?           </w:t>
      </w:r>
    </w:p>
    <w:p w:rsidR="00B902F1" w:rsidRPr="00677A87" w:rsidRDefault="00B902F1" w:rsidP="00530FB5">
      <w:pPr>
        <w:widowControl/>
        <w:jc w:val="both"/>
        <w:rPr>
          <w:b/>
          <w:u w:val="single"/>
        </w:rPr>
      </w:pPr>
    </w:p>
    <w:p w:rsidR="009C2505" w:rsidRDefault="002D2D8A" w:rsidP="009C2505">
      <w:pPr>
        <w:ind w:left="1440" w:hanging="1440"/>
        <w:jc w:val="both"/>
      </w:pPr>
      <w:r w:rsidRPr="00677A87">
        <w:rPr>
          <w:b/>
          <w:u w:val="single"/>
        </w:rPr>
        <w:t>GULF</w:t>
      </w:r>
      <w:r w:rsidRPr="00677A87">
        <w:t>:</w:t>
      </w:r>
      <w:r w:rsidR="00173D28" w:rsidRPr="00677A87">
        <w:tab/>
      </w:r>
      <w:r w:rsidR="009C2505" w:rsidRPr="00677A87">
        <w:t>Based on an 11.5% cost of equity, the appropriate weighted average cost of capital for Gulf Power for the 2014 projected test year is 6.47%.  Except for five adjustments which Gulf has appropriately made to specific classes of capital, rate base adjustments should be allocated pro rata over all sources of capital in reconciling jurisdictional rate base and capital structure. (Ritenour, Deason</w:t>
      </w:r>
      <w:r w:rsidR="00E27B96">
        <w:t>, Teel</w:t>
      </w:r>
      <w:r w:rsidR="009C2505" w:rsidRPr="00677A87">
        <w:t>)</w:t>
      </w:r>
    </w:p>
    <w:p w:rsidR="00530FB5" w:rsidRPr="00677A87" w:rsidRDefault="00530FB5" w:rsidP="00530FB5">
      <w:pPr>
        <w:widowControl/>
        <w:jc w:val="center"/>
        <w:rPr>
          <w:b/>
          <w:bCs/>
          <w:u w:val="single"/>
        </w:rPr>
      </w:pPr>
      <w:r w:rsidRPr="00677A87">
        <w:rPr>
          <w:b/>
          <w:bCs/>
          <w:u w:val="single"/>
        </w:rPr>
        <w:lastRenderedPageBreak/>
        <w:t>Net Operating Income</w:t>
      </w:r>
    </w:p>
    <w:p w:rsidR="00530FB5" w:rsidRPr="00677A87" w:rsidRDefault="00530FB5" w:rsidP="00530FB5">
      <w:pPr>
        <w:widowControl/>
        <w:jc w:val="center"/>
        <w:rPr>
          <w:b/>
          <w:bCs/>
          <w:u w:val="single"/>
        </w:rPr>
      </w:pPr>
    </w:p>
    <w:p w:rsidR="00530FB5" w:rsidRPr="00677A87" w:rsidRDefault="00530FB5" w:rsidP="00530FB5">
      <w:pPr>
        <w:widowControl/>
        <w:tabs>
          <w:tab w:val="left" w:pos="-1440"/>
        </w:tabs>
        <w:ind w:left="1440" w:hanging="1440"/>
        <w:jc w:val="both"/>
      </w:pPr>
      <w:r w:rsidRPr="00677A87">
        <w:rPr>
          <w:b/>
          <w:u w:val="single"/>
        </w:rPr>
        <w:t>Issue</w:t>
      </w:r>
      <w:r w:rsidR="002D2D8A" w:rsidRPr="00677A87">
        <w:rPr>
          <w:b/>
          <w:u w:val="single"/>
        </w:rPr>
        <w:t xml:space="preserve"> 31</w:t>
      </w:r>
      <w:r w:rsidRPr="00677A87">
        <w:t>:</w:t>
      </w:r>
      <w:r w:rsidRPr="00677A87">
        <w:tab/>
        <w:t>Is Gulf's projected level of Total Operating Revenues in the amount of $</w:t>
      </w:r>
      <w:r w:rsidR="00AA2D08" w:rsidRPr="00677A87">
        <w:t>528</w:t>
      </w:r>
      <w:r w:rsidRPr="00677A87">
        <w:t>,</w:t>
      </w:r>
      <w:r w:rsidR="00AA2D08" w:rsidRPr="00677A87">
        <w:t>651</w:t>
      </w:r>
      <w:r w:rsidRPr="00677A87">
        <w:t>,000 ($</w:t>
      </w:r>
      <w:r w:rsidR="00AA2D08" w:rsidRPr="00677A87">
        <w:t>544</w:t>
      </w:r>
      <w:r w:rsidRPr="00677A87">
        <w:t>,</w:t>
      </w:r>
      <w:r w:rsidR="00AA2D08" w:rsidRPr="00677A87">
        <w:t>999</w:t>
      </w:r>
      <w:r w:rsidRPr="00677A87">
        <w:t>,000 system) for the 201</w:t>
      </w:r>
      <w:r w:rsidR="00AA2D08" w:rsidRPr="00677A87">
        <w:t>4</w:t>
      </w:r>
      <w:r w:rsidRPr="00677A87">
        <w:t xml:space="preserve"> projected test year appropriate? </w:t>
      </w:r>
      <w:r w:rsidR="00AA2D08" w:rsidRPr="00677A87">
        <w:t xml:space="preserve"> If not, what is the appropriate amount?  </w:t>
      </w:r>
      <w:r w:rsidRPr="00677A87">
        <w:t xml:space="preserve"> </w:t>
      </w:r>
    </w:p>
    <w:p w:rsidR="00B902F1" w:rsidRPr="00677A87" w:rsidRDefault="00B902F1" w:rsidP="00530FB5">
      <w:pPr>
        <w:widowControl/>
        <w:tabs>
          <w:tab w:val="left" w:pos="-1440"/>
        </w:tabs>
        <w:ind w:left="1440" w:hanging="1440"/>
        <w:jc w:val="both"/>
        <w:rPr>
          <w:b/>
          <w:u w:val="single"/>
        </w:rPr>
      </w:pPr>
    </w:p>
    <w:p w:rsidR="009C2505" w:rsidRPr="00677A87" w:rsidRDefault="00530FB5" w:rsidP="009C2505">
      <w:pPr>
        <w:tabs>
          <w:tab w:val="left" w:pos="-1440"/>
        </w:tabs>
        <w:ind w:left="1440" w:hanging="1440"/>
        <w:jc w:val="both"/>
      </w:pPr>
      <w:r w:rsidRPr="00677A87">
        <w:rPr>
          <w:b/>
          <w:u w:val="single"/>
        </w:rPr>
        <w:t>GULF:</w:t>
      </w:r>
      <w:r w:rsidRPr="00677A87">
        <w:tab/>
        <w:t xml:space="preserve"> </w:t>
      </w:r>
      <w:r w:rsidR="009C2505" w:rsidRPr="00677A87">
        <w:t xml:space="preserve">Yes.  Gulf’s </w:t>
      </w:r>
      <w:r w:rsidR="00446A42">
        <w:t>projected</w:t>
      </w:r>
      <w:r w:rsidR="00446A42" w:rsidRPr="00677A87">
        <w:t xml:space="preserve"> </w:t>
      </w:r>
      <w:r w:rsidR="009C2505" w:rsidRPr="00677A87">
        <w:t>level of Total Operating Revenues in the amount of $528,651,000 ($544,999,000 system) for the 2014 projected test year is appropriate. (Alexander, Ritenour)</w:t>
      </w:r>
    </w:p>
    <w:p w:rsidR="00530FB5" w:rsidRPr="00677A87" w:rsidRDefault="00530FB5" w:rsidP="00530FB5">
      <w:pPr>
        <w:widowControl/>
        <w:tabs>
          <w:tab w:val="left" w:pos="-1440"/>
        </w:tabs>
        <w:jc w:val="both"/>
        <w:rPr>
          <w:b/>
          <w:u w:val="single"/>
        </w:rPr>
      </w:pPr>
    </w:p>
    <w:p w:rsidR="00ED1FE0" w:rsidRPr="00677A87" w:rsidRDefault="00ED1FE0" w:rsidP="00ED1FE0">
      <w:pPr>
        <w:widowControl/>
        <w:rPr>
          <w:b/>
          <w:u w:val="single"/>
        </w:rPr>
      </w:pPr>
    </w:p>
    <w:p w:rsidR="00530FB5" w:rsidRPr="00677A87" w:rsidRDefault="00530FB5" w:rsidP="00ED1FE0">
      <w:pPr>
        <w:widowControl/>
        <w:ind w:left="1440" w:hanging="1440"/>
      </w:pPr>
      <w:r w:rsidRPr="00677A87">
        <w:rPr>
          <w:b/>
          <w:u w:val="single"/>
        </w:rPr>
        <w:t>Issue</w:t>
      </w:r>
      <w:r w:rsidR="00AA2D08" w:rsidRPr="00677A87">
        <w:rPr>
          <w:b/>
          <w:u w:val="single"/>
        </w:rPr>
        <w:t xml:space="preserve"> 32</w:t>
      </w:r>
      <w:r w:rsidRPr="00677A87">
        <w:t>:</w:t>
      </w:r>
      <w:r w:rsidRPr="00677A87">
        <w:tab/>
        <w:t xml:space="preserve">Has Gulf made the appropriate test year adjustments to remove fuel revenues and fuel expenses recoverable through the Fuel </w:t>
      </w:r>
      <w:r w:rsidR="00AA2D08" w:rsidRPr="00677A87">
        <w:t>Cost Recovery</w:t>
      </w:r>
      <w:r w:rsidRPr="00677A87">
        <w:t xml:space="preserve"> Clause? </w:t>
      </w:r>
    </w:p>
    <w:p w:rsidR="00B902F1" w:rsidRPr="00677A87" w:rsidRDefault="00B902F1" w:rsidP="00530FB5">
      <w:pPr>
        <w:widowControl/>
        <w:tabs>
          <w:tab w:val="left" w:pos="-1440"/>
        </w:tabs>
        <w:ind w:left="1440" w:hanging="1440"/>
        <w:jc w:val="both"/>
        <w:rPr>
          <w:b/>
          <w:u w:val="single"/>
        </w:rPr>
      </w:pPr>
    </w:p>
    <w:p w:rsidR="00530FB5" w:rsidRPr="00677A87" w:rsidRDefault="00530FB5" w:rsidP="00B768E2">
      <w:pPr>
        <w:tabs>
          <w:tab w:val="left" w:pos="-1440"/>
        </w:tabs>
        <w:ind w:left="1440" w:hanging="1440"/>
        <w:jc w:val="both"/>
      </w:pPr>
      <w:r w:rsidRPr="00677A87">
        <w:rPr>
          <w:b/>
          <w:u w:val="single"/>
        </w:rPr>
        <w:t>GULF:</w:t>
      </w:r>
      <w:r w:rsidRPr="00677A87">
        <w:tab/>
      </w:r>
      <w:r w:rsidR="00B768E2" w:rsidRPr="00677A87">
        <w:t xml:space="preserve">Yes.  Gulf has made the appropriate test year adjustments to remove fuel revenues and fuel expenses recoverable through the Fuel Cost Recovery Clause.  </w:t>
      </w:r>
      <w:r w:rsidR="00446A42">
        <w:t xml:space="preserve">This issue is not contested in testimony and it appears it could be stipulated. </w:t>
      </w:r>
      <w:r w:rsidR="00173D28" w:rsidRPr="00677A87">
        <w:t>(Ritenour)</w:t>
      </w:r>
    </w:p>
    <w:p w:rsidR="00530FB5" w:rsidRPr="00677A87" w:rsidRDefault="00530FB5" w:rsidP="00530FB5">
      <w:pPr>
        <w:widowControl/>
        <w:tabs>
          <w:tab w:val="left" w:pos="-1440"/>
        </w:tabs>
        <w:jc w:val="both"/>
        <w:rPr>
          <w:b/>
          <w:u w:val="single"/>
        </w:rPr>
      </w:pPr>
    </w:p>
    <w:p w:rsidR="00CA2AB6" w:rsidRPr="00677A87" w:rsidRDefault="00CA2AB6" w:rsidP="00530FB5">
      <w:pPr>
        <w:widowControl/>
        <w:tabs>
          <w:tab w:val="left" w:pos="-1440"/>
        </w:tabs>
        <w:jc w:val="both"/>
        <w:rPr>
          <w:b/>
          <w:u w:val="single"/>
        </w:rPr>
      </w:pPr>
    </w:p>
    <w:p w:rsidR="00530FB5" w:rsidRPr="00677A87" w:rsidRDefault="00530FB5" w:rsidP="00530FB5">
      <w:pPr>
        <w:widowControl/>
        <w:tabs>
          <w:tab w:val="left" w:pos="-1440"/>
        </w:tabs>
        <w:ind w:left="1440" w:hanging="1440"/>
        <w:jc w:val="both"/>
      </w:pPr>
      <w:r w:rsidRPr="00677A87">
        <w:rPr>
          <w:b/>
          <w:u w:val="single"/>
        </w:rPr>
        <w:t>Issue</w:t>
      </w:r>
      <w:r w:rsidR="00AA2D08" w:rsidRPr="00677A87">
        <w:rPr>
          <w:b/>
          <w:u w:val="single"/>
        </w:rPr>
        <w:t xml:space="preserve"> 33</w:t>
      </w:r>
      <w:r w:rsidRPr="00677A87">
        <w:t>:</w:t>
      </w:r>
      <w:r w:rsidRPr="00677A87">
        <w:tab/>
        <w:t xml:space="preserve">Has Gulf made the appropriate test year adjustments to remove conservation revenues and conservation expenses recoverable through the </w:t>
      </w:r>
      <w:r w:rsidR="00AA2D08" w:rsidRPr="00677A87">
        <w:t xml:space="preserve">Energy Conservation Cost </w:t>
      </w:r>
      <w:r w:rsidRPr="00677A87">
        <w:t xml:space="preserve">Recovery Clause?  </w:t>
      </w:r>
    </w:p>
    <w:p w:rsidR="00B902F1" w:rsidRPr="00677A87" w:rsidRDefault="00B902F1" w:rsidP="00530FB5">
      <w:pPr>
        <w:widowControl/>
        <w:tabs>
          <w:tab w:val="left" w:pos="-1440"/>
        </w:tabs>
        <w:ind w:left="1440" w:hanging="1440"/>
        <w:jc w:val="both"/>
        <w:rPr>
          <w:b/>
          <w:u w:val="single"/>
        </w:rPr>
      </w:pPr>
    </w:p>
    <w:p w:rsidR="00530FB5" w:rsidRPr="00677A87" w:rsidRDefault="00530FB5" w:rsidP="00B768E2">
      <w:pPr>
        <w:tabs>
          <w:tab w:val="left" w:pos="-1440"/>
        </w:tabs>
        <w:ind w:left="1440" w:hanging="1440"/>
        <w:jc w:val="both"/>
      </w:pPr>
      <w:r w:rsidRPr="00677A87">
        <w:rPr>
          <w:b/>
          <w:u w:val="single"/>
        </w:rPr>
        <w:t>GULF</w:t>
      </w:r>
      <w:r w:rsidRPr="00677A87">
        <w:t>:</w:t>
      </w:r>
      <w:r w:rsidRPr="00677A87">
        <w:tab/>
      </w:r>
      <w:r w:rsidR="00B768E2" w:rsidRPr="00677A87">
        <w:t>Yes.  Gulf has made the appropriate test year adjustments to remove conservation revenues and conservation expenses recoverable through the Energy Conservation Cost Recovery Clause.</w:t>
      </w:r>
      <w:r w:rsidR="00B768E2" w:rsidRPr="00677A87">
        <w:rPr>
          <w:color w:val="0D0D0D"/>
        </w:rPr>
        <w:t xml:space="preserve"> </w:t>
      </w:r>
      <w:r w:rsidR="00B768E2" w:rsidRPr="00677A87">
        <w:t xml:space="preserve"> </w:t>
      </w:r>
      <w:r w:rsidR="00446A42">
        <w:t xml:space="preserve">This issue is not contested in testimony and it appears it could be stipulated. </w:t>
      </w:r>
      <w:r w:rsidR="00173D28" w:rsidRPr="00677A87">
        <w:t>(Ritenour)</w:t>
      </w:r>
    </w:p>
    <w:p w:rsidR="006F4E0C" w:rsidRPr="00677A87" w:rsidRDefault="006F4E0C">
      <w:pPr>
        <w:widowControl/>
      </w:pPr>
    </w:p>
    <w:p w:rsidR="004377F8" w:rsidRPr="00677A87" w:rsidRDefault="004377F8" w:rsidP="00530FB5">
      <w:pPr>
        <w:widowControl/>
        <w:jc w:val="both"/>
      </w:pPr>
    </w:p>
    <w:p w:rsidR="00530FB5" w:rsidRPr="00677A87" w:rsidRDefault="00530FB5" w:rsidP="00530FB5">
      <w:pPr>
        <w:widowControl/>
        <w:tabs>
          <w:tab w:val="left" w:pos="-1440"/>
        </w:tabs>
        <w:ind w:left="1440" w:hanging="1440"/>
        <w:jc w:val="both"/>
      </w:pPr>
      <w:r w:rsidRPr="00677A87">
        <w:rPr>
          <w:b/>
          <w:u w:val="single"/>
        </w:rPr>
        <w:t>Issue</w:t>
      </w:r>
      <w:r w:rsidR="00AA2D08" w:rsidRPr="00677A87">
        <w:rPr>
          <w:b/>
          <w:u w:val="single"/>
        </w:rPr>
        <w:t xml:space="preserve"> 34</w:t>
      </w:r>
      <w:r w:rsidRPr="00677A87">
        <w:t>:</w:t>
      </w:r>
      <w:r w:rsidRPr="00677A87">
        <w:tab/>
        <w:t xml:space="preserve">Has Gulf made the appropriate test year adjustments to remove capacity revenues and capacity expenses recoverable through the Capacity Cost Recovery Clause?  </w:t>
      </w:r>
    </w:p>
    <w:p w:rsidR="00530FB5" w:rsidRPr="00677A87" w:rsidRDefault="00530FB5" w:rsidP="00530FB5">
      <w:pPr>
        <w:widowControl/>
        <w:jc w:val="both"/>
      </w:pPr>
    </w:p>
    <w:p w:rsidR="00530FB5" w:rsidRPr="00677A87" w:rsidRDefault="00530FB5" w:rsidP="00530FB5">
      <w:pPr>
        <w:widowControl/>
        <w:tabs>
          <w:tab w:val="left" w:pos="-1440"/>
        </w:tabs>
        <w:ind w:left="1440" w:hanging="1440"/>
        <w:jc w:val="both"/>
      </w:pPr>
      <w:r w:rsidRPr="00677A87">
        <w:rPr>
          <w:b/>
          <w:u w:val="single"/>
        </w:rPr>
        <w:t>GULF:</w:t>
      </w:r>
      <w:r w:rsidRPr="00677A87">
        <w:tab/>
      </w:r>
      <w:r w:rsidR="00B768E2" w:rsidRPr="00677A87">
        <w:t xml:space="preserve">Yes.  Gulf has made the appropriate test year adjustments to remove capacity revenues and capacity expenses recoverable through the Capacity Cost Recovery Clause. </w:t>
      </w:r>
      <w:r w:rsidR="00446A42">
        <w:t xml:space="preserve">This issue is not contested in testimony and it appears it could be stipulated. </w:t>
      </w:r>
      <w:r w:rsidR="00173D28" w:rsidRPr="00677A87">
        <w:t>(Ritenour)</w:t>
      </w:r>
    </w:p>
    <w:p w:rsidR="00530FB5" w:rsidRPr="00677A87" w:rsidRDefault="00530FB5" w:rsidP="00530FB5">
      <w:pPr>
        <w:widowControl/>
        <w:tabs>
          <w:tab w:val="left" w:pos="-1440"/>
        </w:tabs>
        <w:jc w:val="both"/>
        <w:rPr>
          <w:b/>
          <w:u w:val="single"/>
        </w:rPr>
      </w:pPr>
    </w:p>
    <w:p w:rsidR="00530FB5" w:rsidRPr="00677A87" w:rsidRDefault="00530FB5" w:rsidP="00530FB5">
      <w:pPr>
        <w:widowControl/>
        <w:tabs>
          <w:tab w:val="left" w:pos="-1440"/>
        </w:tabs>
        <w:jc w:val="both"/>
        <w:rPr>
          <w:b/>
          <w:u w:val="single"/>
        </w:rPr>
      </w:pPr>
    </w:p>
    <w:p w:rsidR="00530FB5" w:rsidRPr="00677A87" w:rsidRDefault="00530FB5" w:rsidP="00530FB5">
      <w:pPr>
        <w:widowControl/>
        <w:tabs>
          <w:tab w:val="left" w:pos="-1440"/>
        </w:tabs>
        <w:ind w:left="1440" w:hanging="1440"/>
        <w:jc w:val="both"/>
      </w:pPr>
      <w:r w:rsidRPr="00677A87">
        <w:rPr>
          <w:b/>
          <w:u w:val="single"/>
        </w:rPr>
        <w:t>Issue</w:t>
      </w:r>
      <w:r w:rsidR="00AA2D08" w:rsidRPr="00677A87">
        <w:rPr>
          <w:b/>
          <w:u w:val="single"/>
        </w:rPr>
        <w:t xml:space="preserve"> 35</w:t>
      </w:r>
      <w:r w:rsidRPr="00677A87">
        <w:t>:</w:t>
      </w:r>
      <w:r w:rsidRPr="00677A87">
        <w:tab/>
        <w:t xml:space="preserve">Has Gulf made the appropriate test year adjustments to remove environmental revenues and environmental expenses recoverable through the Environmental Cost Recovery Clause?  </w:t>
      </w:r>
    </w:p>
    <w:p w:rsidR="00530FB5" w:rsidRPr="00677A87" w:rsidRDefault="00530FB5" w:rsidP="00530FB5">
      <w:pPr>
        <w:widowControl/>
        <w:jc w:val="both"/>
      </w:pPr>
    </w:p>
    <w:p w:rsidR="00530FB5" w:rsidRPr="00677A87" w:rsidRDefault="00530FB5" w:rsidP="00B768E2">
      <w:pPr>
        <w:tabs>
          <w:tab w:val="left" w:pos="-1440"/>
        </w:tabs>
        <w:ind w:left="1440" w:hanging="1440"/>
        <w:jc w:val="both"/>
      </w:pPr>
      <w:r w:rsidRPr="00677A87">
        <w:rPr>
          <w:b/>
          <w:u w:val="single"/>
        </w:rPr>
        <w:t>GULF</w:t>
      </w:r>
      <w:r w:rsidRPr="00677A87">
        <w:t>:</w:t>
      </w:r>
      <w:r w:rsidRPr="00677A87">
        <w:tab/>
      </w:r>
      <w:r w:rsidR="00B768E2" w:rsidRPr="00677A87">
        <w:t xml:space="preserve">Yes. Gulf has made the appropriate test year adjustments to remove environmental revenues and environmental expenses recoverable through the Environmental Cost Recovery Clause.  </w:t>
      </w:r>
      <w:r w:rsidR="00173D28" w:rsidRPr="00677A87">
        <w:t>(Ritenour)</w:t>
      </w:r>
    </w:p>
    <w:p w:rsidR="00AA2D08" w:rsidRPr="00677A87" w:rsidRDefault="00530FB5" w:rsidP="00AA2D08">
      <w:pPr>
        <w:widowControl/>
        <w:ind w:left="1440" w:hanging="1440"/>
        <w:jc w:val="both"/>
      </w:pPr>
      <w:r w:rsidRPr="00677A87">
        <w:rPr>
          <w:b/>
          <w:u w:val="single"/>
        </w:rPr>
        <w:lastRenderedPageBreak/>
        <w:t>Issue</w:t>
      </w:r>
      <w:r w:rsidR="00AA2D08" w:rsidRPr="00677A87">
        <w:rPr>
          <w:b/>
          <w:u w:val="single"/>
        </w:rPr>
        <w:t xml:space="preserve"> 36</w:t>
      </w:r>
      <w:r w:rsidRPr="00677A87">
        <w:t>:</w:t>
      </w:r>
      <w:r w:rsidRPr="00677A87">
        <w:tab/>
      </w:r>
      <w:r w:rsidR="00AA2D08" w:rsidRPr="00677A87">
        <w:t xml:space="preserve">Is Gulf’s proposed advertising expense for the 2014 projected test year appropriate?  If not, what adjustment should be made?  </w:t>
      </w:r>
    </w:p>
    <w:p w:rsidR="00530FB5" w:rsidRPr="00677A87" w:rsidRDefault="00530FB5" w:rsidP="00530FB5">
      <w:pPr>
        <w:widowControl/>
        <w:tabs>
          <w:tab w:val="left" w:pos="-1440"/>
        </w:tabs>
        <w:jc w:val="both"/>
      </w:pPr>
    </w:p>
    <w:p w:rsidR="00530FB5" w:rsidRPr="00677A87" w:rsidRDefault="00530FB5" w:rsidP="00530FB5">
      <w:pPr>
        <w:widowControl/>
        <w:tabs>
          <w:tab w:val="left" w:pos="-1440"/>
        </w:tabs>
        <w:ind w:left="1440" w:hanging="1440"/>
        <w:jc w:val="both"/>
      </w:pPr>
      <w:r w:rsidRPr="00677A87">
        <w:rPr>
          <w:b/>
          <w:u w:val="single"/>
        </w:rPr>
        <w:t>GULF:</w:t>
      </w:r>
      <w:r w:rsidRPr="00677A87">
        <w:tab/>
      </w:r>
      <w:r w:rsidR="0001606D" w:rsidRPr="00677A87">
        <w:t xml:space="preserve">Yes.  Gulf’s </w:t>
      </w:r>
      <w:r w:rsidR="006B2C2B">
        <w:t>projected</w:t>
      </w:r>
      <w:r w:rsidR="0001606D" w:rsidRPr="00677A87">
        <w:t xml:space="preserve"> advertising expense for the 2014 test year of $1,23</w:t>
      </w:r>
      <w:r w:rsidR="00805994">
        <w:t>2</w:t>
      </w:r>
      <w:r w:rsidR="0001606D" w:rsidRPr="00677A87">
        <w:t>,000</w:t>
      </w:r>
      <w:r w:rsidR="00351F7D">
        <w:t xml:space="preserve"> ($</w:t>
      </w:r>
      <w:r w:rsidR="00351F7D" w:rsidRPr="00677A87">
        <w:t>1,23</w:t>
      </w:r>
      <w:r w:rsidR="00351F7D">
        <w:t>2</w:t>
      </w:r>
      <w:r w:rsidR="00351F7D" w:rsidRPr="00677A87">
        <w:t>,000</w:t>
      </w:r>
      <w:r w:rsidR="00351F7D">
        <w:t xml:space="preserve"> system)</w:t>
      </w:r>
      <w:r w:rsidR="0001606D" w:rsidRPr="00677A87">
        <w:t xml:space="preserve"> </w:t>
      </w:r>
      <w:r w:rsidR="006B2C2B">
        <w:t>is</w:t>
      </w:r>
      <w:r w:rsidR="006B2C2B" w:rsidRPr="00677A87">
        <w:t xml:space="preserve"> </w:t>
      </w:r>
      <w:r w:rsidR="0001606D" w:rsidRPr="00677A87">
        <w:t>reasonable and appropriate for inclusion in base rates.  This amount is consistent with the advertising expense of $1,132,000 which was approved by the Commission for inclusion in base rates during Gulf’s previous base rate proceeding.  Gulf Power depends on advertising as one of the primary methods of communicating with our customers.  This communication</w:t>
      </w:r>
      <w:r w:rsidR="00805994">
        <w:t xml:space="preserve"> </w:t>
      </w:r>
      <w:r w:rsidR="0001606D" w:rsidRPr="00677A87">
        <w:t>results in educating customers about the safe and efficient use of electricity and provides them with a greater awareness of the various products and services that are available and from which they can derive benefits.</w:t>
      </w:r>
      <w:r w:rsidR="009669B0">
        <w:t xml:space="preserve">  </w:t>
      </w:r>
      <w:r w:rsidR="0001606D" w:rsidRPr="00677A87">
        <w:t xml:space="preserve">Gulf Power advertises programs like the </w:t>
      </w:r>
      <w:proofErr w:type="spellStart"/>
      <w:r w:rsidR="0001606D" w:rsidRPr="00677A87">
        <w:t>EarthCents</w:t>
      </w:r>
      <w:proofErr w:type="spellEnd"/>
      <w:r w:rsidR="0001606D" w:rsidRPr="00677A87">
        <w:t xml:space="preserve"> Home Program for new and existing homes.  This advertising includes tips on energy efficient end-use technologies and provides actions that customers can take to save money and be more comfortable in their homes.  </w:t>
      </w:r>
      <w:r w:rsidR="00C41E9D">
        <w:t xml:space="preserve">This issue is not contested in testimony and it appears it could be stipulated. </w:t>
      </w:r>
      <w:r w:rsidR="00C41E9D" w:rsidRPr="00677A87">
        <w:t xml:space="preserve"> </w:t>
      </w:r>
      <w:r w:rsidR="0001606D" w:rsidRPr="00677A87">
        <w:t xml:space="preserve"> (Strickland)</w:t>
      </w:r>
    </w:p>
    <w:p w:rsidR="00530FB5" w:rsidRPr="00677A87" w:rsidRDefault="00530FB5" w:rsidP="00530FB5">
      <w:pPr>
        <w:pStyle w:val="ColorfulList-Accent11"/>
        <w:ind w:left="0"/>
        <w:jc w:val="both"/>
        <w:rPr>
          <w:b/>
          <w:u w:val="single"/>
        </w:rPr>
      </w:pPr>
    </w:p>
    <w:p w:rsidR="00530FB5" w:rsidRPr="00677A87" w:rsidRDefault="00530FB5" w:rsidP="00530FB5">
      <w:pPr>
        <w:pStyle w:val="ColorfulList-Accent11"/>
        <w:ind w:left="0"/>
        <w:jc w:val="both"/>
        <w:rPr>
          <w:b/>
          <w:u w:val="single"/>
        </w:rPr>
      </w:pPr>
    </w:p>
    <w:p w:rsidR="00AA2D08" w:rsidRPr="00677A87" w:rsidRDefault="00530FB5" w:rsidP="00AA2D08">
      <w:pPr>
        <w:pStyle w:val="ColorfulList-Accent11"/>
        <w:ind w:left="1440" w:hanging="1440"/>
        <w:jc w:val="both"/>
      </w:pPr>
      <w:r w:rsidRPr="00677A87">
        <w:rPr>
          <w:b/>
          <w:u w:val="single"/>
        </w:rPr>
        <w:t>Issue</w:t>
      </w:r>
      <w:r w:rsidR="00AA2D08" w:rsidRPr="00677A87">
        <w:rPr>
          <w:b/>
          <w:u w:val="single"/>
        </w:rPr>
        <w:t xml:space="preserve"> 37</w:t>
      </w:r>
      <w:r w:rsidRPr="00677A87">
        <w:t>:</w:t>
      </w:r>
      <w:r w:rsidRPr="00677A87">
        <w:tab/>
      </w:r>
      <w:r w:rsidR="00AA2D08" w:rsidRPr="00677A87">
        <w:t>Is Gulf’s proposed tree trimming expense for the 2014 projected test year appropriate?   If not, what adjustment should be made?</w:t>
      </w:r>
    </w:p>
    <w:p w:rsidR="00530FB5" w:rsidRPr="00677A87" w:rsidRDefault="00530FB5" w:rsidP="00530FB5">
      <w:pPr>
        <w:pStyle w:val="ColorfulList-Accent11"/>
        <w:ind w:left="0"/>
        <w:jc w:val="both"/>
      </w:pPr>
    </w:p>
    <w:p w:rsidR="00530FB5" w:rsidRPr="00677A87" w:rsidRDefault="00530FB5" w:rsidP="00530FB5">
      <w:pPr>
        <w:widowControl/>
        <w:tabs>
          <w:tab w:val="left" w:pos="-1440"/>
        </w:tabs>
        <w:ind w:left="1440" w:hanging="1440"/>
        <w:jc w:val="both"/>
      </w:pPr>
      <w:r w:rsidRPr="00677A87">
        <w:rPr>
          <w:b/>
          <w:u w:val="single"/>
        </w:rPr>
        <w:t>GULF:</w:t>
      </w:r>
      <w:r w:rsidRPr="00677A87">
        <w:tab/>
      </w:r>
      <w:r w:rsidR="0040576D" w:rsidRPr="00677A87">
        <w:t>Yes</w:t>
      </w:r>
      <w:r w:rsidR="006B2C2B">
        <w:t>.</w:t>
      </w:r>
      <w:r w:rsidR="0040576D" w:rsidRPr="00677A87">
        <w:t xml:space="preserve"> </w:t>
      </w:r>
      <w:r w:rsidR="006B2C2B">
        <w:t xml:space="preserve">Gulf’s proposed </w:t>
      </w:r>
      <w:r w:rsidR="0040576D" w:rsidRPr="00677A87">
        <w:t>$5,94</w:t>
      </w:r>
      <w:r w:rsidR="00993DA3">
        <w:t>8</w:t>
      </w:r>
      <w:r w:rsidR="0040576D" w:rsidRPr="00677A87">
        <w:t>,</w:t>
      </w:r>
      <w:r w:rsidR="00993DA3">
        <w:t>0</w:t>
      </w:r>
      <w:r w:rsidR="0040576D" w:rsidRPr="00677A87">
        <w:t xml:space="preserve">00 </w:t>
      </w:r>
      <w:r w:rsidR="007537C2">
        <w:t xml:space="preserve">($5,948,000 system) </w:t>
      </w:r>
      <w:r w:rsidR="006B2C2B">
        <w:t>tree trimming expense</w:t>
      </w:r>
      <w:r w:rsidR="00C62426">
        <w:t xml:space="preserve"> for the 2014 projected test year</w:t>
      </w:r>
      <w:r w:rsidR="006B2C2B">
        <w:t xml:space="preserve"> </w:t>
      </w:r>
      <w:r w:rsidR="0040576D" w:rsidRPr="00677A87">
        <w:t>is necessary to allow Gulf Power to meet its three-year main line and four-year lateral maintenance trim cycles as filed in its Commission-approved storm hardening plan.</w:t>
      </w:r>
      <w:r w:rsidR="00216DB1" w:rsidRPr="00677A87">
        <w:t xml:space="preserve"> </w:t>
      </w:r>
      <w:r w:rsidR="00C41E9D">
        <w:t xml:space="preserve">This issue is not contested in testimony and it appears it could be stipulated. </w:t>
      </w:r>
      <w:r w:rsidR="00C41E9D" w:rsidRPr="00677A87">
        <w:t xml:space="preserve"> </w:t>
      </w:r>
      <w:r w:rsidR="00216DB1" w:rsidRPr="00677A87">
        <w:t>(McQuagge)</w:t>
      </w:r>
    </w:p>
    <w:p w:rsidR="00530FB5" w:rsidRPr="00677A87" w:rsidRDefault="00530FB5" w:rsidP="00530FB5">
      <w:pPr>
        <w:widowControl/>
        <w:tabs>
          <w:tab w:val="left" w:pos="-1440"/>
        </w:tabs>
        <w:jc w:val="both"/>
      </w:pPr>
    </w:p>
    <w:p w:rsidR="00530FB5" w:rsidRPr="00677A87" w:rsidRDefault="00530FB5" w:rsidP="00530FB5">
      <w:pPr>
        <w:widowControl/>
        <w:tabs>
          <w:tab w:val="left" w:pos="-1440"/>
        </w:tabs>
        <w:jc w:val="both"/>
      </w:pPr>
    </w:p>
    <w:p w:rsidR="00530FB5" w:rsidRPr="00677A87" w:rsidRDefault="00530FB5" w:rsidP="00530FB5">
      <w:pPr>
        <w:pStyle w:val="ColorfulList-Accent11"/>
        <w:ind w:left="1440" w:hanging="1440"/>
        <w:jc w:val="both"/>
      </w:pPr>
      <w:r w:rsidRPr="00677A87">
        <w:rPr>
          <w:b/>
          <w:u w:val="single"/>
        </w:rPr>
        <w:t>Issue</w:t>
      </w:r>
      <w:r w:rsidR="00AA2D08" w:rsidRPr="00677A87">
        <w:rPr>
          <w:b/>
          <w:u w:val="single"/>
        </w:rPr>
        <w:t xml:space="preserve"> 38</w:t>
      </w:r>
      <w:r w:rsidRPr="00677A87">
        <w:t>:</w:t>
      </w:r>
      <w:r w:rsidRPr="00677A87">
        <w:tab/>
      </w:r>
      <w:r w:rsidR="00AA2D08" w:rsidRPr="00677A87">
        <w:t xml:space="preserve">Is Gulf’s proposed pole inspection expense for the 2014 projected test year appropriate?  If not, what adjustment should be made?  </w:t>
      </w:r>
      <w:r w:rsidRPr="00677A87">
        <w:t xml:space="preserve"> </w:t>
      </w:r>
    </w:p>
    <w:p w:rsidR="00530FB5" w:rsidRPr="00677A87" w:rsidRDefault="00530FB5" w:rsidP="00530FB5">
      <w:pPr>
        <w:pStyle w:val="ColorfulList-Accent11"/>
        <w:ind w:left="1080"/>
        <w:jc w:val="both"/>
      </w:pPr>
    </w:p>
    <w:p w:rsidR="00530FB5" w:rsidRPr="00677A87" w:rsidRDefault="00530FB5" w:rsidP="0040576D">
      <w:pPr>
        <w:widowControl/>
        <w:tabs>
          <w:tab w:val="left" w:pos="-1440"/>
        </w:tabs>
        <w:ind w:left="1440" w:hanging="1440"/>
        <w:jc w:val="both"/>
      </w:pPr>
      <w:r w:rsidRPr="00677A87">
        <w:rPr>
          <w:b/>
          <w:u w:val="single"/>
        </w:rPr>
        <w:t>GULF:</w:t>
      </w:r>
      <w:r w:rsidRPr="00677A87">
        <w:tab/>
      </w:r>
      <w:r w:rsidR="0040576D" w:rsidRPr="00677A87">
        <w:t>Yes</w:t>
      </w:r>
      <w:r w:rsidR="006B2C2B">
        <w:t xml:space="preserve">.  Gulf’s proposed </w:t>
      </w:r>
      <w:r w:rsidR="0040576D" w:rsidRPr="00677A87">
        <w:t xml:space="preserve">$478,000 </w:t>
      </w:r>
      <w:r w:rsidR="007537C2">
        <w:t xml:space="preserve">($478,000 system) </w:t>
      </w:r>
      <w:r w:rsidR="0040576D" w:rsidRPr="00677A87">
        <w:t xml:space="preserve">pole inspection expense </w:t>
      </w:r>
      <w:r w:rsidR="00C62426">
        <w:t xml:space="preserve">for the 2014 projected test year </w:t>
      </w:r>
      <w:r w:rsidR="0040576D" w:rsidRPr="00677A87">
        <w:t>is necessary for Gulf to meet the requirements of an eight-year inspection program as filed in its Commission-approved storm hardening plan.</w:t>
      </w:r>
      <w:r w:rsidR="00C41E9D">
        <w:t xml:space="preserve"> </w:t>
      </w:r>
      <w:r w:rsidR="00C41E9D" w:rsidRPr="00C41E9D">
        <w:t xml:space="preserve"> </w:t>
      </w:r>
      <w:r w:rsidR="00C41E9D">
        <w:t xml:space="preserve">This issue is not contested in testimony and it appears it could be stipulated. </w:t>
      </w:r>
      <w:r w:rsidR="00C41E9D" w:rsidRPr="00677A87">
        <w:t xml:space="preserve"> </w:t>
      </w:r>
      <w:r w:rsidR="00216DB1" w:rsidRPr="00677A87">
        <w:t xml:space="preserve"> (McQuagge)</w:t>
      </w:r>
    </w:p>
    <w:p w:rsidR="00530FB5" w:rsidRPr="00677A87" w:rsidRDefault="00530FB5" w:rsidP="00530FB5">
      <w:pPr>
        <w:widowControl/>
        <w:tabs>
          <w:tab w:val="left" w:pos="-1440"/>
        </w:tabs>
        <w:jc w:val="both"/>
      </w:pPr>
    </w:p>
    <w:p w:rsidR="00ED1FE0" w:rsidRPr="00677A87" w:rsidRDefault="00ED1FE0" w:rsidP="008D116C">
      <w:pPr>
        <w:widowControl/>
        <w:rPr>
          <w:b/>
          <w:u w:val="single"/>
        </w:rPr>
      </w:pPr>
    </w:p>
    <w:p w:rsidR="00530FB5" w:rsidRPr="00677A87" w:rsidRDefault="00530FB5" w:rsidP="002B6D10">
      <w:pPr>
        <w:pStyle w:val="BodyText"/>
        <w:spacing w:after="0"/>
        <w:ind w:left="1440" w:hanging="1440"/>
      </w:pPr>
      <w:r w:rsidRPr="00677A87">
        <w:rPr>
          <w:b/>
          <w:u w:val="single"/>
        </w:rPr>
        <w:t xml:space="preserve">Issue </w:t>
      </w:r>
      <w:r w:rsidR="002B6D10" w:rsidRPr="00677A87">
        <w:rPr>
          <w:b/>
          <w:u w:val="single"/>
        </w:rPr>
        <w:t>39</w:t>
      </w:r>
      <w:r w:rsidRPr="00677A87">
        <w:tab/>
      </w:r>
      <w:r w:rsidR="002B6D10" w:rsidRPr="00677A87">
        <w:t xml:space="preserve">Is Gulf’s proposed production plant O&amp;M expense for the 2014 projected test year appropriate?  If not, what adjustment should be made?  </w:t>
      </w:r>
    </w:p>
    <w:p w:rsidR="00530FB5" w:rsidRPr="00677A87" w:rsidRDefault="00530FB5" w:rsidP="00530FB5">
      <w:pPr>
        <w:pStyle w:val="BodyText"/>
        <w:spacing w:after="0"/>
        <w:ind w:firstLine="0"/>
        <w:rPr>
          <w:b/>
          <w:u w:val="single"/>
        </w:rPr>
      </w:pPr>
    </w:p>
    <w:p w:rsidR="009A4B7B" w:rsidRDefault="00530FB5" w:rsidP="009A4B7B">
      <w:pPr>
        <w:tabs>
          <w:tab w:val="left" w:pos="-1440"/>
        </w:tabs>
        <w:ind w:left="1440" w:hanging="1440"/>
        <w:jc w:val="both"/>
        <w:rPr>
          <w:snapToGrid/>
          <w:szCs w:val="24"/>
        </w:rPr>
      </w:pPr>
      <w:r w:rsidRPr="00677A87">
        <w:rPr>
          <w:b/>
          <w:u w:val="single"/>
        </w:rPr>
        <w:t>GULF:</w:t>
      </w:r>
      <w:r w:rsidRPr="00677A87">
        <w:rPr>
          <w:b/>
        </w:rPr>
        <w:tab/>
      </w:r>
      <w:r w:rsidR="009A4B7B" w:rsidRPr="00677A87">
        <w:rPr>
          <w:snapToGrid/>
          <w:szCs w:val="24"/>
        </w:rPr>
        <w:t xml:space="preserve">Yes.  Gulf’s </w:t>
      </w:r>
      <w:r w:rsidR="001C6E35">
        <w:rPr>
          <w:snapToGrid/>
          <w:szCs w:val="24"/>
        </w:rPr>
        <w:t>$103,580,000 (</w:t>
      </w:r>
      <w:r w:rsidR="001C6E35" w:rsidRPr="00476790">
        <w:rPr>
          <w:snapToGrid/>
          <w:szCs w:val="24"/>
        </w:rPr>
        <w:t>$106,736,000</w:t>
      </w:r>
      <w:r w:rsidR="001C6E35">
        <w:rPr>
          <w:snapToGrid/>
          <w:szCs w:val="24"/>
        </w:rPr>
        <w:t xml:space="preserve"> system)</w:t>
      </w:r>
      <w:r w:rsidR="001C6E35" w:rsidRPr="00476790">
        <w:rPr>
          <w:snapToGrid/>
          <w:szCs w:val="24"/>
        </w:rPr>
        <w:t xml:space="preserve"> </w:t>
      </w:r>
      <w:r w:rsidR="009A4B7B" w:rsidRPr="00677A87">
        <w:rPr>
          <w:snapToGrid/>
          <w:szCs w:val="24"/>
        </w:rPr>
        <w:t xml:space="preserve">O&amp;M production </w:t>
      </w:r>
      <w:r w:rsidR="00347FF2">
        <w:rPr>
          <w:snapToGrid/>
          <w:szCs w:val="24"/>
        </w:rPr>
        <w:t>expense for the 2014 projected test year</w:t>
      </w:r>
      <w:r w:rsidR="00347FF2" w:rsidRPr="00677A87">
        <w:rPr>
          <w:snapToGrid/>
          <w:szCs w:val="24"/>
        </w:rPr>
        <w:t xml:space="preserve"> </w:t>
      </w:r>
      <w:r w:rsidR="009A4B7B" w:rsidRPr="00677A87">
        <w:rPr>
          <w:snapToGrid/>
          <w:szCs w:val="24"/>
        </w:rPr>
        <w:t xml:space="preserve">was developed by knowledgeable professionals in a rigorous budget process.  The only adjustment proposed </w:t>
      </w:r>
      <w:r w:rsidR="00953CC8">
        <w:rPr>
          <w:snapToGrid/>
          <w:szCs w:val="24"/>
        </w:rPr>
        <w:t>by intervenors</w:t>
      </w:r>
      <w:r w:rsidR="009A4B7B" w:rsidRPr="00677A87">
        <w:rPr>
          <w:snapToGrid/>
          <w:szCs w:val="24"/>
        </w:rPr>
        <w:t xml:space="preserve"> is analytically infirm, is unrepresentative of future conditions and would not provide </w:t>
      </w:r>
      <w:r w:rsidR="009A4B7B" w:rsidRPr="00677A87">
        <w:rPr>
          <w:snapToGrid/>
          <w:szCs w:val="24"/>
        </w:rPr>
        <w:lastRenderedPageBreak/>
        <w:t>sufficient funds for Gulf to operate its power plants as it should to serve its customers.  (Grove)</w:t>
      </w:r>
    </w:p>
    <w:p w:rsidR="00ED343D" w:rsidRDefault="00ED343D" w:rsidP="009A4B7B">
      <w:pPr>
        <w:tabs>
          <w:tab w:val="left" w:pos="-1440"/>
        </w:tabs>
        <w:ind w:left="1440" w:hanging="1440"/>
        <w:jc w:val="both"/>
        <w:rPr>
          <w:snapToGrid/>
          <w:szCs w:val="24"/>
        </w:rPr>
      </w:pPr>
    </w:p>
    <w:p w:rsidR="00ED343D" w:rsidRPr="00677A87" w:rsidRDefault="00ED343D" w:rsidP="009A4B7B">
      <w:pPr>
        <w:tabs>
          <w:tab w:val="left" w:pos="-1440"/>
        </w:tabs>
        <w:ind w:left="1440" w:hanging="1440"/>
        <w:jc w:val="both"/>
        <w:rPr>
          <w:snapToGrid/>
          <w:szCs w:val="24"/>
        </w:rPr>
      </w:pPr>
    </w:p>
    <w:p w:rsidR="00530FB5" w:rsidRPr="00677A87" w:rsidRDefault="00530FB5" w:rsidP="002B6D10">
      <w:pPr>
        <w:pStyle w:val="BodyText"/>
        <w:spacing w:after="0"/>
        <w:ind w:left="1440" w:hanging="1440"/>
      </w:pPr>
      <w:r w:rsidRPr="00677A87">
        <w:rPr>
          <w:b/>
          <w:u w:val="single"/>
        </w:rPr>
        <w:t>Issue</w:t>
      </w:r>
      <w:r w:rsidR="002B6D10" w:rsidRPr="00677A87">
        <w:rPr>
          <w:b/>
          <w:u w:val="single"/>
        </w:rPr>
        <w:t xml:space="preserve"> 40</w:t>
      </w:r>
      <w:r w:rsidRPr="00677A87">
        <w:t>:</w:t>
      </w:r>
      <w:r w:rsidRPr="00677A87">
        <w:tab/>
      </w:r>
      <w:r w:rsidR="002B6D10" w:rsidRPr="00677A87">
        <w:t>Is Gulf’s proposed transmission O&amp;M expense for the 2014 projected test year appropriate?  If not, what adjustment should be made?</w:t>
      </w:r>
    </w:p>
    <w:p w:rsidR="00530FB5" w:rsidRPr="00677A87" w:rsidRDefault="00530FB5" w:rsidP="00530FB5">
      <w:pPr>
        <w:pStyle w:val="BodyText"/>
        <w:spacing w:after="0"/>
        <w:ind w:firstLine="0"/>
        <w:rPr>
          <w:b/>
          <w:u w:val="single"/>
        </w:rPr>
      </w:pPr>
    </w:p>
    <w:p w:rsidR="00530FB5" w:rsidRPr="00677A87" w:rsidRDefault="00530FB5" w:rsidP="00530FB5">
      <w:pPr>
        <w:widowControl/>
        <w:tabs>
          <w:tab w:val="left" w:pos="-1440"/>
        </w:tabs>
        <w:ind w:left="1440" w:hanging="1440"/>
        <w:jc w:val="both"/>
      </w:pPr>
      <w:r w:rsidRPr="00677A87">
        <w:rPr>
          <w:b/>
          <w:u w:val="single"/>
        </w:rPr>
        <w:t>GULF:</w:t>
      </w:r>
      <w:r w:rsidRPr="00677A87">
        <w:tab/>
      </w:r>
      <w:r w:rsidR="00173D28" w:rsidRPr="00677A87">
        <w:t>Yes</w:t>
      </w:r>
      <w:r w:rsidR="00A81C61">
        <w:t>.  Gulf’s proposed</w:t>
      </w:r>
      <w:r w:rsidR="00173D28" w:rsidRPr="00677A87">
        <w:t xml:space="preserve"> transmission O&amp;M expense for the 2014 projected test year of </w:t>
      </w:r>
      <w:r w:rsidR="001C6E35">
        <w:t>$13,329,000 (</w:t>
      </w:r>
      <w:r w:rsidR="001C6E35" w:rsidRPr="00476790">
        <w:t>$13,733,000</w:t>
      </w:r>
      <w:r w:rsidR="001C6E35">
        <w:t xml:space="preserve"> system)</w:t>
      </w:r>
      <w:r w:rsidR="001C6E35" w:rsidRPr="00476790">
        <w:t xml:space="preserve"> </w:t>
      </w:r>
      <w:r w:rsidR="00173D28" w:rsidRPr="00677A87">
        <w:t>is reasonable and necessary to continue to provide reliable electric service to Gulf’s customers</w:t>
      </w:r>
      <w:r w:rsidR="005608DF" w:rsidRPr="00677A87">
        <w:t xml:space="preserve">.  </w:t>
      </w:r>
      <w:r w:rsidR="0048007A">
        <w:t xml:space="preserve">This issue is not contested in testimony and it appears it could be stipulated. </w:t>
      </w:r>
      <w:r w:rsidR="0048007A" w:rsidRPr="00677A87">
        <w:t xml:space="preserve"> </w:t>
      </w:r>
      <w:r w:rsidR="005608DF" w:rsidRPr="00677A87">
        <w:t>(Caldwell</w:t>
      </w:r>
      <w:r w:rsidR="00641BC1">
        <w:t>, Ritenour</w:t>
      </w:r>
      <w:r w:rsidR="005608DF" w:rsidRPr="00677A87">
        <w:t>)</w:t>
      </w:r>
    </w:p>
    <w:p w:rsidR="00530FB5" w:rsidRPr="00677A87" w:rsidRDefault="00530FB5" w:rsidP="00530FB5">
      <w:pPr>
        <w:widowControl/>
        <w:tabs>
          <w:tab w:val="left" w:pos="-1440"/>
        </w:tabs>
        <w:jc w:val="both"/>
      </w:pPr>
    </w:p>
    <w:p w:rsidR="00530FB5" w:rsidRPr="00677A87" w:rsidRDefault="00530FB5" w:rsidP="00530FB5">
      <w:pPr>
        <w:pStyle w:val="BodyText"/>
        <w:spacing w:after="0"/>
        <w:ind w:firstLine="0"/>
        <w:rPr>
          <w:b/>
          <w:u w:val="single"/>
        </w:rPr>
      </w:pPr>
    </w:p>
    <w:p w:rsidR="00530FB5" w:rsidRPr="00677A87" w:rsidRDefault="00530FB5" w:rsidP="002B6D10">
      <w:pPr>
        <w:pStyle w:val="BodyText"/>
        <w:spacing w:after="0"/>
        <w:ind w:left="1440" w:hanging="1440"/>
      </w:pPr>
      <w:r w:rsidRPr="00677A87">
        <w:rPr>
          <w:b/>
          <w:u w:val="single"/>
        </w:rPr>
        <w:t>Issue</w:t>
      </w:r>
      <w:r w:rsidR="002B6D10" w:rsidRPr="00677A87">
        <w:rPr>
          <w:b/>
          <w:u w:val="single"/>
        </w:rPr>
        <w:t xml:space="preserve"> 41</w:t>
      </w:r>
      <w:r w:rsidRPr="00677A87">
        <w:t>:</w:t>
      </w:r>
      <w:r w:rsidRPr="00677A87">
        <w:tab/>
      </w:r>
      <w:r w:rsidR="002B6D10" w:rsidRPr="00677A87">
        <w:rPr>
          <w:color w:val="0D0D0D"/>
        </w:rPr>
        <w:t>Is Gulf’s proposed a</w:t>
      </w:r>
      <w:r w:rsidR="002B6D10" w:rsidRPr="00677A87">
        <w:t xml:space="preserve">mount of distribution O&amp;M expense for the 2014 projected test year </w:t>
      </w:r>
      <w:r w:rsidR="002B6D10" w:rsidRPr="00677A87">
        <w:rPr>
          <w:color w:val="0D0D0D"/>
        </w:rPr>
        <w:t>appropriate?  If not, what adjustment should be made?</w:t>
      </w:r>
    </w:p>
    <w:p w:rsidR="00530FB5" w:rsidRPr="00677A87" w:rsidRDefault="00530FB5" w:rsidP="00530FB5">
      <w:pPr>
        <w:pStyle w:val="BodyText"/>
        <w:spacing w:after="0"/>
        <w:ind w:firstLine="0"/>
        <w:rPr>
          <w:b/>
          <w:u w:val="single"/>
        </w:rPr>
      </w:pPr>
    </w:p>
    <w:p w:rsidR="0040576D" w:rsidRPr="00677A87" w:rsidRDefault="00530FB5" w:rsidP="0040576D">
      <w:pPr>
        <w:tabs>
          <w:tab w:val="left" w:pos="-1440"/>
        </w:tabs>
        <w:ind w:left="1440" w:hanging="1440"/>
        <w:jc w:val="both"/>
      </w:pPr>
      <w:r w:rsidRPr="00677A87">
        <w:rPr>
          <w:b/>
          <w:u w:val="single"/>
        </w:rPr>
        <w:t>GULF:</w:t>
      </w:r>
      <w:r w:rsidRPr="00677A87">
        <w:tab/>
      </w:r>
      <w:r w:rsidR="0040576D" w:rsidRPr="00677A87">
        <w:t>Yes</w:t>
      </w:r>
      <w:r w:rsidR="00AC45D2">
        <w:t>.  Gulf’s proposed</w:t>
      </w:r>
      <w:r w:rsidR="0040576D" w:rsidRPr="00677A87">
        <w:t xml:space="preserve"> distribution O&amp;M expense for the 2014 projected test year of </w:t>
      </w:r>
      <w:r w:rsidR="004E45ED">
        <w:t>$42,032,000 (</w:t>
      </w:r>
      <w:r w:rsidR="004E45ED" w:rsidRPr="00476790">
        <w:t>$42,</w:t>
      </w:r>
      <w:r w:rsidR="004E45ED">
        <w:t>070,000 system)</w:t>
      </w:r>
      <w:r w:rsidR="004E45ED" w:rsidRPr="00476790">
        <w:t xml:space="preserve"> </w:t>
      </w:r>
      <w:r w:rsidR="00552B3B">
        <w:t>is</w:t>
      </w:r>
      <w:r w:rsidR="0040576D" w:rsidRPr="00677A87">
        <w:t xml:space="preserve"> reasonable and necessary to continue to provide reliable electric service to Gulf’s customers and </w:t>
      </w:r>
      <w:r w:rsidR="0025568D">
        <w:t>is</w:t>
      </w:r>
      <w:r w:rsidR="0025568D" w:rsidRPr="00677A87">
        <w:t xml:space="preserve"> </w:t>
      </w:r>
      <w:r w:rsidR="0040576D" w:rsidRPr="00677A87">
        <w:t>lower than the level approved in Gulf’s last rate case when adjusted for customer growth and inflation since that case.</w:t>
      </w:r>
      <w:r w:rsidR="009C56D5">
        <w:t xml:space="preserve"> </w:t>
      </w:r>
      <w:r w:rsidR="0048007A">
        <w:t xml:space="preserve">This issue is not contested in testimony and it appears it could be stipulated. </w:t>
      </w:r>
      <w:r w:rsidR="0048007A" w:rsidRPr="00677A87">
        <w:t xml:space="preserve"> </w:t>
      </w:r>
      <w:r w:rsidR="00216DB1" w:rsidRPr="00677A87">
        <w:t>(McQuagge)</w:t>
      </w:r>
    </w:p>
    <w:p w:rsidR="00530FB5" w:rsidRPr="00677A87" w:rsidRDefault="00530FB5" w:rsidP="00530FB5">
      <w:pPr>
        <w:widowControl/>
        <w:tabs>
          <w:tab w:val="left" w:pos="-1440"/>
        </w:tabs>
        <w:ind w:left="1440" w:hanging="1440"/>
        <w:jc w:val="both"/>
      </w:pPr>
    </w:p>
    <w:p w:rsidR="00ED1FE0" w:rsidRPr="00677A87" w:rsidRDefault="00ED1FE0" w:rsidP="00530FB5">
      <w:pPr>
        <w:pStyle w:val="BodyText"/>
        <w:spacing w:after="0"/>
        <w:ind w:left="1440" w:hanging="1440"/>
        <w:rPr>
          <w:b/>
          <w:u w:val="single"/>
        </w:rPr>
      </w:pPr>
    </w:p>
    <w:p w:rsidR="00530FB5" w:rsidRPr="00677A87" w:rsidRDefault="00530FB5" w:rsidP="00530FB5">
      <w:pPr>
        <w:pStyle w:val="BodyText"/>
        <w:spacing w:after="0"/>
        <w:ind w:left="1440" w:hanging="1440"/>
      </w:pPr>
      <w:r w:rsidRPr="00677A87">
        <w:rPr>
          <w:b/>
          <w:u w:val="single"/>
        </w:rPr>
        <w:t>Issue</w:t>
      </w:r>
      <w:r w:rsidR="0088574A">
        <w:rPr>
          <w:b/>
          <w:u w:val="single"/>
        </w:rPr>
        <w:t xml:space="preserve"> 42</w:t>
      </w:r>
      <w:r w:rsidRPr="00677A87">
        <w:t>:</w:t>
      </w:r>
      <w:r w:rsidRPr="00677A87">
        <w:tab/>
      </w:r>
      <w:r w:rsidR="002B6D10" w:rsidRPr="00677A87">
        <w:t>Is Gulf’s proposed Incentive Compensation included in the 2014 projected test year appropriate?  If not</w:t>
      </w:r>
      <w:r w:rsidR="00A00932">
        <w:t>,</w:t>
      </w:r>
      <w:r w:rsidR="002B6D10" w:rsidRPr="00677A87">
        <w:t xml:space="preserve"> what adjustment should be made?  </w:t>
      </w:r>
    </w:p>
    <w:p w:rsidR="00530FB5" w:rsidRPr="00677A87" w:rsidRDefault="00530FB5" w:rsidP="00530FB5">
      <w:pPr>
        <w:widowControl/>
        <w:tabs>
          <w:tab w:val="left" w:pos="-1440"/>
        </w:tabs>
        <w:jc w:val="both"/>
        <w:rPr>
          <w:b/>
          <w:u w:val="single"/>
        </w:rPr>
      </w:pPr>
    </w:p>
    <w:p w:rsidR="00530FB5" w:rsidRDefault="00530FB5" w:rsidP="00530FB5">
      <w:pPr>
        <w:widowControl/>
        <w:tabs>
          <w:tab w:val="left" w:pos="-1440"/>
        </w:tabs>
        <w:ind w:left="1440" w:hanging="1440"/>
        <w:jc w:val="both"/>
      </w:pPr>
      <w:r w:rsidRPr="00677A87">
        <w:rPr>
          <w:b/>
          <w:u w:val="single"/>
        </w:rPr>
        <w:t>GULF:</w:t>
      </w:r>
      <w:r w:rsidRPr="00677A87">
        <w:tab/>
      </w:r>
      <w:r w:rsidR="00552B3B">
        <w:t xml:space="preserve">Yes. </w:t>
      </w:r>
      <w:r w:rsidR="00552B3B" w:rsidRPr="00677A87">
        <w:t xml:space="preserve">Gulf’s </w:t>
      </w:r>
      <w:r w:rsidR="00552B3B">
        <w:t>proposed</w:t>
      </w:r>
      <w:r w:rsidR="00552B3B" w:rsidRPr="00677A87">
        <w:t xml:space="preserve"> $17,31</w:t>
      </w:r>
      <w:r w:rsidR="00552B3B">
        <w:t>2</w:t>
      </w:r>
      <w:r w:rsidR="00552B3B" w:rsidRPr="00677A87">
        <w:t>,</w:t>
      </w:r>
      <w:r w:rsidR="00552B3B">
        <w:t>000</w:t>
      </w:r>
      <w:r w:rsidR="00552B3B" w:rsidRPr="00677A87">
        <w:t xml:space="preserve"> ($17,653,000 system) of total </w:t>
      </w:r>
      <w:r w:rsidR="00552B3B">
        <w:t xml:space="preserve">at-risk </w:t>
      </w:r>
      <w:r w:rsidR="00552B3B" w:rsidRPr="00677A87">
        <w:t>compensation (consisting of $11,809,</w:t>
      </w:r>
      <w:r w:rsidR="00552B3B">
        <w:t>000</w:t>
      </w:r>
      <w:r w:rsidR="00552B3B" w:rsidRPr="00677A87">
        <w:t xml:space="preserve"> of Gulf </w:t>
      </w:r>
      <w:r w:rsidR="00552B3B">
        <w:t>at-risk</w:t>
      </w:r>
      <w:r w:rsidR="00552B3B" w:rsidRPr="00677A87">
        <w:t xml:space="preserve"> compensation and $5,50</w:t>
      </w:r>
      <w:r w:rsidR="00552B3B">
        <w:t>3</w:t>
      </w:r>
      <w:r w:rsidR="00552B3B" w:rsidRPr="00677A87">
        <w:t>,</w:t>
      </w:r>
      <w:r w:rsidR="00552B3B">
        <w:t>000</w:t>
      </w:r>
      <w:r w:rsidR="00552B3B" w:rsidRPr="00677A87">
        <w:t xml:space="preserve"> of </w:t>
      </w:r>
      <w:r w:rsidR="00552B3B">
        <w:t>at-risk</w:t>
      </w:r>
      <w:r w:rsidR="00552B3B" w:rsidRPr="00677A87">
        <w:t xml:space="preserve"> </w:t>
      </w:r>
      <w:r w:rsidR="00347FF2">
        <w:t>compensation allocated to Gulf) for the 2014 projected test year</w:t>
      </w:r>
      <w:r w:rsidR="00552B3B" w:rsidRPr="00677A87">
        <w:t xml:space="preserve"> is appropriate</w:t>
      </w:r>
      <w:r w:rsidR="00552B3B">
        <w:t>.</w:t>
      </w:r>
      <w:r w:rsidR="00552B3B" w:rsidRPr="001D7714">
        <w:t xml:space="preserve"> </w:t>
      </w:r>
      <w:r w:rsidR="00C61761">
        <w:t xml:space="preserve"> </w:t>
      </w:r>
      <w:r w:rsidR="001D7714">
        <w:t xml:space="preserve">At-risk pay is a necessary component </w:t>
      </w:r>
      <w:r w:rsidR="001D7714" w:rsidRPr="00677A87">
        <w:t xml:space="preserve">Gulf’s </w:t>
      </w:r>
      <w:r w:rsidR="001D7714">
        <w:t xml:space="preserve">market competitive </w:t>
      </w:r>
      <w:r w:rsidR="001D7714" w:rsidRPr="00677A87">
        <w:t xml:space="preserve">total compensation program, </w:t>
      </w:r>
      <w:r w:rsidR="001D7714">
        <w:t>allowing Gulf to cost</w:t>
      </w:r>
      <w:r w:rsidR="008465A4">
        <w:t>-</w:t>
      </w:r>
      <w:r w:rsidR="001D7714">
        <w:t xml:space="preserve">effectively retain, attract, and engage employees to deliver safe and reliable service to our customers.  </w:t>
      </w:r>
      <w:r w:rsidR="00CF48B6">
        <w:t>OPC’s</w:t>
      </w:r>
      <w:r w:rsidR="00CF48B6" w:rsidRPr="00677A87">
        <w:t xml:space="preserve"> </w:t>
      </w:r>
      <w:r w:rsidR="00180EBB" w:rsidRPr="00677A87">
        <w:t xml:space="preserve">proposal to disallow at-risk compensation </w:t>
      </w:r>
      <w:r w:rsidR="00CF48B6">
        <w:t xml:space="preserve">tied to financial goals </w:t>
      </w:r>
      <w:r w:rsidR="00180EBB" w:rsidRPr="00677A87">
        <w:t xml:space="preserve">is not based on a claim that the dollar amount of the expense </w:t>
      </w:r>
      <w:r w:rsidR="00180EBB">
        <w:t xml:space="preserve">is not </w:t>
      </w:r>
      <w:r w:rsidR="00180EBB" w:rsidRPr="00677A87">
        <w:t>market competitive</w:t>
      </w:r>
      <w:r w:rsidR="00CF48B6">
        <w:t>.  I</w:t>
      </w:r>
      <w:r w:rsidR="00180EBB" w:rsidRPr="00677A87">
        <w:t xml:space="preserve">nstead </w:t>
      </w:r>
      <w:r w:rsidR="00CF48B6">
        <w:t xml:space="preserve">it is </w:t>
      </w:r>
      <w:r w:rsidR="00180EBB" w:rsidRPr="00677A87">
        <w:t xml:space="preserve">based on the erroneous premise that at-risk compensation tied to financial performance </w:t>
      </w:r>
      <w:r w:rsidR="00180EBB">
        <w:t xml:space="preserve">does not </w:t>
      </w:r>
      <w:r w:rsidR="00180EBB" w:rsidRPr="00677A87">
        <w:t xml:space="preserve">benefit </w:t>
      </w:r>
      <w:r w:rsidR="00180EBB">
        <w:t xml:space="preserve">our </w:t>
      </w:r>
      <w:r w:rsidR="00180EBB" w:rsidRPr="00677A87">
        <w:t xml:space="preserve">customers. </w:t>
      </w:r>
      <w:r w:rsidR="00180EBB">
        <w:t>Gulf’s total compensation program benefits customers by balancing operational and financial goals, annual and long term, to motivate employees to deliver high levels of customer service at rea</w:t>
      </w:r>
      <w:r w:rsidR="006D67BE">
        <w:t>sonable costs to our customers i</w:t>
      </w:r>
      <w:r w:rsidR="00180EBB">
        <w:t>n the current and later years.</w:t>
      </w:r>
      <w:r w:rsidR="006D67BE">
        <w:t xml:space="preserve">  </w:t>
      </w:r>
      <w:r w:rsidR="00CF48B6">
        <w:t>OPC’s</w:t>
      </w:r>
      <w:r w:rsidR="00CF48B6" w:rsidRPr="00677A87">
        <w:t xml:space="preserve"> </w:t>
      </w:r>
      <w:r w:rsidR="00180EBB" w:rsidRPr="00677A87">
        <w:t xml:space="preserve">proposal to </w:t>
      </w:r>
      <w:r w:rsidR="00CF48B6">
        <w:t xml:space="preserve">further </w:t>
      </w:r>
      <w:r w:rsidR="00180EBB" w:rsidRPr="00677A87">
        <w:t>disallow</w:t>
      </w:r>
      <w:r w:rsidR="00180EBB">
        <w:t xml:space="preserve"> </w:t>
      </w:r>
      <w:r w:rsidR="00CF48B6">
        <w:t>a</w:t>
      </w:r>
      <w:r w:rsidR="00180EBB" w:rsidRPr="00677A87">
        <w:t xml:space="preserve"> portion of at-risk compensation</w:t>
      </w:r>
      <w:r w:rsidR="00CF48B6">
        <w:t xml:space="preserve"> related to</w:t>
      </w:r>
      <w:r w:rsidR="00180EBB" w:rsidRPr="00677A87">
        <w:t xml:space="preserve"> customer satisfaction goals </w:t>
      </w:r>
      <w:r w:rsidR="00CF48B6">
        <w:t xml:space="preserve">is based on </w:t>
      </w:r>
      <w:r w:rsidR="00180EBB" w:rsidRPr="00677A87">
        <w:t>the erroneous and arbitrary grounds that prior year survey results from a customer survey should be taken into account when determining reasonable compensation expense for the test year.</w:t>
      </w:r>
      <w:r w:rsidR="006D67BE">
        <w:t xml:space="preserve">  </w:t>
      </w:r>
      <w:r w:rsidR="00180EBB" w:rsidRPr="00677A87">
        <w:t xml:space="preserve">Using prior </w:t>
      </w:r>
      <w:r w:rsidR="00180EBB">
        <w:t>year</w:t>
      </w:r>
      <w:r w:rsidR="00180EBB" w:rsidRPr="00677A87">
        <w:t xml:space="preserve"> </w:t>
      </w:r>
      <w:r w:rsidR="00180EBB">
        <w:t xml:space="preserve">survey results </w:t>
      </w:r>
      <w:r w:rsidR="00180EBB" w:rsidRPr="00677A87">
        <w:t xml:space="preserve">to reduce the level of compensation expense allowed for the test year would be contrary to </w:t>
      </w:r>
      <w:r w:rsidR="00180EBB">
        <w:t xml:space="preserve">good </w:t>
      </w:r>
      <w:r w:rsidR="00180EBB" w:rsidRPr="00677A87">
        <w:t>compensation plan</w:t>
      </w:r>
      <w:r w:rsidR="00180EBB">
        <w:t xml:space="preserve"> design to</w:t>
      </w:r>
      <w:r w:rsidR="00180EBB" w:rsidRPr="00677A87">
        <w:t xml:space="preserve"> </w:t>
      </w:r>
      <w:r w:rsidR="00180EBB" w:rsidRPr="00677A87">
        <w:lastRenderedPageBreak/>
        <w:t>motivat</w:t>
      </w:r>
      <w:r w:rsidR="00180EBB">
        <w:t>e</w:t>
      </w:r>
      <w:r w:rsidR="00180EBB" w:rsidRPr="00677A87">
        <w:t xml:space="preserve"> employees to improve customer service going forward.</w:t>
      </w:r>
      <w:r w:rsidR="00704C7D">
        <w:t xml:space="preserve">  </w:t>
      </w:r>
      <w:r w:rsidR="00180EBB">
        <w:t>Gulf appropriately measures customer satisfaction as a part of its total compensation program.</w:t>
      </w:r>
      <w:r w:rsidR="006D67BE">
        <w:t xml:space="preserve"> </w:t>
      </w:r>
      <w:r w:rsidR="00180EBB" w:rsidRPr="00677A87">
        <w:t xml:space="preserve">Allowing the at-risk portion of Gulf’s market competitive total compensation expense, both the annual and long term </w:t>
      </w:r>
      <w:r w:rsidR="00CF48B6">
        <w:t>components</w:t>
      </w:r>
      <w:r w:rsidR="00180EBB" w:rsidRPr="00677A87">
        <w:t xml:space="preserve">, is in the customers’ best interests.    </w:t>
      </w:r>
      <w:r w:rsidR="005608DF" w:rsidRPr="00677A87">
        <w:t>(Garvie, Deason</w:t>
      </w:r>
      <w:r w:rsidR="00B5042E">
        <w:t>, Teel</w:t>
      </w:r>
      <w:r w:rsidR="005608DF" w:rsidRPr="00677A87">
        <w:t>)</w:t>
      </w:r>
    </w:p>
    <w:p w:rsidR="00530FB5" w:rsidRPr="00677A87" w:rsidRDefault="00530FB5" w:rsidP="00530FB5">
      <w:pPr>
        <w:widowControl/>
        <w:tabs>
          <w:tab w:val="left" w:pos="-1440"/>
        </w:tabs>
        <w:jc w:val="both"/>
      </w:pPr>
    </w:p>
    <w:p w:rsidR="00E61FF1" w:rsidRPr="00677A87" w:rsidRDefault="00E61FF1" w:rsidP="00530FB5">
      <w:pPr>
        <w:widowControl/>
        <w:tabs>
          <w:tab w:val="left" w:pos="-1440"/>
        </w:tabs>
        <w:jc w:val="both"/>
        <w:rPr>
          <w:b/>
          <w:u w:val="single"/>
        </w:rPr>
      </w:pPr>
    </w:p>
    <w:p w:rsidR="00530FB5" w:rsidRPr="00677A87" w:rsidRDefault="00530FB5" w:rsidP="00530FB5">
      <w:pPr>
        <w:widowControl/>
        <w:tabs>
          <w:tab w:val="left" w:pos="-1440"/>
        </w:tabs>
        <w:ind w:left="1440" w:hanging="1440"/>
        <w:jc w:val="both"/>
      </w:pPr>
      <w:r w:rsidRPr="00677A87">
        <w:rPr>
          <w:b/>
          <w:u w:val="single"/>
        </w:rPr>
        <w:t>Issue</w:t>
      </w:r>
      <w:r w:rsidR="002B6D10" w:rsidRPr="00677A87">
        <w:rPr>
          <w:b/>
          <w:u w:val="single"/>
        </w:rPr>
        <w:t xml:space="preserve"> 43</w:t>
      </w:r>
      <w:r w:rsidRPr="00677A87">
        <w:t>:</w:t>
      </w:r>
      <w:r w:rsidRPr="00677A87">
        <w:tab/>
      </w:r>
      <w:r w:rsidR="002B6D10" w:rsidRPr="00677A87">
        <w:t>Is Gulf’s proposed hiring lag adjustment for the 2014 projected test year appropriate?  If not, what adjustment should be made?</w:t>
      </w:r>
      <w:r w:rsidRPr="00677A87">
        <w:t xml:space="preserve"> </w:t>
      </w:r>
    </w:p>
    <w:p w:rsidR="00530FB5" w:rsidRPr="00677A87" w:rsidRDefault="00530FB5" w:rsidP="00530FB5">
      <w:pPr>
        <w:widowControl/>
        <w:jc w:val="both"/>
        <w:rPr>
          <w:u w:val="single"/>
        </w:rPr>
      </w:pPr>
    </w:p>
    <w:p w:rsidR="00530FB5" w:rsidRPr="00677A87" w:rsidRDefault="00530FB5" w:rsidP="00530FB5">
      <w:pPr>
        <w:widowControl/>
        <w:tabs>
          <w:tab w:val="left" w:pos="-1440"/>
        </w:tabs>
        <w:ind w:left="1440" w:hanging="1440"/>
        <w:jc w:val="both"/>
      </w:pPr>
      <w:r w:rsidRPr="00677A87">
        <w:rPr>
          <w:b/>
          <w:u w:val="single"/>
        </w:rPr>
        <w:t>GULF:</w:t>
      </w:r>
      <w:r w:rsidRPr="00677A87">
        <w:tab/>
      </w:r>
      <w:r w:rsidR="009034F4" w:rsidRPr="00677A87">
        <w:t xml:space="preserve">If the Commission determines that a labor expense adjustment related to hiring lag or vacancies is appropriate, </w:t>
      </w:r>
      <w:proofErr w:type="gramStart"/>
      <w:r w:rsidR="009034F4" w:rsidRPr="00677A87">
        <w:t>then</w:t>
      </w:r>
      <w:proofErr w:type="gramEnd"/>
      <w:r w:rsidR="009034F4" w:rsidRPr="00677A87">
        <w:t xml:space="preserve"> Gulf’s proposed hiring lag adjustment of </w:t>
      </w:r>
      <w:r w:rsidR="004E45ED">
        <w:t>$549,000 (</w:t>
      </w:r>
      <w:r w:rsidR="004E45ED" w:rsidRPr="00476790">
        <w:t>$558,000</w:t>
      </w:r>
      <w:r w:rsidR="004E45ED">
        <w:t xml:space="preserve"> system)</w:t>
      </w:r>
      <w:r w:rsidR="004E45ED" w:rsidRPr="00476790">
        <w:t xml:space="preserve"> </w:t>
      </w:r>
      <w:r w:rsidR="005568A0">
        <w:t xml:space="preserve">for the 2014 projected test year </w:t>
      </w:r>
      <w:r w:rsidR="009034F4" w:rsidRPr="00677A87">
        <w:t>represents the appropriate amount. (McMillan)</w:t>
      </w:r>
    </w:p>
    <w:p w:rsidR="00530FB5" w:rsidRPr="00677A87" w:rsidRDefault="00530FB5" w:rsidP="00530FB5">
      <w:pPr>
        <w:widowControl/>
        <w:tabs>
          <w:tab w:val="left" w:pos="-1440"/>
        </w:tabs>
        <w:jc w:val="both"/>
      </w:pPr>
    </w:p>
    <w:p w:rsidR="00530FB5" w:rsidRPr="00677A87" w:rsidRDefault="00530FB5" w:rsidP="00530FB5">
      <w:pPr>
        <w:widowControl/>
        <w:tabs>
          <w:tab w:val="left" w:pos="-1440"/>
        </w:tabs>
        <w:jc w:val="both"/>
        <w:rPr>
          <w:b/>
          <w:u w:val="single"/>
        </w:rPr>
      </w:pPr>
    </w:p>
    <w:p w:rsidR="00530FB5" w:rsidRPr="00240B55" w:rsidRDefault="00530FB5" w:rsidP="00530FB5">
      <w:pPr>
        <w:widowControl/>
        <w:tabs>
          <w:tab w:val="left" w:pos="-1440"/>
        </w:tabs>
        <w:ind w:left="1440" w:hanging="1440"/>
        <w:jc w:val="both"/>
      </w:pPr>
      <w:r w:rsidRPr="00240B55">
        <w:rPr>
          <w:b/>
          <w:u w:val="single"/>
        </w:rPr>
        <w:t>Issue</w:t>
      </w:r>
      <w:r w:rsidR="002B6D10" w:rsidRPr="00240B55">
        <w:rPr>
          <w:b/>
          <w:u w:val="single"/>
        </w:rPr>
        <w:t xml:space="preserve"> 44</w:t>
      </w:r>
      <w:r w:rsidRPr="00240B55">
        <w:t>:</w:t>
      </w:r>
      <w:r w:rsidRPr="00240B55">
        <w:tab/>
      </w:r>
      <w:r w:rsidR="002B6D10" w:rsidRPr="00240B55">
        <w:t>Is Gulf’s proposed total Payroll Expense for the 2014 projected test year appropriate?  If not, what adjustment should be made?</w:t>
      </w:r>
    </w:p>
    <w:p w:rsidR="00530FB5" w:rsidRPr="00240B55" w:rsidRDefault="00530FB5" w:rsidP="00530FB5">
      <w:pPr>
        <w:widowControl/>
        <w:tabs>
          <w:tab w:val="left" w:pos="-1440"/>
        </w:tabs>
        <w:jc w:val="both"/>
      </w:pPr>
    </w:p>
    <w:p w:rsidR="00ED1FE0" w:rsidRPr="00240B55" w:rsidRDefault="00530FB5" w:rsidP="002B6D10">
      <w:pPr>
        <w:widowControl/>
        <w:tabs>
          <w:tab w:val="left" w:pos="-1440"/>
        </w:tabs>
        <w:ind w:left="1440" w:hanging="1440"/>
        <w:jc w:val="both"/>
      </w:pPr>
      <w:r w:rsidRPr="00240B55">
        <w:rPr>
          <w:b/>
          <w:u w:val="single"/>
        </w:rPr>
        <w:t>GULF:</w:t>
      </w:r>
      <w:r w:rsidRPr="00240B55">
        <w:tab/>
      </w:r>
      <w:r w:rsidR="00AC6033" w:rsidRPr="00240B55">
        <w:t xml:space="preserve">Yes.  Gulf’s </w:t>
      </w:r>
      <w:r w:rsidR="00AC6033">
        <w:t xml:space="preserve">proposed </w:t>
      </w:r>
      <w:r w:rsidR="00AC6033" w:rsidRPr="00240B55">
        <w:t xml:space="preserve">$84,785,000 ($86,455,000 system) </w:t>
      </w:r>
      <w:r w:rsidR="00AC6033">
        <w:t xml:space="preserve">of total Payroll Expense for the 2014 projected </w:t>
      </w:r>
      <w:r w:rsidR="00AC6033" w:rsidRPr="00240B55">
        <w:t xml:space="preserve">test year is appropriate and necessary </w:t>
      </w:r>
      <w:r w:rsidR="00AC6033">
        <w:t xml:space="preserve">based on (1) the number of employees projected for the test year and (2) the Company’s compensation plan which budgets the total compensation for these employees based on a mixture of base and at-risk compensation, the combination of which is targeted to the median of the market.  These employees and this total compensation </w:t>
      </w:r>
      <w:r w:rsidR="001A3A46">
        <w:t xml:space="preserve">are </w:t>
      </w:r>
      <w:r w:rsidR="00AC6033">
        <w:t xml:space="preserve">needed by the Company in order to </w:t>
      </w:r>
      <w:r w:rsidR="00AC6033" w:rsidRPr="00240B55">
        <w:t>continually deliver safe and reliable service to our customers in a cost effective manner that benefits customers for both the short and long term.</w:t>
      </w:r>
      <w:r w:rsidR="00AC6033">
        <w:t xml:space="preserve">  </w:t>
      </w:r>
      <w:r w:rsidR="005608DF" w:rsidRPr="00240B55">
        <w:t>(Garvie</w:t>
      </w:r>
      <w:r w:rsidR="00637268" w:rsidRPr="00240B55">
        <w:t>, McMillan</w:t>
      </w:r>
      <w:r w:rsidR="005608DF" w:rsidRPr="00240B55">
        <w:t>)</w:t>
      </w:r>
    </w:p>
    <w:p w:rsidR="002B6D10" w:rsidRPr="00240B55" w:rsidRDefault="002B6D10" w:rsidP="002B6D10">
      <w:pPr>
        <w:widowControl/>
        <w:tabs>
          <w:tab w:val="left" w:pos="-1440"/>
        </w:tabs>
        <w:ind w:left="1440" w:hanging="1440"/>
        <w:jc w:val="both"/>
        <w:rPr>
          <w:b/>
          <w:u w:val="single"/>
        </w:rPr>
      </w:pPr>
    </w:p>
    <w:p w:rsidR="004E7111" w:rsidRDefault="004E7111" w:rsidP="00530FB5">
      <w:pPr>
        <w:widowControl/>
        <w:tabs>
          <w:tab w:val="left" w:pos="-1440"/>
        </w:tabs>
        <w:ind w:left="1440" w:hanging="1440"/>
        <w:jc w:val="both"/>
        <w:rPr>
          <w:b/>
          <w:u w:val="single"/>
        </w:rPr>
      </w:pPr>
    </w:p>
    <w:p w:rsidR="00530FB5" w:rsidRPr="00240B55" w:rsidRDefault="00530FB5" w:rsidP="00530FB5">
      <w:pPr>
        <w:widowControl/>
        <w:tabs>
          <w:tab w:val="left" w:pos="-1440"/>
        </w:tabs>
        <w:ind w:left="1440" w:hanging="1440"/>
        <w:jc w:val="both"/>
      </w:pPr>
      <w:r w:rsidRPr="00240B55">
        <w:rPr>
          <w:b/>
          <w:u w:val="single"/>
        </w:rPr>
        <w:t>Issue</w:t>
      </w:r>
      <w:r w:rsidR="002B6D10" w:rsidRPr="00240B55">
        <w:rPr>
          <w:b/>
          <w:u w:val="single"/>
        </w:rPr>
        <w:t xml:space="preserve"> 45</w:t>
      </w:r>
      <w:r w:rsidRPr="00240B55">
        <w:t>:</w:t>
      </w:r>
      <w:r w:rsidRPr="00240B55">
        <w:tab/>
      </w:r>
      <w:r w:rsidR="002B6D10" w:rsidRPr="00240B55">
        <w:t>Is Gulf’s proposed Supplemental Executive Pension Expense for the 2014 projected test year appropriate?  If not, what adjustment should be made?</w:t>
      </w:r>
    </w:p>
    <w:p w:rsidR="00530FB5" w:rsidRPr="00240B55" w:rsidRDefault="00530FB5" w:rsidP="00530FB5">
      <w:pPr>
        <w:widowControl/>
        <w:jc w:val="both"/>
        <w:rPr>
          <w:u w:val="single"/>
        </w:rPr>
      </w:pPr>
    </w:p>
    <w:p w:rsidR="00530FB5" w:rsidRPr="00677A87" w:rsidRDefault="00530FB5" w:rsidP="00530FB5">
      <w:pPr>
        <w:widowControl/>
        <w:tabs>
          <w:tab w:val="left" w:pos="-1440"/>
        </w:tabs>
        <w:ind w:left="1440" w:hanging="1440"/>
        <w:jc w:val="both"/>
      </w:pPr>
      <w:r w:rsidRPr="00240B55">
        <w:rPr>
          <w:b/>
          <w:u w:val="single"/>
        </w:rPr>
        <w:t>GULF:</w:t>
      </w:r>
      <w:r w:rsidRPr="00240B55">
        <w:tab/>
      </w:r>
      <w:r w:rsidR="00403B47">
        <w:t xml:space="preserve">Yes.  </w:t>
      </w:r>
      <w:r w:rsidR="00403B47" w:rsidRPr="00677A87">
        <w:t xml:space="preserve">Gulf’s </w:t>
      </w:r>
      <w:r w:rsidR="00403B47">
        <w:t>proposed</w:t>
      </w:r>
      <w:r w:rsidR="00403B47" w:rsidRPr="00677A87">
        <w:t xml:space="preserve"> $1,56</w:t>
      </w:r>
      <w:r w:rsidR="00403B47">
        <w:t>9</w:t>
      </w:r>
      <w:r w:rsidR="00403B47" w:rsidRPr="00677A87">
        <w:t>,</w:t>
      </w:r>
      <w:r w:rsidR="00403B47">
        <w:t>000</w:t>
      </w:r>
      <w:r w:rsidR="00403B47" w:rsidRPr="00677A87">
        <w:t xml:space="preserve"> ($1,599,</w:t>
      </w:r>
      <w:r w:rsidR="00403B47">
        <w:t>000</w:t>
      </w:r>
      <w:r w:rsidR="00403B47" w:rsidRPr="00677A87">
        <w:t xml:space="preserve"> system) </w:t>
      </w:r>
      <w:r w:rsidR="00403B47">
        <w:t xml:space="preserve">Supplemental Executive Pension Expense </w:t>
      </w:r>
      <w:r w:rsidR="00403B47" w:rsidRPr="00677A87">
        <w:t xml:space="preserve">is appropriate and necessary to retain and attract </w:t>
      </w:r>
      <w:r w:rsidR="00403B47">
        <w:t xml:space="preserve">the employees needed to deliver safe and reliable service to our customers at reasonable cost. </w:t>
      </w:r>
      <w:r w:rsidR="00403B47" w:rsidRPr="00677A87">
        <w:t xml:space="preserve">  </w:t>
      </w:r>
      <w:r w:rsidR="00403B47">
        <w:t xml:space="preserve">OPC’s </w:t>
      </w:r>
      <w:r w:rsidR="00403B47" w:rsidRPr="00677A87">
        <w:t xml:space="preserve">proposal to disallow this expense is not based on any market analysis, but </w:t>
      </w:r>
      <w:r w:rsidR="00403B47">
        <w:t xml:space="preserve">is </w:t>
      </w:r>
      <w:r w:rsidR="00403B47" w:rsidRPr="00677A87">
        <w:t xml:space="preserve">instead based on the erroneous premise that these pension costs are not needed for the provision of utility service. </w:t>
      </w:r>
      <w:r w:rsidR="00403B47">
        <w:t xml:space="preserve"> I</w:t>
      </w:r>
      <w:r w:rsidR="00403B47" w:rsidRPr="00677A87">
        <w:t xml:space="preserve">n order to fulfill our responsibilities to deliver safe and reliable electric service to all of our customers at reasonable cost, Gulf needs, and our customers benefit from, qualified and effective leadership.  The employment market demands that we offer </w:t>
      </w:r>
      <w:r w:rsidR="00403B47">
        <w:t xml:space="preserve">all of our </w:t>
      </w:r>
      <w:proofErr w:type="gramStart"/>
      <w:r w:rsidR="00403B47">
        <w:t>employees</w:t>
      </w:r>
      <w:proofErr w:type="gramEnd"/>
      <w:r w:rsidR="00403B47" w:rsidRPr="00677A87">
        <w:t xml:space="preserve"> competitive </w:t>
      </w:r>
      <w:r w:rsidR="00403B47">
        <w:t xml:space="preserve">retirement </w:t>
      </w:r>
      <w:r w:rsidR="00403B47" w:rsidRPr="00677A87">
        <w:t xml:space="preserve">benefits commensurate with their compensation.  </w:t>
      </w:r>
      <w:r w:rsidR="005608DF" w:rsidRPr="00240B55">
        <w:t>(Garvie)</w:t>
      </w:r>
    </w:p>
    <w:p w:rsidR="00530FB5" w:rsidRPr="00677A87" w:rsidRDefault="00530FB5" w:rsidP="00530FB5">
      <w:pPr>
        <w:widowControl/>
        <w:tabs>
          <w:tab w:val="left" w:pos="-1440"/>
        </w:tabs>
        <w:jc w:val="both"/>
        <w:rPr>
          <w:b/>
          <w:u w:val="single"/>
        </w:rPr>
      </w:pPr>
    </w:p>
    <w:p w:rsidR="001A3A46" w:rsidRDefault="001A3A46" w:rsidP="00530FB5">
      <w:pPr>
        <w:widowControl/>
        <w:tabs>
          <w:tab w:val="left" w:pos="-1440"/>
        </w:tabs>
        <w:ind w:left="1440" w:hanging="1440"/>
        <w:jc w:val="both"/>
        <w:rPr>
          <w:b/>
          <w:u w:val="single"/>
        </w:rPr>
      </w:pPr>
    </w:p>
    <w:p w:rsidR="00530FB5" w:rsidRPr="00677A87" w:rsidRDefault="00530FB5" w:rsidP="00530FB5">
      <w:pPr>
        <w:widowControl/>
        <w:tabs>
          <w:tab w:val="left" w:pos="-1440"/>
        </w:tabs>
        <w:ind w:left="1440" w:hanging="1440"/>
        <w:jc w:val="both"/>
      </w:pPr>
      <w:r w:rsidRPr="00677A87">
        <w:rPr>
          <w:b/>
          <w:u w:val="single"/>
        </w:rPr>
        <w:lastRenderedPageBreak/>
        <w:t>Issue</w:t>
      </w:r>
      <w:r w:rsidR="002B6D10" w:rsidRPr="00677A87">
        <w:rPr>
          <w:b/>
          <w:u w:val="single"/>
        </w:rPr>
        <w:t xml:space="preserve"> 46</w:t>
      </w:r>
      <w:r w:rsidRPr="00677A87">
        <w:t>:</w:t>
      </w:r>
      <w:r w:rsidRPr="00677A87">
        <w:tab/>
      </w:r>
      <w:r w:rsidR="002B6D10" w:rsidRPr="00677A87">
        <w:t xml:space="preserve">Is Gulf’s proposed Pension Expense for the 2014 projected test year appropriate?   If not, what adjustment should be made?  </w:t>
      </w:r>
    </w:p>
    <w:p w:rsidR="00530FB5" w:rsidRPr="00677A87" w:rsidRDefault="00530FB5" w:rsidP="00530FB5">
      <w:pPr>
        <w:widowControl/>
        <w:tabs>
          <w:tab w:val="left" w:pos="-1440"/>
        </w:tabs>
        <w:jc w:val="both"/>
      </w:pPr>
    </w:p>
    <w:p w:rsidR="00530FB5" w:rsidRPr="00677A87" w:rsidRDefault="00530FB5" w:rsidP="00530FB5">
      <w:pPr>
        <w:widowControl/>
        <w:tabs>
          <w:tab w:val="left" w:pos="-1440"/>
        </w:tabs>
        <w:ind w:left="1440" w:hanging="1440"/>
        <w:jc w:val="both"/>
      </w:pPr>
      <w:r w:rsidRPr="00677A87">
        <w:rPr>
          <w:b/>
          <w:u w:val="single"/>
        </w:rPr>
        <w:t>GULF:</w:t>
      </w:r>
      <w:r w:rsidRPr="00677A87">
        <w:tab/>
      </w:r>
      <w:r w:rsidR="00CA0001">
        <w:t xml:space="preserve">Yes.  </w:t>
      </w:r>
      <w:r w:rsidR="00CA0001" w:rsidRPr="00677A87">
        <w:t xml:space="preserve">Gulf’s </w:t>
      </w:r>
      <w:r w:rsidR="00CA0001">
        <w:t xml:space="preserve">proposed </w:t>
      </w:r>
      <w:r w:rsidR="00CA0001" w:rsidRPr="00677A87">
        <w:t>$6,55</w:t>
      </w:r>
      <w:r w:rsidR="00CA0001">
        <w:t>7</w:t>
      </w:r>
      <w:r w:rsidR="00CA0001" w:rsidRPr="00677A87">
        <w:t>,</w:t>
      </w:r>
      <w:r w:rsidR="00CA0001">
        <w:t>000</w:t>
      </w:r>
      <w:r w:rsidR="00CA0001" w:rsidRPr="00677A87">
        <w:t xml:space="preserve"> ($6,686</w:t>
      </w:r>
      <w:r w:rsidR="00CA0001">
        <w:t>,000</w:t>
      </w:r>
      <w:r w:rsidR="00CA0001" w:rsidRPr="00677A87">
        <w:t xml:space="preserve"> system) </w:t>
      </w:r>
      <w:r w:rsidR="00CA0001">
        <w:t xml:space="preserve">Pension </w:t>
      </w:r>
      <w:r w:rsidR="00DA37D2">
        <w:t xml:space="preserve">Expense for the 2014 projected test year </w:t>
      </w:r>
      <w:r w:rsidR="00656398" w:rsidRPr="00677A87">
        <w:t xml:space="preserve">is appropriate and necessary to retain and attract the employees needed to deliver safe and reliable service to our customers at reasonable cost.  </w:t>
      </w:r>
      <w:r w:rsidR="0094072D">
        <w:t>T</w:t>
      </w:r>
      <w:r w:rsidR="0022299F">
        <w:t xml:space="preserve">his issue is not contested in testimony and it appears it could be stipulated. </w:t>
      </w:r>
      <w:r w:rsidR="0022299F" w:rsidRPr="00677A87">
        <w:t xml:space="preserve"> </w:t>
      </w:r>
      <w:r w:rsidR="00656398" w:rsidRPr="00677A87">
        <w:t xml:space="preserve"> </w:t>
      </w:r>
      <w:r w:rsidR="005608DF" w:rsidRPr="00677A87">
        <w:t>(Garvie)</w:t>
      </w:r>
    </w:p>
    <w:p w:rsidR="00530FB5" w:rsidRPr="00677A87" w:rsidRDefault="00530FB5" w:rsidP="00530FB5">
      <w:pPr>
        <w:widowControl/>
        <w:tabs>
          <w:tab w:val="left" w:pos="-1440"/>
        </w:tabs>
        <w:jc w:val="both"/>
        <w:rPr>
          <w:b/>
          <w:u w:val="single"/>
        </w:rPr>
      </w:pPr>
    </w:p>
    <w:p w:rsidR="00530FB5" w:rsidRPr="00677A87" w:rsidRDefault="00530FB5" w:rsidP="00530FB5">
      <w:pPr>
        <w:widowControl/>
        <w:tabs>
          <w:tab w:val="left" w:pos="-1440"/>
        </w:tabs>
        <w:jc w:val="both"/>
        <w:rPr>
          <w:b/>
          <w:u w:val="single"/>
        </w:rPr>
      </w:pPr>
    </w:p>
    <w:p w:rsidR="00530FB5" w:rsidRPr="00677A87" w:rsidRDefault="00530FB5" w:rsidP="00530FB5">
      <w:pPr>
        <w:widowControl/>
        <w:tabs>
          <w:tab w:val="left" w:pos="-1440"/>
        </w:tabs>
        <w:ind w:left="1440" w:hanging="1440"/>
        <w:jc w:val="both"/>
      </w:pPr>
      <w:r w:rsidRPr="00677A87">
        <w:rPr>
          <w:b/>
          <w:u w:val="single"/>
        </w:rPr>
        <w:t>Issue</w:t>
      </w:r>
      <w:r w:rsidR="002B6D10" w:rsidRPr="00677A87">
        <w:rPr>
          <w:b/>
          <w:u w:val="single"/>
        </w:rPr>
        <w:t xml:space="preserve"> 47</w:t>
      </w:r>
      <w:r w:rsidRPr="00677A87">
        <w:t>:</w:t>
      </w:r>
      <w:r w:rsidRPr="00677A87">
        <w:tab/>
      </w:r>
      <w:r w:rsidR="002B6D10" w:rsidRPr="00677A87">
        <w:t xml:space="preserve">Is Gulf’s proposed Other </w:t>
      </w:r>
      <w:proofErr w:type="spellStart"/>
      <w:r w:rsidR="002B6D10" w:rsidRPr="00677A87">
        <w:t>Post</w:t>
      </w:r>
      <w:r w:rsidR="001D4036">
        <w:t xml:space="preserve"> </w:t>
      </w:r>
      <w:r w:rsidR="002B6D10" w:rsidRPr="00677A87">
        <w:t>Employment</w:t>
      </w:r>
      <w:proofErr w:type="spellEnd"/>
      <w:r w:rsidR="002B6D10" w:rsidRPr="00677A87">
        <w:t xml:space="preserve"> Benefits Expense for the 2014 projected test year appropriate?   If not, what adjustment should be made?</w:t>
      </w:r>
    </w:p>
    <w:p w:rsidR="00530FB5" w:rsidRPr="00677A87" w:rsidRDefault="00530FB5" w:rsidP="00530FB5">
      <w:pPr>
        <w:widowControl/>
        <w:tabs>
          <w:tab w:val="left" w:pos="-1440"/>
        </w:tabs>
        <w:jc w:val="both"/>
      </w:pPr>
    </w:p>
    <w:p w:rsidR="00530FB5" w:rsidRPr="00677A87" w:rsidRDefault="00530FB5" w:rsidP="00530FB5">
      <w:pPr>
        <w:widowControl/>
        <w:tabs>
          <w:tab w:val="left" w:pos="-1440"/>
        </w:tabs>
        <w:ind w:left="1440" w:hanging="1440"/>
        <w:jc w:val="both"/>
      </w:pPr>
      <w:r w:rsidRPr="00677A87">
        <w:rPr>
          <w:b/>
          <w:u w:val="single"/>
        </w:rPr>
        <w:t>GULF:</w:t>
      </w:r>
      <w:r w:rsidRPr="00677A87">
        <w:tab/>
      </w:r>
      <w:r w:rsidR="00F437A0">
        <w:t xml:space="preserve">Yes.  </w:t>
      </w:r>
      <w:r w:rsidR="00F437A0" w:rsidRPr="00677A87">
        <w:t xml:space="preserve">Gulf’s </w:t>
      </w:r>
      <w:r w:rsidR="00F437A0">
        <w:t>proposed</w:t>
      </w:r>
      <w:r w:rsidR="00F437A0" w:rsidRPr="00677A87">
        <w:t xml:space="preserve"> $2,411,</w:t>
      </w:r>
      <w:r w:rsidR="00F437A0">
        <w:t>000</w:t>
      </w:r>
      <w:r w:rsidR="00F437A0" w:rsidRPr="00677A87">
        <w:t xml:space="preserve"> ($2,45</w:t>
      </w:r>
      <w:r w:rsidR="00F437A0">
        <w:t>9</w:t>
      </w:r>
      <w:r w:rsidR="00F437A0" w:rsidRPr="00677A87">
        <w:t>,</w:t>
      </w:r>
      <w:r w:rsidR="00F437A0">
        <w:t>000</w:t>
      </w:r>
      <w:r w:rsidR="00F437A0" w:rsidRPr="00677A87">
        <w:t xml:space="preserve"> system) </w:t>
      </w:r>
      <w:r w:rsidR="00F437A0">
        <w:t xml:space="preserve">Other </w:t>
      </w:r>
      <w:proofErr w:type="spellStart"/>
      <w:r w:rsidR="00F437A0">
        <w:t>Post Employment</w:t>
      </w:r>
      <w:proofErr w:type="spellEnd"/>
      <w:r w:rsidR="00F437A0">
        <w:t xml:space="preserve"> Benefits </w:t>
      </w:r>
      <w:r w:rsidR="000A323A">
        <w:t>e</w:t>
      </w:r>
      <w:r w:rsidR="00F437A0">
        <w:t>xpense</w:t>
      </w:r>
      <w:r w:rsidR="00F437A0" w:rsidRPr="00677A87">
        <w:t xml:space="preserve"> for retirement medical care and life insurance benefits</w:t>
      </w:r>
      <w:r w:rsidR="00F437A0" w:rsidRPr="0094072D">
        <w:t xml:space="preserve"> </w:t>
      </w:r>
      <w:r w:rsidR="00F437A0" w:rsidRPr="00677A87">
        <w:t xml:space="preserve">is appropriate </w:t>
      </w:r>
      <w:r w:rsidR="00F437A0">
        <w:t>and necessary to retain and attract the</w:t>
      </w:r>
      <w:r w:rsidR="00F437A0" w:rsidRPr="00062D2E">
        <w:t xml:space="preserve"> employees needed to deliver safe and reliable service to our customers at reasonable cost</w:t>
      </w:r>
      <w:r w:rsidR="00F437A0">
        <w:t xml:space="preserve">.  </w:t>
      </w:r>
      <w:r w:rsidR="00180EBB" w:rsidRPr="006C59DE">
        <w:t>This issue is not contested in testimony and it appears it could be stipulated.</w:t>
      </w:r>
      <w:r w:rsidR="00180EBB">
        <w:t xml:space="preserve"> </w:t>
      </w:r>
      <w:r w:rsidR="00180EBB" w:rsidRPr="00677A87">
        <w:t xml:space="preserve"> </w:t>
      </w:r>
      <w:r w:rsidR="005608DF" w:rsidRPr="00677A87">
        <w:t>(Garvie)</w:t>
      </w:r>
    </w:p>
    <w:p w:rsidR="005608DF" w:rsidRPr="00677A87" w:rsidRDefault="005608DF" w:rsidP="00530FB5">
      <w:pPr>
        <w:widowControl/>
        <w:tabs>
          <w:tab w:val="left" w:pos="-1440"/>
        </w:tabs>
        <w:ind w:left="1440" w:hanging="1440"/>
        <w:jc w:val="both"/>
      </w:pPr>
    </w:p>
    <w:p w:rsidR="00040BAF" w:rsidRPr="00677A87" w:rsidRDefault="00040BAF" w:rsidP="00530FB5">
      <w:pPr>
        <w:widowControl/>
        <w:tabs>
          <w:tab w:val="left" w:pos="-1440"/>
        </w:tabs>
        <w:ind w:left="1440" w:hanging="1440"/>
        <w:jc w:val="both"/>
      </w:pPr>
    </w:p>
    <w:p w:rsidR="00460423" w:rsidRDefault="002B6D10" w:rsidP="00460423">
      <w:pPr>
        <w:tabs>
          <w:tab w:val="left" w:pos="-1440"/>
        </w:tabs>
        <w:ind w:left="1440" w:hanging="1440"/>
        <w:jc w:val="both"/>
      </w:pPr>
      <w:r w:rsidRPr="00460423">
        <w:rPr>
          <w:b/>
          <w:u w:val="single"/>
        </w:rPr>
        <w:t>NEW OPC ISSUE</w:t>
      </w:r>
      <w:r w:rsidRPr="00460423">
        <w:t>:</w:t>
      </w:r>
    </w:p>
    <w:p w:rsidR="00460423" w:rsidRDefault="00460423" w:rsidP="00460423">
      <w:pPr>
        <w:tabs>
          <w:tab w:val="left" w:pos="-1440"/>
        </w:tabs>
        <w:ind w:left="1440" w:hanging="1440"/>
        <w:jc w:val="both"/>
      </w:pPr>
    </w:p>
    <w:p w:rsidR="002B6D10" w:rsidRPr="00677A87" w:rsidRDefault="00460423" w:rsidP="00460423">
      <w:pPr>
        <w:tabs>
          <w:tab w:val="left" w:pos="-1440"/>
        </w:tabs>
        <w:ind w:left="1440" w:hanging="1440"/>
        <w:jc w:val="both"/>
      </w:pPr>
      <w:r>
        <w:tab/>
      </w:r>
      <w:r w:rsidR="002B6D10" w:rsidRPr="00460423">
        <w:t xml:space="preserve">Is Gulf’s proposed Employee Medical Expense for the 2014 projected test year </w:t>
      </w:r>
      <w:r w:rsidR="00260244" w:rsidRPr="00460423">
        <w:t xml:space="preserve">for current employees </w:t>
      </w:r>
      <w:r w:rsidR="002B6D10" w:rsidRPr="00460423">
        <w:t xml:space="preserve">appropriate? If not, what adjustment should be </w:t>
      </w:r>
      <w:r w:rsidR="002B6D10" w:rsidRPr="00460423">
        <w:rPr>
          <w:color w:val="000000" w:themeColor="text1"/>
        </w:rPr>
        <w:t>made</w:t>
      </w:r>
      <w:r w:rsidR="002B6D10" w:rsidRPr="00460423">
        <w:t>?</w:t>
      </w:r>
      <w:r w:rsidR="002B6D10" w:rsidRPr="00677A87">
        <w:t xml:space="preserve">  </w:t>
      </w:r>
    </w:p>
    <w:p w:rsidR="00F27718" w:rsidRPr="00677A87" w:rsidRDefault="00F27718" w:rsidP="002B6D10">
      <w:pPr>
        <w:tabs>
          <w:tab w:val="left" w:pos="-1440"/>
        </w:tabs>
        <w:jc w:val="both"/>
      </w:pPr>
    </w:p>
    <w:p w:rsidR="00032063" w:rsidRPr="00677A87" w:rsidRDefault="00F27718" w:rsidP="00032063">
      <w:pPr>
        <w:ind w:left="1440" w:hanging="1440"/>
      </w:pPr>
      <w:r w:rsidRPr="00677A87">
        <w:rPr>
          <w:b/>
          <w:u w:val="single"/>
        </w:rPr>
        <w:t>GULF:</w:t>
      </w:r>
      <w:r w:rsidRPr="00677A87">
        <w:tab/>
      </w:r>
      <w:r w:rsidR="004D65D8">
        <w:t>Yes</w:t>
      </w:r>
      <w:r w:rsidR="009D2370">
        <w:t xml:space="preserve">.  </w:t>
      </w:r>
      <w:r w:rsidR="004D65D8" w:rsidRPr="00677A87">
        <w:t xml:space="preserve">Gulf’s </w:t>
      </w:r>
      <w:r w:rsidR="004D65D8">
        <w:t>proposed</w:t>
      </w:r>
      <w:r w:rsidR="004D65D8" w:rsidRPr="00677A87">
        <w:t xml:space="preserve"> $</w:t>
      </w:r>
      <w:r w:rsidR="004D65D8">
        <w:t>9,360</w:t>
      </w:r>
      <w:r w:rsidR="004D65D8" w:rsidRPr="00677A87">
        <w:t>,</w:t>
      </w:r>
      <w:r w:rsidR="004D65D8">
        <w:t>000</w:t>
      </w:r>
      <w:r w:rsidR="004D65D8" w:rsidRPr="00677A87">
        <w:t xml:space="preserve"> ($</w:t>
      </w:r>
      <w:r w:rsidR="004D65D8">
        <w:t>9,544</w:t>
      </w:r>
      <w:r w:rsidR="004D65D8" w:rsidRPr="00677A87">
        <w:t>,</w:t>
      </w:r>
      <w:r w:rsidR="004D65D8">
        <w:t>000</w:t>
      </w:r>
      <w:r w:rsidR="004D65D8" w:rsidRPr="00677A87">
        <w:t xml:space="preserve"> system) </w:t>
      </w:r>
      <w:r w:rsidR="004D65D8">
        <w:t xml:space="preserve">Employee Medical </w:t>
      </w:r>
      <w:r w:rsidR="00E06A3B">
        <w:t>e</w:t>
      </w:r>
      <w:r w:rsidR="004D65D8">
        <w:t>xpense</w:t>
      </w:r>
      <w:r w:rsidR="004D65D8" w:rsidRPr="00677A87">
        <w:t xml:space="preserve"> </w:t>
      </w:r>
      <w:r w:rsidR="009D2370">
        <w:t xml:space="preserve">for current employees </w:t>
      </w:r>
      <w:r w:rsidR="00757F35">
        <w:t xml:space="preserve">is </w:t>
      </w:r>
      <w:r w:rsidR="009D2370">
        <w:t xml:space="preserve">an </w:t>
      </w:r>
      <w:r w:rsidR="004D65D8" w:rsidRPr="00677A87">
        <w:t xml:space="preserve">appropriate </w:t>
      </w:r>
      <w:r w:rsidRPr="00677A87">
        <w:t xml:space="preserve">and necessary expense.  </w:t>
      </w:r>
      <w:r w:rsidR="00D027F5">
        <w:t>OPC’s</w:t>
      </w:r>
      <w:r w:rsidR="00D027F5" w:rsidRPr="00677A87">
        <w:t xml:space="preserve"> </w:t>
      </w:r>
      <w:r w:rsidR="00032063" w:rsidRPr="00677A87">
        <w:t xml:space="preserve">proposal to limit the expense for the test year is based on a misinterpretation and misapplication of a multi-industry health care </w:t>
      </w:r>
      <w:r w:rsidR="00032063">
        <w:t xml:space="preserve">survey that was not designed to project health care expenses for a particular utility in 2014.  </w:t>
      </w:r>
      <w:r w:rsidR="00032063" w:rsidRPr="00677A87">
        <w:t xml:space="preserve">Gulf’s projected medical expense was determined </w:t>
      </w:r>
      <w:r w:rsidR="00D027F5">
        <w:t xml:space="preserve">using data specific to Gulf and </w:t>
      </w:r>
      <w:r w:rsidR="00D027F5" w:rsidRPr="00677A87">
        <w:t xml:space="preserve">appropriate </w:t>
      </w:r>
      <w:r w:rsidR="00D027F5">
        <w:t>for use in this proceeding</w:t>
      </w:r>
      <w:r w:rsidR="00D027F5" w:rsidRPr="00677A87">
        <w:t>.</w:t>
      </w:r>
      <w:r w:rsidR="00032063" w:rsidRPr="00677A87">
        <w:t xml:space="preserve">  </w:t>
      </w:r>
      <w:r w:rsidR="00032063">
        <w:t>(</w:t>
      </w:r>
      <w:r w:rsidR="00324605">
        <w:t xml:space="preserve">Garvie, </w:t>
      </w:r>
      <w:r w:rsidR="00032063">
        <w:t>Whaley)</w:t>
      </w:r>
    </w:p>
    <w:p w:rsidR="00F27718" w:rsidRPr="00677A87" w:rsidRDefault="00F27718" w:rsidP="002B6D10">
      <w:pPr>
        <w:tabs>
          <w:tab w:val="left" w:pos="-1440"/>
        </w:tabs>
        <w:jc w:val="both"/>
      </w:pPr>
    </w:p>
    <w:p w:rsidR="005608DF" w:rsidRPr="00677A87" w:rsidRDefault="005608DF" w:rsidP="00530FB5">
      <w:pPr>
        <w:widowControl/>
        <w:tabs>
          <w:tab w:val="left" w:pos="-1440"/>
        </w:tabs>
        <w:jc w:val="both"/>
      </w:pPr>
    </w:p>
    <w:p w:rsidR="002B6D10" w:rsidRPr="00677A87" w:rsidRDefault="00530FB5" w:rsidP="002B6D10">
      <w:pPr>
        <w:tabs>
          <w:tab w:val="left" w:pos="-1440"/>
        </w:tabs>
        <w:ind w:left="1440" w:hanging="1440"/>
        <w:jc w:val="both"/>
      </w:pPr>
      <w:r w:rsidRPr="00677A87">
        <w:rPr>
          <w:b/>
          <w:u w:val="single"/>
        </w:rPr>
        <w:t>Issue</w:t>
      </w:r>
      <w:r w:rsidR="002B6D10" w:rsidRPr="00677A87">
        <w:rPr>
          <w:b/>
          <w:u w:val="single"/>
        </w:rPr>
        <w:t xml:space="preserve"> 48</w:t>
      </w:r>
      <w:r w:rsidRPr="00677A87">
        <w:t>:</w:t>
      </w:r>
      <w:r w:rsidRPr="00677A87">
        <w:tab/>
      </w:r>
      <w:r w:rsidR="002B6D10" w:rsidRPr="00677A87">
        <w:t>Is Gulf’s proposed reserve target level and annual storm damage accrual of $8,86</w:t>
      </w:r>
      <w:r w:rsidR="00AA06BB">
        <w:t>1</w:t>
      </w:r>
      <w:r w:rsidR="002B6D10" w:rsidRPr="00677A87">
        <w:t>,</w:t>
      </w:r>
      <w:r w:rsidR="00AA06BB">
        <w:t>000</w:t>
      </w:r>
      <w:r w:rsidR="002B6D10" w:rsidRPr="00677A87">
        <w:t xml:space="preserve"> ($9,000,000 system) for the 2014 projected test year appropriate?  If not, what is the appropriate amount?  </w:t>
      </w:r>
    </w:p>
    <w:p w:rsidR="00530FB5" w:rsidRPr="00677A87" w:rsidRDefault="00530FB5" w:rsidP="00530FB5">
      <w:pPr>
        <w:widowControl/>
        <w:tabs>
          <w:tab w:val="left" w:pos="-1440"/>
        </w:tabs>
        <w:ind w:left="1440" w:hanging="1440"/>
        <w:jc w:val="both"/>
      </w:pPr>
    </w:p>
    <w:p w:rsidR="00530FB5" w:rsidRPr="00677A87" w:rsidRDefault="00530FB5" w:rsidP="00530FB5">
      <w:pPr>
        <w:widowControl/>
        <w:tabs>
          <w:tab w:val="left" w:pos="-1440"/>
        </w:tabs>
        <w:jc w:val="both"/>
      </w:pPr>
    </w:p>
    <w:p w:rsidR="00AA2439" w:rsidRPr="00677A87" w:rsidRDefault="00530FB5" w:rsidP="00AA2439">
      <w:pPr>
        <w:tabs>
          <w:tab w:val="left" w:pos="-1440"/>
        </w:tabs>
        <w:ind w:left="1440" w:hanging="1440"/>
        <w:jc w:val="both"/>
        <w:rPr>
          <w:snapToGrid/>
          <w:szCs w:val="24"/>
        </w:rPr>
      </w:pPr>
      <w:r w:rsidRPr="00677A87">
        <w:rPr>
          <w:b/>
          <w:u w:val="single"/>
        </w:rPr>
        <w:t>GULF:</w:t>
      </w:r>
      <w:r w:rsidR="005608DF" w:rsidRPr="00677A87">
        <w:tab/>
      </w:r>
      <w:r w:rsidR="004B6FAD" w:rsidRPr="00677A87">
        <w:t xml:space="preserve">Yes.  </w:t>
      </w:r>
      <w:r w:rsidR="004F3CC8">
        <w:t xml:space="preserve">Gulf’s proposed annual </w:t>
      </w:r>
      <w:r w:rsidR="004C6E75">
        <w:t xml:space="preserve">property </w:t>
      </w:r>
      <w:r w:rsidR="004F3CC8">
        <w:t xml:space="preserve">damage accrual of $8,861,000 ($9,000,000 system) for the 2014 projected test year is appropriate.  </w:t>
      </w:r>
      <w:r w:rsidR="004B6FAD" w:rsidRPr="00677A87">
        <w:t>For Gulf to achieve the Commission-approved property damage reserve target, its property damage accrual must be increased above the annual average level of charges to the reserve per Gulf’s storm study.  OPC’s adjustment is inconsistent with Commission policy; FEA’s adjustment never allows the target reserve level to be reached.  (Erickson, Harris, Deason</w:t>
      </w:r>
      <w:r w:rsidR="004B29B5">
        <w:t>, Ritenour</w:t>
      </w:r>
      <w:r w:rsidR="004B6FAD" w:rsidRPr="00677A87">
        <w:t>)</w:t>
      </w:r>
    </w:p>
    <w:p w:rsidR="00530FB5" w:rsidRPr="00677A87" w:rsidRDefault="00530FB5" w:rsidP="00530FB5">
      <w:pPr>
        <w:widowControl/>
        <w:tabs>
          <w:tab w:val="left" w:pos="-1440"/>
        </w:tabs>
        <w:ind w:left="1440" w:hanging="1440"/>
        <w:jc w:val="both"/>
      </w:pPr>
      <w:r w:rsidRPr="00677A87">
        <w:rPr>
          <w:b/>
          <w:u w:val="single"/>
        </w:rPr>
        <w:lastRenderedPageBreak/>
        <w:t>Issue</w:t>
      </w:r>
      <w:r w:rsidR="002B6D10" w:rsidRPr="00677A87">
        <w:rPr>
          <w:b/>
          <w:u w:val="single"/>
        </w:rPr>
        <w:t xml:space="preserve"> 49</w:t>
      </w:r>
      <w:r w:rsidRPr="00677A87">
        <w:t>:</w:t>
      </w:r>
      <w:r w:rsidRPr="00677A87">
        <w:tab/>
      </w:r>
      <w:r w:rsidR="002B6D10" w:rsidRPr="00677A87">
        <w:t>Is Gulf’s proposed accrual for the Injuries &amp; Damages reserve for the 2014 projected test year appropriate?  If not, what adjustment should be made?</w:t>
      </w:r>
    </w:p>
    <w:p w:rsidR="00530FB5" w:rsidRPr="00677A87" w:rsidRDefault="00530FB5" w:rsidP="00530FB5">
      <w:pPr>
        <w:widowControl/>
        <w:tabs>
          <w:tab w:val="left" w:pos="-1440"/>
        </w:tabs>
        <w:jc w:val="both"/>
      </w:pPr>
    </w:p>
    <w:p w:rsidR="00152D65" w:rsidRPr="00677A87" w:rsidRDefault="00530FB5" w:rsidP="00152D65">
      <w:pPr>
        <w:tabs>
          <w:tab w:val="left" w:pos="-1440"/>
        </w:tabs>
        <w:ind w:left="1440" w:hanging="1440"/>
        <w:jc w:val="both"/>
        <w:rPr>
          <w:snapToGrid/>
          <w:szCs w:val="24"/>
        </w:rPr>
      </w:pPr>
      <w:r w:rsidRPr="00677A87">
        <w:rPr>
          <w:b/>
          <w:u w:val="single"/>
        </w:rPr>
        <w:t>GULF:</w:t>
      </w:r>
      <w:r w:rsidRPr="00677A87">
        <w:tab/>
      </w:r>
      <w:r w:rsidR="004B6FAD" w:rsidRPr="00677A87">
        <w:t xml:space="preserve">Yes.  </w:t>
      </w:r>
      <w:r w:rsidR="001A30E5">
        <w:t>This issue is not contested in testimony and it appears it could be stipulated.</w:t>
      </w:r>
      <w:r w:rsidR="001A30E5" w:rsidRPr="00677A87" w:rsidDel="001A30E5">
        <w:t xml:space="preserve"> </w:t>
      </w:r>
      <w:r w:rsidR="001A30E5">
        <w:t xml:space="preserve"> </w:t>
      </w:r>
      <w:r w:rsidR="004B6FAD" w:rsidRPr="00677A87">
        <w:t>(Erickson)</w:t>
      </w:r>
    </w:p>
    <w:p w:rsidR="00530FB5" w:rsidRPr="00677A87" w:rsidRDefault="00530FB5" w:rsidP="00530FB5">
      <w:pPr>
        <w:widowControl/>
        <w:tabs>
          <w:tab w:val="left" w:pos="-1440"/>
        </w:tabs>
        <w:jc w:val="both"/>
      </w:pPr>
    </w:p>
    <w:p w:rsidR="00040BAF" w:rsidRPr="00677A87" w:rsidRDefault="00040BAF" w:rsidP="00530FB5">
      <w:pPr>
        <w:widowControl/>
        <w:tabs>
          <w:tab w:val="left" w:pos="-1440"/>
        </w:tabs>
        <w:jc w:val="both"/>
      </w:pPr>
    </w:p>
    <w:p w:rsidR="00530FB5" w:rsidRPr="00677A87" w:rsidRDefault="00530FB5" w:rsidP="00530FB5">
      <w:pPr>
        <w:widowControl/>
        <w:tabs>
          <w:tab w:val="left" w:pos="-1440"/>
        </w:tabs>
        <w:ind w:left="1440" w:hanging="1440"/>
        <w:jc w:val="both"/>
      </w:pPr>
      <w:r w:rsidRPr="00677A87">
        <w:rPr>
          <w:b/>
          <w:u w:val="single"/>
        </w:rPr>
        <w:t>Issue</w:t>
      </w:r>
      <w:r w:rsidR="002B6D10" w:rsidRPr="00677A87">
        <w:rPr>
          <w:b/>
          <w:u w:val="single"/>
        </w:rPr>
        <w:t xml:space="preserve"> 50</w:t>
      </w:r>
      <w:r w:rsidRPr="00677A87">
        <w:t>:</w:t>
      </w:r>
      <w:r w:rsidRPr="00677A87">
        <w:tab/>
      </w:r>
      <w:r w:rsidR="00D65A60" w:rsidRPr="00677A87">
        <w:t>Are Gulf’s propos</w:t>
      </w:r>
      <w:r w:rsidR="00463D45" w:rsidRPr="00677A87">
        <w:t xml:space="preserve">ed expenses related to company-owned </w:t>
      </w:r>
      <w:r w:rsidR="00D65A60" w:rsidRPr="00677A87">
        <w:t>or affiliate company-owned aircraft and related travel appropriate?  If not, what adjustment should be made?</w:t>
      </w:r>
    </w:p>
    <w:p w:rsidR="00530FB5" w:rsidRPr="00677A87" w:rsidRDefault="00530FB5" w:rsidP="00530FB5">
      <w:pPr>
        <w:widowControl/>
        <w:tabs>
          <w:tab w:val="left" w:pos="-1440"/>
        </w:tabs>
        <w:jc w:val="both"/>
      </w:pPr>
    </w:p>
    <w:p w:rsidR="00530FB5" w:rsidRPr="00677A87" w:rsidRDefault="00530FB5" w:rsidP="00530FB5">
      <w:pPr>
        <w:widowControl/>
        <w:tabs>
          <w:tab w:val="left" w:pos="-1440"/>
        </w:tabs>
        <w:ind w:left="1440" w:hanging="1440"/>
        <w:jc w:val="both"/>
      </w:pPr>
      <w:r w:rsidRPr="00677A87">
        <w:rPr>
          <w:b/>
          <w:u w:val="single"/>
        </w:rPr>
        <w:t>GULF</w:t>
      </w:r>
      <w:r w:rsidRPr="00677A87">
        <w:t xml:space="preserve">: </w:t>
      </w:r>
      <w:r w:rsidRPr="00677A87">
        <w:tab/>
      </w:r>
      <w:r w:rsidR="009034F4" w:rsidRPr="00677A87">
        <w:t>Yes.  Gulf’s system air cost is a reasonable and necessary business expense that benefits customers by improving the productivity and efficiency of Gulf employees whose duties require business travel.  (McMillan)</w:t>
      </w:r>
      <w:r w:rsidRPr="00677A87">
        <w:t xml:space="preserve">  </w:t>
      </w:r>
    </w:p>
    <w:p w:rsidR="00530FB5" w:rsidRPr="00677A87" w:rsidRDefault="00530FB5" w:rsidP="00530FB5">
      <w:pPr>
        <w:widowControl/>
        <w:tabs>
          <w:tab w:val="left" w:pos="-1440"/>
        </w:tabs>
        <w:jc w:val="both"/>
      </w:pPr>
    </w:p>
    <w:p w:rsidR="00530FB5" w:rsidRPr="00677A87" w:rsidRDefault="00530FB5" w:rsidP="00530FB5">
      <w:pPr>
        <w:widowControl/>
        <w:tabs>
          <w:tab w:val="left" w:pos="-1440"/>
        </w:tabs>
        <w:jc w:val="both"/>
      </w:pPr>
    </w:p>
    <w:p w:rsidR="00530FB5" w:rsidRPr="00677A87" w:rsidRDefault="00530FB5" w:rsidP="00530FB5">
      <w:pPr>
        <w:widowControl/>
        <w:tabs>
          <w:tab w:val="left" w:pos="-1440"/>
        </w:tabs>
        <w:ind w:left="1440" w:hanging="1440"/>
        <w:jc w:val="both"/>
      </w:pPr>
      <w:r w:rsidRPr="00677A87">
        <w:rPr>
          <w:b/>
          <w:u w:val="single"/>
        </w:rPr>
        <w:t>Issue</w:t>
      </w:r>
      <w:r w:rsidR="00D65A60" w:rsidRPr="00677A87">
        <w:rPr>
          <w:b/>
          <w:u w:val="single"/>
        </w:rPr>
        <w:t xml:space="preserve"> 51</w:t>
      </w:r>
      <w:r w:rsidRPr="00677A87">
        <w:t>:</w:t>
      </w:r>
      <w:r w:rsidRPr="00677A87">
        <w:tab/>
      </w:r>
      <w:r w:rsidR="00D65A60" w:rsidRPr="00677A87">
        <w:t>Is Gulf’s proposed expense related to Directors and Officers Liability Insurance appropriate?  If not, what adjustment should be made?</w:t>
      </w:r>
    </w:p>
    <w:p w:rsidR="00530FB5" w:rsidRPr="00677A87" w:rsidRDefault="00530FB5" w:rsidP="00530FB5">
      <w:pPr>
        <w:widowControl/>
        <w:tabs>
          <w:tab w:val="left" w:pos="-1440"/>
        </w:tabs>
        <w:jc w:val="both"/>
      </w:pPr>
    </w:p>
    <w:p w:rsidR="00530FB5" w:rsidRPr="00677A87" w:rsidRDefault="00530FB5" w:rsidP="00152D65">
      <w:pPr>
        <w:tabs>
          <w:tab w:val="left" w:pos="-1440"/>
        </w:tabs>
        <w:ind w:left="1440" w:hanging="1440"/>
        <w:jc w:val="both"/>
      </w:pPr>
      <w:r w:rsidRPr="00677A87">
        <w:rPr>
          <w:b/>
          <w:u w:val="single"/>
        </w:rPr>
        <w:t>GULF:</w:t>
      </w:r>
      <w:r w:rsidRPr="00677A87">
        <w:tab/>
      </w:r>
      <w:r w:rsidR="00913A4C">
        <w:t xml:space="preserve">Yes. More than half (51%) </w:t>
      </w:r>
      <w:r w:rsidR="00E00F3A">
        <w:t xml:space="preserve">of </w:t>
      </w:r>
      <w:r w:rsidR="00913A4C">
        <w:t>Gulf’s share of the Southern system’s D &amp; O premium expense is allocated to Southern Company, not SCS, and is borne by the shareholders.  Gulf’s share of the remaining 49% is $9</w:t>
      </w:r>
      <w:r w:rsidR="00E00F3A">
        <w:t>3</w:t>
      </w:r>
      <w:r w:rsidR="00913A4C">
        <w:t>,</w:t>
      </w:r>
      <w:r w:rsidR="00E00F3A">
        <w:t>000</w:t>
      </w:r>
      <w:r w:rsidR="00913A4C">
        <w:t xml:space="preserve"> ($9</w:t>
      </w:r>
      <w:r w:rsidR="00E00F3A">
        <w:t>5</w:t>
      </w:r>
      <w:r w:rsidR="00913A4C">
        <w:t>,</w:t>
      </w:r>
      <w:r w:rsidR="00E00F3A">
        <w:t>000</w:t>
      </w:r>
      <w:r w:rsidR="00913A4C">
        <w:t xml:space="preserve"> system) and is included in the 2014 </w:t>
      </w:r>
      <w:r w:rsidR="00802DCB">
        <w:t xml:space="preserve">projected </w:t>
      </w:r>
      <w:r w:rsidR="00913A4C">
        <w:t xml:space="preserve">test year.  Clearly Gulf’s request includes less than half of Gulf’s share of the Southern system D &amp; O premium expense.  No additional adjustment is appropriate.   </w:t>
      </w:r>
      <w:r w:rsidR="00C06DA2">
        <w:t>(Erickson)</w:t>
      </w:r>
    </w:p>
    <w:p w:rsidR="00B943A7" w:rsidRDefault="00B943A7">
      <w:pPr>
        <w:widowControl/>
      </w:pPr>
    </w:p>
    <w:p w:rsidR="004E7111" w:rsidRPr="00677A87" w:rsidRDefault="004E7111">
      <w:pPr>
        <w:widowControl/>
      </w:pPr>
    </w:p>
    <w:p w:rsidR="00530FB5" w:rsidRPr="00677A87" w:rsidRDefault="00530FB5" w:rsidP="00530FB5">
      <w:pPr>
        <w:widowControl/>
        <w:tabs>
          <w:tab w:val="left" w:pos="-1440"/>
        </w:tabs>
        <w:ind w:left="1440" w:hanging="1440"/>
        <w:jc w:val="both"/>
      </w:pPr>
      <w:r w:rsidRPr="00677A87">
        <w:rPr>
          <w:b/>
          <w:u w:val="single"/>
        </w:rPr>
        <w:t>Issue</w:t>
      </w:r>
      <w:r w:rsidR="00D65A60" w:rsidRPr="00677A87">
        <w:rPr>
          <w:b/>
          <w:u w:val="single"/>
        </w:rPr>
        <w:t xml:space="preserve"> 52</w:t>
      </w:r>
      <w:r w:rsidRPr="00677A87">
        <w:t>:</w:t>
      </w:r>
      <w:r w:rsidRPr="00677A87">
        <w:tab/>
      </w:r>
      <w:r w:rsidR="00D65A60" w:rsidRPr="00677A87">
        <w:t xml:space="preserve">Is Gulf’s proposed Rate Case Expense for the 2014 projected test year appropriate?  If not, what adjustment should be made?  </w:t>
      </w:r>
      <w:r w:rsidRPr="00677A87">
        <w:t xml:space="preserve"> </w:t>
      </w:r>
    </w:p>
    <w:p w:rsidR="00530FB5" w:rsidRPr="00677A87" w:rsidRDefault="00530FB5" w:rsidP="00530FB5">
      <w:pPr>
        <w:widowControl/>
        <w:tabs>
          <w:tab w:val="left" w:pos="-1440"/>
        </w:tabs>
        <w:jc w:val="both"/>
      </w:pPr>
    </w:p>
    <w:p w:rsidR="00152D65" w:rsidRPr="00677A87" w:rsidRDefault="00530FB5" w:rsidP="00152D65">
      <w:pPr>
        <w:tabs>
          <w:tab w:val="left" w:pos="-1440"/>
        </w:tabs>
        <w:ind w:left="1440" w:hanging="1440"/>
        <w:jc w:val="both"/>
        <w:rPr>
          <w:snapToGrid/>
          <w:szCs w:val="24"/>
        </w:rPr>
      </w:pPr>
      <w:r w:rsidRPr="00677A87">
        <w:rPr>
          <w:b/>
          <w:u w:val="single"/>
        </w:rPr>
        <w:t>GULF:</w:t>
      </w:r>
      <w:r w:rsidRPr="00677A87">
        <w:tab/>
      </w:r>
      <w:r w:rsidR="00152D65" w:rsidRPr="00677A87">
        <w:rPr>
          <w:snapToGrid/>
          <w:szCs w:val="24"/>
        </w:rPr>
        <w:t xml:space="preserve">Yes.  </w:t>
      </w:r>
      <w:r w:rsidR="001A30E5">
        <w:t>This issue is not contested in testimony and it appears it could be stipulated.</w:t>
      </w:r>
      <w:r w:rsidR="00152D65" w:rsidRPr="00677A87">
        <w:rPr>
          <w:snapToGrid/>
          <w:szCs w:val="24"/>
        </w:rPr>
        <w:t xml:space="preserve">  (Erickson)</w:t>
      </w:r>
    </w:p>
    <w:p w:rsidR="00BB7506" w:rsidRPr="00677A87" w:rsidRDefault="00BB7506" w:rsidP="00600063">
      <w:pPr>
        <w:widowControl/>
        <w:tabs>
          <w:tab w:val="left" w:pos="-1440"/>
        </w:tabs>
        <w:ind w:left="1440" w:hanging="1440"/>
        <w:jc w:val="both"/>
      </w:pPr>
    </w:p>
    <w:p w:rsidR="00D65A60" w:rsidRPr="00677A87" w:rsidRDefault="00D65A60" w:rsidP="00600063">
      <w:pPr>
        <w:widowControl/>
        <w:tabs>
          <w:tab w:val="left" w:pos="-1440"/>
        </w:tabs>
        <w:ind w:left="1440" w:hanging="1440"/>
        <w:jc w:val="both"/>
      </w:pPr>
    </w:p>
    <w:p w:rsidR="00BB7506" w:rsidRPr="00677A87" w:rsidRDefault="00BB7506" w:rsidP="00BB7506">
      <w:pPr>
        <w:widowControl/>
        <w:tabs>
          <w:tab w:val="left" w:pos="-1440"/>
        </w:tabs>
        <w:ind w:left="1440" w:hanging="1440"/>
        <w:jc w:val="both"/>
      </w:pPr>
      <w:r w:rsidRPr="00677A87">
        <w:rPr>
          <w:b/>
          <w:u w:val="single"/>
        </w:rPr>
        <w:t>Issue 53</w:t>
      </w:r>
      <w:r w:rsidRPr="00677A87">
        <w:t>:</w:t>
      </w:r>
      <w:r w:rsidRPr="00677A87">
        <w:tab/>
        <w:t xml:space="preserve">Is Gulf’s proposed Bad Debt Expense for the 2014 projected test year appropriate?  If not, what adjustment should be made?   </w:t>
      </w:r>
    </w:p>
    <w:p w:rsidR="005608DF" w:rsidRPr="00677A87" w:rsidRDefault="005608DF" w:rsidP="00BB7506">
      <w:pPr>
        <w:widowControl/>
        <w:tabs>
          <w:tab w:val="left" w:pos="-1440"/>
        </w:tabs>
        <w:ind w:left="1440" w:hanging="1440"/>
        <w:jc w:val="both"/>
        <w:rPr>
          <w:b/>
          <w:u w:val="single"/>
        </w:rPr>
      </w:pPr>
    </w:p>
    <w:p w:rsidR="00BB7506" w:rsidRPr="00677A87" w:rsidRDefault="00BB7506" w:rsidP="00AD4062">
      <w:pPr>
        <w:ind w:left="1440" w:hanging="1440"/>
      </w:pPr>
      <w:r w:rsidRPr="00677A87">
        <w:rPr>
          <w:b/>
          <w:u w:val="single"/>
        </w:rPr>
        <w:t>GULF:</w:t>
      </w:r>
      <w:r w:rsidRPr="00677A87">
        <w:tab/>
      </w:r>
      <w:r w:rsidR="00C456B3">
        <w:t xml:space="preserve">Yes.  </w:t>
      </w:r>
      <w:r w:rsidR="005608DF" w:rsidRPr="00677A87">
        <w:t xml:space="preserve">Gulf’s proposed Bad Debt Expense of </w:t>
      </w:r>
      <w:r w:rsidR="00AD4062" w:rsidRPr="00677A87">
        <w:t>$3,79</w:t>
      </w:r>
      <w:r w:rsidR="0083456B">
        <w:t>5</w:t>
      </w:r>
      <w:r w:rsidR="00AD4062" w:rsidRPr="00677A87">
        <w:t>,</w:t>
      </w:r>
      <w:r w:rsidR="0083456B">
        <w:t>000</w:t>
      </w:r>
      <w:r w:rsidR="00AD4062" w:rsidRPr="00677A87">
        <w:t xml:space="preserve"> </w:t>
      </w:r>
      <w:r w:rsidR="00802DCB">
        <w:t>($3,795,</w:t>
      </w:r>
      <w:r w:rsidR="000C1334">
        <w:t>000</w:t>
      </w:r>
      <w:r w:rsidR="00802DCB">
        <w:t xml:space="preserve"> system) </w:t>
      </w:r>
      <w:r w:rsidR="005608DF" w:rsidRPr="00677A87">
        <w:t>for the 2014 projected test year is appropriate.  Gulf’s calculation of Bad Debt Expense is consistent with the method the Commission used in Gulf’s most recent rate case.  (Neyman)</w:t>
      </w:r>
    </w:p>
    <w:p w:rsidR="00BB7506" w:rsidRPr="00677A87" w:rsidRDefault="00BB7506" w:rsidP="00600063">
      <w:pPr>
        <w:widowControl/>
        <w:tabs>
          <w:tab w:val="left" w:pos="-1440"/>
        </w:tabs>
        <w:ind w:left="1440" w:hanging="1440"/>
        <w:jc w:val="both"/>
        <w:rPr>
          <w:bCs/>
          <w:u w:val="single"/>
        </w:rPr>
      </w:pPr>
    </w:p>
    <w:p w:rsidR="005608DF" w:rsidRDefault="005608DF" w:rsidP="00600063">
      <w:pPr>
        <w:widowControl/>
        <w:tabs>
          <w:tab w:val="left" w:pos="-1440"/>
        </w:tabs>
        <w:ind w:left="1440" w:hanging="1440"/>
        <w:jc w:val="both"/>
        <w:rPr>
          <w:bCs/>
          <w:u w:val="single"/>
        </w:rPr>
      </w:pPr>
    </w:p>
    <w:p w:rsidR="00DF30C4" w:rsidRPr="00677A87" w:rsidRDefault="00DF30C4" w:rsidP="00600063">
      <w:pPr>
        <w:widowControl/>
        <w:tabs>
          <w:tab w:val="left" w:pos="-1440"/>
        </w:tabs>
        <w:ind w:left="1440" w:hanging="1440"/>
        <w:jc w:val="both"/>
        <w:rPr>
          <w:bCs/>
          <w:u w:val="single"/>
        </w:rPr>
      </w:pPr>
    </w:p>
    <w:p w:rsidR="00FA1314" w:rsidRDefault="00FA1314" w:rsidP="005B28D9">
      <w:pPr>
        <w:tabs>
          <w:tab w:val="left" w:pos="-1440"/>
        </w:tabs>
        <w:ind w:left="1440" w:hanging="1440"/>
        <w:rPr>
          <w:b/>
          <w:u w:val="single"/>
        </w:rPr>
      </w:pPr>
    </w:p>
    <w:p w:rsidR="00FA1314" w:rsidRDefault="00FA1314" w:rsidP="005B28D9">
      <w:pPr>
        <w:tabs>
          <w:tab w:val="left" w:pos="-1440"/>
        </w:tabs>
        <w:ind w:left="1440" w:hanging="1440"/>
        <w:rPr>
          <w:b/>
          <w:u w:val="single"/>
        </w:rPr>
      </w:pPr>
    </w:p>
    <w:p w:rsidR="00BB7506" w:rsidRPr="00677A87" w:rsidRDefault="00BB7506" w:rsidP="005B28D9">
      <w:pPr>
        <w:tabs>
          <w:tab w:val="left" w:pos="-1440"/>
        </w:tabs>
        <w:ind w:left="1440" w:hanging="1440"/>
      </w:pPr>
      <w:r w:rsidRPr="00677A87">
        <w:rPr>
          <w:b/>
          <w:u w:val="single"/>
        </w:rPr>
        <w:lastRenderedPageBreak/>
        <w:t>Issue 54</w:t>
      </w:r>
      <w:r w:rsidRPr="00677A87">
        <w:t xml:space="preserve">:  </w:t>
      </w:r>
      <w:r w:rsidRPr="00677A87">
        <w:tab/>
        <w:t xml:space="preserve">What adjustment, if any, should be made to account for </w:t>
      </w:r>
      <w:r w:rsidR="00463D45" w:rsidRPr="00677A87">
        <w:t>affiliated activities</w:t>
      </w:r>
      <w:r w:rsidRPr="00677A87">
        <w:t xml:space="preserve">/transactions for the 2014 projected test year?  </w:t>
      </w:r>
    </w:p>
    <w:p w:rsidR="00BB7506" w:rsidRPr="00677A87" w:rsidRDefault="00BB7506" w:rsidP="00BB7506">
      <w:pPr>
        <w:tabs>
          <w:tab w:val="left" w:pos="-1440"/>
        </w:tabs>
        <w:jc w:val="both"/>
      </w:pPr>
    </w:p>
    <w:p w:rsidR="00BB7506" w:rsidRPr="00677A87" w:rsidRDefault="00BB7506" w:rsidP="009034F4">
      <w:pPr>
        <w:tabs>
          <w:tab w:val="left" w:pos="-1440"/>
        </w:tabs>
        <w:ind w:left="1440" w:hanging="1440"/>
        <w:jc w:val="both"/>
      </w:pPr>
      <w:r w:rsidRPr="00677A87">
        <w:rPr>
          <w:b/>
          <w:u w:val="single"/>
        </w:rPr>
        <w:t>GULF:</w:t>
      </w:r>
      <w:r w:rsidR="009034F4" w:rsidRPr="00677A87">
        <w:tab/>
        <w:t>No adjustment should be made related to affiliated activities or transactions. (McMillan)</w:t>
      </w:r>
    </w:p>
    <w:p w:rsidR="005608DF" w:rsidRPr="00677A87" w:rsidRDefault="005608DF" w:rsidP="009034F4">
      <w:pPr>
        <w:tabs>
          <w:tab w:val="left" w:pos="-1440"/>
        </w:tabs>
        <w:ind w:left="1440" w:hanging="1440"/>
        <w:jc w:val="both"/>
      </w:pPr>
    </w:p>
    <w:p w:rsidR="00BB7506" w:rsidRPr="00677A87" w:rsidRDefault="00BB7506" w:rsidP="00BB7506">
      <w:pPr>
        <w:tabs>
          <w:tab w:val="left" w:pos="-1440"/>
        </w:tabs>
        <w:jc w:val="both"/>
      </w:pPr>
    </w:p>
    <w:p w:rsidR="00BB7506" w:rsidRPr="00677A87" w:rsidRDefault="00BB7506" w:rsidP="005B28D9">
      <w:pPr>
        <w:tabs>
          <w:tab w:val="left" w:pos="-1440"/>
        </w:tabs>
        <w:ind w:left="1440" w:hanging="1440"/>
      </w:pPr>
      <w:r w:rsidRPr="00677A87">
        <w:rPr>
          <w:b/>
          <w:u w:val="single"/>
        </w:rPr>
        <w:t>Issue 55</w:t>
      </w:r>
      <w:r w:rsidRPr="00677A87">
        <w:t xml:space="preserve">:  </w:t>
      </w:r>
      <w:r w:rsidR="005B28D9" w:rsidRPr="00677A87">
        <w:tab/>
      </w:r>
      <w:r w:rsidRPr="00677A87">
        <w:t xml:space="preserve">Is Gulf's requested level of O&amp;M Expense in the amount of $290,199,000 ($295,916,000 system) for the 2014 projected test year appropriate?  </w:t>
      </w:r>
      <w:r w:rsidRPr="00677A87">
        <w:rPr>
          <w:color w:val="0D0D0D"/>
        </w:rPr>
        <w:t>If not, what is the appropriate amount?</w:t>
      </w:r>
      <w:r w:rsidRPr="00677A87">
        <w:t xml:space="preserve"> </w:t>
      </w:r>
    </w:p>
    <w:p w:rsidR="00BB7506" w:rsidRPr="00677A87" w:rsidRDefault="00BB7506" w:rsidP="00BB7506">
      <w:pPr>
        <w:jc w:val="both"/>
        <w:rPr>
          <w:u w:val="single"/>
        </w:rPr>
      </w:pPr>
    </w:p>
    <w:p w:rsidR="000E3EF9" w:rsidRPr="00677A87" w:rsidRDefault="00BB7506" w:rsidP="000E3EF9">
      <w:pPr>
        <w:tabs>
          <w:tab w:val="left" w:pos="-1440"/>
        </w:tabs>
        <w:ind w:left="1440" w:hanging="1440"/>
        <w:jc w:val="both"/>
      </w:pPr>
      <w:r w:rsidRPr="00677A87">
        <w:rPr>
          <w:b/>
          <w:u w:val="single"/>
        </w:rPr>
        <w:t>GULF:</w:t>
      </w:r>
      <w:r w:rsidR="005608DF" w:rsidRPr="00677A87">
        <w:tab/>
      </w:r>
      <w:r w:rsidR="000E3EF9" w:rsidRPr="00677A87">
        <w:t>Yes.  Gulf’s requested level of O&amp;M Expenses in the amount of $290,199,000 ($295,916,000 system) for the 2014 projected test year is appropriate.  (Ritenour)</w:t>
      </w:r>
    </w:p>
    <w:p w:rsidR="000E3EF9" w:rsidRPr="00677A87" w:rsidRDefault="000E3EF9" w:rsidP="000E3EF9">
      <w:pPr>
        <w:jc w:val="both"/>
        <w:rPr>
          <w:u w:val="single"/>
        </w:rPr>
      </w:pPr>
    </w:p>
    <w:p w:rsidR="00BB7506" w:rsidRPr="00677A87" w:rsidRDefault="00BB7506" w:rsidP="000E3EF9">
      <w:pPr>
        <w:tabs>
          <w:tab w:val="left" w:pos="-1440"/>
        </w:tabs>
        <w:jc w:val="both"/>
        <w:rPr>
          <w:u w:val="single"/>
        </w:rPr>
      </w:pPr>
    </w:p>
    <w:p w:rsidR="00BB7506" w:rsidRPr="00677A87" w:rsidRDefault="00BB7506" w:rsidP="005B28D9">
      <w:pPr>
        <w:tabs>
          <w:tab w:val="left" w:pos="-1440"/>
        </w:tabs>
        <w:ind w:left="1440" w:hanging="1440"/>
      </w:pPr>
      <w:r w:rsidRPr="00677A87">
        <w:rPr>
          <w:b/>
          <w:u w:val="single"/>
        </w:rPr>
        <w:t>Issue 56</w:t>
      </w:r>
      <w:r w:rsidRPr="00677A87">
        <w:t>:</w:t>
      </w:r>
      <w:r w:rsidR="005B28D9" w:rsidRPr="00677A87">
        <w:tab/>
      </w:r>
      <w:r w:rsidRPr="00677A87">
        <w:t xml:space="preserve">What is the appropriate amount of depreciation and fossil dismantlement expense for the 2014 projected test year?  </w:t>
      </w:r>
    </w:p>
    <w:p w:rsidR="00BB7506" w:rsidRPr="00677A87" w:rsidRDefault="00BB7506" w:rsidP="00BB7506">
      <w:pPr>
        <w:tabs>
          <w:tab w:val="left" w:pos="-1440"/>
        </w:tabs>
        <w:jc w:val="both"/>
      </w:pPr>
    </w:p>
    <w:p w:rsidR="004B6FAD" w:rsidRPr="00677A87" w:rsidRDefault="00BB7506" w:rsidP="004B6FAD">
      <w:pPr>
        <w:tabs>
          <w:tab w:val="left" w:pos="-1440"/>
        </w:tabs>
        <w:ind w:left="1440" w:hanging="1440"/>
        <w:jc w:val="both"/>
        <w:rPr>
          <w:snapToGrid/>
          <w:szCs w:val="24"/>
        </w:rPr>
      </w:pPr>
      <w:r w:rsidRPr="00677A87">
        <w:rPr>
          <w:b/>
          <w:u w:val="single"/>
        </w:rPr>
        <w:t>GULF:</w:t>
      </w:r>
      <w:r w:rsidR="005B28D9" w:rsidRPr="00677A87">
        <w:tab/>
      </w:r>
      <w:r w:rsidR="004B6FAD" w:rsidRPr="00677A87">
        <w:rPr>
          <w:snapToGrid/>
          <w:szCs w:val="24"/>
        </w:rPr>
        <w:t>The appropriate amount of depreciation and fossil dismantlement expense for the 2014 projected test year is $104,505,000 ($106,427,000 system).  These are the expenses developed in Gulf’s extensive depreciation and dismantlement studies.  No adjustments proposed by the intervenors to either study are warranted.  (Erickson, Huck</w:t>
      </w:r>
      <w:proofErr w:type="gramStart"/>
      <w:r w:rsidR="004B6FAD" w:rsidRPr="00677A87">
        <w:rPr>
          <w:snapToGrid/>
          <w:szCs w:val="24"/>
        </w:rPr>
        <w:t xml:space="preserve">, </w:t>
      </w:r>
      <w:r w:rsidR="00190EEC">
        <w:rPr>
          <w:snapToGrid/>
          <w:szCs w:val="24"/>
        </w:rPr>
        <w:t xml:space="preserve"> Ritenour</w:t>
      </w:r>
      <w:proofErr w:type="gramEnd"/>
      <w:r w:rsidR="00963352">
        <w:rPr>
          <w:snapToGrid/>
          <w:szCs w:val="24"/>
        </w:rPr>
        <w:t>,</w:t>
      </w:r>
      <w:r w:rsidR="00963352" w:rsidRPr="00963352">
        <w:rPr>
          <w:snapToGrid/>
          <w:szCs w:val="24"/>
        </w:rPr>
        <w:t xml:space="preserve"> </w:t>
      </w:r>
      <w:r w:rsidR="00963352" w:rsidRPr="00677A87">
        <w:rPr>
          <w:snapToGrid/>
          <w:szCs w:val="24"/>
        </w:rPr>
        <w:t>Deason</w:t>
      </w:r>
      <w:r w:rsidR="004B6FAD" w:rsidRPr="00677A87">
        <w:rPr>
          <w:snapToGrid/>
          <w:szCs w:val="24"/>
        </w:rPr>
        <w:t>)</w:t>
      </w:r>
    </w:p>
    <w:p w:rsidR="004049A9" w:rsidRPr="00677A87" w:rsidRDefault="004049A9" w:rsidP="004049A9">
      <w:pPr>
        <w:tabs>
          <w:tab w:val="left" w:pos="-1440"/>
        </w:tabs>
        <w:ind w:left="1440" w:hanging="1440"/>
        <w:jc w:val="both"/>
        <w:rPr>
          <w:snapToGrid/>
          <w:szCs w:val="24"/>
        </w:rPr>
      </w:pPr>
    </w:p>
    <w:p w:rsidR="00BB7506" w:rsidRPr="00677A87" w:rsidRDefault="00BB7506" w:rsidP="00BB7506">
      <w:pPr>
        <w:tabs>
          <w:tab w:val="left" w:pos="-1440"/>
        </w:tabs>
        <w:jc w:val="both"/>
      </w:pPr>
    </w:p>
    <w:p w:rsidR="00BB7506" w:rsidRPr="00677A87" w:rsidRDefault="00BB7506" w:rsidP="005B28D9">
      <w:pPr>
        <w:tabs>
          <w:tab w:val="left" w:pos="-1440"/>
        </w:tabs>
        <w:ind w:left="1440" w:hanging="1440"/>
      </w:pPr>
      <w:r w:rsidRPr="00677A87">
        <w:rPr>
          <w:b/>
          <w:u w:val="single"/>
        </w:rPr>
        <w:t>Issue 57</w:t>
      </w:r>
      <w:r w:rsidRPr="00677A87">
        <w:t xml:space="preserve">:  </w:t>
      </w:r>
      <w:r w:rsidR="005B28D9" w:rsidRPr="00677A87">
        <w:tab/>
      </w:r>
      <w:r w:rsidRPr="00677A87">
        <w:t xml:space="preserve">Should an adjustment be made to Taxes Other Than Income Taxes for the 2014 projected test year?  </w:t>
      </w:r>
    </w:p>
    <w:p w:rsidR="00BB7506" w:rsidRPr="00677A87" w:rsidRDefault="00BB7506" w:rsidP="00BB7506">
      <w:pPr>
        <w:tabs>
          <w:tab w:val="left" w:pos="-1440"/>
        </w:tabs>
        <w:jc w:val="both"/>
      </w:pPr>
    </w:p>
    <w:p w:rsidR="004049A9" w:rsidRDefault="00BB7506" w:rsidP="006A22D8">
      <w:pPr>
        <w:tabs>
          <w:tab w:val="left" w:pos="-1440"/>
        </w:tabs>
        <w:ind w:left="1440" w:hanging="1440"/>
        <w:jc w:val="both"/>
        <w:rPr>
          <w:snapToGrid/>
          <w:szCs w:val="24"/>
        </w:rPr>
      </w:pPr>
      <w:r w:rsidRPr="00677A87">
        <w:rPr>
          <w:b/>
          <w:u w:val="single"/>
        </w:rPr>
        <w:t>GULF:</w:t>
      </w:r>
      <w:r w:rsidR="005608DF" w:rsidRPr="00677A87">
        <w:tab/>
      </w:r>
      <w:r w:rsidR="004049A9" w:rsidRPr="00677A87">
        <w:rPr>
          <w:snapToGrid/>
          <w:szCs w:val="24"/>
        </w:rPr>
        <w:t>No</w:t>
      </w:r>
      <w:r w:rsidR="00A02C4E">
        <w:rPr>
          <w:snapToGrid/>
          <w:szCs w:val="24"/>
        </w:rPr>
        <w:t xml:space="preserve">.  </w:t>
      </w:r>
      <w:r w:rsidR="00A02C4E">
        <w:t>This issue is not contested in testimony and it appears it could be stipulated.</w:t>
      </w:r>
      <w:r w:rsidR="004049A9" w:rsidRPr="00677A87">
        <w:rPr>
          <w:snapToGrid/>
          <w:szCs w:val="24"/>
        </w:rPr>
        <w:t xml:space="preserve"> (Erickson)</w:t>
      </w:r>
    </w:p>
    <w:p w:rsidR="0074705E" w:rsidRPr="00677A87" w:rsidRDefault="0074705E" w:rsidP="006A22D8">
      <w:pPr>
        <w:tabs>
          <w:tab w:val="left" w:pos="-1440"/>
        </w:tabs>
        <w:ind w:left="1440" w:hanging="1440"/>
        <w:jc w:val="both"/>
        <w:rPr>
          <w:snapToGrid/>
          <w:szCs w:val="24"/>
        </w:rPr>
      </w:pPr>
    </w:p>
    <w:p w:rsidR="00BB7506" w:rsidRPr="00677A87" w:rsidRDefault="00BB7506" w:rsidP="005B28D9">
      <w:pPr>
        <w:tabs>
          <w:tab w:val="left" w:pos="-1440"/>
        </w:tabs>
        <w:ind w:left="1440" w:hanging="1440"/>
      </w:pPr>
      <w:r w:rsidRPr="00677A87">
        <w:rPr>
          <w:b/>
          <w:u w:val="single"/>
        </w:rPr>
        <w:t>Issue 58</w:t>
      </w:r>
      <w:r w:rsidRPr="00677A87">
        <w:rPr>
          <w:b/>
        </w:rPr>
        <w:t xml:space="preserve">:  </w:t>
      </w:r>
      <w:r w:rsidR="005B28D9" w:rsidRPr="00677A87">
        <w:rPr>
          <w:b/>
        </w:rPr>
        <w:tab/>
      </w:r>
      <w:r w:rsidRPr="00677A87">
        <w:t xml:space="preserve">Should the current amortization of investment tax credits (ITCs) and flow back of excess deferred income taxes (EDITs) be revised to reflect the approved depreciation rates and amortizations? </w:t>
      </w:r>
    </w:p>
    <w:p w:rsidR="00BB7506" w:rsidRPr="00677A87" w:rsidRDefault="00BB7506" w:rsidP="00BB7506">
      <w:pPr>
        <w:tabs>
          <w:tab w:val="left" w:pos="-1440"/>
        </w:tabs>
        <w:jc w:val="both"/>
      </w:pPr>
    </w:p>
    <w:p w:rsidR="000950B0" w:rsidRPr="00677A87" w:rsidRDefault="00BB7506" w:rsidP="000950B0">
      <w:pPr>
        <w:tabs>
          <w:tab w:val="left" w:pos="-1440"/>
        </w:tabs>
        <w:jc w:val="both"/>
        <w:rPr>
          <w:snapToGrid/>
          <w:szCs w:val="24"/>
        </w:rPr>
      </w:pPr>
      <w:r w:rsidRPr="00677A87">
        <w:rPr>
          <w:b/>
          <w:u w:val="single"/>
        </w:rPr>
        <w:t>GULF:</w:t>
      </w:r>
      <w:r w:rsidR="005B28D9" w:rsidRPr="00677A87">
        <w:tab/>
      </w:r>
      <w:r w:rsidR="000950B0" w:rsidRPr="00677A87">
        <w:rPr>
          <w:snapToGrid/>
          <w:szCs w:val="24"/>
        </w:rPr>
        <w:t xml:space="preserve">Yes, once </w:t>
      </w:r>
      <w:r w:rsidR="006F4261">
        <w:rPr>
          <w:snapToGrid/>
          <w:szCs w:val="24"/>
        </w:rPr>
        <w:t xml:space="preserve">new </w:t>
      </w:r>
      <w:r w:rsidR="000950B0" w:rsidRPr="00677A87">
        <w:rPr>
          <w:snapToGrid/>
          <w:szCs w:val="24"/>
        </w:rPr>
        <w:t xml:space="preserve">depreciation rates and amortizations have been approved.  </w:t>
      </w:r>
      <w:r w:rsidR="008A69D7">
        <w:rPr>
          <w:snapToGrid/>
          <w:szCs w:val="24"/>
        </w:rPr>
        <w:tab/>
      </w:r>
      <w:r w:rsidR="008A69D7">
        <w:rPr>
          <w:snapToGrid/>
          <w:szCs w:val="24"/>
        </w:rPr>
        <w:tab/>
      </w:r>
      <w:r w:rsidR="008A69D7">
        <w:rPr>
          <w:snapToGrid/>
          <w:szCs w:val="24"/>
        </w:rPr>
        <w:tab/>
      </w:r>
      <w:r w:rsidR="008A69D7">
        <w:rPr>
          <w:snapToGrid/>
          <w:szCs w:val="24"/>
        </w:rPr>
        <w:tab/>
      </w:r>
      <w:r w:rsidR="000950B0" w:rsidRPr="00677A87">
        <w:rPr>
          <w:snapToGrid/>
          <w:szCs w:val="24"/>
        </w:rPr>
        <w:t>(Erickson)</w:t>
      </w:r>
    </w:p>
    <w:p w:rsidR="000C1334" w:rsidRDefault="000C1334" w:rsidP="005B28D9">
      <w:pPr>
        <w:tabs>
          <w:tab w:val="left" w:pos="-1440"/>
        </w:tabs>
        <w:ind w:left="1440" w:hanging="1440"/>
        <w:rPr>
          <w:b/>
          <w:u w:val="single"/>
        </w:rPr>
      </w:pPr>
    </w:p>
    <w:p w:rsidR="00BB7506" w:rsidRPr="00677A87" w:rsidRDefault="00BB7506" w:rsidP="005B28D9">
      <w:pPr>
        <w:tabs>
          <w:tab w:val="left" w:pos="-1440"/>
        </w:tabs>
        <w:ind w:left="1440" w:hanging="1440"/>
      </w:pPr>
      <w:r w:rsidRPr="00677A87">
        <w:rPr>
          <w:b/>
          <w:u w:val="single"/>
        </w:rPr>
        <w:t>Issue 59</w:t>
      </w:r>
      <w:r w:rsidRPr="00677A87">
        <w:t xml:space="preserve">:  </w:t>
      </w:r>
      <w:r w:rsidR="005B28D9" w:rsidRPr="00677A87">
        <w:tab/>
      </w:r>
      <w:r w:rsidRPr="00677A87">
        <w:t>Is it appropriate to make a parent debt adjustment per Rule 25-14.004, Florida Administrative Code?  If so, what adjustment should be made?</w:t>
      </w:r>
    </w:p>
    <w:p w:rsidR="00BB7506" w:rsidRPr="00677A87" w:rsidRDefault="00BB7506" w:rsidP="00BB7506">
      <w:pPr>
        <w:tabs>
          <w:tab w:val="left" w:pos="-1440"/>
        </w:tabs>
        <w:jc w:val="both"/>
      </w:pPr>
    </w:p>
    <w:p w:rsidR="00050880" w:rsidRPr="00677A87" w:rsidRDefault="00BB7506" w:rsidP="00050880">
      <w:pPr>
        <w:tabs>
          <w:tab w:val="left" w:pos="1080"/>
        </w:tabs>
        <w:ind w:left="1440" w:hanging="1440"/>
        <w:rPr>
          <w:snapToGrid/>
          <w:szCs w:val="24"/>
        </w:rPr>
      </w:pPr>
      <w:r w:rsidRPr="00677A87">
        <w:rPr>
          <w:b/>
          <w:u w:val="single"/>
        </w:rPr>
        <w:t>GULF:</w:t>
      </w:r>
      <w:r w:rsidR="005B28D9" w:rsidRPr="00677A87">
        <w:tab/>
      </w:r>
      <w:r w:rsidR="00050880" w:rsidRPr="00677A87">
        <w:tab/>
      </w:r>
      <w:r w:rsidR="00050880" w:rsidRPr="00677A87">
        <w:rPr>
          <w:snapToGrid/>
          <w:szCs w:val="24"/>
        </w:rPr>
        <w:t>No.  Gulf has rebutted the presumption in the rule by demonstrating that equity contributions from Southern Company since the date of the last rate case have been supported by dividends paid to Southern by Gulf. This is the same basis on which the Commission rejected a parent debt adjustment in Gulf’s last rate case. (Teel)</w:t>
      </w:r>
    </w:p>
    <w:p w:rsidR="00BB7506" w:rsidRDefault="00BB7506" w:rsidP="00BB7506">
      <w:pPr>
        <w:tabs>
          <w:tab w:val="left" w:pos="-1440"/>
        </w:tabs>
        <w:jc w:val="both"/>
      </w:pPr>
    </w:p>
    <w:p w:rsidR="00BB7506" w:rsidRPr="00677A87" w:rsidRDefault="00BB7506" w:rsidP="005B28D9">
      <w:pPr>
        <w:tabs>
          <w:tab w:val="left" w:pos="-1440"/>
        </w:tabs>
        <w:ind w:left="1440" w:hanging="1440"/>
      </w:pPr>
      <w:r w:rsidRPr="00677A87">
        <w:rPr>
          <w:b/>
          <w:u w:val="single"/>
        </w:rPr>
        <w:t>Issue 60</w:t>
      </w:r>
      <w:r w:rsidRPr="00677A87">
        <w:t xml:space="preserve">:  </w:t>
      </w:r>
      <w:r w:rsidR="005B28D9" w:rsidRPr="00677A87">
        <w:tab/>
      </w:r>
      <w:r w:rsidRPr="00677A87">
        <w:t xml:space="preserve">Should an adjustment be made to Income Tax expense for the 2014 projected test year?  </w:t>
      </w:r>
    </w:p>
    <w:p w:rsidR="00BB7506" w:rsidRPr="00677A87" w:rsidRDefault="005B28D9" w:rsidP="00BB7506">
      <w:pPr>
        <w:tabs>
          <w:tab w:val="left" w:pos="-1440"/>
        </w:tabs>
        <w:jc w:val="both"/>
      </w:pPr>
      <w:r w:rsidRPr="00677A87">
        <w:tab/>
      </w:r>
      <w:r w:rsidRPr="00677A87">
        <w:tab/>
      </w:r>
    </w:p>
    <w:p w:rsidR="00275A1D" w:rsidRPr="00677A87" w:rsidRDefault="00BB7506" w:rsidP="006A22D8">
      <w:pPr>
        <w:tabs>
          <w:tab w:val="left" w:pos="-1440"/>
        </w:tabs>
        <w:ind w:left="1440" w:hanging="1440"/>
        <w:jc w:val="both"/>
        <w:rPr>
          <w:snapToGrid/>
          <w:szCs w:val="24"/>
        </w:rPr>
      </w:pPr>
      <w:r w:rsidRPr="00677A87">
        <w:rPr>
          <w:b/>
          <w:u w:val="single"/>
        </w:rPr>
        <w:t>GULF:</w:t>
      </w:r>
      <w:r w:rsidR="005B28D9" w:rsidRPr="00677A87">
        <w:tab/>
      </w:r>
      <w:r w:rsidR="00275A1D" w:rsidRPr="00677A87">
        <w:rPr>
          <w:snapToGrid/>
          <w:szCs w:val="24"/>
        </w:rPr>
        <w:t>No</w:t>
      </w:r>
      <w:r w:rsidR="00A02C4E">
        <w:rPr>
          <w:snapToGrid/>
          <w:szCs w:val="24"/>
        </w:rPr>
        <w:t xml:space="preserve">. </w:t>
      </w:r>
      <w:r w:rsidR="00A02C4E">
        <w:t>This issue is not contested in testimony and it appears it could be stipulated.</w:t>
      </w:r>
      <w:r w:rsidR="00275A1D" w:rsidRPr="00677A87">
        <w:rPr>
          <w:snapToGrid/>
          <w:szCs w:val="24"/>
        </w:rPr>
        <w:t xml:space="preserve">  (Erickson)</w:t>
      </w:r>
    </w:p>
    <w:p w:rsidR="00BB7506" w:rsidRPr="00677A87" w:rsidRDefault="00BB7506" w:rsidP="00BB7506">
      <w:pPr>
        <w:tabs>
          <w:tab w:val="left" w:pos="-1440"/>
        </w:tabs>
        <w:jc w:val="both"/>
      </w:pPr>
    </w:p>
    <w:p w:rsidR="00BB7506" w:rsidRPr="00677A87" w:rsidRDefault="00BB7506" w:rsidP="00BB7506">
      <w:pPr>
        <w:tabs>
          <w:tab w:val="left" w:pos="-1440"/>
        </w:tabs>
        <w:jc w:val="both"/>
      </w:pPr>
      <w:r w:rsidRPr="00677A87">
        <w:t xml:space="preserve"> </w:t>
      </w:r>
    </w:p>
    <w:p w:rsidR="00BB7506" w:rsidRPr="00677A87" w:rsidRDefault="00BB7506" w:rsidP="005B28D9">
      <w:pPr>
        <w:tabs>
          <w:tab w:val="left" w:pos="-1440"/>
        </w:tabs>
        <w:ind w:left="1440" w:hanging="1440"/>
        <w:rPr>
          <w:color w:val="0D0D0D"/>
        </w:rPr>
      </w:pPr>
      <w:r w:rsidRPr="00677A87">
        <w:rPr>
          <w:b/>
          <w:u w:val="single"/>
        </w:rPr>
        <w:t>Issue 61</w:t>
      </w:r>
      <w:r w:rsidRPr="00677A87">
        <w:t xml:space="preserve">:  </w:t>
      </w:r>
      <w:r w:rsidR="005B28D9" w:rsidRPr="00677A87">
        <w:tab/>
      </w:r>
      <w:r w:rsidRPr="00677A87">
        <w:t xml:space="preserve">Is Gulf’s requested level of Total Operating Expenses in the amount of $452,292,000 ($463,445,000 system) for the 2014 projected test year appropriate?  </w:t>
      </w:r>
      <w:r w:rsidRPr="00677A87">
        <w:rPr>
          <w:color w:val="0D0D0D"/>
        </w:rPr>
        <w:t xml:space="preserve">If not, what is the appropriate amount? </w:t>
      </w:r>
    </w:p>
    <w:p w:rsidR="00BB7506" w:rsidRPr="00677A87" w:rsidRDefault="00BB7506" w:rsidP="00BB7506">
      <w:pPr>
        <w:tabs>
          <w:tab w:val="left" w:pos="-1440"/>
        </w:tabs>
        <w:jc w:val="both"/>
        <w:rPr>
          <w:color w:val="0D0D0D"/>
        </w:rPr>
      </w:pPr>
    </w:p>
    <w:p w:rsidR="000E3EF9" w:rsidRPr="00677A87" w:rsidRDefault="00BB7506" w:rsidP="000E3EF9">
      <w:pPr>
        <w:tabs>
          <w:tab w:val="left" w:pos="-1440"/>
        </w:tabs>
        <w:ind w:left="1440" w:hanging="1440"/>
        <w:jc w:val="both"/>
      </w:pPr>
      <w:r w:rsidRPr="00677A87">
        <w:rPr>
          <w:b/>
          <w:u w:val="single"/>
        </w:rPr>
        <w:t>GULF:</w:t>
      </w:r>
      <w:r w:rsidR="005B28D9" w:rsidRPr="00677A87">
        <w:tab/>
      </w:r>
      <w:r w:rsidR="000E3EF9" w:rsidRPr="00677A87">
        <w:t xml:space="preserve">Yes.  Gulf’s requested level of Total Operating Expenses in the amount of $452,292,000 ($463,445,000 system) </w:t>
      </w:r>
      <w:r w:rsidR="00C26359">
        <w:t>for the 2014 projected test year</w:t>
      </w:r>
      <w:r w:rsidR="00C26359" w:rsidRPr="00677A87">
        <w:t xml:space="preserve"> </w:t>
      </w:r>
      <w:r w:rsidR="000E3EF9" w:rsidRPr="00677A87">
        <w:t>is appropriate.  (Ritenour)</w:t>
      </w:r>
    </w:p>
    <w:p w:rsidR="00BB7506" w:rsidRPr="00677A87" w:rsidRDefault="00BB7506" w:rsidP="00BB7506">
      <w:pPr>
        <w:tabs>
          <w:tab w:val="left" w:pos="-1440"/>
        </w:tabs>
        <w:jc w:val="both"/>
      </w:pPr>
    </w:p>
    <w:p w:rsidR="00BB7506" w:rsidRPr="00677A87" w:rsidRDefault="00BB7506" w:rsidP="00BB7506">
      <w:pPr>
        <w:tabs>
          <w:tab w:val="left" w:pos="-1440"/>
        </w:tabs>
        <w:jc w:val="both"/>
      </w:pPr>
    </w:p>
    <w:p w:rsidR="00BB7506" w:rsidRPr="00677A87" w:rsidRDefault="00BB7506" w:rsidP="005B28D9">
      <w:pPr>
        <w:tabs>
          <w:tab w:val="left" w:pos="-1440"/>
        </w:tabs>
        <w:ind w:left="1440" w:hanging="1440"/>
        <w:rPr>
          <w:color w:val="0D0D0D"/>
        </w:rPr>
      </w:pPr>
      <w:r w:rsidRPr="00677A87">
        <w:rPr>
          <w:b/>
          <w:u w:val="single"/>
        </w:rPr>
        <w:t>Issue 62</w:t>
      </w:r>
      <w:r w:rsidRPr="00677A87">
        <w:t>:</w:t>
      </w:r>
      <w:r w:rsidR="005B28D9" w:rsidRPr="00677A87">
        <w:tab/>
      </w:r>
      <w:r w:rsidRPr="00677A87">
        <w:t xml:space="preserve">Is Gulf's projected Net Operating Income in the amount of $76,359,000 ($81,554,000 system) for the 2014 projected test year appropriate?   </w:t>
      </w:r>
      <w:r w:rsidRPr="00677A87">
        <w:rPr>
          <w:color w:val="0D0D0D"/>
        </w:rPr>
        <w:t>If not, what is the appropriate amount?</w:t>
      </w:r>
    </w:p>
    <w:p w:rsidR="00BB7506" w:rsidRPr="00677A87" w:rsidRDefault="00BB7506" w:rsidP="00600063">
      <w:pPr>
        <w:widowControl/>
        <w:tabs>
          <w:tab w:val="left" w:pos="-1440"/>
        </w:tabs>
        <w:ind w:left="1440" w:hanging="1440"/>
        <w:jc w:val="both"/>
        <w:rPr>
          <w:bCs/>
          <w:u w:val="single"/>
        </w:rPr>
      </w:pPr>
    </w:p>
    <w:p w:rsidR="00136DF2" w:rsidRPr="00677A87" w:rsidRDefault="00BB7506" w:rsidP="00136DF2">
      <w:pPr>
        <w:tabs>
          <w:tab w:val="left" w:pos="-1440"/>
        </w:tabs>
        <w:ind w:left="1440" w:hanging="1440"/>
        <w:jc w:val="both"/>
      </w:pPr>
      <w:r w:rsidRPr="00677A87">
        <w:rPr>
          <w:b/>
          <w:u w:val="single"/>
        </w:rPr>
        <w:t>GULF:</w:t>
      </w:r>
      <w:r w:rsidR="005B28D9" w:rsidRPr="00677A87">
        <w:tab/>
      </w:r>
      <w:r w:rsidR="00136DF2" w:rsidRPr="00677A87">
        <w:t>Yes.  Gulf’s projected Net Operating Income in the amount of $76,359,000 ($81,554,000 system) for the 2014 projected test year is appropriate.  (Ritenour)</w:t>
      </w:r>
    </w:p>
    <w:p w:rsidR="004E7111" w:rsidRDefault="004E7111" w:rsidP="00530FB5">
      <w:pPr>
        <w:widowControl/>
        <w:jc w:val="both"/>
        <w:rPr>
          <w:bCs/>
          <w:u w:val="single"/>
        </w:rPr>
      </w:pPr>
    </w:p>
    <w:p w:rsidR="004E7111" w:rsidRPr="00677A87" w:rsidRDefault="004E7111" w:rsidP="00530FB5">
      <w:pPr>
        <w:widowControl/>
        <w:jc w:val="both"/>
        <w:rPr>
          <w:bCs/>
          <w:u w:val="single"/>
        </w:rPr>
      </w:pPr>
    </w:p>
    <w:p w:rsidR="00530FB5" w:rsidRPr="00677A87" w:rsidRDefault="00530FB5" w:rsidP="00530FB5">
      <w:pPr>
        <w:widowControl/>
        <w:jc w:val="center"/>
      </w:pPr>
      <w:r w:rsidRPr="00677A87">
        <w:rPr>
          <w:b/>
          <w:bCs/>
          <w:u w:val="single"/>
        </w:rPr>
        <w:t>Revenue Requirements</w:t>
      </w:r>
    </w:p>
    <w:p w:rsidR="00530FB5" w:rsidRPr="00677A87" w:rsidRDefault="00530FB5" w:rsidP="00530FB5">
      <w:pPr>
        <w:widowControl/>
        <w:jc w:val="both"/>
        <w:rPr>
          <w:u w:val="single"/>
        </w:rPr>
      </w:pPr>
    </w:p>
    <w:p w:rsidR="00530FB5" w:rsidRPr="00677A87" w:rsidRDefault="00530FB5" w:rsidP="00530FB5">
      <w:pPr>
        <w:widowControl/>
        <w:tabs>
          <w:tab w:val="left" w:pos="-1440"/>
        </w:tabs>
        <w:ind w:left="1440" w:hanging="1440"/>
        <w:jc w:val="both"/>
      </w:pPr>
      <w:r w:rsidRPr="00677A87">
        <w:rPr>
          <w:b/>
          <w:u w:val="single"/>
        </w:rPr>
        <w:t xml:space="preserve">Issue </w:t>
      </w:r>
      <w:r w:rsidR="00BB7506" w:rsidRPr="00677A87">
        <w:rPr>
          <w:b/>
          <w:u w:val="single"/>
        </w:rPr>
        <w:t>63</w:t>
      </w:r>
      <w:r w:rsidRPr="00677A87">
        <w:t>:</w:t>
      </w:r>
      <w:r w:rsidRPr="00677A87">
        <w:tab/>
        <w:t xml:space="preserve">What </w:t>
      </w:r>
      <w:proofErr w:type="gramStart"/>
      <w:r w:rsidRPr="00677A87">
        <w:t>is</w:t>
      </w:r>
      <w:proofErr w:type="gramEnd"/>
      <w:r w:rsidRPr="00677A87">
        <w:t xml:space="preserve"> the appropriate revenue expansion factor and the appropriate net operating income multiplier, including the appropriate elements and rates for Gulf?  </w:t>
      </w:r>
    </w:p>
    <w:p w:rsidR="00530FB5" w:rsidRPr="00677A87" w:rsidRDefault="00530FB5" w:rsidP="00530FB5">
      <w:pPr>
        <w:widowControl/>
        <w:jc w:val="both"/>
        <w:rPr>
          <w:u w:val="single"/>
        </w:rPr>
      </w:pPr>
    </w:p>
    <w:p w:rsidR="00136DF2" w:rsidRPr="00677A87" w:rsidRDefault="00530FB5" w:rsidP="00136DF2">
      <w:pPr>
        <w:tabs>
          <w:tab w:val="left" w:pos="-1440"/>
        </w:tabs>
        <w:ind w:left="1440" w:hanging="1440"/>
        <w:jc w:val="both"/>
      </w:pPr>
      <w:r w:rsidRPr="00677A87">
        <w:rPr>
          <w:b/>
          <w:u w:val="single"/>
        </w:rPr>
        <w:t>GULF:</w:t>
      </w:r>
      <w:r w:rsidR="005B28D9" w:rsidRPr="00677A87">
        <w:tab/>
      </w:r>
      <w:r w:rsidR="00136DF2" w:rsidRPr="00677A87">
        <w:t>The appropriate revenue expansion factor is 61.2006 and the appropriate net operating income multiplier is 1.633971.</w:t>
      </w:r>
      <w:r w:rsidR="0075656B">
        <w:t xml:space="preserve">  This issue is not contested in testimony and it appears it could be stipulated. </w:t>
      </w:r>
      <w:r w:rsidR="0075656B" w:rsidRPr="00677A87">
        <w:t xml:space="preserve"> </w:t>
      </w:r>
      <w:r w:rsidR="00136DF2" w:rsidRPr="00677A87">
        <w:t xml:space="preserve"> (Ritenour)</w:t>
      </w:r>
    </w:p>
    <w:p w:rsidR="00530FB5" w:rsidRPr="00677A87" w:rsidRDefault="00530FB5" w:rsidP="00530FB5">
      <w:pPr>
        <w:widowControl/>
        <w:tabs>
          <w:tab w:val="left" w:pos="-1440"/>
        </w:tabs>
        <w:ind w:left="1440" w:hanging="1440"/>
        <w:jc w:val="both"/>
      </w:pPr>
      <w:r w:rsidRPr="00677A87">
        <w:rPr>
          <w:b/>
        </w:rPr>
        <w:tab/>
      </w:r>
    </w:p>
    <w:p w:rsidR="00084A98" w:rsidRPr="00677A87" w:rsidRDefault="00084A98" w:rsidP="00530FB5">
      <w:pPr>
        <w:widowControl/>
        <w:jc w:val="both"/>
        <w:rPr>
          <w:u w:val="single"/>
        </w:rPr>
      </w:pPr>
    </w:p>
    <w:p w:rsidR="00BB7506" w:rsidRPr="00677A87" w:rsidRDefault="00BB7506" w:rsidP="005B28D9">
      <w:pPr>
        <w:tabs>
          <w:tab w:val="left" w:pos="-1440"/>
        </w:tabs>
        <w:ind w:left="1440" w:hanging="1440"/>
        <w:rPr>
          <w:color w:val="0D0D0D"/>
        </w:rPr>
      </w:pPr>
      <w:r w:rsidRPr="005115F1">
        <w:rPr>
          <w:b/>
          <w:u w:val="single"/>
        </w:rPr>
        <w:t>Issue 64</w:t>
      </w:r>
      <w:r w:rsidRPr="005115F1">
        <w:t xml:space="preserve">:  </w:t>
      </w:r>
      <w:r w:rsidR="005B28D9" w:rsidRPr="005115F1">
        <w:tab/>
      </w:r>
      <w:r w:rsidRPr="005115F1">
        <w:t>Is Gulf’s requested annual operating revenue increase of $74,393,000 for the 2014</w:t>
      </w:r>
      <w:r w:rsidRPr="00677A87">
        <w:t xml:space="preserve"> projected test year appropriate?  </w:t>
      </w:r>
      <w:r w:rsidRPr="00677A87">
        <w:rPr>
          <w:color w:val="0D0D0D"/>
        </w:rPr>
        <w:t>If not, what is the appropriate amount?</w:t>
      </w:r>
    </w:p>
    <w:p w:rsidR="005B28D9" w:rsidRPr="00677A87" w:rsidRDefault="005B28D9" w:rsidP="005B28D9">
      <w:pPr>
        <w:tabs>
          <w:tab w:val="left" w:pos="-1440"/>
        </w:tabs>
        <w:ind w:left="1440" w:hanging="1440"/>
      </w:pPr>
    </w:p>
    <w:p w:rsidR="0044602B" w:rsidRPr="00677A87" w:rsidRDefault="005B28D9" w:rsidP="0044602B">
      <w:pPr>
        <w:tabs>
          <w:tab w:val="left" w:pos="-1440"/>
        </w:tabs>
        <w:ind w:left="1440" w:hanging="1440"/>
        <w:jc w:val="both"/>
      </w:pPr>
      <w:r w:rsidRPr="00677A87">
        <w:rPr>
          <w:b/>
          <w:u w:val="single"/>
        </w:rPr>
        <w:t>GULF:</w:t>
      </w:r>
      <w:r w:rsidRPr="00677A87">
        <w:tab/>
      </w:r>
      <w:r w:rsidR="0044602B" w:rsidRPr="00677A87">
        <w:t>Yes.  Gulf’s requested annual operating revenue increase of $74,393,000 for the 2014 projected test year is appropriate.  (Ritenour)</w:t>
      </w:r>
    </w:p>
    <w:p w:rsidR="00BB7506" w:rsidRPr="00677A87" w:rsidRDefault="00BB7506" w:rsidP="0044602B">
      <w:pPr>
        <w:tabs>
          <w:tab w:val="left" w:pos="-1440"/>
        </w:tabs>
        <w:ind w:left="1440" w:hanging="1440"/>
        <w:rPr>
          <w:b/>
          <w:bCs/>
          <w:u w:val="single"/>
        </w:rPr>
      </w:pPr>
    </w:p>
    <w:p w:rsidR="00037FF1" w:rsidRDefault="00037FF1" w:rsidP="005B28D9">
      <w:pPr>
        <w:ind w:left="1440" w:hanging="1440"/>
        <w:rPr>
          <w:b/>
          <w:bCs/>
          <w:u w:val="single"/>
        </w:rPr>
      </w:pPr>
    </w:p>
    <w:p w:rsidR="00037FF1" w:rsidRDefault="00037FF1" w:rsidP="005B28D9">
      <w:pPr>
        <w:ind w:left="1440" w:hanging="1440"/>
        <w:rPr>
          <w:b/>
          <w:bCs/>
          <w:u w:val="single"/>
        </w:rPr>
      </w:pPr>
    </w:p>
    <w:p w:rsidR="00037FF1" w:rsidRDefault="00037FF1" w:rsidP="005B28D9">
      <w:pPr>
        <w:ind w:left="1440" w:hanging="1440"/>
        <w:rPr>
          <w:b/>
          <w:bCs/>
          <w:u w:val="single"/>
        </w:rPr>
      </w:pPr>
    </w:p>
    <w:p w:rsidR="00037FF1" w:rsidRDefault="00037FF1" w:rsidP="005B28D9">
      <w:pPr>
        <w:ind w:left="1440" w:hanging="1440"/>
        <w:rPr>
          <w:b/>
          <w:bCs/>
          <w:u w:val="single"/>
        </w:rPr>
      </w:pPr>
    </w:p>
    <w:p w:rsidR="00BB7506" w:rsidRPr="00677A87" w:rsidRDefault="00BB7506" w:rsidP="005B28D9">
      <w:pPr>
        <w:ind w:left="1440" w:hanging="1440"/>
        <w:rPr>
          <w:bCs/>
        </w:rPr>
      </w:pPr>
      <w:r w:rsidRPr="00677A87">
        <w:rPr>
          <w:b/>
          <w:bCs/>
          <w:u w:val="single"/>
        </w:rPr>
        <w:lastRenderedPageBreak/>
        <w:t>Issue 65</w:t>
      </w:r>
      <w:r w:rsidRPr="00677A87">
        <w:rPr>
          <w:b/>
          <w:bCs/>
        </w:rPr>
        <w:t>:</w:t>
      </w:r>
      <w:r w:rsidRPr="00677A87">
        <w:rPr>
          <w:bCs/>
        </w:rPr>
        <w:t xml:space="preserve"> </w:t>
      </w:r>
      <w:r w:rsidR="005B28D9" w:rsidRPr="00677A87">
        <w:rPr>
          <w:bCs/>
        </w:rPr>
        <w:tab/>
      </w:r>
      <w:r w:rsidRPr="00677A87">
        <w:rPr>
          <w:bCs/>
        </w:rPr>
        <w:t>Should the Commission approve Gulf’s request to recover a step increase of $16,392,000, effective July 1, 2015, for the Plant Crist and Plant Smith transmission upgrade projects</w:t>
      </w:r>
      <w:r w:rsidR="00463D45" w:rsidRPr="00677A87">
        <w:rPr>
          <w:bCs/>
        </w:rPr>
        <w:t xml:space="preserve"> listed in Issue Nos.____ and _____ above</w:t>
      </w:r>
      <w:r w:rsidRPr="00677A87">
        <w:rPr>
          <w:bCs/>
        </w:rPr>
        <w:t xml:space="preserve">?  </w:t>
      </w:r>
    </w:p>
    <w:p w:rsidR="005B28D9" w:rsidRPr="00677A87" w:rsidRDefault="005B28D9" w:rsidP="005B28D9">
      <w:pPr>
        <w:ind w:left="1440" w:hanging="1440"/>
        <w:rPr>
          <w:bCs/>
        </w:rPr>
      </w:pPr>
    </w:p>
    <w:p w:rsidR="005B28D9" w:rsidRPr="00677A87" w:rsidRDefault="005B28D9" w:rsidP="005B28D9">
      <w:pPr>
        <w:ind w:left="1440" w:hanging="1440"/>
      </w:pPr>
      <w:r w:rsidRPr="00677A87">
        <w:rPr>
          <w:b/>
          <w:u w:val="single"/>
        </w:rPr>
        <w:t>GULF:</w:t>
      </w:r>
      <w:r w:rsidRPr="00677A87">
        <w:tab/>
      </w:r>
      <w:r w:rsidR="00775BCD" w:rsidRPr="00677A87">
        <w:rPr>
          <w:snapToGrid/>
          <w:szCs w:val="24"/>
        </w:rPr>
        <w:t>These</w:t>
      </w:r>
      <w:r w:rsidR="00775BCD" w:rsidRPr="00677A87">
        <w:rPr>
          <w:szCs w:val="24"/>
        </w:rPr>
        <w:t xml:space="preserve"> transmission projects </w:t>
      </w:r>
      <w:r w:rsidR="00775BCD">
        <w:rPr>
          <w:szCs w:val="24"/>
        </w:rPr>
        <w:t>are</w:t>
      </w:r>
      <w:r w:rsidR="00775BCD" w:rsidRPr="00677A87">
        <w:rPr>
          <w:szCs w:val="24"/>
        </w:rPr>
        <w:t xml:space="preserve"> the most reasonable, cost-effective means of complying with the new Mercury and Air Toxics Standards (MATS) while maintaining compliance with NERC reliability standards.</w:t>
      </w:r>
      <w:r w:rsidR="00775BCD">
        <w:rPr>
          <w:szCs w:val="24"/>
        </w:rPr>
        <w:t xml:space="preserve">  The </w:t>
      </w:r>
      <w:r w:rsidR="00775BCD" w:rsidRPr="00677A87">
        <w:rPr>
          <w:bCs/>
        </w:rPr>
        <w:t>$16,392,000</w:t>
      </w:r>
      <w:r w:rsidR="00775BCD">
        <w:rPr>
          <w:bCs/>
        </w:rPr>
        <w:t xml:space="preserve"> represents the annual revenue requirements for the </w:t>
      </w:r>
      <w:r w:rsidR="00A220F9">
        <w:rPr>
          <w:bCs/>
        </w:rPr>
        <w:t xml:space="preserve">period ended June 30, 2016 associated with </w:t>
      </w:r>
      <w:r w:rsidR="00775BCD">
        <w:rPr>
          <w:bCs/>
        </w:rPr>
        <w:t xml:space="preserve">compliance-related transmission projects that go into service prior to July 1, 2015.  </w:t>
      </w:r>
      <w:r w:rsidR="00630DFB">
        <w:rPr>
          <w:bCs/>
        </w:rPr>
        <w:t xml:space="preserve"> </w:t>
      </w:r>
      <w:r w:rsidR="000B2521">
        <w:t xml:space="preserve">Contrary to OPC’s unsupported claim of uncertainty, these projects will all be in service six months after the test year and their cost is known and measurable. </w:t>
      </w:r>
      <w:r w:rsidR="00630DFB" w:rsidRPr="00677A87">
        <w:t xml:space="preserve">The Commission should either approve the projects for recovery through the ECRC or should approve the requested step increase. </w:t>
      </w:r>
      <w:r w:rsidR="0044602B" w:rsidRPr="00677A87">
        <w:t xml:space="preserve"> </w:t>
      </w:r>
      <w:r w:rsidR="005608DF" w:rsidRPr="00677A87">
        <w:t xml:space="preserve">(Ritenour, </w:t>
      </w:r>
      <w:r w:rsidR="007537C2">
        <w:t xml:space="preserve">Caldwell, Burleson, </w:t>
      </w:r>
      <w:r w:rsidR="005608DF" w:rsidRPr="00677A87">
        <w:t>Deason)</w:t>
      </w:r>
    </w:p>
    <w:p w:rsidR="005B28D9" w:rsidRPr="00677A87" w:rsidRDefault="005B28D9" w:rsidP="005B28D9">
      <w:pPr>
        <w:ind w:left="1440" w:hanging="1440"/>
      </w:pPr>
    </w:p>
    <w:p w:rsidR="005B28D9" w:rsidRPr="00677A87" w:rsidRDefault="005B28D9" w:rsidP="005B28D9">
      <w:pPr>
        <w:ind w:left="1440" w:hanging="1440"/>
        <w:rPr>
          <w:bCs/>
        </w:rPr>
      </w:pPr>
    </w:p>
    <w:p w:rsidR="00530FB5" w:rsidRPr="00677A87" w:rsidRDefault="00530FB5" w:rsidP="00530FB5">
      <w:pPr>
        <w:widowControl/>
        <w:jc w:val="center"/>
      </w:pPr>
      <w:r w:rsidRPr="00677A87">
        <w:rPr>
          <w:b/>
          <w:bCs/>
          <w:u w:val="single"/>
        </w:rPr>
        <w:t>Cost of Service and Rate Design</w:t>
      </w:r>
    </w:p>
    <w:p w:rsidR="00530FB5" w:rsidRPr="00677A87" w:rsidRDefault="00530FB5" w:rsidP="00530FB5">
      <w:pPr>
        <w:widowControl/>
        <w:jc w:val="both"/>
        <w:rPr>
          <w:u w:val="single"/>
        </w:rPr>
      </w:pPr>
    </w:p>
    <w:p w:rsidR="005B28D9" w:rsidRPr="00677A87" w:rsidRDefault="005B28D9" w:rsidP="005B2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rPr>
          <w:b/>
          <w:u w:val="single"/>
        </w:rPr>
        <w:t>Issue 66</w:t>
      </w:r>
      <w:r w:rsidRPr="00677A87">
        <w:t xml:space="preserve">: </w:t>
      </w:r>
      <w:r w:rsidRPr="00677A87">
        <w:tab/>
        <w:t xml:space="preserve">What is the appropriate treatment of distribution costs within the cost of service study?  </w:t>
      </w:r>
    </w:p>
    <w:p w:rsidR="005B28D9" w:rsidRPr="00677A87" w:rsidRDefault="005B28D9" w:rsidP="005B2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1845AF" w:rsidRPr="00677A87" w:rsidRDefault="005B28D9" w:rsidP="001845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677A87">
        <w:rPr>
          <w:b/>
          <w:u w:val="single"/>
        </w:rPr>
        <w:t>GULF:</w:t>
      </w:r>
      <w:r w:rsidRPr="00677A87">
        <w:tab/>
      </w:r>
      <w:r w:rsidR="001845AF" w:rsidRPr="00677A87">
        <w:t>Distribution costs are either assigned, where possible, or allocated to Rate Class. Demand-related distribution costs at Level 3 are allocated on a Coincident Peak Demand (CP) Level 3 allocator. Demand-related distribution costs at Levels 4 and 5 are allocated on, their respective level, Non-Coincident Peak Demand (NCP) allocator. An example of a Level 3 Distribution Common Demand-related Investment is Account 362 - Station Equipment, which is allocated to Rate Class</w:t>
      </w:r>
    </w:p>
    <w:p w:rsidR="005B28D9" w:rsidRPr="00677A87" w:rsidRDefault="001845AF" w:rsidP="00184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tab/>
      </w:r>
      <w:r w:rsidRPr="00677A87">
        <w:tab/>
      </w:r>
      <w:proofErr w:type="gramStart"/>
      <w:r w:rsidRPr="00677A87">
        <w:t>on</w:t>
      </w:r>
      <w:proofErr w:type="gramEnd"/>
      <w:r w:rsidRPr="00677A87">
        <w:t xml:space="preserve"> a Level 3 CP demand allocator. An example of a Level 4 and Level 5 Common Distribution Demand-related Investment is Account 365 – Overhead Conductors. This Account has both Level 4 and Level 5 Common Investment. The Level 4 Common Investment is allocated to Rate Class on a Level 4 NCP demand allocator, and the Level 5 Common is allocated to Rate Class on a Level 5 NCP demand allocator. Customer-related Distribution costs are at both Level 4 and Level 5. These customer-related costs are allocated on their respective Level average number of customers’ allocator. An example of Level 5 Distribution Customer-related Investment is Account 365 - Overhead Conductors. This customer-related investment at Level 5 is allocated to Rate Class on the average number of customers at Level 5. Note: Where cost must be divided into demand and customer component, </w:t>
      </w:r>
      <w:r w:rsidRPr="00677A87">
        <w:rPr>
          <w:sz w:val="25"/>
          <w:szCs w:val="25"/>
        </w:rPr>
        <w:t xml:space="preserve">the </w:t>
      </w:r>
      <w:r w:rsidRPr="00677A87">
        <w:t xml:space="preserve">Minimum Distribution System (MDS) is appropriate in order to adhere more closely with sound cost causative principles.  </w:t>
      </w:r>
      <w:r w:rsidR="00251ABC">
        <w:t xml:space="preserve">This issue is not contested in testimony and it appears it could be stipulated. </w:t>
      </w:r>
      <w:r w:rsidRPr="00677A87">
        <w:t>(O’Sheasy)</w:t>
      </w:r>
    </w:p>
    <w:p w:rsidR="005B28D9" w:rsidRPr="00677A87" w:rsidRDefault="005B28D9" w:rsidP="005B2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77A87">
        <w:rPr>
          <w:b/>
          <w:u w:val="single"/>
        </w:rPr>
        <w:lastRenderedPageBreak/>
        <w:t>Issue 67</w:t>
      </w:r>
      <w:r w:rsidRPr="00677A87">
        <w:t>:</w:t>
      </w:r>
      <w:r w:rsidRPr="00677A87">
        <w:tab/>
        <w:t xml:space="preserve">What is the appropriate Cost of Service Methodology? </w:t>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2623D4" w:rsidRPr="00677A87" w:rsidRDefault="005B28D9" w:rsidP="00262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677A87">
        <w:rPr>
          <w:b/>
          <w:u w:val="single"/>
        </w:rPr>
        <w:t>GULF:</w:t>
      </w:r>
      <w:r w:rsidRPr="00677A87">
        <w:tab/>
      </w:r>
      <w:r w:rsidR="002623D4" w:rsidRPr="00677A87">
        <w:t>The appropriate methodology is that filed by Gulf in this proceeding as Attachment A to MFR Schedule E-1 and in the Exhibit MTO-2. This cost of service methodology was the approved method of the Commission in Gulf's previous rate</w:t>
      </w:r>
      <w:r w:rsidR="005A573E">
        <w:t xml:space="preserve"> case</w:t>
      </w:r>
      <w:r w:rsidR="002623D4" w:rsidRPr="00677A87">
        <w:t xml:space="preserve">.  </w:t>
      </w:r>
      <w:r w:rsidR="00251ABC">
        <w:t xml:space="preserve">This issue is not contested in testimony and it appears it could be stipulated. </w:t>
      </w:r>
      <w:r w:rsidR="002623D4" w:rsidRPr="00677A87">
        <w:t>(O’Sheasy)</w:t>
      </w:r>
    </w:p>
    <w:p w:rsidR="005B28D9" w:rsidRPr="00677A87" w:rsidRDefault="005B28D9" w:rsidP="005B2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rPr>
          <w:b/>
          <w:u w:val="single"/>
        </w:rPr>
        <w:t>Issue 68</w:t>
      </w:r>
      <w:r w:rsidRPr="00677A87">
        <w:t>:</w:t>
      </w:r>
      <w:r w:rsidRPr="00677A87">
        <w:tab/>
        <w:t xml:space="preserve">How should any change in the revenue requirement approved by the Commission be allocated among the customer classes?  </w:t>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434627" w:rsidRPr="00677A87" w:rsidRDefault="005B28D9" w:rsidP="00434627">
      <w:pPr>
        <w:ind w:left="1440" w:hanging="1440"/>
        <w:jc w:val="both"/>
        <w:rPr>
          <w:b/>
          <w:u w:val="single"/>
        </w:rPr>
      </w:pPr>
      <w:r w:rsidRPr="00677A87">
        <w:rPr>
          <w:b/>
          <w:u w:val="single"/>
        </w:rPr>
        <w:t>GULF:</w:t>
      </w:r>
      <w:r w:rsidRPr="00677A87">
        <w:tab/>
      </w:r>
      <w:r w:rsidR="00434627" w:rsidRPr="00677A87">
        <w:t xml:space="preserve">The increase should be spread among the rate classes as shown in MFR E-8 of Gulf's filing. This allocation gives consideration to cost-of-service, moving rate classes toward parity, fairness, and value.  All of these are important and appropriate considerations. </w:t>
      </w:r>
      <w:r w:rsidR="00251ABC">
        <w:t xml:space="preserve">This issue is not contested in testimony and it appears it could be stipulated. </w:t>
      </w:r>
      <w:r w:rsidR="00434627" w:rsidRPr="00677A87">
        <w:t xml:space="preserve"> (Thompson)</w:t>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34627" w:rsidRPr="00677A87" w:rsidRDefault="0043462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rPr>
          <w:b/>
          <w:u w:val="single"/>
        </w:rPr>
        <w:t>Issue 69</w:t>
      </w:r>
      <w:r w:rsidRPr="00677A87">
        <w:t>:</w:t>
      </w:r>
      <w:r w:rsidRPr="00677A87">
        <w:tab/>
        <w:t xml:space="preserve">Is Gulf’s proposal to restate the residential Base Charge as a daily amount rather than a monthly amount appropriate?  </w:t>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4E5E2F" w:rsidRPr="00677A87" w:rsidRDefault="005B28D9" w:rsidP="004E5E2F">
      <w:pPr>
        <w:ind w:left="1440" w:hanging="1440"/>
        <w:jc w:val="both"/>
        <w:rPr>
          <w:u w:val="single"/>
        </w:rPr>
      </w:pPr>
      <w:r w:rsidRPr="00677A87">
        <w:rPr>
          <w:b/>
          <w:u w:val="single"/>
        </w:rPr>
        <w:t>GULF:</w:t>
      </w:r>
      <w:r w:rsidRPr="00677A87">
        <w:tab/>
      </w:r>
      <w:r w:rsidR="004E5E2F" w:rsidRPr="00677A87">
        <w:t xml:space="preserve">Yes.  Customers will be billed a Base Charge which reflects the precise number of days in the billing period.  That information – the number of days covered by the billing period – is already shown on customer bills.  The extension of that number of days multiplied by the approved Base Charge per day will be easy for customers to understand and will better align the total monthly Base Charge with the service period.   </w:t>
      </w:r>
      <w:r w:rsidR="00251ABC">
        <w:t xml:space="preserve">This issue is not contested in testimony and it appears it could be stipulated. </w:t>
      </w:r>
      <w:r w:rsidR="004E5E2F" w:rsidRPr="00677A87">
        <w:t>(Thompson)</w:t>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B28D9" w:rsidRPr="00677A87" w:rsidRDefault="005B28D9" w:rsidP="005B28D9">
      <w:pPr>
        <w:ind w:left="1440" w:hanging="1440"/>
      </w:pPr>
      <w:r w:rsidRPr="00677A87">
        <w:rPr>
          <w:b/>
          <w:u w:val="single"/>
        </w:rPr>
        <w:t>Issue 70</w:t>
      </w:r>
      <w:r w:rsidRPr="00677A87">
        <w:t>:</w:t>
      </w:r>
      <w:r w:rsidRPr="00677A87">
        <w:tab/>
        <w:t xml:space="preserve">Should Gulf’s proposed new experimental Small Business Incentive Rider (SBIR) be approved?  </w:t>
      </w:r>
    </w:p>
    <w:p w:rsidR="005B28D9" w:rsidRPr="00677A87" w:rsidRDefault="005B28D9" w:rsidP="005B28D9">
      <w:pPr>
        <w:ind w:left="1440" w:hanging="1440"/>
      </w:pPr>
    </w:p>
    <w:p w:rsidR="005B28D9" w:rsidRPr="00677A87" w:rsidRDefault="005B28D9" w:rsidP="005B2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rPr>
          <w:b/>
          <w:u w:val="single"/>
        </w:rPr>
        <w:t>GULF:</w:t>
      </w:r>
      <w:r w:rsidRPr="00677A87">
        <w:tab/>
      </w:r>
      <w:r w:rsidR="00562FFB" w:rsidRPr="00677A87">
        <w:t xml:space="preserve">Yes.  This Commission has a long history of approving experimental utility rates and other programs which are designed to encourage economic development in recognition of the fact that economic development ultimately benefits utility customers.  Load produced by new and expanding businesses along with the customers and commercial enterprises that support these businesses helps utilities run an efficient system and spread fixed costs across a larger customer base.  Gulf’s proposed Small Business Incentive Rider is designed to achieve these objectives and should be approved on an experimental basis.  </w:t>
      </w:r>
      <w:r w:rsidR="00251ABC">
        <w:t xml:space="preserve">This issue is not contested in testimony and it appears it could be stipulated. </w:t>
      </w:r>
      <w:r w:rsidR="00562FFB" w:rsidRPr="00677A87">
        <w:t>(Strickland, Thompson)</w:t>
      </w:r>
      <w:r w:rsidRPr="00677A87">
        <w:tab/>
      </w:r>
    </w:p>
    <w:p w:rsidR="005B28D9" w:rsidRPr="00677A87" w:rsidRDefault="005B28D9" w:rsidP="005B28D9">
      <w:pPr>
        <w:ind w:left="1440" w:hanging="1440"/>
      </w:pPr>
    </w:p>
    <w:p w:rsidR="005B28D9" w:rsidRPr="00677A87" w:rsidRDefault="005B28D9" w:rsidP="005B28D9">
      <w:r w:rsidRPr="00677A87">
        <w:t xml:space="preserve"> </w:t>
      </w:r>
    </w:p>
    <w:p w:rsidR="005B28D9" w:rsidRPr="00677A87" w:rsidRDefault="005B28D9" w:rsidP="005B28D9">
      <w:pPr>
        <w:ind w:left="1440" w:hanging="1440"/>
      </w:pPr>
      <w:r w:rsidRPr="00677A87">
        <w:rPr>
          <w:b/>
          <w:u w:val="single"/>
        </w:rPr>
        <w:lastRenderedPageBreak/>
        <w:t>Issue 71</w:t>
      </w:r>
      <w:r w:rsidRPr="00677A87">
        <w:t>:</w:t>
      </w:r>
      <w:r w:rsidRPr="00677A87">
        <w:tab/>
        <w:t xml:space="preserve">Should Gulf’s proposed new experimental Large Business Incentive Rider (LBIR) be approved?  </w:t>
      </w:r>
    </w:p>
    <w:p w:rsidR="00562FFB" w:rsidRPr="00677A87" w:rsidRDefault="00562FFB" w:rsidP="005B2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562FFB" w:rsidRPr="00677A87" w:rsidRDefault="005B28D9" w:rsidP="00562FFB">
      <w:pPr>
        <w:ind w:left="1440" w:hanging="1440"/>
        <w:jc w:val="both"/>
      </w:pPr>
      <w:r w:rsidRPr="00677A87">
        <w:rPr>
          <w:b/>
          <w:u w:val="single"/>
        </w:rPr>
        <w:t>GULF:</w:t>
      </w:r>
      <w:r w:rsidRPr="00677A87">
        <w:tab/>
      </w:r>
      <w:r w:rsidR="000A323A" w:rsidRPr="00677A87">
        <w:t xml:space="preserve">Yes.  This Commission has a long history of approving experimental utility rates and other programs which are designed to encourage economic development in recognition of the fact that economic development ultimately benefits utility customers.  Load produced by new and expanding businesses along with the customers and commercial enterprises that support these businesses helps utilities run an efficient system and spread fixed costs across a larger customer base. </w:t>
      </w:r>
      <w:r w:rsidR="000A323A">
        <w:t>Wal-Mart’s proposal to lower the LBIR minimum threshold to the same level as the proposed SBIR would undermine objectives of the LBIR</w:t>
      </w:r>
      <w:r w:rsidR="00207B74">
        <w:t>,</w:t>
      </w:r>
      <w:r w:rsidR="000A323A">
        <w:t xml:space="preserve"> including attracting large loads to Gulf’s system. </w:t>
      </w:r>
      <w:r w:rsidR="000A323A" w:rsidRPr="00677A87">
        <w:t>Gulf’s proposed L</w:t>
      </w:r>
      <w:r w:rsidR="000A323A">
        <w:t>BIR</w:t>
      </w:r>
      <w:r w:rsidR="000A323A" w:rsidRPr="00677A87">
        <w:t xml:space="preserve"> should be approved </w:t>
      </w:r>
      <w:r w:rsidR="000A323A">
        <w:t xml:space="preserve">as designed </w:t>
      </w:r>
      <w:r w:rsidR="000A323A" w:rsidRPr="00677A87">
        <w:t>on an experimental basis</w:t>
      </w:r>
      <w:r w:rsidR="000A323A">
        <w:t xml:space="preserve">.  </w:t>
      </w:r>
      <w:r w:rsidR="000A323A" w:rsidRPr="00677A87">
        <w:t xml:space="preserve"> (Strickland, Thompson)</w:t>
      </w:r>
    </w:p>
    <w:p w:rsidR="005B28D9" w:rsidRPr="00677A87" w:rsidRDefault="005B28D9" w:rsidP="005B28D9">
      <w:pPr>
        <w:ind w:left="1440" w:hanging="1440"/>
      </w:pPr>
    </w:p>
    <w:p w:rsidR="005B28D9" w:rsidRPr="00677A87" w:rsidRDefault="005B28D9" w:rsidP="005B28D9"/>
    <w:p w:rsidR="005B28D9" w:rsidRPr="00677A87" w:rsidRDefault="005B28D9" w:rsidP="005B28D9">
      <w:pPr>
        <w:ind w:left="1440" w:hanging="1440"/>
      </w:pPr>
      <w:r w:rsidRPr="00677A87">
        <w:rPr>
          <w:b/>
          <w:u w:val="single"/>
        </w:rPr>
        <w:t>Issue 72</w:t>
      </w:r>
      <w:r w:rsidRPr="00677A87">
        <w:t>:</w:t>
      </w:r>
      <w:r w:rsidRPr="00677A87">
        <w:tab/>
        <w:t xml:space="preserve">Is Gulf’s proposed change in designation of revenues received under the Real Time Pricing (RTP) rate schedule appropriate?  </w:t>
      </w:r>
    </w:p>
    <w:p w:rsidR="005B28D9" w:rsidRPr="00677A87" w:rsidRDefault="005B28D9" w:rsidP="005B28D9">
      <w:pPr>
        <w:ind w:left="1440" w:hanging="1440"/>
      </w:pPr>
    </w:p>
    <w:p w:rsidR="005B28D9" w:rsidRPr="00677A87" w:rsidRDefault="005B28D9" w:rsidP="004E5E2F">
      <w:pPr>
        <w:ind w:left="1440" w:hanging="1440"/>
        <w:jc w:val="both"/>
      </w:pPr>
      <w:r w:rsidRPr="00677A87">
        <w:rPr>
          <w:b/>
          <w:u w:val="single"/>
        </w:rPr>
        <w:t>GULF:</w:t>
      </w:r>
      <w:r w:rsidRPr="00677A87">
        <w:tab/>
      </w:r>
      <w:r w:rsidR="004E5E2F" w:rsidRPr="00677A87">
        <w:t xml:space="preserve">Yes.  The change would better align the designation of revenue as fuel cost recovery or base rate revenue with the supply cost changes that give rise to the hourly price changes.  The factors that cause Gulf’s real time prices to change hour to hour and day to day are predominantly fuel related.  This reality would be better reflected in a process that allows the designation of fuel revenue received per kWh to vary. </w:t>
      </w:r>
      <w:r w:rsidR="00251ABC">
        <w:t xml:space="preserve">This issue is not contested in testimony and it appears it could be stipulated. </w:t>
      </w:r>
      <w:r w:rsidR="004E5E2F" w:rsidRPr="00677A87">
        <w:t xml:space="preserve"> </w:t>
      </w:r>
      <w:r w:rsidR="005608DF" w:rsidRPr="00677A87">
        <w:t>(Thompson)</w:t>
      </w:r>
      <w:r w:rsidRPr="00677A87">
        <w:tab/>
      </w:r>
    </w:p>
    <w:p w:rsidR="005B28D9" w:rsidRPr="00677A87" w:rsidRDefault="005B28D9" w:rsidP="005B28D9">
      <w:pPr>
        <w:ind w:left="1440" w:hanging="1440"/>
      </w:pPr>
    </w:p>
    <w:p w:rsidR="005B28D9" w:rsidRPr="00677A87" w:rsidRDefault="005B28D9" w:rsidP="005B28D9"/>
    <w:p w:rsidR="005B28D9" w:rsidRPr="00677A87" w:rsidRDefault="005B28D9" w:rsidP="005B28D9">
      <w:pPr>
        <w:ind w:left="1440" w:hanging="1440"/>
      </w:pPr>
      <w:r w:rsidRPr="00677A87">
        <w:rPr>
          <w:b/>
          <w:u w:val="single"/>
        </w:rPr>
        <w:t>Issue 73</w:t>
      </w:r>
      <w:r w:rsidRPr="00677A87">
        <w:t>:</w:t>
      </w:r>
      <w:r w:rsidRPr="00677A87">
        <w:tab/>
        <w:t>Are Gulf’s proposed modifications to Form 4 which contains the Lighting Pricing Methodology appropriate?</w:t>
      </w:r>
    </w:p>
    <w:p w:rsidR="005B28D9" w:rsidRPr="00677A87" w:rsidRDefault="005B28D9" w:rsidP="005B28D9">
      <w:pPr>
        <w:ind w:left="1440" w:hanging="1440"/>
      </w:pPr>
    </w:p>
    <w:p w:rsidR="005B28D9" w:rsidRPr="00677A87" w:rsidRDefault="005B28D9" w:rsidP="005B2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t xml:space="preserve"> </w:t>
      </w:r>
      <w:r w:rsidRPr="00677A87">
        <w:rPr>
          <w:b/>
          <w:u w:val="single"/>
        </w:rPr>
        <w:t>GULF:</w:t>
      </w:r>
      <w:r w:rsidRPr="00677A87">
        <w:tab/>
      </w:r>
      <w:r w:rsidR="004E5E2F" w:rsidRPr="00677A87">
        <w:t>Yes.</w:t>
      </w:r>
      <w:r w:rsidR="004E5E2F" w:rsidRPr="00677A87">
        <w:rPr>
          <w:b/>
        </w:rPr>
        <w:t xml:space="preserve">  </w:t>
      </w:r>
      <w:r w:rsidR="004E5E2F" w:rsidRPr="00677A87">
        <w:t xml:space="preserve">Gulf proposes to revise Form 4 to update the labor rates and overhead rates, and to better accommodate LED fixtures. The Lighting Pricing Methodology template needs separate sections for LED and non-LED fixtures. </w:t>
      </w:r>
      <w:r w:rsidR="00251ABC">
        <w:t xml:space="preserve">This issue is not contested in testimony and it appears it could be stipulated. </w:t>
      </w:r>
      <w:r w:rsidR="004E5E2F" w:rsidRPr="00677A87">
        <w:t xml:space="preserve"> </w:t>
      </w:r>
      <w:r w:rsidR="005608DF" w:rsidRPr="00677A87">
        <w:t>(Thompson)</w:t>
      </w:r>
      <w:r w:rsidRPr="00677A87">
        <w:tab/>
      </w:r>
    </w:p>
    <w:p w:rsidR="00C0177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r w:rsidRPr="00677A87">
        <w:t xml:space="preserve"> </w:t>
      </w:r>
    </w:p>
    <w:p w:rsidR="004E7111" w:rsidRDefault="004E711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037FF1" w:rsidRDefault="00037FF1"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rPr>
          <w:b/>
          <w:u w:val="single"/>
        </w:rPr>
        <w:lastRenderedPageBreak/>
        <w:t>Issue 74</w:t>
      </w:r>
      <w:r w:rsidRPr="00677A87">
        <w:t>:</w:t>
      </w:r>
      <w:r w:rsidRPr="00677A87">
        <w:tab/>
        <w:t xml:space="preserve">What are the appropriate service charges (Non-residential connection of initial and existing service, Restoration Charge, Premise Visit Charge)?  </w:t>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51686B" w:rsidRPr="00677A87" w:rsidRDefault="005B28D9" w:rsidP="008C5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rPr>
          <w:b/>
          <w:u w:val="single"/>
        </w:rPr>
        <w:t>GULF:</w:t>
      </w:r>
      <w:r w:rsidRPr="00677A87">
        <w:tab/>
      </w:r>
      <w:r w:rsidR="0051686B" w:rsidRPr="00677A87">
        <w:t xml:space="preserve">The appropriate service charges for Non-residential connection of initial and existing service, Restoration Charge and Premises Visit charge are shown below. These charges are based on the cost to provide the service.  </w:t>
      </w:r>
      <w:r w:rsidR="000367DD">
        <w:t>This issue is not contested in testimony and it appears it could be stipulated.</w:t>
      </w:r>
      <w:r w:rsidR="000367DD" w:rsidRPr="00677A87">
        <w:t xml:space="preserve"> </w:t>
      </w:r>
      <w:r w:rsidR="007C4128" w:rsidRPr="00677A87">
        <w:t>(Neyman)</w:t>
      </w:r>
      <w:r w:rsidR="007C4128" w:rsidRPr="00677A87">
        <w:tab/>
      </w:r>
    </w:p>
    <w:p w:rsidR="0051686B" w:rsidRPr="00677A87" w:rsidRDefault="0051686B" w:rsidP="0051686B"/>
    <w:tbl>
      <w:tblPr>
        <w:tblW w:w="6912" w:type="dxa"/>
        <w:tblInd w:w="1425" w:type="dxa"/>
        <w:tblLook w:val="04A0" w:firstRow="1" w:lastRow="0" w:firstColumn="1" w:lastColumn="0" w:noHBand="0" w:noVBand="1"/>
      </w:tblPr>
      <w:tblGrid>
        <w:gridCol w:w="6249"/>
        <w:gridCol w:w="696"/>
      </w:tblGrid>
      <w:tr w:rsidR="0051686B" w:rsidRPr="00677A87" w:rsidTr="0051686B">
        <w:trPr>
          <w:trHeight w:val="300"/>
        </w:trPr>
        <w:tc>
          <w:tcPr>
            <w:tcW w:w="6912" w:type="dxa"/>
            <w:gridSpan w:val="2"/>
            <w:tcBorders>
              <w:top w:val="nil"/>
              <w:left w:val="nil"/>
              <w:bottom w:val="nil"/>
              <w:right w:val="nil"/>
            </w:tcBorders>
            <w:shd w:val="clear" w:color="auto" w:fill="auto"/>
            <w:noWrap/>
            <w:vAlign w:val="bottom"/>
            <w:hideMark/>
          </w:tcPr>
          <w:p w:rsidR="0051686B" w:rsidRPr="00677A87" w:rsidRDefault="0051686B" w:rsidP="00151091">
            <w:pPr>
              <w:jc w:val="center"/>
              <w:rPr>
                <w:b/>
                <w:bCs/>
                <w:color w:val="000000"/>
                <w:szCs w:val="24"/>
              </w:rPr>
            </w:pPr>
            <w:r w:rsidRPr="00677A87">
              <w:rPr>
                <w:b/>
                <w:bCs/>
                <w:color w:val="000000"/>
                <w:szCs w:val="24"/>
              </w:rPr>
              <w:t>SERVICE FEES</w:t>
            </w: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c>
          <w:tcPr>
            <w:tcW w:w="663"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r>
      <w:tr w:rsidR="0051686B" w:rsidRPr="00677A87" w:rsidTr="0051686B">
        <w:trPr>
          <w:trHeight w:val="300"/>
        </w:trPr>
        <w:tc>
          <w:tcPr>
            <w:tcW w:w="6249" w:type="dxa"/>
            <w:tcBorders>
              <w:top w:val="nil"/>
              <w:left w:val="nil"/>
              <w:bottom w:val="single" w:sz="4" w:space="0" w:color="auto"/>
              <w:right w:val="nil"/>
            </w:tcBorders>
            <w:shd w:val="clear" w:color="auto" w:fill="auto"/>
            <w:noWrap/>
            <w:vAlign w:val="bottom"/>
            <w:hideMark/>
          </w:tcPr>
          <w:p w:rsidR="0051686B" w:rsidRPr="00677A87" w:rsidRDefault="0051686B" w:rsidP="00151091">
            <w:pPr>
              <w:rPr>
                <w:b/>
                <w:bCs/>
                <w:color w:val="000000"/>
                <w:szCs w:val="24"/>
              </w:rPr>
            </w:pPr>
            <w:r w:rsidRPr="00677A87">
              <w:rPr>
                <w:b/>
                <w:bCs/>
                <w:color w:val="000000"/>
                <w:szCs w:val="24"/>
              </w:rPr>
              <w:t>Service</w:t>
            </w:r>
          </w:p>
        </w:tc>
        <w:tc>
          <w:tcPr>
            <w:tcW w:w="663" w:type="dxa"/>
            <w:tcBorders>
              <w:top w:val="nil"/>
              <w:left w:val="nil"/>
              <w:bottom w:val="single" w:sz="4" w:space="0" w:color="auto"/>
              <w:right w:val="nil"/>
            </w:tcBorders>
            <w:shd w:val="clear" w:color="auto" w:fill="auto"/>
            <w:noWrap/>
            <w:vAlign w:val="bottom"/>
            <w:hideMark/>
          </w:tcPr>
          <w:p w:rsidR="0051686B" w:rsidRPr="00677A87" w:rsidRDefault="0051686B" w:rsidP="00151091">
            <w:pPr>
              <w:rPr>
                <w:b/>
                <w:bCs/>
                <w:color w:val="000000"/>
                <w:szCs w:val="24"/>
              </w:rPr>
            </w:pPr>
            <w:r w:rsidRPr="00677A87">
              <w:rPr>
                <w:b/>
                <w:bCs/>
                <w:color w:val="000000"/>
                <w:szCs w:val="24"/>
              </w:rPr>
              <w:t>Fee</w:t>
            </w: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c>
          <w:tcPr>
            <w:tcW w:w="663"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r w:rsidRPr="00677A87">
              <w:rPr>
                <w:color w:val="000000"/>
                <w:szCs w:val="24"/>
              </w:rPr>
              <w:t>Connection of Initial Service</w:t>
            </w:r>
          </w:p>
        </w:tc>
        <w:tc>
          <w:tcPr>
            <w:tcW w:w="663" w:type="dxa"/>
            <w:tcBorders>
              <w:top w:val="nil"/>
              <w:left w:val="nil"/>
              <w:bottom w:val="nil"/>
              <w:right w:val="nil"/>
            </w:tcBorders>
            <w:shd w:val="clear" w:color="auto" w:fill="auto"/>
            <w:noWrap/>
            <w:vAlign w:val="bottom"/>
            <w:hideMark/>
          </w:tcPr>
          <w:p w:rsidR="0051686B" w:rsidRPr="00677A87" w:rsidRDefault="0051686B" w:rsidP="00151091">
            <w:pPr>
              <w:jc w:val="right"/>
              <w:rPr>
                <w:color w:val="000000"/>
                <w:szCs w:val="24"/>
              </w:rPr>
            </w:pPr>
            <w:r w:rsidRPr="00677A87">
              <w:rPr>
                <w:color w:val="000000"/>
                <w:szCs w:val="24"/>
              </w:rPr>
              <w:t xml:space="preserve">$50 </w:t>
            </w: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r w:rsidRPr="00677A87">
              <w:rPr>
                <w:color w:val="000000"/>
                <w:szCs w:val="24"/>
              </w:rPr>
              <w:t xml:space="preserve">   - Non-residential</w:t>
            </w:r>
          </w:p>
        </w:tc>
        <w:tc>
          <w:tcPr>
            <w:tcW w:w="663"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c>
          <w:tcPr>
            <w:tcW w:w="663"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r w:rsidRPr="00677A87">
              <w:rPr>
                <w:color w:val="000000"/>
                <w:szCs w:val="24"/>
              </w:rPr>
              <w:t>Connection of Existing Service</w:t>
            </w:r>
          </w:p>
        </w:tc>
        <w:tc>
          <w:tcPr>
            <w:tcW w:w="663" w:type="dxa"/>
            <w:tcBorders>
              <w:top w:val="nil"/>
              <w:left w:val="nil"/>
              <w:bottom w:val="nil"/>
              <w:right w:val="nil"/>
            </w:tcBorders>
            <w:shd w:val="clear" w:color="auto" w:fill="auto"/>
            <w:noWrap/>
            <w:vAlign w:val="bottom"/>
            <w:hideMark/>
          </w:tcPr>
          <w:p w:rsidR="0051686B" w:rsidRPr="00677A87" w:rsidRDefault="0051686B" w:rsidP="00151091">
            <w:pPr>
              <w:jc w:val="right"/>
              <w:rPr>
                <w:color w:val="000000"/>
                <w:szCs w:val="24"/>
              </w:rPr>
            </w:pPr>
            <w:r w:rsidRPr="00677A87">
              <w:rPr>
                <w:color w:val="000000"/>
                <w:szCs w:val="24"/>
              </w:rPr>
              <w:t xml:space="preserve">$50 </w:t>
            </w: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r w:rsidRPr="00677A87">
              <w:rPr>
                <w:color w:val="000000"/>
                <w:szCs w:val="24"/>
              </w:rPr>
              <w:t xml:space="preserve">   - Non-residential</w:t>
            </w:r>
          </w:p>
        </w:tc>
        <w:tc>
          <w:tcPr>
            <w:tcW w:w="663"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c>
          <w:tcPr>
            <w:tcW w:w="663"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r w:rsidRPr="00677A87">
              <w:rPr>
                <w:color w:val="000000"/>
                <w:szCs w:val="24"/>
              </w:rPr>
              <w:t>Restoration of Service (After Violation of Rules)</w:t>
            </w:r>
          </w:p>
        </w:tc>
        <w:tc>
          <w:tcPr>
            <w:tcW w:w="663" w:type="dxa"/>
            <w:tcBorders>
              <w:top w:val="nil"/>
              <w:left w:val="nil"/>
              <w:bottom w:val="nil"/>
              <w:right w:val="nil"/>
            </w:tcBorders>
            <w:shd w:val="clear" w:color="auto" w:fill="auto"/>
            <w:noWrap/>
            <w:vAlign w:val="bottom"/>
            <w:hideMark/>
          </w:tcPr>
          <w:p w:rsidR="0051686B" w:rsidRPr="00677A87" w:rsidRDefault="0051686B" w:rsidP="00151091">
            <w:pPr>
              <w:jc w:val="right"/>
              <w:rPr>
                <w:color w:val="000000"/>
                <w:szCs w:val="24"/>
              </w:rPr>
            </w:pPr>
            <w:r w:rsidRPr="00677A87">
              <w:rPr>
                <w:color w:val="000000"/>
                <w:szCs w:val="24"/>
              </w:rPr>
              <w:t xml:space="preserve">$60 </w:t>
            </w: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c>
          <w:tcPr>
            <w:tcW w:w="663"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r w:rsidRPr="00677A87">
              <w:rPr>
                <w:color w:val="000000"/>
                <w:szCs w:val="24"/>
              </w:rPr>
              <w:t>Restoration of Service After Hours (After Violation of Rules)</w:t>
            </w:r>
          </w:p>
        </w:tc>
        <w:tc>
          <w:tcPr>
            <w:tcW w:w="663" w:type="dxa"/>
            <w:tcBorders>
              <w:top w:val="nil"/>
              <w:left w:val="nil"/>
              <w:bottom w:val="nil"/>
              <w:right w:val="nil"/>
            </w:tcBorders>
            <w:shd w:val="clear" w:color="auto" w:fill="auto"/>
            <w:noWrap/>
            <w:vAlign w:val="bottom"/>
            <w:hideMark/>
          </w:tcPr>
          <w:p w:rsidR="0051686B" w:rsidRPr="00677A87" w:rsidRDefault="0051686B" w:rsidP="00151091">
            <w:pPr>
              <w:jc w:val="right"/>
              <w:rPr>
                <w:color w:val="000000"/>
                <w:szCs w:val="24"/>
              </w:rPr>
            </w:pPr>
            <w:r w:rsidRPr="00677A87">
              <w:rPr>
                <w:color w:val="000000"/>
                <w:szCs w:val="24"/>
              </w:rPr>
              <w:t xml:space="preserve">$80 </w:t>
            </w: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c>
          <w:tcPr>
            <w:tcW w:w="663"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r w:rsidRPr="00677A87">
              <w:rPr>
                <w:color w:val="000000"/>
                <w:szCs w:val="24"/>
              </w:rPr>
              <w:t>Restoration of Service at Pole (After Violation of Rules)</w:t>
            </w:r>
          </w:p>
        </w:tc>
        <w:tc>
          <w:tcPr>
            <w:tcW w:w="663" w:type="dxa"/>
            <w:tcBorders>
              <w:top w:val="nil"/>
              <w:left w:val="nil"/>
              <w:bottom w:val="nil"/>
              <w:right w:val="nil"/>
            </w:tcBorders>
            <w:shd w:val="clear" w:color="auto" w:fill="auto"/>
            <w:noWrap/>
            <w:vAlign w:val="bottom"/>
            <w:hideMark/>
          </w:tcPr>
          <w:p w:rsidR="0051686B" w:rsidRPr="00677A87" w:rsidRDefault="0051686B" w:rsidP="00151091">
            <w:pPr>
              <w:jc w:val="right"/>
              <w:rPr>
                <w:color w:val="000000"/>
                <w:szCs w:val="24"/>
              </w:rPr>
            </w:pPr>
            <w:r w:rsidRPr="00677A87">
              <w:rPr>
                <w:color w:val="000000"/>
                <w:szCs w:val="24"/>
              </w:rPr>
              <w:t xml:space="preserve">$100 </w:t>
            </w: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c>
          <w:tcPr>
            <w:tcW w:w="663"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p>
        </w:tc>
      </w:tr>
      <w:tr w:rsidR="0051686B" w:rsidRPr="00677A87" w:rsidTr="0051686B">
        <w:trPr>
          <w:trHeight w:val="300"/>
        </w:trPr>
        <w:tc>
          <w:tcPr>
            <w:tcW w:w="6249" w:type="dxa"/>
            <w:tcBorders>
              <w:top w:val="nil"/>
              <w:left w:val="nil"/>
              <w:bottom w:val="nil"/>
              <w:right w:val="nil"/>
            </w:tcBorders>
            <w:shd w:val="clear" w:color="auto" w:fill="auto"/>
            <w:noWrap/>
            <w:vAlign w:val="bottom"/>
            <w:hideMark/>
          </w:tcPr>
          <w:p w:rsidR="0051686B" w:rsidRPr="00677A87" w:rsidRDefault="0051686B" w:rsidP="00151091">
            <w:pPr>
              <w:rPr>
                <w:color w:val="000000"/>
                <w:szCs w:val="24"/>
              </w:rPr>
            </w:pPr>
            <w:r w:rsidRPr="00677A87">
              <w:rPr>
                <w:color w:val="000000"/>
                <w:szCs w:val="24"/>
              </w:rPr>
              <w:t>Premises Visit</w:t>
            </w:r>
          </w:p>
        </w:tc>
        <w:tc>
          <w:tcPr>
            <w:tcW w:w="663" w:type="dxa"/>
            <w:tcBorders>
              <w:top w:val="nil"/>
              <w:left w:val="nil"/>
              <w:bottom w:val="nil"/>
              <w:right w:val="nil"/>
            </w:tcBorders>
            <w:shd w:val="clear" w:color="auto" w:fill="auto"/>
            <w:noWrap/>
            <w:vAlign w:val="bottom"/>
            <w:hideMark/>
          </w:tcPr>
          <w:p w:rsidR="0051686B" w:rsidRPr="00677A87" w:rsidRDefault="0051686B" w:rsidP="00151091">
            <w:pPr>
              <w:jc w:val="right"/>
              <w:rPr>
                <w:color w:val="000000"/>
                <w:szCs w:val="24"/>
              </w:rPr>
            </w:pPr>
            <w:r w:rsidRPr="00677A87">
              <w:rPr>
                <w:color w:val="000000"/>
                <w:szCs w:val="24"/>
              </w:rPr>
              <w:t xml:space="preserve">$30 </w:t>
            </w:r>
          </w:p>
        </w:tc>
      </w:tr>
    </w:tbl>
    <w:p w:rsidR="0051686B" w:rsidRPr="00677A87" w:rsidRDefault="0051686B" w:rsidP="0051686B"/>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77A87">
        <w:rPr>
          <w:b/>
          <w:u w:val="single"/>
        </w:rPr>
        <w:t>Issue 75</w:t>
      </w:r>
      <w:r w:rsidRPr="00677A87">
        <w:t>:</w:t>
      </w:r>
      <w:r w:rsidRPr="00677A87">
        <w:tab/>
        <w:t xml:space="preserve">What are the appropriate base charges? </w:t>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650B3" w:rsidRPr="00677A87" w:rsidRDefault="005B28D9" w:rsidP="00165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677A87">
        <w:rPr>
          <w:b/>
          <w:u w:val="single"/>
        </w:rPr>
        <w:t>GULF:</w:t>
      </w:r>
      <w:r w:rsidRPr="00677A87">
        <w:tab/>
      </w:r>
      <w:r w:rsidR="001650B3" w:rsidRPr="00677A87">
        <w:t xml:space="preserve">The appropriate base charges based on Gulf’s original filing are shown below. These proposed charges reasonably reflect customer-related costs. There are important reasons for ensuring that, to the extent practical, the costs of providing service to customers that do not vary with the amount of consumption are recovered from fixed Base Charges rather than from energy or demand charges. </w:t>
      </w:r>
      <w:r w:rsidR="007C4128" w:rsidRPr="00677A87">
        <w:t>(Thompson)</w:t>
      </w:r>
    </w:p>
    <w:p w:rsidR="001650B3" w:rsidRPr="00677A87" w:rsidRDefault="001650B3" w:rsidP="00165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tbl>
      <w:tblPr>
        <w:tblW w:w="7920" w:type="dxa"/>
        <w:tblInd w:w="1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4860"/>
      </w:tblGrid>
      <w:tr w:rsidR="001650B3" w:rsidRPr="00677A87" w:rsidTr="00151091">
        <w:tc>
          <w:tcPr>
            <w:tcW w:w="3060" w:type="dxa"/>
            <w:tcBorders>
              <w:top w:val="single" w:sz="4" w:space="0" w:color="auto"/>
              <w:left w:val="single" w:sz="4" w:space="0" w:color="auto"/>
              <w:bottom w:val="single" w:sz="4" w:space="0" w:color="auto"/>
              <w:right w:val="single" w:sz="4" w:space="0" w:color="auto"/>
            </w:tcBorders>
            <w:hideMark/>
          </w:tcPr>
          <w:p w:rsidR="001650B3" w:rsidRPr="00677A87" w:rsidRDefault="001650B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677A87">
              <w:t>Rate Schedule</w:t>
            </w:r>
          </w:p>
        </w:tc>
        <w:tc>
          <w:tcPr>
            <w:tcW w:w="4860" w:type="dxa"/>
            <w:tcBorders>
              <w:top w:val="single" w:sz="4" w:space="0" w:color="auto"/>
              <w:left w:val="single" w:sz="4" w:space="0" w:color="auto"/>
              <w:bottom w:val="single" w:sz="4" w:space="0" w:color="auto"/>
              <w:right w:val="single" w:sz="4" w:space="0" w:color="auto"/>
            </w:tcBorders>
            <w:hideMark/>
          </w:tcPr>
          <w:p w:rsidR="001650B3" w:rsidRPr="00677A87" w:rsidRDefault="001650B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677A87">
              <w:t>Base Charge</w:t>
            </w:r>
          </w:p>
        </w:tc>
      </w:tr>
      <w:tr w:rsidR="001650B3" w:rsidRPr="00677A87" w:rsidTr="00151091">
        <w:trPr>
          <w:trHeight w:val="1358"/>
        </w:trPr>
        <w:tc>
          <w:tcPr>
            <w:tcW w:w="3060" w:type="dxa"/>
            <w:tcBorders>
              <w:top w:val="single" w:sz="4" w:space="0" w:color="auto"/>
              <w:left w:val="single" w:sz="4" w:space="0" w:color="auto"/>
              <w:bottom w:val="single" w:sz="4" w:space="0" w:color="auto"/>
              <w:right w:val="single" w:sz="4" w:space="0" w:color="auto"/>
            </w:tcBorders>
            <w:hideMark/>
          </w:tcPr>
          <w:p w:rsidR="001650B3" w:rsidRPr="00677A87" w:rsidRDefault="001650B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677A87">
              <w:t>RS, RSVP</w:t>
            </w:r>
          </w:p>
          <w:p w:rsidR="001650B3" w:rsidRPr="00677A87" w:rsidRDefault="001650B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GS</w:t>
            </w:r>
          </w:p>
          <w:p w:rsidR="001650B3" w:rsidRPr="00677A87" w:rsidRDefault="001650B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LP, LPT</w:t>
            </w:r>
          </w:p>
          <w:p w:rsidR="001650B3" w:rsidRPr="00677A87" w:rsidRDefault="001650B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PX, PXT</w:t>
            </w:r>
          </w:p>
        </w:tc>
        <w:tc>
          <w:tcPr>
            <w:tcW w:w="4860" w:type="dxa"/>
            <w:tcBorders>
              <w:top w:val="single" w:sz="4" w:space="0" w:color="auto"/>
              <w:left w:val="single" w:sz="4" w:space="0" w:color="auto"/>
              <w:bottom w:val="single" w:sz="4" w:space="0" w:color="auto"/>
              <w:right w:val="single" w:sz="4" w:space="0" w:color="auto"/>
            </w:tcBorders>
            <w:hideMark/>
          </w:tcPr>
          <w:p w:rsidR="001650B3" w:rsidRPr="00677A87" w:rsidRDefault="001650B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677A87">
              <w:t>$0.60 per day</w:t>
            </w:r>
          </w:p>
          <w:p w:rsidR="001650B3" w:rsidRPr="00677A87" w:rsidRDefault="001650B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$21.00 per month</w:t>
            </w:r>
          </w:p>
          <w:p w:rsidR="001650B3" w:rsidRPr="00677A87" w:rsidRDefault="001650B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$250.00 per month</w:t>
            </w:r>
          </w:p>
          <w:p w:rsidR="001650B3" w:rsidRPr="00677A87" w:rsidRDefault="001650B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$743.22 per month</w:t>
            </w:r>
          </w:p>
        </w:tc>
      </w:tr>
    </w:tbl>
    <w:p w:rsidR="001650B3" w:rsidRPr="00677A87" w:rsidRDefault="001650B3" w:rsidP="001650B3">
      <w:pPr>
        <w:ind w:left="1440" w:hanging="1440"/>
        <w:jc w:val="both"/>
        <w:rPr>
          <w:b/>
          <w:u w:val="single"/>
        </w:rPr>
      </w:pPr>
    </w:p>
    <w:p w:rsidR="005B28D9" w:rsidRPr="00677A87" w:rsidRDefault="001650B3" w:rsidP="00165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t xml:space="preserve"> </w:t>
      </w:r>
      <w:r w:rsidRPr="00677A87">
        <w:tab/>
      </w:r>
      <w:r w:rsidRPr="00677A87">
        <w:tab/>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77A87">
        <w:rPr>
          <w:b/>
          <w:u w:val="single"/>
        </w:rPr>
        <w:lastRenderedPageBreak/>
        <w:t>Issue 76</w:t>
      </w:r>
      <w:r w:rsidRPr="00677A87">
        <w:t>:</w:t>
      </w:r>
      <w:r w:rsidRPr="00677A87">
        <w:tab/>
        <w:t xml:space="preserve">What are the appropriate demand charges?  </w:t>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7753" w:rsidRPr="00677A87" w:rsidRDefault="005B28D9" w:rsidP="00797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677A87">
        <w:rPr>
          <w:b/>
          <w:u w:val="single"/>
        </w:rPr>
        <w:t>GULF:</w:t>
      </w:r>
      <w:r w:rsidRPr="00677A87">
        <w:tab/>
      </w:r>
      <w:r w:rsidR="00797753" w:rsidRPr="00677A87">
        <w:t>The appropriate demand charges based on Gulf’s original filing are listed below.  (Thompson)</w:t>
      </w:r>
    </w:p>
    <w:p w:rsidR="00797753" w:rsidRPr="00677A87" w:rsidRDefault="00797753" w:rsidP="00797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tbl>
      <w:tblPr>
        <w:tblW w:w="7920"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4860"/>
      </w:tblGrid>
      <w:tr w:rsidR="00797753" w:rsidRPr="00677A87" w:rsidTr="00151091">
        <w:trPr>
          <w:trHeight w:val="330"/>
        </w:trPr>
        <w:tc>
          <w:tcPr>
            <w:tcW w:w="3060" w:type="dxa"/>
            <w:tcBorders>
              <w:top w:val="single" w:sz="4" w:space="0" w:color="auto"/>
              <w:left w:val="single" w:sz="4" w:space="0" w:color="auto"/>
              <w:bottom w:val="single" w:sz="4" w:space="0" w:color="auto"/>
              <w:right w:val="single" w:sz="4" w:space="0" w:color="auto"/>
            </w:tcBorders>
            <w:hideMark/>
          </w:tcPr>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677A87">
              <w:t>Rate Schedule</w:t>
            </w:r>
          </w:p>
        </w:tc>
        <w:tc>
          <w:tcPr>
            <w:tcW w:w="4860" w:type="dxa"/>
            <w:tcBorders>
              <w:top w:val="single" w:sz="4" w:space="0" w:color="auto"/>
              <w:left w:val="single" w:sz="4" w:space="0" w:color="auto"/>
              <w:bottom w:val="single" w:sz="4" w:space="0" w:color="auto"/>
              <w:right w:val="single" w:sz="4" w:space="0" w:color="auto"/>
            </w:tcBorders>
            <w:hideMark/>
          </w:tcPr>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677A87">
              <w:t>Monthly Demand Charge</w:t>
            </w:r>
          </w:p>
        </w:tc>
      </w:tr>
      <w:tr w:rsidR="00797753" w:rsidRPr="00677A87" w:rsidTr="00151091">
        <w:trPr>
          <w:trHeight w:val="5192"/>
        </w:trPr>
        <w:tc>
          <w:tcPr>
            <w:tcW w:w="3060" w:type="dxa"/>
            <w:tcBorders>
              <w:top w:val="single" w:sz="4" w:space="0" w:color="auto"/>
              <w:left w:val="single" w:sz="4" w:space="0" w:color="auto"/>
              <w:bottom w:val="single" w:sz="4" w:space="0" w:color="auto"/>
              <w:right w:val="single" w:sz="4" w:space="0" w:color="auto"/>
            </w:tcBorders>
          </w:tcPr>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677A87">
              <w:t>GSD</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LP</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PX</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GSDT</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LPT</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PXT</w:t>
            </w:r>
          </w:p>
        </w:tc>
        <w:tc>
          <w:tcPr>
            <w:tcW w:w="4860" w:type="dxa"/>
            <w:tcBorders>
              <w:top w:val="single" w:sz="4" w:space="0" w:color="auto"/>
              <w:left w:val="single" w:sz="4" w:space="0" w:color="auto"/>
              <w:bottom w:val="single" w:sz="4" w:space="0" w:color="auto"/>
              <w:right w:val="single" w:sz="4" w:space="0" w:color="auto"/>
            </w:tcBorders>
          </w:tcPr>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677A87">
              <w:t>$  6.84</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$12.23</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$10.85</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3.66 (On-Peak)</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3.24 (Maximum)</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1.83 (Critical Peak Option On-Peak)</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3.24 (Critical Peak Option Maximum)</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5.49 (Critical Peak Option Critical Peak)</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9.84 (On-Peak)</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2.54 (Maximum)</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4.92 (Critical Peak Option On-Peak)</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2.54 (Critical Peak Option Maximum)</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$14.76 (Critical Peak Option Critical Peak)</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$10.07 (On-Peak)</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0.90 (Maximum)</w:t>
            </w:r>
          </w:p>
          <w:p w:rsidR="00797753" w:rsidRPr="00677A87" w:rsidRDefault="00797753" w:rsidP="00151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rsidR="00797753" w:rsidRPr="00677A87" w:rsidRDefault="00797753" w:rsidP="00797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5B28D9" w:rsidRPr="00677A87" w:rsidRDefault="00797753" w:rsidP="00797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tab/>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C01777" w:rsidRDefault="00C01777"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77A87">
        <w:rPr>
          <w:b/>
          <w:u w:val="single"/>
        </w:rPr>
        <w:lastRenderedPageBreak/>
        <w:t>Issue 77</w:t>
      </w:r>
      <w:r w:rsidRPr="00677A87">
        <w:t>:</w:t>
      </w:r>
      <w:r w:rsidRPr="00677A87">
        <w:tab/>
        <w:t xml:space="preserve">What are the appropriate energy charges?  </w:t>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4128" w:rsidRPr="00677A87" w:rsidRDefault="005B28D9" w:rsidP="007C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677A87">
        <w:rPr>
          <w:b/>
          <w:u w:val="single"/>
        </w:rPr>
        <w:t>GULF:</w:t>
      </w:r>
      <w:r w:rsidRPr="00677A87">
        <w:tab/>
      </w:r>
      <w:r w:rsidR="007C4128" w:rsidRPr="00677A87">
        <w:t>The appropriate energy charges based on Gulf’s original filing are listed below.  (Thompson)</w:t>
      </w:r>
    </w:p>
    <w:p w:rsidR="007C4128" w:rsidRPr="00677A87" w:rsidRDefault="007C4128" w:rsidP="007C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4860"/>
      </w:tblGrid>
      <w:tr w:rsidR="007C4128" w:rsidRPr="00677A87" w:rsidTr="00151091">
        <w:trPr>
          <w:trHeight w:val="330"/>
        </w:trPr>
        <w:tc>
          <w:tcPr>
            <w:tcW w:w="3060" w:type="dxa"/>
            <w:tcBorders>
              <w:top w:val="single" w:sz="4" w:space="0" w:color="auto"/>
              <w:left w:val="single" w:sz="4" w:space="0" w:color="auto"/>
              <w:bottom w:val="single" w:sz="4" w:space="0" w:color="auto"/>
              <w:right w:val="single" w:sz="4" w:space="0" w:color="auto"/>
            </w:tcBorders>
            <w:hideMark/>
          </w:tcPr>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677A87">
              <w:t>Rate Schedule</w:t>
            </w:r>
          </w:p>
        </w:tc>
        <w:tc>
          <w:tcPr>
            <w:tcW w:w="4860" w:type="dxa"/>
            <w:tcBorders>
              <w:top w:val="single" w:sz="4" w:space="0" w:color="auto"/>
              <w:left w:val="single" w:sz="4" w:space="0" w:color="auto"/>
              <w:bottom w:val="single" w:sz="4" w:space="0" w:color="auto"/>
              <w:right w:val="single" w:sz="4" w:space="0" w:color="auto"/>
            </w:tcBorders>
            <w:hideMark/>
          </w:tcPr>
          <w:p w:rsidR="007C4128" w:rsidRPr="00677A87" w:rsidRDefault="007C4128" w:rsidP="00151091">
            <w:pPr>
              <w:pStyle w:val="Heading3"/>
              <w:spacing w:before="60"/>
              <w:rPr>
                <w:b/>
                <w:szCs w:val="24"/>
              </w:rPr>
            </w:pPr>
            <w:r w:rsidRPr="00677A87">
              <w:rPr>
                <w:szCs w:val="24"/>
              </w:rPr>
              <w:t>Energy Charge</w:t>
            </w:r>
          </w:p>
        </w:tc>
      </w:tr>
      <w:tr w:rsidR="007C4128" w:rsidRPr="00677A87" w:rsidTr="00151091">
        <w:trPr>
          <w:trHeight w:val="3180"/>
        </w:trPr>
        <w:tc>
          <w:tcPr>
            <w:tcW w:w="3060" w:type="dxa"/>
            <w:tcBorders>
              <w:top w:val="single" w:sz="4" w:space="0" w:color="auto"/>
              <w:left w:val="single" w:sz="4" w:space="0" w:color="auto"/>
              <w:bottom w:val="single" w:sz="4" w:space="0" w:color="auto"/>
              <w:right w:val="single" w:sz="4" w:space="0" w:color="auto"/>
            </w:tcBorders>
          </w:tcPr>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677A87">
              <w:t>RS</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GS</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GSD</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LP</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PX</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RSVP</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GSTOU</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GSDT</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LPT</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PXT</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860" w:type="dxa"/>
            <w:tcBorders>
              <w:top w:val="single" w:sz="4" w:space="0" w:color="auto"/>
              <w:left w:val="single" w:sz="4" w:space="0" w:color="auto"/>
              <w:bottom w:val="single" w:sz="4" w:space="0" w:color="auto"/>
              <w:right w:val="single" w:sz="4" w:space="0" w:color="auto"/>
            </w:tcBorders>
          </w:tcPr>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677A87">
              <w:t>4.884 ¢/kWh</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5.300 ¢/kWh</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1.749 ¢/kWh</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0.934 ¢/kWh</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0.399 ¢/kWh</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ertAlign w:val="subscript"/>
              </w:rPr>
            </w:pPr>
            <w:r w:rsidRPr="00677A87">
              <w:t xml:space="preserve">  4.884 ¢/kWh – P</w:t>
            </w:r>
            <w:r w:rsidRPr="00677A87">
              <w:rPr>
                <w:vertAlign w:val="subscript"/>
              </w:rPr>
              <w:t>1</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ertAlign w:val="subscript"/>
              </w:rPr>
            </w:pPr>
            <w:r w:rsidRPr="00677A87">
              <w:t xml:space="preserve">  4.884 ¢/kWh – P</w:t>
            </w:r>
            <w:r w:rsidRPr="00677A87">
              <w:rPr>
                <w:vertAlign w:val="subscript"/>
              </w:rPr>
              <w:t>2</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ertAlign w:val="subscript"/>
              </w:rPr>
            </w:pPr>
            <w:r w:rsidRPr="00677A87">
              <w:t xml:space="preserve">  4.884 ¢/kWh – P</w:t>
            </w:r>
            <w:r w:rsidRPr="00677A87">
              <w:rPr>
                <w:vertAlign w:val="subscript"/>
              </w:rPr>
              <w:t>3</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ertAlign w:val="subscript"/>
              </w:rPr>
            </w:pPr>
            <w:r w:rsidRPr="00677A87">
              <w:t xml:space="preserve">  4.884 ¢/kWh – P</w:t>
            </w:r>
            <w:r w:rsidRPr="00677A87">
              <w:rPr>
                <w:vertAlign w:val="subscript"/>
              </w:rPr>
              <w:t>4</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18.691 ¢/kWh (Summer On-Peak)</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xml:space="preserve">  6.978 ¢/kWh (Summer Intermediate)</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xml:space="preserve">  2.902 ¢/kWh (Summer Off-Peak)</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 xml:space="preserve">  4.062 ¢/kWh (Winter All-Hours)</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1.749 ¢/kWh</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0.934 ¢/kWh</w:t>
            </w:r>
          </w:p>
          <w:p w:rsidR="007C4128" w:rsidRPr="00677A87" w:rsidRDefault="007C4128" w:rsidP="001510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7A87">
              <w:t>0.399 ¢/kWh</w:t>
            </w:r>
          </w:p>
        </w:tc>
      </w:tr>
    </w:tbl>
    <w:p w:rsidR="007C4128" w:rsidRPr="00677A87" w:rsidRDefault="007C4128" w:rsidP="007C4128">
      <w:pPr>
        <w:ind w:left="1440" w:hanging="1440"/>
        <w:jc w:val="both"/>
        <w:rPr>
          <w:b/>
          <w:u w:val="single"/>
        </w:rPr>
      </w:pPr>
    </w:p>
    <w:p w:rsidR="005B28D9" w:rsidRPr="00677A87" w:rsidRDefault="007C4128" w:rsidP="007C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t xml:space="preserve"> </w:t>
      </w:r>
      <w:r w:rsidRPr="00677A87">
        <w:tab/>
      </w:r>
      <w:r w:rsidRPr="00677A87">
        <w:tab/>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77A87">
        <w:rPr>
          <w:b/>
          <w:u w:val="single"/>
        </w:rPr>
        <w:t>Issue 78</w:t>
      </w:r>
      <w:r w:rsidRPr="00677A87">
        <w:t>:</w:t>
      </w:r>
      <w:r w:rsidRPr="00677A87">
        <w:tab/>
        <w:t xml:space="preserve">What are the appropriate Standby Charges? </w:t>
      </w: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4128" w:rsidRPr="00677A87" w:rsidRDefault="005B28D9" w:rsidP="007C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napToGrid/>
          <w:szCs w:val="24"/>
        </w:rPr>
      </w:pPr>
      <w:r w:rsidRPr="00677A87">
        <w:rPr>
          <w:b/>
          <w:u w:val="single"/>
        </w:rPr>
        <w:t>GULF:</w:t>
      </w:r>
      <w:r w:rsidRPr="00677A87">
        <w:tab/>
      </w:r>
      <w:r w:rsidR="007C4128" w:rsidRPr="00677A87">
        <w:rPr>
          <w:snapToGrid/>
          <w:szCs w:val="24"/>
        </w:rPr>
        <w:t>The appropriate charges under Rate Schedule SBS are listed below.  (Thompson)</w:t>
      </w:r>
    </w:p>
    <w:p w:rsidR="007C4128" w:rsidRPr="00677A87" w:rsidRDefault="007C4128" w:rsidP="007C41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napToGrid/>
          <w:szCs w:val="24"/>
          <w:u w:val="single"/>
        </w:rPr>
      </w:pPr>
    </w:p>
    <w:p w:rsidR="007C4128" w:rsidRPr="00677A87" w:rsidRDefault="007C4128" w:rsidP="007C41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napToGrid/>
          <w:szCs w:val="24"/>
          <w:u w:val="single"/>
        </w:rPr>
      </w:pPr>
    </w:p>
    <w:tbl>
      <w:tblPr>
        <w:tblW w:w="7860" w:type="dxa"/>
        <w:tblInd w:w="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1620"/>
        <w:gridCol w:w="1800"/>
        <w:gridCol w:w="1710"/>
      </w:tblGrid>
      <w:tr w:rsidR="007C4128" w:rsidRPr="00677A87" w:rsidTr="00151091">
        <w:trPr>
          <w:trHeight w:val="344"/>
        </w:trPr>
        <w:tc>
          <w:tcPr>
            <w:tcW w:w="2732" w:type="dxa"/>
            <w:tcBorders>
              <w:top w:val="single" w:sz="4" w:space="0" w:color="auto"/>
              <w:left w:val="single" w:sz="4" w:space="0" w:color="auto"/>
              <w:bottom w:val="single" w:sz="4" w:space="0" w:color="auto"/>
              <w:right w:val="single" w:sz="4" w:space="0" w:color="auto"/>
            </w:tcBorders>
          </w:tcPr>
          <w:p w:rsidR="007C4128" w:rsidRPr="00677A87" w:rsidRDefault="007C4128" w:rsidP="007C4128">
            <w:pPr>
              <w:widowControl/>
              <w:spacing w:after="60"/>
              <w:rPr>
                <w:snapToGrid/>
                <w:szCs w:val="24"/>
              </w:rPr>
            </w:pPr>
          </w:p>
          <w:p w:rsidR="007C4128" w:rsidRPr="00677A87" w:rsidRDefault="007C4128" w:rsidP="007C4128">
            <w:pPr>
              <w:widowControl/>
              <w:spacing w:after="60"/>
              <w:rPr>
                <w:snapToGrid/>
                <w:szCs w:val="24"/>
              </w:rPr>
            </w:pPr>
            <w:r w:rsidRPr="00677A87">
              <w:rPr>
                <w:snapToGrid/>
                <w:szCs w:val="24"/>
              </w:rPr>
              <w:t>Contract Demand</w:t>
            </w:r>
          </w:p>
        </w:tc>
        <w:tc>
          <w:tcPr>
            <w:tcW w:w="1620" w:type="dxa"/>
            <w:tcBorders>
              <w:top w:val="single" w:sz="4" w:space="0" w:color="auto"/>
              <w:left w:val="single" w:sz="4" w:space="0" w:color="auto"/>
              <w:bottom w:val="single" w:sz="4" w:space="0" w:color="auto"/>
              <w:right w:val="single" w:sz="4" w:space="0" w:color="auto"/>
            </w:tcBorders>
          </w:tcPr>
          <w:p w:rsidR="007C4128" w:rsidRPr="00677A87" w:rsidRDefault="007C4128" w:rsidP="007C4128">
            <w:pPr>
              <w:widowControl/>
              <w:spacing w:after="60"/>
              <w:rPr>
                <w:snapToGrid/>
                <w:szCs w:val="24"/>
              </w:rPr>
            </w:pPr>
          </w:p>
          <w:p w:rsidR="007C4128" w:rsidRPr="00677A87" w:rsidRDefault="007C4128" w:rsidP="007C4128">
            <w:pPr>
              <w:widowControl/>
              <w:spacing w:after="60"/>
              <w:rPr>
                <w:snapToGrid/>
                <w:szCs w:val="24"/>
              </w:rPr>
            </w:pPr>
            <w:r w:rsidRPr="00677A87">
              <w:rPr>
                <w:snapToGrid/>
                <w:szCs w:val="24"/>
              </w:rPr>
              <w:t>100 to 499 kw</w:t>
            </w:r>
          </w:p>
        </w:tc>
        <w:tc>
          <w:tcPr>
            <w:tcW w:w="1800" w:type="dxa"/>
            <w:tcBorders>
              <w:top w:val="single" w:sz="4" w:space="0" w:color="auto"/>
              <w:left w:val="single" w:sz="4" w:space="0" w:color="auto"/>
              <w:bottom w:val="single" w:sz="4" w:space="0" w:color="auto"/>
              <w:right w:val="single" w:sz="4" w:space="0" w:color="auto"/>
            </w:tcBorders>
          </w:tcPr>
          <w:p w:rsidR="007C4128" w:rsidRPr="00677A87" w:rsidRDefault="007C4128" w:rsidP="007C4128">
            <w:pPr>
              <w:widowControl/>
              <w:spacing w:after="60"/>
              <w:rPr>
                <w:snapToGrid/>
                <w:szCs w:val="24"/>
              </w:rPr>
            </w:pPr>
          </w:p>
          <w:p w:rsidR="007C4128" w:rsidRPr="00677A87" w:rsidRDefault="007C4128" w:rsidP="007C4128">
            <w:pPr>
              <w:widowControl/>
              <w:spacing w:after="60"/>
              <w:rPr>
                <w:snapToGrid/>
                <w:szCs w:val="24"/>
              </w:rPr>
            </w:pPr>
            <w:r w:rsidRPr="00677A87">
              <w:rPr>
                <w:snapToGrid/>
                <w:szCs w:val="24"/>
              </w:rPr>
              <w:t>500 to 7,499 kw</w:t>
            </w:r>
          </w:p>
        </w:tc>
        <w:tc>
          <w:tcPr>
            <w:tcW w:w="1710" w:type="dxa"/>
            <w:tcBorders>
              <w:top w:val="single" w:sz="4" w:space="0" w:color="auto"/>
              <w:left w:val="single" w:sz="4" w:space="0" w:color="auto"/>
              <w:bottom w:val="single" w:sz="4" w:space="0" w:color="auto"/>
              <w:right w:val="single" w:sz="4" w:space="0" w:color="auto"/>
            </w:tcBorders>
            <w:hideMark/>
          </w:tcPr>
          <w:p w:rsidR="007C4128" w:rsidRPr="00677A87" w:rsidRDefault="007C4128" w:rsidP="007C4128">
            <w:pPr>
              <w:widowControl/>
              <w:spacing w:before="60" w:after="60"/>
              <w:rPr>
                <w:snapToGrid/>
                <w:szCs w:val="24"/>
              </w:rPr>
            </w:pPr>
            <w:r w:rsidRPr="00677A87">
              <w:rPr>
                <w:snapToGrid/>
                <w:szCs w:val="24"/>
              </w:rPr>
              <w:t>7,500 kw and above</w:t>
            </w:r>
          </w:p>
        </w:tc>
      </w:tr>
      <w:tr w:rsidR="007C4128" w:rsidRPr="00677A87" w:rsidTr="00151091">
        <w:trPr>
          <w:trHeight w:val="2340"/>
        </w:trPr>
        <w:tc>
          <w:tcPr>
            <w:tcW w:w="2732" w:type="dxa"/>
            <w:tcBorders>
              <w:top w:val="single" w:sz="4" w:space="0" w:color="auto"/>
              <w:left w:val="single" w:sz="4" w:space="0" w:color="auto"/>
              <w:bottom w:val="single" w:sz="4" w:space="0" w:color="auto"/>
              <w:right w:val="single" w:sz="4" w:space="0" w:color="auto"/>
            </w:tcBorders>
            <w:hideMark/>
          </w:tcPr>
          <w:p w:rsidR="007C4128" w:rsidRPr="00677A87" w:rsidRDefault="007C4128" w:rsidP="007C4128">
            <w:pPr>
              <w:widowControl/>
              <w:spacing w:before="60" w:after="60"/>
              <w:rPr>
                <w:snapToGrid/>
                <w:szCs w:val="24"/>
              </w:rPr>
            </w:pPr>
            <w:r w:rsidRPr="00677A87">
              <w:rPr>
                <w:snapToGrid/>
                <w:szCs w:val="24"/>
              </w:rPr>
              <w:t>Demand Charge</w:t>
            </w:r>
          </w:p>
          <w:p w:rsidR="007C4128" w:rsidRPr="00677A87" w:rsidRDefault="007C4128" w:rsidP="007C4128">
            <w:pPr>
              <w:widowControl/>
              <w:spacing w:before="60" w:after="60"/>
              <w:rPr>
                <w:snapToGrid/>
                <w:szCs w:val="24"/>
              </w:rPr>
            </w:pPr>
            <w:r w:rsidRPr="00677A87">
              <w:rPr>
                <w:snapToGrid/>
                <w:szCs w:val="24"/>
              </w:rPr>
              <w:t xml:space="preserve">  Local Facilities Charge</w:t>
            </w:r>
          </w:p>
          <w:p w:rsidR="007C4128" w:rsidRPr="00677A87" w:rsidRDefault="007C4128" w:rsidP="007C4128">
            <w:pPr>
              <w:widowControl/>
              <w:spacing w:before="60" w:after="60"/>
              <w:rPr>
                <w:snapToGrid/>
                <w:szCs w:val="24"/>
              </w:rPr>
            </w:pPr>
            <w:r w:rsidRPr="00677A87">
              <w:rPr>
                <w:snapToGrid/>
                <w:szCs w:val="24"/>
              </w:rPr>
              <w:t xml:space="preserve">  On-Peak</w:t>
            </w:r>
          </w:p>
          <w:p w:rsidR="007C4128" w:rsidRPr="00677A87" w:rsidRDefault="007C4128" w:rsidP="007C4128">
            <w:pPr>
              <w:widowControl/>
              <w:spacing w:before="60" w:after="60"/>
              <w:rPr>
                <w:snapToGrid/>
                <w:szCs w:val="24"/>
              </w:rPr>
            </w:pPr>
            <w:r w:rsidRPr="00677A87">
              <w:rPr>
                <w:snapToGrid/>
                <w:szCs w:val="24"/>
              </w:rPr>
              <w:t xml:space="preserve">  Reservation Charge</w:t>
            </w:r>
          </w:p>
          <w:p w:rsidR="007C4128" w:rsidRPr="00677A87" w:rsidRDefault="007C4128" w:rsidP="007C4128">
            <w:pPr>
              <w:widowControl/>
              <w:spacing w:before="60" w:after="60"/>
              <w:rPr>
                <w:snapToGrid/>
                <w:szCs w:val="24"/>
              </w:rPr>
            </w:pPr>
            <w:r w:rsidRPr="00677A87">
              <w:rPr>
                <w:snapToGrid/>
                <w:szCs w:val="24"/>
              </w:rPr>
              <w:t xml:space="preserve">  Daily Demand Charge</w:t>
            </w:r>
          </w:p>
          <w:p w:rsidR="007C4128" w:rsidRPr="00677A87" w:rsidRDefault="007C4128" w:rsidP="007C4128">
            <w:pPr>
              <w:widowControl/>
              <w:spacing w:before="60" w:after="60"/>
              <w:rPr>
                <w:snapToGrid/>
                <w:szCs w:val="24"/>
              </w:rPr>
            </w:pPr>
            <w:r w:rsidRPr="00677A87">
              <w:rPr>
                <w:snapToGrid/>
                <w:szCs w:val="24"/>
              </w:rPr>
              <w:t>Energy Charge (per kWh)</w:t>
            </w:r>
          </w:p>
        </w:tc>
        <w:tc>
          <w:tcPr>
            <w:tcW w:w="1620" w:type="dxa"/>
            <w:tcBorders>
              <w:top w:val="single" w:sz="4" w:space="0" w:color="auto"/>
              <w:left w:val="single" w:sz="4" w:space="0" w:color="auto"/>
              <w:bottom w:val="single" w:sz="4" w:space="0" w:color="auto"/>
              <w:right w:val="single" w:sz="4" w:space="0" w:color="auto"/>
            </w:tcBorders>
          </w:tcPr>
          <w:p w:rsidR="007C4128" w:rsidRPr="00677A87" w:rsidRDefault="007C4128" w:rsidP="007C4128">
            <w:pPr>
              <w:widowControl/>
              <w:spacing w:before="60" w:after="60"/>
              <w:rPr>
                <w:snapToGrid/>
                <w:szCs w:val="24"/>
              </w:rPr>
            </w:pPr>
          </w:p>
          <w:p w:rsidR="007C4128" w:rsidRPr="00677A87" w:rsidRDefault="007C4128" w:rsidP="007C4128">
            <w:pPr>
              <w:widowControl/>
              <w:spacing w:before="60" w:after="60"/>
              <w:rPr>
                <w:snapToGrid/>
                <w:szCs w:val="24"/>
              </w:rPr>
            </w:pPr>
            <w:r w:rsidRPr="00677A87">
              <w:rPr>
                <w:snapToGrid/>
                <w:szCs w:val="24"/>
              </w:rPr>
              <w:t xml:space="preserve">     -</w:t>
            </w:r>
          </w:p>
          <w:p w:rsidR="007C4128" w:rsidRPr="00677A87" w:rsidRDefault="007C4128" w:rsidP="007C4128">
            <w:pPr>
              <w:widowControl/>
              <w:spacing w:before="60" w:after="60"/>
              <w:rPr>
                <w:snapToGrid/>
                <w:szCs w:val="24"/>
              </w:rPr>
            </w:pPr>
            <w:r w:rsidRPr="00677A87">
              <w:rPr>
                <w:snapToGrid/>
                <w:szCs w:val="24"/>
              </w:rPr>
              <w:t>$3.66</w:t>
            </w:r>
          </w:p>
          <w:p w:rsidR="007C4128" w:rsidRPr="00677A87" w:rsidRDefault="007C4128" w:rsidP="007C4128">
            <w:pPr>
              <w:widowControl/>
              <w:spacing w:before="60" w:after="60"/>
              <w:rPr>
                <w:snapToGrid/>
                <w:szCs w:val="24"/>
              </w:rPr>
            </w:pPr>
            <w:r w:rsidRPr="00677A87">
              <w:rPr>
                <w:snapToGrid/>
                <w:szCs w:val="24"/>
              </w:rPr>
              <w:t>$1.18</w:t>
            </w:r>
          </w:p>
          <w:p w:rsidR="007C4128" w:rsidRPr="00677A87" w:rsidRDefault="007C4128" w:rsidP="007C4128">
            <w:pPr>
              <w:widowControl/>
              <w:spacing w:before="60" w:after="60"/>
              <w:rPr>
                <w:snapToGrid/>
                <w:szCs w:val="24"/>
              </w:rPr>
            </w:pPr>
            <w:r w:rsidRPr="00677A87">
              <w:rPr>
                <w:snapToGrid/>
                <w:szCs w:val="24"/>
              </w:rPr>
              <w:t>$0.56</w:t>
            </w:r>
          </w:p>
          <w:p w:rsidR="007C4128" w:rsidRPr="00677A87" w:rsidRDefault="007C4128" w:rsidP="007C4128">
            <w:pPr>
              <w:widowControl/>
              <w:spacing w:before="60" w:after="60"/>
              <w:rPr>
                <w:snapToGrid/>
                <w:szCs w:val="24"/>
              </w:rPr>
            </w:pPr>
            <w:r w:rsidRPr="00677A87">
              <w:rPr>
                <w:snapToGrid/>
                <w:szCs w:val="24"/>
              </w:rPr>
              <w:t>3.460¢</w:t>
            </w:r>
          </w:p>
        </w:tc>
        <w:tc>
          <w:tcPr>
            <w:tcW w:w="1800" w:type="dxa"/>
            <w:tcBorders>
              <w:top w:val="single" w:sz="4" w:space="0" w:color="auto"/>
              <w:left w:val="single" w:sz="4" w:space="0" w:color="auto"/>
              <w:bottom w:val="single" w:sz="4" w:space="0" w:color="auto"/>
              <w:right w:val="single" w:sz="4" w:space="0" w:color="auto"/>
            </w:tcBorders>
          </w:tcPr>
          <w:p w:rsidR="007C4128" w:rsidRPr="00677A87" w:rsidRDefault="007C4128" w:rsidP="007C4128">
            <w:pPr>
              <w:widowControl/>
              <w:spacing w:before="60" w:after="60"/>
              <w:rPr>
                <w:snapToGrid/>
                <w:szCs w:val="24"/>
              </w:rPr>
            </w:pPr>
          </w:p>
          <w:p w:rsidR="007C4128" w:rsidRPr="00677A87" w:rsidRDefault="007C4128" w:rsidP="007C4128">
            <w:pPr>
              <w:widowControl/>
              <w:spacing w:before="60" w:after="60"/>
              <w:rPr>
                <w:snapToGrid/>
                <w:szCs w:val="24"/>
              </w:rPr>
            </w:pPr>
            <w:r w:rsidRPr="00677A87">
              <w:rPr>
                <w:snapToGrid/>
                <w:szCs w:val="24"/>
              </w:rPr>
              <w:t xml:space="preserve">     -</w:t>
            </w:r>
          </w:p>
          <w:p w:rsidR="007C4128" w:rsidRPr="00677A87" w:rsidRDefault="007C4128" w:rsidP="007C4128">
            <w:pPr>
              <w:widowControl/>
              <w:spacing w:before="60" w:after="60"/>
              <w:rPr>
                <w:snapToGrid/>
                <w:szCs w:val="24"/>
              </w:rPr>
            </w:pPr>
            <w:r w:rsidRPr="00677A87">
              <w:rPr>
                <w:snapToGrid/>
                <w:szCs w:val="24"/>
              </w:rPr>
              <w:t>$9.84</w:t>
            </w:r>
          </w:p>
          <w:p w:rsidR="007C4128" w:rsidRPr="00677A87" w:rsidRDefault="007C4128" w:rsidP="007C4128">
            <w:pPr>
              <w:widowControl/>
              <w:spacing w:before="60" w:after="60"/>
              <w:rPr>
                <w:snapToGrid/>
                <w:szCs w:val="24"/>
              </w:rPr>
            </w:pPr>
            <w:r w:rsidRPr="00677A87">
              <w:rPr>
                <w:snapToGrid/>
                <w:szCs w:val="24"/>
              </w:rPr>
              <w:t>$1.18</w:t>
            </w:r>
          </w:p>
          <w:p w:rsidR="007C4128" w:rsidRPr="00677A87" w:rsidRDefault="007C4128" w:rsidP="007C4128">
            <w:pPr>
              <w:widowControl/>
              <w:spacing w:before="60" w:after="60"/>
              <w:rPr>
                <w:snapToGrid/>
                <w:szCs w:val="24"/>
              </w:rPr>
            </w:pPr>
            <w:r w:rsidRPr="00677A87">
              <w:rPr>
                <w:snapToGrid/>
                <w:szCs w:val="24"/>
              </w:rPr>
              <w:t>$0.56</w:t>
            </w:r>
          </w:p>
          <w:p w:rsidR="007C4128" w:rsidRPr="00677A87" w:rsidRDefault="007C4128" w:rsidP="007C4128">
            <w:pPr>
              <w:widowControl/>
              <w:spacing w:before="60" w:after="60"/>
              <w:rPr>
                <w:snapToGrid/>
                <w:szCs w:val="24"/>
              </w:rPr>
            </w:pPr>
            <w:r w:rsidRPr="00677A87">
              <w:rPr>
                <w:snapToGrid/>
                <w:szCs w:val="24"/>
              </w:rPr>
              <w:t>3.460¢</w:t>
            </w:r>
          </w:p>
        </w:tc>
        <w:tc>
          <w:tcPr>
            <w:tcW w:w="1710" w:type="dxa"/>
            <w:tcBorders>
              <w:top w:val="single" w:sz="4" w:space="0" w:color="auto"/>
              <w:left w:val="single" w:sz="4" w:space="0" w:color="auto"/>
              <w:bottom w:val="single" w:sz="4" w:space="0" w:color="auto"/>
              <w:right w:val="single" w:sz="4" w:space="0" w:color="auto"/>
            </w:tcBorders>
          </w:tcPr>
          <w:p w:rsidR="007C4128" w:rsidRPr="00677A87" w:rsidRDefault="007C4128" w:rsidP="007C4128">
            <w:pPr>
              <w:widowControl/>
              <w:spacing w:before="60" w:after="60"/>
              <w:rPr>
                <w:snapToGrid/>
                <w:szCs w:val="24"/>
              </w:rPr>
            </w:pPr>
          </w:p>
          <w:p w:rsidR="007C4128" w:rsidRPr="00677A87" w:rsidRDefault="007C4128" w:rsidP="007C4128">
            <w:pPr>
              <w:widowControl/>
              <w:spacing w:before="60" w:after="60"/>
              <w:rPr>
                <w:snapToGrid/>
                <w:szCs w:val="24"/>
              </w:rPr>
            </w:pPr>
            <w:r w:rsidRPr="00677A87">
              <w:rPr>
                <w:snapToGrid/>
                <w:szCs w:val="24"/>
              </w:rPr>
              <w:t>$1.04</w:t>
            </w:r>
          </w:p>
          <w:p w:rsidR="007C4128" w:rsidRPr="00677A87" w:rsidRDefault="007C4128" w:rsidP="007C4128">
            <w:pPr>
              <w:widowControl/>
              <w:spacing w:before="60" w:after="60"/>
              <w:rPr>
                <w:snapToGrid/>
                <w:szCs w:val="24"/>
              </w:rPr>
            </w:pPr>
            <w:r w:rsidRPr="00677A87">
              <w:rPr>
                <w:snapToGrid/>
                <w:szCs w:val="24"/>
              </w:rPr>
              <w:t>$10.07</w:t>
            </w:r>
          </w:p>
          <w:p w:rsidR="007C4128" w:rsidRPr="00677A87" w:rsidRDefault="007C4128" w:rsidP="007C4128">
            <w:pPr>
              <w:widowControl/>
              <w:spacing w:before="60" w:after="60"/>
              <w:rPr>
                <w:snapToGrid/>
                <w:szCs w:val="24"/>
              </w:rPr>
            </w:pPr>
            <w:r w:rsidRPr="00677A87">
              <w:rPr>
                <w:snapToGrid/>
                <w:szCs w:val="24"/>
              </w:rPr>
              <w:t>$1.21</w:t>
            </w:r>
          </w:p>
          <w:p w:rsidR="007C4128" w:rsidRPr="00677A87" w:rsidRDefault="007C4128" w:rsidP="007C4128">
            <w:pPr>
              <w:widowControl/>
              <w:spacing w:before="60" w:after="60"/>
              <w:rPr>
                <w:snapToGrid/>
                <w:szCs w:val="24"/>
              </w:rPr>
            </w:pPr>
            <w:r w:rsidRPr="00677A87">
              <w:rPr>
                <w:snapToGrid/>
                <w:szCs w:val="24"/>
              </w:rPr>
              <w:t>$0.57</w:t>
            </w:r>
          </w:p>
          <w:p w:rsidR="007C4128" w:rsidRPr="00677A87" w:rsidRDefault="007C4128" w:rsidP="007C4128">
            <w:pPr>
              <w:widowControl/>
              <w:spacing w:before="60" w:after="60"/>
              <w:rPr>
                <w:snapToGrid/>
                <w:szCs w:val="24"/>
              </w:rPr>
            </w:pPr>
            <w:r w:rsidRPr="00677A87">
              <w:rPr>
                <w:snapToGrid/>
                <w:szCs w:val="24"/>
              </w:rPr>
              <w:t>3.460¢</w:t>
            </w:r>
          </w:p>
        </w:tc>
      </w:tr>
    </w:tbl>
    <w:p w:rsidR="00A15DF8" w:rsidRPr="00677A87" w:rsidRDefault="00A15DF8"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77A87">
        <w:rPr>
          <w:b/>
          <w:u w:val="single"/>
        </w:rPr>
        <w:lastRenderedPageBreak/>
        <w:t>Issue 79</w:t>
      </w:r>
      <w:r w:rsidRPr="00677A87">
        <w:t>:</w:t>
      </w:r>
      <w:r w:rsidR="00646B73" w:rsidRPr="00677A87">
        <w:tab/>
      </w:r>
      <w:r w:rsidRPr="00677A87">
        <w:t xml:space="preserve">What are the appropriate lighting charges?  </w:t>
      </w:r>
    </w:p>
    <w:p w:rsidR="00646B73" w:rsidRPr="00677A87" w:rsidRDefault="00646B73"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4128" w:rsidRPr="00677A87" w:rsidRDefault="00646B73" w:rsidP="007C4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napToGrid/>
          <w:szCs w:val="24"/>
        </w:rPr>
      </w:pPr>
      <w:r w:rsidRPr="00677A87">
        <w:rPr>
          <w:b/>
          <w:u w:val="single"/>
        </w:rPr>
        <w:t>GULF:</w:t>
      </w:r>
      <w:r w:rsidRPr="00677A87">
        <w:tab/>
      </w:r>
      <w:r w:rsidR="007C4128" w:rsidRPr="00677A87">
        <w:rPr>
          <w:snapToGrid/>
          <w:szCs w:val="24"/>
        </w:rPr>
        <w:t>The appropriate charges for the outdoor service (OS) are those shown in the Rate Schedule OS found in Schedule 3 of Exhibit JIT-1, attached to the testimony of Gulf Witness Thompson.  (Thompson)</w:t>
      </w:r>
    </w:p>
    <w:p w:rsidR="00646B73" w:rsidRPr="00677A87" w:rsidRDefault="00646B73" w:rsidP="007C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46B73"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77A87">
        <w:rPr>
          <w:b/>
          <w:u w:val="single"/>
        </w:rPr>
        <w:t>Issue 80</w:t>
      </w:r>
      <w:r w:rsidR="00646B73" w:rsidRPr="00677A87">
        <w:t>:</w:t>
      </w:r>
      <w:r w:rsidR="00646B73" w:rsidRPr="00677A87">
        <w:tab/>
      </w:r>
      <w:r w:rsidRPr="00677A87">
        <w:t xml:space="preserve">What are the appropriate transformer ownership credits? </w:t>
      </w:r>
    </w:p>
    <w:p w:rsidR="00646B73" w:rsidRPr="00677A87" w:rsidRDefault="00646B73"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4128" w:rsidRPr="00677A87" w:rsidRDefault="00646B73" w:rsidP="007C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napToGrid/>
          <w:szCs w:val="24"/>
        </w:rPr>
      </w:pPr>
      <w:r w:rsidRPr="00677A87">
        <w:rPr>
          <w:b/>
          <w:u w:val="single"/>
        </w:rPr>
        <w:t>GULF:</w:t>
      </w:r>
      <w:r w:rsidRPr="00677A87">
        <w:tab/>
      </w:r>
      <w:r w:rsidR="007C4128" w:rsidRPr="00677A87">
        <w:rPr>
          <w:snapToGrid/>
          <w:szCs w:val="24"/>
        </w:rPr>
        <w:t>The appropriate transformer ownership credits are shown below, and were developed using the Commission’s approved methodology.</w:t>
      </w:r>
      <w:r w:rsidR="00251ABC">
        <w:t xml:space="preserve"> </w:t>
      </w:r>
      <w:r w:rsidR="007C4128" w:rsidRPr="00677A87">
        <w:rPr>
          <w:snapToGrid/>
          <w:szCs w:val="24"/>
        </w:rPr>
        <w:t xml:space="preserve"> (Thompson)</w:t>
      </w:r>
    </w:p>
    <w:p w:rsidR="007C4128" w:rsidRPr="00677A87" w:rsidRDefault="007C4128" w:rsidP="007C41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napToGrid/>
          <w:szCs w:val="24"/>
        </w:rPr>
      </w:pPr>
    </w:p>
    <w:tbl>
      <w:tblPr>
        <w:tblW w:w="792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4860"/>
      </w:tblGrid>
      <w:tr w:rsidR="007C4128" w:rsidRPr="00677A87" w:rsidTr="00151091">
        <w:trPr>
          <w:trHeight w:val="330"/>
        </w:trPr>
        <w:tc>
          <w:tcPr>
            <w:tcW w:w="3060" w:type="dxa"/>
            <w:tcBorders>
              <w:top w:val="single" w:sz="4" w:space="0" w:color="auto"/>
              <w:left w:val="single" w:sz="4" w:space="0" w:color="auto"/>
              <w:bottom w:val="single" w:sz="4" w:space="0" w:color="auto"/>
              <w:right w:val="single" w:sz="4" w:space="0" w:color="auto"/>
            </w:tcBorders>
            <w:hideMark/>
          </w:tcPr>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napToGrid/>
                <w:szCs w:val="24"/>
              </w:rPr>
            </w:pPr>
            <w:r w:rsidRPr="00677A87">
              <w:rPr>
                <w:snapToGrid/>
                <w:szCs w:val="24"/>
              </w:rPr>
              <w:t>Rate Schedule</w:t>
            </w:r>
          </w:p>
        </w:tc>
        <w:tc>
          <w:tcPr>
            <w:tcW w:w="4860" w:type="dxa"/>
            <w:tcBorders>
              <w:top w:val="single" w:sz="4" w:space="0" w:color="auto"/>
              <w:left w:val="single" w:sz="4" w:space="0" w:color="auto"/>
              <w:bottom w:val="single" w:sz="4" w:space="0" w:color="auto"/>
              <w:right w:val="single" w:sz="4" w:space="0" w:color="auto"/>
            </w:tcBorders>
            <w:hideMark/>
          </w:tcPr>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napToGrid/>
                <w:szCs w:val="24"/>
              </w:rPr>
            </w:pPr>
            <w:r w:rsidRPr="00677A87">
              <w:rPr>
                <w:snapToGrid/>
                <w:szCs w:val="24"/>
              </w:rPr>
              <w:t>Voltage Discount</w:t>
            </w:r>
          </w:p>
        </w:tc>
      </w:tr>
      <w:tr w:rsidR="007C4128" w:rsidRPr="00677A87" w:rsidTr="00151091">
        <w:trPr>
          <w:trHeight w:val="3572"/>
        </w:trPr>
        <w:tc>
          <w:tcPr>
            <w:tcW w:w="3060" w:type="dxa"/>
            <w:tcBorders>
              <w:top w:val="single" w:sz="4" w:space="0" w:color="auto"/>
              <w:left w:val="single" w:sz="4" w:space="0" w:color="auto"/>
              <w:bottom w:val="single" w:sz="4" w:space="0" w:color="auto"/>
              <w:right w:val="single" w:sz="4" w:space="0" w:color="auto"/>
            </w:tcBorders>
          </w:tcPr>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napToGrid/>
                <w:szCs w:val="24"/>
              </w:rPr>
            </w:pPr>
            <w:r w:rsidRPr="00677A87">
              <w:rPr>
                <w:snapToGrid/>
                <w:szCs w:val="24"/>
              </w:rPr>
              <w:t>GSD/GSDT</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LP/LPT</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SBS Contract Level</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 xml:space="preserve">     100 – 499 KW</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 xml:space="preserve">     500 – 7,499 KW</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 xml:space="preserve">     </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 xml:space="preserve">     Above 7,499 KW</w:t>
            </w:r>
          </w:p>
        </w:tc>
        <w:tc>
          <w:tcPr>
            <w:tcW w:w="4860" w:type="dxa"/>
            <w:tcBorders>
              <w:top w:val="single" w:sz="4" w:space="0" w:color="auto"/>
              <w:left w:val="single" w:sz="4" w:space="0" w:color="auto"/>
              <w:bottom w:val="single" w:sz="4" w:space="0" w:color="auto"/>
              <w:right w:val="single" w:sz="4" w:space="0" w:color="auto"/>
            </w:tcBorders>
          </w:tcPr>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snapToGrid/>
                <w:szCs w:val="24"/>
              </w:rPr>
            </w:pPr>
            <w:r w:rsidRPr="00677A87">
              <w:rPr>
                <w:snapToGrid/>
                <w:szCs w:val="24"/>
              </w:rPr>
              <w:t>($  0.39)   Primary Voltage Level</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  0.55)   Primary Voltage Level</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  0.78)   Transmission Voltage Level</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  0.06)    Primary Voltage Level</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  0.06)    Primary Voltage Level</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  0.07)    Transmission Voltage Level</w:t>
            </w: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szCs w:val="24"/>
              </w:rPr>
            </w:pPr>
            <w:r w:rsidRPr="00677A87">
              <w:rPr>
                <w:snapToGrid/>
                <w:szCs w:val="24"/>
              </w:rPr>
              <w:t xml:space="preserve">($  0.06)    Transmission Voltage Level </w:t>
            </w:r>
          </w:p>
        </w:tc>
      </w:tr>
    </w:tbl>
    <w:p w:rsidR="007C4128" w:rsidRPr="00677A87" w:rsidRDefault="007C4128" w:rsidP="007C4128">
      <w:pPr>
        <w:widowControl/>
        <w:ind w:left="1440" w:hanging="1440"/>
        <w:jc w:val="both"/>
        <w:rPr>
          <w:b/>
          <w:snapToGrid/>
          <w:szCs w:val="24"/>
          <w:u w:val="single"/>
        </w:rPr>
      </w:pPr>
    </w:p>
    <w:p w:rsidR="007C4128" w:rsidRPr="00677A87" w:rsidRDefault="007C4128" w:rsidP="007C41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napToGrid/>
          <w:szCs w:val="24"/>
        </w:rPr>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B28D9" w:rsidRPr="00677A87" w:rsidRDefault="005B28D9" w:rsidP="00646B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rPr>
          <w:b/>
          <w:u w:val="single"/>
        </w:rPr>
        <w:t>Issue 81</w:t>
      </w:r>
      <w:r w:rsidR="00646B73" w:rsidRPr="00677A87">
        <w:t>:</w:t>
      </w:r>
      <w:r w:rsidR="00646B73" w:rsidRPr="00677A87">
        <w:tab/>
      </w:r>
      <w:r w:rsidRPr="00677A87">
        <w:t xml:space="preserve">If approved, how should the step increase in revenue requirement effective July 1, 2015, be allocated to the various rate classes?  </w:t>
      </w:r>
    </w:p>
    <w:p w:rsidR="00646B73" w:rsidRPr="00677A87" w:rsidRDefault="00646B73" w:rsidP="00646B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7C4128" w:rsidRPr="00677A87" w:rsidRDefault="00646B73" w:rsidP="007C4128">
      <w:pPr>
        <w:ind w:left="1440" w:hanging="1440"/>
        <w:jc w:val="both"/>
        <w:rPr>
          <w:b/>
          <w:snapToGrid/>
          <w:szCs w:val="24"/>
          <w:u w:val="single"/>
        </w:rPr>
      </w:pPr>
      <w:r w:rsidRPr="00677A87">
        <w:rPr>
          <w:b/>
          <w:u w:val="single"/>
        </w:rPr>
        <w:t>GULF:</w:t>
      </w:r>
      <w:r w:rsidRPr="00677A87">
        <w:tab/>
      </w:r>
      <w:r w:rsidR="007C4128" w:rsidRPr="00677A87">
        <w:rPr>
          <w:snapToGrid/>
          <w:szCs w:val="24"/>
        </w:rPr>
        <w:t xml:space="preserve">The increase should be spread among the rate classes as shown in MFR E-8 of Gulf's filing. This allocation gives consideration to cost-of-service, moving rate classes toward parity, fairness, and value.  All of these are important and appropriate considerations. </w:t>
      </w:r>
      <w:r w:rsidR="005F505C">
        <w:t xml:space="preserve">This issue is not contested in testimony and it appears it could be stipulated. </w:t>
      </w:r>
      <w:r w:rsidR="007C4128" w:rsidRPr="00677A87">
        <w:rPr>
          <w:snapToGrid/>
          <w:szCs w:val="24"/>
        </w:rPr>
        <w:t xml:space="preserve"> (Thompson)</w:t>
      </w:r>
    </w:p>
    <w:p w:rsidR="00646B73" w:rsidRPr="00677A87" w:rsidRDefault="00646B73" w:rsidP="007C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B28D9" w:rsidRPr="00677A87" w:rsidRDefault="005B28D9"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77A87">
        <w:rPr>
          <w:b/>
          <w:u w:val="single"/>
        </w:rPr>
        <w:t>Issue 82</w:t>
      </w:r>
      <w:r w:rsidRPr="00677A87">
        <w:t>:</w:t>
      </w:r>
      <w:r w:rsidR="00646B73" w:rsidRPr="00677A87">
        <w:tab/>
      </w:r>
      <w:r w:rsidRPr="00677A87">
        <w:t xml:space="preserve">What is the appropriate effective date for Gulf’s revised rates and charges?  </w:t>
      </w:r>
    </w:p>
    <w:p w:rsidR="00646B73" w:rsidRPr="00677A87" w:rsidRDefault="00646B73"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46B73" w:rsidRPr="00677A87" w:rsidRDefault="00646B73" w:rsidP="00646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77A87">
        <w:rPr>
          <w:b/>
          <w:u w:val="single"/>
        </w:rPr>
        <w:t>GULF:</w:t>
      </w:r>
      <w:r w:rsidRPr="00677A87">
        <w:tab/>
      </w:r>
      <w:r w:rsidR="00FE3635">
        <w:t xml:space="preserve">The revised rates and charges should be effective for meter readings made on or after 30 days from the date of the Commission’s vote.  </w:t>
      </w:r>
      <w:r w:rsidR="005608DF" w:rsidRPr="00677A87">
        <w:t>(Ritenour)</w:t>
      </w:r>
    </w:p>
    <w:p w:rsidR="00646B73" w:rsidRPr="00677A87" w:rsidRDefault="00646B73" w:rsidP="005B2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30FB5" w:rsidRDefault="00530FB5" w:rsidP="00530FB5">
      <w:pPr>
        <w:widowControl/>
        <w:jc w:val="both"/>
      </w:pPr>
    </w:p>
    <w:p w:rsidR="00C01777" w:rsidRPr="00677A87" w:rsidRDefault="00C01777" w:rsidP="00530FB5">
      <w:pPr>
        <w:widowControl/>
        <w:jc w:val="both"/>
      </w:pPr>
    </w:p>
    <w:p w:rsidR="00646B73" w:rsidRPr="00677A87" w:rsidRDefault="00646B73" w:rsidP="00646B73">
      <w:pPr>
        <w:jc w:val="center"/>
      </w:pPr>
      <w:r w:rsidRPr="00677A87">
        <w:rPr>
          <w:b/>
          <w:bCs/>
          <w:u w:val="single"/>
        </w:rPr>
        <w:lastRenderedPageBreak/>
        <w:t>Other Issues</w:t>
      </w:r>
    </w:p>
    <w:p w:rsidR="00646B73" w:rsidRPr="00677A87" w:rsidRDefault="00646B73" w:rsidP="00646B73">
      <w:pPr>
        <w:jc w:val="both"/>
        <w:rPr>
          <w:u w:val="single"/>
        </w:rPr>
      </w:pPr>
    </w:p>
    <w:p w:rsidR="00646B73" w:rsidRPr="00677A87" w:rsidRDefault="00646B73" w:rsidP="00646B73">
      <w:pPr>
        <w:tabs>
          <w:tab w:val="left" w:pos="-1440"/>
        </w:tabs>
        <w:ind w:left="1440" w:hanging="1440"/>
        <w:jc w:val="both"/>
      </w:pPr>
      <w:r w:rsidRPr="00677A87">
        <w:rPr>
          <w:b/>
          <w:u w:val="single"/>
        </w:rPr>
        <w:t>Issue 83</w:t>
      </w:r>
      <w:r w:rsidRPr="00677A87">
        <w:t>:</w:t>
      </w:r>
      <w:r w:rsidRPr="00677A87">
        <w:tab/>
        <w:t xml:space="preserve">Should Gulf be required to file, within 90 days after the date of the final order in this docket, a description of all entries or adjustments to its annual report, rate of return reports, and books and records which will be required as a result of the Commission’s findings in this rate case?  </w:t>
      </w:r>
    </w:p>
    <w:p w:rsidR="002D2AD7" w:rsidRPr="00677A87" w:rsidRDefault="002D2AD7" w:rsidP="00646B73">
      <w:pPr>
        <w:tabs>
          <w:tab w:val="left" w:pos="-1440"/>
        </w:tabs>
        <w:ind w:left="1440" w:hanging="1440"/>
        <w:jc w:val="both"/>
      </w:pPr>
    </w:p>
    <w:p w:rsidR="002D2AD7" w:rsidRPr="00677A87" w:rsidRDefault="002D2AD7" w:rsidP="00646B73">
      <w:pPr>
        <w:tabs>
          <w:tab w:val="left" w:pos="-1440"/>
        </w:tabs>
        <w:ind w:left="1440" w:hanging="1440"/>
        <w:jc w:val="both"/>
      </w:pPr>
      <w:r w:rsidRPr="00677A87">
        <w:rPr>
          <w:b/>
          <w:u w:val="single"/>
        </w:rPr>
        <w:t>GULF:</w:t>
      </w:r>
      <w:r w:rsidRPr="00677A87">
        <w:tab/>
      </w:r>
      <w:r w:rsidR="001A30E5">
        <w:t>Yes.</w:t>
      </w:r>
    </w:p>
    <w:p w:rsidR="00646B73" w:rsidRPr="00677A87" w:rsidRDefault="00646B73" w:rsidP="00646B73">
      <w:pPr>
        <w:jc w:val="both"/>
        <w:rPr>
          <w:u w:val="single"/>
        </w:rPr>
      </w:pPr>
    </w:p>
    <w:p w:rsidR="002D2AD7" w:rsidRPr="00677A87" w:rsidRDefault="002D2AD7" w:rsidP="00646B73">
      <w:pPr>
        <w:jc w:val="both"/>
        <w:rPr>
          <w:u w:val="single"/>
        </w:rPr>
      </w:pPr>
    </w:p>
    <w:p w:rsidR="00646B73" w:rsidRPr="00677A87" w:rsidRDefault="00646B73" w:rsidP="00646B73">
      <w:pPr>
        <w:jc w:val="both"/>
      </w:pPr>
      <w:r w:rsidRPr="00677A87">
        <w:rPr>
          <w:b/>
          <w:u w:val="single"/>
        </w:rPr>
        <w:t>Issue 84</w:t>
      </w:r>
      <w:r w:rsidRPr="00677A87">
        <w:t>:</w:t>
      </w:r>
      <w:r w:rsidRPr="00677A87">
        <w:tab/>
        <w:t xml:space="preserve">Should this docket be closed?  </w:t>
      </w:r>
    </w:p>
    <w:p w:rsidR="002D2AD7" w:rsidRPr="00677A87" w:rsidRDefault="002D2AD7" w:rsidP="00646B73">
      <w:pPr>
        <w:jc w:val="both"/>
      </w:pPr>
    </w:p>
    <w:p w:rsidR="002D2AD7" w:rsidRPr="00677A87" w:rsidRDefault="002D2AD7" w:rsidP="00646B73">
      <w:pPr>
        <w:jc w:val="both"/>
      </w:pPr>
    </w:p>
    <w:p w:rsidR="002D2AD7" w:rsidRPr="00677A87" w:rsidRDefault="002D2AD7" w:rsidP="00646B73">
      <w:pPr>
        <w:jc w:val="both"/>
      </w:pPr>
      <w:r w:rsidRPr="00677A87">
        <w:rPr>
          <w:b/>
          <w:u w:val="single"/>
        </w:rPr>
        <w:t>GULF:</w:t>
      </w:r>
      <w:r w:rsidR="0051686B" w:rsidRPr="00677A87">
        <w:tab/>
        <w:t>Yes.</w:t>
      </w:r>
    </w:p>
    <w:p w:rsidR="00AA7AE6" w:rsidRPr="00677A87" w:rsidRDefault="00AA7AE6" w:rsidP="00530FB5">
      <w:pPr>
        <w:widowControl/>
        <w:jc w:val="both"/>
        <w:rPr>
          <w:b/>
          <w:u w:val="single"/>
        </w:rPr>
      </w:pPr>
    </w:p>
    <w:p w:rsidR="00C6628E" w:rsidRDefault="00C66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u w:val="single"/>
        </w:rPr>
      </w:pPr>
    </w:p>
    <w:p w:rsidR="00646B73" w:rsidRDefault="00646B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u w:val="single"/>
        </w:rPr>
      </w:pPr>
    </w:p>
    <w:p w:rsidR="00C6628E" w:rsidRPr="00BF0BB9" w:rsidRDefault="00C6628E" w:rsidP="00C66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F0BB9">
        <w:rPr>
          <w:b/>
          <w:u w:val="single"/>
        </w:rPr>
        <w:t>F.  STIPULATED ISSUES</w:t>
      </w:r>
    </w:p>
    <w:p w:rsidR="00C6628E" w:rsidRDefault="00C66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u w:val="single"/>
        </w:rPr>
      </w:pPr>
    </w:p>
    <w:p w:rsidR="00AC5B4B" w:rsidRPr="00BF0BB9"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BF0BB9">
        <w:rPr>
          <w:b/>
          <w:u w:val="single"/>
        </w:rPr>
        <w:t>GULF:</w:t>
      </w:r>
      <w:r w:rsidRPr="00BF0BB9">
        <w:tab/>
        <w:t xml:space="preserve">Yet to be determined. </w:t>
      </w:r>
    </w:p>
    <w:p w:rsidR="00AC5B4B" w:rsidRPr="00BF0BB9"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C5B4B" w:rsidRPr="00BF0BB9"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C5B4B" w:rsidRPr="00BF0BB9"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F0BB9">
        <w:rPr>
          <w:b/>
          <w:u w:val="single"/>
        </w:rPr>
        <w:t>G.  PENDING MOTIONS</w:t>
      </w:r>
    </w:p>
    <w:p w:rsidR="00AC5B4B" w:rsidRPr="00BF0BB9"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C5B4B" w:rsidRPr="00BF0BB9" w:rsidRDefault="00AC5B4B" w:rsidP="00C6628E">
      <w:pPr>
        <w:ind w:left="1440" w:hanging="1440"/>
        <w:jc w:val="both"/>
      </w:pPr>
      <w:r w:rsidRPr="00BF0BB9">
        <w:rPr>
          <w:b/>
          <w:u w:val="single"/>
        </w:rPr>
        <w:t>GULF:</w:t>
      </w:r>
      <w:r w:rsidRPr="00BF0BB9">
        <w:t xml:space="preserve">  </w:t>
      </w:r>
      <w:r w:rsidRPr="00BF0BB9">
        <w:tab/>
        <w:t>There are no pending motions at this time.</w:t>
      </w:r>
    </w:p>
    <w:p w:rsidR="00AC5B4B" w:rsidRPr="00BF0BB9"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rsidR="00AC5B4B" w:rsidRPr="00BF0BB9" w:rsidRDefault="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rsidR="00AC5B4B" w:rsidRDefault="00AC5B4B" w:rsidP="00F929E9">
      <w:pPr>
        <w:widowControl/>
        <w:rPr>
          <w:b/>
          <w:u w:val="single"/>
        </w:rPr>
      </w:pPr>
      <w:r w:rsidRPr="009B43C6">
        <w:rPr>
          <w:b/>
          <w:caps/>
          <w:u w:val="single"/>
        </w:rPr>
        <w:t xml:space="preserve">H. Pending Confidentiality </w:t>
      </w:r>
      <w:r w:rsidRPr="009B43C6">
        <w:rPr>
          <w:b/>
          <w:u w:val="single"/>
        </w:rPr>
        <w:t>REQUESTS</w:t>
      </w:r>
    </w:p>
    <w:p w:rsidR="00F864B7" w:rsidRDefault="00F864B7" w:rsidP="00AC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D0E05" w:rsidRPr="00036059" w:rsidRDefault="002D0E05" w:rsidP="002D0E05">
      <w:pPr>
        <w:tabs>
          <w:tab w:val="left" w:pos="810"/>
        </w:tabs>
        <w:ind w:left="90"/>
        <w:rPr>
          <w:color w:val="000000"/>
          <w:szCs w:val="24"/>
        </w:rPr>
      </w:pPr>
    </w:p>
    <w:p w:rsidR="002D0E05" w:rsidRPr="00036059" w:rsidRDefault="002D0E05" w:rsidP="002D0E05">
      <w:pPr>
        <w:pStyle w:val="ListParagraph"/>
        <w:numPr>
          <w:ilvl w:val="0"/>
          <w:numId w:val="39"/>
        </w:numPr>
        <w:tabs>
          <w:tab w:val="left" w:pos="-1440"/>
          <w:tab w:val="left" w:pos="810"/>
        </w:tabs>
        <w:spacing w:line="246" w:lineRule="auto"/>
        <w:contextualSpacing/>
        <w:rPr>
          <w:rFonts w:ascii="Times New Roman" w:hAnsi="Times New Roman"/>
          <w:sz w:val="24"/>
          <w:szCs w:val="24"/>
        </w:rPr>
      </w:pPr>
      <w:r w:rsidRPr="00036059">
        <w:rPr>
          <w:rFonts w:ascii="Times New Roman" w:hAnsi="Times New Roman"/>
          <w:sz w:val="24"/>
          <w:szCs w:val="24"/>
        </w:rPr>
        <w:t>Request for confidentiality filed on April 1, 2013 regarding portions of GP’s Environmental Compliance Program Update for CAIR, National Ambient Air Quality Standards, Mercury and Air Toxics Standards and CAVR in Docket 130007 (DN 01561-13)</w:t>
      </w:r>
    </w:p>
    <w:p w:rsidR="002D0E05" w:rsidRPr="00036059" w:rsidRDefault="002D0E05" w:rsidP="002D0E05">
      <w:pPr>
        <w:tabs>
          <w:tab w:val="left" w:pos="810"/>
        </w:tabs>
        <w:ind w:left="90"/>
        <w:rPr>
          <w:szCs w:val="24"/>
        </w:rPr>
      </w:pPr>
    </w:p>
    <w:p w:rsidR="002D0E05" w:rsidRPr="00036059" w:rsidRDefault="002D0E05" w:rsidP="002D0E05">
      <w:pPr>
        <w:pStyle w:val="ListParagraph"/>
        <w:numPr>
          <w:ilvl w:val="0"/>
          <w:numId w:val="39"/>
        </w:numPr>
        <w:tabs>
          <w:tab w:val="left" w:pos="-1440"/>
          <w:tab w:val="left" w:pos="810"/>
        </w:tabs>
        <w:spacing w:line="246" w:lineRule="auto"/>
        <w:contextualSpacing/>
        <w:rPr>
          <w:rFonts w:ascii="Times New Roman" w:hAnsi="Times New Roman"/>
          <w:color w:val="333333"/>
          <w:sz w:val="24"/>
          <w:szCs w:val="24"/>
        </w:rPr>
      </w:pPr>
      <w:r w:rsidRPr="00036059">
        <w:rPr>
          <w:rFonts w:ascii="Times New Roman" w:hAnsi="Times New Roman"/>
          <w:sz w:val="24"/>
          <w:szCs w:val="24"/>
        </w:rPr>
        <w:t xml:space="preserve">Request for confidentiality filed on May 24, 2013 regarding GP’s Responses to Staff’s First Data Request (Nos. 1-22) in Docket 130092 (DN </w:t>
      </w:r>
      <w:r w:rsidRPr="00036059">
        <w:rPr>
          <w:rFonts w:ascii="Times New Roman" w:hAnsi="Times New Roman"/>
          <w:color w:val="333333"/>
          <w:sz w:val="24"/>
          <w:szCs w:val="24"/>
        </w:rPr>
        <w:t>02877-13)</w:t>
      </w:r>
    </w:p>
    <w:p w:rsidR="002D0E05" w:rsidRPr="00036059" w:rsidRDefault="002D0E05" w:rsidP="002D0E05">
      <w:pPr>
        <w:tabs>
          <w:tab w:val="left" w:pos="810"/>
        </w:tabs>
        <w:ind w:left="90"/>
        <w:rPr>
          <w:szCs w:val="24"/>
        </w:rPr>
      </w:pPr>
    </w:p>
    <w:p w:rsidR="002D0E05" w:rsidRPr="00036059" w:rsidRDefault="002D0E05" w:rsidP="002D0E05">
      <w:pPr>
        <w:pStyle w:val="ListParagraph"/>
        <w:numPr>
          <w:ilvl w:val="0"/>
          <w:numId w:val="39"/>
        </w:numPr>
        <w:tabs>
          <w:tab w:val="left" w:pos="-1440"/>
          <w:tab w:val="left" w:pos="810"/>
        </w:tabs>
        <w:spacing w:line="246" w:lineRule="auto"/>
        <w:contextualSpacing/>
        <w:rPr>
          <w:rFonts w:ascii="Times New Roman" w:hAnsi="Times New Roman"/>
          <w:color w:val="333333"/>
          <w:sz w:val="24"/>
          <w:szCs w:val="24"/>
        </w:rPr>
      </w:pPr>
      <w:r w:rsidRPr="00036059">
        <w:rPr>
          <w:rFonts w:ascii="Times New Roman" w:hAnsi="Times New Roman"/>
          <w:color w:val="333333"/>
          <w:sz w:val="24"/>
          <w:szCs w:val="24"/>
        </w:rPr>
        <w:t>Request for confidentiality filed on July 1, 2013 regarding GP’s Staff’s Second Data Request in Docket 130092 (DN 03699-13)</w:t>
      </w:r>
    </w:p>
    <w:p w:rsidR="002D0E05" w:rsidRPr="00036059" w:rsidRDefault="002D0E05" w:rsidP="002D0E05">
      <w:pPr>
        <w:tabs>
          <w:tab w:val="left" w:pos="-1440"/>
          <w:tab w:val="left" w:pos="810"/>
        </w:tabs>
        <w:spacing w:line="246" w:lineRule="auto"/>
        <w:ind w:left="90"/>
        <w:rPr>
          <w:b/>
          <w:color w:val="333333"/>
          <w:szCs w:val="24"/>
        </w:rPr>
      </w:pPr>
    </w:p>
    <w:p w:rsidR="002D0E05" w:rsidRPr="00036059" w:rsidRDefault="002D0E05" w:rsidP="002D0E05">
      <w:pPr>
        <w:pStyle w:val="ListParagraph"/>
        <w:numPr>
          <w:ilvl w:val="0"/>
          <w:numId w:val="39"/>
        </w:numPr>
        <w:tabs>
          <w:tab w:val="left" w:pos="-1440"/>
          <w:tab w:val="left" w:pos="810"/>
        </w:tabs>
        <w:spacing w:line="246" w:lineRule="auto"/>
        <w:contextualSpacing/>
        <w:rPr>
          <w:rFonts w:ascii="Times New Roman" w:hAnsi="Times New Roman"/>
          <w:b/>
          <w:color w:val="333333"/>
          <w:sz w:val="24"/>
          <w:szCs w:val="24"/>
        </w:rPr>
      </w:pPr>
      <w:r w:rsidRPr="00036059">
        <w:rPr>
          <w:rFonts w:ascii="Times New Roman" w:hAnsi="Times New Roman"/>
          <w:color w:val="333333"/>
          <w:sz w:val="24"/>
          <w:szCs w:val="24"/>
        </w:rPr>
        <w:t>Request for confidentiality and motion for temporary protective order filed on September 12, 2013 regarding GP’s Response to OPC’s First Request to Produce Documents (Nos. 1-33) in Docket 130151 (DN 05415-13)</w:t>
      </w:r>
    </w:p>
    <w:p w:rsidR="002D0E05" w:rsidRPr="00036059" w:rsidRDefault="002D0E05" w:rsidP="002D0E05">
      <w:pPr>
        <w:tabs>
          <w:tab w:val="left" w:pos="810"/>
        </w:tabs>
        <w:ind w:left="90"/>
        <w:rPr>
          <w:szCs w:val="24"/>
        </w:rPr>
      </w:pPr>
    </w:p>
    <w:p w:rsidR="002D0E05" w:rsidRPr="00036059" w:rsidRDefault="002D0E05" w:rsidP="002D0E05">
      <w:pPr>
        <w:pStyle w:val="ListParagraph"/>
        <w:numPr>
          <w:ilvl w:val="0"/>
          <w:numId w:val="39"/>
        </w:numPr>
        <w:tabs>
          <w:tab w:val="left" w:pos="-1440"/>
          <w:tab w:val="left" w:pos="810"/>
        </w:tabs>
        <w:spacing w:line="246" w:lineRule="auto"/>
        <w:contextualSpacing/>
        <w:rPr>
          <w:rFonts w:ascii="Times New Roman" w:hAnsi="Times New Roman"/>
          <w:color w:val="333333"/>
          <w:sz w:val="24"/>
          <w:szCs w:val="24"/>
        </w:rPr>
      </w:pPr>
      <w:r w:rsidRPr="00036059">
        <w:rPr>
          <w:rFonts w:ascii="Times New Roman" w:hAnsi="Times New Roman"/>
          <w:color w:val="333333"/>
          <w:sz w:val="24"/>
          <w:szCs w:val="24"/>
        </w:rPr>
        <w:lastRenderedPageBreak/>
        <w:t>Request for confidentiality filed on September 24, 2013 regarding GP’s Revised Environmental Compliance Program, exhibit JOV-1 to James O. Vick’s testimony in Docket 130092  (DN 05659-13)</w:t>
      </w:r>
    </w:p>
    <w:p w:rsidR="002D0E05" w:rsidRPr="00036059" w:rsidRDefault="002D0E05" w:rsidP="002D0E05">
      <w:pPr>
        <w:tabs>
          <w:tab w:val="left" w:pos="-1440"/>
          <w:tab w:val="left" w:pos="810"/>
        </w:tabs>
        <w:spacing w:line="246" w:lineRule="auto"/>
        <w:rPr>
          <w:color w:val="333333"/>
          <w:szCs w:val="24"/>
        </w:rPr>
      </w:pPr>
    </w:p>
    <w:p w:rsidR="002D0E05" w:rsidRPr="00036059" w:rsidRDefault="002D0E05" w:rsidP="002D0E05">
      <w:pPr>
        <w:pStyle w:val="ListParagraph"/>
        <w:numPr>
          <w:ilvl w:val="0"/>
          <w:numId w:val="39"/>
        </w:numPr>
        <w:tabs>
          <w:tab w:val="left" w:pos="810"/>
        </w:tabs>
        <w:contextualSpacing/>
        <w:rPr>
          <w:rFonts w:ascii="Times New Roman" w:hAnsi="Times New Roman"/>
          <w:sz w:val="24"/>
          <w:szCs w:val="24"/>
        </w:rPr>
      </w:pPr>
      <w:r w:rsidRPr="00036059">
        <w:rPr>
          <w:rFonts w:ascii="Times New Roman" w:hAnsi="Times New Roman"/>
          <w:color w:val="333333"/>
          <w:sz w:val="24"/>
          <w:szCs w:val="24"/>
        </w:rPr>
        <w:t xml:space="preserve">Request for confidentiality </w:t>
      </w:r>
      <w:r>
        <w:rPr>
          <w:rFonts w:ascii="Times New Roman" w:hAnsi="Times New Roman"/>
          <w:color w:val="333333"/>
          <w:sz w:val="24"/>
          <w:szCs w:val="24"/>
        </w:rPr>
        <w:t xml:space="preserve">and motion for temporary protective order </w:t>
      </w:r>
      <w:r w:rsidRPr="00036059">
        <w:rPr>
          <w:rFonts w:ascii="Times New Roman" w:hAnsi="Times New Roman"/>
          <w:color w:val="333333"/>
          <w:sz w:val="24"/>
          <w:szCs w:val="24"/>
        </w:rPr>
        <w:t xml:space="preserve">filed on September 25, 2013 regarding Certain documents and information produced by GP in response to Citizens' 4th </w:t>
      </w:r>
      <w:r>
        <w:rPr>
          <w:rFonts w:ascii="Times New Roman" w:hAnsi="Times New Roman"/>
          <w:color w:val="333333"/>
          <w:sz w:val="24"/>
          <w:szCs w:val="24"/>
        </w:rPr>
        <w:t>R</w:t>
      </w:r>
      <w:r w:rsidRPr="00036059">
        <w:rPr>
          <w:rFonts w:ascii="Times New Roman" w:hAnsi="Times New Roman"/>
          <w:color w:val="333333"/>
          <w:sz w:val="24"/>
          <w:szCs w:val="24"/>
        </w:rPr>
        <w:t>equest for P</w:t>
      </w:r>
      <w:r>
        <w:rPr>
          <w:rFonts w:ascii="Times New Roman" w:hAnsi="Times New Roman"/>
          <w:color w:val="333333"/>
          <w:sz w:val="24"/>
          <w:szCs w:val="24"/>
        </w:rPr>
        <w:t>roduction of Documents</w:t>
      </w:r>
      <w:r w:rsidRPr="00036059">
        <w:rPr>
          <w:rFonts w:ascii="Times New Roman" w:hAnsi="Times New Roman"/>
          <w:color w:val="333333"/>
          <w:sz w:val="24"/>
          <w:szCs w:val="24"/>
        </w:rPr>
        <w:t xml:space="preserve"> (Nos. 74-89) and Citizens' 4th </w:t>
      </w:r>
      <w:r>
        <w:rPr>
          <w:rFonts w:ascii="Times New Roman" w:hAnsi="Times New Roman"/>
          <w:color w:val="333333"/>
          <w:sz w:val="24"/>
          <w:szCs w:val="24"/>
        </w:rPr>
        <w:t>set of I</w:t>
      </w:r>
      <w:r w:rsidRPr="00036059">
        <w:rPr>
          <w:rFonts w:ascii="Times New Roman" w:hAnsi="Times New Roman"/>
          <w:color w:val="333333"/>
          <w:sz w:val="24"/>
          <w:szCs w:val="24"/>
        </w:rPr>
        <w:t>nterrogatories (Nos. 116-162)</w:t>
      </w:r>
      <w:r w:rsidRPr="00036059">
        <w:rPr>
          <w:rFonts w:ascii="Times New Roman" w:hAnsi="Times New Roman"/>
          <w:b/>
          <w:color w:val="333333"/>
          <w:sz w:val="24"/>
          <w:szCs w:val="24"/>
        </w:rPr>
        <w:t xml:space="preserve"> (</w:t>
      </w:r>
      <w:r w:rsidRPr="00036059">
        <w:rPr>
          <w:rFonts w:ascii="Times New Roman" w:hAnsi="Times New Roman"/>
          <w:sz w:val="24"/>
          <w:szCs w:val="24"/>
        </w:rPr>
        <w:t>DN 05699-13)</w:t>
      </w:r>
    </w:p>
    <w:p w:rsidR="002D0E05" w:rsidRPr="00036059" w:rsidRDefault="002D0E05" w:rsidP="002D0E05">
      <w:pPr>
        <w:tabs>
          <w:tab w:val="left" w:pos="810"/>
        </w:tabs>
        <w:ind w:left="90"/>
        <w:rPr>
          <w:szCs w:val="24"/>
        </w:rPr>
      </w:pPr>
    </w:p>
    <w:p w:rsidR="002D0E05" w:rsidRPr="00036059" w:rsidRDefault="002D0E05" w:rsidP="002D0E05">
      <w:pPr>
        <w:pStyle w:val="ListParagraph"/>
        <w:numPr>
          <w:ilvl w:val="0"/>
          <w:numId w:val="39"/>
        </w:numPr>
        <w:tabs>
          <w:tab w:val="left" w:pos="-1440"/>
          <w:tab w:val="left" w:pos="810"/>
        </w:tabs>
        <w:spacing w:line="246" w:lineRule="auto"/>
        <w:contextualSpacing/>
        <w:rPr>
          <w:rFonts w:ascii="Times New Roman" w:hAnsi="Times New Roman"/>
          <w:color w:val="333333"/>
          <w:sz w:val="24"/>
          <w:szCs w:val="24"/>
        </w:rPr>
      </w:pPr>
      <w:r w:rsidRPr="00036059">
        <w:rPr>
          <w:rFonts w:ascii="Times New Roman" w:hAnsi="Times New Roman"/>
          <w:color w:val="333333"/>
          <w:sz w:val="24"/>
          <w:szCs w:val="24"/>
        </w:rPr>
        <w:t>Request for confidentiality filed on September 30, 2013 regarding GP’s  Revised Responses to Staff’s Second Data Request in Docket 130092 (DN 05826-13)</w:t>
      </w:r>
    </w:p>
    <w:p w:rsidR="002D0E05" w:rsidRPr="00036059" w:rsidRDefault="002D0E05" w:rsidP="002D0E05">
      <w:pPr>
        <w:tabs>
          <w:tab w:val="left" w:pos="810"/>
        </w:tabs>
        <w:ind w:left="90"/>
        <w:rPr>
          <w:szCs w:val="24"/>
        </w:rPr>
      </w:pPr>
    </w:p>
    <w:p w:rsidR="002D0E05" w:rsidRPr="00036059" w:rsidRDefault="002D0E05" w:rsidP="002D0E05">
      <w:pPr>
        <w:pStyle w:val="ListParagraph"/>
        <w:numPr>
          <w:ilvl w:val="0"/>
          <w:numId w:val="39"/>
        </w:numPr>
        <w:tabs>
          <w:tab w:val="left" w:pos="810"/>
        </w:tabs>
        <w:contextualSpacing/>
        <w:rPr>
          <w:rFonts w:ascii="Times New Roman" w:hAnsi="Times New Roman"/>
          <w:b/>
          <w:sz w:val="24"/>
          <w:szCs w:val="24"/>
        </w:rPr>
      </w:pPr>
      <w:r w:rsidRPr="00036059">
        <w:rPr>
          <w:rFonts w:ascii="Times New Roman" w:hAnsi="Times New Roman"/>
          <w:sz w:val="24"/>
          <w:szCs w:val="24"/>
        </w:rPr>
        <w:t xml:space="preserve">GP’s  </w:t>
      </w:r>
      <w:r w:rsidRPr="00036059">
        <w:rPr>
          <w:rFonts w:ascii="Times New Roman" w:hAnsi="Times New Roman"/>
          <w:color w:val="333333"/>
          <w:sz w:val="24"/>
          <w:szCs w:val="24"/>
        </w:rPr>
        <w:t xml:space="preserve">Request for confidentiality and motion for temporary protective order filed on September 30, 2013 regarding portions of GP’s responses to OPC's 5th </w:t>
      </w:r>
      <w:r>
        <w:rPr>
          <w:rFonts w:ascii="Times New Roman" w:hAnsi="Times New Roman"/>
          <w:color w:val="333333"/>
          <w:sz w:val="24"/>
          <w:szCs w:val="24"/>
        </w:rPr>
        <w:t>R</w:t>
      </w:r>
      <w:r w:rsidRPr="00036059">
        <w:rPr>
          <w:rFonts w:ascii="Times New Roman" w:hAnsi="Times New Roman"/>
          <w:color w:val="333333"/>
          <w:sz w:val="24"/>
          <w:szCs w:val="24"/>
        </w:rPr>
        <w:t>equest for P</w:t>
      </w:r>
      <w:r>
        <w:rPr>
          <w:rFonts w:ascii="Times New Roman" w:hAnsi="Times New Roman"/>
          <w:color w:val="333333"/>
          <w:sz w:val="24"/>
          <w:szCs w:val="24"/>
        </w:rPr>
        <w:t>roduction of Documents</w:t>
      </w:r>
      <w:r w:rsidRPr="00036059">
        <w:rPr>
          <w:rFonts w:ascii="Times New Roman" w:hAnsi="Times New Roman"/>
          <w:color w:val="333333"/>
          <w:sz w:val="24"/>
          <w:szCs w:val="24"/>
        </w:rPr>
        <w:t xml:space="preserve"> (Nos. 90-103) and 5th </w:t>
      </w:r>
      <w:r>
        <w:rPr>
          <w:rFonts w:ascii="Times New Roman" w:hAnsi="Times New Roman"/>
          <w:color w:val="333333"/>
          <w:sz w:val="24"/>
          <w:szCs w:val="24"/>
        </w:rPr>
        <w:t>Set of</w:t>
      </w:r>
      <w:r w:rsidRPr="00036059">
        <w:rPr>
          <w:rFonts w:ascii="Times New Roman" w:hAnsi="Times New Roman"/>
          <w:color w:val="333333"/>
          <w:sz w:val="24"/>
          <w:szCs w:val="24"/>
        </w:rPr>
        <w:t xml:space="preserve"> </w:t>
      </w:r>
      <w:r>
        <w:rPr>
          <w:rFonts w:ascii="Times New Roman" w:hAnsi="Times New Roman"/>
          <w:color w:val="333333"/>
          <w:sz w:val="24"/>
          <w:szCs w:val="24"/>
        </w:rPr>
        <w:t>I</w:t>
      </w:r>
      <w:r w:rsidRPr="00036059">
        <w:rPr>
          <w:rFonts w:ascii="Times New Roman" w:hAnsi="Times New Roman"/>
          <w:color w:val="333333"/>
          <w:sz w:val="24"/>
          <w:szCs w:val="24"/>
        </w:rPr>
        <w:t>nterrogatories (Nos. 163-177) (</w:t>
      </w:r>
      <w:r w:rsidRPr="00036059">
        <w:rPr>
          <w:rFonts w:ascii="Times New Roman" w:hAnsi="Times New Roman"/>
          <w:sz w:val="24"/>
          <w:szCs w:val="24"/>
        </w:rPr>
        <w:t>DN 05828-13)</w:t>
      </w:r>
    </w:p>
    <w:p w:rsidR="002D0E05" w:rsidRPr="00036059" w:rsidRDefault="002D0E05" w:rsidP="002D0E05">
      <w:pPr>
        <w:tabs>
          <w:tab w:val="left" w:pos="810"/>
        </w:tabs>
        <w:ind w:left="90"/>
        <w:rPr>
          <w:color w:val="1F497D"/>
          <w:szCs w:val="24"/>
        </w:rPr>
      </w:pPr>
    </w:p>
    <w:p w:rsidR="002D0E05" w:rsidRPr="00036059" w:rsidRDefault="002D0E05" w:rsidP="002D0E05">
      <w:pPr>
        <w:pStyle w:val="ListParagraph"/>
        <w:numPr>
          <w:ilvl w:val="0"/>
          <w:numId w:val="39"/>
        </w:numPr>
        <w:tabs>
          <w:tab w:val="left" w:pos="810"/>
        </w:tabs>
        <w:contextualSpacing/>
        <w:rPr>
          <w:rFonts w:ascii="Times New Roman" w:hAnsi="Times New Roman"/>
          <w:b/>
          <w:sz w:val="24"/>
          <w:szCs w:val="24"/>
        </w:rPr>
      </w:pPr>
      <w:r w:rsidRPr="00036059">
        <w:rPr>
          <w:rFonts w:ascii="Times New Roman" w:hAnsi="Times New Roman"/>
          <w:color w:val="333333"/>
          <w:sz w:val="24"/>
          <w:szCs w:val="24"/>
        </w:rPr>
        <w:t>GP’s  Notice of intent to request confidentiality filed on October 16, 2013 regarding  portions of testimony filed by OPC</w:t>
      </w:r>
      <w:r w:rsidRPr="00036059">
        <w:rPr>
          <w:rFonts w:ascii="Times New Roman" w:hAnsi="Times New Roman"/>
          <w:sz w:val="24"/>
          <w:szCs w:val="24"/>
        </w:rPr>
        <w:t xml:space="preserve"> relating to Scott Norwood (DN 06268-13)</w:t>
      </w:r>
    </w:p>
    <w:p w:rsidR="002D0E05" w:rsidRPr="00036059" w:rsidRDefault="002D0E05" w:rsidP="002D0E05">
      <w:pPr>
        <w:tabs>
          <w:tab w:val="left" w:pos="810"/>
        </w:tabs>
        <w:ind w:left="90"/>
        <w:rPr>
          <w:color w:val="1F497D"/>
          <w:szCs w:val="24"/>
        </w:rPr>
      </w:pPr>
    </w:p>
    <w:p w:rsidR="002D0E05" w:rsidRPr="00036059" w:rsidRDefault="002D0E05" w:rsidP="002D0E05">
      <w:pPr>
        <w:pStyle w:val="ListParagraph"/>
        <w:numPr>
          <w:ilvl w:val="0"/>
          <w:numId w:val="39"/>
        </w:numPr>
        <w:tabs>
          <w:tab w:val="left" w:pos="810"/>
        </w:tabs>
        <w:contextualSpacing/>
        <w:rPr>
          <w:rFonts w:ascii="Times New Roman" w:hAnsi="Times New Roman"/>
          <w:sz w:val="24"/>
          <w:szCs w:val="24"/>
        </w:rPr>
      </w:pPr>
      <w:r w:rsidRPr="00036059">
        <w:rPr>
          <w:rFonts w:ascii="Times New Roman" w:hAnsi="Times New Roman"/>
          <w:color w:val="333333"/>
          <w:sz w:val="24"/>
          <w:szCs w:val="24"/>
        </w:rPr>
        <w:t xml:space="preserve">GP’s  Request for confidentiality and motion for temporary protective order filed on October 28, 2013 regarding </w:t>
      </w:r>
      <w:r w:rsidRPr="00036059">
        <w:rPr>
          <w:rFonts w:ascii="Times New Roman" w:hAnsi="Times New Roman"/>
          <w:sz w:val="24"/>
          <w:szCs w:val="24"/>
        </w:rPr>
        <w:t>GP’s Responses to Staff’s 7</w:t>
      </w:r>
      <w:r w:rsidRPr="00036059">
        <w:rPr>
          <w:rFonts w:ascii="Times New Roman" w:hAnsi="Times New Roman"/>
          <w:sz w:val="24"/>
          <w:szCs w:val="24"/>
          <w:vertAlign w:val="superscript"/>
        </w:rPr>
        <w:t>th</w:t>
      </w:r>
      <w:r w:rsidRPr="00036059">
        <w:rPr>
          <w:rFonts w:ascii="Times New Roman" w:hAnsi="Times New Roman"/>
          <w:sz w:val="24"/>
          <w:szCs w:val="24"/>
        </w:rPr>
        <w:t xml:space="preserve"> </w:t>
      </w:r>
      <w:r>
        <w:rPr>
          <w:rFonts w:ascii="Times New Roman" w:hAnsi="Times New Roman"/>
          <w:sz w:val="24"/>
          <w:szCs w:val="24"/>
        </w:rPr>
        <w:t>Set of Interrogatorie</w:t>
      </w:r>
      <w:r w:rsidRPr="00036059">
        <w:rPr>
          <w:rFonts w:ascii="Times New Roman" w:hAnsi="Times New Roman"/>
          <w:sz w:val="24"/>
          <w:szCs w:val="24"/>
        </w:rPr>
        <w:t>s</w:t>
      </w:r>
      <w:r>
        <w:rPr>
          <w:rFonts w:ascii="Times New Roman" w:hAnsi="Times New Roman"/>
          <w:sz w:val="24"/>
          <w:szCs w:val="24"/>
        </w:rPr>
        <w:t xml:space="preserve"> (Nos. 66-91)</w:t>
      </w:r>
      <w:r w:rsidRPr="00036059">
        <w:rPr>
          <w:rFonts w:ascii="Times New Roman" w:hAnsi="Times New Roman"/>
          <w:sz w:val="24"/>
          <w:szCs w:val="24"/>
        </w:rPr>
        <w:t xml:space="preserve"> (DN 06496-13)</w:t>
      </w:r>
    </w:p>
    <w:p w:rsidR="002D0E05" w:rsidRPr="00036059" w:rsidRDefault="002D0E05" w:rsidP="002D0E05">
      <w:pPr>
        <w:tabs>
          <w:tab w:val="left" w:pos="810"/>
        </w:tabs>
        <w:ind w:left="90"/>
        <w:rPr>
          <w:szCs w:val="24"/>
        </w:rPr>
      </w:pPr>
    </w:p>
    <w:p w:rsidR="002D0E05" w:rsidRPr="00036059" w:rsidRDefault="002D0E05" w:rsidP="002D0E05">
      <w:pPr>
        <w:pStyle w:val="ListParagraph"/>
        <w:numPr>
          <w:ilvl w:val="0"/>
          <w:numId w:val="39"/>
        </w:numPr>
        <w:tabs>
          <w:tab w:val="left" w:pos="810"/>
        </w:tabs>
        <w:ind w:left="806"/>
        <w:contextualSpacing/>
        <w:rPr>
          <w:rFonts w:ascii="Times New Roman" w:hAnsi="Times New Roman"/>
          <w:b/>
          <w:sz w:val="24"/>
          <w:szCs w:val="24"/>
        </w:rPr>
      </w:pPr>
      <w:r w:rsidRPr="00036059">
        <w:rPr>
          <w:rFonts w:ascii="Times New Roman" w:hAnsi="Times New Roman"/>
          <w:sz w:val="24"/>
          <w:szCs w:val="24"/>
        </w:rPr>
        <w:t xml:space="preserve">Request for confidentiality and Motion for Temporary Protective Order filed on October 30, 2013 regarding Staff’s audit of GP’s request for an increase in rates (ACN 13-207-1-1) (DN </w:t>
      </w:r>
      <w:r w:rsidRPr="00036059">
        <w:rPr>
          <w:rFonts w:ascii="Times New Roman" w:hAnsi="Times New Roman"/>
          <w:color w:val="333333"/>
          <w:sz w:val="24"/>
          <w:szCs w:val="24"/>
        </w:rPr>
        <w:t>06634-13)</w:t>
      </w:r>
    </w:p>
    <w:p w:rsidR="002D0E05" w:rsidRPr="00036059" w:rsidRDefault="002D0E05" w:rsidP="002D0E05">
      <w:pPr>
        <w:tabs>
          <w:tab w:val="left" w:pos="810"/>
        </w:tabs>
        <w:rPr>
          <w:b/>
          <w:szCs w:val="24"/>
        </w:rPr>
      </w:pPr>
    </w:p>
    <w:p w:rsidR="002D0E05" w:rsidRPr="00036059" w:rsidRDefault="002D0E05" w:rsidP="002D0E05">
      <w:pPr>
        <w:pStyle w:val="ListParagraph"/>
        <w:numPr>
          <w:ilvl w:val="0"/>
          <w:numId w:val="39"/>
        </w:numPr>
        <w:tabs>
          <w:tab w:val="left" w:pos="810"/>
        </w:tabs>
        <w:contextualSpacing/>
        <w:rPr>
          <w:rFonts w:ascii="Times New Roman" w:hAnsi="Times New Roman"/>
          <w:b/>
          <w:sz w:val="24"/>
          <w:szCs w:val="24"/>
        </w:rPr>
      </w:pPr>
      <w:r w:rsidRPr="00036059">
        <w:rPr>
          <w:rFonts w:ascii="Times New Roman" w:hAnsi="Times New Roman"/>
          <w:color w:val="333333"/>
          <w:sz w:val="24"/>
          <w:szCs w:val="24"/>
        </w:rPr>
        <w:t>Restated Request for confidentiality filed on November 4, 2013 regarding certain portions of GP’s Revised Environmental Compliance Program Update for the Clean Air Interstate Rule, National Ambient Air Quality Standards, Mercury and Air Toxics Standards and Clean Air Visibility Rule, exhibit JOV-1 to James O. Vick’s testimony (DN 06740-13)</w:t>
      </w:r>
    </w:p>
    <w:p w:rsidR="002D0E05" w:rsidRPr="00036059" w:rsidRDefault="002D0E05" w:rsidP="002D0E05">
      <w:pPr>
        <w:tabs>
          <w:tab w:val="left" w:pos="810"/>
        </w:tabs>
        <w:rPr>
          <w:b/>
          <w:szCs w:val="24"/>
        </w:rPr>
      </w:pPr>
    </w:p>
    <w:p w:rsidR="002D0E05" w:rsidRPr="00036059" w:rsidRDefault="002D0E05" w:rsidP="002D0E05">
      <w:pPr>
        <w:pStyle w:val="ListParagraph"/>
        <w:numPr>
          <w:ilvl w:val="0"/>
          <w:numId w:val="39"/>
        </w:numPr>
        <w:tabs>
          <w:tab w:val="left" w:pos="810"/>
        </w:tabs>
        <w:contextualSpacing/>
        <w:rPr>
          <w:rFonts w:ascii="Times New Roman" w:hAnsi="Times New Roman"/>
          <w:b/>
          <w:sz w:val="24"/>
          <w:szCs w:val="24"/>
        </w:rPr>
      </w:pPr>
      <w:r w:rsidRPr="00036059">
        <w:rPr>
          <w:rFonts w:ascii="Times New Roman" w:hAnsi="Times New Roman"/>
          <w:color w:val="333333"/>
          <w:sz w:val="24"/>
          <w:szCs w:val="24"/>
        </w:rPr>
        <w:t>Request for confidentiality and Motion for Temporary Protective Order filed on November 6, 2013,</w:t>
      </w:r>
      <w:r>
        <w:rPr>
          <w:rFonts w:ascii="Times New Roman" w:hAnsi="Times New Roman"/>
          <w:color w:val="333333"/>
          <w:sz w:val="24"/>
          <w:szCs w:val="24"/>
        </w:rPr>
        <w:t xml:space="preserve"> </w:t>
      </w:r>
      <w:r w:rsidRPr="00036059">
        <w:rPr>
          <w:rFonts w:ascii="Times New Roman" w:hAnsi="Times New Roman"/>
          <w:color w:val="333333"/>
          <w:sz w:val="24"/>
          <w:szCs w:val="24"/>
        </w:rPr>
        <w:t>regarding portions of the rebuttal testimony of GP’s witness P. Chris Caldwell (DN 06785-13)</w:t>
      </w:r>
    </w:p>
    <w:p w:rsidR="002D0E05" w:rsidRPr="00036059" w:rsidRDefault="002D0E05" w:rsidP="002D0E05">
      <w:pPr>
        <w:tabs>
          <w:tab w:val="left" w:pos="810"/>
        </w:tabs>
        <w:rPr>
          <w:b/>
          <w:szCs w:val="24"/>
        </w:rPr>
      </w:pPr>
    </w:p>
    <w:p w:rsidR="002D0E05" w:rsidRPr="00036059" w:rsidRDefault="002D0E05" w:rsidP="002D0E05">
      <w:pPr>
        <w:pStyle w:val="ListParagraph"/>
        <w:numPr>
          <w:ilvl w:val="0"/>
          <w:numId w:val="39"/>
        </w:numPr>
        <w:tabs>
          <w:tab w:val="left" w:pos="810"/>
        </w:tabs>
        <w:contextualSpacing/>
        <w:rPr>
          <w:rFonts w:ascii="Times New Roman" w:hAnsi="Times New Roman"/>
          <w:b/>
          <w:sz w:val="24"/>
          <w:szCs w:val="24"/>
        </w:rPr>
      </w:pPr>
      <w:r w:rsidRPr="00036059">
        <w:rPr>
          <w:rFonts w:ascii="Times New Roman" w:hAnsi="Times New Roman"/>
          <w:color w:val="333333"/>
          <w:sz w:val="24"/>
          <w:szCs w:val="24"/>
        </w:rPr>
        <w:t>Request for confidentiality and Motion for Temporary Protective Order filed on November 6, 2013, regarding portions of the testimony of OPC’s witness Scott Norwood (DN 06781-13)</w:t>
      </w:r>
    </w:p>
    <w:p w:rsidR="002D0E05" w:rsidRPr="00036059" w:rsidRDefault="002D0E05" w:rsidP="002D0E05">
      <w:pPr>
        <w:tabs>
          <w:tab w:val="left" w:pos="810"/>
        </w:tabs>
        <w:rPr>
          <w:b/>
          <w:szCs w:val="24"/>
        </w:rPr>
      </w:pPr>
    </w:p>
    <w:p w:rsidR="00AC5B4B" w:rsidRPr="00BF0BB9" w:rsidRDefault="00AC5B4B" w:rsidP="005A51CE">
      <w:pPr>
        <w:pStyle w:val="ColorfulList-Accent11"/>
        <w:spacing w:line="276" w:lineRule="auto"/>
        <w:jc w:val="both"/>
      </w:pPr>
    </w:p>
    <w:p w:rsidR="00552B3B" w:rsidRDefault="00552B3B">
      <w:pPr>
        <w:widowControl/>
        <w:rPr>
          <w:b/>
          <w:u w:val="single"/>
        </w:rPr>
      </w:pPr>
      <w:r>
        <w:rPr>
          <w:b/>
          <w:u w:val="single"/>
        </w:rPr>
        <w:br w:type="page"/>
      </w:r>
    </w:p>
    <w:p w:rsidR="00EB00A8" w:rsidRDefault="00EB00A8" w:rsidP="00EB00A8">
      <w:pPr>
        <w:widowControl/>
        <w:rPr>
          <w:b/>
        </w:rPr>
      </w:pPr>
      <w:r>
        <w:rPr>
          <w:b/>
          <w:u w:val="single"/>
        </w:rPr>
        <w:lastRenderedPageBreak/>
        <w:t>I.  EXPERT WITNESS OBJECTIONS</w:t>
      </w:r>
    </w:p>
    <w:p w:rsidR="00EB00A8" w:rsidRDefault="00EB00A8" w:rsidP="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EB00A8" w:rsidRDefault="00EB00A8" w:rsidP="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Pr>
          <w:b/>
          <w:u w:val="single"/>
        </w:rPr>
        <w:t>GULF:</w:t>
      </w:r>
      <w:r>
        <w:tab/>
        <w:t xml:space="preserve">Gulf reserves the right to challenge the qualifications of any expert witness consistent with the procedural order entered in this docket. </w:t>
      </w:r>
    </w:p>
    <w:p w:rsidR="00EB00A8" w:rsidRDefault="00EB00A8" w:rsidP="00EB00A8">
      <w:pPr>
        <w:widowControl/>
        <w:rPr>
          <w:b/>
          <w:u w:val="single"/>
        </w:rPr>
      </w:pPr>
    </w:p>
    <w:p w:rsidR="00EB00A8" w:rsidRDefault="00EB00A8" w:rsidP="00EB00A8">
      <w:pPr>
        <w:widowControl/>
        <w:rPr>
          <w:b/>
          <w:u w:val="single"/>
        </w:rPr>
      </w:pPr>
      <w:r>
        <w:rPr>
          <w:b/>
          <w:u w:val="single"/>
        </w:rPr>
        <w:t>J.  OTHER MATTERS</w:t>
      </w:r>
    </w:p>
    <w:p w:rsidR="00EB00A8" w:rsidRDefault="00EB00A8" w:rsidP="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00A8" w:rsidRDefault="00EB00A8" w:rsidP="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Pr>
          <w:b/>
          <w:u w:val="single"/>
        </w:rPr>
        <w:t>GULF:</w:t>
      </w:r>
      <w:r>
        <w:tab/>
        <w:t>To the best knowledge of counsel, Gulf has complied, or is able to comply, with all requirements set forth in the orders on procedure and/or the Commission rules governing this prehearing statement.  If other issues are raised for determination at the hearing set for December 9 through 13, 2013, Gulf respectfully requests an opportunity to submit additional statements of position and, if necessary, file additional testimony.</w:t>
      </w:r>
    </w:p>
    <w:p w:rsidR="00EB00A8" w:rsidRDefault="00EB00A8" w:rsidP="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00A8" w:rsidRDefault="00EB00A8" w:rsidP="00EB00A8">
      <w:pPr>
        <w:tabs>
          <w:tab w:val="center" w:pos="4680"/>
        </w:tabs>
      </w:pPr>
      <w:r>
        <w:tab/>
      </w:r>
      <w:proofErr w:type="gramStart"/>
      <w:r>
        <w:t>Dated this 8th day of November 2013.</w:t>
      </w:r>
      <w:proofErr w:type="gramEnd"/>
    </w:p>
    <w:p w:rsidR="00EB00A8" w:rsidRDefault="00EB00A8" w:rsidP="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00A8" w:rsidRDefault="00EB00A8" w:rsidP="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Respectfully submitted,</w:t>
      </w:r>
    </w:p>
    <w:p w:rsidR="00EB00A8" w:rsidRDefault="00EB00A8" w:rsidP="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00A8" w:rsidRDefault="00EB00A8" w:rsidP="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00A8" w:rsidRDefault="00EB00A8" w:rsidP="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tbl>
      <w:tblPr>
        <w:tblW w:w="9360" w:type="dxa"/>
        <w:tblInd w:w="775" w:type="dxa"/>
        <w:tblLayout w:type="fixed"/>
        <w:tblCellMar>
          <w:left w:w="120" w:type="dxa"/>
          <w:right w:w="120" w:type="dxa"/>
        </w:tblCellMar>
        <w:tblLook w:val="04A0" w:firstRow="1" w:lastRow="0" w:firstColumn="1" w:lastColumn="0" w:noHBand="0" w:noVBand="1"/>
      </w:tblPr>
      <w:tblGrid>
        <w:gridCol w:w="4680"/>
        <w:gridCol w:w="4680"/>
      </w:tblGrid>
      <w:tr w:rsidR="00EB00A8" w:rsidTr="00EB00A8">
        <w:trPr>
          <w:cantSplit/>
          <w:trHeight w:val="403"/>
        </w:trPr>
        <w:tc>
          <w:tcPr>
            <w:tcW w:w="4680" w:type="dxa"/>
          </w:tcPr>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___________________________</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JEFFREY A. STONE</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Florida Bar No. 325953</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jas@beggslane.com</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RUSSELL A. BADDERS</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Florida Bar No. 007455</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rab@beggslane.com</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STEVEN R. GRIFFIN</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Florida Bar No. 627569</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srg@beggslane.com</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RUSSELL VAN SICKLE</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Florida Bar No. 967289</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RFV@beggslane.com</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Beggs &amp; Lane</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 O. Box 12950</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501 </w:t>
            </w:r>
            <w:proofErr w:type="spellStart"/>
            <w:r>
              <w:t>Commendencia</w:t>
            </w:r>
            <w:proofErr w:type="spellEnd"/>
            <w:r>
              <w:t xml:space="preserve"> Street</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Pensacola, FL  32576-2950</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(850) 432-2451</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Attorneys for Gulf Power Company</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tc>
        <w:tc>
          <w:tcPr>
            <w:tcW w:w="4680" w:type="dxa"/>
          </w:tcPr>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CHARLES A. GUYTON</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Florida Bar No. 398039</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cguyton@gunster.com</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t>Gunster</w:t>
            </w:r>
            <w:proofErr w:type="spellEnd"/>
            <w:r>
              <w:t xml:space="preserve">, </w:t>
            </w:r>
            <w:proofErr w:type="spellStart"/>
            <w:r>
              <w:t>Yoakley</w:t>
            </w:r>
            <w:proofErr w:type="spellEnd"/>
            <w:r>
              <w:t xml:space="preserve"> &amp; Stewart, P.A.</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215 South Monroe Street, Suite 618</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Tallahassee, FL 32301</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(850) 521-1980</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RICHARD D. MELSON</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Florida Bar No. 201243</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rick@rmelsonlaw.com</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705 Piedmont Drive</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Tallahassee, FL 32312</w:t>
            </w:r>
          </w:p>
          <w:p w:rsidR="00EB00A8" w:rsidRDefault="00EB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r>
              <w:t>(850) 894-1351</w:t>
            </w:r>
            <w:r>
              <w:rPr>
                <w:b/>
              </w:rPr>
              <w:tab/>
            </w:r>
            <w:r>
              <w:rPr>
                <w:b/>
              </w:rPr>
              <w:tab/>
            </w:r>
            <w:r>
              <w:rPr>
                <w:b/>
              </w:rPr>
              <w:tab/>
            </w:r>
            <w:r>
              <w:rPr>
                <w:b/>
              </w:rPr>
              <w:tab/>
            </w:r>
          </w:p>
        </w:tc>
      </w:tr>
    </w:tbl>
    <w:p w:rsidR="00E5394C" w:rsidRPr="00BF0BB9" w:rsidRDefault="00E53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E5394C" w:rsidRPr="00BF0BB9" w:rsidSect="00E954A2">
      <w:headerReference w:type="default" r:id="rId9"/>
      <w:headerReference w:type="first" r:id="rId10"/>
      <w:endnotePr>
        <w:numFmt w:val="decimal"/>
      </w:endnotePr>
      <w:pgSz w:w="12240" w:h="15840" w:code="1"/>
      <w:pgMar w:top="1440" w:right="1440" w:bottom="1080" w:left="1440" w:header="288"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7D" w:rsidRDefault="002F6D7D">
      <w:r>
        <w:separator/>
      </w:r>
    </w:p>
  </w:endnote>
  <w:endnote w:type="continuationSeparator" w:id="0">
    <w:p w:rsidR="002F6D7D" w:rsidRDefault="002F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7D" w:rsidRDefault="002F6D7D">
      <w:r>
        <w:separator/>
      </w:r>
    </w:p>
  </w:footnote>
  <w:footnote w:type="continuationSeparator" w:id="0">
    <w:p w:rsidR="002F6D7D" w:rsidRDefault="002F6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7D" w:rsidRDefault="002F6D7D" w:rsidP="00E954A2">
    <w:pPr>
      <w:pStyle w:val="Header"/>
      <w:tabs>
        <w:tab w:val="clear" w:pos="4320"/>
        <w:tab w:val="clear" w:pos="8640"/>
        <w:tab w:val="left" w:pos="6750"/>
      </w:tabs>
      <w:ind w:left="7020"/>
    </w:pPr>
    <w:r>
      <w:t>Docket No. 130140-EI</w:t>
    </w:r>
  </w:p>
  <w:p w:rsidR="002F6D7D" w:rsidRDefault="002F6D7D" w:rsidP="00E954A2">
    <w:pPr>
      <w:pStyle w:val="Header"/>
      <w:tabs>
        <w:tab w:val="clear" w:pos="4320"/>
        <w:tab w:val="clear" w:pos="8640"/>
        <w:tab w:val="left" w:pos="6480"/>
        <w:tab w:val="left" w:pos="6750"/>
      </w:tabs>
      <w:ind w:left="7020"/>
    </w:pPr>
    <w:r>
      <w:t>Gulf Power Company</w:t>
    </w:r>
  </w:p>
  <w:p w:rsidR="002F6D7D" w:rsidRDefault="002F6D7D" w:rsidP="00E954A2">
    <w:pPr>
      <w:pStyle w:val="Header"/>
      <w:tabs>
        <w:tab w:val="clear" w:pos="4320"/>
        <w:tab w:val="clear" w:pos="8640"/>
        <w:tab w:val="left" w:pos="6480"/>
        <w:tab w:val="left" w:pos="6750"/>
      </w:tabs>
      <w:ind w:left="7020"/>
    </w:pPr>
    <w:r>
      <w:t>Prehearing Statement</w:t>
    </w:r>
  </w:p>
  <w:sdt>
    <w:sdtPr>
      <w:id w:val="-1290584233"/>
      <w:docPartObj>
        <w:docPartGallery w:val="Page Numbers (Top of Page)"/>
        <w:docPartUnique/>
      </w:docPartObj>
    </w:sdtPr>
    <w:sdtEndPr/>
    <w:sdtContent>
      <w:p w:rsidR="002F6D7D" w:rsidRDefault="002F6D7D" w:rsidP="00E954A2">
        <w:pPr>
          <w:pStyle w:val="Header"/>
          <w:ind w:left="2700" w:firstLine="4320"/>
        </w:pPr>
        <w:r>
          <w:t xml:space="preserve">Page </w:t>
        </w:r>
        <w:r>
          <w:fldChar w:fldCharType="begin"/>
        </w:r>
        <w:r>
          <w:instrText xml:space="preserve"> PAGE </w:instrText>
        </w:r>
        <w:r>
          <w:fldChar w:fldCharType="separate"/>
        </w:r>
        <w:r w:rsidR="00275319">
          <w:rPr>
            <w:noProof/>
          </w:rPr>
          <w:t>21</w:t>
        </w:r>
        <w:r>
          <w:rPr>
            <w:noProof/>
          </w:rPr>
          <w:fldChar w:fldCharType="end"/>
        </w:r>
        <w:r>
          <w:t xml:space="preserve"> of </w:t>
        </w:r>
        <w:fldSimple w:instr=" NUMPAGES  ">
          <w:r w:rsidR="00275319">
            <w:rPr>
              <w:noProof/>
            </w:rPr>
            <w:t>46</w:t>
          </w:r>
        </w:fldSimple>
      </w:p>
      <w:p w:rsidR="002F6D7D" w:rsidRDefault="002F6D7D" w:rsidP="00E954A2">
        <w:pPr>
          <w:pStyle w:val="Header"/>
          <w:ind w:left="2700" w:firstLine="4320"/>
        </w:pPr>
      </w:p>
      <w:p w:rsidR="002F6D7D" w:rsidRDefault="00275319" w:rsidP="00E954A2">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7D" w:rsidRDefault="002F6D7D" w:rsidP="00B049E7">
    <w:pPr>
      <w:pStyle w:val="Header"/>
      <w:ind w:left="2700" w:firstLine="43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D12"/>
    <w:multiLevelType w:val="singleLevel"/>
    <w:tmpl w:val="D4CC568C"/>
    <w:lvl w:ilvl="0">
      <w:start w:val="3"/>
      <w:numFmt w:val="upperLetter"/>
      <w:lvlText w:val="%1."/>
      <w:lvlJc w:val="left"/>
      <w:pPr>
        <w:tabs>
          <w:tab w:val="num" w:pos="360"/>
        </w:tabs>
        <w:ind w:left="360" w:hanging="360"/>
      </w:pPr>
      <w:rPr>
        <w:rFonts w:hint="default"/>
        <w:b/>
        <w:u w:val="single"/>
      </w:rPr>
    </w:lvl>
  </w:abstractNum>
  <w:abstractNum w:abstractNumId="1">
    <w:nsid w:val="04C524A8"/>
    <w:multiLevelType w:val="hybridMultilevel"/>
    <w:tmpl w:val="0E5E6AD4"/>
    <w:lvl w:ilvl="0" w:tplc="0409000F">
      <w:start w:val="1"/>
      <w:numFmt w:val="decimal"/>
      <w:lvlText w:val="%1."/>
      <w:lvlJc w:val="left"/>
      <w:pPr>
        <w:ind w:left="810" w:hanging="72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BAD20BE"/>
    <w:multiLevelType w:val="hybridMultilevel"/>
    <w:tmpl w:val="173228F4"/>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050C81"/>
    <w:multiLevelType w:val="hybridMultilevel"/>
    <w:tmpl w:val="2404F354"/>
    <w:lvl w:ilvl="0" w:tplc="733EA1E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720072"/>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nsid w:val="138173C6"/>
    <w:multiLevelType w:val="hybridMultilevel"/>
    <w:tmpl w:val="78EECDAC"/>
    <w:lvl w:ilvl="0" w:tplc="DDCA0A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66C82"/>
    <w:multiLevelType w:val="hybridMultilevel"/>
    <w:tmpl w:val="A8EA8BF6"/>
    <w:lvl w:ilvl="0" w:tplc="F7CC110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22B793E"/>
    <w:multiLevelType w:val="singleLevel"/>
    <w:tmpl w:val="04090015"/>
    <w:lvl w:ilvl="0">
      <w:start w:val="3"/>
      <w:numFmt w:val="upperLetter"/>
      <w:lvlText w:val="%1."/>
      <w:lvlJc w:val="left"/>
      <w:pPr>
        <w:tabs>
          <w:tab w:val="num" w:pos="360"/>
        </w:tabs>
        <w:ind w:left="360" w:hanging="360"/>
      </w:pPr>
      <w:rPr>
        <w:rFonts w:hint="default"/>
      </w:rPr>
    </w:lvl>
  </w:abstractNum>
  <w:abstractNum w:abstractNumId="8">
    <w:nsid w:val="241F7449"/>
    <w:multiLevelType w:val="hybridMultilevel"/>
    <w:tmpl w:val="BD8A0EFC"/>
    <w:lvl w:ilvl="0" w:tplc="43163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98756B"/>
    <w:multiLevelType w:val="hybridMultilevel"/>
    <w:tmpl w:val="2404F354"/>
    <w:lvl w:ilvl="0" w:tplc="733EA1E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226AD5"/>
    <w:multiLevelType w:val="hybridMultilevel"/>
    <w:tmpl w:val="7B200032"/>
    <w:lvl w:ilvl="0" w:tplc="DCB49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A5671D"/>
    <w:multiLevelType w:val="hybridMultilevel"/>
    <w:tmpl w:val="25CA25DC"/>
    <w:lvl w:ilvl="0" w:tplc="07405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F66D7D"/>
    <w:multiLevelType w:val="hybridMultilevel"/>
    <w:tmpl w:val="6CE866CA"/>
    <w:lvl w:ilvl="0" w:tplc="78223D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B1A91"/>
    <w:multiLevelType w:val="hybridMultilevel"/>
    <w:tmpl w:val="870C5B72"/>
    <w:lvl w:ilvl="0" w:tplc="FE1058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2148CD"/>
    <w:multiLevelType w:val="hybridMultilevel"/>
    <w:tmpl w:val="47EA3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4196F"/>
    <w:multiLevelType w:val="hybridMultilevel"/>
    <w:tmpl w:val="15E2BDD6"/>
    <w:lvl w:ilvl="0" w:tplc="24EE0640">
      <w:start w:val="13"/>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6">
    <w:nsid w:val="36A047E3"/>
    <w:multiLevelType w:val="hybridMultilevel"/>
    <w:tmpl w:val="8D9281A2"/>
    <w:lvl w:ilvl="0" w:tplc="4D66949C">
      <w:start w:val="2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36AF12A7"/>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nsid w:val="3C664766"/>
    <w:multiLevelType w:val="hybridMultilevel"/>
    <w:tmpl w:val="15C68CFA"/>
    <w:lvl w:ilvl="0" w:tplc="B29EF148">
      <w:start w:val="28"/>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E366BDB"/>
    <w:multiLevelType w:val="hybridMultilevel"/>
    <w:tmpl w:val="9F702AD6"/>
    <w:lvl w:ilvl="0" w:tplc="B32C4326">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1F80552"/>
    <w:multiLevelType w:val="hybridMultilevel"/>
    <w:tmpl w:val="21288658"/>
    <w:lvl w:ilvl="0" w:tplc="CF8E078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27D7C24"/>
    <w:multiLevelType w:val="singleLevel"/>
    <w:tmpl w:val="973C6306"/>
    <w:lvl w:ilvl="0">
      <w:start w:val="18"/>
      <w:numFmt w:val="upperLetter"/>
      <w:lvlText w:val=""/>
      <w:lvlJc w:val="left"/>
      <w:pPr>
        <w:tabs>
          <w:tab w:val="num" w:pos="360"/>
        </w:tabs>
        <w:ind w:left="360" w:hanging="360"/>
      </w:pPr>
      <w:rPr>
        <w:rFonts w:hint="default"/>
      </w:rPr>
    </w:lvl>
  </w:abstractNum>
  <w:abstractNum w:abstractNumId="22">
    <w:nsid w:val="42F5739D"/>
    <w:multiLevelType w:val="hybridMultilevel"/>
    <w:tmpl w:val="BE5ED3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931267"/>
    <w:multiLevelType w:val="multilevel"/>
    <w:tmpl w:val="EF54E982"/>
    <w:lvl w:ilvl="0">
      <w:start w:val="1"/>
      <w:numFmt w:val="upp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4">
    <w:nsid w:val="4B22262D"/>
    <w:multiLevelType w:val="singleLevel"/>
    <w:tmpl w:val="79AC55CE"/>
    <w:lvl w:ilvl="0">
      <w:start w:val="1"/>
      <w:numFmt w:val="lowerLetter"/>
      <w:lvlText w:val="(%1)"/>
      <w:lvlJc w:val="left"/>
      <w:pPr>
        <w:tabs>
          <w:tab w:val="num" w:pos="1815"/>
        </w:tabs>
        <w:ind w:left="1815" w:hanging="375"/>
      </w:pPr>
      <w:rPr>
        <w:rFonts w:hint="default"/>
      </w:rPr>
    </w:lvl>
  </w:abstractNum>
  <w:abstractNum w:abstractNumId="25">
    <w:nsid w:val="4B3D2020"/>
    <w:multiLevelType w:val="singleLevel"/>
    <w:tmpl w:val="04090015"/>
    <w:lvl w:ilvl="0">
      <w:start w:val="3"/>
      <w:numFmt w:val="upperLetter"/>
      <w:lvlText w:val="%1."/>
      <w:lvlJc w:val="left"/>
      <w:pPr>
        <w:tabs>
          <w:tab w:val="num" w:pos="360"/>
        </w:tabs>
        <w:ind w:left="360" w:hanging="360"/>
      </w:pPr>
      <w:rPr>
        <w:rFonts w:hint="default"/>
      </w:rPr>
    </w:lvl>
  </w:abstractNum>
  <w:abstractNum w:abstractNumId="26">
    <w:nsid w:val="4BB534B3"/>
    <w:multiLevelType w:val="hybridMultilevel"/>
    <w:tmpl w:val="FEEADB8C"/>
    <w:lvl w:ilvl="0" w:tplc="7A300FB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17113B5"/>
    <w:multiLevelType w:val="singleLevel"/>
    <w:tmpl w:val="04090015"/>
    <w:lvl w:ilvl="0">
      <w:start w:val="3"/>
      <w:numFmt w:val="upperLetter"/>
      <w:lvlText w:val="%1."/>
      <w:lvlJc w:val="left"/>
      <w:pPr>
        <w:tabs>
          <w:tab w:val="num" w:pos="360"/>
        </w:tabs>
        <w:ind w:left="360" w:hanging="360"/>
      </w:pPr>
      <w:rPr>
        <w:rFonts w:hint="default"/>
      </w:rPr>
    </w:lvl>
  </w:abstractNum>
  <w:abstractNum w:abstractNumId="28">
    <w:nsid w:val="64223DA2"/>
    <w:multiLevelType w:val="hybridMultilevel"/>
    <w:tmpl w:val="BD8A0EFC"/>
    <w:lvl w:ilvl="0" w:tplc="43163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9E7588"/>
    <w:multiLevelType w:val="hybridMultilevel"/>
    <w:tmpl w:val="8CDA25C0"/>
    <w:lvl w:ilvl="0" w:tplc="E52AF8EE">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7E74831"/>
    <w:multiLevelType w:val="hybridMultilevel"/>
    <w:tmpl w:val="CEBCA5E4"/>
    <w:lvl w:ilvl="0" w:tplc="3700866E">
      <w:start w:val="2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A5340D9"/>
    <w:multiLevelType w:val="hybridMultilevel"/>
    <w:tmpl w:val="E85E0892"/>
    <w:lvl w:ilvl="0" w:tplc="6038C17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66146D"/>
    <w:multiLevelType w:val="hybridMultilevel"/>
    <w:tmpl w:val="BB4CC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2A672D"/>
    <w:multiLevelType w:val="hybridMultilevel"/>
    <w:tmpl w:val="DBA03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985C51"/>
    <w:multiLevelType w:val="hybridMultilevel"/>
    <w:tmpl w:val="EC7850BE"/>
    <w:lvl w:ilvl="0" w:tplc="14E63F46">
      <w:start w:val="2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C5B010D"/>
    <w:multiLevelType w:val="hybridMultilevel"/>
    <w:tmpl w:val="2404F354"/>
    <w:lvl w:ilvl="0" w:tplc="733EA1E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D13640"/>
    <w:multiLevelType w:val="hybridMultilevel"/>
    <w:tmpl w:val="C7ACBE22"/>
    <w:lvl w:ilvl="0" w:tplc="77E0465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D312447"/>
    <w:multiLevelType w:val="hybridMultilevel"/>
    <w:tmpl w:val="E0D85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7"/>
  </w:num>
  <w:num w:numId="4">
    <w:abstractNumId w:val="17"/>
  </w:num>
  <w:num w:numId="5">
    <w:abstractNumId w:val="25"/>
  </w:num>
  <w:num w:numId="6">
    <w:abstractNumId w:val="4"/>
  </w:num>
  <w:num w:numId="7">
    <w:abstractNumId w:val="21"/>
  </w:num>
  <w:num w:numId="8">
    <w:abstractNumId w:val="24"/>
  </w:num>
  <w:num w:numId="9">
    <w:abstractNumId w:val="23"/>
  </w:num>
  <w:num w:numId="10">
    <w:abstractNumId w:val="12"/>
  </w:num>
  <w:num w:numId="11">
    <w:abstractNumId w:val="22"/>
  </w:num>
  <w:num w:numId="12">
    <w:abstractNumId w:val="6"/>
  </w:num>
  <w:num w:numId="13">
    <w:abstractNumId w:val="36"/>
  </w:num>
  <w:num w:numId="14">
    <w:abstractNumId w:val="29"/>
  </w:num>
  <w:num w:numId="15">
    <w:abstractNumId w:val="15"/>
  </w:num>
  <w:num w:numId="16">
    <w:abstractNumId w:val="31"/>
  </w:num>
  <w:num w:numId="17">
    <w:abstractNumId w:val="16"/>
  </w:num>
  <w:num w:numId="18">
    <w:abstractNumId w:val="19"/>
  </w:num>
  <w:num w:numId="19">
    <w:abstractNumId w:val="11"/>
  </w:num>
  <w:num w:numId="20">
    <w:abstractNumId w:val="34"/>
  </w:num>
  <w:num w:numId="21">
    <w:abstractNumId w:val="18"/>
  </w:num>
  <w:num w:numId="22">
    <w:abstractNumId w:val="26"/>
  </w:num>
  <w:num w:numId="23">
    <w:abstractNumId w:val="30"/>
  </w:num>
  <w:num w:numId="24">
    <w:abstractNumId w:val="20"/>
  </w:num>
  <w:num w:numId="25">
    <w:abstractNumId w:val="13"/>
  </w:num>
  <w:num w:numId="26">
    <w:abstractNumId w:val="35"/>
  </w:num>
  <w:num w:numId="27">
    <w:abstractNumId w:val="9"/>
  </w:num>
  <w:num w:numId="28">
    <w:abstractNumId w:val="3"/>
  </w:num>
  <w:num w:numId="29">
    <w:abstractNumId w:val="10"/>
  </w:num>
  <w:num w:numId="30">
    <w:abstractNumId w:val="28"/>
  </w:num>
  <w:num w:numId="31">
    <w:abstractNumId w:val="8"/>
  </w:num>
  <w:num w:numId="32">
    <w:abstractNumId w:val="32"/>
  </w:num>
  <w:num w:numId="33">
    <w:abstractNumId w:val="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4"/>
  </w:num>
  <w:num w:numId="37">
    <w:abstractNumId w:val="33"/>
  </w:num>
  <w:num w:numId="38">
    <w:abstractNumId w:val="3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E8"/>
    <w:rsid w:val="0000000E"/>
    <w:rsid w:val="00003020"/>
    <w:rsid w:val="00006F5C"/>
    <w:rsid w:val="00011537"/>
    <w:rsid w:val="00012094"/>
    <w:rsid w:val="0001606D"/>
    <w:rsid w:val="0001614D"/>
    <w:rsid w:val="00017DF0"/>
    <w:rsid w:val="000202F5"/>
    <w:rsid w:val="00023117"/>
    <w:rsid w:val="0002425C"/>
    <w:rsid w:val="00024E47"/>
    <w:rsid w:val="00030B77"/>
    <w:rsid w:val="00032063"/>
    <w:rsid w:val="00032B9F"/>
    <w:rsid w:val="000367DD"/>
    <w:rsid w:val="000374D7"/>
    <w:rsid w:val="00037907"/>
    <w:rsid w:val="00037FF1"/>
    <w:rsid w:val="00040BAF"/>
    <w:rsid w:val="00043ACF"/>
    <w:rsid w:val="0004752C"/>
    <w:rsid w:val="00050880"/>
    <w:rsid w:val="00053A57"/>
    <w:rsid w:val="000546D6"/>
    <w:rsid w:val="00055368"/>
    <w:rsid w:val="0006054A"/>
    <w:rsid w:val="000636E9"/>
    <w:rsid w:val="00065AD1"/>
    <w:rsid w:val="00066724"/>
    <w:rsid w:val="00066CCD"/>
    <w:rsid w:val="000672C2"/>
    <w:rsid w:val="00082E81"/>
    <w:rsid w:val="00084A98"/>
    <w:rsid w:val="00085484"/>
    <w:rsid w:val="00091712"/>
    <w:rsid w:val="000950B0"/>
    <w:rsid w:val="0009583D"/>
    <w:rsid w:val="000A2C78"/>
    <w:rsid w:val="000A30DB"/>
    <w:rsid w:val="000A323A"/>
    <w:rsid w:val="000A40A2"/>
    <w:rsid w:val="000A5D63"/>
    <w:rsid w:val="000B102B"/>
    <w:rsid w:val="000B2367"/>
    <w:rsid w:val="000B2521"/>
    <w:rsid w:val="000C1334"/>
    <w:rsid w:val="000C2495"/>
    <w:rsid w:val="000C31D2"/>
    <w:rsid w:val="000C440E"/>
    <w:rsid w:val="000C5320"/>
    <w:rsid w:val="000D22A8"/>
    <w:rsid w:val="000D255E"/>
    <w:rsid w:val="000D38FC"/>
    <w:rsid w:val="000D6307"/>
    <w:rsid w:val="000D6DDF"/>
    <w:rsid w:val="000E277C"/>
    <w:rsid w:val="000E28E9"/>
    <w:rsid w:val="000E3EF9"/>
    <w:rsid w:val="000E70FA"/>
    <w:rsid w:val="000F634B"/>
    <w:rsid w:val="001007D0"/>
    <w:rsid w:val="00102DB8"/>
    <w:rsid w:val="0010459F"/>
    <w:rsid w:val="001057A0"/>
    <w:rsid w:val="00111E87"/>
    <w:rsid w:val="0011253D"/>
    <w:rsid w:val="001308F6"/>
    <w:rsid w:val="00136DF2"/>
    <w:rsid w:val="00141734"/>
    <w:rsid w:val="001445C1"/>
    <w:rsid w:val="00145B89"/>
    <w:rsid w:val="00145C47"/>
    <w:rsid w:val="00146F3D"/>
    <w:rsid w:val="00150671"/>
    <w:rsid w:val="00151091"/>
    <w:rsid w:val="001520E5"/>
    <w:rsid w:val="00152D65"/>
    <w:rsid w:val="00161A9C"/>
    <w:rsid w:val="00162CFB"/>
    <w:rsid w:val="001650B3"/>
    <w:rsid w:val="001650D6"/>
    <w:rsid w:val="00173D28"/>
    <w:rsid w:val="001767C4"/>
    <w:rsid w:val="00180EBB"/>
    <w:rsid w:val="00182B58"/>
    <w:rsid w:val="00184507"/>
    <w:rsid w:val="001845AF"/>
    <w:rsid w:val="00190EEC"/>
    <w:rsid w:val="001962BC"/>
    <w:rsid w:val="001962F1"/>
    <w:rsid w:val="00196644"/>
    <w:rsid w:val="001A1F6C"/>
    <w:rsid w:val="001A30E5"/>
    <w:rsid w:val="001A3A46"/>
    <w:rsid w:val="001A7DC0"/>
    <w:rsid w:val="001B7223"/>
    <w:rsid w:val="001C0249"/>
    <w:rsid w:val="001C1A78"/>
    <w:rsid w:val="001C4424"/>
    <w:rsid w:val="001C5FB3"/>
    <w:rsid w:val="001C6CFF"/>
    <w:rsid w:val="001C6E35"/>
    <w:rsid w:val="001D4036"/>
    <w:rsid w:val="001D4D84"/>
    <w:rsid w:val="001D5E07"/>
    <w:rsid w:val="001D7714"/>
    <w:rsid w:val="001D7D78"/>
    <w:rsid w:val="001E69C6"/>
    <w:rsid w:val="001E7000"/>
    <w:rsid w:val="001E7237"/>
    <w:rsid w:val="001E7F0C"/>
    <w:rsid w:val="001F2E6B"/>
    <w:rsid w:val="002044DD"/>
    <w:rsid w:val="0020599B"/>
    <w:rsid w:val="00206964"/>
    <w:rsid w:val="00207B74"/>
    <w:rsid w:val="00211CF7"/>
    <w:rsid w:val="00212A62"/>
    <w:rsid w:val="00212C3B"/>
    <w:rsid w:val="00216658"/>
    <w:rsid w:val="00216DB1"/>
    <w:rsid w:val="00221F5E"/>
    <w:rsid w:val="0022299F"/>
    <w:rsid w:val="00225C85"/>
    <w:rsid w:val="0022642E"/>
    <w:rsid w:val="00240B55"/>
    <w:rsid w:val="00245DF5"/>
    <w:rsid w:val="00246654"/>
    <w:rsid w:val="00251ABC"/>
    <w:rsid w:val="00253856"/>
    <w:rsid w:val="002539E6"/>
    <w:rsid w:val="0025568D"/>
    <w:rsid w:val="00260244"/>
    <w:rsid w:val="0026086A"/>
    <w:rsid w:val="0026091B"/>
    <w:rsid w:val="00261026"/>
    <w:rsid w:val="002623D4"/>
    <w:rsid w:val="00262488"/>
    <w:rsid w:val="0026353D"/>
    <w:rsid w:val="002646F5"/>
    <w:rsid w:val="002750E8"/>
    <w:rsid w:val="00275319"/>
    <w:rsid w:val="00275A1D"/>
    <w:rsid w:val="0028486B"/>
    <w:rsid w:val="002855FF"/>
    <w:rsid w:val="00295357"/>
    <w:rsid w:val="002A69E6"/>
    <w:rsid w:val="002A7326"/>
    <w:rsid w:val="002B6D10"/>
    <w:rsid w:val="002B6FAD"/>
    <w:rsid w:val="002D0E05"/>
    <w:rsid w:val="002D152A"/>
    <w:rsid w:val="002D2AD7"/>
    <w:rsid w:val="002D2D8A"/>
    <w:rsid w:val="002D5940"/>
    <w:rsid w:val="002D78F7"/>
    <w:rsid w:val="002E193A"/>
    <w:rsid w:val="002E72DF"/>
    <w:rsid w:val="002F38B1"/>
    <w:rsid w:val="002F5532"/>
    <w:rsid w:val="002F6D7D"/>
    <w:rsid w:val="002F6F5B"/>
    <w:rsid w:val="00300BA7"/>
    <w:rsid w:val="00301E9C"/>
    <w:rsid w:val="00305152"/>
    <w:rsid w:val="003060E9"/>
    <w:rsid w:val="003129CF"/>
    <w:rsid w:val="003142DC"/>
    <w:rsid w:val="00316676"/>
    <w:rsid w:val="00316726"/>
    <w:rsid w:val="00324605"/>
    <w:rsid w:val="00326EF4"/>
    <w:rsid w:val="00330570"/>
    <w:rsid w:val="00334E5D"/>
    <w:rsid w:val="0033517E"/>
    <w:rsid w:val="0033558A"/>
    <w:rsid w:val="00336ECE"/>
    <w:rsid w:val="003401C4"/>
    <w:rsid w:val="00340A1D"/>
    <w:rsid w:val="00344357"/>
    <w:rsid w:val="00347ACC"/>
    <w:rsid w:val="00347FF2"/>
    <w:rsid w:val="00351F7D"/>
    <w:rsid w:val="003711E8"/>
    <w:rsid w:val="00375EFA"/>
    <w:rsid w:val="003808FD"/>
    <w:rsid w:val="00380F81"/>
    <w:rsid w:val="00383747"/>
    <w:rsid w:val="00386B8F"/>
    <w:rsid w:val="00387B4B"/>
    <w:rsid w:val="003945CF"/>
    <w:rsid w:val="0039690C"/>
    <w:rsid w:val="003A0145"/>
    <w:rsid w:val="003A1205"/>
    <w:rsid w:val="003A2961"/>
    <w:rsid w:val="003A3008"/>
    <w:rsid w:val="003A4F57"/>
    <w:rsid w:val="003A7CE1"/>
    <w:rsid w:val="003B0CEA"/>
    <w:rsid w:val="003B4192"/>
    <w:rsid w:val="003B6966"/>
    <w:rsid w:val="003B7C75"/>
    <w:rsid w:val="003C5CC9"/>
    <w:rsid w:val="003C7888"/>
    <w:rsid w:val="003D002C"/>
    <w:rsid w:val="003E09D3"/>
    <w:rsid w:val="003E6287"/>
    <w:rsid w:val="0040020F"/>
    <w:rsid w:val="00403B47"/>
    <w:rsid w:val="004049A9"/>
    <w:rsid w:val="00404AB5"/>
    <w:rsid w:val="0040576D"/>
    <w:rsid w:val="004075CA"/>
    <w:rsid w:val="00412407"/>
    <w:rsid w:val="0042393D"/>
    <w:rsid w:val="0042500B"/>
    <w:rsid w:val="00425046"/>
    <w:rsid w:val="00430B58"/>
    <w:rsid w:val="00434627"/>
    <w:rsid w:val="0043557E"/>
    <w:rsid w:val="00436ABB"/>
    <w:rsid w:val="004377F8"/>
    <w:rsid w:val="00442B42"/>
    <w:rsid w:val="0044602B"/>
    <w:rsid w:val="00446A42"/>
    <w:rsid w:val="00450AE7"/>
    <w:rsid w:val="00460423"/>
    <w:rsid w:val="00461287"/>
    <w:rsid w:val="00462279"/>
    <w:rsid w:val="0046274F"/>
    <w:rsid w:val="00463D45"/>
    <w:rsid w:val="0046655D"/>
    <w:rsid w:val="004718CF"/>
    <w:rsid w:val="00471F86"/>
    <w:rsid w:val="004757AE"/>
    <w:rsid w:val="0047687D"/>
    <w:rsid w:val="0048007A"/>
    <w:rsid w:val="00484058"/>
    <w:rsid w:val="004865CC"/>
    <w:rsid w:val="00486B86"/>
    <w:rsid w:val="004A4E11"/>
    <w:rsid w:val="004B29B5"/>
    <w:rsid w:val="004B6FAD"/>
    <w:rsid w:val="004B778C"/>
    <w:rsid w:val="004C0169"/>
    <w:rsid w:val="004C26FE"/>
    <w:rsid w:val="004C3266"/>
    <w:rsid w:val="004C5887"/>
    <w:rsid w:val="004C6E75"/>
    <w:rsid w:val="004D556C"/>
    <w:rsid w:val="004D65D8"/>
    <w:rsid w:val="004D667A"/>
    <w:rsid w:val="004D6D66"/>
    <w:rsid w:val="004E380F"/>
    <w:rsid w:val="004E45ED"/>
    <w:rsid w:val="004E513F"/>
    <w:rsid w:val="004E59EE"/>
    <w:rsid w:val="004E5E2F"/>
    <w:rsid w:val="004E7111"/>
    <w:rsid w:val="004F3CC8"/>
    <w:rsid w:val="004F5CFB"/>
    <w:rsid w:val="00505C95"/>
    <w:rsid w:val="00507E56"/>
    <w:rsid w:val="005115F1"/>
    <w:rsid w:val="00514188"/>
    <w:rsid w:val="005141B5"/>
    <w:rsid w:val="00514296"/>
    <w:rsid w:val="0051686B"/>
    <w:rsid w:val="005209BE"/>
    <w:rsid w:val="00521ABE"/>
    <w:rsid w:val="00524044"/>
    <w:rsid w:val="00524A19"/>
    <w:rsid w:val="00527765"/>
    <w:rsid w:val="00530FB5"/>
    <w:rsid w:val="00531660"/>
    <w:rsid w:val="0053233C"/>
    <w:rsid w:val="00532954"/>
    <w:rsid w:val="005338EA"/>
    <w:rsid w:val="00535808"/>
    <w:rsid w:val="00536465"/>
    <w:rsid w:val="00536CCB"/>
    <w:rsid w:val="0053777D"/>
    <w:rsid w:val="0055030D"/>
    <w:rsid w:val="005509F0"/>
    <w:rsid w:val="00552B3B"/>
    <w:rsid w:val="00554374"/>
    <w:rsid w:val="00555C59"/>
    <w:rsid w:val="005568A0"/>
    <w:rsid w:val="005608DF"/>
    <w:rsid w:val="00562FFB"/>
    <w:rsid w:val="0056351B"/>
    <w:rsid w:val="00564E47"/>
    <w:rsid w:val="00566B72"/>
    <w:rsid w:val="00570737"/>
    <w:rsid w:val="0057264F"/>
    <w:rsid w:val="00577F2C"/>
    <w:rsid w:val="00592D01"/>
    <w:rsid w:val="005965C5"/>
    <w:rsid w:val="005A51CE"/>
    <w:rsid w:val="005A573E"/>
    <w:rsid w:val="005B28D9"/>
    <w:rsid w:val="005B3E7C"/>
    <w:rsid w:val="005B7730"/>
    <w:rsid w:val="005C01B5"/>
    <w:rsid w:val="005C20BA"/>
    <w:rsid w:val="005C2203"/>
    <w:rsid w:val="005C6F34"/>
    <w:rsid w:val="005C79E6"/>
    <w:rsid w:val="005E1AB2"/>
    <w:rsid w:val="005E3180"/>
    <w:rsid w:val="005E41B5"/>
    <w:rsid w:val="005E44A3"/>
    <w:rsid w:val="005F1A8A"/>
    <w:rsid w:val="005F43DE"/>
    <w:rsid w:val="005F505C"/>
    <w:rsid w:val="005F78AD"/>
    <w:rsid w:val="005F7F70"/>
    <w:rsid w:val="00600063"/>
    <w:rsid w:val="00604083"/>
    <w:rsid w:val="006058A2"/>
    <w:rsid w:val="006113D7"/>
    <w:rsid w:val="00622DB2"/>
    <w:rsid w:val="006300AF"/>
    <w:rsid w:val="00630DFB"/>
    <w:rsid w:val="0063357B"/>
    <w:rsid w:val="00637268"/>
    <w:rsid w:val="00641BC1"/>
    <w:rsid w:val="0064247A"/>
    <w:rsid w:val="00644092"/>
    <w:rsid w:val="00645748"/>
    <w:rsid w:val="00646B73"/>
    <w:rsid w:val="00647449"/>
    <w:rsid w:val="00651E9A"/>
    <w:rsid w:val="00653870"/>
    <w:rsid w:val="00654A76"/>
    <w:rsid w:val="00654CB8"/>
    <w:rsid w:val="00656398"/>
    <w:rsid w:val="00660ED7"/>
    <w:rsid w:val="0066237A"/>
    <w:rsid w:val="006659D7"/>
    <w:rsid w:val="00667069"/>
    <w:rsid w:val="00677A87"/>
    <w:rsid w:val="00682635"/>
    <w:rsid w:val="006835F8"/>
    <w:rsid w:val="00690484"/>
    <w:rsid w:val="00690EFA"/>
    <w:rsid w:val="00696703"/>
    <w:rsid w:val="006A2200"/>
    <w:rsid w:val="006A22D8"/>
    <w:rsid w:val="006B28CE"/>
    <w:rsid w:val="006B2C2B"/>
    <w:rsid w:val="006B38BB"/>
    <w:rsid w:val="006B3F46"/>
    <w:rsid w:val="006B4B79"/>
    <w:rsid w:val="006B7B31"/>
    <w:rsid w:val="006C00D7"/>
    <w:rsid w:val="006C01D3"/>
    <w:rsid w:val="006C2218"/>
    <w:rsid w:val="006C630E"/>
    <w:rsid w:val="006C6713"/>
    <w:rsid w:val="006D67BE"/>
    <w:rsid w:val="006D76C6"/>
    <w:rsid w:val="006E11FE"/>
    <w:rsid w:val="006E13F6"/>
    <w:rsid w:val="006E2A87"/>
    <w:rsid w:val="006E473B"/>
    <w:rsid w:val="006E54A4"/>
    <w:rsid w:val="006F0E6C"/>
    <w:rsid w:val="006F4261"/>
    <w:rsid w:val="006F4E0C"/>
    <w:rsid w:val="006F6A69"/>
    <w:rsid w:val="00704C7D"/>
    <w:rsid w:val="00705580"/>
    <w:rsid w:val="00712091"/>
    <w:rsid w:val="007174D1"/>
    <w:rsid w:val="007239F3"/>
    <w:rsid w:val="007260E9"/>
    <w:rsid w:val="007279B8"/>
    <w:rsid w:val="007347CB"/>
    <w:rsid w:val="0073624E"/>
    <w:rsid w:val="00742B05"/>
    <w:rsid w:val="007467E7"/>
    <w:rsid w:val="0074705E"/>
    <w:rsid w:val="007537C2"/>
    <w:rsid w:val="0075656B"/>
    <w:rsid w:val="00757324"/>
    <w:rsid w:val="00757721"/>
    <w:rsid w:val="00757F35"/>
    <w:rsid w:val="00762CB4"/>
    <w:rsid w:val="007678D4"/>
    <w:rsid w:val="00771892"/>
    <w:rsid w:val="00772C9A"/>
    <w:rsid w:val="00775BCD"/>
    <w:rsid w:val="00776531"/>
    <w:rsid w:val="00777083"/>
    <w:rsid w:val="0078684D"/>
    <w:rsid w:val="00786BB6"/>
    <w:rsid w:val="0079419C"/>
    <w:rsid w:val="00797753"/>
    <w:rsid w:val="007B2D15"/>
    <w:rsid w:val="007B37A2"/>
    <w:rsid w:val="007B40FF"/>
    <w:rsid w:val="007C168A"/>
    <w:rsid w:val="007C2FD7"/>
    <w:rsid w:val="007C4128"/>
    <w:rsid w:val="007D0D26"/>
    <w:rsid w:val="007D31B1"/>
    <w:rsid w:val="007D3474"/>
    <w:rsid w:val="007E0F97"/>
    <w:rsid w:val="007E1D4C"/>
    <w:rsid w:val="007E246D"/>
    <w:rsid w:val="007E718C"/>
    <w:rsid w:val="007F426D"/>
    <w:rsid w:val="007F42EF"/>
    <w:rsid w:val="007F4C13"/>
    <w:rsid w:val="007F5CD8"/>
    <w:rsid w:val="008002FB"/>
    <w:rsid w:val="00801316"/>
    <w:rsid w:val="00801C6D"/>
    <w:rsid w:val="00802DCB"/>
    <w:rsid w:val="00804960"/>
    <w:rsid w:val="00805994"/>
    <w:rsid w:val="00817DEE"/>
    <w:rsid w:val="00820661"/>
    <w:rsid w:val="0082755F"/>
    <w:rsid w:val="00830D19"/>
    <w:rsid w:val="00832A86"/>
    <w:rsid w:val="00832F7D"/>
    <w:rsid w:val="00834325"/>
    <w:rsid w:val="0083456B"/>
    <w:rsid w:val="00834E07"/>
    <w:rsid w:val="0084033A"/>
    <w:rsid w:val="00840D24"/>
    <w:rsid w:val="008465A4"/>
    <w:rsid w:val="00847204"/>
    <w:rsid w:val="008541BF"/>
    <w:rsid w:val="00873C28"/>
    <w:rsid w:val="0087536D"/>
    <w:rsid w:val="00877E7F"/>
    <w:rsid w:val="00883721"/>
    <w:rsid w:val="0088574A"/>
    <w:rsid w:val="00890A2F"/>
    <w:rsid w:val="00893476"/>
    <w:rsid w:val="008949FE"/>
    <w:rsid w:val="008963B8"/>
    <w:rsid w:val="00897A33"/>
    <w:rsid w:val="00897A4D"/>
    <w:rsid w:val="008A2C8F"/>
    <w:rsid w:val="008A3672"/>
    <w:rsid w:val="008A69D7"/>
    <w:rsid w:val="008B7F36"/>
    <w:rsid w:val="008C07C3"/>
    <w:rsid w:val="008C2F6F"/>
    <w:rsid w:val="008C3C08"/>
    <w:rsid w:val="008C5656"/>
    <w:rsid w:val="008D116C"/>
    <w:rsid w:val="008D1189"/>
    <w:rsid w:val="008D361A"/>
    <w:rsid w:val="008D4F2B"/>
    <w:rsid w:val="008E41B3"/>
    <w:rsid w:val="008E4633"/>
    <w:rsid w:val="008E7E9C"/>
    <w:rsid w:val="008F05D6"/>
    <w:rsid w:val="008F2E21"/>
    <w:rsid w:val="0090073D"/>
    <w:rsid w:val="009034F4"/>
    <w:rsid w:val="00905781"/>
    <w:rsid w:val="00910842"/>
    <w:rsid w:val="00910C20"/>
    <w:rsid w:val="00913A4C"/>
    <w:rsid w:val="00915E73"/>
    <w:rsid w:val="00923297"/>
    <w:rsid w:val="00923AD8"/>
    <w:rsid w:val="00931B7B"/>
    <w:rsid w:val="0094072D"/>
    <w:rsid w:val="0094336A"/>
    <w:rsid w:val="009502DA"/>
    <w:rsid w:val="00953CC8"/>
    <w:rsid w:val="00953D3A"/>
    <w:rsid w:val="0095453B"/>
    <w:rsid w:val="00954BB9"/>
    <w:rsid w:val="00960F93"/>
    <w:rsid w:val="00961480"/>
    <w:rsid w:val="00963352"/>
    <w:rsid w:val="00964375"/>
    <w:rsid w:val="0096441F"/>
    <w:rsid w:val="00964539"/>
    <w:rsid w:val="009669B0"/>
    <w:rsid w:val="0096724F"/>
    <w:rsid w:val="00970E84"/>
    <w:rsid w:val="00975F0C"/>
    <w:rsid w:val="00981A32"/>
    <w:rsid w:val="00983BD8"/>
    <w:rsid w:val="009937BD"/>
    <w:rsid w:val="00993DA3"/>
    <w:rsid w:val="009A469B"/>
    <w:rsid w:val="009A4B7B"/>
    <w:rsid w:val="009A7578"/>
    <w:rsid w:val="009B43C6"/>
    <w:rsid w:val="009B6064"/>
    <w:rsid w:val="009B63FA"/>
    <w:rsid w:val="009B6C7C"/>
    <w:rsid w:val="009C2505"/>
    <w:rsid w:val="009C56D5"/>
    <w:rsid w:val="009C63BF"/>
    <w:rsid w:val="009C7364"/>
    <w:rsid w:val="009D2370"/>
    <w:rsid w:val="009D63B8"/>
    <w:rsid w:val="009E430D"/>
    <w:rsid w:val="009E5968"/>
    <w:rsid w:val="009F2117"/>
    <w:rsid w:val="009F6014"/>
    <w:rsid w:val="009F7E2D"/>
    <w:rsid w:val="00A00932"/>
    <w:rsid w:val="00A0249B"/>
    <w:rsid w:val="00A029B6"/>
    <w:rsid w:val="00A02C4E"/>
    <w:rsid w:val="00A063BE"/>
    <w:rsid w:val="00A124AF"/>
    <w:rsid w:val="00A15DF8"/>
    <w:rsid w:val="00A220F9"/>
    <w:rsid w:val="00A257AC"/>
    <w:rsid w:val="00A25E50"/>
    <w:rsid w:val="00A3066D"/>
    <w:rsid w:val="00A31007"/>
    <w:rsid w:val="00A344AF"/>
    <w:rsid w:val="00A43060"/>
    <w:rsid w:val="00A4351E"/>
    <w:rsid w:val="00A528D3"/>
    <w:rsid w:val="00A572DB"/>
    <w:rsid w:val="00A637B0"/>
    <w:rsid w:val="00A63DB3"/>
    <w:rsid w:val="00A64BA6"/>
    <w:rsid w:val="00A6616B"/>
    <w:rsid w:val="00A664BD"/>
    <w:rsid w:val="00A70410"/>
    <w:rsid w:val="00A75314"/>
    <w:rsid w:val="00A7542C"/>
    <w:rsid w:val="00A81C61"/>
    <w:rsid w:val="00A85297"/>
    <w:rsid w:val="00A92B57"/>
    <w:rsid w:val="00A95906"/>
    <w:rsid w:val="00A97042"/>
    <w:rsid w:val="00AA06BB"/>
    <w:rsid w:val="00AA2439"/>
    <w:rsid w:val="00AA2D08"/>
    <w:rsid w:val="00AA7AE6"/>
    <w:rsid w:val="00AA7B83"/>
    <w:rsid w:val="00AB11E5"/>
    <w:rsid w:val="00AB3D7C"/>
    <w:rsid w:val="00AB6636"/>
    <w:rsid w:val="00AC37DE"/>
    <w:rsid w:val="00AC45D2"/>
    <w:rsid w:val="00AC5B4B"/>
    <w:rsid w:val="00AC6033"/>
    <w:rsid w:val="00AD0A45"/>
    <w:rsid w:val="00AD22BC"/>
    <w:rsid w:val="00AD4062"/>
    <w:rsid w:val="00AD4F7C"/>
    <w:rsid w:val="00AE5B89"/>
    <w:rsid w:val="00AF05D0"/>
    <w:rsid w:val="00AF72B9"/>
    <w:rsid w:val="00B0002E"/>
    <w:rsid w:val="00B01FAB"/>
    <w:rsid w:val="00B049E7"/>
    <w:rsid w:val="00B064EB"/>
    <w:rsid w:val="00B07374"/>
    <w:rsid w:val="00B07CC2"/>
    <w:rsid w:val="00B101BB"/>
    <w:rsid w:val="00B104EE"/>
    <w:rsid w:val="00B13CAB"/>
    <w:rsid w:val="00B13F90"/>
    <w:rsid w:val="00B17D0B"/>
    <w:rsid w:val="00B239CE"/>
    <w:rsid w:val="00B26D09"/>
    <w:rsid w:val="00B32AE2"/>
    <w:rsid w:val="00B3571D"/>
    <w:rsid w:val="00B377C9"/>
    <w:rsid w:val="00B5042E"/>
    <w:rsid w:val="00B51FAF"/>
    <w:rsid w:val="00B64AF3"/>
    <w:rsid w:val="00B65C2C"/>
    <w:rsid w:val="00B67A3B"/>
    <w:rsid w:val="00B70418"/>
    <w:rsid w:val="00B7613E"/>
    <w:rsid w:val="00B768E2"/>
    <w:rsid w:val="00B82EFC"/>
    <w:rsid w:val="00B8359A"/>
    <w:rsid w:val="00B849DA"/>
    <w:rsid w:val="00B85850"/>
    <w:rsid w:val="00B86113"/>
    <w:rsid w:val="00B86D3E"/>
    <w:rsid w:val="00B86E58"/>
    <w:rsid w:val="00B902F1"/>
    <w:rsid w:val="00B9436A"/>
    <w:rsid w:val="00B943A7"/>
    <w:rsid w:val="00BA2319"/>
    <w:rsid w:val="00BA368B"/>
    <w:rsid w:val="00BA46F9"/>
    <w:rsid w:val="00BA49B7"/>
    <w:rsid w:val="00BB1AAD"/>
    <w:rsid w:val="00BB24BF"/>
    <w:rsid w:val="00BB7506"/>
    <w:rsid w:val="00BB7ACC"/>
    <w:rsid w:val="00BC6833"/>
    <w:rsid w:val="00BD3155"/>
    <w:rsid w:val="00BE367B"/>
    <w:rsid w:val="00BF0BB9"/>
    <w:rsid w:val="00C01777"/>
    <w:rsid w:val="00C0177B"/>
    <w:rsid w:val="00C058F4"/>
    <w:rsid w:val="00C06DA2"/>
    <w:rsid w:val="00C070D8"/>
    <w:rsid w:val="00C0770B"/>
    <w:rsid w:val="00C07C75"/>
    <w:rsid w:val="00C17031"/>
    <w:rsid w:val="00C20C78"/>
    <w:rsid w:val="00C22639"/>
    <w:rsid w:val="00C25D78"/>
    <w:rsid w:val="00C26359"/>
    <w:rsid w:val="00C30904"/>
    <w:rsid w:val="00C30F8C"/>
    <w:rsid w:val="00C358ED"/>
    <w:rsid w:val="00C4186C"/>
    <w:rsid w:val="00C41E9D"/>
    <w:rsid w:val="00C42298"/>
    <w:rsid w:val="00C456B3"/>
    <w:rsid w:val="00C4600F"/>
    <w:rsid w:val="00C467F4"/>
    <w:rsid w:val="00C500C5"/>
    <w:rsid w:val="00C51FF4"/>
    <w:rsid w:val="00C53ABE"/>
    <w:rsid w:val="00C61761"/>
    <w:rsid w:val="00C62426"/>
    <w:rsid w:val="00C64068"/>
    <w:rsid w:val="00C6628E"/>
    <w:rsid w:val="00C7647D"/>
    <w:rsid w:val="00C81BC7"/>
    <w:rsid w:val="00C833A9"/>
    <w:rsid w:val="00C94991"/>
    <w:rsid w:val="00CA0001"/>
    <w:rsid w:val="00CA00F4"/>
    <w:rsid w:val="00CA0CE2"/>
    <w:rsid w:val="00CA2AB6"/>
    <w:rsid w:val="00CA3CCD"/>
    <w:rsid w:val="00CA46C5"/>
    <w:rsid w:val="00CB7075"/>
    <w:rsid w:val="00CB7BB7"/>
    <w:rsid w:val="00CC4163"/>
    <w:rsid w:val="00CC5061"/>
    <w:rsid w:val="00CD073B"/>
    <w:rsid w:val="00CD1506"/>
    <w:rsid w:val="00CD1824"/>
    <w:rsid w:val="00CD379D"/>
    <w:rsid w:val="00CE7799"/>
    <w:rsid w:val="00CF48B6"/>
    <w:rsid w:val="00D027F5"/>
    <w:rsid w:val="00D04990"/>
    <w:rsid w:val="00D05837"/>
    <w:rsid w:val="00D14C56"/>
    <w:rsid w:val="00D15F78"/>
    <w:rsid w:val="00D20678"/>
    <w:rsid w:val="00D219E8"/>
    <w:rsid w:val="00D228E8"/>
    <w:rsid w:val="00D338A8"/>
    <w:rsid w:val="00D40A22"/>
    <w:rsid w:val="00D419B8"/>
    <w:rsid w:val="00D433F1"/>
    <w:rsid w:val="00D43A7E"/>
    <w:rsid w:val="00D456AC"/>
    <w:rsid w:val="00D4691F"/>
    <w:rsid w:val="00D555B6"/>
    <w:rsid w:val="00D56AA1"/>
    <w:rsid w:val="00D65A60"/>
    <w:rsid w:val="00D65D97"/>
    <w:rsid w:val="00D66699"/>
    <w:rsid w:val="00D66D6F"/>
    <w:rsid w:val="00D672E0"/>
    <w:rsid w:val="00D67B77"/>
    <w:rsid w:val="00D72E34"/>
    <w:rsid w:val="00D83FBF"/>
    <w:rsid w:val="00D90271"/>
    <w:rsid w:val="00DA0FEE"/>
    <w:rsid w:val="00DA29CC"/>
    <w:rsid w:val="00DA37D2"/>
    <w:rsid w:val="00DB4CED"/>
    <w:rsid w:val="00DC0CCA"/>
    <w:rsid w:val="00DC502E"/>
    <w:rsid w:val="00DC6E2F"/>
    <w:rsid w:val="00DD6EE5"/>
    <w:rsid w:val="00DE21F0"/>
    <w:rsid w:val="00DF30C4"/>
    <w:rsid w:val="00E00F3A"/>
    <w:rsid w:val="00E06A3B"/>
    <w:rsid w:val="00E07040"/>
    <w:rsid w:val="00E11873"/>
    <w:rsid w:val="00E16F2D"/>
    <w:rsid w:val="00E17419"/>
    <w:rsid w:val="00E235AD"/>
    <w:rsid w:val="00E26E82"/>
    <w:rsid w:val="00E27B96"/>
    <w:rsid w:val="00E300D4"/>
    <w:rsid w:val="00E3010D"/>
    <w:rsid w:val="00E3501A"/>
    <w:rsid w:val="00E35E3D"/>
    <w:rsid w:val="00E36B61"/>
    <w:rsid w:val="00E379D6"/>
    <w:rsid w:val="00E418EC"/>
    <w:rsid w:val="00E46EDF"/>
    <w:rsid w:val="00E5394C"/>
    <w:rsid w:val="00E61FF1"/>
    <w:rsid w:val="00E628F5"/>
    <w:rsid w:val="00E64F8D"/>
    <w:rsid w:val="00E7117C"/>
    <w:rsid w:val="00E80E95"/>
    <w:rsid w:val="00E849B5"/>
    <w:rsid w:val="00E84A01"/>
    <w:rsid w:val="00E87A1D"/>
    <w:rsid w:val="00E90183"/>
    <w:rsid w:val="00E91270"/>
    <w:rsid w:val="00E954A2"/>
    <w:rsid w:val="00EA4F8B"/>
    <w:rsid w:val="00EB00A8"/>
    <w:rsid w:val="00EB01F0"/>
    <w:rsid w:val="00EB6F4A"/>
    <w:rsid w:val="00EC25ED"/>
    <w:rsid w:val="00EC3F14"/>
    <w:rsid w:val="00EC789A"/>
    <w:rsid w:val="00ED1FE0"/>
    <w:rsid w:val="00ED343D"/>
    <w:rsid w:val="00ED5396"/>
    <w:rsid w:val="00EE0DE7"/>
    <w:rsid w:val="00EE5986"/>
    <w:rsid w:val="00EE7316"/>
    <w:rsid w:val="00EF7D21"/>
    <w:rsid w:val="00F06F33"/>
    <w:rsid w:val="00F10140"/>
    <w:rsid w:val="00F1242E"/>
    <w:rsid w:val="00F149D4"/>
    <w:rsid w:val="00F20810"/>
    <w:rsid w:val="00F2356C"/>
    <w:rsid w:val="00F23AF4"/>
    <w:rsid w:val="00F261EC"/>
    <w:rsid w:val="00F27718"/>
    <w:rsid w:val="00F33E6B"/>
    <w:rsid w:val="00F3482D"/>
    <w:rsid w:val="00F437A0"/>
    <w:rsid w:val="00F43C97"/>
    <w:rsid w:val="00F45F60"/>
    <w:rsid w:val="00F4611C"/>
    <w:rsid w:val="00F47A4C"/>
    <w:rsid w:val="00F55BFC"/>
    <w:rsid w:val="00F561A3"/>
    <w:rsid w:val="00F62C35"/>
    <w:rsid w:val="00F70996"/>
    <w:rsid w:val="00F71485"/>
    <w:rsid w:val="00F824D0"/>
    <w:rsid w:val="00F8580F"/>
    <w:rsid w:val="00F864B7"/>
    <w:rsid w:val="00F929E9"/>
    <w:rsid w:val="00F94004"/>
    <w:rsid w:val="00FA1314"/>
    <w:rsid w:val="00FB229B"/>
    <w:rsid w:val="00FB6B69"/>
    <w:rsid w:val="00FD3613"/>
    <w:rsid w:val="00FD40A9"/>
    <w:rsid w:val="00FD4523"/>
    <w:rsid w:val="00FE3635"/>
    <w:rsid w:val="00FE3FC1"/>
    <w:rsid w:val="00FE6541"/>
    <w:rsid w:val="00FE6608"/>
    <w:rsid w:val="00FF004B"/>
    <w:rsid w:val="00FF07A2"/>
    <w:rsid w:val="00FF272D"/>
    <w:rsid w:val="00FF619D"/>
    <w:rsid w:val="00FF73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5C85"/>
    <w:pPr>
      <w:widowControl w:val="0"/>
    </w:pPr>
    <w:rPr>
      <w:snapToGrid w:val="0"/>
      <w:sz w:val="24"/>
    </w:rPr>
  </w:style>
  <w:style w:type="paragraph" w:styleId="Heading1">
    <w:name w:val="heading 1"/>
    <w:basedOn w:val="Normal"/>
    <w:next w:val="Normal"/>
    <w:qFormat/>
    <w:rsid w:val="00225C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pPr>
    <w:rPr>
      <w:b/>
      <w:snapToGrid/>
      <w:u w:val="single"/>
    </w:rPr>
  </w:style>
  <w:style w:type="paragraph" w:styleId="Heading2">
    <w:name w:val="heading 2"/>
    <w:basedOn w:val="Normal"/>
    <w:next w:val="Normal"/>
    <w:qFormat/>
    <w:rsid w:val="00225C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jc w:val="center"/>
      <w:outlineLvl w:val="1"/>
    </w:pPr>
    <w:rPr>
      <w:snapToGrid/>
      <w:u w:val="single"/>
    </w:rPr>
  </w:style>
  <w:style w:type="paragraph" w:styleId="Heading3">
    <w:name w:val="heading 3"/>
    <w:basedOn w:val="Normal"/>
    <w:next w:val="Normal"/>
    <w:link w:val="Heading3Char"/>
    <w:qFormat/>
    <w:rsid w:val="00225C8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25C85"/>
  </w:style>
  <w:style w:type="paragraph" w:styleId="Header">
    <w:name w:val="header"/>
    <w:basedOn w:val="Normal"/>
    <w:link w:val="HeaderChar"/>
    <w:rsid w:val="00225C85"/>
    <w:pPr>
      <w:tabs>
        <w:tab w:val="center" w:pos="4320"/>
        <w:tab w:val="right" w:pos="8640"/>
      </w:tabs>
    </w:pPr>
  </w:style>
  <w:style w:type="paragraph" w:styleId="Footer">
    <w:name w:val="footer"/>
    <w:basedOn w:val="Normal"/>
    <w:link w:val="FooterChar"/>
    <w:rsid w:val="00225C85"/>
    <w:pPr>
      <w:tabs>
        <w:tab w:val="center" w:pos="4320"/>
        <w:tab w:val="right" w:pos="8640"/>
      </w:tabs>
    </w:pPr>
  </w:style>
  <w:style w:type="paragraph" w:styleId="FootnoteText">
    <w:name w:val="footnote text"/>
    <w:basedOn w:val="Normal"/>
    <w:rsid w:val="00225C85"/>
    <w:pPr>
      <w:widowControl/>
    </w:pPr>
    <w:rPr>
      <w:snapToGrid/>
      <w:sz w:val="20"/>
    </w:rPr>
  </w:style>
  <w:style w:type="character" w:styleId="PageNumber">
    <w:name w:val="page number"/>
    <w:basedOn w:val="DefaultParagraphFont"/>
    <w:rsid w:val="00225C85"/>
  </w:style>
  <w:style w:type="paragraph" w:styleId="BodyTextIndent">
    <w:name w:val="Body Text Indent"/>
    <w:basedOn w:val="Normal"/>
    <w:rsid w:val="00225C85"/>
    <w:pPr>
      <w:widowControl/>
      <w:tabs>
        <w:tab w:val="left" w:pos="0"/>
      </w:tabs>
      <w:ind w:left="1440" w:hanging="1440"/>
      <w:jc w:val="both"/>
    </w:pPr>
  </w:style>
  <w:style w:type="paragraph" w:styleId="BodyTextIndent2">
    <w:name w:val="Body Text Indent 2"/>
    <w:basedOn w:val="Normal"/>
    <w:rsid w:val="00225C85"/>
    <w:pPr>
      <w:widowControl/>
      <w:tabs>
        <w:tab w:val="left" w:pos="0"/>
      </w:tabs>
      <w:ind w:left="1440" w:hanging="1440"/>
    </w:pPr>
  </w:style>
  <w:style w:type="paragraph" w:styleId="BodyTextIndent3">
    <w:name w:val="Body Text Indent 3"/>
    <w:basedOn w:val="Normal"/>
    <w:link w:val="BodyTextIndent3Char"/>
    <w:rsid w:val="00225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color w:val="FF0000"/>
    </w:rPr>
  </w:style>
  <w:style w:type="paragraph" w:styleId="BalloonText">
    <w:name w:val="Balloon Text"/>
    <w:basedOn w:val="Normal"/>
    <w:link w:val="BalloonTextChar"/>
    <w:semiHidden/>
    <w:unhideWhenUsed/>
    <w:rsid w:val="00D228E8"/>
    <w:rPr>
      <w:rFonts w:ascii="Lucida Grande" w:hAnsi="Lucida Grande"/>
      <w:sz w:val="18"/>
      <w:szCs w:val="18"/>
    </w:rPr>
  </w:style>
  <w:style w:type="character" w:customStyle="1" w:styleId="BalloonTextChar">
    <w:name w:val="Balloon Text Char"/>
    <w:basedOn w:val="DefaultParagraphFont"/>
    <w:link w:val="BalloonText"/>
    <w:semiHidden/>
    <w:rsid w:val="00D228E8"/>
    <w:rPr>
      <w:rFonts w:ascii="Lucida Grande" w:hAnsi="Lucida Grande"/>
      <w:snapToGrid w:val="0"/>
      <w:sz w:val="18"/>
      <w:szCs w:val="18"/>
    </w:rPr>
  </w:style>
  <w:style w:type="paragraph" w:customStyle="1" w:styleId="OrderBody">
    <w:name w:val="Order Body"/>
    <w:basedOn w:val="Normal"/>
    <w:link w:val="OrderBodyChar"/>
    <w:rsid w:val="00D228E8"/>
    <w:pPr>
      <w:widowControl/>
      <w:jc w:val="both"/>
    </w:pPr>
    <w:rPr>
      <w:snapToGrid/>
      <w:szCs w:val="24"/>
    </w:rPr>
  </w:style>
  <w:style w:type="character" w:customStyle="1" w:styleId="OrderBodyChar">
    <w:name w:val="Order Body Char"/>
    <w:basedOn w:val="DefaultParagraphFont"/>
    <w:link w:val="OrderBody"/>
    <w:rsid w:val="00D228E8"/>
    <w:rPr>
      <w:sz w:val="24"/>
      <w:szCs w:val="24"/>
    </w:rPr>
  </w:style>
  <w:style w:type="paragraph" w:customStyle="1" w:styleId="OrderHeading">
    <w:name w:val="Order Heading"/>
    <w:basedOn w:val="Normal"/>
    <w:rsid w:val="00D228E8"/>
    <w:pPr>
      <w:widowControl/>
      <w:jc w:val="center"/>
    </w:pPr>
    <w:rPr>
      <w:snapToGrid/>
      <w:szCs w:val="24"/>
    </w:rPr>
  </w:style>
  <w:style w:type="table" w:styleId="TableGrid">
    <w:name w:val="Table Grid"/>
    <w:basedOn w:val="TableNormal"/>
    <w:rsid w:val="00D22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32A98"/>
    <w:rPr>
      <w:snapToGrid w:val="0"/>
      <w:sz w:val="24"/>
    </w:rPr>
  </w:style>
  <w:style w:type="character" w:customStyle="1" w:styleId="HeaderChar">
    <w:name w:val="Header Char"/>
    <w:basedOn w:val="DefaultParagraphFont"/>
    <w:link w:val="Header"/>
    <w:rsid w:val="00B32A98"/>
    <w:rPr>
      <w:snapToGrid w:val="0"/>
      <w:sz w:val="24"/>
    </w:rPr>
  </w:style>
  <w:style w:type="character" w:customStyle="1" w:styleId="FooterChar">
    <w:name w:val="Footer Char"/>
    <w:basedOn w:val="DefaultParagraphFont"/>
    <w:link w:val="Footer"/>
    <w:rsid w:val="00B32A98"/>
    <w:rPr>
      <w:snapToGrid w:val="0"/>
      <w:sz w:val="24"/>
    </w:rPr>
  </w:style>
  <w:style w:type="paragraph" w:styleId="BodyText">
    <w:name w:val="Body Text"/>
    <w:aliases w:val="s1"/>
    <w:basedOn w:val="Normal"/>
    <w:link w:val="BodyTextChar"/>
    <w:rsid w:val="00B32A98"/>
    <w:pPr>
      <w:widowControl/>
      <w:spacing w:after="240"/>
      <w:ind w:firstLine="720"/>
      <w:jc w:val="both"/>
    </w:pPr>
    <w:rPr>
      <w:snapToGrid/>
      <w:szCs w:val="24"/>
    </w:rPr>
  </w:style>
  <w:style w:type="character" w:customStyle="1" w:styleId="BodyTextChar">
    <w:name w:val="Body Text Char"/>
    <w:aliases w:val="s1 Char"/>
    <w:basedOn w:val="DefaultParagraphFont"/>
    <w:link w:val="BodyText"/>
    <w:rsid w:val="00B32A98"/>
    <w:rPr>
      <w:sz w:val="24"/>
      <w:szCs w:val="24"/>
    </w:rPr>
  </w:style>
  <w:style w:type="paragraph" w:customStyle="1" w:styleId="ColorfulList-Accent11">
    <w:name w:val="Colorful List - Accent 11"/>
    <w:basedOn w:val="Normal"/>
    <w:qFormat/>
    <w:rsid w:val="00B32A98"/>
    <w:pPr>
      <w:widowControl/>
      <w:ind w:left="720"/>
      <w:contextualSpacing/>
    </w:pPr>
    <w:rPr>
      <w:rFonts w:eastAsia="Calibri"/>
      <w:snapToGrid/>
      <w:szCs w:val="24"/>
    </w:rPr>
  </w:style>
  <w:style w:type="character" w:styleId="CommentReference">
    <w:name w:val="annotation reference"/>
    <w:basedOn w:val="DefaultParagraphFont"/>
    <w:uiPriority w:val="99"/>
    <w:rsid w:val="00B32A98"/>
    <w:rPr>
      <w:sz w:val="16"/>
      <w:szCs w:val="16"/>
    </w:rPr>
  </w:style>
  <w:style w:type="paragraph" w:styleId="CommentText">
    <w:name w:val="annotation text"/>
    <w:basedOn w:val="Normal"/>
    <w:link w:val="CommentTextChar"/>
    <w:uiPriority w:val="99"/>
    <w:rsid w:val="00B32A98"/>
    <w:pPr>
      <w:autoSpaceDE w:val="0"/>
      <w:autoSpaceDN w:val="0"/>
      <w:adjustRightInd w:val="0"/>
    </w:pPr>
    <w:rPr>
      <w:snapToGrid/>
      <w:sz w:val="20"/>
    </w:rPr>
  </w:style>
  <w:style w:type="character" w:customStyle="1" w:styleId="CommentTextChar">
    <w:name w:val="Comment Text Char"/>
    <w:basedOn w:val="DefaultParagraphFont"/>
    <w:link w:val="CommentText"/>
    <w:rsid w:val="00B32A98"/>
  </w:style>
  <w:style w:type="paragraph" w:styleId="CommentSubject">
    <w:name w:val="annotation subject"/>
    <w:basedOn w:val="CommentText"/>
    <w:next w:val="CommentText"/>
    <w:link w:val="CommentSubjectChar"/>
    <w:rsid w:val="00B32A98"/>
    <w:rPr>
      <w:b/>
      <w:bCs/>
    </w:rPr>
  </w:style>
  <w:style w:type="character" w:customStyle="1" w:styleId="CommentSubjectChar">
    <w:name w:val="Comment Subject Char"/>
    <w:basedOn w:val="CommentTextChar"/>
    <w:link w:val="CommentSubject"/>
    <w:rsid w:val="00B32A98"/>
    <w:rPr>
      <w:b/>
      <w:bCs/>
    </w:rPr>
  </w:style>
  <w:style w:type="character" w:customStyle="1" w:styleId="BodyTextIndent3Char">
    <w:name w:val="Body Text Indent 3 Char"/>
    <w:basedOn w:val="DefaultParagraphFont"/>
    <w:link w:val="BodyTextIndent3"/>
    <w:rsid w:val="00B32A98"/>
    <w:rPr>
      <w:snapToGrid w:val="0"/>
      <w:color w:val="FF0000"/>
      <w:sz w:val="24"/>
    </w:rPr>
  </w:style>
  <w:style w:type="paragraph" w:styleId="Revision">
    <w:name w:val="Revision"/>
    <w:hidden/>
    <w:rsid w:val="00C22639"/>
    <w:rPr>
      <w:snapToGrid w:val="0"/>
      <w:sz w:val="24"/>
    </w:rPr>
  </w:style>
  <w:style w:type="paragraph" w:styleId="ListParagraph">
    <w:name w:val="List Paragraph"/>
    <w:basedOn w:val="Normal"/>
    <w:uiPriority w:val="34"/>
    <w:qFormat/>
    <w:rsid w:val="004E59EE"/>
    <w:pPr>
      <w:widowControl/>
      <w:ind w:left="720"/>
    </w:pPr>
    <w:rPr>
      <w:rFonts w:ascii="Calibri" w:hAnsi="Calibri"/>
      <w:snapToGrid/>
      <w:sz w:val="22"/>
      <w:szCs w:val="22"/>
    </w:rPr>
  </w:style>
  <w:style w:type="paragraph" w:styleId="Caption">
    <w:name w:val="caption"/>
    <w:basedOn w:val="Normal"/>
    <w:next w:val="Normal"/>
    <w:qFormat/>
    <w:rsid w:val="0028486B"/>
    <w:pPr>
      <w:widowControl/>
      <w:spacing w:before="120" w:after="120"/>
    </w:pPr>
    <w:rPr>
      <w:b/>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5C85"/>
    <w:pPr>
      <w:widowControl w:val="0"/>
    </w:pPr>
    <w:rPr>
      <w:snapToGrid w:val="0"/>
      <w:sz w:val="24"/>
    </w:rPr>
  </w:style>
  <w:style w:type="paragraph" w:styleId="Heading1">
    <w:name w:val="heading 1"/>
    <w:basedOn w:val="Normal"/>
    <w:next w:val="Normal"/>
    <w:qFormat/>
    <w:rsid w:val="00225C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pPr>
    <w:rPr>
      <w:b/>
      <w:snapToGrid/>
      <w:u w:val="single"/>
    </w:rPr>
  </w:style>
  <w:style w:type="paragraph" w:styleId="Heading2">
    <w:name w:val="heading 2"/>
    <w:basedOn w:val="Normal"/>
    <w:next w:val="Normal"/>
    <w:qFormat/>
    <w:rsid w:val="00225C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jc w:val="center"/>
      <w:outlineLvl w:val="1"/>
    </w:pPr>
    <w:rPr>
      <w:snapToGrid/>
      <w:u w:val="single"/>
    </w:rPr>
  </w:style>
  <w:style w:type="paragraph" w:styleId="Heading3">
    <w:name w:val="heading 3"/>
    <w:basedOn w:val="Normal"/>
    <w:next w:val="Normal"/>
    <w:link w:val="Heading3Char"/>
    <w:qFormat/>
    <w:rsid w:val="00225C8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25C85"/>
  </w:style>
  <w:style w:type="paragraph" w:styleId="Header">
    <w:name w:val="header"/>
    <w:basedOn w:val="Normal"/>
    <w:link w:val="HeaderChar"/>
    <w:rsid w:val="00225C85"/>
    <w:pPr>
      <w:tabs>
        <w:tab w:val="center" w:pos="4320"/>
        <w:tab w:val="right" w:pos="8640"/>
      </w:tabs>
    </w:pPr>
  </w:style>
  <w:style w:type="paragraph" w:styleId="Footer">
    <w:name w:val="footer"/>
    <w:basedOn w:val="Normal"/>
    <w:link w:val="FooterChar"/>
    <w:rsid w:val="00225C85"/>
    <w:pPr>
      <w:tabs>
        <w:tab w:val="center" w:pos="4320"/>
        <w:tab w:val="right" w:pos="8640"/>
      </w:tabs>
    </w:pPr>
  </w:style>
  <w:style w:type="paragraph" w:styleId="FootnoteText">
    <w:name w:val="footnote text"/>
    <w:basedOn w:val="Normal"/>
    <w:rsid w:val="00225C85"/>
    <w:pPr>
      <w:widowControl/>
    </w:pPr>
    <w:rPr>
      <w:snapToGrid/>
      <w:sz w:val="20"/>
    </w:rPr>
  </w:style>
  <w:style w:type="character" w:styleId="PageNumber">
    <w:name w:val="page number"/>
    <w:basedOn w:val="DefaultParagraphFont"/>
    <w:rsid w:val="00225C85"/>
  </w:style>
  <w:style w:type="paragraph" w:styleId="BodyTextIndent">
    <w:name w:val="Body Text Indent"/>
    <w:basedOn w:val="Normal"/>
    <w:rsid w:val="00225C85"/>
    <w:pPr>
      <w:widowControl/>
      <w:tabs>
        <w:tab w:val="left" w:pos="0"/>
      </w:tabs>
      <w:ind w:left="1440" w:hanging="1440"/>
      <w:jc w:val="both"/>
    </w:pPr>
  </w:style>
  <w:style w:type="paragraph" w:styleId="BodyTextIndent2">
    <w:name w:val="Body Text Indent 2"/>
    <w:basedOn w:val="Normal"/>
    <w:rsid w:val="00225C85"/>
    <w:pPr>
      <w:widowControl/>
      <w:tabs>
        <w:tab w:val="left" w:pos="0"/>
      </w:tabs>
      <w:ind w:left="1440" w:hanging="1440"/>
    </w:pPr>
  </w:style>
  <w:style w:type="paragraph" w:styleId="BodyTextIndent3">
    <w:name w:val="Body Text Indent 3"/>
    <w:basedOn w:val="Normal"/>
    <w:link w:val="BodyTextIndent3Char"/>
    <w:rsid w:val="00225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color w:val="FF0000"/>
    </w:rPr>
  </w:style>
  <w:style w:type="paragraph" w:styleId="BalloonText">
    <w:name w:val="Balloon Text"/>
    <w:basedOn w:val="Normal"/>
    <w:link w:val="BalloonTextChar"/>
    <w:semiHidden/>
    <w:unhideWhenUsed/>
    <w:rsid w:val="00D228E8"/>
    <w:rPr>
      <w:rFonts w:ascii="Lucida Grande" w:hAnsi="Lucida Grande"/>
      <w:sz w:val="18"/>
      <w:szCs w:val="18"/>
    </w:rPr>
  </w:style>
  <w:style w:type="character" w:customStyle="1" w:styleId="BalloonTextChar">
    <w:name w:val="Balloon Text Char"/>
    <w:basedOn w:val="DefaultParagraphFont"/>
    <w:link w:val="BalloonText"/>
    <w:semiHidden/>
    <w:rsid w:val="00D228E8"/>
    <w:rPr>
      <w:rFonts w:ascii="Lucida Grande" w:hAnsi="Lucida Grande"/>
      <w:snapToGrid w:val="0"/>
      <w:sz w:val="18"/>
      <w:szCs w:val="18"/>
    </w:rPr>
  </w:style>
  <w:style w:type="paragraph" w:customStyle="1" w:styleId="OrderBody">
    <w:name w:val="Order Body"/>
    <w:basedOn w:val="Normal"/>
    <w:link w:val="OrderBodyChar"/>
    <w:rsid w:val="00D228E8"/>
    <w:pPr>
      <w:widowControl/>
      <w:jc w:val="both"/>
    </w:pPr>
    <w:rPr>
      <w:snapToGrid/>
      <w:szCs w:val="24"/>
    </w:rPr>
  </w:style>
  <w:style w:type="character" w:customStyle="1" w:styleId="OrderBodyChar">
    <w:name w:val="Order Body Char"/>
    <w:basedOn w:val="DefaultParagraphFont"/>
    <w:link w:val="OrderBody"/>
    <w:rsid w:val="00D228E8"/>
    <w:rPr>
      <w:sz w:val="24"/>
      <w:szCs w:val="24"/>
    </w:rPr>
  </w:style>
  <w:style w:type="paragraph" w:customStyle="1" w:styleId="OrderHeading">
    <w:name w:val="Order Heading"/>
    <w:basedOn w:val="Normal"/>
    <w:rsid w:val="00D228E8"/>
    <w:pPr>
      <w:widowControl/>
      <w:jc w:val="center"/>
    </w:pPr>
    <w:rPr>
      <w:snapToGrid/>
      <w:szCs w:val="24"/>
    </w:rPr>
  </w:style>
  <w:style w:type="table" w:styleId="TableGrid">
    <w:name w:val="Table Grid"/>
    <w:basedOn w:val="TableNormal"/>
    <w:rsid w:val="00D22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32A98"/>
    <w:rPr>
      <w:snapToGrid w:val="0"/>
      <w:sz w:val="24"/>
    </w:rPr>
  </w:style>
  <w:style w:type="character" w:customStyle="1" w:styleId="HeaderChar">
    <w:name w:val="Header Char"/>
    <w:basedOn w:val="DefaultParagraphFont"/>
    <w:link w:val="Header"/>
    <w:rsid w:val="00B32A98"/>
    <w:rPr>
      <w:snapToGrid w:val="0"/>
      <w:sz w:val="24"/>
    </w:rPr>
  </w:style>
  <w:style w:type="character" w:customStyle="1" w:styleId="FooterChar">
    <w:name w:val="Footer Char"/>
    <w:basedOn w:val="DefaultParagraphFont"/>
    <w:link w:val="Footer"/>
    <w:rsid w:val="00B32A98"/>
    <w:rPr>
      <w:snapToGrid w:val="0"/>
      <w:sz w:val="24"/>
    </w:rPr>
  </w:style>
  <w:style w:type="paragraph" w:styleId="BodyText">
    <w:name w:val="Body Text"/>
    <w:aliases w:val="s1"/>
    <w:basedOn w:val="Normal"/>
    <w:link w:val="BodyTextChar"/>
    <w:rsid w:val="00B32A98"/>
    <w:pPr>
      <w:widowControl/>
      <w:spacing w:after="240"/>
      <w:ind w:firstLine="720"/>
      <w:jc w:val="both"/>
    </w:pPr>
    <w:rPr>
      <w:snapToGrid/>
      <w:szCs w:val="24"/>
    </w:rPr>
  </w:style>
  <w:style w:type="character" w:customStyle="1" w:styleId="BodyTextChar">
    <w:name w:val="Body Text Char"/>
    <w:aliases w:val="s1 Char"/>
    <w:basedOn w:val="DefaultParagraphFont"/>
    <w:link w:val="BodyText"/>
    <w:rsid w:val="00B32A98"/>
    <w:rPr>
      <w:sz w:val="24"/>
      <w:szCs w:val="24"/>
    </w:rPr>
  </w:style>
  <w:style w:type="paragraph" w:customStyle="1" w:styleId="ColorfulList-Accent11">
    <w:name w:val="Colorful List - Accent 11"/>
    <w:basedOn w:val="Normal"/>
    <w:qFormat/>
    <w:rsid w:val="00B32A98"/>
    <w:pPr>
      <w:widowControl/>
      <w:ind w:left="720"/>
      <w:contextualSpacing/>
    </w:pPr>
    <w:rPr>
      <w:rFonts w:eastAsia="Calibri"/>
      <w:snapToGrid/>
      <w:szCs w:val="24"/>
    </w:rPr>
  </w:style>
  <w:style w:type="character" w:styleId="CommentReference">
    <w:name w:val="annotation reference"/>
    <w:basedOn w:val="DefaultParagraphFont"/>
    <w:uiPriority w:val="99"/>
    <w:rsid w:val="00B32A98"/>
    <w:rPr>
      <w:sz w:val="16"/>
      <w:szCs w:val="16"/>
    </w:rPr>
  </w:style>
  <w:style w:type="paragraph" w:styleId="CommentText">
    <w:name w:val="annotation text"/>
    <w:basedOn w:val="Normal"/>
    <w:link w:val="CommentTextChar"/>
    <w:uiPriority w:val="99"/>
    <w:rsid w:val="00B32A98"/>
    <w:pPr>
      <w:autoSpaceDE w:val="0"/>
      <w:autoSpaceDN w:val="0"/>
      <w:adjustRightInd w:val="0"/>
    </w:pPr>
    <w:rPr>
      <w:snapToGrid/>
      <w:sz w:val="20"/>
    </w:rPr>
  </w:style>
  <w:style w:type="character" w:customStyle="1" w:styleId="CommentTextChar">
    <w:name w:val="Comment Text Char"/>
    <w:basedOn w:val="DefaultParagraphFont"/>
    <w:link w:val="CommentText"/>
    <w:rsid w:val="00B32A98"/>
  </w:style>
  <w:style w:type="paragraph" w:styleId="CommentSubject">
    <w:name w:val="annotation subject"/>
    <w:basedOn w:val="CommentText"/>
    <w:next w:val="CommentText"/>
    <w:link w:val="CommentSubjectChar"/>
    <w:rsid w:val="00B32A98"/>
    <w:rPr>
      <w:b/>
      <w:bCs/>
    </w:rPr>
  </w:style>
  <w:style w:type="character" w:customStyle="1" w:styleId="CommentSubjectChar">
    <w:name w:val="Comment Subject Char"/>
    <w:basedOn w:val="CommentTextChar"/>
    <w:link w:val="CommentSubject"/>
    <w:rsid w:val="00B32A98"/>
    <w:rPr>
      <w:b/>
      <w:bCs/>
    </w:rPr>
  </w:style>
  <w:style w:type="character" w:customStyle="1" w:styleId="BodyTextIndent3Char">
    <w:name w:val="Body Text Indent 3 Char"/>
    <w:basedOn w:val="DefaultParagraphFont"/>
    <w:link w:val="BodyTextIndent3"/>
    <w:rsid w:val="00B32A98"/>
    <w:rPr>
      <w:snapToGrid w:val="0"/>
      <w:color w:val="FF0000"/>
      <w:sz w:val="24"/>
    </w:rPr>
  </w:style>
  <w:style w:type="paragraph" w:styleId="Revision">
    <w:name w:val="Revision"/>
    <w:hidden/>
    <w:rsid w:val="00C22639"/>
    <w:rPr>
      <w:snapToGrid w:val="0"/>
      <w:sz w:val="24"/>
    </w:rPr>
  </w:style>
  <w:style w:type="paragraph" w:styleId="ListParagraph">
    <w:name w:val="List Paragraph"/>
    <w:basedOn w:val="Normal"/>
    <w:uiPriority w:val="34"/>
    <w:qFormat/>
    <w:rsid w:val="004E59EE"/>
    <w:pPr>
      <w:widowControl/>
      <w:ind w:left="720"/>
    </w:pPr>
    <w:rPr>
      <w:rFonts w:ascii="Calibri" w:hAnsi="Calibri"/>
      <w:snapToGrid/>
      <w:sz w:val="22"/>
      <w:szCs w:val="22"/>
    </w:rPr>
  </w:style>
  <w:style w:type="paragraph" w:styleId="Caption">
    <w:name w:val="caption"/>
    <w:basedOn w:val="Normal"/>
    <w:next w:val="Normal"/>
    <w:qFormat/>
    <w:rsid w:val="0028486B"/>
    <w:pPr>
      <w:widowControl/>
      <w:spacing w:before="120" w:after="120"/>
    </w:pPr>
    <w:rPr>
      <w:b/>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9865">
      <w:bodyDiv w:val="1"/>
      <w:marLeft w:val="0"/>
      <w:marRight w:val="0"/>
      <w:marTop w:val="0"/>
      <w:marBottom w:val="0"/>
      <w:divBdr>
        <w:top w:val="none" w:sz="0" w:space="0" w:color="auto"/>
        <w:left w:val="none" w:sz="0" w:space="0" w:color="auto"/>
        <w:bottom w:val="none" w:sz="0" w:space="0" w:color="auto"/>
        <w:right w:val="none" w:sz="0" w:space="0" w:color="auto"/>
      </w:divBdr>
    </w:div>
    <w:div w:id="144704013">
      <w:bodyDiv w:val="1"/>
      <w:marLeft w:val="0"/>
      <w:marRight w:val="0"/>
      <w:marTop w:val="0"/>
      <w:marBottom w:val="0"/>
      <w:divBdr>
        <w:top w:val="none" w:sz="0" w:space="0" w:color="auto"/>
        <w:left w:val="none" w:sz="0" w:space="0" w:color="auto"/>
        <w:bottom w:val="none" w:sz="0" w:space="0" w:color="auto"/>
        <w:right w:val="none" w:sz="0" w:space="0" w:color="auto"/>
      </w:divBdr>
    </w:div>
    <w:div w:id="474295322">
      <w:bodyDiv w:val="1"/>
      <w:marLeft w:val="0"/>
      <w:marRight w:val="0"/>
      <w:marTop w:val="0"/>
      <w:marBottom w:val="0"/>
      <w:divBdr>
        <w:top w:val="none" w:sz="0" w:space="0" w:color="auto"/>
        <w:left w:val="none" w:sz="0" w:space="0" w:color="auto"/>
        <w:bottom w:val="none" w:sz="0" w:space="0" w:color="auto"/>
        <w:right w:val="none" w:sz="0" w:space="0" w:color="auto"/>
      </w:divBdr>
    </w:div>
    <w:div w:id="562376659">
      <w:bodyDiv w:val="1"/>
      <w:marLeft w:val="0"/>
      <w:marRight w:val="0"/>
      <w:marTop w:val="0"/>
      <w:marBottom w:val="0"/>
      <w:divBdr>
        <w:top w:val="none" w:sz="0" w:space="0" w:color="auto"/>
        <w:left w:val="none" w:sz="0" w:space="0" w:color="auto"/>
        <w:bottom w:val="none" w:sz="0" w:space="0" w:color="auto"/>
        <w:right w:val="none" w:sz="0" w:space="0" w:color="auto"/>
      </w:divBdr>
    </w:div>
    <w:div w:id="757019144">
      <w:bodyDiv w:val="1"/>
      <w:marLeft w:val="0"/>
      <w:marRight w:val="0"/>
      <w:marTop w:val="0"/>
      <w:marBottom w:val="0"/>
      <w:divBdr>
        <w:top w:val="none" w:sz="0" w:space="0" w:color="auto"/>
        <w:left w:val="none" w:sz="0" w:space="0" w:color="auto"/>
        <w:bottom w:val="none" w:sz="0" w:space="0" w:color="auto"/>
        <w:right w:val="none" w:sz="0" w:space="0" w:color="auto"/>
      </w:divBdr>
    </w:div>
    <w:div w:id="908348861">
      <w:bodyDiv w:val="1"/>
      <w:marLeft w:val="0"/>
      <w:marRight w:val="0"/>
      <w:marTop w:val="0"/>
      <w:marBottom w:val="0"/>
      <w:divBdr>
        <w:top w:val="none" w:sz="0" w:space="0" w:color="auto"/>
        <w:left w:val="none" w:sz="0" w:space="0" w:color="auto"/>
        <w:bottom w:val="none" w:sz="0" w:space="0" w:color="auto"/>
        <w:right w:val="none" w:sz="0" w:space="0" w:color="auto"/>
      </w:divBdr>
    </w:div>
    <w:div w:id="963272162">
      <w:bodyDiv w:val="1"/>
      <w:marLeft w:val="0"/>
      <w:marRight w:val="0"/>
      <w:marTop w:val="0"/>
      <w:marBottom w:val="0"/>
      <w:divBdr>
        <w:top w:val="none" w:sz="0" w:space="0" w:color="auto"/>
        <w:left w:val="none" w:sz="0" w:space="0" w:color="auto"/>
        <w:bottom w:val="none" w:sz="0" w:space="0" w:color="auto"/>
        <w:right w:val="none" w:sz="0" w:space="0" w:color="auto"/>
      </w:divBdr>
    </w:div>
    <w:div w:id="1359314490">
      <w:bodyDiv w:val="1"/>
      <w:marLeft w:val="0"/>
      <w:marRight w:val="0"/>
      <w:marTop w:val="0"/>
      <w:marBottom w:val="0"/>
      <w:divBdr>
        <w:top w:val="none" w:sz="0" w:space="0" w:color="auto"/>
        <w:left w:val="none" w:sz="0" w:space="0" w:color="auto"/>
        <w:bottom w:val="none" w:sz="0" w:space="0" w:color="auto"/>
        <w:right w:val="none" w:sz="0" w:space="0" w:color="auto"/>
      </w:divBdr>
    </w:div>
    <w:div w:id="14365557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7100-9BDD-4EBE-A3BE-F2B1CA3F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12888</Words>
  <Characters>73465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86181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rlmcgee</dc:creator>
  <cp:lastModifiedBy>rlmcgee</cp:lastModifiedBy>
  <cp:revision>4</cp:revision>
  <cp:lastPrinted>2013-11-08T20:07:00Z</cp:lastPrinted>
  <dcterms:created xsi:type="dcterms:W3CDTF">2013-11-08T20:06:00Z</dcterms:created>
  <dcterms:modified xsi:type="dcterms:W3CDTF">2013-11-08T20:10:00Z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1730890186</vt:i4>
  </property>
  <property fmtid="{D5CDD505-2E9C-101B-9397-08002B2CF9AE}" pid="3" name="_NewReviewCycle">
    <vt:lpwstr/>
  </property>
  <property fmtid="{D5CDD505-2E9C-101B-9397-08002B2CF9AE}" pid="4" name="_EmailSubject">
    <vt:lpwstr>prehearing statement</vt:lpwstr>
  </property>
  <property fmtid="{D5CDD505-2E9C-101B-9397-08002B2CF9AE}" pid="5" name="_AuthorEmail">
    <vt:lpwstr>RLMCGEE@southernco.com</vt:lpwstr>
  </property>
  <property fmtid="{D5CDD505-2E9C-101B-9397-08002B2CF9AE}" pid="6" name="_AuthorEmailDisplayName">
    <vt:lpwstr>McGee, Robert L., Jr. (GULF)</vt:lpwstr>
  </property>
</Properties>
</file>