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A2249A" w:rsidRPr="00A2249A">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Pr="00A2249A" w:rsidRDefault="007C0528">
            <w:pPr>
              <w:pStyle w:val="MastHeadState"/>
            </w:pPr>
            <w:bookmarkStart w:id="0" w:name="_GoBack"/>
            <w:bookmarkEnd w:id="0"/>
            <w:r w:rsidRPr="00A2249A">
              <w:t>State of Florida</w:t>
            </w:r>
          </w:p>
          <w:p w:rsidR="007C0528" w:rsidRPr="00A2249A" w:rsidRDefault="003A0C3E">
            <w:pPr>
              <w:jc w:val="center"/>
            </w:pPr>
            <w:r w:rsidRPr="00A2249A">
              <w:rPr>
                <w:noProof/>
              </w:rPr>
              <w:drawing>
                <wp:inline distT="0" distB="0" distL="0" distR="0" wp14:anchorId="09EF8724" wp14:editId="45202CFF">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Pr="00A2249A" w:rsidRDefault="007C0528"/>
        </w:tc>
        <w:tc>
          <w:tcPr>
            <w:tcW w:w="7273" w:type="dxa"/>
            <w:gridSpan w:val="2"/>
            <w:tcBorders>
              <w:top w:val="nil"/>
              <w:left w:val="nil"/>
              <w:bottom w:val="single" w:sz="24" w:space="0" w:color="auto"/>
              <w:right w:val="nil"/>
            </w:tcBorders>
            <w:shd w:val="clear" w:color="auto" w:fill="auto"/>
            <w:vAlign w:val="bottom"/>
          </w:tcPr>
          <w:p w:rsidR="007C0528" w:rsidRPr="00A2249A" w:rsidRDefault="007C0528">
            <w:pPr>
              <w:pStyle w:val="MastHeadPSC"/>
            </w:pPr>
            <w:r w:rsidRPr="00A2249A">
              <w:t>Public Service Commission</w:t>
            </w:r>
          </w:p>
          <w:p w:rsidR="007C0528" w:rsidRPr="00A2249A" w:rsidRDefault="007C0528">
            <w:pPr>
              <w:pStyle w:val="MastHeadAddress"/>
            </w:pPr>
            <w:r w:rsidRPr="00A2249A">
              <w:t>Capital Circle Office Center ● 2540 Shumard Oak Boulevard</w:t>
            </w:r>
            <w:r w:rsidRPr="00A2249A">
              <w:br/>
              <w:t>Tallahassee, Florida 32399-0850</w:t>
            </w:r>
          </w:p>
          <w:p w:rsidR="007C0528" w:rsidRPr="00A2249A" w:rsidRDefault="007C0528">
            <w:pPr>
              <w:pStyle w:val="MastHeadMemorandum"/>
            </w:pPr>
            <w:r w:rsidRPr="00A2249A">
              <w:t>-M-E-M-O-R-A-N-D-U-M-</w:t>
            </w:r>
          </w:p>
          <w:p w:rsidR="007C0528" w:rsidRPr="00A2249A" w:rsidRDefault="007C0528">
            <w:pPr>
              <w:pStyle w:val="MemoHeading"/>
            </w:pPr>
          </w:p>
        </w:tc>
      </w:tr>
      <w:tr w:rsidR="00A2249A" w:rsidRPr="00A2249A">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Pr="00A2249A" w:rsidRDefault="007C0528">
            <w:pPr>
              <w:pStyle w:val="MemoHeading"/>
              <w:rPr>
                <w:b/>
              </w:rPr>
            </w:pPr>
            <w:r w:rsidRPr="00A2249A">
              <w:rPr>
                <w:b/>
              </w:rPr>
              <w:t>DATE:</w:t>
            </w:r>
          </w:p>
        </w:tc>
        <w:tc>
          <w:tcPr>
            <w:tcW w:w="8221" w:type="dxa"/>
            <w:gridSpan w:val="3"/>
            <w:tcBorders>
              <w:top w:val="single" w:sz="24" w:space="0" w:color="auto"/>
              <w:left w:val="nil"/>
              <w:bottom w:val="nil"/>
              <w:right w:val="nil"/>
            </w:tcBorders>
            <w:shd w:val="clear" w:color="auto" w:fill="auto"/>
            <w:tcMar>
              <w:bottom w:w="0" w:type="dxa"/>
            </w:tcMar>
          </w:tcPr>
          <w:p w:rsidR="007C0528" w:rsidRPr="00A2249A" w:rsidRDefault="00F51712" w:rsidP="00442A8B">
            <w:pPr>
              <w:pStyle w:val="MemoHeading"/>
            </w:pPr>
            <w:bookmarkStart w:id="1" w:name="FilingDate"/>
            <w:r w:rsidRPr="00A2249A">
              <w:t xml:space="preserve">April </w:t>
            </w:r>
            <w:r w:rsidR="00442A8B" w:rsidRPr="00A2249A">
              <w:t>7</w:t>
            </w:r>
            <w:r w:rsidR="00A87D89" w:rsidRPr="00A2249A">
              <w:t>,</w:t>
            </w:r>
            <w:r w:rsidR="003A0C3E" w:rsidRPr="00A2249A">
              <w:t xml:space="preserve"> 2015</w:t>
            </w:r>
            <w:bookmarkEnd w:id="1"/>
          </w:p>
        </w:tc>
      </w:tr>
      <w:tr w:rsidR="00A2249A" w:rsidRPr="00A2249A">
        <w:tc>
          <w:tcPr>
            <w:tcW w:w="1254" w:type="dxa"/>
            <w:tcBorders>
              <w:top w:val="nil"/>
              <w:left w:val="nil"/>
              <w:bottom w:val="nil"/>
              <w:right w:val="nil"/>
            </w:tcBorders>
            <w:shd w:val="clear" w:color="auto" w:fill="auto"/>
            <w:tcMar>
              <w:top w:w="288" w:type="dxa"/>
              <w:bottom w:w="0" w:type="dxa"/>
              <w:right w:w="0" w:type="dxa"/>
            </w:tcMar>
          </w:tcPr>
          <w:p w:rsidR="007C0528" w:rsidRPr="00A2249A" w:rsidRDefault="007C0528">
            <w:pPr>
              <w:pStyle w:val="MemoHeading"/>
              <w:rPr>
                <w:b/>
              </w:rPr>
            </w:pPr>
            <w:r w:rsidRPr="00A2249A">
              <w:rPr>
                <w:b/>
              </w:rPr>
              <w:t>TO:</w:t>
            </w:r>
          </w:p>
        </w:tc>
        <w:tc>
          <w:tcPr>
            <w:tcW w:w="8221" w:type="dxa"/>
            <w:gridSpan w:val="3"/>
            <w:tcBorders>
              <w:top w:val="nil"/>
              <w:left w:val="nil"/>
              <w:bottom w:val="nil"/>
              <w:right w:val="nil"/>
            </w:tcBorders>
            <w:shd w:val="clear" w:color="auto" w:fill="auto"/>
            <w:tcMar>
              <w:top w:w="288" w:type="dxa"/>
              <w:bottom w:w="0" w:type="dxa"/>
            </w:tcMar>
          </w:tcPr>
          <w:p w:rsidR="007C0528" w:rsidRPr="00A2249A" w:rsidRDefault="007C0528" w:rsidP="0093658B">
            <w:pPr>
              <w:pStyle w:val="MemoHeading"/>
            </w:pPr>
            <w:r w:rsidRPr="00A2249A">
              <w:t>Office of Commission Clerk (</w:t>
            </w:r>
            <w:r w:rsidR="0093658B" w:rsidRPr="00A2249A">
              <w:t>Stauffer</w:t>
            </w:r>
            <w:r w:rsidRPr="00A2249A">
              <w:t>)</w:t>
            </w:r>
          </w:p>
        </w:tc>
      </w:tr>
      <w:tr w:rsidR="00A2249A" w:rsidRPr="00A2249A">
        <w:tc>
          <w:tcPr>
            <w:tcW w:w="1254" w:type="dxa"/>
            <w:tcBorders>
              <w:top w:val="nil"/>
              <w:left w:val="nil"/>
              <w:bottom w:val="nil"/>
              <w:right w:val="nil"/>
            </w:tcBorders>
            <w:shd w:val="clear" w:color="auto" w:fill="auto"/>
            <w:tcMar>
              <w:top w:w="288" w:type="dxa"/>
              <w:right w:w="0" w:type="dxa"/>
            </w:tcMar>
          </w:tcPr>
          <w:p w:rsidR="007C0528" w:rsidRPr="00A2249A" w:rsidRDefault="007C0528">
            <w:pPr>
              <w:pStyle w:val="MemoHeading"/>
              <w:rPr>
                <w:b/>
              </w:rPr>
            </w:pPr>
            <w:r w:rsidRPr="00A2249A">
              <w:rPr>
                <w:b/>
              </w:rPr>
              <w:t>FROM:</w:t>
            </w:r>
          </w:p>
        </w:tc>
        <w:tc>
          <w:tcPr>
            <w:tcW w:w="8221" w:type="dxa"/>
            <w:gridSpan w:val="3"/>
            <w:tcBorders>
              <w:top w:val="nil"/>
              <w:left w:val="nil"/>
              <w:bottom w:val="nil"/>
              <w:right w:val="nil"/>
            </w:tcBorders>
            <w:shd w:val="clear" w:color="auto" w:fill="auto"/>
            <w:tcMar>
              <w:top w:w="288" w:type="dxa"/>
              <w:bottom w:w="0" w:type="dxa"/>
            </w:tcMar>
          </w:tcPr>
          <w:p w:rsidR="007C0528" w:rsidRPr="00A2249A" w:rsidRDefault="003A0C3E">
            <w:pPr>
              <w:pStyle w:val="MemoHeading"/>
            </w:pPr>
            <w:bookmarkStart w:id="2" w:name="From"/>
            <w:r w:rsidRPr="00A2249A">
              <w:t>Division of Engineering (</w:t>
            </w:r>
            <w:r w:rsidR="00A87D89" w:rsidRPr="00A2249A">
              <w:t>Graves, Vickery</w:t>
            </w:r>
            <w:r w:rsidRPr="00A2249A">
              <w:t>)</w:t>
            </w:r>
            <w:bookmarkEnd w:id="2"/>
          </w:p>
          <w:p w:rsidR="00A87D89" w:rsidRPr="00A2249A" w:rsidRDefault="00A87D89" w:rsidP="00A87D89">
            <w:r w:rsidRPr="00A2249A">
              <w:t>Office of the General Counsel (Murphy)</w:t>
            </w:r>
          </w:p>
        </w:tc>
      </w:tr>
      <w:tr w:rsidR="00A2249A" w:rsidRPr="00A2249A">
        <w:tc>
          <w:tcPr>
            <w:tcW w:w="1254" w:type="dxa"/>
            <w:tcBorders>
              <w:top w:val="nil"/>
              <w:left w:val="nil"/>
              <w:bottom w:val="nil"/>
              <w:right w:val="nil"/>
            </w:tcBorders>
            <w:shd w:val="clear" w:color="auto" w:fill="auto"/>
            <w:tcMar>
              <w:top w:w="288" w:type="dxa"/>
              <w:right w:w="0" w:type="dxa"/>
            </w:tcMar>
          </w:tcPr>
          <w:p w:rsidR="007C0528" w:rsidRPr="00A2249A" w:rsidRDefault="007C0528">
            <w:pPr>
              <w:pStyle w:val="MemoHeading"/>
              <w:rPr>
                <w:b/>
              </w:rPr>
            </w:pPr>
            <w:r w:rsidRPr="00A2249A">
              <w:rPr>
                <w:b/>
              </w:rPr>
              <w:t>RE:</w:t>
            </w:r>
          </w:p>
        </w:tc>
        <w:tc>
          <w:tcPr>
            <w:tcW w:w="8221" w:type="dxa"/>
            <w:gridSpan w:val="3"/>
            <w:tcBorders>
              <w:top w:val="nil"/>
              <w:left w:val="nil"/>
              <w:bottom w:val="nil"/>
              <w:right w:val="nil"/>
            </w:tcBorders>
            <w:shd w:val="clear" w:color="auto" w:fill="auto"/>
            <w:tcMar>
              <w:top w:w="288" w:type="dxa"/>
            </w:tcMar>
          </w:tcPr>
          <w:p w:rsidR="007C0528" w:rsidRPr="00A2249A" w:rsidRDefault="003A0C3E" w:rsidP="00C808AA">
            <w:pPr>
              <w:pStyle w:val="MemoHeadingRe"/>
            </w:pPr>
            <w:bookmarkStart w:id="3" w:name="Re"/>
            <w:r w:rsidRPr="00A2249A">
              <w:t xml:space="preserve">Docket No. 150100-EI – </w:t>
            </w:r>
            <w:proofErr w:type="spellStart"/>
            <w:r w:rsidRPr="00A2249A">
              <w:t>DeSoto</w:t>
            </w:r>
            <w:proofErr w:type="spellEnd"/>
            <w:r w:rsidRPr="00A2249A">
              <w:t xml:space="preserve"> County Generating Company, LLC</w:t>
            </w:r>
            <w:r w:rsidR="00C808AA">
              <w:t>’</w:t>
            </w:r>
            <w:r w:rsidRPr="00A2249A">
              <w:t>s objections to Florida Power &amp; Light Company</w:t>
            </w:r>
            <w:r w:rsidR="00C808AA">
              <w:t>’</w:t>
            </w:r>
            <w:r w:rsidRPr="00A2249A">
              <w:t>s 2015 request for proposals.</w:t>
            </w:r>
            <w:bookmarkEnd w:id="3"/>
          </w:p>
        </w:tc>
      </w:tr>
      <w:tr w:rsidR="00A2249A" w:rsidRPr="00A2249A">
        <w:tc>
          <w:tcPr>
            <w:tcW w:w="1254" w:type="dxa"/>
            <w:tcBorders>
              <w:top w:val="nil"/>
              <w:left w:val="nil"/>
              <w:bottom w:val="nil"/>
              <w:right w:val="nil"/>
            </w:tcBorders>
            <w:shd w:val="clear" w:color="auto" w:fill="auto"/>
            <w:tcMar>
              <w:top w:w="288" w:type="dxa"/>
              <w:bottom w:w="0" w:type="dxa"/>
              <w:right w:w="0" w:type="dxa"/>
            </w:tcMar>
          </w:tcPr>
          <w:p w:rsidR="007C0528" w:rsidRPr="00A2249A" w:rsidRDefault="007C0528">
            <w:pPr>
              <w:pStyle w:val="MemoHeading"/>
              <w:rPr>
                <w:b/>
              </w:rPr>
            </w:pPr>
            <w:r w:rsidRPr="00A2249A">
              <w:rPr>
                <w:b/>
              </w:rPr>
              <w:t>AGENDA:</w:t>
            </w:r>
          </w:p>
        </w:tc>
        <w:tc>
          <w:tcPr>
            <w:tcW w:w="8221" w:type="dxa"/>
            <w:gridSpan w:val="3"/>
            <w:tcBorders>
              <w:top w:val="nil"/>
              <w:left w:val="nil"/>
              <w:bottom w:val="nil"/>
              <w:right w:val="nil"/>
            </w:tcBorders>
            <w:shd w:val="clear" w:color="auto" w:fill="auto"/>
            <w:tcMar>
              <w:top w:w="288" w:type="dxa"/>
            </w:tcMar>
          </w:tcPr>
          <w:p w:rsidR="007C0528" w:rsidRPr="00A2249A" w:rsidRDefault="003A0C3E" w:rsidP="00A87D89">
            <w:pPr>
              <w:pStyle w:val="MemoHeading"/>
            </w:pPr>
            <w:bookmarkStart w:id="4" w:name="AgendaDate"/>
            <w:r w:rsidRPr="00A2249A">
              <w:t>0</w:t>
            </w:r>
            <w:r w:rsidR="00A87D89" w:rsidRPr="00A2249A">
              <w:t>4</w:t>
            </w:r>
            <w:r w:rsidRPr="00A2249A">
              <w:t>/</w:t>
            </w:r>
            <w:r w:rsidR="00A87D89" w:rsidRPr="00A2249A">
              <w:t>16</w:t>
            </w:r>
            <w:r w:rsidRPr="00A2249A">
              <w:t>/15</w:t>
            </w:r>
            <w:bookmarkEnd w:id="4"/>
            <w:r w:rsidR="007C0528" w:rsidRPr="00A2249A">
              <w:t xml:space="preserve"> – </w:t>
            </w:r>
            <w:bookmarkStart w:id="5" w:name="PermittedStatus"/>
            <w:r w:rsidRPr="00A2249A">
              <w:t xml:space="preserve">Regular Agenda – </w:t>
            </w:r>
            <w:r w:rsidR="00F51712" w:rsidRPr="00A2249A">
              <w:t xml:space="preserve">Oral Argument Requested- </w:t>
            </w:r>
            <w:r w:rsidRPr="00A2249A">
              <w:t>Interested Persons May Participate</w:t>
            </w:r>
            <w:bookmarkEnd w:id="5"/>
          </w:p>
        </w:tc>
      </w:tr>
      <w:tr w:rsidR="00A2249A" w:rsidRPr="00A2249A">
        <w:tc>
          <w:tcPr>
            <w:tcW w:w="3690" w:type="dxa"/>
            <w:gridSpan w:val="3"/>
            <w:tcBorders>
              <w:top w:val="nil"/>
              <w:left w:val="nil"/>
              <w:bottom w:val="nil"/>
              <w:right w:val="nil"/>
            </w:tcBorders>
            <w:shd w:val="clear" w:color="auto" w:fill="auto"/>
            <w:tcMar>
              <w:top w:w="288" w:type="dxa"/>
              <w:bottom w:w="0" w:type="dxa"/>
              <w:right w:w="0" w:type="dxa"/>
            </w:tcMar>
          </w:tcPr>
          <w:p w:rsidR="007C0528" w:rsidRPr="00A2249A" w:rsidRDefault="007C0528">
            <w:pPr>
              <w:pStyle w:val="MemoHeading"/>
              <w:rPr>
                <w:b/>
              </w:rPr>
            </w:pPr>
            <w:r w:rsidRPr="00A2249A">
              <w:rPr>
                <w:b/>
              </w:rPr>
              <w:t>COMMISSIONERS ASSIGNED:</w:t>
            </w:r>
          </w:p>
        </w:tc>
        <w:tc>
          <w:tcPr>
            <w:tcW w:w="5785" w:type="dxa"/>
            <w:tcBorders>
              <w:top w:val="nil"/>
              <w:left w:val="nil"/>
              <w:bottom w:val="nil"/>
              <w:right w:val="nil"/>
            </w:tcBorders>
            <w:shd w:val="clear" w:color="auto" w:fill="auto"/>
          </w:tcPr>
          <w:p w:rsidR="007C0528" w:rsidRPr="00A2249A" w:rsidRDefault="008E433A">
            <w:pPr>
              <w:pStyle w:val="MemoHeading"/>
            </w:pPr>
            <w:bookmarkStart w:id="6" w:name="CommissionersAssigned"/>
            <w:bookmarkEnd w:id="6"/>
            <w:r w:rsidRPr="00A2249A">
              <w:t>All</w:t>
            </w:r>
            <w:r w:rsidR="00550AF3" w:rsidRPr="00A2249A">
              <w:t xml:space="preserve"> Commissioners</w:t>
            </w:r>
          </w:p>
        </w:tc>
      </w:tr>
      <w:tr w:rsidR="00A2249A" w:rsidRPr="00A2249A">
        <w:tc>
          <w:tcPr>
            <w:tcW w:w="3690" w:type="dxa"/>
            <w:gridSpan w:val="3"/>
            <w:tcBorders>
              <w:top w:val="nil"/>
              <w:left w:val="nil"/>
              <w:bottom w:val="nil"/>
              <w:right w:val="nil"/>
            </w:tcBorders>
            <w:shd w:val="clear" w:color="auto" w:fill="auto"/>
            <w:tcMar>
              <w:top w:w="288" w:type="dxa"/>
              <w:bottom w:w="0" w:type="dxa"/>
              <w:right w:w="0" w:type="dxa"/>
            </w:tcMar>
          </w:tcPr>
          <w:p w:rsidR="007C0528" w:rsidRPr="00A2249A" w:rsidRDefault="007C0528">
            <w:pPr>
              <w:pStyle w:val="MemoHeading"/>
              <w:rPr>
                <w:b/>
              </w:rPr>
            </w:pPr>
            <w:r w:rsidRPr="00A2249A">
              <w:rPr>
                <w:b/>
              </w:rPr>
              <w:t>PREHEARING OFFICER:</w:t>
            </w:r>
          </w:p>
        </w:tc>
        <w:tc>
          <w:tcPr>
            <w:tcW w:w="5785" w:type="dxa"/>
            <w:tcBorders>
              <w:top w:val="nil"/>
              <w:left w:val="nil"/>
              <w:bottom w:val="nil"/>
              <w:right w:val="nil"/>
            </w:tcBorders>
            <w:shd w:val="clear" w:color="auto" w:fill="auto"/>
          </w:tcPr>
          <w:p w:rsidR="007C0528" w:rsidRPr="00A2249A" w:rsidRDefault="00975EE8">
            <w:pPr>
              <w:pStyle w:val="MemoHeading"/>
            </w:pPr>
            <w:bookmarkStart w:id="7" w:name="PrehearingOfficer"/>
            <w:r w:rsidRPr="00A2249A">
              <w:t>Administrative</w:t>
            </w:r>
            <w:bookmarkEnd w:id="7"/>
          </w:p>
        </w:tc>
      </w:tr>
      <w:tr w:rsidR="00A2249A" w:rsidRPr="00A2249A"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Pr="00A2249A" w:rsidRDefault="007C0528">
            <w:pPr>
              <w:pStyle w:val="MemoHeading"/>
              <w:rPr>
                <w:b/>
              </w:rPr>
            </w:pPr>
            <w:bookmarkStart w:id="8" w:name="CriticalDatesLabel"/>
            <w:r w:rsidRPr="00A2249A">
              <w:rPr>
                <w:b/>
              </w:rPr>
              <w:t>CRITICAL DATES:</w:t>
            </w:r>
            <w:bookmarkEnd w:id="8"/>
          </w:p>
        </w:tc>
        <w:tc>
          <w:tcPr>
            <w:tcW w:w="5785" w:type="dxa"/>
            <w:tcBorders>
              <w:top w:val="nil"/>
              <w:left w:val="nil"/>
              <w:bottom w:val="nil"/>
              <w:right w:val="nil"/>
            </w:tcBorders>
            <w:shd w:val="clear" w:color="auto" w:fill="auto"/>
          </w:tcPr>
          <w:p w:rsidR="007C0528" w:rsidRPr="00A2249A" w:rsidRDefault="000E14D1" w:rsidP="000E14D1">
            <w:pPr>
              <w:pStyle w:val="MemoHeading"/>
            </w:pPr>
            <w:bookmarkStart w:id="9" w:name="CriticalDates"/>
            <w:r w:rsidRPr="00A2249A">
              <w:t xml:space="preserve">Rule </w:t>
            </w:r>
            <w:r w:rsidR="00F51712" w:rsidRPr="00A2249A">
              <w:t>25-22.082</w:t>
            </w:r>
            <w:r w:rsidRPr="00A2249A">
              <w:t>(12)</w:t>
            </w:r>
            <w:r w:rsidR="00F51712" w:rsidRPr="00A2249A">
              <w:t>,</w:t>
            </w:r>
            <w:r w:rsidRPr="00A2249A">
              <w:t xml:space="preserve"> </w:t>
            </w:r>
            <w:r w:rsidR="00F51712" w:rsidRPr="00A2249A">
              <w:t xml:space="preserve">Florida Administrative Code requires action by </w:t>
            </w:r>
            <w:r w:rsidR="00A87D89" w:rsidRPr="00A2249A">
              <w:t>April 27</w:t>
            </w:r>
            <w:r w:rsidR="00F51712" w:rsidRPr="00A2249A">
              <w:t>, 2015</w:t>
            </w:r>
            <w:bookmarkEnd w:id="9"/>
          </w:p>
        </w:tc>
      </w:tr>
      <w:tr w:rsidR="007C0528" w:rsidRPr="00A2249A"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Pr="00A2249A" w:rsidRDefault="007C0528">
            <w:pPr>
              <w:pStyle w:val="MemoHeading"/>
              <w:rPr>
                <w:b/>
              </w:rPr>
            </w:pPr>
            <w:r w:rsidRPr="00A2249A">
              <w:rPr>
                <w:b/>
              </w:rPr>
              <w:t>SPECIAL INSTRUCTIONS:</w:t>
            </w:r>
          </w:p>
        </w:tc>
        <w:tc>
          <w:tcPr>
            <w:tcW w:w="5785" w:type="dxa"/>
            <w:tcBorders>
              <w:top w:val="nil"/>
              <w:left w:val="nil"/>
              <w:bottom w:val="single" w:sz="24" w:space="0" w:color="auto"/>
              <w:right w:val="nil"/>
            </w:tcBorders>
            <w:shd w:val="clear" w:color="auto" w:fill="auto"/>
            <w:tcMar>
              <w:bottom w:w="216" w:type="dxa"/>
            </w:tcMar>
          </w:tcPr>
          <w:p w:rsidR="007C0528" w:rsidRPr="00A2249A" w:rsidRDefault="003A0C3E">
            <w:pPr>
              <w:pStyle w:val="MemoHeading"/>
            </w:pPr>
            <w:bookmarkStart w:id="10" w:name="SpecialInstructions"/>
            <w:r w:rsidRPr="00A2249A">
              <w:t>None</w:t>
            </w:r>
            <w:bookmarkEnd w:id="10"/>
          </w:p>
        </w:tc>
      </w:tr>
    </w:tbl>
    <w:p w:rsidR="007C0528" w:rsidRPr="00A2249A" w:rsidRDefault="007C0528">
      <w:pPr>
        <w:pStyle w:val="BodyText"/>
      </w:pPr>
    </w:p>
    <w:p w:rsidR="007C0528" w:rsidRPr="00A2249A" w:rsidRDefault="007C0528">
      <w:pPr>
        <w:pStyle w:val="RecommendationMajorSectionHeading"/>
      </w:pPr>
      <w:bookmarkStart w:id="11" w:name="RecToC"/>
      <w:bookmarkEnd w:id="11"/>
      <w:r w:rsidRPr="00A2249A">
        <w:rPr>
          <w:u w:val="none"/>
        </w:rPr>
        <w:t xml:space="preserve"> </w:t>
      </w:r>
      <w:bookmarkStart w:id="12" w:name="CaseBackground"/>
      <w:r w:rsidRPr="00A2249A">
        <w:t>Case Background</w:t>
      </w:r>
      <w:r w:rsidRPr="00A2249A">
        <w:fldChar w:fldCharType="begin"/>
      </w:r>
      <w:r w:rsidRPr="00A2249A">
        <w:instrText xml:space="preserve"> TC  "</w:instrText>
      </w:r>
      <w:r w:rsidRPr="00A2249A">
        <w:tab/>
      </w:r>
      <w:bookmarkStart w:id="13" w:name="_Toc94516455"/>
      <w:r w:rsidRPr="00A2249A">
        <w:instrText>Case Background</w:instrText>
      </w:r>
      <w:bookmarkEnd w:id="13"/>
      <w:r w:rsidRPr="00A2249A">
        <w:instrText xml:space="preserve">" \l 1 </w:instrText>
      </w:r>
      <w:r w:rsidRPr="00A2249A">
        <w:fldChar w:fldCharType="end"/>
      </w:r>
    </w:p>
    <w:p w:rsidR="007D3825" w:rsidRPr="00A2249A" w:rsidRDefault="00694749" w:rsidP="00694749">
      <w:pPr>
        <w:ind w:firstLine="720"/>
        <w:jc w:val="both"/>
      </w:pPr>
      <w:r w:rsidRPr="00A2249A">
        <w:t>On March 26, 2015, p</w:t>
      </w:r>
      <w:r w:rsidR="007D3825" w:rsidRPr="00A2249A">
        <w:t>ursuant to Chapters 120 and 366, Florida Statutes, (F.S.) and Rule 25-22.0</w:t>
      </w:r>
      <w:r w:rsidR="0067627B">
        <w:t>82, Florida Administrative Code</w:t>
      </w:r>
      <w:r w:rsidR="007D3825" w:rsidRPr="00A2249A">
        <w:t xml:space="preserve"> (F.A.C.),  </w:t>
      </w:r>
      <w:proofErr w:type="spellStart"/>
      <w:r w:rsidR="007D3825" w:rsidRPr="00A2249A">
        <w:t>D</w:t>
      </w:r>
      <w:r w:rsidR="0067627B">
        <w:t>eSoto</w:t>
      </w:r>
      <w:proofErr w:type="spellEnd"/>
      <w:r w:rsidR="0067627B">
        <w:t xml:space="preserve"> County Generating Company</w:t>
      </w:r>
      <w:r w:rsidR="007D3825" w:rsidRPr="00A2249A">
        <w:t>, LLC  (</w:t>
      </w:r>
      <w:proofErr w:type="spellStart"/>
      <w:r w:rsidR="007D3825" w:rsidRPr="00A2249A">
        <w:t>DeSoto</w:t>
      </w:r>
      <w:proofErr w:type="spellEnd"/>
      <w:r w:rsidR="007D3825" w:rsidRPr="00A2249A">
        <w:t>)  filed its Objections (Objections) to Florida Power &amp; Light Company’s (FPL</w:t>
      </w:r>
      <w:r w:rsidR="008F7FD0">
        <w:t xml:space="preserve"> or Company</w:t>
      </w:r>
      <w:r w:rsidR="007D3825" w:rsidRPr="00A2249A">
        <w:t>) March 16, 2015</w:t>
      </w:r>
      <w:r w:rsidR="00815845">
        <w:t>,</w:t>
      </w:r>
      <w:r w:rsidR="007D3825" w:rsidRPr="00A2249A">
        <w:t xml:space="preserve"> Request for Proposals to meet Generation Capacity Needs beginning in 2019 (RFP).</w:t>
      </w:r>
      <w:r w:rsidR="007D3825" w:rsidRPr="00A2249A">
        <w:rPr>
          <w:rStyle w:val="FootnoteReference"/>
        </w:rPr>
        <w:footnoteReference w:id="1"/>
      </w:r>
      <w:r w:rsidR="007D3825" w:rsidRPr="00A2249A">
        <w:t xml:space="preserve">  </w:t>
      </w:r>
    </w:p>
    <w:p w:rsidR="007D3825" w:rsidRPr="00A2249A" w:rsidRDefault="007D3825" w:rsidP="007D3825">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sz w:val="20"/>
          <w:szCs w:val="20"/>
        </w:rPr>
      </w:pPr>
    </w:p>
    <w:p w:rsidR="007D3825" w:rsidRPr="00A2249A" w:rsidRDefault="007D3825" w:rsidP="00094433">
      <w:pPr>
        <w:ind w:firstLine="720"/>
        <w:jc w:val="both"/>
      </w:pPr>
      <w:r w:rsidRPr="00A2249A">
        <w:lastRenderedPageBreak/>
        <w:t xml:space="preserve">On March 31, 2015, </w:t>
      </w:r>
      <w:r w:rsidR="003D11AE" w:rsidRPr="00A2249A">
        <w:t xml:space="preserve">pursuant to Section 350.0611, F.S., the Citizens of the State of Florida filed a Notice of Intervention.  On that same day, </w:t>
      </w:r>
      <w:r w:rsidRPr="00A2249A">
        <w:t xml:space="preserve">FPL filed its Response to the Objections (Response). </w:t>
      </w:r>
      <w:r w:rsidR="003D11AE" w:rsidRPr="00A2249A">
        <w:t xml:space="preserve"> </w:t>
      </w:r>
    </w:p>
    <w:p w:rsidR="007D3825" w:rsidRPr="00A2249A" w:rsidRDefault="007D3825" w:rsidP="007D3825"/>
    <w:p w:rsidR="007D3825" w:rsidRPr="00A2249A" w:rsidRDefault="007D3825" w:rsidP="00C94A7B">
      <w:pPr>
        <w:tabs>
          <w:tab w:val="left" w:pos="-720"/>
        </w:tabs>
        <w:ind w:firstLine="720"/>
        <w:jc w:val="both"/>
      </w:pPr>
      <w:r w:rsidRPr="00A2249A">
        <w:t>This case represents just the second time that the objection process set forth in Rule 25-22.082(12), F.A.C., has been employed.</w:t>
      </w:r>
      <w:r w:rsidRPr="00A2249A">
        <w:rPr>
          <w:rStyle w:val="FootnoteReference"/>
        </w:rPr>
        <w:footnoteReference w:id="2"/>
      </w:r>
      <w:r w:rsidRPr="00A2249A">
        <w:t xml:space="preserve">  Pursuant to the rule, the Commission must determine, within 30 days of objections to an RFP being filed, whether the objections as stated would demonstrate that a violation of </w:t>
      </w:r>
      <w:r w:rsidR="00C94A7B">
        <w:t xml:space="preserve">Rule 25-22.082, F.A.C., </w:t>
      </w:r>
      <w:proofErr w:type="gramStart"/>
      <w:r w:rsidR="00C94A7B">
        <w:t>(</w:t>
      </w:r>
      <w:proofErr w:type="gramEnd"/>
      <w:r w:rsidRPr="00A2249A">
        <w:t>Bid Rule</w:t>
      </w:r>
      <w:r w:rsidR="00C94A7B">
        <w:t>)</w:t>
      </w:r>
      <w:r w:rsidRPr="00A2249A">
        <w:t xml:space="preserve"> has occurred.  The rule requires that the Commission</w:t>
      </w:r>
      <w:r w:rsidRPr="00A2249A">
        <w:sym w:font="WP TypographicSymbols" w:char="003D"/>
      </w:r>
      <w:r w:rsidRPr="00A2249A">
        <w:t>s decision be based only on the written submission and oral argument of the objector and the public utility, without discovery or an evidentiary hearing.  Given the expedited and informal nature of this process, the Commission</w:t>
      </w:r>
      <w:r w:rsidRPr="00A2249A">
        <w:sym w:font="WP TypographicSymbols" w:char="003D"/>
      </w:r>
      <w:r w:rsidRPr="00A2249A">
        <w:t xml:space="preserve">s findings concerning the objections are necessarily informal preliminary findings of an advisory nature. This recommendation addresses </w:t>
      </w:r>
      <w:proofErr w:type="spellStart"/>
      <w:r w:rsidRPr="00A2249A">
        <w:t>DeSoto’s</w:t>
      </w:r>
      <w:proofErr w:type="spellEnd"/>
      <w:r w:rsidRPr="00A2249A">
        <w:t xml:space="preserve"> Objections and FPL</w:t>
      </w:r>
      <w:r w:rsidRPr="00A2249A">
        <w:sym w:font="WP TypographicSymbols" w:char="003D"/>
      </w:r>
      <w:r w:rsidRPr="00A2249A">
        <w:t xml:space="preserve">s Response and is based on the written submissions of </w:t>
      </w:r>
      <w:r w:rsidR="00694749" w:rsidRPr="00A2249A">
        <w:t xml:space="preserve">Desoto and </w:t>
      </w:r>
      <w:r w:rsidRPr="00A2249A">
        <w:t xml:space="preserve">FPL.  </w:t>
      </w:r>
    </w:p>
    <w:p w:rsidR="007D3825" w:rsidRPr="00A2249A" w:rsidRDefault="007D3825" w:rsidP="007D3825">
      <w:pPr>
        <w:tabs>
          <w:tab w:val="left" w:pos="-720"/>
        </w:tabs>
        <w:jc w:val="both"/>
      </w:pPr>
    </w:p>
    <w:p w:rsidR="007D3825" w:rsidRPr="00A2249A" w:rsidRDefault="007D3825" w:rsidP="007D3825">
      <w:pPr>
        <w:tabs>
          <w:tab w:val="left" w:pos="-720"/>
        </w:tabs>
        <w:ind w:firstLine="720"/>
        <w:jc w:val="both"/>
      </w:pPr>
      <w:r w:rsidRPr="00A2249A">
        <w:t>The Commission has jurisdiction over this matter pursuant to Section 403.519, F</w:t>
      </w:r>
      <w:r w:rsidR="00A87D89" w:rsidRPr="00A2249A">
        <w:t>.</w:t>
      </w:r>
      <w:r w:rsidRPr="00A2249A">
        <w:t>S</w:t>
      </w:r>
      <w:r w:rsidR="00A87D89" w:rsidRPr="00A2249A">
        <w:t>.</w:t>
      </w:r>
      <w:r w:rsidRPr="00A2249A">
        <w:t>, and the provisions of Chapter 366, F</w:t>
      </w:r>
      <w:r w:rsidR="00A87D89" w:rsidRPr="00A2249A">
        <w:t>.</w:t>
      </w:r>
      <w:r w:rsidRPr="00A2249A">
        <w:t>S</w:t>
      </w:r>
      <w:r w:rsidR="00A87D89" w:rsidRPr="00A2249A">
        <w:t>.</w:t>
      </w:r>
      <w:r w:rsidRPr="00A2249A">
        <w:t>, including Sections 366.04, 366.041, 366.05, 366.051, 366.06, and 366.07.</w:t>
      </w:r>
    </w:p>
    <w:p w:rsidR="007D3825" w:rsidRPr="00A2249A" w:rsidRDefault="007D3825" w:rsidP="007D3825"/>
    <w:p w:rsidR="0068481F" w:rsidRPr="00A2249A" w:rsidRDefault="0068481F">
      <w:pPr>
        <w:pStyle w:val="BodyText"/>
      </w:pPr>
    </w:p>
    <w:p w:rsidR="007C0528" w:rsidRPr="00A2249A" w:rsidRDefault="007C0528" w:rsidP="0068481F"/>
    <w:bookmarkEnd w:id="12"/>
    <w:p w:rsidR="00EA2273" w:rsidRPr="00A2249A" w:rsidRDefault="00EA2273">
      <w:pPr>
        <w:pStyle w:val="RecommendationMajorSectionHeading"/>
        <w:sectPr w:rsidR="00EA2273" w:rsidRPr="00A2249A">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Pr="00A2249A" w:rsidRDefault="007C0528">
      <w:pPr>
        <w:pStyle w:val="RecommendationMajorSectionHeading"/>
      </w:pPr>
      <w:bookmarkStart w:id="16" w:name="DiscussionOfIssues"/>
      <w:r w:rsidRPr="00A2249A">
        <w:lastRenderedPageBreak/>
        <w:t>Discussion of Issues</w:t>
      </w:r>
    </w:p>
    <w:bookmarkEnd w:id="16"/>
    <w:p w:rsidR="003A0C3E" w:rsidRPr="00A2249A" w:rsidRDefault="003A0C3E">
      <w:pPr>
        <w:pStyle w:val="IssueHeading"/>
        <w:rPr>
          <w:vanish/>
          <w:specVanish/>
        </w:rPr>
      </w:pPr>
      <w:r w:rsidRPr="00A2249A">
        <w:rPr>
          <w:b/>
          <w:u w:val="single"/>
        </w:rPr>
        <w:t xml:space="preserve">Issue </w:t>
      </w:r>
      <w:r w:rsidRPr="00A2249A">
        <w:rPr>
          <w:b/>
          <w:u w:val="single"/>
        </w:rPr>
        <w:fldChar w:fldCharType="begin"/>
      </w:r>
      <w:r w:rsidRPr="00A2249A">
        <w:rPr>
          <w:b/>
          <w:u w:val="single"/>
        </w:rPr>
        <w:instrText xml:space="preserve"> SEQ Issue \* MERGEFORMAT </w:instrText>
      </w:r>
      <w:r w:rsidRPr="00A2249A">
        <w:rPr>
          <w:b/>
          <w:u w:val="single"/>
        </w:rPr>
        <w:fldChar w:fldCharType="separate"/>
      </w:r>
      <w:r w:rsidR="00825DFE">
        <w:rPr>
          <w:b/>
          <w:noProof/>
          <w:u w:val="single"/>
        </w:rPr>
        <w:t>1</w:t>
      </w:r>
      <w:r w:rsidRPr="00A2249A">
        <w:rPr>
          <w:b/>
          <w:u w:val="single"/>
        </w:rPr>
        <w:fldChar w:fldCharType="end"/>
      </w:r>
      <w:r w:rsidRPr="00A2249A">
        <w:t>:</w:t>
      </w:r>
      <w:r w:rsidRPr="00A2249A">
        <w:fldChar w:fldCharType="begin"/>
      </w:r>
      <w:r w:rsidRPr="00A2249A">
        <w:instrText xml:space="preserve"> TC "</w:instrText>
      </w:r>
      <w:r w:rsidRPr="00A2249A">
        <w:fldChar w:fldCharType="begin"/>
      </w:r>
      <w:r w:rsidRPr="00A2249A">
        <w:instrText xml:space="preserve"> SEQ issue \c </w:instrText>
      </w:r>
      <w:r w:rsidRPr="00A2249A">
        <w:fldChar w:fldCharType="separate"/>
      </w:r>
      <w:r w:rsidR="00825DFE">
        <w:rPr>
          <w:noProof/>
        </w:rPr>
        <w:instrText>1</w:instrText>
      </w:r>
      <w:r w:rsidRPr="00A2249A">
        <w:fldChar w:fldCharType="end"/>
      </w:r>
      <w:r w:rsidRPr="00A2249A">
        <w:tab/>
        <w:instrText xml:space="preserve">" \l 1 </w:instrText>
      </w:r>
      <w:r w:rsidRPr="00A2249A">
        <w:fldChar w:fldCharType="end"/>
      </w:r>
      <w:r w:rsidRPr="00A2249A">
        <w:t> </w:t>
      </w:r>
    </w:p>
    <w:p w:rsidR="003A0C3E" w:rsidRPr="00A2249A" w:rsidRDefault="003A0C3E">
      <w:pPr>
        <w:pStyle w:val="BodyText"/>
      </w:pPr>
      <w:r w:rsidRPr="00A2249A">
        <w:t> </w:t>
      </w:r>
      <w:r w:rsidR="007D3825" w:rsidRPr="00A2249A">
        <w:t xml:space="preserve">Do </w:t>
      </w:r>
      <w:proofErr w:type="spellStart"/>
      <w:r w:rsidR="007D3825" w:rsidRPr="00A2249A">
        <w:t>DeSoto’s</w:t>
      </w:r>
      <w:proofErr w:type="spellEnd"/>
      <w:r w:rsidR="007D3825" w:rsidRPr="00A2249A">
        <w:t xml:space="preserve"> objections to FPL’s Request for Proposals indicate a violation of any port</w:t>
      </w:r>
      <w:r w:rsidR="00BD6981" w:rsidRPr="00A2249A">
        <w:t>ion of Rule 25-22.082, Florida A</w:t>
      </w:r>
      <w:r w:rsidR="007D3825" w:rsidRPr="00A2249A">
        <w:t>dministrative Code?</w:t>
      </w:r>
    </w:p>
    <w:p w:rsidR="003A0C3E" w:rsidRPr="00A2249A" w:rsidRDefault="003A0C3E">
      <w:pPr>
        <w:pStyle w:val="IssueSubsectionHeading"/>
        <w:rPr>
          <w:vanish/>
          <w:specVanish/>
        </w:rPr>
      </w:pPr>
      <w:r w:rsidRPr="00A2249A">
        <w:rPr>
          <w:b/>
          <w:u w:val="single"/>
        </w:rPr>
        <w:t>Recommendation</w:t>
      </w:r>
      <w:r w:rsidRPr="00A2249A">
        <w:t>: </w:t>
      </w:r>
    </w:p>
    <w:p w:rsidR="003A0C3E" w:rsidRPr="00A2249A" w:rsidRDefault="003A0C3E">
      <w:pPr>
        <w:pStyle w:val="BodyText"/>
      </w:pPr>
      <w:r w:rsidRPr="00A2249A">
        <w:t> </w:t>
      </w:r>
      <w:r w:rsidR="00311D0F" w:rsidRPr="00A2249A">
        <w:t>No.  Desoto’s objections to FPL’s Request for Proposals do not indicate a</w:t>
      </w:r>
      <w:r w:rsidR="000E14D1" w:rsidRPr="00A2249A">
        <w:t>ny terms which are unfair, unduly discriminatory, onerous, or commercially infeasible pursuant to Rule 25-22.082(5),</w:t>
      </w:r>
      <w:r w:rsidR="00311D0F" w:rsidRPr="00A2249A">
        <w:t xml:space="preserve"> F.A.C. </w:t>
      </w:r>
      <w:r w:rsidRPr="00A2249A">
        <w:t xml:space="preserve"> </w:t>
      </w:r>
      <w:r w:rsidR="000E14D1" w:rsidRPr="00A2249A">
        <w:t>(Graves, Vickery, Murphy)</w:t>
      </w:r>
    </w:p>
    <w:p w:rsidR="003A0C3E" w:rsidRPr="00A2249A" w:rsidRDefault="003A0C3E" w:rsidP="009E2B32">
      <w:pPr>
        <w:pStyle w:val="IssueSubsectionHeading"/>
        <w:rPr>
          <w:vanish/>
          <w:specVanish/>
        </w:rPr>
      </w:pPr>
      <w:r w:rsidRPr="00A2249A">
        <w:rPr>
          <w:b/>
          <w:u w:val="single"/>
        </w:rPr>
        <w:t>Staff Analysis</w:t>
      </w:r>
      <w:r w:rsidRPr="00A2249A">
        <w:t>: </w:t>
      </w:r>
    </w:p>
    <w:p w:rsidR="00214B7C" w:rsidRPr="00A2249A" w:rsidRDefault="009E2B32" w:rsidP="00BD6981">
      <w:pPr>
        <w:pStyle w:val="IssueSubsectionHeading"/>
      </w:pPr>
      <w:r w:rsidRPr="00A2249A">
        <w:t xml:space="preserve"> Desoto asserts that it is a customer of FPL and the owner and operator of the </w:t>
      </w:r>
      <w:proofErr w:type="spellStart"/>
      <w:r w:rsidRPr="00A2249A">
        <w:t>DeSoto</w:t>
      </w:r>
      <w:proofErr w:type="spellEnd"/>
      <w:r w:rsidRPr="00A2249A">
        <w:t xml:space="preserve"> Generating Facility, which is a natural </w:t>
      </w:r>
      <w:proofErr w:type="gramStart"/>
      <w:r w:rsidRPr="00A2249A">
        <w:t>gas</w:t>
      </w:r>
      <w:proofErr w:type="gramEnd"/>
      <w:r w:rsidRPr="00A2249A">
        <w:t xml:space="preserve"> fired electrical power plant and a potential participant in FPL’s RFP process.</w:t>
      </w:r>
      <w:r w:rsidR="000965DB" w:rsidRPr="00A2249A">
        <w:t xml:space="preserve"> </w:t>
      </w:r>
      <w:r w:rsidRPr="00A2249A">
        <w:t xml:space="preserve"> Desoto </w:t>
      </w:r>
      <w:r w:rsidR="00BD6981" w:rsidRPr="00A2249A">
        <w:t>claims</w:t>
      </w:r>
      <w:r w:rsidRPr="00A2249A">
        <w:t xml:space="preserve"> that its substantial interests are directly affected by the terms and conditions of the RFP which are unfair, unduly discriminatory, unreasonable, and contrary to the public interest and the best interests of FPL’s retail customers.  As a customer, </w:t>
      </w:r>
      <w:proofErr w:type="spellStart"/>
      <w:r w:rsidRPr="00A2249A">
        <w:t>DeSoto</w:t>
      </w:r>
      <w:proofErr w:type="spellEnd"/>
      <w:r w:rsidRPr="00A2249A">
        <w:t xml:space="preserve"> asserts that it has a substantial interest in having FPL make the best, most cost-effective decision regarding additional generation. </w:t>
      </w:r>
      <w:r w:rsidR="00607D82" w:rsidRPr="00A2249A">
        <w:t xml:space="preserve"> </w:t>
      </w:r>
      <w:r w:rsidR="00214B7C" w:rsidRPr="00A2249A">
        <w:t xml:space="preserve">Desoto </w:t>
      </w:r>
      <w:r w:rsidR="00BD6981" w:rsidRPr="00A2249A">
        <w:t xml:space="preserve">also </w:t>
      </w:r>
      <w:r w:rsidR="00F3707C" w:rsidRPr="00A2249A">
        <w:t>a</w:t>
      </w:r>
      <w:r w:rsidR="00214B7C" w:rsidRPr="00A2249A">
        <w:t>sserts that its substantial interests are of sufficient immediacy to entitle it to initiate this proceeding and that it will suffer a sufficient immediate injury in fact that is of the type that this p</w:t>
      </w:r>
      <w:r w:rsidR="00FF47EE" w:rsidRPr="00A2249A">
        <w:t>r</w:t>
      </w:r>
      <w:r w:rsidR="00214B7C" w:rsidRPr="00A2249A">
        <w:t xml:space="preserve">oceeding is designed to protect. </w:t>
      </w:r>
    </w:p>
    <w:p w:rsidR="00214B7C" w:rsidRPr="00A2249A" w:rsidRDefault="00214B7C" w:rsidP="00214B7C">
      <w:pPr>
        <w:widowControl w:val="0"/>
        <w:tabs>
          <w:tab w:val="left" w:pos="360"/>
          <w:tab w:val="left" w:pos="360"/>
          <w:tab w:val="left" w:pos="360"/>
          <w:tab w:val="left" w:pos="360"/>
        </w:tabs>
        <w:overflowPunct w:val="0"/>
        <w:autoSpaceDE w:val="0"/>
        <w:autoSpaceDN w:val="0"/>
        <w:adjustRightInd w:val="0"/>
        <w:spacing w:line="260" w:lineRule="atLeast"/>
        <w:jc w:val="both"/>
        <w:textAlignment w:val="baseline"/>
      </w:pPr>
      <w:r w:rsidRPr="00A2249A">
        <w:tab/>
      </w:r>
      <w:r w:rsidR="00BB6B07" w:rsidRPr="00A2249A">
        <w:tab/>
      </w:r>
      <w:proofErr w:type="spellStart"/>
      <w:r w:rsidR="00607D82" w:rsidRPr="00A2249A">
        <w:t>DeSoto</w:t>
      </w:r>
      <w:r w:rsidR="000E14D1" w:rsidRPr="00A2249A">
        <w:t>’s</w:t>
      </w:r>
      <w:proofErr w:type="spellEnd"/>
      <w:r w:rsidR="00607D82" w:rsidRPr="00A2249A">
        <w:t xml:space="preserve"> </w:t>
      </w:r>
      <w:r w:rsidRPr="00A2249A">
        <w:t>objections are governed by Rule 25-22.082(12), F.A.C., which provides</w:t>
      </w:r>
      <w:r w:rsidR="008B21D6" w:rsidRPr="00A2249A">
        <w:t>:</w:t>
      </w:r>
    </w:p>
    <w:p w:rsidR="00214B7C" w:rsidRPr="00A2249A" w:rsidRDefault="00214B7C" w:rsidP="00214B7C">
      <w:pPr>
        <w:widowControl w:val="0"/>
        <w:tabs>
          <w:tab w:val="left" w:pos="360"/>
          <w:tab w:val="left" w:pos="360"/>
          <w:tab w:val="left" w:pos="360"/>
          <w:tab w:val="left" w:pos="360"/>
        </w:tabs>
        <w:overflowPunct w:val="0"/>
        <w:autoSpaceDE w:val="0"/>
        <w:autoSpaceDN w:val="0"/>
        <w:adjustRightInd w:val="0"/>
        <w:spacing w:line="260" w:lineRule="atLeast"/>
        <w:jc w:val="both"/>
        <w:textAlignment w:val="baseline"/>
        <w:rPr>
          <w:noProof/>
          <w:sz w:val="20"/>
          <w:szCs w:val="20"/>
        </w:rPr>
      </w:pPr>
      <w:r w:rsidRPr="00A2249A">
        <w:t xml:space="preserve"> </w:t>
      </w:r>
    </w:p>
    <w:p w:rsidR="00214B7C" w:rsidRPr="00A2249A" w:rsidRDefault="00214B7C" w:rsidP="00214B7C">
      <w:pPr>
        <w:widowControl w:val="0"/>
        <w:tabs>
          <w:tab w:val="left" w:pos="360"/>
          <w:tab w:val="left" w:pos="360"/>
          <w:tab w:val="left" w:pos="360"/>
          <w:tab w:val="left" w:pos="360"/>
        </w:tabs>
        <w:overflowPunct w:val="0"/>
        <w:autoSpaceDE w:val="0"/>
        <w:autoSpaceDN w:val="0"/>
        <w:adjustRightInd w:val="0"/>
        <w:spacing w:line="260" w:lineRule="atLeast"/>
        <w:ind w:left="900" w:right="1170"/>
        <w:jc w:val="both"/>
        <w:textAlignment w:val="baseline"/>
        <w:rPr>
          <w:noProof/>
        </w:rPr>
      </w:pPr>
      <w:r w:rsidRPr="00A2249A">
        <w:rPr>
          <w:noProof/>
        </w:rPr>
        <w:t>A potential participant may file with the Commission objections to the RFP limited to specific allegations of violations of this rule within 10 days of the issuance of the RFP. The public utility may file a written response within 5 days. Within 30 days from the date of the objection, the Commission panel assigned shall determine whether the objection as stated would demonstrate that a rule violation has occurred, based on the written submission and oral argument by the objector and the public utility, without discovery or an evidentiary hearing. The RFP process will not be abated pending the resolution of such objections.</w:t>
      </w:r>
    </w:p>
    <w:p w:rsidR="009E2B32" w:rsidRPr="00A2249A" w:rsidRDefault="009E2B32" w:rsidP="009E2B32">
      <w:pPr>
        <w:ind w:firstLine="360"/>
        <w:jc w:val="both"/>
      </w:pPr>
    </w:p>
    <w:p w:rsidR="00B2067D" w:rsidRPr="00A2249A" w:rsidRDefault="00FF47EE" w:rsidP="00B2067D">
      <w:pPr>
        <w:widowControl w:val="0"/>
        <w:tabs>
          <w:tab w:val="left" w:pos="360"/>
          <w:tab w:val="left" w:pos="360"/>
          <w:tab w:val="left" w:pos="360"/>
          <w:tab w:val="left" w:pos="360"/>
        </w:tabs>
        <w:overflowPunct w:val="0"/>
        <w:autoSpaceDE w:val="0"/>
        <w:autoSpaceDN w:val="0"/>
        <w:adjustRightInd w:val="0"/>
        <w:spacing w:line="260" w:lineRule="atLeast"/>
        <w:jc w:val="both"/>
        <w:textAlignment w:val="baseline"/>
        <w:rPr>
          <w:noProof/>
        </w:rPr>
      </w:pPr>
      <w:r w:rsidRPr="00A2249A">
        <w:tab/>
      </w:r>
      <w:r w:rsidR="00BB6B07" w:rsidRPr="00A2249A">
        <w:tab/>
      </w:r>
      <w:r w:rsidR="00B2067D" w:rsidRPr="00A2249A">
        <w:t xml:space="preserve">To support its case, </w:t>
      </w:r>
      <w:r w:rsidR="00214B7C" w:rsidRPr="00A2249A">
        <w:t xml:space="preserve">Desoto </w:t>
      </w:r>
      <w:r w:rsidR="00B2067D" w:rsidRPr="00A2249A">
        <w:t xml:space="preserve">relies on </w:t>
      </w:r>
      <w:r w:rsidR="00214B7C" w:rsidRPr="00A2249A">
        <w:t xml:space="preserve">Rule 25-22.082(5), F.A.C., </w:t>
      </w:r>
      <w:r w:rsidR="0067627B">
        <w:t>which, in part, provides that</w:t>
      </w:r>
      <w:r w:rsidR="00B2067D" w:rsidRPr="00A2249A">
        <w:t xml:space="preserve"> “[n]</w:t>
      </w:r>
      <w:r w:rsidR="00B2067D" w:rsidRPr="00A2249A">
        <w:rPr>
          <w:noProof/>
        </w:rPr>
        <w:t>o term of the RFP shall be unfair, unduly discriminatory, onerous, o</w:t>
      </w:r>
      <w:r w:rsidR="0067627B">
        <w:rPr>
          <w:noProof/>
        </w:rPr>
        <w:t xml:space="preserve">r commercially infeasible” and </w:t>
      </w:r>
      <w:r w:rsidR="00B2067D" w:rsidRPr="00A2249A">
        <w:rPr>
          <w:noProof/>
        </w:rPr>
        <w:t>sets forth a list of minimum requirements for an RFP.  DeSoto also relies upon Rule 25-22.082(10), F.A.C., which provides that</w:t>
      </w:r>
      <w:r w:rsidR="00A84B30" w:rsidRPr="00A2249A">
        <w:rPr>
          <w:noProof/>
        </w:rPr>
        <w:t xml:space="preserve"> </w:t>
      </w:r>
      <w:r w:rsidR="00B2067D" w:rsidRPr="00A2249A">
        <w:rPr>
          <w:noProof/>
        </w:rPr>
        <w:t xml:space="preserve">“[t]he public utility shall allow participants to formulate creative responses to the RFP, such as responses which employ innovative or inventive technologies or processes. The public utility shall evaluate all proposals.” </w:t>
      </w:r>
    </w:p>
    <w:p w:rsidR="00B2067D" w:rsidRPr="00A2249A" w:rsidRDefault="00B2067D" w:rsidP="00B2067D">
      <w:pPr>
        <w:widowControl w:val="0"/>
        <w:tabs>
          <w:tab w:val="left" w:pos="360"/>
          <w:tab w:val="left" w:pos="360"/>
          <w:tab w:val="left" w:pos="360"/>
          <w:tab w:val="left" w:pos="360"/>
        </w:tabs>
        <w:overflowPunct w:val="0"/>
        <w:autoSpaceDE w:val="0"/>
        <w:autoSpaceDN w:val="0"/>
        <w:adjustRightInd w:val="0"/>
        <w:spacing w:line="260" w:lineRule="atLeast"/>
        <w:jc w:val="both"/>
        <w:textAlignment w:val="baseline"/>
        <w:rPr>
          <w:noProof/>
        </w:rPr>
      </w:pPr>
    </w:p>
    <w:p w:rsidR="00B2067D" w:rsidRPr="00A2249A" w:rsidRDefault="00B2067D" w:rsidP="00B2067D">
      <w:pPr>
        <w:widowControl w:val="0"/>
        <w:tabs>
          <w:tab w:val="left" w:pos="360"/>
          <w:tab w:val="left" w:pos="360"/>
          <w:tab w:val="left" w:pos="360"/>
          <w:tab w:val="left" w:pos="360"/>
        </w:tabs>
        <w:overflowPunct w:val="0"/>
        <w:autoSpaceDE w:val="0"/>
        <w:autoSpaceDN w:val="0"/>
        <w:adjustRightInd w:val="0"/>
        <w:spacing w:line="260" w:lineRule="atLeast"/>
        <w:jc w:val="both"/>
        <w:textAlignment w:val="baseline"/>
        <w:rPr>
          <w:noProof/>
        </w:rPr>
      </w:pPr>
      <w:r w:rsidRPr="00A2249A">
        <w:rPr>
          <w:noProof/>
        </w:rPr>
        <w:tab/>
      </w:r>
      <w:r w:rsidR="00BB6B07" w:rsidRPr="00A2249A">
        <w:rPr>
          <w:noProof/>
        </w:rPr>
        <w:tab/>
      </w:r>
      <w:r w:rsidRPr="00A2249A">
        <w:rPr>
          <w:noProof/>
        </w:rPr>
        <w:t xml:space="preserve">DeSoto asserts that it is entitled to relief pursuant to </w:t>
      </w:r>
      <w:r w:rsidR="00266EBD" w:rsidRPr="00A2249A">
        <w:rPr>
          <w:noProof/>
        </w:rPr>
        <w:t xml:space="preserve">the following: </w:t>
      </w:r>
      <w:r w:rsidRPr="00A2249A">
        <w:rPr>
          <w:noProof/>
        </w:rPr>
        <w:t>Section 366.04(5), F.S.</w:t>
      </w:r>
      <w:r w:rsidR="00266EBD" w:rsidRPr="00A2249A">
        <w:rPr>
          <w:noProof/>
        </w:rPr>
        <w:t xml:space="preserve"> (requiring </w:t>
      </w:r>
      <w:r w:rsidRPr="00A2249A">
        <w:rPr>
          <w:noProof/>
        </w:rPr>
        <w:t>the Commission to avoid uneconomic duplication of generating facilities</w:t>
      </w:r>
      <w:r w:rsidR="00266EBD" w:rsidRPr="00A2249A">
        <w:rPr>
          <w:noProof/>
        </w:rPr>
        <w:t xml:space="preserve">); </w:t>
      </w:r>
      <w:r w:rsidRPr="00A2249A">
        <w:rPr>
          <w:noProof/>
        </w:rPr>
        <w:t xml:space="preserve">Section 403.519, F.S. </w:t>
      </w:r>
      <w:r w:rsidR="00266EBD" w:rsidRPr="00A2249A">
        <w:rPr>
          <w:noProof/>
        </w:rPr>
        <w:t>(</w:t>
      </w:r>
      <w:r w:rsidRPr="00A2249A">
        <w:rPr>
          <w:noProof/>
        </w:rPr>
        <w:t>requiring the Commission to determine whether the utility’s proposed generating resource represents the most cost effective alternative available to meet the needs of the utility and its customers</w:t>
      </w:r>
      <w:r w:rsidR="00266EBD" w:rsidRPr="00A2249A">
        <w:rPr>
          <w:noProof/>
        </w:rPr>
        <w:t xml:space="preserve">); and, </w:t>
      </w:r>
      <w:r w:rsidRPr="00A2249A">
        <w:rPr>
          <w:noProof/>
        </w:rPr>
        <w:t>Rule</w:t>
      </w:r>
      <w:r w:rsidR="00266EBD" w:rsidRPr="00A2249A">
        <w:rPr>
          <w:noProof/>
        </w:rPr>
        <w:t>s</w:t>
      </w:r>
      <w:r w:rsidRPr="00A2249A">
        <w:rPr>
          <w:noProof/>
        </w:rPr>
        <w:t xml:space="preserve"> 25-22.082(5)</w:t>
      </w:r>
      <w:r w:rsidR="00442A8B" w:rsidRPr="00A2249A">
        <w:rPr>
          <w:noProof/>
        </w:rPr>
        <w:t xml:space="preserve"> (r</w:t>
      </w:r>
      <w:r w:rsidR="00266EBD" w:rsidRPr="00A2249A">
        <w:rPr>
          <w:noProof/>
        </w:rPr>
        <w:t xml:space="preserve">equiring that an RFP be fair); 25-22.082 </w:t>
      </w:r>
      <w:r w:rsidRPr="00A2249A">
        <w:rPr>
          <w:noProof/>
        </w:rPr>
        <w:t>(10)</w:t>
      </w:r>
      <w:r w:rsidR="00266EBD" w:rsidRPr="00A2249A">
        <w:rPr>
          <w:noProof/>
        </w:rPr>
        <w:t xml:space="preserve"> (requiring that an RFP allow creative responses); and 25-22.082</w:t>
      </w:r>
      <w:r w:rsidRPr="00A2249A">
        <w:rPr>
          <w:noProof/>
        </w:rPr>
        <w:t>(12)</w:t>
      </w:r>
      <w:r w:rsidR="00B95E63" w:rsidRPr="00A2249A">
        <w:rPr>
          <w:noProof/>
        </w:rPr>
        <w:t xml:space="preserve"> </w:t>
      </w:r>
      <w:r w:rsidR="00266EBD" w:rsidRPr="00A2249A">
        <w:rPr>
          <w:noProof/>
        </w:rPr>
        <w:t>(providing  a potential participant with an opportunity to s</w:t>
      </w:r>
      <w:r w:rsidR="00442A8B" w:rsidRPr="00A2249A">
        <w:rPr>
          <w:noProof/>
        </w:rPr>
        <w:t xml:space="preserve">eek a Commission determination </w:t>
      </w:r>
      <w:r w:rsidR="00266EBD" w:rsidRPr="00A2249A">
        <w:rPr>
          <w:noProof/>
        </w:rPr>
        <w:t>regarding the terms of an RFP</w:t>
      </w:r>
      <w:r w:rsidR="00B95E63" w:rsidRPr="00A2249A">
        <w:rPr>
          <w:noProof/>
        </w:rPr>
        <w:t>).</w:t>
      </w:r>
      <w:r w:rsidRPr="00A2249A">
        <w:rPr>
          <w:noProof/>
        </w:rPr>
        <w:t xml:space="preserve">  </w:t>
      </w:r>
      <w:r w:rsidR="00946880" w:rsidRPr="00A2249A">
        <w:rPr>
          <w:noProof/>
        </w:rPr>
        <w:t>Desoto asks that the Commis</w:t>
      </w:r>
      <w:r w:rsidR="00442A8B" w:rsidRPr="00A2249A">
        <w:rPr>
          <w:noProof/>
        </w:rPr>
        <w:t xml:space="preserve">sion take jurisdiction over its </w:t>
      </w:r>
      <w:r w:rsidR="00946880" w:rsidRPr="00A2249A">
        <w:rPr>
          <w:noProof/>
        </w:rPr>
        <w:t xml:space="preserve">Objections, conduct oral argument, direct FPL to modify its RFP processes to fairly address DeSoto’s Objections, and </w:t>
      </w:r>
      <w:r w:rsidR="00946880" w:rsidRPr="00A2249A">
        <w:rPr>
          <w:noProof/>
        </w:rPr>
        <w:lastRenderedPageBreak/>
        <w:t xml:space="preserve">take other relief the Commission “deems appropriate to protect the interests of DeSoto and all potential participants in the RFP and to protect the public interest.” </w:t>
      </w:r>
    </w:p>
    <w:p w:rsidR="00B2067D" w:rsidRPr="00A2249A" w:rsidRDefault="00B2067D" w:rsidP="00B2067D">
      <w:pPr>
        <w:rPr>
          <w:noProof/>
        </w:rPr>
      </w:pPr>
    </w:p>
    <w:p w:rsidR="00607D82" w:rsidRPr="00A2249A" w:rsidRDefault="009E2B32" w:rsidP="00BB6B07">
      <w:pPr>
        <w:ind w:firstLine="720"/>
        <w:jc w:val="both"/>
      </w:pPr>
      <w:r w:rsidRPr="00A2249A">
        <w:t xml:space="preserve">FPL asserts that the </w:t>
      </w:r>
      <w:proofErr w:type="spellStart"/>
      <w:r w:rsidRPr="00A2249A">
        <w:t>DeSoto</w:t>
      </w:r>
      <w:proofErr w:type="spellEnd"/>
      <w:r w:rsidRPr="00A2249A">
        <w:t xml:space="preserve"> </w:t>
      </w:r>
      <w:r w:rsidR="008F7FD0">
        <w:t>O</w:t>
      </w:r>
      <w:r w:rsidRPr="00A2249A">
        <w:t>bjections cont</w:t>
      </w:r>
      <w:r w:rsidR="00550AF3" w:rsidRPr="00A2249A">
        <w:t xml:space="preserve">ain many unsupported assertions </w:t>
      </w:r>
      <w:r w:rsidRPr="00A2249A">
        <w:t>and the objections request more relief than is provided for in the objection process.</w:t>
      </w:r>
      <w:r w:rsidR="00A04E9C" w:rsidRPr="00A2249A">
        <w:t xml:space="preserve"> </w:t>
      </w:r>
      <w:r w:rsidRPr="00A2249A">
        <w:t xml:space="preserve"> FPL urges the Commission to recognize that it is not making a decision that determines parties’ substantial interests pursuant to Sections 120.569, 120.57(1), or 120.57(2), F.S.  </w:t>
      </w:r>
      <w:r w:rsidR="00A2249A">
        <w:t xml:space="preserve">FPL </w:t>
      </w:r>
      <w:r w:rsidR="008F7FD0">
        <w:t>argue</w:t>
      </w:r>
      <w:r w:rsidR="00A2249A">
        <w:t>s</w:t>
      </w:r>
      <w:r w:rsidR="008F7FD0">
        <w:t xml:space="preserve"> that</w:t>
      </w:r>
      <w:r w:rsidRPr="00A2249A">
        <w:t xml:space="preserve"> the Commission is simply offering guidance on the compliance of terms of the RFP with the Bid Rule and is not authorized under the Bid Rule to grant any other relief. </w:t>
      </w:r>
      <w:r w:rsidR="000F6987" w:rsidRPr="00A2249A">
        <w:t xml:space="preserve"> </w:t>
      </w:r>
      <w:r w:rsidRPr="00A2249A">
        <w:t>FPL asserts that the only issue for resolution is whether the RFP violates the Bid Rule</w:t>
      </w:r>
      <w:r w:rsidR="00550AF3" w:rsidRPr="00A2249A">
        <w:t xml:space="preserve"> which</w:t>
      </w:r>
      <w:r w:rsidRPr="00A2249A">
        <w:t xml:space="preserve"> was designed to protect the </w:t>
      </w:r>
      <w:r w:rsidR="00A04E9C" w:rsidRPr="00A2249A">
        <w:t>U</w:t>
      </w:r>
      <w:r w:rsidRPr="00A2249A">
        <w:t>tility’s customers and</w:t>
      </w:r>
      <w:r w:rsidR="008F7FD0">
        <w:t xml:space="preserve"> is</w:t>
      </w:r>
      <w:r w:rsidRPr="00A2249A">
        <w:t xml:space="preserve"> not intended “to protect or promote the competitive interests of those who wish to sell power or generating facilities to a public utility.”  FPL argues that the obj</w:t>
      </w:r>
      <w:r w:rsidR="00BB6B07" w:rsidRPr="00A2249A">
        <w:t>e</w:t>
      </w:r>
      <w:r w:rsidRPr="00A2249A">
        <w:t xml:space="preserve">ctions raised by </w:t>
      </w:r>
      <w:proofErr w:type="spellStart"/>
      <w:r w:rsidRPr="00A2249A">
        <w:t>DeSoto</w:t>
      </w:r>
      <w:proofErr w:type="spellEnd"/>
      <w:r w:rsidRPr="00A2249A">
        <w:t xml:space="preserve"> are a </w:t>
      </w:r>
      <w:r w:rsidR="00607D82" w:rsidRPr="00A2249A">
        <w:t xml:space="preserve">distortion of the intent of the Bid Rule which is found at Rule 25-22.082(1), F.A.C., and provides the following: </w:t>
      </w:r>
    </w:p>
    <w:p w:rsidR="00607D82" w:rsidRPr="00A2249A" w:rsidRDefault="00607D82" w:rsidP="009E2B32">
      <w:pPr>
        <w:ind w:firstLine="360"/>
        <w:jc w:val="both"/>
      </w:pPr>
    </w:p>
    <w:p w:rsidR="00607D82" w:rsidRPr="00A2249A" w:rsidRDefault="00607D82" w:rsidP="00607D82">
      <w:pPr>
        <w:keepNext/>
        <w:widowControl w:val="0"/>
        <w:tabs>
          <w:tab w:val="left" w:pos="360"/>
          <w:tab w:val="left" w:pos="360"/>
          <w:tab w:val="left" w:pos="360"/>
          <w:tab w:val="left" w:pos="360"/>
        </w:tabs>
        <w:overflowPunct w:val="0"/>
        <w:autoSpaceDE w:val="0"/>
        <w:autoSpaceDN w:val="0"/>
        <w:adjustRightInd w:val="0"/>
        <w:spacing w:line="260" w:lineRule="atLeast"/>
        <w:ind w:left="720" w:right="720"/>
        <w:jc w:val="both"/>
        <w:textAlignment w:val="baseline"/>
        <w:rPr>
          <w:noProof/>
        </w:rPr>
      </w:pPr>
      <w:r w:rsidRPr="00A2249A">
        <w:rPr>
          <w:noProof/>
        </w:rPr>
        <w:t>The intent of this rule is to provide the Commission information to evaluate a public utility’s decision regarding the addition of generating capacity pursuant to Section 403.519, F.S. The use of a Request for Proposals (RFP) process is an appropriate means to ensure that a public utility’s selection of a proposed generation addition is the most cost-effective alternative available.</w:t>
      </w:r>
    </w:p>
    <w:p w:rsidR="00607D82" w:rsidRPr="00A2249A" w:rsidRDefault="00607D82" w:rsidP="009E2B32">
      <w:pPr>
        <w:ind w:firstLine="360"/>
        <w:jc w:val="both"/>
      </w:pPr>
    </w:p>
    <w:p w:rsidR="003D204F" w:rsidRPr="00A2249A" w:rsidRDefault="00607D82" w:rsidP="00BB6B07">
      <w:pPr>
        <w:ind w:firstLine="720"/>
        <w:jc w:val="both"/>
      </w:pPr>
      <w:r w:rsidRPr="00A2249A">
        <w:t>FPL notes that there are currently 40 registrants to the RFP</w:t>
      </w:r>
      <w:r w:rsidR="00A2249A">
        <w:t>.  FPL</w:t>
      </w:r>
      <w:r w:rsidRPr="00A2249A">
        <w:t xml:space="preserve"> </w:t>
      </w:r>
      <w:r w:rsidR="007A2099" w:rsidRPr="00A2249A">
        <w:t>asserts</w:t>
      </w:r>
      <w:r w:rsidRPr="00A2249A">
        <w:t xml:space="preserve"> that </w:t>
      </w:r>
      <w:proofErr w:type="spellStart"/>
      <w:r w:rsidRPr="00A2249A">
        <w:t>DeSoto</w:t>
      </w:r>
      <w:proofErr w:type="spellEnd"/>
      <w:r w:rsidRPr="00A2249A">
        <w:t xml:space="preserve"> is asking the Commission to interpret the RFP to protect </w:t>
      </w:r>
      <w:proofErr w:type="spellStart"/>
      <w:r w:rsidRPr="00A2249A">
        <w:t>DeSoto’s</w:t>
      </w:r>
      <w:proofErr w:type="spellEnd"/>
      <w:r w:rsidRPr="00A2249A">
        <w:t xml:space="preserve"> interests rather than the interests of FPL’s customers. </w:t>
      </w:r>
      <w:r w:rsidR="003174BC" w:rsidRPr="00A2249A">
        <w:t xml:space="preserve"> </w:t>
      </w:r>
      <w:r w:rsidR="003D204F" w:rsidRPr="00A2249A">
        <w:t>FPL concludes</w:t>
      </w:r>
      <w:r w:rsidR="009C4267" w:rsidRPr="00A2249A">
        <w:t xml:space="preserve"> </w:t>
      </w:r>
      <w:r w:rsidR="003D204F" w:rsidRPr="00A2249A">
        <w:t xml:space="preserve">that </w:t>
      </w:r>
      <w:proofErr w:type="spellStart"/>
      <w:r w:rsidR="003D204F" w:rsidRPr="00A2249A">
        <w:t>DeSoto’s</w:t>
      </w:r>
      <w:proofErr w:type="spellEnd"/>
      <w:r w:rsidR="003D204F" w:rsidRPr="00A2249A">
        <w:t xml:space="preserve"> Objections lack any merit, that there is no basis, factual or legal, to provide any of</w:t>
      </w:r>
      <w:r w:rsidR="00A2249A">
        <w:t xml:space="preserve"> the relief requested by </w:t>
      </w:r>
      <w:proofErr w:type="spellStart"/>
      <w:r w:rsidR="00A2249A">
        <w:t>DeSoto</w:t>
      </w:r>
      <w:proofErr w:type="spellEnd"/>
      <w:r w:rsidR="00A2249A">
        <w:t>.  According to FPL,</w:t>
      </w:r>
      <w:r w:rsidR="003D204F" w:rsidRPr="00A2249A">
        <w:t xml:space="preserve"> the RFP complies with the Commission’s Bid Rule </w:t>
      </w:r>
      <w:r w:rsidR="00F3707C" w:rsidRPr="00A2249A">
        <w:t xml:space="preserve">and </w:t>
      </w:r>
      <w:r w:rsidR="003D204F" w:rsidRPr="00A2249A">
        <w:t>goes beyond the requirements of the Bid Rule to the benefit of potential proposers.</w:t>
      </w:r>
      <w:r w:rsidR="000D39DC" w:rsidRPr="00A2249A">
        <w:t xml:space="preserve"> </w:t>
      </w:r>
      <w:r w:rsidR="003D204F" w:rsidRPr="00A2249A">
        <w:t xml:space="preserve"> FPL asserts that the Commission should reject all of </w:t>
      </w:r>
      <w:proofErr w:type="spellStart"/>
      <w:r w:rsidR="003D204F" w:rsidRPr="00A2249A">
        <w:t>DeSoto’s</w:t>
      </w:r>
      <w:proofErr w:type="spellEnd"/>
      <w:r w:rsidR="003D204F" w:rsidRPr="00A2249A">
        <w:t xml:space="preserve"> Objections. </w:t>
      </w:r>
    </w:p>
    <w:p w:rsidR="009E2B32" w:rsidRPr="00A2249A" w:rsidRDefault="00607D82" w:rsidP="00550AF3">
      <w:pPr>
        <w:ind w:firstLine="360"/>
        <w:jc w:val="both"/>
      </w:pPr>
      <w:r w:rsidRPr="00A2249A">
        <w:t xml:space="preserve"> </w:t>
      </w:r>
    </w:p>
    <w:p w:rsidR="00A24A2B" w:rsidRPr="00A2249A" w:rsidRDefault="002A1134" w:rsidP="008F7FD0">
      <w:pPr>
        <w:ind w:firstLine="720"/>
        <w:jc w:val="both"/>
        <w:rPr>
          <w:noProof/>
        </w:rPr>
      </w:pPr>
      <w:r w:rsidRPr="00A2249A">
        <w:rPr>
          <w:noProof/>
        </w:rPr>
        <w:t xml:space="preserve">After consideration of DeSoto’s </w:t>
      </w:r>
      <w:r w:rsidR="00707020" w:rsidRPr="00A2249A">
        <w:rPr>
          <w:noProof/>
        </w:rPr>
        <w:t>written Objections and FPL’s Response, staff does not believe that a violation of Rule 25-22.082, F.A.C.</w:t>
      </w:r>
      <w:r w:rsidR="0067627B">
        <w:rPr>
          <w:noProof/>
        </w:rPr>
        <w:t>,</w:t>
      </w:r>
      <w:r w:rsidR="00707020" w:rsidRPr="00A2249A">
        <w:rPr>
          <w:noProof/>
        </w:rPr>
        <w:t xml:space="preserve"> has been identified.  A summary </w:t>
      </w:r>
      <w:r w:rsidR="007D3825" w:rsidRPr="00A2249A">
        <w:rPr>
          <w:noProof/>
        </w:rPr>
        <w:t>of DeSoto’s specific objections</w:t>
      </w:r>
      <w:r w:rsidR="00707020" w:rsidRPr="00A2249A">
        <w:rPr>
          <w:noProof/>
        </w:rPr>
        <w:t xml:space="preserve"> and </w:t>
      </w:r>
      <w:r w:rsidR="007D3825" w:rsidRPr="00A2249A">
        <w:rPr>
          <w:noProof/>
        </w:rPr>
        <w:t>FPL’s response</w:t>
      </w:r>
      <w:r w:rsidR="00707020" w:rsidRPr="00A2249A">
        <w:rPr>
          <w:noProof/>
        </w:rPr>
        <w:t>s</w:t>
      </w:r>
      <w:r w:rsidR="00A24A2B" w:rsidRPr="00A2249A">
        <w:rPr>
          <w:noProof/>
        </w:rPr>
        <w:t xml:space="preserve"> are discussed</w:t>
      </w:r>
      <w:r w:rsidR="007D3825" w:rsidRPr="00A2249A">
        <w:rPr>
          <w:noProof/>
        </w:rPr>
        <w:t xml:space="preserve"> </w:t>
      </w:r>
      <w:r w:rsidR="00A24A2B" w:rsidRPr="00A2249A">
        <w:rPr>
          <w:noProof/>
        </w:rPr>
        <w:t xml:space="preserve">below. </w:t>
      </w:r>
    </w:p>
    <w:p w:rsidR="00A24A2B" w:rsidRPr="00A2249A" w:rsidRDefault="00A24A2B" w:rsidP="00A24A2B">
      <w:pPr>
        <w:rPr>
          <w:noProof/>
        </w:rPr>
      </w:pPr>
    </w:p>
    <w:p w:rsidR="00A24A2B" w:rsidRPr="00A2249A" w:rsidRDefault="00550AF3" w:rsidP="00550AF3">
      <w:pPr>
        <w:autoSpaceDE w:val="0"/>
        <w:autoSpaceDN w:val="0"/>
        <w:adjustRightInd w:val="0"/>
        <w:jc w:val="both"/>
        <w:rPr>
          <w:b/>
          <w:u w:val="single"/>
        </w:rPr>
      </w:pPr>
      <w:r w:rsidRPr="00A2249A">
        <w:rPr>
          <w:b/>
          <w:u w:val="single"/>
        </w:rPr>
        <w:t>P</w:t>
      </w:r>
      <w:r w:rsidR="00A24A2B" w:rsidRPr="00A2249A">
        <w:rPr>
          <w:b/>
          <w:u w:val="single"/>
        </w:rPr>
        <w:t>rohibit</w:t>
      </w:r>
      <w:r w:rsidRPr="00A2249A">
        <w:rPr>
          <w:b/>
          <w:u w:val="single"/>
        </w:rPr>
        <w:t>ion of Proposals</w:t>
      </w:r>
      <w:r w:rsidR="00A24A2B" w:rsidRPr="00A2249A">
        <w:rPr>
          <w:b/>
          <w:u w:val="single"/>
        </w:rPr>
        <w:t xml:space="preserve"> to </w:t>
      </w:r>
      <w:r w:rsidRPr="00A2249A">
        <w:rPr>
          <w:b/>
          <w:u w:val="single"/>
        </w:rPr>
        <w:t>Se</w:t>
      </w:r>
      <w:r w:rsidR="00A24A2B" w:rsidRPr="00A2249A">
        <w:rPr>
          <w:b/>
          <w:u w:val="single"/>
        </w:rPr>
        <w:t>ll</w:t>
      </w:r>
      <w:r w:rsidRPr="00A2249A">
        <w:rPr>
          <w:b/>
          <w:u w:val="single"/>
        </w:rPr>
        <w:t xml:space="preserve"> to FPL</w:t>
      </w:r>
      <w:r w:rsidR="00A24A2B" w:rsidRPr="00A2249A">
        <w:rPr>
          <w:b/>
          <w:u w:val="single"/>
        </w:rPr>
        <w:t xml:space="preserve"> </w:t>
      </w:r>
      <w:r w:rsidRPr="00A2249A">
        <w:rPr>
          <w:b/>
          <w:u w:val="single"/>
        </w:rPr>
        <w:t>Existing or New Turnkey Generating Facilities</w:t>
      </w:r>
    </w:p>
    <w:p w:rsidR="00550AF3" w:rsidRPr="00A2249A" w:rsidRDefault="00550AF3" w:rsidP="00550AF3">
      <w:pPr>
        <w:autoSpaceDE w:val="0"/>
        <w:autoSpaceDN w:val="0"/>
        <w:adjustRightInd w:val="0"/>
        <w:jc w:val="both"/>
        <w:rPr>
          <w:noProof/>
          <w:u w:val="single"/>
        </w:rPr>
      </w:pPr>
    </w:p>
    <w:p w:rsidR="00BD11E2" w:rsidRPr="00A2249A" w:rsidRDefault="00BD11E2" w:rsidP="001443F3">
      <w:pPr>
        <w:autoSpaceDE w:val="0"/>
        <w:autoSpaceDN w:val="0"/>
        <w:adjustRightInd w:val="0"/>
        <w:spacing w:line="245" w:lineRule="exact"/>
        <w:ind w:left="40" w:right="-20" w:firstLine="680"/>
        <w:jc w:val="both"/>
      </w:pPr>
      <w:r w:rsidRPr="00A2249A">
        <w:rPr>
          <w:spacing w:val="-1"/>
        </w:rPr>
        <w:t>F</w:t>
      </w:r>
      <w:r w:rsidRPr="00A2249A">
        <w:rPr>
          <w:spacing w:val="3"/>
        </w:rPr>
        <w:t>P</w:t>
      </w:r>
      <w:r w:rsidRPr="00A2249A">
        <w:t>L</w:t>
      </w:r>
      <w:r w:rsidRPr="00A2249A">
        <w:rPr>
          <w:spacing w:val="14"/>
        </w:rPr>
        <w:t xml:space="preserve"> </w:t>
      </w:r>
      <w:r w:rsidRPr="00A2249A">
        <w:t>h</w:t>
      </w:r>
      <w:r w:rsidRPr="00A2249A">
        <w:rPr>
          <w:spacing w:val="-1"/>
        </w:rPr>
        <w:t>a</w:t>
      </w:r>
      <w:r w:rsidRPr="00A2249A">
        <w:t>s</w:t>
      </w:r>
      <w:r w:rsidRPr="00A2249A">
        <w:rPr>
          <w:spacing w:val="19"/>
        </w:rPr>
        <w:t xml:space="preserve"> </w:t>
      </w:r>
      <w:r w:rsidRPr="00A2249A">
        <w:rPr>
          <w:spacing w:val="2"/>
        </w:rPr>
        <w:t>r</w:t>
      </w:r>
      <w:r w:rsidRPr="00A2249A">
        <w:rPr>
          <w:spacing w:val="-1"/>
        </w:rPr>
        <w:t>e</w:t>
      </w:r>
      <w:r w:rsidRPr="00A2249A">
        <w:t>qui</w:t>
      </w:r>
      <w:r w:rsidRPr="00A2249A">
        <w:rPr>
          <w:spacing w:val="-1"/>
        </w:rPr>
        <w:t>re</w:t>
      </w:r>
      <w:r w:rsidRPr="00A2249A">
        <w:t>d</w:t>
      </w:r>
      <w:r w:rsidRPr="00A2249A">
        <w:rPr>
          <w:spacing w:val="19"/>
        </w:rPr>
        <w:t xml:space="preserve"> </w:t>
      </w:r>
      <w:r w:rsidRPr="00A2249A">
        <w:rPr>
          <w:spacing w:val="-1"/>
        </w:rPr>
        <w:t>a</w:t>
      </w:r>
      <w:r w:rsidRPr="00A2249A">
        <w:t>s</w:t>
      </w:r>
      <w:r w:rsidRPr="00A2249A">
        <w:rPr>
          <w:spacing w:val="19"/>
        </w:rPr>
        <w:t xml:space="preserve"> </w:t>
      </w:r>
      <w:r w:rsidRPr="00A2249A">
        <w:t>a</w:t>
      </w:r>
      <w:r w:rsidRPr="00A2249A">
        <w:rPr>
          <w:spacing w:val="18"/>
        </w:rPr>
        <w:t xml:space="preserve"> </w:t>
      </w:r>
      <w:r w:rsidRPr="00A2249A">
        <w:rPr>
          <w:spacing w:val="3"/>
        </w:rPr>
        <w:t>M</w:t>
      </w:r>
      <w:r w:rsidRPr="00A2249A">
        <w:t>inimum</w:t>
      </w:r>
      <w:r w:rsidRPr="00A2249A">
        <w:rPr>
          <w:spacing w:val="17"/>
        </w:rPr>
        <w:t xml:space="preserve"> </w:t>
      </w:r>
      <w:r w:rsidRPr="00A2249A">
        <w:rPr>
          <w:spacing w:val="1"/>
        </w:rPr>
        <w:t>R</w:t>
      </w:r>
      <w:r w:rsidRPr="00A2249A">
        <w:rPr>
          <w:spacing w:val="-1"/>
        </w:rPr>
        <w:t>e</w:t>
      </w:r>
      <w:r w:rsidRPr="00A2249A">
        <w:t>qui</w:t>
      </w:r>
      <w:r w:rsidRPr="00A2249A">
        <w:rPr>
          <w:spacing w:val="-1"/>
        </w:rPr>
        <w:t>re</w:t>
      </w:r>
      <w:r w:rsidRPr="00A2249A">
        <w:t>m</w:t>
      </w:r>
      <w:r w:rsidRPr="00A2249A">
        <w:rPr>
          <w:spacing w:val="-1"/>
        </w:rPr>
        <w:t>e</w:t>
      </w:r>
      <w:r w:rsidRPr="00A2249A">
        <w:t>nt</w:t>
      </w:r>
      <w:r w:rsidRPr="00A2249A">
        <w:rPr>
          <w:spacing w:val="20"/>
        </w:rPr>
        <w:t xml:space="preserve"> </w:t>
      </w:r>
      <w:r w:rsidRPr="00A2249A">
        <w:t>of</w:t>
      </w:r>
      <w:r w:rsidRPr="00A2249A">
        <w:rPr>
          <w:spacing w:val="18"/>
        </w:rPr>
        <w:t xml:space="preserve"> </w:t>
      </w:r>
      <w:r w:rsidRPr="00A2249A">
        <w:t>its</w:t>
      </w:r>
      <w:r w:rsidRPr="00A2249A">
        <w:rPr>
          <w:spacing w:val="19"/>
        </w:rPr>
        <w:t xml:space="preserve"> </w:t>
      </w:r>
      <w:r w:rsidRPr="00A2249A">
        <w:rPr>
          <w:spacing w:val="1"/>
        </w:rPr>
        <w:t>R</w:t>
      </w:r>
      <w:r w:rsidRPr="00A2249A">
        <w:rPr>
          <w:spacing w:val="-1"/>
        </w:rPr>
        <w:t>F</w:t>
      </w:r>
      <w:r w:rsidRPr="00A2249A">
        <w:t>P</w:t>
      </w:r>
      <w:r w:rsidRPr="00A2249A">
        <w:rPr>
          <w:spacing w:val="18"/>
        </w:rPr>
        <w:t xml:space="preserve"> </w:t>
      </w:r>
      <w:r w:rsidRPr="00A2249A">
        <w:t>th</w:t>
      </w:r>
      <w:r w:rsidRPr="00A2249A">
        <w:rPr>
          <w:spacing w:val="-1"/>
        </w:rPr>
        <w:t>a</w:t>
      </w:r>
      <w:r w:rsidRPr="00A2249A">
        <w:t>t</w:t>
      </w:r>
      <w:r w:rsidRPr="00A2249A">
        <w:rPr>
          <w:spacing w:val="20"/>
        </w:rPr>
        <w:t xml:space="preserve"> </w:t>
      </w:r>
      <w:r w:rsidRPr="00A2249A">
        <w:rPr>
          <w:spacing w:val="-1"/>
        </w:rPr>
        <w:t>“F</w:t>
      </w:r>
      <w:r w:rsidRPr="00A2249A">
        <w:rPr>
          <w:spacing w:val="3"/>
        </w:rPr>
        <w:t>P</w:t>
      </w:r>
      <w:r w:rsidRPr="00A2249A">
        <w:t>L</w:t>
      </w:r>
      <w:r w:rsidRPr="00A2249A">
        <w:rPr>
          <w:spacing w:val="14"/>
        </w:rPr>
        <w:t xml:space="preserve"> </w:t>
      </w:r>
      <w:r w:rsidRPr="00A2249A">
        <w:t>will</w:t>
      </w:r>
      <w:r w:rsidRPr="00A2249A">
        <w:rPr>
          <w:spacing w:val="20"/>
        </w:rPr>
        <w:t xml:space="preserve"> </w:t>
      </w:r>
      <w:r w:rsidRPr="00A2249A">
        <w:t>not</w:t>
      </w:r>
      <w:r w:rsidRPr="00A2249A">
        <w:rPr>
          <w:spacing w:val="20"/>
        </w:rPr>
        <w:t xml:space="preserve"> </w:t>
      </w:r>
      <w:r w:rsidRPr="00A2249A">
        <w:rPr>
          <w:spacing w:val="-1"/>
        </w:rPr>
        <w:t>c</w:t>
      </w:r>
      <w:r w:rsidRPr="00A2249A">
        <w:t>onsid</w:t>
      </w:r>
      <w:r w:rsidRPr="00A2249A">
        <w:rPr>
          <w:spacing w:val="-1"/>
        </w:rPr>
        <w:t>e</w:t>
      </w:r>
      <w:r w:rsidRPr="00A2249A">
        <w:t>r</w:t>
      </w:r>
      <w:r w:rsidRPr="00A2249A">
        <w:rPr>
          <w:spacing w:val="18"/>
        </w:rPr>
        <w:t xml:space="preserve"> </w:t>
      </w:r>
      <w:r w:rsidRPr="00A2249A">
        <w:t>or</w:t>
      </w:r>
    </w:p>
    <w:p w:rsidR="00836F62" w:rsidRPr="00A2249A" w:rsidRDefault="00BD11E2" w:rsidP="001443F3">
      <w:pPr>
        <w:autoSpaceDE w:val="0"/>
        <w:autoSpaceDN w:val="0"/>
        <w:adjustRightInd w:val="0"/>
        <w:spacing w:before="57"/>
        <w:ind w:left="40" w:right="-20"/>
        <w:jc w:val="both"/>
      </w:pPr>
      <w:proofErr w:type="gramStart"/>
      <w:r w:rsidRPr="00A2249A">
        <w:rPr>
          <w:spacing w:val="-1"/>
        </w:rPr>
        <w:t>e</w:t>
      </w:r>
      <w:r w:rsidRPr="00A2249A">
        <w:t>v</w:t>
      </w:r>
      <w:r w:rsidRPr="00A2249A">
        <w:rPr>
          <w:spacing w:val="-1"/>
        </w:rPr>
        <w:t>a</w:t>
      </w:r>
      <w:r w:rsidRPr="00A2249A">
        <w:t>lu</w:t>
      </w:r>
      <w:r w:rsidRPr="00A2249A">
        <w:rPr>
          <w:spacing w:val="-1"/>
        </w:rPr>
        <w:t>a</w:t>
      </w:r>
      <w:r w:rsidRPr="00A2249A">
        <w:t>te</w:t>
      </w:r>
      <w:proofErr w:type="gramEnd"/>
      <w:r w:rsidRPr="00A2249A">
        <w:rPr>
          <w:spacing w:val="18"/>
        </w:rPr>
        <w:t xml:space="preserve"> </w:t>
      </w:r>
      <w:r w:rsidRPr="00A2249A">
        <w:t>p</w:t>
      </w:r>
      <w:r w:rsidRPr="00A2249A">
        <w:rPr>
          <w:spacing w:val="-1"/>
        </w:rPr>
        <w:t>r</w:t>
      </w:r>
      <w:r w:rsidRPr="00A2249A">
        <w:t>opos</w:t>
      </w:r>
      <w:r w:rsidRPr="00A2249A">
        <w:rPr>
          <w:spacing w:val="-1"/>
        </w:rPr>
        <w:t>a</w:t>
      </w:r>
      <w:r w:rsidRPr="00A2249A">
        <w:t>ls</w:t>
      </w:r>
      <w:r w:rsidRPr="00A2249A">
        <w:rPr>
          <w:spacing w:val="17"/>
        </w:rPr>
        <w:t xml:space="preserve"> </w:t>
      </w:r>
      <w:r w:rsidRPr="00A2249A">
        <w:t>to</w:t>
      </w:r>
      <w:r w:rsidRPr="00A2249A">
        <w:rPr>
          <w:spacing w:val="17"/>
        </w:rPr>
        <w:t xml:space="preserve"> </w:t>
      </w:r>
      <w:r w:rsidRPr="00A2249A">
        <w:rPr>
          <w:spacing w:val="3"/>
        </w:rPr>
        <w:t>s</w:t>
      </w:r>
      <w:r w:rsidRPr="00A2249A">
        <w:rPr>
          <w:spacing w:val="-1"/>
        </w:rPr>
        <w:t>e</w:t>
      </w:r>
      <w:r w:rsidRPr="00A2249A">
        <w:rPr>
          <w:spacing w:val="3"/>
        </w:rPr>
        <w:t>l</w:t>
      </w:r>
      <w:r w:rsidRPr="00A2249A">
        <w:t>l</w:t>
      </w:r>
      <w:r w:rsidRPr="00A2249A">
        <w:rPr>
          <w:spacing w:val="17"/>
        </w:rPr>
        <w:t xml:space="preserve"> </w:t>
      </w:r>
      <w:r w:rsidRPr="00A2249A">
        <w:t>a</w:t>
      </w:r>
      <w:r w:rsidRPr="00A2249A">
        <w:rPr>
          <w:spacing w:val="18"/>
        </w:rPr>
        <w:t xml:space="preserve"> </w:t>
      </w:r>
      <w:r w:rsidRPr="00A2249A">
        <w:rPr>
          <w:spacing w:val="-2"/>
        </w:rPr>
        <w:t>g</w:t>
      </w:r>
      <w:r w:rsidRPr="00A2249A">
        <w:rPr>
          <w:spacing w:val="-1"/>
        </w:rPr>
        <w:t>e</w:t>
      </w:r>
      <w:r w:rsidRPr="00A2249A">
        <w:rPr>
          <w:spacing w:val="2"/>
        </w:rPr>
        <w:t>n</w:t>
      </w:r>
      <w:r w:rsidRPr="00A2249A">
        <w:rPr>
          <w:spacing w:val="-1"/>
        </w:rPr>
        <w:t>era</w:t>
      </w:r>
      <w:r w:rsidRPr="00A2249A">
        <w:t>ti</w:t>
      </w:r>
      <w:r w:rsidRPr="00A2249A">
        <w:rPr>
          <w:spacing w:val="2"/>
        </w:rPr>
        <w:t>n</w:t>
      </w:r>
      <w:r w:rsidRPr="00A2249A">
        <w:t>g</w:t>
      </w:r>
      <w:r w:rsidRPr="00A2249A">
        <w:rPr>
          <w:spacing w:val="14"/>
        </w:rPr>
        <w:t xml:space="preserve"> </w:t>
      </w:r>
      <w:r w:rsidRPr="00A2249A">
        <w:t>unit</w:t>
      </w:r>
      <w:r w:rsidRPr="00A2249A">
        <w:rPr>
          <w:spacing w:val="17"/>
        </w:rPr>
        <w:t xml:space="preserve"> </w:t>
      </w:r>
      <w:r w:rsidRPr="00A2249A">
        <w:t>to</w:t>
      </w:r>
      <w:r w:rsidRPr="00A2249A">
        <w:rPr>
          <w:spacing w:val="19"/>
        </w:rPr>
        <w:t xml:space="preserve"> </w:t>
      </w:r>
      <w:r w:rsidRPr="00A2249A">
        <w:rPr>
          <w:spacing w:val="-1"/>
        </w:rPr>
        <w:t>F</w:t>
      </w:r>
      <w:r w:rsidRPr="00A2249A">
        <w:rPr>
          <w:spacing w:val="3"/>
        </w:rPr>
        <w:t>P</w:t>
      </w:r>
      <w:r w:rsidRPr="00A2249A">
        <w:rPr>
          <w:spacing w:val="-3"/>
        </w:rPr>
        <w:t>L</w:t>
      </w:r>
      <w:r w:rsidRPr="00A2249A">
        <w:t xml:space="preserve">….”  </w:t>
      </w:r>
      <w:proofErr w:type="spellStart"/>
      <w:r w:rsidR="00B4117E" w:rsidRPr="00A2249A">
        <w:t>DeS</w:t>
      </w:r>
      <w:r w:rsidR="005A3C56" w:rsidRPr="00A2249A">
        <w:t>oto</w:t>
      </w:r>
      <w:proofErr w:type="spellEnd"/>
      <w:r w:rsidR="005A3C56" w:rsidRPr="00A2249A">
        <w:t xml:space="preserve"> describes its existing generating facility as a 310</w:t>
      </w:r>
      <w:r w:rsidR="00722ADB" w:rsidRPr="00A2249A">
        <w:t xml:space="preserve"> megawatt</w:t>
      </w:r>
      <w:r w:rsidR="005A3C56" w:rsidRPr="00A2249A">
        <w:t xml:space="preserve"> </w:t>
      </w:r>
      <w:r w:rsidR="00722ADB" w:rsidRPr="00A2249A">
        <w:t>(</w:t>
      </w:r>
      <w:r w:rsidR="005A3C56" w:rsidRPr="00A2249A">
        <w:t>MW</w:t>
      </w:r>
      <w:r w:rsidR="00722ADB" w:rsidRPr="00A2249A">
        <w:t>)</w:t>
      </w:r>
      <w:r w:rsidR="005A3C56" w:rsidRPr="00A2249A">
        <w:t xml:space="preserve"> (summer net) simple cycle combustion turbine plant capable of operating on both natural gas and No. 2 fuel oil that began commercial operation in June 2002</w:t>
      </w:r>
      <w:r w:rsidRPr="00A2249A">
        <w:t xml:space="preserve">.  </w:t>
      </w:r>
      <w:proofErr w:type="spellStart"/>
      <w:r w:rsidR="00B4117E" w:rsidRPr="00A2249A">
        <w:t>DeS</w:t>
      </w:r>
      <w:r w:rsidR="00A24A2B" w:rsidRPr="00A2249A">
        <w:t>oto</w:t>
      </w:r>
      <w:proofErr w:type="spellEnd"/>
      <w:r w:rsidR="00A24A2B" w:rsidRPr="00A2249A">
        <w:t xml:space="preserve"> argues </w:t>
      </w:r>
      <w:r w:rsidR="008F7FD0">
        <w:t xml:space="preserve">that </w:t>
      </w:r>
      <w:r w:rsidR="00253EAA" w:rsidRPr="00A2249A">
        <w:t>by excluding proposals to sell existing facilities</w:t>
      </w:r>
      <w:r w:rsidR="008F7FD0">
        <w:t>,</w:t>
      </w:r>
      <w:r w:rsidR="00253EAA" w:rsidRPr="00A2249A">
        <w:t xml:space="preserve"> FPL </w:t>
      </w:r>
      <w:r w:rsidR="00A24A2B" w:rsidRPr="00A2249A">
        <w:t xml:space="preserve">violates Rule 25-22.082(5), F.A.C., in that the terms of </w:t>
      </w:r>
      <w:r w:rsidR="00253EAA" w:rsidRPr="00A2249A">
        <w:t xml:space="preserve">the </w:t>
      </w:r>
      <w:r w:rsidR="00A24A2B" w:rsidRPr="00A2249A">
        <w:t xml:space="preserve">RFP are unfair, discriminatory, and onerous.  </w:t>
      </w:r>
      <w:proofErr w:type="spellStart"/>
      <w:r w:rsidR="00A24A2B" w:rsidRPr="00A2249A">
        <w:t>De</w:t>
      </w:r>
      <w:r w:rsidR="00B4117E" w:rsidRPr="00A2249A">
        <w:t>S</w:t>
      </w:r>
      <w:r w:rsidR="00A24A2B" w:rsidRPr="00A2249A">
        <w:t>oto</w:t>
      </w:r>
      <w:proofErr w:type="spellEnd"/>
      <w:r w:rsidR="00A24A2B" w:rsidRPr="00A2249A">
        <w:t xml:space="preserve"> characterizes these conditions as </w:t>
      </w:r>
      <w:r w:rsidR="00B4117E" w:rsidRPr="00A2249A">
        <w:t xml:space="preserve">restricting </w:t>
      </w:r>
      <w:proofErr w:type="spellStart"/>
      <w:r w:rsidR="00B4117E" w:rsidRPr="00A2249A">
        <w:t>DeS</w:t>
      </w:r>
      <w:r w:rsidR="00A24A2B" w:rsidRPr="00A2249A">
        <w:t>oto</w:t>
      </w:r>
      <w:proofErr w:type="spellEnd"/>
      <w:r w:rsidR="00A24A2B" w:rsidRPr="00A2249A">
        <w:t xml:space="preserve"> from b</w:t>
      </w:r>
      <w:r w:rsidR="005A3C56" w:rsidRPr="00A2249A">
        <w:t xml:space="preserve">eing a participant in the RFP.  </w:t>
      </w:r>
    </w:p>
    <w:p w:rsidR="00253EAA" w:rsidRPr="00A2249A" w:rsidRDefault="00A24A2B" w:rsidP="001443F3">
      <w:pPr>
        <w:autoSpaceDE w:val="0"/>
        <w:autoSpaceDN w:val="0"/>
        <w:adjustRightInd w:val="0"/>
        <w:ind w:firstLine="720"/>
        <w:jc w:val="both"/>
      </w:pPr>
      <w:r w:rsidRPr="00A2249A">
        <w:t xml:space="preserve">  </w:t>
      </w:r>
    </w:p>
    <w:p w:rsidR="00646F98" w:rsidRPr="00A2249A" w:rsidRDefault="005A3C56" w:rsidP="007638FB">
      <w:pPr>
        <w:autoSpaceDE w:val="0"/>
        <w:autoSpaceDN w:val="0"/>
        <w:adjustRightInd w:val="0"/>
        <w:ind w:firstLine="720"/>
        <w:jc w:val="both"/>
      </w:pPr>
      <w:r w:rsidRPr="00A2249A">
        <w:t xml:space="preserve">In its Response to the Objections, </w:t>
      </w:r>
      <w:r w:rsidR="00A24A2B" w:rsidRPr="00A2249A">
        <w:t xml:space="preserve">FPL </w:t>
      </w:r>
      <w:r w:rsidRPr="00A2249A">
        <w:t xml:space="preserve">states it </w:t>
      </w:r>
      <w:r w:rsidR="00A24A2B" w:rsidRPr="00A2249A">
        <w:t>is restricting the terms of its RFP to not consider existing generation facilities because the operating characteristics such as heat rate, age of the units, maintenance cycles, repairs and replacement pa</w:t>
      </w:r>
      <w:r w:rsidRPr="00A2249A">
        <w:t>rts are outside of its control.</w:t>
      </w:r>
      <w:r w:rsidR="00A24A2B" w:rsidRPr="00A2249A">
        <w:t xml:space="preserve">  </w:t>
      </w:r>
      <w:r w:rsidR="00311D0F" w:rsidRPr="00A2249A">
        <w:t>Not t</w:t>
      </w:r>
      <w:r w:rsidR="00A24A2B" w:rsidRPr="00A2249A">
        <w:t xml:space="preserve">o </w:t>
      </w:r>
      <w:r w:rsidR="00A24A2B" w:rsidRPr="00A2249A">
        <w:lastRenderedPageBreak/>
        <w:t>do so, would require a significant exercise in due diligence to determine the suitability of the existing facilities to meet the requirements of FPL’s fleet operations.</w:t>
      </w:r>
      <w:r w:rsidR="00311D0F" w:rsidRPr="00A2249A">
        <w:t xml:space="preserve"> </w:t>
      </w:r>
      <w:r w:rsidR="00A24A2B" w:rsidRPr="00A2249A">
        <w:t xml:space="preserve"> Additionally, indepen</w:t>
      </w:r>
      <w:r w:rsidR="00B4117E" w:rsidRPr="00A2249A">
        <w:t xml:space="preserve">dent power producers such as </w:t>
      </w:r>
      <w:proofErr w:type="spellStart"/>
      <w:r w:rsidR="00B4117E" w:rsidRPr="00A2249A">
        <w:t>DeS</w:t>
      </w:r>
      <w:r w:rsidR="00A24A2B" w:rsidRPr="00A2249A">
        <w:t>oto</w:t>
      </w:r>
      <w:proofErr w:type="spellEnd"/>
      <w:r w:rsidR="00A24A2B" w:rsidRPr="00A2249A">
        <w:t xml:space="preserve"> do not operate under the same requirements as a regulated utility in terms of reliability and efficiency.</w:t>
      </w:r>
      <w:r w:rsidR="00BD11E2" w:rsidRPr="00A2249A">
        <w:t xml:space="preserve">  </w:t>
      </w:r>
      <w:r w:rsidR="00B4117E" w:rsidRPr="00A2249A">
        <w:t xml:space="preserve">FPL </w:t>
      </w:r>
      <w:r w:rsidR="003E4119" w:rsidRPr="00A2249A">
        <w:t xml:space="preserve">asserts that </w:t>
      </w:r>
      <w:r w:rsidR="00B4117E" w:rsidRPr="00A2249A">
        <w:t xml:space="preserve">the </w:t>
      </w:r>
      <w:proofErr w:type="spellStart"/>
      <w:r w:rsidR="00B4117E" w:rsidRPr="00A2249A">
        <w:t>DeS</w:t>
      </w:r>
      <w:r w:rsidRPr="00A2249A">
        <w:t>oto</w:t>
      </w:r>
      <w:proofErr w:type="spellEnd"/>
      <w:r w:rsidRPr="00A2249A">
        <w:t xml:space="preserve"> facility has not operated recently due to inefficiency and high cost and is a standby generator resource for the Florida Reliability Coordinating Council and Florida’s bulk electric grid.</w:t>
      </w:r>
    </w:p>
    <w:p w:rsidR="00646F98" w:rsidRPr="00A2249A" w:rsidRDefault="00646F98" w:rsidP="007638FB">
      <w:pPr>
        <w:autoSpaceDE w:val="0"/>
        <w:autoSpaceDN w:val="0"/>
        <w:adjustRightInd w:val="0"/>
        <w:ind w:firstLine="720"/>
        <w:jc w:val="both"/>
      </w:pPr>
    </w:p>
    <w:p w:rsidR="00A24A2B" w:rsidRPr="00A2249A" w:rsidRDefault="007638FB" w:rsidP="007638FB">
      <w:pPr>
        <w:autoSpaceDE w:val="0"/>
        <w:autoSpaceDN w:val="0"/>
        <w:adjustRightInd w:val="0"/>
        <w:ind w:firstLine="720"/>
        <w:jc w:val="both"/>
      </w:pPr>
      <w:r w:rsidRPr="00A2249A">
        <w:t xml:space="preserve">Staff believes </w:t>
      </w:r>
      <w:r w:rsidR="00253EAA" w:rsidRPr="00A2249A">
        <w:t xml:space="preserve">FPL defined its terms within the RFP to </w:t>
      </w:r>
      <w:r w:rsidR="006361F3" w:rsidRPr="00A2249A">
        <w:t>remove from</w:t>
      </w:r>
      <w:r w:rsidR="00253EAA" w:rsidRPr="00A2249A">
        <w:t xml:space="preserve"> consideration </w:t>
      </w:r>
      <w:r w:rsidR="006361F3" w:rsidRPr="00A2249A">
        <w:t xml:space="preserve">generation facilities </w:t>
      </w:r>
      <w:r w:rsidR="00253EAA" w:rsidRPr="00A2249A">
        <w:t xml:space="preserve">that would be incapable of meeting efficiency and operational requirements for </w:t>
      </w:r>
      <w:proofErr w:type="spellStart"/>
      <w:r w:rsidR="00253EAA" w:rsidRPr="00A2249A">
        <w:t>baseload</w:t>
      </w:r>
      <w:proofErr w:type="spellEnd"/>
      <w:r w:rsidR="00253EAA" w:rsidRPr="00A2249A">
        <w:t xml:space="preserve"> type operations.  </w:t>
      </w:r>
      <w:r w:rsidR="006361F3" w:rsidRPr="00A2249A">
        <w:t xml:space="preserve">Staff would note that the </w:t>
      </w:r>
      <w:proofErr w:type="spellStart"/>
      <w:r w:rsidR="006361F3" w:rsidRPr="00A2249A">
        <w:t>DeSoto</w:t>
      </w:r>
      <w:proofErr w:type="spellEnd"/>
      <w:r w:rsidR="006361F3" w:rsidRPr="00A2249A">
        <w:t xml:space="preserve"> facility is a simple-cycle combustion turbine and that FPL’s next planned generating unit contained in its RFP is a combined-cycle generating unit.  </w:t>
      </w:r>
      <w:r w:rsidR="00E444B3" w:rsidRPr="00A2249A">
        <w:t>I</w:t>
      </w:r>
      <w:r w:rsidR="00495B7F" w:rsidRPr="00A2249A">
        <w:t>t would not be in the best interests of FPL’s customers to require it to purchase an existing facility that would be incapable of meeting the</w:t>
      </w:r>
      <w:r w:rsidR="006361F3" w:rsidRPr="00A2249A">
        <w:t xml:space="preserve"> operational and </w:t>
      </w:r>
      <w:r w:rsidR="00495B7F" w:rsidRPr="00A2249A">
        <w:t xml:space="preserve">efficiency </w:t>
      </w:r>
      <w:r w:rsidR="006361F3" w:rsidRPr="00A2249A">
        <w:t xml:space="preserve">performance </w:t>
      </w:r>
      <w:r w:rsidR="00495B7F" w:rsidRPr="00A2249A">
        <w:t xml:space="preserve">of FPL’s generation plan.  </w:t>
      </w:r>
      <w:r w:rsidR="00663760" w:rsidRPr="00A2249A">
        <w:t xml:space="preserve">Lastly, </w:t>
      </w:r>
      <w:proofErr w:type="spellStart"/>
      <w:r w:rsidR="00663760" w:rsidRPr="00A2249A">
        <w:t>DeSoto</w:t>
      </w:r>
      <w:proofErr w:type="spellEnd"/>
      <w:r w:rsidR="00663760" w:rsidRPr="00A2249A">
        <w:t xml:space="preserve"> is not restricted in any way from proposing to sell FPL capacity and energy under a purchased power agreement (PPA).  </w:t>
      </w:r>
      <w:r w:rsidR="00E444B3" w:rsidRPr="00A2249A">
        <w:t xml:space="preserve">Therefore, this objection does not appear to be a violation of Rule 25-22.082(5), F.A.C.  </w:t>
      </w:r>
    </w:p>
    <w:p w:rsidR="002D31E3" w:rsidRPr="00A2249A" w:rsidRDefault="002D31E3" w:rsidP="002D31E3">
      <w:pPr>
        <w:autoSpaceDE w:val="0"/>
        <w:autoSpaceDN w:val="0"/>
        <w:adjustRightInd w:val="0"/>
        <w:jc w:val="both"/>
      </w:pPr>
    </w:p>
    <w:p w:rsidR="002D31E3" w:rsidRPr="00A2249A" w:rsidRDefault="00FA41F0" w:rsidP="00FA41F0">
      <w:pPr>
        <w:autoSpaceDE w:val="0"/>
        <w:autoSpaceDN w:val="0"/>
        <w:adjustRightInd w:val="0"/>
        <w:jc w:val="both"/>
        <w:rPr>
          <w:b/>
          <w:u w:val="single"/>
        </w:rPr>
      </w:pPr>
      <w:r w:rsidRPr="00A2249A">
        <w:rPr>
          <w:b/>
          <w:u w:val="single"/>
        </w:rPr>
        <w:t>Refusal to C</w:t>
      </w:r>
      <w:r w:rsidR="002D31E3" w:rsidRPr="00A2249A">
        <w:rPr>
          <w:b/>
          <w:u w:val="single"/>
        </w:rPr>
        <w:t xml:space="preserve">onsider </w:t>
      </w:r>
      <w:r w:rsidRPr="00A2249A">
        <w:rPr>
          <w:b/>
          <w:u w:val="single"/>
        </w:rPr>
        <w:t>Other Additions to FPL’s Generation Expansion Plan</w:t>
      </w:r>
    </w:p>
    <w:p w:rsidR="002D31E3" w:rsidRPr="00A2249A" w:rsidRDefault="002D31E3" w:rsidP="002D31E3">
      <w:pPr>
        <w:autoSpaceDE w:val="0"/>
        <w:autoSpaceDN w:val="0"/>
        <w:adjustRightInd w:val="0"/>
        <w:jc w:val="both"/>
      </w:pPr>
    </w:p>
    <w:p w:rsidR="00495B7F" w:rsidRPr="00A2249A" w:rsidRDefault="00B4117E" w:rsidP="009F2DAF">
      <w:pPr>
        <w:autoSpaceDE w:val="0"/>
        <w:autoSpaceDN w:val="0"/>
        <w:adjustRightInd w:val="0"/>
        <w:ind w:firstLine="720"/>
        <w:jc w:val="both"/>
      </w:pPr>
      <w:proofErr w:type="spellStart"/>
      <w:r w:rsidRPr="00A2249A">
        <w:t>DeS</w:t>
      </w:r>
      <w:r w:rsidR="00495B7F" w:rsidRPr="00A2249A">
        <w:t>oto</w:t>
      </w:r>
      <w:proofErr w:type="spellEnd"/>
      <w:r w:rsidR="00495B7F" w:rsidRPr="00A2249A">
        <w:t xml:space="preserve"> </w:t>
      </w:r>
      <w:r w:rsidR="009F2DAF" w:rsidRPr="00A2249A">
        <w:t>argues</w:t>
      </w:r>
      <w:r w:rsidR="00495B7F" w:rsidRPr="00A2249A">
        <w:t xml:space="preserve"> FPL violates Rule 25-22.082(10), F.A.C.</w:t>
      </w:r>
      <w:r w:rsidR="009F2DAF" w:rsidRPr="00A2249A">
        <w:t xml:space="preserve">, </w:t>
      </w:r>
      <w:r w:rsidR="00495B7F" w:rsidRPr="00A2249A">
        <w:t>that directs a public utility to allow participants to formulate</w:t>
      </w:r>
      <w:r w:rsidR="009F2DAF" w:rsidRPr="00A2249A">
        <w:t xml:space="preserve"> creative responses to the RFP that</w:t>
      </w:r>
      <w:r w:rsidR="00495B7F" w:rsidRPr="00A2249A">
        <w:t xml:space="preserve"> employ innovative or inventive technologies or processes.</w:t>
      </w:r>
      <w:r w:rsidR="00BD11E2" w:rsidRPr="00A2249A">
        <w:t xml:space="preserve">  </w:t>
      </w:r>
      <w:proofErr w:type="spellStart"/>
      <w:r w:rsidR="00BD11E2" w:rsidRPr="00A2249A">
        <w:t>DeS</w:t>
      </w:r>
      <w:r w:rsidR="009F2DAF" w:rsidRPr="00A2249A">
        <w:t>oto</w:t>
      </w:r>
      <w:proofErr w:type="spellEnd"/>
      <w:r w:rsidR="009F2DAF" w:rsidRPr="00A2249A">
        <w:t xml:space="preserve"> alleges that </w:t>
      </w:r>
      <w:r w:rsidR="00495B7F" w:rsidRPr="00A2249A">
        <w:t>FPL intends to retire certain gas turbine units</w:t>
      </w:r>
      <w:r w:rsidR="0067627B">
        <w:t xml:space="preserve"> </w:t>
      </w:r>
      <w:r w:rsidR="0067627B" w:rsidRPr="00A2249A">
        <w:t>(GT</w:t>
      </w:r>
      <w:r w:rsidR="0067627B">
        <w:t>s</w:t>
      </w:r>
      <w:r w:rsidR="0067627B" w:rsidRPr="00A2249A">
        <w:t xml:space="preserve">) </w:t>
      </w:r>
      <w:r w:rsidR="00495B7F" w:rsidRPr="00A2249A">
        <w:t xml:space="preserve">and to replace that capacity with new </w:t>
      </w:r>
      <w:r w:rsidR="00FA41F0" w:rsidRPr="00A2249A">
        <w:t>combustion turbine</w:t>
      </w:r>
      <w:r w:rsidR="006C6ADB" w:rsidRPr="00A2249A">
        <w:t>s</w:t>
      </w:r>
      <w:r w:rsidR="00FA41F0" w:rsidRPr="00A2249A">
        <w:t xml:space="preserve"> (</w:t>
      </w:r>
      <w:r w:rsidR="00495B7F" w:rsidRPr="00A2249A">
        <w:t>CTs</w:t>
      </w:r>
      <w:r w:rsidR="00FA41F0" w:rsidRPr="00A2249A">
        <w:t>)</w:t>
      </w:r>
      <w:r w:rsidR="00495B7F" w:rsidRPr="00A2249A">
        <w:t xml:space="preserve"> at its Lauderdale </w:t>
      </w:r>
      <w:r w:rsidR="009F2DAF" w:rsidRPr="00A2249A">
        <w:t xml:space="preserve">and Ft. Myers sites.  Because the </w:t>
      </w:r>
      <w:proofErr w:type="spellStart"/>
      <w:r w:rsidR="00495B7F" w:rsidRPr="00A2249A">
        <w:t>DeSoto</w:t>
      </w:r>
      <w:proofErr w:type="spellEnd"/>
      <w:r w:rsidR="00495B7F" w:rsidRPr="00A2249A">
        <w:t xml:space="preserve"> Facility is located electrically in the same transmission area as the Ft. Myers u</w:t>
      </w:r>
      <w:r w:rsidR="009F2DAF" w:rsidRPr="00A2249A">
        <w:t>nits</w:t>
      </w:r>
      <w:r w:rsidR="00E31C79" w:rsidRPr="00A2249A">
        <w:t>,</w:t>
      </w:r>
      <w:r w:rsidR="009F2DAF" w:rsidRPr="00A2249A">
        <w:t xml:space="preserve"> </w:t>
      </w:r>
      <w:proofErr w:type="spellStart"/>
      <w:r w:rsidR="00FA41F0" w:rsidRPr="00A2249A">
        <w:t>DeSoto</w:t>
      </w:r>
      <w:proofErr w:type="spellEnd"/>
      <w:r w:rsidR="00FA41F0" w:rsidRPr="00A2249A">
        <w:t xml:space="preserve"> </w:t>
      </w:r>
      <w:r w:rsidR="008F7FD0">
        <w:t>assert</w:t>
      </w:r>
      <w:r w:rsidR="00FA41F0" w:rsidRPr="00A2249A">
        <w:t xml:space="preserve">s </w:t>
      </w:r>
      <w:r w:rsidR="008F7FD0">
        <w:t xml:space="preserve">that </w:t>
      </w:r>
      <w:r w:rsidR="009F2DAF" w:rsidRPr="00A2249A">
        <w:t>it would be m</w:t>
      </w:r>
      <w:r w:rsidR="00495B7F" w:rsidRPr="00A2249A">
        <w:t xml:space="preserve">ore cost effective for FPL to purchase the </w:t>
      </w:r>
      <w:proofErr w:type="spellStart"/>
      <w:r w:rsidR="00495B7F" w:rsidRPr="00A2249A">
        <w:t>DeSoto</w:t>
      </w:r>
      <w:proofErr w:type="spellEnd"/>
      <w:r w:rsidR="00495B7F" w:rsidRPr="00A2249A">
        <w:t xml:space="preserve"> Facility instead of adding CTs at the Ft. M</w:t>
      </w:r>
      <w:r w:rsidR="00836F62" w:rsidRPr="00A2249A">
        <w:t xml:space="preserve">yers site.  </w:t>
      </w:r>
    </w:p>
    <w:p w:rsidR="00495B7F" w:rsidRPr="00A2249A" w:rsidRDefault="00495B7F" w:rsidP="00495B7F">
      <w:pPr>
        <w:autoSpaceDE w:val="0"/>
        <w:autoSpaceDN w:val="0"/>
        <w:adjustRightInd w:val="0"/>
        <w:jc w:val="both"/>
      </w:pPr>
    </w:p>
    <w:p w:rsidR="00FA41F0" w:rsidRPr="00A2249A" w:rsidRDefault="00836F62" w:rsidP="00782F0C">
      <w:pPr>
        <w:autoSpaceDE w:val="0"/>
        <w:autoSpaceDN w:val="0"/>
        <w:adjustRightInd w:val="0"/>
        <w:ind w:firstLine="720"/>
        <w:jc w:val="both"/>
      </w:pPr>
      <w:r w:rsidRPr="00A2249A">
        <w:t xml:space="preserve">FPL </w:t>
      </w:r>
      <w:r w:rsidR="008F7FD0">
        <w:t xml:space="preserve">argues </w:t>
      </w:r>
      <w:r w:rsidR="00495B7F" w:rsidRPr="00A2249A">
        <w:t xml:space="preserve">that </w:t>
      </w:r>
      <w:r w:rsidR="00D97926" w:rsidRPr="00A2249A">
        <w:t xml:space="preserve">the Ft. Myers </w:t>
      </w:r>
      <w:r w:rsidR="00FA41F0" w:rsidRPr="00A2249A">
        <w:t>units</w:t>
      </w:r>
      <w:r w:rsidR="00D97926" w:rsidRPr="00A2249A">
        <w:t xml:space="preserve"> are</w:t>
      </w:r>
      <w:r w:rsidRPr="00A2249A">
        <w:t xml:space="preserve"> not at issue in the RF</w:t>
      </w:r>
      <w:r w:rsidR="00D97926" w:rsidRPr="00A2249A">
        <w:t>P.  The RFP represents FPL’s next planned generation unit and is not part of its planned replacement of GTs prior to 2016</w:t>
      </w:r>
      <w:r w:rsidR="00FA41F0" w:rsidRPr="00A2249A">
        <w:t>.  T</w:t>
      </w:r>
      <w:r w:rsidR="00D97926" w:rsidRPr="00A2249A">
        <w:t>he r</w:t>
      </w:r>
      <w:r w:rsidR="00495B7F" w:rsidRPr="00A2249A">
        <w:t xml:space="preserve">equested relief to direct FPL to “consider alternatives” to </w:t>
      </w:r>
      <w:r w:rsidR="0067627B">
        <w:t>its planned replacement of</w:t>
      </w:r>
      <w:r w:rsidR="00495B7F" w:rsidRPr="00A2249A">
        <w:t xml:space="preserve"> GT</w:t>
      </w:r>
      <w:r w:rsidR="0067627B">
        <w:t xml:space="preserve">s </w:t>
      </w:r>
      <w:r w:rsidR="00495B7F" w:rsidRPr="00A2249A">
        <w:t>in Ft. Myers is not relief that can be granted under the Bid Rule.</w:t>
      </w:r>
    </w:p>
    <w:p w:rsidR="00FA41F0" w:rsidRPr="00A2249A" w:rsidRDefault="00FA41F0" w:rsidP="00782F0C">
      <w:pPr>
        <w:autoSpaceDE w:val="0"/>
        <w:autoSpaceDN w:val="0"/>
        <w:adjustRightInd w:val="0"/>
        <w:ind w:firstLine="720"/>
        <w:jc w:val="both"/>
      </w:pPr>
    </w:p>
    <w:p w:rsidR="00E444B3" w:rsidRPr="00A2249A" w:rsidRDefault="00E444B3" w:rsidP="00782F0C">
      <w:pPr>
        <w:autoSpaceDE w:val="0"/>
        <w:autoSpaceDN w:val="0"/>
        <w:adjustRightInd w:val="0"/>
        <w:ind w:firstLine="720"/>
        <w:jc w:val="both"/>
      </w:pPr>
      <w:r w:rsidRPr="00A2249A">
        <w:t>Staff agrees with FPL that the Ft. Myers CT replacements are not part of FPL’s current RFP.  The replacement of CTs at various sites does not require prior approval or a need determination by the Commission.  Therefore, this objection does not appear to be a violation of Rule 25-22.082(10), F.A.C.  However, w</w:t>
      </w:r>
      <w:r w:rsidR="00FA41F0" w:rsidRPr="00A2249A">
        <w:t>hen FPL seeks cost recovery of these units, FPL will have the burden of justifying that the replacements were the most cost-effective solution.  A prudent utility should explore all available options, including purchasing existing generation faci</w:t>
      </w:r>
      <w:r w:rsidR="003E17D4" w:rsidRPr="00A2249A">
        <w:t>lit</w:t>
      </w:r>
      <w:r w:rsidR="00FA41F0" w:rsidRPr="00A2249A">
        <w:t xml:space="preserve">ies, </w:t>
      </w:r>
      <w:r w:rsidRPr="00A2249A">
        <w:t>prior to constructing new generation.</w:t>
      </w:r>
    </w:p>
    <w:p w:rsidR="00E444B3" w:rsidRPr="00A2249A" w:rsidRDefault="00E444B3"/>
    <w:p w:rsidR="00782F0C" w:rsidRPr="00A2249A" w:rsidRDefault="00E444B3" w:rsidP="00E444B3">
      <w:pPr>
        <w:autoSpaceDE w:val="0"/>
        <w:autoSpaceDN w:val="0"/>
        <w:adjustRightInd w:val="0"/>
        <w:jc w:val="both"/>
        <w:rPr>
          <w:u w:val="single"/>
        </w:rPr>
      </w:pPr>
      <w:r w:rsidRPr="00A2249A">
        <w:rPr>
          <w:b/>
          <w:u w:val="single"/>
        </w:rPr>
        <w:t xml:space="preserve">Completion and </w:t>
      </w:r>
      <w:r w:rsidR="00782F0C" w:rsidRPr="00A2249A">
        <w:rPr>
          <w:b/>
          <w:u w:val="single"/>
        </w:rPr>
        <w:t>Performance Security</w:t>
      </w:r>
      <w:r w:rsidR="00A2249A">
        <w:rPr>
          <w:b/>
          <w:u w:val="single"/>
        </w:rPr>
        <w:t xml:space="preserve"> Requirements</w:t>
      </w:r>
    </w:p>
    <w:p w:rsidR="00782F0C" w:rsidRPr="00A2249A" w:rsidRDefault="00782F0C" w:rsidP="00782F0C">
      <w:pPr>
        <w:autoSpaceDE w:val="0"/>
        <w:autoSpaceDN w:val="0"/>
        <w:adjustRightInd w:val="0"/>
      </w:pPr>
    </w:p>
    <w:p w:rsidR="00A3139B" w:rsidRPr="00A2249A" w:rsidRDefault="00A3139B" w:rsidP="00A3139B">
      <w:pPr>
        <w:autoSpaceDE w:val="0"/>
        <w:autoSpaceDN w:val="0"/>
        <w:adjustRightInd w:val="0"/>
        <w:ind w:firstLine="720"/>
        <w:jc w:val="both"/>
      </w:pPr>
      <w:r w:rsidRPr="00A2249A">
        <w:t>Desoto</w:t>
      </w:r>
      <w:r w:rsidR="002C331D">
        <w:t xml:space="preserve"> </w:t>
      </w:r>
      <w:r w:rsidRPr="00A2249A">
        <w:t>argues</w:t>
      </w:r>
      <w:r w:rsidR="002C331D">
        <w:t xml:space="preserve"> that</w:t>
      </w:r>
      <w:r w:rsidRPr="00A2249A">
        <w:t xml:space="preserve"> the Commission should direct FPL to reduce the required Performance Security for existing facilities whe</w:t>
      </w:r>
      <w:r w:rsidR="008F7FD0">
        <w:t>n</w:t>
      </w:r>
      <w:r w:rsidRPr="00A2249A">
        <w:t xml:space="preserve"> the owner/operator can demonstrate a proven record of satisfactory performance.  Simply stated, the RFP requires all proposers to post </w:t>
      </w:r>
      <w:r>
        <w:t>a “Performance Security”</w:t>
      </w:r>
      <w:r w:rsidRPr="00A2249A">
        <w:t xml:space="preserve"> of $200,000 per MW, or $200 per kW, of capacity and </w:t>
      </w:r>
      <w:proofErr w:type="spellStart"/>
      <w:r w:rsidRPr="00A2249A">
        <w:t>DeSoto</w:t>
      </w:r>
      <w:proofErr w:type="spellEnd"/>
      <w:r w:rsidRPr="00A2249A">
        <w:t xml:space="preserve"> </w:t>
      </w:r>
      <w:r w:rsidR="008F7FD0">
        <w:t>argu</w:t>
      </w:r>
      <w:r w:rsidRPr="00A2249A">
        <w:t>es</w:t>
      </w:r>
      <w:r w:rsidR="008F7FD0">
        <w:t xml:space="preserve"> that</w:t>
      </w:r>
      <w:r w:rsidRPr="00A2249A">
        <w:t xml:space="preserve"> it is too </w:t>
      </w:r>
      <w:r w:rsidRPr="00A2249A">
        <w:lastRenderedPageBreak/>
        <w:t xml:space="preserve">high a bar for existing generators and should be reduced to </w:t>
      </w:r>
      <w:r w:rsidR="008F7FD0">
        <w:t>the level FPL’</w:t>
      </w:r>
      <w:r w:rsidRPr="00A2249A">
        <w:t xml:space="preserve">s own Standard Offer Contract that only requires a Performance Security of $30,000 per MW or $30 per kW. </w:t>
      </w:r>
    </w:p>
    <w:p w:rsidR="00A3139B" w:rsidRDefault="00A3139B" w:rsidP="00A3139B">
      <w:pPr>
        <w:autoSpaceDE w:val="0"/>
        <w:autoSpaceDN w:val="0"/>
        <w:adjustRightInd w:val="0"/>
        <w:spacing w:before="240" w:after="240"/>
        <w:ind w:firstLine="720"/>
        <w:jc w:val="both"/>
      </w:pPr>
      <w:r w:rsidRPr="00A2249A">
        <w:t>In its Response, FPL states that the Completion Security level require</w:t>
      </w:r>
      <w:r>
        <w:t>d in this RFP ($185-200 per k</w:t>
      </w:r>
      <w:r w:rsidRPr="00A2249A">
        <w:t>W) compares reasonably with the Completion Security requirement in FPL’s last two RFPs.  The Completion Security required in FPL’s most recent RFP was $211-289</w:t>
      </w:r>
      <w:r>
        <w:t xml:space="preserve"> per k</w:t>
      </w:r>
      <w:r w:rsidRPr="00A2249A">
        <w:t>W.  The Completion Security in FPL’s second most recent RFP was $319</w:t>
      </w:r>
      <w:r>
        <w:t xml:space="preserve"> per k</w:t>
      </w:r>
      <w:r w:rsidRPr="00A2249A">
        <w:t>W.  Neither of these amounts was protested.  In 2003, FPL had another RFP which was protested.  In that case, the amount of the Completion Security was $188</w:t>
      </w:r>
      <w:r>
        <w:t xml:space="preserve"> per k</w:t>
      </w:r>
      <w:r w:rsidRPr="00A2249A">
        <w:t>W in 2002 dollars.  The Commission concluded that the level of Completion Security (12 years ago) was not inconsistent with the Bid Rule. (</w:t>
      </w:r>
      <w:r w:rsidRPr="00A2249A">
        <w:rPr>
          <w:iCs/>
        </w:rPr>
        <w:t>See</w:t>
      </w:r>
      <w:r w:rsidRPr="00A2249A">
        <w:t xml:space="preserve"> Docket No. 030884-EU).  </w:t>
      </w:r>
    </w:p>
    <w:p w:rsidR="00A3139B" w:rsidRDefault="00A3139B" w:rsidP="00A3139B">
      <w:pPr>
        <w:autoSpaceDE w:val="0"/>
        <w:autoSpaceDN w:val="0"/>
        <w:adjustRightInd w:val="0"/>
        <w:spacing w:before="240" w:after="240"/>
        <w:ind w:firstLine="720"/>
        <w:jc w:val="both"/>
      </w:pPr>
      <w:r>
        <w:t>FPL contends that t</w:t>
      </w:r>
      <w:r w:rsidRPr="00A2249A">
        <w:t>he security requirements in the RFP are designed to protect FPL’s customers; the reduced security requirements in the standard offer contract provide less protection to FPL’s customers</w:t>
      </w:r>
      <w:r>
        <w:t>,</w:t>
      </w:r>
      <w:r w:rsidRPr="00A2249A">
        <w:t xml:space="preserve"> but are designed to encourage the development of renewable energy resources, a specific resource for which the Legislature has encouraged development.</w:t>
      </w:r>
      <w:r w:rsidR="003D683A">
        <w:t xml:space="preserve"> </w:t>
      </w:r>
      <w:r w:rsidRPr="00A2249A">
        <w:t xml:space="preserve"> (</w:t>
      </w:r>
      <w:r w:rsidRPr="00A2249A">
        <w:rPr>
          <w:iCs/>
        </w:rPr>
        <w:t>See</w:t>
      </w:r>
      <w:r w:rsidRPr="00A2249A">
        <w:rPr>
          <w:i/>
          <w:iCs/>
        </w:rPr>
        <w:t xml:space="preserve"> </w:t>
      </w:r>
      <w:r w:rsidRPr="00A2249A">
        <w:t>Section 366.91, F.S.)</w:t>
      </w:r>
      <w:r w:rsidR="008F7FD0">
        <w:t>.</w:t>
      </w:r>
      <w:r w:rsidRPr="00A2249A">
        <w:t xml:space="preserve">  </w:t>
      </w:r>
      <w:r>
        <w:t>FPL further asserts that t</w:t>
      </w:r>
      <w:r w:rsidRPr="00A2249A">
        <w:t xml:space="preserve">he standard offer contract security provision is not designed to provide a sufficient security guarantee to ensure that adequate resources are placed in service (as an alternative to FPL’s 2019 next planned generating unit) to meet FPL’s load requirements for significant long-term capacity needs.  </w:t>
      </w:r>
      <w:r>
        <w:t xml:space="preserve">FPL concludes that </w:t>
      </w:r>
      <w:r w:rsidR="008F7FD0">
        <w:t xml:space="preserve">the </w:t>
      </w:r>
      <w:r>
        <w:t>t</w:t>
      </w:r>
      <w:r w:rsidRPr="00A2249A">
        <w:t xml:space="preserve">wo entirely different objectives lead, not surprisingly, to different security requirements.  </w:t>
      </w:r>
    </w:p>
    <w:p w:rsidR="00A3139B" w:rsidRDefault="00A3139B" w:rsidP="00A3139B">
      <w:pPr>
        <w:autoSpaceDE w:val="0"/>
        <w:autoSpaceDN w:val="0"/>
        <w:adjustRightInd w:val="0"/>
        <w:spacing w:before="240" w:after="240"/>
        <w:ind w:firstLine="720"/>
        <w:jc w:val="both"/>
      </w:pPr>
      <w:r w:rsidRPr="00A2249A">
        <w:t xml:space="preserve">Staff concurs with FPL’s position that comparing the Security </w:t>
      </w:r>
      <w:r>
        <w:t>requirement</w:t>
      </w:r>
      <w:r w:rsidRPr="00A2249A">
        <w:t xml:space="preserve">s contained in the Company’s RFP with those contained in the Company’s standard offer contract is not appropriate.  However, </w:t>
      </w:r>
      <w:r>
        <w:t xml:space="preserve">staff believes the security requirements cited by FPL are not appropriate for addressing </w:t>
      </w:r>
      <w:proofErr w:type="spellStart"/>
      <w:r>
        <w:t>DeSoto’s</w:t>
      </w:r>
      <w:proofErr w:type="spellEnd"/>
      <w:r>
        <w:t xml:space="preserve"> Objection.  Specifically, </w:t>
      </w:r>
      <w:proofErr w:type="spellStart"/>
      <w:r>
        <w:t>DeSoto</w:t>
      </w:r>
      <w:proofErr w:type="spellEnd"/>
      <w:r>
        <w:t xml:space="preserve"> objected to the Performance Security requirements for existing facilities.  The prior security requirements cited by FPL are Completion Security requirements for new construction projects.  Staff reviewed FPL</w:t>
      </w:r>
      <w:r w:rsidRPr="00A2249A">
        <w:t xml:space="preserve">’s </w:t>
      </w:r>
      <w:r>
        <w:t>last three RFP</w:t>
      </w:r>
      <w:r w:rsidRPr="00A2249A">
        <w:t xml:space="preserve">s </w:t>
      </w:r>
      <w:r>
        <w:t xml:space="preserve">and the Performance Security requirements for existing facilities in those RFPs was $144.5 per kW, </w:t>
      </w:r>
      <w:r w:rsidRPr="00A2249A">
        <w:t>$</w:t>
      </w:r>
      <w:r>
        <w:t xml:space="preserve">160 per </w:t>
      </w:r>
      <w:r w:rsidRPr="00A2249A">
        <w:t>kW</w:t>
      </w:r>
      <w:r>
        <w:t>, and $95 per kW</w:t>
      </w:r>
      <w:r w:rsidRPr="00A2249A">
        <w:t>.</w:t>
      </w:r>
    </w:p>
    <w:p w:rsidR="00A3139B" w:rsidRDefault="00A3139B" w:rsidP="00A3139B">
      <w:pPr>
        <w:autoSpaceDE w:val="0"/>
        <w:autoSpaceDN w:val="0"/>
        <w:adjustRightInd w:val="0"/>
        <w:spacing w:before="240" w:after="240"/>
        <w:ind w:firstLine="720"/>
        <w:jc w:val="both"/>
      </w:pPr>
      <w:r w:rsidRPr="00A2249A">
        <w:t xml:space="preserve">Staff recognizes that performance security </w:t>
      </w:r>
      <w:r>
        <w:t>requirement</w:t>
      </w:r>
      <w:r w:rsidRPr="00A2249A">
        <w:t xml:space="preserve">s are designed to insure that a utility can adequately replace capacity and energy in the event that </w:t>
      </w:r>
      <w:r>
        <w:t xml:space="preserve">a </w:t>
      </w:r>
      <w:r w:rsidRPr="00A2249A">
        <w:t>purchased power plant defaults on</w:t>
      </w:r>
      <w:r>
        <w:t xml:space="preserve"> its</w:t>
      </w:r>
      <w:r w:rsidRPr="00A2249A">
        <w:t xml:space="preserve"> capacity and energy delivery obligations.</w:t>
      </w:r>
      <w:r>
        <w:t xml:space="preserve">  In such an event</w:t>
      </w:r>
      <w:r w:rsidR="003D683A">
        <w:t>,</w:t>
      </w:r>
      <w:r>
        <w:t xml:space="preserve"> FPL would need to consider the purchase of replacement power or the construction of substitute generation facilities.  Given that the impact of a default event is dependent of several variables</w:t>
      </w:r>
      <w:r w:rsidR="006610BB">
        <w:t>,</w:t>
      </w:r>
      <w:r>
        <w:t xml:space="preserve"> it is difficult to prescribe a precise monetary amount that a utility should require in order to adequately protect its customers.  </w:t>
      </w:r>
    </w:p>
    <w:p w:rsidR="00752926" w:rsidRDefault="00A3139B" w:rsidP="00A3139B">
      <w:pPr>
        <w:autoSpaceDE w:val="0"/>
        <w:autoSpaceDN w:val="0"/>
        <w:adjustRightInd w:val="0"/>
        <w:spacing w:before="240" w:after="240"/>
        <w:ind w:firstLine="720"/>
        <w:jc w:val="both"/>
      </w:pPr>
      <w:r>
        <w:t xml:space="preserve">Although the performance security requirements for existing facilities contained in FPL’s current RFP is higher than past requirements, staff does not believe that </w:t>
      </w:r>
      <w:proofErr w:type="spellStart"/>
      <w:r>
        <w:t>DeSoto</w:t>
      </w:r>
      <w:proofErr w:type="spellEnd"/>
      <w:r>
        <w:t xml:space="preserve"> has provided an adequate argument to require a change at this time.  Therefore, staff believes that </w:t>
      </w:r>
      <w:r w:rsidRPr="00A2249A">
        <w:t xml:space="preserve">FPL’s Completion and Security </w:t>
      </w:r>
      <w:r>
        <w:t>requirement</w:t>
      </w:r>
      <w:r w:rsidRPr="00A2249A">
        <w:t>s do not appear to be a violation of Rule 25-22.082(5), F.A.C</w:t>
      </w:r>
      <w:r w:rsidR="00752926" w:rsidRPr="00A2249A">
        <w:t>.</w:t>
      </w:r>
    </w:p>
    <w:p w:rsidR="008F7FD0" w:rsidRDefault="008F7FD0" w:rsidP="00447024">
      <w:pPr>
        <w:autoSpaceDE w:val="0"/>
        <w:autoSpaceDN w:val="0"/>
        <w:adjustRightInd w:val="0"/>
        <w:jc w:val="both"/>
        <w:rPr>
          <w:b/>
          <w:u w:val="single"/>
        </w:rPr>
      </w:pPr>
    </w:p>
    <w:p w:rsidR="008F7FD0" w:rsidRDefault="008F7FD0" w:rsidP="00447024">
      <w:pPr>
        <w:autoSpaceDE w:val="0"/>
        <w:autoSpaceDN w:val="0"/>
        <w:adjustRightInd w:val="0"/>
        <w:jc w:val="both"/>
        <w:rPr>
          <w:b/>
          <w:u w:val="single"/>
        </w:rPr>
      </w:pPr>
    </w:p>
    <w:p w:rsidR="0073141F" w:rsidRPr="00A2249A" w:rsidRDefault="0073141F" w:rsidP="00447024">
      <w:pPr>
        <w:autoSpaceDE w:val="0"/>
        <w:autoSpaceDN w:val="0"/>
        <w:adjustRightInd w:val="0"/>
        <w:jc w:val="both"/>
        <w:rPr>
          <w:b/>
          <w:u w:val="single"/>
        </w:rPr>
      </w:pPr>
      <w:r w:rsidRPr="00A2249A">
        <w:rPr>
          <w:b/>
          <w:u w:val="single"/>
        </w:rPr>
        <w:lastRenderedPageBreak/>
        <w:t>Financial Viability Requirements</w:t>
      </w:r>
    </w:p>
    <w:p w:rsidR="0073141F" w:rsidRPr="00A2249A" w:rsidRDefault="0073141F" w:rsidP="00936131">
      <w:pPr>
        <w:jc w:val="both"/>
      </w:pPr>
    </w:p>
    <w:p w:rsidR="00203CE8" w:rsidRPr="00A2249A" w:rsidRDefault="00203CE8" w:rsidP="00204D89">
      <w:pPr>
        <w:ind w:firstLine="720"/>
        <w:jc w:val="both"/>
      </w:pPr>
      <w:r w:rsidRPr="00A2249A">
        <w:t>FPL</w:t>
      </w:r>
      <w:r w:rsidR="00C808AA">
        <w:t>’</w:t>
      </w:r>
      <w:r w:rsidR="0089729A">
        <w:t>s RFP would require each P</w:t>
      </w:r>
      <w:r w:rsidR="008F7FD0" w:rsidRPr="00A2249A">
        <w:t xml:space="preserve">roposer, or a </w:t>
      </w:r>
      <w:r w:rsidR="0089729A">
        <w:t>G</w:t>
      </w:r>
      <w:r w:rsidR="008F7FD0" w:rsidRPr="00A2249A">
        <w:t>uaranto</w:t>
      </w:r>
      <w:r w:rsidRPr="00A2249A">
        <w:t>r, to have a senior unsecured debt rating of no less than BBB- from Standard &amp; Poor</w:t>
      </w:r>
      <w:r w:rsidR="00C808AA">
        <w:t>’</w:t>
      </w:r>
      <w:r w:rsidRPr="00A2249A">
        <w:t>s or Baa3 from Moody</w:t>
      </w:r>
      <w:r w:rsidR="00C808AA">
        <w:t>’</w:t>
      </w:r>
      <w:r w:rsidRPr="00A2249A">
        <w:t xml:space="preserve">s Investors Service with a </w:t>
      </w:r>
      <w:r w:rsidR="00A3139B">
        <w:t>“stable”</w:t>
      </w:r>
      <w:r w:rsidRPr="00A2249A">
        <w:t xml:space="preserve"> outlook, and also to satisfy the Completion and Performance Security requirements </w:t>
      </w:r>
      <w:r w:rsidR="000C6BD0" w:rsidRPr="00A2249A">
        <w:t xml:space="preserve">discussed above.  </w:t>
      </w:r>
      <w:proofErr w:type="spellStart"/>
      <w:r w:rsidR="00204D89" w:rsidRPr="00A2249A">
        <w:t>DeSoto</w:t>
      </w:r>
      <w:proofErr w:type="spellEnd"/>
      <w:r w:rsidR="00204D89" w:rsidRPr="00A2249A">
        <w:t xml:space="preserve"> </w:t>
      </w:r>
      <w:r w:rsidR="008F7FD0">
        <w:t>argues</w:t>
      </w:r>
      <w:r w:rsidR="00204D89" w:rsidRPr="00A2249A">
        <w:t xml:space="preserve"> that a</w:t>
      </w:r>
      <w:r w:rsidRPr="00A2249A">
        <w:t>pplying such a requirement in addition to any Performance Security requirement is unnecessary and can only operate to restrict competitive proposals.</w:t>
      </w:r>
      <w:r w:rsidR="004801FA" w:rsidRPr="00A2249A">
        <w:t xml:space="preserve"> </w:t>
      </w:r>
      <w:r w:rsidRPr="00A2249A">
        <w:t xml:space="preserve"> Applying it to an entity such as </w:t>
      </w:r>
      <w:proofErr w:type="spellStart"/>
      <w:r w:rsidRPr="00A2249A">
        <w:t>DeSoto</w:t>
      </w:r>
      <w:proofErr w:type="spellEnd"/>
      <w:r w:rsidRPr="00A2249A">
        <w:t xml:space="preserve">, which has operated the </w:t>
      </w:r>
      <w:proofErr w:type="spellStart"/>
      <w:r w:rsidRPr="00A2249A">
        <w:t>DeSoto</w:t>
      </w:r>
      <w:proofErr w:type="spellEnd"/>
      <w:r w:rsidRPr="00A2249A">
        <w:t xml:space="preserve"> Facility successfully, responsibly, and reliably in Florida for more than a decade, and which has  previously sold capacity and energy to FPL under contracts for which the Commission approved cost recovery, is facially unreasonable and contrary to the best interests of FPL</w:t>
      </w:r>
      <w:r w:rsidR="00C808AA">
        <w:t>’</w:t>
      </w:r>
      <w:r w:rsidRPr="00A2249A">
        <w:t>s customers.</w:t>
      </w:r>
      <w:r w:rsidR="00204D89" w:rsidRPr="00A2249A">
        <w:t xml:space="preserve">  </w:t>
      </w:r>
      <w:proofErr w:type="spellStart"/>
      <w:r w:rsidRPr="00A2249A">
        <w:t>DeSoto</w:t>
      </w:r>
      <w:proofErr w:type="spellEnd"/>
      <w:r w:rsidR="008F7FD0">
        <w:t xml:space="preserve"> assert</w:t>
      </w:r>
      <w:r w:rsidRPr="00A2249A">
        <w:t xml:space="preserve">s </w:t>
      </w:r>
      <w:r w:rsidR="008F7FD0">
        <w:t xml:space="preserve">that </w:t>
      </w:r>
      <w:r w:rsidRPr="00A2249A">
        <w:t>this requirement could have the effect of foreclosing completely viable proposals from even being considered and therefore</w:t>
      </w:r>
      <w:r w:rsidR="008F7FD0">
        <w:t>,</w:t>
      </w:r>
      <w:r w:rsidRPr="00A2249A">
        <w:t xml:space="preserve"> violates Rule 25-22.082(5), F.A.C. because it is anti-competitive and thus</w:t>
      </w:r>
      <w:r w:rsidR="008F7FD0">
        <w:t>,</w:t>
      </w:r>
      <w:r w:rsidRPr="00A2249A">
        <w:t xml:space="preserve"> unfair. </w:t>
      </w:r>
    </w:p>
    <w:p w:rsidR="00203CE8" w:rsidRPr="00A2249A" w:rsidRDefault="00203CE8" w:rsidP="00203CE8">
      <w:pPr>
        <w:jc w:val="both"/>
      </w:pPr>
    </w:p>
    <w:p w:rsidR="00204D89" w:rsidRPr="00A2249A" w:rsidRDefault="00203CE8" w:rsidP="000C6BD0">
      <w:pPr>
        <w:autoSpaceDE w:val="0"/>
        <w:autoSpaceDN w:val="0"/>
        <w:adjustRightInd w:val="0"/>
        <w:ind w:firstLine="720"/>
        <w:jc w:val="both"/>
      </w:pPr>
      <w:r w:rsidRPr="00A2249A">
        <w:t xml:space="preserve">In its Response, </w:t>
      </w:r>
      <w:r w:rsidR="0073141F" w:rsidRPr="00A2249A">
        <w:t xml:space="preserve">FPL </w:t>
      </w:r>
      <w:r w:rsidR="008F7FD0">
        <w:t>acknowledges that</w:t>
      </w:r>
      <w:r w:rsidRPr="00A2249A">
        <w:t xml:space="preserve"> it </w:t>
      </w:r>
      <w:r w:rsidR="0073141F" w:rsidRPr="00A2249A">
        <w:t>is insisting that all bidders or their guarantors have an investment</w:t>
      </w:r>
      <w:r w:rsidR="00B65291" w:rsidRPr="00A2249A">
        <w:t xml:space="preserve"> </w:t>
      </w:r>
      <w:r w:rsidR="0073141F" w:rsidRPr="00A2249A">
        <w:t xml:space="preserve">grade senior unsecured debt rating to protect FPL customers. </w:t>
      </w:r>
      <w:r w:rsidR="00B65291" w:rsidRPr="00A2249A">
        <w:t xml:space="preserve"> </w:t>
      </w:r>
      <w:r w:rsidR="0073141F" w:rsidRPr="00A2249A">
        <w:t>Inviting</w:t>
      </w:r>
      <w:r w:rsidR="00B65291" w:rsidRPr="00A2249A">
        <w:t xml:space="preserve"> </w:t>
      </w:r>
      <w:r w:rsidR="0073141F" w:rsidRPr="00A2249A">
        <w:t>entities with non-investment grade, or junk bond, status to bid and potentially operate a power</w:t>
      </w:r>
      <w:r w:rsidR="00B65291" w:rsidRPr="00A2249A">
        <w:t xml:space="preserve"> </w:t>
      </w:r>
      <w:r w:rsidR="0073141F" w:rsidRPr="00A2249A">
        <w:t>plant is, at best, an unreasonable proposition and, at worst, a very poor bet with potentially</w:t>
      </w:r>
      <w:r w:rsidR="00B65291" w:rsidRPr="00A2249A">
        <w:t xml:space="preserve"> </w:t>
      </w:r>
      <w:r w:rsidR="0073141F" w:rsidRPr="00A2249A">
        <w:t>serious detrimental consequences for Florida and its electric consumers.</w:t>
      </w:r>
      <w:r w:rsidR="00204D89" w:rsidRPr="00A2249A">
        <w:t xml:space="preserve">  Considering its objections as a whole, FPL contends that </w:t>
      </w:r>
      <w:proofErr w:type="spellStart"/>
      <w:r w:rsidR="00204D89" w:rsidRPr="00A2249A">
        <w:t>DeSoto’s</w:t>
      </w:r>
      <w:proofErr w:type="spellEnd"/>
      <w:r w:rsidR="00204D89" w:rsidRPr="00A2249A">
        <w:t xml:space="preserve"> intent is to have the Commission strip away all the protective measures of the RFP to the point that a</w:t>
      </w:r>
      <w:r w:rsidR="000C6BD0" w:rsidRPr="00A2249A">
        <w:t>n independent power producer</w:t>
      </w:r>
      <w:r w:rsidR="00204D89" w:rsidRPr="00A2249A">
        <w:t xml:space="preserve"> is trusted to timely and properly complete construction and/or operation of a major power plant.</w:t>
      </w:r>
      <w:r w:rsidR="009C4AA1" w:rsidRPr="00A2249A">
        <w:t xml:space="preserve"> </w:t>
      </w:r>
      <w:r w:rsidR="00204D89" w:rsidRPr="00A2249A">
        <w:t xml:space="preserve"> In effect, </w:t>
      </w:r>
      <w:proofErr w:type="spellStart"/>
      <w:r w:rsidR="00204D89" w:rsidRPr="00A2249A">
        <w:t>DeSoto</w:t>
      </w:r>
      <w:proofErr w:type="spellEnd"/>
      <w:r w:rsidR="00204D89" w:rsidRPr="00A2249A">
        <w:t xml:space="preserve"> would have </w:t>
      </w:r>
      <w:r w:rsidR="00204D89" w:rsidRPr="00A2249A">
        <w:rPr>
          <w:sz w:val="25"/>
          <w:szCs w:val="25"/>
        </w:rPr>
        <w:t xml:space="preserve">FPL </w:t>
      </w:r>
      <w:r w:rsidR="00204D89" w:rsidRPr="00A2249A">
        <w:t xml:space="preserve">and its customers rely almost wholly on “step-in” rights in the event of bankruptcy or non-performance, including </w:t>
      </w:r>
      <w:r w:rsidR="000C6BD0" w:rsidRPr="00A2249A">
        <w:t>whe</w:t>
      </w:r>
      <w:r w:rsidR="008F7FD0">
        <w:t>n</w:t>
      </w:r>
      <w:r w:rsidR="000C6BD0" w:rsidRPr="00A2249A">
        <w:t xml:space="preserve"> the p</w:t>
      </w:r>
      <w:r w:rsidR="00204D89" w:rsidRPr="00A2249A">
        <w:t>roposer simply makes an economic decision to abandon the project.</w:t>
      </w:r>
      <w:r w:rsidR="000C6BD0" w:rsidRPr="00A2249A">
        <w:t xml:space="preserve">  </w:t>
      </w:r>
      <w:r w:rsidR="00204D89" w:rsidRPr="00A2249A">
        <w:t>FPL has employed minimum financial viability requirements in its RFPs in 2007, 2005, and 2003.</w:t>
      </w:r>
      <w:r w:rsidR="009C4AA1" w:rsidRPr="00A2249A">
        <w:t xml:space="preserve"> </w:t>
      </w:r>
      <w:r w:rsidR="00204D89" w:rsidRPr="00A2249A">
        <w:t xml:space="preserve"> In the two most recent RFPs, the minimum financial viability criteria were not protested.</w:t>
      </w:r>
      <w:r w:rsidR="009C4AA1" w:rsidRPr="00A2249A">
        <w:t xml:space="preserve"> </w:t>
      </w:r>
      <w:r w:rsidR="00204D89" w:rsidRPr="00A2249A">
        <w:t xml:space="preserve"> In FPL’s 2003 capacity RFP, FPL’s minimum financial viability requirements were protested, and the Commission found no violatio</w:t>
      </w:r>
      <w:r w:rsidR="00AA6E5B">
        <w:t>n of the Bid Rule in that case</w:t>
      </w:r>
      <w:r w:rsidR="00204D89" w:rsidRPr="00A2249A">
        <w:t xml:space="preserve"> (See Docket No. 030844</w:t>
      </w:r>
      <w:r w:rsidR="00BF4AB6" w:rsidRPr="00A2249A">
        <w:t>-EU</w:t>
      </w:r>
      <w:r w:rsidR="00204D89" w:rsidRPr="00A2249A">
        <w:t>)</w:t>
      </w:r>
      <w:r w:rsidR="00AA6E5B">
        <w:t>.</w:t>
      </w:r>
    </w:p>
    <w:p w:rsidR="00204D89" w:rsidRPr="00A2249A" w:rsidRDefault="00204D89" w:rsidP="00936131">
      <w:pPr>
        <w:autoSpaceDE w:val="0"/>
        <w:autoSpaceDN w:val="0"/>
        <w:adjustRightInd w:val="0"/>
        <w:jc w:val="both"/>
      </w:pPr>
    </w:p>
    <w:p w:rsidR="00204D89" w:rsidRPr="00A2249A" w:rsidRDefault="00446ED8" w:rsidP="00204D89">
      <w:pPr>
        <w:autoSpaceDE w:val="0"/>
        <w:autoSpaceDN w:val="0"/>
        <w:adjustRightInd w:val="0"/>
        <w:ind w:firstLine="720"/>
        <w:jc w:val="both"/>
      </w:pPr>
      <w:r w:rsidRPr="00A2249A">
        <w:t>Staff recognizes that f</w:t>
      </w:r>
      <w:r w:rsidR="00204D89" w:rsidRPr="00A2249A">
        <w:t xml:space="preserve">inancial viability requirements are designed to </w:t>
      </w:r>
      <w:r w:rsidR="00045E9E" w:rsidRPr="00A2249A">
        <w:t xml:space="preserve">minimize the financial risk </w:t>
      </w:r>
      <w:r w:rsidR="00204D89" w:rsidRPr="00A2249A">
        <w:t xml:space="preserve">that major generation projects are completed on time for the benefit of utility customers.  The </w:t>
      </w:r>
      <w:r w:rsidR="00045E9E" w:rsidRPr="00A2249A">
        <w:t>requirements</w:t>
      </w:r>
      <w:r w:rsidR="00204D89" w:rsidRPr="00A2249A">
        <w:t xml:space="preserve"> contained in FPL’s current RFP are consistent with past successful and uncontested solicitations</w:t>
      </w:r>
      <w:r w:rsidR="00045E9E" w:rsidRPr="00A2249A">
        <w:t>.  Lowering or removing these requirements would transfer the risk to FPL’s customers.</w:t>
      </w:r>
      <w:r w:rsidR="00204D89" w:rsidRPr="00A2249A">
        <w:t xml:space="preserve">  Therefore, this objection does not appear to be a violation of Rule 25-22.082(5), F.A.C.</w:t>
      </w:r>
    </w:p>
    <w:p w:rsidR="0073141F" w:rsidRPr="00A2249A" w:rsidRDefault="0073141F" w:rsidP="00204D89">
      <w:pPr>
        <w:autoSpaceDE w:val="0"/>
        <w:autoSpaceDN w:val="0"/>
        <w:adjustRightInd w:val="0"/>
        <w:jc w:val="both"/>
      </w:pPr>
      <w:r w:rsidRPr="00A2249A">
        <w:t xml:space="preserve"> </w:t>
      </w:r>
    </w:p>
    <w:p w:rsidR="0073141F" w:rsidRPr="00A2249A" w:rsidRDefault="0073141F" w:rsidP="00045E9E">
      <w:pPr>
        <w:autoSpaceDE w:val="0"/>
        <w:autoSpaceDN w:val="0"/>
        <w:adjustRightInd w:val="0"/>
        <w:jc w:val="both"/>
        <w:rPr>
          <w:b/>
          <w:u w:val="single"/>
        </w:rPr>
      </w:pPr>
      <w:r w:rsidRPr="00A2249A">
        <w:rPr>
          <w:b/>
          <w:u w:val="single"/>
        </w:rPr>
        <w:t xml:space="preserve">Original Equipment Manufacturer (OEM) </w:t>
      </w:r>
      <w:r w:rsidR="00045E9E" w:rsidRPr="00A2249A">
        <w:rPr>
          <w:b/>
          <w:u w:val="single"/>
        </w:rPr>
        <w:t>P</w:t>
      </w:r>
      <w:r w:rsidRPr="00A2249A">
        <w:rPr>
          <w:b/>
          <w:u w:val="single"/>
        </w:rPr>
        <w:t xml:space="preserve">arts </w:t>
      </w:r>
      <w:r w:rsidR="00045E9E" w:rsidRPr="00A2249A">
        <w:rPr>
          <w:b/>
          <w:u w:val="single"/>
        </w:rPr>
        <w:t>for Critical Components</w:t>
      </w:r>
    </w:p>
    <w:p w:rsidR="0073141F" w:rsidRPr="00A2249A" w:rsidRDefault="0073141F" w:rsidP="00936131">
      <w:pPr>
        <w:autoSpaceDE w:val="0"/>
        <w:autoSpaceDN w:val="0"/>
        <w:adjustRightInd w:val="0"/>
        <w:ind w:left="720" w:hanging="630"/>
        <w:jc w:val="both"/>
      </w:pPr>
    </w:p>
    <w:p w:rsidR="00045E9E" w:rsidRPr="00A2249A" w:rsidRDefault="00045E9E" w:rsidP="009B5E68">
      <w:pPr>
        <w:autoSpaceDE w:val="0"/>
        <w:autoSpaceDN w:val="0"/>
        <w:adjustRightInd w:val="0"/>
        <w:ind w:firstLine="720"/>
        <w:jc w:val="both"/>
      </w:pPr>
      <w:r w:rsidRPr="00A2249A">
        <w:t>FPL</w:t>
      </w:r>
      <w:r w:rsidR="00C808AA">
        <w:t>’</w:t>
      </w:r>
      <w:r w:rsidRPr="00A2249A">
        <w:t xml:space="preserve">s RFP would require that proposers of PPAs could only use </w:t>
      </w:r>
      <w:r w:rsidR="00835CEB" w:rsidRPr="00A2249A">
        <w:t>OEM</w:t>
      </w:r>
      <w:r w:rsidRPr="00A2249A">
        <w:t xml:space="preserve"> parts for certain </w:t>
      </w:r>
      <w:r w:rsidR="00CE2C06" w:rsidRPr="00A2249A">
        <w:t>GT</w:t>
      </w:r>
      <w:r w:rsidR="000C6BD0" w:rsidRPr="00A2249A">
        <w:t xml:space="preserve"> components.  </w:t>
      </w:r>
      <w:proofErr w:type="spellStart"/>
      <w:r w:rsidR="00835CEB" w:rsidRPr="00A2249A">
        <w:t>DeSoto</w:t>
      </w:r>
      <w:proofErr w:type="spellEnd"/>
      <w:r w:rsidR="00835CEB" w:rsidRPr="00A2249A">
        <w:t xml:space="preserve"> </w:t>
      </w:r>
      <w:r w:rsidR="008F7FD0">
        <w:t>asserts that</w:t>
      </w:r>
      <w:r w:rsidR="00835CEB" w:rsidRPr="00A2249A">
        <w:t xml:space="preserve"> </w:t>
      </w:r>
      <w:r w:rsidRPr="00A2249A">
        <w:t>this requirement is unfair, and thus</w:t>
      </w:r>
      <w:r w:rsidR="008F7FD0">
        <w:t>,</w:t>
      </w:r>
      <w:r w:rsidRPr="00A2249A">
        <w:t xml:space="preserve"> violates Rule 25-22.082(5), F.A.C., because it would impose unnecessary costs on potential participants.</w:t>
      </w:r>
      <w:r w:rsidR="00FD4D06" w:rsidRPr="00A2249A">
        <w:t xml:space="preserve"> </w:t>
      </w:r>
      <w:r w:rsidRPr="00A2249A">
        <w:t xml:space="preserve"> It is also inconsistent with the fundamental purposes of the Bid Rule itself because it is at least potentially counter-productive, when applied to PPA proposals from existing generating facilities, because the PPA itself would contain defined criteria for the actual </w:t>
      </w:r>
      <w:r w:rsidR="00835CEB" w:rsidRPr="00A2249A">
        <w:t xml:space="preserve">performance </w:t>
      </w:r>
      <w:r w:rsidRPr="00A2249A">
        <w:t xml:space="preserve">of the unit or units from </w:t>
      </w:r>
      <w:r w:rsidRPr="00A2249A">
        <w:lastRenderedPageBreak/>
        <w:t xml:space="preserve">which the PPA was being </w:t>
      </w:r>
      <w:r w:rsidR="00835CEB" w:rsidRPr="00A2249A">
        <w:t>served.</w:t>
      </w:r>
      <w:r w:rsidR="00FA63A2" w:rsidRPr="00A2249A">
        <w:t xml:space="preserve"> </w:t>
      </w:r>
      <w:r w:rsidRPr="00A2249A">
        <w:t xml:space="preserve"> Additionally,</w:t>
      </w:r>
      <w:r w:rsidR="00835CEB" w:rsidRPr="00A2249A">
        <w:t xml:space="preserve"> </w:t>
      </w:r>
      <w:proofErr w:type="spellStart"/>
      <w:r w:rsidR="00835CEB" w:rsidRPr="00A2249A">
        <w:t>DeSoto</w:t>
      </w:r>
      <w:proofErr w:type="spellEnd"/>
      <w:r w:rsidR="00835CEB" w:rsidRPr="00A2249A">
        <w:t xml:space="preserve"> </w:t>
      </w:r>
      <w:r w:rsidR="008F7FD0">
        <w:t>argues</w:t>
      </w:r>
      <w:r w:rsidR="00835CEB" w:rsidRPr="00A2249A">
        <w:t xml:space="preserve"> that s</w:t>
      </w:r>
      <w:r w:rsidRPr="00A2249A">
        <w:t>ome other parts suppliers</w:t>
      </w:r>
      <w:r w:rsidR="00C808AA">
        <w:t>’</w:t>
      </w:r>
      <w:r w:rsidRPr="00A2249A">
        <w:t xml:space="preserve"> have proven better than OEM equipment.</w:t>
      </w:r>
    </w:p>
    <w:p w:rsidR="00835CEB" w:rsidRPr="00A2249A" w:rsidRDefault="00835CEB" w:rsidP="009B5E68">
      <w:pPr>
        <w:autoSpaceDE w:val="0"/>
        <w:autoSpaceDN w:val="0"/>
        <w:adjustRightInd w:val="0"/>
        <w:jc w:val="both"/>
        <w:rPr>
          <w:b/>
          <w:u w:val="single"/>
        </w:rPr>
      </w:pPr>
    </w:p>
    <w:p w:rsidR="0073141F" w:rsidRPr="00A2249A" w:rsidRDefault="00835CEB" w:rsidP="00446ED8">
      <w:pPr>
        <w:autoSpaceDE w:val="0"/>
        <w:autoSpaceDN w:val="0"/>
        <w:adjustRightInd w:val="0"/>
        <w:ind w:firstLine="720"/>
        <w:jc w:val="both"/>
      </w:pPr>
      <w:r w:rsidRPr="00A2249A">
        <w:t>I</w:t>
      </w:r>
      <w:r w:rsidR="000C6BD0" w:rsidRPr="00A2249A">
        <w:t xml:space="preserve">n its Response, </w:t>
      </w:r>
      <w:r w:rsidR="0073141F" w:rsidRPr="00A2249A">
        <w:t>F</w:t>
      </w:r>
      <w:r w:rsidRPr="00A2249A">
        <w:t xml:space="preserve">PL </w:t>
      </w:r>
      <w:r w:rsidR="008F7FD0">
        <w:t>asserts that</w:t>
      </w:r>
      <w:r w:rsidR="0073141F" w:rsidRPr="00A2249A">
        <w:t xml:space="preserve"> the use of non-OEM parts for critical hot gas path components is not</w:t>
      </w:r>
      <w:r w:rsidR="005F49B0" w:rsidRPr="00A2249A">
        <w:t xml:space="preserve"> </w:t>
      </w:r>
      <w:r w:rsidR="0073141F" w:rsidRPr="00A2249A">
        <w:t>in the best interests of FPL’s customers.</w:t>
      </w:r>
      <w:r w:rsidR="000C6BD0" w:rsidRPr="00A2249A">
        <w:t xml:space="preserve">  </w:t>
      </w:r>
      <w:r w:rsidR="0073141F" w:rsidRPr="00A2249A">
        <w:t>The use of non-OEM parts for critical hot gas</w:t>
      </w:r>
      <w:r w:rsidR="005F49B0" w:rsidRPr="00A2249A">
        <w:t xml:space="preserve"> </w:t>
      </w:r>
      <w:r w:rsidR="0073141F" w:rsidRPr="00A2249A">
        <w:t>components presents real risks (both reliability and availabi</w:t>
      </w:r>
      <w:r w:rsidR="000C6BD0" w:rsidRPr="00A2249A">
        <w:t xml:space="preserve">lity risks) to FPL’s customers.  </w:t>
      </w:r>
      <w:r w:rsidR="0073141F" w:rsidRPr="00A2249A">
        <w:t>It is</w:t>
      </w:r>
      <w:r w:rsidR="005F49B0" w:rsidRPr="00A2249A">
        <w:t xml:space="preserve"> </w:t>
      </w:r>
      <w:r w:rsidR="0073141F" w:rsidRPr="00A2249A">
        <w:t>because of this risk that FPL requires the use of OEM parts for critical hot gas path components</w:t>
      </w:r>
      <w:r w:rsidR="005F49B0" w:rsidRPr="00A2249A">
        <w:t xml:space="preserve"> </w:t>
      </w:r>
      <w:r w:rsidR="0073141F" w:rsidRPr="00A2249A">
        <w:t>for its own units.</w:t>
      </w:r>
      <w:r w:rsidR="005F49B0" w:rsidRPr="00A2249A">
        <w:t xml:space="preserve">  </w:t>
      </w:r>
      <w:r w:rsidR="0073141F" w:rsidRPr="00A2249A">
        <w:t>In considering this minimum requirement, it is important to remember that under the Bid</w:t>
      </w:r>
      <w:r w:rsidR="005F49B0" w:rsidRPr="00A2249A">
        <w:t xml:space="preserve"> </w:t>
      </w:r>
      <w:r w:rsidR="0073141F" w:rsidRPr="00A2249A">
        <w:t xml:space="preserve">Rule proposals are compared to FPL’s </w:t>
      </w:r>
      <w:r w:rsidR="00446ED8" w:rsidRPr="00A2249A">
        <w:t xml:space="preserve">next planned generating unit, which </w:t>
      </w:r>
      <w:r w:rsidR="0073141F" w:rsidRPr="00A2249A">
        <w:t>will be held to the same exacting</w:t>
      </w:r>
      <w:r w:rsidR="005F49B0" w:rsidRPr="00A2249A">
        <w:t xml:space="preserve"> </w:t>
      </w:r>
      <w:r w:rsidR="0073141F" w:rsidRPr="00A2249A">
        <w:t xml:space="preserve">standard if it should be found to be FPL’s best </w:t>
      </w:r>
      <w:r w:rsidR="000C6BD0" w:rsidRPr="00A2249A">
        <w:t xml:space="preserve">and most cost-effective option.  </w:t>
      </w:r>
      <w:r w:rsidR="0073141F" w:rsidRPr="00A2249A">
        <w:t xml:space="preserve">Contrary to </w:t>
      </w:r>
      <w:proofErr w:type="spellStart"/>
      <w:r w:rsidR="0073141F" w:rsidRPr="00A2249A">
        <w:t>DeSoto’s</w:t>
      </w:r>
      <w:proofErr w:type="spellEnd"/>
      <w:r w:rsidR="0073141F" w:rsidRPr="00A2249A">
        <w:t xml:space="preserve"> claim that the OEM requirement is unfair by requiring all –</w:t>
      </w:r>
      <w:r w:rsidR="005F49B0" w:rsidRPr="00A2249A">
        <w:t xml:space="preserve"> </w:t>
      </w:r>
      <w:r w:rsidR="0073141F" w:rsidRPr="00A2249A">
        <w:t xml:space="preserve">including FPL’s </w:t>
      </w:r>
      <w:r w:rsidR="00446ED8" w:rsidRPr="00A2249A">
        <w:t>self-build option</w:t>
      </w:r>
      <w:r w:rsidR="0073141F" w:rsidRPr="00A2249A">
        <w:t xml:space="preserve"> – to use OEM parts, FPL is in fact establishing greater fairness among</w:t>
      </w:r>
      <w:r w:rsidR="005F49B0" w:rsidRPr="00A2249A">
        <w:t xml:space="preserve"> </w:t>
      </w:r>
      <w:r w:rsidR="0073141F" w:rsidRPr="00A2249A">
        <w:t xml:space="preserve">bids (a level playing field), and promoting reliability for </w:t>
      </w:r>
      <w:r w:rsidR="000C6BD0" w:rsidRPr="00A2249A">
        <w:t xml:space="preserve">the benefit of FPL’s customers.  </w:t>
      </w:r>
      <w:r w:rsidR="0073141F" w:rsidRPr="00A2249A">
        <w:t>No bidder is disadvantaged in this regard relative to another.</w:t>
      </w:r>
      <w:r w:rsidR="005F49B0" w:rsidRPr="00A2249A">
        <w:t xml:space="preserve">  </w:t>
      </w:r>
      <w:r w:rsidR="0073141F" w:rsidRPr="00A2249A">
        <w:t>In other words, by requiring every bidder to use and</w:t>
      </w:r>
      <w:r w:rsidR="005F49B0" w:rsidRPr="00A2249A">
        <w:t xml:space="preserve"> </w:t>
      </w:r>
      <w:r w:rsidR="0073141F" w:rsidRPr="00A2249A">
        <w:t>properly maintain OEM parts, FPL has removed the OEM parts cost issue and the OEM parts</w:t>
      </w:r>
      <w:r w:rsidR="005F49B0" w:rsidRPr="00A2249A">
        <w:t xml:space="preserve"> </w:t>
      </w:r>
      <w:r w:rsidR="0073141F" w:rsidRPr="00A2249A">
        <w:t>reliability issue, as points of contention, and FPL has established a fair, level playing field for all</w:t>
      </w:r>
      <w:r w:rsidR="005F49B0" w:rsidRPr="00A2249A">
        <w:t xml:space="preserve"> </w:t>
      </w:r>
      <w:r w:rsidR="0073141F" w:rsidRPr="00A2249A">
        <w:t>parties to compete.</w:t>
      </w:r>
    </w:p>
    <w:p w:rsidR="00446ED8" w:rsidRPr="00A2249A" w:rsidRDefault="00446ED8" w:rsidP="00446ED8">
      <w:pPr>
        <w:autoSpaceDE w:val="0"/>
        <w:autoSpaceDN w:val="0"/>
        <w:adjustRightInd w:val="0"/>
        <w:ind w:firstLine="720"/>
        <w:jc w:val="both"/>
      </w:pPr>
    </w:p>
    <w:p w:rsidR="00446ED8" w:rsidRPr="00A2249A" w:rsidRDefault="00A2249A" w:rsidP="00446ED8">
      <w:pPr>
        <w:autoSpaceDE w:val="0"/>
        <w:autoSpaceDN w:val="0"/>
        <w:adjustRightInd w:val="0"/>
        <w:ind w:firstLine="720"/>
        <w:jc w:val="both"/>
      </w:pPr>
      <w:r>
        <w:t>Staff believes t</w:t>
      </w:r>
      <w:r w:rsidR="00446ED8" w:rsidRPr="00A2249A">
        <w:t>he requirement to utilize OEM parts insures that reliability will not be adversely affected and that all equipment warranties will remain in force.  Since FPL is also held to this standard for its self-build option, this objection does not appear to be a violation of Rule 25-22.082(5), F.A.C.</w:t>
      </w:r>
    </w:p>
    <w:p w:rsidR="00A2249A" w:rsidRPr="00A2249A" w:rsidRDefault="00A2249A" w:rsidP="00A2249A">
      <w:pPr>
        <w:autoSpaceDE w:val="0"/>
        <w:autoSpaceDN w:val="0"/>
        <w:adjustRightInd w:val="0"/>
        <w:spacing w:before="240" w:after="240"/>
        <w:jc w:val="both"/>
        <w:rPr>
          <w:b/>
          <w:i/>
        </w:rPr>
      </w:pPr>
      <w:r w:rsidRPr="00A2249A">
        <w:rPr>
          <w:b/>
          <w:i/>
        </w:rPr>
        <w:t xml:space="preserve">Conclusion </w:t>
      </w:r>
    </w:p>
    <w:p w:rsidR="00782F0C" w:rsidRPr="00A2249A" w:rsidRDefault="00A2249A" w:rsidP="00A2249A">
      <w:pPr>
        <w:autoSpaceDE w:val="0"/>
        <w:autoSpaceDN w:val="0"/>
        <w:adjustRightInd w:val="0"/>
        <w:spacing w:before="240" w:after="240"/>
        <w:ind w:firstLine="720"/>
        <w:jc w:val="both"/>
      </w:pPr>
      <w:r w:rsidRPr="00A2249A">
        <w:t>Desoto’s objections to FPL’s Request for Proposals do not indicate any terms which are unfair, unduly discriminatory, onerous, or commercially infeasible pursuant to Rule 25-22.082(5), F.A.C.</w:t>
      </w:r>
      <w:r>
        <w:tab/>
      </w:r>
    </w:p>
    <w:p w:rsidR="003A0C3E" w:rsidRPr="00A2249A" w:rsidRDefault="003A0C3E" w:rsidP="00936131">
      <w:pPr>
        <w:pStyle w:val="IssueHeading"/>
        <w:rPr>
          <w:vanish/>
          <w:specVanish/>
        </w:rPr>
      </w:pPr>
      <w:r w:rsidRPr="00A2249A">
        <w:br w:type="page"/>
      </w:r>
      <w:r w:rsidRPr="00A2249A">
        <w:rPr>
          <w:b/>
          <w:u w:val="single"/>
        </w:rPr>
        <w:lastRenderedPageBreak/>
        <w:t xml:space="preserve">Issue </w:t>
      </w:r>
      <w:r w:rsidRPr="00A2249A">
        <w:rPr>
          <w:b/>
          <w:u w:val="single"/>
        </w:rPr>
        <w:fldChar w:fldCharType="begin"/>
      </w:r>
      <w:r w:rsidRPr="00A2249A">
        <w:rPr>
          <w:b/>
          <w:u w:val="single"/>
        </w:rPr>
        <w:instrText xml:space="preserve"> SEQ Issue \* MERGEFORMAT </w:instrText>
      </w:r>
      <w:r w:rsidRPr="00A2249A">
        <w:rPr>
          <w:b/>
          <w:u w:val="single"/>
        </w:rPr>
        <w:fldChar w:fldCharType="separate"/>
      </w:r>
      <w:r w:rsidR="00825DFE">
        <w:rPr>
          <w:b/>
          <w:noProof/>
          <w:u w:val="single"/>
        </w:rPr>
        <w:t>2</w:t>
      </w:r>
      <w:r w:rsidRPr="00A2249A">
        <w:rPr>
          <w:b/>
          <w:u w:val="single"/>
        </w:rPr>
        <w:fldChar w:fldCharType="end"/>
      </w:r>
      <w:r w:rsidRPr="00A2249A">
        <w:t>:</w:t>
      </w:r>
      <w:r w:rsidRPr="00A2249A">
        <w:fldChar w:fldCharType="begin"/>
      </w:r>
      <w:r w:rsidRPr="00A2249A">
        <w:instrText xml:space="preserve"> TC "</w:instrText>
      </w:r>
      <w:r w:rsidRPr="00A2249A">
        <w:fldChar w:fldCharType="begin"/>
      </w:r>
      <w:r w:rsidRPr="00A2249A">
        <w:instrText xml:space="preserve"> SEQ issue \c </w:instrText>
      </w:r>
      <w:r w:rsidRPr="00A2249A">
        <w:fldChar w:fldCharType="separate"/>
      </w:r>
      <w:r w:rsidR="00825DFE">
        <w:rPr>
          <w:noProof/>
        </w:rPr>
        <w:instrText>2</w:instrText>
      </w:r>
      <w:r w:rsidRPr="00A2249A">
        <w:fldChar w:fldCharType="end"/>
      </w:r>
      <w:r w:rsidRPr="00A2249A">
        <w:tab/>
        <w:instrText xml:space="preserve">" \l 1 </w:instrText>
      </w:r>
      <w:r w:rsidRPr="00A2249A">
        <w:fldChar w:fldCharType="end"/>
      </w:r>
      <w:r w:rsidRPr="00A2249A">
        <w:t> </w:t>
      </w:r>
    </w:p>
    <w:p w:rsidR="003A0C3E" w:rsidRPr="00A2249A" w:rsidRDefault="003A0C3E">
      <w:pPr>
        <w:pStyle w:val="BodyText"/>
      </w:pPr>
      <w:r w:rsidRPr="00A2249A">
        <w:t> </w:t>
      </w:r>
      <w:r w:rsidR="007D3825" w:rsidRPr="00A2249A">
        <w:t>Should this docket be closed?</w:t>
      </w:r>
    </w:p>
    <w:p w:rsidR="003A0C3E" w:rsidRPr="00A2249A" w:rsidRDefault="003A0C3E">
      <w:pPr>
        <w:pStyle w:val="IssueSubsectionHeading"/>
        <w:rPr>
          <w:vanish/>
          <w:specVanish/>
        </w:rPr>
      </w:pPr>
      <w:r w:rsidRPr="00A2249A">
        <w:rPr>
          <w:b/>
          <w:u w:val="single"/>
        </w:rPr>
        <w:t>Recommendation</w:t>
      </w:r>
      <w:r w:rsidRPr="00A2249A">
        <w:t>: </w:t>
      </w:r>
    </w:p>
    <w:p w:rsidR="003A0C3E" w:rsidRPr="00A2249A" w:rsidRDefault="003A0C3E">
      <w:pPr>
        <w:pStyle w:val="BodyText"/>
      </w:pPr>
      <w:r w:rsidRPr="00A2249A">
        <w:t> </w:t>
      </w:r>
      <w:r w:rsidR="007D3825" w:rsidRPr="00A2249A">
        <w:t>Yes. The docket to address objections to FPL’s RFP on a preliminary basis pursuant to Rule 25-22.082, F.A.C., should be closed.</w:t>
      </w:r>
      <w:r w:rsidRPr="00A2249A">
        <w:t xml:space="preserve"> </w:t>
      </w:r>
      <w:r w:rsidR="0080365F" w:rsidRPr="00A2249A">
        <w:t>(Murphy)</w:t>
      </w:r>
    </w:p>
    <w:p w:rsidR="003A0C3E" w:rsidRPr="00A2249A" w:rsidRDefault="003A0C3E">
      <w:pPr>
        <w:pStyle w:val="IssueSubsectionHeading"/>
        <w:rPr>
          <w:vanish/>
          <w:specVanish/>
        </w:rPr>
      </w:pPr>
      <w:r w:rsidRPr="00A2249A">
        <w:rPr>
          <w:b/>
          <w:u w:val="single"/>
        </w:rPr>
        <w:t>Staff Analysis</w:t>
      </w:r>
      <w:r w:rsidRPr="00A2249A">
        <w:t>: </w:t>
      </w:r>
    </w:p>
    <w:p w:rsidR="003A0C3E" w:rsidRPr="00A2249A" w:rsidRDefault="003A0C3E">
      <w:pPr>
        <w:pStyle w:val="BodyText"/>
      </w:pPr>
      <w:r w:rsidRPr="00A2249A">
        <w:t> </w:t>
      </w:r>
      <w:r w:rsidR="007D3825" w:rsidRPr="00A2249A">
        <w:t>This docket should be closed, other issues related to this subject may be raised by the appropriate parties to the future need determination proceeding.</w:t>
      </w:r>
    </w:p>
    <w:p w:rsidR="003D11AE" w:rsidRPr="00A2249A" w:rsidRDefault="003D11AE" w:rsidP="0066303A">
      <w:pPr>
        <w:pStyle w:val="IssueHeading"/>
      </w:pPr>
    </w:p>
    <w:sectPr w:rsidR="003D11AE" w:rsidRPr="00A2249A"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7EE" w:rsidRDefault="00FF47EE">
      <w:r>
        <w:separator/>
      </w:r>
    </w:p>
  </w:endnote>
  <w:endnote w:type="continuationSeparator" w:id="0">
    <w:p w:rsidR="00FF47EE" w:rsidRDefault="00FF4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eddingText BT">
    <w:panose1 w:val="03040702040608040804"/>
    <w:charset w:val="00"/>
    <w:family w:val="script"/>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7EE" w:rsidRDefault="00FF47E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01FAB">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7EE" w:rsidRDefault="00FF47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7EE" w:rsidRDefault="00FF47EE">
      <w:r>
        <w:separator/>
      </w:r>
    </w:p>
  </w:footnote>
  <w:footnote w:type="continuationSeparator" w:id="0">
    <w:p w:rsidR="00FF47EE" w:rsidRDefault="00FF47EE">
      <w:r>
        <w:continuationSeparator/>
      </w:r>
    </w:p>
  </w:footnote>
  <w:footnote w:id="1">
    <w:p w:rsidR="00FF47EE" w:rsidRDefault="00FF47EE" w:rsidP="007D3825">
      <w:pPr>
        <w:pStyle w:val="FootnoteText"/>
      </w:pPr>
      <w:r>
        <w:rPr>
          <w:rStyle w:val="FootnoteReference"/>
        </w:rPr>
        <w:footnoteRef/>
      </w:r>
      <w:r>
        <w:t xml:space="preserve"> Although </w:t>
      </w:r>
      <w:proofErr w:type="spellStart"/>
      <w:r>
        <w:t>DeSoto</w:t>
      </w:r>
      <w:proofErr w:type="spellEnd"/>
      <w:r>
        <w:t xml:space="preserve"> also field a Request for Oral Argument, no decision is needed with respect to that filing because Rule 25-22.082(12), F.A.C., provides that the Commission is to make its decision in this matter “based on the written submission and oral argument by the Objector and the public utility.”  </w:t>
      </w:r>
    </w:p>
  </w:footnote>
  <w:footnote w:id="2">
    <w:p w:rsidR="00FF47EE" w:rsidRDefault="00FF47EE" w:rsidP="007D3825">
      <w:pPr>
        <w:pStyle w:val="FootnoteText"/>
      </w:pPr>
      <w:r>
        <w:rPr>
          <w:rStyle w:val="FootnoteReference"/>
        </w:rPr>
        <w:footnoteRef/>
      </w:r>
      <w:r>
        <w:t xml:space="preserve"> The objection process was previously used in Docket No. 030884-EU.  In that instance, no order was issued and the docket was closed administratively.</w:t>
      </w:r>
      <w:r w:rsidR="00A2100B">
        <w:t xml:space="preserve"> </w:t>
      </w:r>
      <w:r>
        <w:t xml:space="preserve"> There was no motion or vote of the Commission; nonetheless, based upon the discussion of the Commissioners, the Commission did answer the question before it regarding whether objections to FPL’s RFP reflected a violation of Rule 25-22.082, F.A.C.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7EE" w:rsidRDefault="00FF47EE" w:rsidP="00220732">
    <w:pPr>
      <w:pStyle w:val="Header"/>
      <w:tabs>
        <w:tab w:val="clear" w:pos="4320"/>
        <w:tab w:val="clear" w:pos="8640"/>
        <w:tab w:val="right" w:pos="9360"/>
      </w:tabs>
    </w:pPr>
    <w:bookmarkStart w:id="14" w:name="DocketLabel"/>
    <w:r>
      <w:t>Docket No.</w:t>
    </w:r>
    <w:bookmarkEnd w:id="14"/>
    <w:r>
      <w:t xml:space="preserve"> </w:t>
    </w:r>
    <w:bookmarkStart w:id="15" w:name="DocketList"/>
    <w:r>
      <w:t>150100-EI</w:t>
    </w:r>
    <w:bookmarkEnd w:id="15"/>
  </w:p>
  <w:p w:rsidR="00FF47EE" w:rsidRDefault="00FF47EE">
    <w:pPr>
      <w:pStyle w:val="Header"/>
    </w:pPr>
    <w:r>
      <w:t xml:space="preserve">Date: </w:t>
    </w:r>
    <w:fldSimple w:instr=" REF FilingDate ">
      <w:r w:rsidR="00825DFE" w:rsidRPr="00A2249A">
        <w:t>April 7, 2015</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7EE" w:rsidRDefault="00FF47EE" w:rsidP="00220732">
    <w:pPr>
      <w:pStyle w:val="Header"/>
      <w:tabs>
        <w:tab w:val="clear" w:pos="4320"/>
        <w:tab w:val="clear" w:pos="8640"/>
        <w:tab w:val="right" w:pos="9360"/>
      </w:tabs>
    </w:pPr>
    <w:r>
      <w:fldChar w:fldCharType="begin"/>
    </w:r>
    <w:r>
      <w:instrText xml:space="preserve"> REF DocketLabel</w:instrText>
    </w:r>
    <w:r>
      <w:fldChar w:fldCharType="separate"/>
    </w:r>
    <w:r w:rsidR="00825DFE">
      <w:t>Docket No.</w:t>
    </w:r>
    <w:r>
      <w:fldChar w:fldCharType="end"/>
    </w:r>
    <w:r>
      <w:t xml:space="preserve"> </w:t>
    </w:r>
    <w:r>
      <w:fldChar w:fldCharType="begin"/>
    </w:r>
    <w:r>
      <w:instrText xml:space="preserve"> REF DocketList</w:instrText>
    </w:r>
    <w:r>
      <w:fldChar w:fldCharType="separate"/>
    </w:r>
    <w:r w:rsidR="00825DFE">
      <w:t>150100-EI</w:t>
    </w:r>
    <w:r>
      <w:fldChar w:fldCharType="end"/>
    </w:r>
    <w:r>
      <w:tab/>
      <w:t xml:space="preserve">Issue </w:t>
    </w:r>
    <w:fldSimple w:instr=" Seq Issue \c \* Arabic ">
      <w:r w:rsidR="00A01FAB">
        <w:rPr>
          <w:noProof/>
        </w:rPr>
        <w:t>1</w:t>
      </w:r>
    </w:fldSimple>
  </w:p>
  <w:p w:rsidR="00FF47EE" w:rsidRDefault="00FF47EE">
    <w:pPr>
      <w:pStyle w:val="Header"/>
    </w:pPr>
    <w:r>
      <w:t xml:space="preserve">Date: </w:t>
    </w:r>
    <w:fldSimple w:instr=" REF FilingDate ">
      <w:r w:rsidR="00825DFE" w:rsidRPr="00A2249A">
        <w:t>April 7, 2015</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7EE" w:rsidRDefault="00FF47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3285230"/>
    <w:multiLevelType w:val="hybridMultilevel"/>
    <w:tmpl w:val="90D0E1EE"/>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0B1F4C43"/>
    <w:multiLevelType w:val="hybridMultilevel"/>
    <w:tmpl w:val="CED438A0"/>
    <w:lvl w:ilvl="0" w:tplc="ACD04D1E">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E4E06BA"/>
    <w:multiLevelType w:val="hybridMultilevel"/>
    <w:tmpl w:val="55866930"/>
    <w:lvl w:ilvl="0" w:tplc="11FAF6CC">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730F7E"/>
    <w:multiLevelType w:val="hybridMultilevel"/>
    <w:tmpl w:val="E4E858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997813"/>
    <w:multiLevelType w:val="hybridMultilevel"/>
    <w:tmpl w:val="69C2A51A"/>
    <w:lvl w:ilvl="0" w:tplc="E55A5C1A">
      <w:start w:val="5"/>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192384"/>
    <w:multiLevelType w:val="hybridMultilevel"/>
    <w:tmpl w:val="957E90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17144D"/>
    <w:multiLevelType w:val="hybridMultilevel"/>
    <w:tmpl w:val="F0AC801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6"/>
  </w:num>
  <w:num w:numId="14">
    <w:abstractNumId w:val="12"/>
  </w:num>
  <w:num w:numId="15">
    <w:abstractNumId w:val="10"/>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686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umberOfIssues" w:val="0"/>
    <w:docVar w:name="StaffInToC" w:val="True"/>
  </w:docVars>
  <w:rsids>
    <w:rsidRoot w:val="003A0C3E"/>
    <w:rsid w:val="00003D4D"/>
    <w:rsid w:val="00045E9E"/>
    <w:rsid w:val="00070DCB"/>
    <w:rsid w:val="00086285"/>
    <w:rsid w:val="000878D7"/>
    <w:rsid w:val="00094433"/>
    <w:rsid w:val="000965DB"/>
    <w:rsid w:val="000B07AB"/>
    <w:rsid w:val="000C15F0"/>
    <w:rsid w:val="000C1B8A"/>
    <w:rsid w:val="000C6BD0"/>
    <w:rsid w:val="000D39DC"/>
    <w:rsid w:val="000D4319"/>
    <w:rsid w:val="000E133C"/>
    <w:rsid w:val="000E14D1"/>
    <w:rsid w:val="000F6987"/>
    <w:rsid w:val="00116FDD"/>
    <w:rsid w:val="00117C8C"/>
    <w:rsid w:val="001202E5"/>
    <w:rsid w:val="00121543"/>
    <w:rsid w:val="0012558F"/>
    <w:rsid w:val="001307AF"/>
    <w:rsid w:val="001443F3"/>
    <w:rsid w:val="00146B40"/>
    <w:rsid w:val="00163DBC"/>
    <w:rsid w:val="001810C4"/>
    <w:rsid w:val="00186BE9"/>
    <w:rsid w:val="00191E1F"/>
    <w:rsid w:val="001B3727"/>
    <w:rsid w:val="001B4FEE"/>
    <w:rsid w:val="001B51C5"/>
    <w:rsid w:val="001C5080"/>
    <w:rsid w:val="001C52B5"/>
    <w:rsid w:val="001C7A2A"/>
    <w:rsid w:val="001D0D3E"/>
    <w:rsid w:val="001D6BDE"/>
    <w:rsid w:val="001E3597"/>
    <w:rsid w:val="00203CE8"/>
    <w:rsid w:val="002044E6"/>
    <w:rsid w:val="00204D89"/>
    <w:rsid w:val="00205C82"/>
    <w:rsid w:val="00205DC2"/>
    <w:rsid w:val="00214B7C"/>
    <w:rsid w:val="00220732"/>
    <w:rsid w:val="00224835"/>
    <w:rsid w:val="00225C3F"/>
    <w:rsid w:val="002338D8"/>
    <w:rsid w:val="002528E9"/>
    <w:rsid w:val="00253EAA"/>
    <w:rsid w:val="002572CC"/>
    <w:rsid w:val="00266EBD"/>
    <w:rsid w:val="00292D82"/>
    <w:rsid w:val="002963CB"/>
    <w:rsid w:val="002A091B"/>
    <w:rsid w:val="002A1134"/>
    <w:rsid w:val="002A28CE"/>
    <w:rsid w:val="002B413A"/>
    <w:rsid w:val="002C331D"/>
    <w:rsid w:val="002D226D"/>
    <w:rsid w:val="002D31E3"/>
    <w:rsid w:val="002F2CA7"/>
    <w:rsid w:val="003037E1"/>
    <w:rsid w:val="00306D28"/>
    <w:rsid w:val="003103EC"/>
    <w:rsid w:val="00311D0F"/>
    <w:rsid w:val="003144EF"/>
    <w:rsid w:val="003174BC"/>
    <w:rsid w:val="00322F74"/>
    <w:rsid w:val="00323AF7"/>
    <w:rsid w:val="0033606E"/>
    <w:rsid w:val="00340073"/>
    <w:rsid w:val="00341C21"/>
    <w:rsid w:val="003528EF"/>
    <w:rsid w:val="00373180"/>
    <w:rsid w:val="003A0C3E"/>
    <w:rsid w:val="003A52E8"/>
    <w:rsid w:val="003B2510"/>
    <w:rsid w:val="003C2CC4"/>
    <w:rsid w:val="003D11AE"/>
    <w:rsid w:val="003D204F"/>
    <w:rsid w:val="003D683A"/>
    <w:rsid w:val="003E0EFC"/>
    <w:rsid w:val="003E17D4"/>
    <w:rsid w:val="003E4119"/>
    <w:rsid w:val="003E4A2B"/>
    <w:rsid w:val="003E6E63"/>
    <w:rsid w:val="003E76C2"/>
    <w:rsid w:val="003F7FDD"/>
    <w:rsid w:val="00412DAE"/>
    <w:rsid w:val="0041755B"/>
    <w:rsid w:val="004269D2"/>
    <w:rsid w:val="00442A8B"/>
    <w:rsid w:val="00444D8C"/>
    <w:rsid w:val="00446091"/>
    <w:rsid w:val="00446ED8"/>
    <w:rsid w:val="00447024"/>
    <w:rsid w:val="004801FA"/>
    <w:rsid w:val="00495B7F"/>
    <w:rsid w:val="004979D1"/>
    <w:rsid w:val="004B4436"/>
    <w:rsid w:val="004C4390"/>
    <w:rsid w:val="004C4AF7"/>
    <w:rsid w:val="004D0513"/>
    <w:rsid w:val="004D2881"/>
    <w:rsid w:val="00531BDF"/>
    <w:rsid w:val="00547AC9"/>
    <w:rsid w:val="00550AF3"/>
    <w:rsid w:val="005614BD"/>
    <w:rsid w:val="0057154F"/>
    <w:rsid w:val="005859DC"/>
    <w:rsid w:val="00597730"/>
    <w:rsid w:val="005A3C56"/>
    <w:rsid w:val="005A4AA2"/>
    <w:rsid w:val="005A7462"/>
    <w:rsid w:val="005B42BE"/>
    <w:rsid w:val="005D2E7D"/>
    <w:rsid w:val="005D561B"/>
    <w:rsid w:val="005F468D"/>
    <w:rsid w:val="005F49B0"/>
    <w:rsid w:val="006055B9"/>
    <w:rsid w:val="00607D82"/>
    <w:rsid w:val="00615423"/>
    <w:rsid w:val="006165B2"/>
    <w:rsid w:val="00625D97"/>
    <w:rsid w:val="00625F1C"/>
    <w:rsid w:val="00630CEB"/>
    <w:rsid w:val="00633225"/>
    <w:rsid w:val="006361F3"/>
    <w:rsid w:val="00646F98"/>
    <w:rsid w:val="00650666"/>
    <w:rsid w:val="006610BB"/>
    <w:rsid w:val="0066303A"/>
    <w:rsid w:val="00663760"/>
    <w:rsid w:val="00667036"/>
    <w:rsid w:val="00667843"/>
    <w:rsid w:val="0067627B"/>
    <w:rsid w:val="0068481F"/>
    <w:rsid w:val="00694749"/>
    <w:rsid w:val="00696F5D"/>
    <w:rsid w:val="006C6ADB"/>
    <w:rsid w:val="00705B04"/>
    <w:rsid w:val="00707020"/>
    <w:rsid w:val="00722ADB"/>
    <w:rsid w:val="0073141F"/>
    <w:rsid w:val="007349DC"/>
    <w:rsid w:val="0074365E"/>
    <w:rsid w:val="007515FD"/>
    <w:rsid w:val="00752926"/>
    <w:rsid w:val="007638FB"/>
    <w:rsid w:val="00780C09"/>
    <w:rsid w:val="00780DDF"/>
    <w:rsid w:val="00782F0C"/>
    <w:rsid w:val="00787DBC"/>
    <w:rsid w:val="00792B49"/>
    <w:rsid w:val="007A04A1"/>
    <w:rsid w:val="007A1840"/>
    <w:rsid w:val="007A2099"/>
    <w:rsid w:val="007B047D"/>
    <w:rsid w:val="007C0528"/>
    <w:rsid w:val="007C3D38"/>
    <w:rsid w:val="007D3825"/>
    <w:rsid w:val="007E0CE7"/>
    <w:rsid w:val="0080365F"/>
    <w:rsid w:val="00815845"/>
    <w:rsid w:val="00816624"/>
    <w:rsid w:val="00822562"/>
    <w:rsid w:val="00823663"/>
    <w:rsid w:val="00825DFE"/>
    <w:rsid w:val="00830DC3"/>
    <w:rsid w:val="00832DDC"/>
    <w:rsid w:val="00835CEB"/>
    <w:rsid w:val="00836F62"/>
    <w:rsid w:val="00850BAC"/>
    <w:rsid w:val="00854A3E"/>
    <w:rsid w:val="008556B2"/>
    <w:rsid w:val="00855D08"/>
    <w:rsid w:val="00870394"/>
    <w:rsid w:val="0088233B"/>
    <w:rsid w:val="0089729A"/>
    <w:rsid w:val="008B21D6"/>
    <w:rsid w:val="008B62AE"/>
    <w:rsid w:val="008D4E10"/>
    <w:rsid w:val="008E433A"/>
    <w:rsid w:val="008F72EE"/>
    <w:rsid w:val="008F7736"/>
    <w:rsid w:val="008F7FD0"/>
    <w:rsid w:val="00901086"/>
    <w:rsid w:val="00901C8A"/>
    <w:rsid w:val="00905886"/>
    <w:rsid w:val="009145D6"/>
    <w:rsid w:val="00922002"/>
    <w:rsid w:val="00935221"/>
    <w:rsid w:val="00936131"/>
    <w:rsid w:val="0093658B"/>
    <w:rsid w:val="00945BD6"/>
    <w:rsid w:val="009466C1"/>
    <w:rsid w:val="00946880"/>
    <w:rsid w:val="00947B6C"/>
    <w:rsid w:val="00951C45"/>
    <w:rsid w:val="00967B75"/>
    <w:rsid w:val="00971207"/>
    <w:rsid w:val="00975EE8"/>
    <w:rsid w:val="009863B0"/>
    <w:rsid w:val="0099673A"/>
    <w:rsid w:val="009A4EBB"/>
    <w:rsid w:val="009A7C96"/>
    <w:rsid w:val="009B5E68"/>
    <w:rsid w:val="009C4267"/>
    <w:rsid w:val="009C4AA1"/>
    <w:rsid w:val="009D46E5"/>
    <w:rsid w:val="009D568A"/>
    <w:rsid w:val="009E1708"/>
    <w:rsid w:val="009E2B32"/>
    <w:rsid w:val="009F04EC"/>
    <w:rsid w:val="009F22D3"/>
    <w:rsid w:val="009F2DAF"/>
    <w:rsid w:val="00A019B9"/>
    <w:rsid w:val="00A01FAB"/>
    <w:rsid w:val="00A04E9C"/>
    <w:rsid w:val="00A12508"/>
    <w:rsid w:val="00A175B6"/>
    <w:rsid w:val="00A2100B"/>
    <w:rsid w:val="00A21835"/>
    <w:rsid w:val="00A2249A"/>
    <w:rsid w:val="00A24A2B"/>
    <w:rsid w:val="00A30B1A"/>
    <w:rsid w:val="00A3139B"/>
    <w:rsid w:val="00A33A51"/>
    <w:rsid w:val="00A41CA6"/>
    <w:rsid w:val="00A47FFC"/>
    <w:rsid w:val="00A54FF9"/>
    <w:rsid w:val="00A84B30"/>
    <w:rsid w:val="00A87D89"/>
    <w:rsid w:val="00A92FB1"/>
    <w:rsid w:val="00A95A0C"/>
    <w:rsid w:val="00AA2765"/>
    <w:rsid w:val="00AA6E5B"/>
    <w:rsid w:val="00AA77B5"/>
    <w:rsid w:val="00AB6C5D"/>
    <w:rsid w:val="00AC3BC3"/>
    <w:rsid w:val="00B05B51"/>
    <w:rsid w:val="00B15370"/>
    <w:rsid w:val="00B17BEB"/>
    <w:rsid w:val="00B2067D"/>
    <w:rsid w:val="00B21A3C"/>
    <w:rsid w:val="00B234ED"/>
    <w:rsid w:val="00B2425E"/>
    <w:rsid w:val="00B25CA3"/>
    <w:rsid w:val="00B314AD"/>
    <w:rsid w:val="00B4117E"/>
    <w:rsid w:val="00B518F9"/>
    <w:rsid w:val="00B65291"/>
    <w:rsid w:val="00B74C95"/>
    <w:rsid w:val="00B7669E"/>
    <w:rsid w:val="00B95E63"/>
    <w:rsid w:val="00BA0D55"/>
    <w:rsid w:val="00BB088B"/>
    <w:rsid w:val="00BB6B07"/>
    <w:rsid w:val="00BC188A"/>
    <w:rsid w:val="00BD11E2"/>
    <w:rsid w:val="00BD6981"/>
    <w:rsid w:val="00BF00CF"/>
    <w:rsid w:val="00BF4AB6"/>
    <w:rsid w:val="00BF5010"/>
    <w:rsid w:val="00C02CA4"/>
    <w:rsid w:val="00C36977"/>
    <w:rsid w:val="00C60BA3"/>
    <w:rsid w:val="00C623F7"/>
    <w:rsid w:val="00C65994"/>
    <w:rsid w:val="00C808AA"/>
    <w:rsid w:val="00C86896"/>
    <w:rsid w:val="00C907A8"/>
    <w:rsid w:val="00C93211"/>
    <w:rsid w:val="00C94A7B"/>
    <w:rsid w:val="00CA0818"/>
    <w:rsid w:val="00CA30DA"/>
    <w:rsid w:val="00CB33E9"/>
    <w:rsid w:val="00CB5F0E"/>
    <w:rsid w:val="00CC4CA7"/>
    <w:rsid w:val="00CD13F3"/>
    <w:rsid w:val="00CE2C06"/>
    <w:rsid w:val="00CF0DA8"/>
    <w:rsid w:val="00CF4453"/>
    <w:rsid w:val="00D012E4"/>
    <w:rsid w:val="00D034D4"/>
    <w:rsid w:val="00D04BE4"/>
    <w:rsid w:val="00D14127"/>
    <w:rsid w:val="00D17AF4"/>
    <w:rsid w:val="00D53803"/>
    <w:rsid w:val="00D81563"/>
    <w:rsid w:val="00D9073E"/>
    <w:rsid w:val="00D9221D"/>
    <w:rsid w:val="00D97926"/>
    <w:rsid w:val="00DB1C78"/>
    <w:rsid w:val="00DB267D"/>
    <w:rsid w:val="00DD150B"/>
    <w:rsid w:val="00DD4E54"/>
    <w:rsid w:val="00DE1F91"/>
    <w:rsid w:val="00E07693"/>
    <w:rsid w:val="00E20A7D"/>
    <w:rsid w:val="00E31C79"/>
    <w:rsid w:val="00E375CA"/>
    <w:rsid w:val="00E444B3"/>
    <w:rsid w:val="00E65EBC"/>
    <w:rsid w:val="00E73432"/>
    <w:rsid w:val="00E77B0C"/>
    <w:rsid w:val="00E838B0"/>
    <w:rsid w:val="00E86A7C"/>
    <w:rsid w:val="00E878E1"/>
    <w:rsid w:val="00E93CC8"/>
    <w:rsid w:val="00EA1E0C"/>
    <w:rsid w:val="00EA2273"/>
    <w:rsid w:val="00EC3FBB"/>
    <w:rsid w:val="00ED3A87"/>
    <w:rsid w:val="00ED5B67"/>
    <w:rsid w:val="00EF3FEE"/>
    <w:rsid w:val="00F048E3"/>
    <w:rsid w:val="00F04B59"/>
    <w:rsid w:val="00F12B1C"/>
    <w:rsid w:val="00F15855"/>
    <w:rsid w:val="00F16BAB"/>
    <w:rsid w:val="00F32978"/>
    <w:rsid w:val="00F33038"/>
    <w:rsid w:val="00F3707C"/>
    <w:rsid w:val="00F41E83"/>
    <w:rsid w:val="00F51712"/>
    <w:rsid w:val="00F543B4"/>
    <w:rsid w:val="00F55D0A"/>
    <w:rsid w:val="00F713C0"/>
    <w:rsid w:val="00F73A39"/>
    <w:rsid w:val="00F75DDC"/>
    <w:rsid w:val="00FA32DE"/>
    <w:rsid w:val="00FA41F0"/>
    <w:rsid w:val="00FA59CD"/>
    <w:rsid w:val="00FA63A2"/>
    <w:rsid w:val="00FB1740"/>
    <w:rsid w:val="00FC1764"/>
    <w:rsid w:val="00FC4CD9"/>
    <w:rsid w:val="00FC6D7D"/>
    <w:rsid w:val="00FD4D06"/>
    <w:rsid w:val="00FD4FED"/>
    <w:rsid w:val="00FE3BC5"/>
    <w:rsid w:val="00FF4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ind w:firstLine="720"/>
      <w:jc w:val="both"/>
    </w:pPr>
  </w:style>
  <w:style w:type="character" w:customStyle="1" w:styleId="BodyTextChar">
    <w:name w:val="Body Text Char"/>
    <w:link w:val="BodyText"/>
    <w:rPr>
      <w:sz w:val="24"/>
      <w:szCs w:val="24"/>
      <w:lang w:val="en-US" w:eastAsia="en-US" w:bidi="ar-SA"/>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pPr>
      <w:jc w:val="center"/>
    </w:pPr>
    <w:rPr>
      <w:rFonts w:ascii="WeddingText BT" w:hAnsi="WeddingText BT"/>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pPr>
      <w:keepNext w:val="0"/>
    </w:pPr>
  </w:style>
  <w:style w:type="character" w:customStyle="1" w:styleId="IssueHeadingChar">
    <w:name w:val="Issue Heading Char"/>
    <w:basedOn w:val="Heading1Char"/>
    <w:link w:val="IssueHeading"/>
    <w:rPr>
      <w:rFonts w:cs="Arial"/>
      <w:bCs/>
      <w:kern w:val="32"/>
      <w:sz w:val="24"/>
      <w:szCs w:val="32"/>
      <w:lang w:val="en-US" w:eastAsia="en-US" w:bidi="ar-SA"/>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pPr>
      <w:jc w:val="center"/>
    </w:pPr>
    <w:rPr>
      <w:b/>
      <w:u w:val="single"/>
    </w:rPr>
  </w:style>
  <w:style w:type="paragraph" w:customStyle="1" w:styleId="IssueSubsectionHeading">
    <w:name w:val="Issue Subsection Heading"/>
    <w:basedOn w:val="Heading2"/>
    <w:next w:val="BodyText"/>
    <w:link w:val="IssueSubsectionHeadingChar"/>
    <w:pPr>
      <w:keepNext w:val="0"/>
    </w:pPr>
  </w:style>
  <w:style w:type="character" w:customStyle="1" w:styleId="IssueSubsectionHeadingChar">
    <w:name w:val="Issue Subsection Heading Char"/>
    <w:basedOn w:val="Heading2Char"/>
    <w:link w:val="IssueSubsectionHeading"/>
    <w:rPr>
      <w:rFonts w:cs="Arial"/>
      <w:bCs/>
      <w:iCs/>
      <w:sz w:val="24"/>
      <w:szCs w:val="28"/>
      <w:lang w:val="en-US" w:eastAsia="en-US" w:bidi="ar-SA"/>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character" w:styleId="FootnoteReference">
    <w:name w:val="footnote reference"/>
    <w:basedOn w:val="DefaultParagraphFont"/>
    <w:uiPriority w:val="99"/>
    <w:unhideWhenUsed/>
    <w:rsid w:val="007D3825"/>
    <w:rPr>
      <w:vertAlign w:val="superscript"/>
    </w:rPr>
  </w:style>
  <w:style w:type="paragraph" w:styleId="ListParagraph">
    <w:name w:val="List Paragraph"/>
    <w:basedOn w:val="Normal"/>
    <w:uiPriority w:val="34"/>
    <w:qFormat/>
    <w:rsid w:val="003D11AE"/>
    <w:pPr>
      <w:ind w:left="720"/>
      <w:contextualSpacing/>
    </w:pPr>
    <w:rPr>
      <w:rFonts w:asciiTheme="minorHAnsi" w:eastAsia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ind w:firstLine="720"/>
      <w:jc w:val="both"/>
    </w:pPr>
  </w:style>
  <w:style w:type="character" w:customStyle="1" w:styleId="BodyTextChar">
    <w:name w:val="Body Text Char"/>
    <w:link w:val="BodyText"/>
    <w:rPr>
      <w:sz w:val="24"/>
      <w:szCs w:val="24"/>
      <w:lang w:val="en-US" w:eastAsia="en-US" w:bidi="ar-SA"/>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pPr>
      <w:jc w:val="center"/>
    </w:pPr>
    <w:rPr>
      <w:rFonts w:ascii="WeddingText BT" w:hAnsi="WeddingText BT"/>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pPr>
      <w:keepNext w:val="0"/>
    </w:pPr>
  </w:style>
  <w:style w:type="character" w:customStyle="1" w:styleId="IssueHeadingChar">
    <w:name w:val="Issue Heading Char"/>
    <w:basedOn w:val="Heading1Char"/>
    <w:link w:val="IssueHeading"/>
    <w:rPr>
      <w:rFonts w:cs="Arial"/>
      <w:bCs/>
      <w:kern w:val="32"/>
      <w:sz w:val="24"/>
      <w:szCs w:val="32"/>
      <w:lang w:val="en-US" w:eastAsia="en-US" w:bidi="ar-SA"/>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pPr>
      <w:jc w:val="center"/>
    </w:pPr>
    <w:rPr>
      <w:b/>
      <w:u w:val="single"/>
    </w:rPr>
  </w:style>
  <w:style w:type="paragraph" w:customStyle="1" w:styleId="IssueSubsectionHeading">
    <w:name w:val="Issue Subsection Heading"/>
    <w:basedOn w:val="Heading2"/>
    <w:next w:val="BodyText"/>
    <w:link w:val="IssueSubsectionHeadingChar"/>
    <w:pPr>
      <w:keepNext w:val="0"/>
    </w:pPr>
  </w:style>
  <w:style w:type="character" w:customStyle="1" w:styleId="IssueSubsectionHeadingChar">
    <w:name w:val="Issue Subsection Heading Char"/>
    <w:basedOn w:val="Heading2Char"/>
    <w:link w:val="IssueSubsectionHeading"/>
    <w:rPr>
      <w:rFonts w:cs="Arial"/>
      <w:bCs/>
      <w:iCs/>
      <w:sz w:val="24"/>
      <w:szCs w:val="28"/>
      <w:lang w:val="en-US" w:eastAsia="en-US" w:bidi="ar-SA"/>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character" w:styleId="FootnoteReference">
    <w:name w:val="footnote reference"/>
    <w:basedOn w:val="DefaultParagraphFont"/>
    <w:uiPriority w:val="99"/>
    <w:unhideWhenUsed/>
    <w:rsid w:val="007D3825"/>
    <w:rPr>
      <w:vertAlign w:val="superscript"/>
    </w:rPr>
  </w:style>
  <w:style w:type="paragraph" w:styleId="ListParagraph">
    <w:name w:val="List Paragraph"/>
    <w:basedOn w:val="Normal"/>
    <w:uiPriority w:val="34"/>
    <w:qFormat/>
    <w:rsid w:val="003D11AE"/>
    <w:pPr>
      <w:ind w:left="720"/>
      <w:contextualSpacing/>
    </w:pPr>
    <w:rPr>
      <w:rFonts w:asciiTheme="minorHAnsi" w:eastAsia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BD184-1BCE-4133-8D16-B250F3DB5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9</Pages>
  <Words>3286</Words>
  <Characters>18733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Diamond Lynn</dc:creator>
  <cp:lastModifiedBy>Terri Jones</cp:lastModifiedBy>
  <cp:revision>2</cp:revision>
  <cp:lastPrinted>2015-04-07T16:53:00Z</cp:lastPrinted>
  <dcterms:created xsi:type="dcterms:W3CDTF">2015-04-07T16:55:00Z</dcterms:created>
  <dcterms:modified xsi:type="dcterms:W3CDTF">2015-04-07T16:55:00Z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150100-EI</vt:lpwstr>
  </property>
  <property fmtid="{D5CDD505-2E9C-101B-9397-08002B2CF9AE}" pid="3" name="MasterDocument">
    <vt:bool>false</vt:bool>
  </property>
</Properties>
</file>