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568AA" w:rsidP="00D568AA">
      <w:pPr>
        <w:pStyle w:val="OrderHeading"/>
      </w:pPr>
      <w:r>
        <w:t>BEFORE THE FLORIDA PUBLIC SERVICE COMMISSION</w:t>
      </w:r>
    </w:p>
    <w:p w:rsidR="00D568AA" w:rsidRDefault="00D568AA" w:rsidP="00D568AA">
      <w:pPr>
        <w:pStyle w:val="OrderHeading"/>
      </w:pPr>
    </w:p>
    <w:p w:rsidR="00D568AA" w:rsidRDefault="00D568AA" w:rsidP="00D568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68AA" w:rsidRPr="00C63FCF" w:rsidTr="00C63FCF">
        <w:trPr>
          <w:trHeight w:val="828"/>
        </w:trPr>
        <w:tc>
          <w:tcPr>
            <w:tcW w:w="4788" w:type="dxa"/>
            <w:tcBorders>
              <w:bottom w:val="single" w:sz="8" w:space="0" w:color="auto"/>
              <w:right w:val="double" w:sz="6" w:space="0" w:color="auto"/>
            </w:tcBorders>
            <w:shd w:val="clear" w:color="auto" w:fill="auto"/>
          </w:tcPr>
          <w:p w:rsidR="00D568AA" w:rsidRDefault="00D568AA" w:rsidP="00C63FCF">
            <w:pPr>
              <w:pStyle w:val="OrderBody"/>
              <w:tabs>
                <w:tab w:val="center" w:pos="4320"/>
                <w:tab w:val="right" w:pos="8640"/>
              </w:tabs>
              <w:jc w:val="left"/>
            </w:pPr>
            <w:r>
              <w:t xml:space="preserve">In re: </w:t>
            </w:r>
            <w:bookmarkStart w:id="0" w:name="SSInRe"/>
            <w:bookmarkEnd w:id="0"/>
            <w:r>
              <w:t>Petition for approval of energy purchase agreements between Gulf Power Company and Gulf Coast Solar Center I, LLC, Gulf Coast Solar Center II, LLC, and Gulf Coast Solar Center III, LLC.</w:t>
            </w:r>
          </w:p>
        </w:tc>
        <w:tc>
          <w:tcPr>
            <w:tcW w:w="4788" w:type="dxa"/>
            <w:tcBorders>
              <w:left w:val="double" w:sz="6" w:space="0" w:color="auto"/>
            </w:tcBorders>
            <w:shd w:val="clear" w:color="auto" w:fill="auto"/>
          </w:tcPr>
          <w:p w:rsidR="00D568AA" w:rsidRDefault="00D568AA" w:rsidP="00D568AA">
            <w:pPr>
              <w:pStyle w:val="OrderBody"/>
            </w:pPr>
            <w:r>
              <w:t xml:space="preserve">DOCKET NO. </w:t>
            </w:r>
            <w:bookmarkStart w:id="1" w:name="SSDocketNo"/>
            <w:bookmarkEnd w:id="1"/>
            <w:r>
              <w:t>150035-EI</w:t>
            </w:r>
          </w:p>
          <w:p w:rsidR="00D568AA" w:rsidRDefault="00D568AA" w:rsidP="00C63FCF">
            <w:pPr>
              <w:pStyle w:val="OrderBody"/>
              <w:tabs>
                <w:tab w:val="center" w:pos="4320"/>
                <w:tab w:val="right" w:pos="8640"/>
              </w:tabs>
              <w:jc w:val="left"/>
            </w:pPr>
            <w:r>
              <w:t xml:space="preserve">ORDER NO. </w:t>
            </w:r>
            <w:bookmarkStart w:id="2" w:name="OrderNo0155"/>
            <w:r w:rsidR="00E6492D">
              <w:t>PSC-15-0155-PAA-EI</w:t>
            </w:r>
            <w:bookmarkEnd w:id="2"/>
          </w:p>
          <w:p w:rsidR="00D568AA" w:rsidRDefault="00D568AA" w:rsidP="00C63FCF">
            <w:pPr>
              <w:pStyle w:val="OrderBody"/>
              <w:tabs>
                <w:tab w:val="center" w:pos="4320"/>
                <w:tab w:val="right" w:pos="8640"/>
              </w:tabs>
              <w:jc w:val="left"/>
            </w:pPr>
            <w:r>
              <w:t xml:space="preserve">ISSUED: </w:t>
            </w:r>
            <w:r w:rsidR="00E6492D">
              <w:t>April 22, 2015</w:t>
            </w:r>
          </w:p>
        </w:tc>
      </w:tr>
    </w:tbl>
    <w:p w:rsidR="00D568AA" w:rsidRDefault="00D568AA" w:rsidP="00D568AA"/>
    <w:p w:rsidR="00D568AA" w:rsidRDefault="00D568AA" w:rsidP="00D568AA"/>
    <w:p w:rsidR="00D568AA" w:rsidRPr="00E46E1F" w:rsidRDefault="00D568AA">
      <w:pPr>
        <w:ind w:firstLine="720"/>
        <w:jc w:val="both"/>
      </w:pPr>
      <w:bookmarkStart w:id="3" w:name="Commissioners"/>
      <w:bookmarkEnd w:id="3"/>
      <w:r w:rsidRPr="00E46E1F">
        <w:t>The following Commissioners participated in the disposition of this matter:</w:t>
      </w:r>
    </w:p>
    <w:p w:rsidR="00D568AA" w:rsidRPr="00E46E1F" w:rsidRDefault="00D568AA"/>
    <w:p w:rsidR="00D568AA" w:rsidRDefault="00D568AA">
      <w:pPr>
        <w:jc w:val="center"/>
      </w:pPr>
      <w:r>
        <w:t>ART GRAHAM</w:t>
      </w:r>
      <w:r w:rsidRPr="00E46E1F">
        <w:t>, Chairman</w:t>
      </w:r>
    </w:p>
    <w:p w:rsidR="00D568AA" w:rsidRPr="00E46E1F" w:rsidRDefault="00D568AA">
      <w:pPr>
        <w:jc w:val="center"/>
      </w:pPr>
      <w:r w:rsidRPr="00E46E1F">
        <w:t>LISA POLAK EDGAR</w:t>
      </w:r>
    </w:p>
    <w:p w:rsidR="00D568AA" w:rsidRDefault="00D568AA">
      <w:pPr>
        <w:jc w:val="center"/>
      </w:pPr>
      <w:r>
        <w:t>RONALD A. BRISÉ</w:t>
      </w:r>
    </w:p>
    <w:p w:rsidR="00D568AA" w:rsidRDefault="00D568AA">
      <w:pPr>
        <w:jc w:val="center"/>
      </w:pPr>
      <w:r>
        <w:t>JULIE I. BROWN</w:t>
      </w:r>
    </w:p>
    <w:p w:rsidR="00D568AA" w:rsidRDefault="00D568AA">
      <w:pPr>
        <w:jc w:val="center"/>
      </w:pPr>
      <w:r>
        <w:t>JIMMY PATRONIS</w:t>
      </w:r>
    </w:p>
    <w:p w:rsidR="00CB5276" w:rsidRDefault="00CB5276">
      <w:pPr>
        <w:pStyle w:val="OrderBody"/>
      </w:pPr>
    </w:p>
    <w:p w:rsidR="00D568AA" w:rsidRDefault="00D568AA" w:rsidP="00D568AA">
      <w:pPr>
        <w:pStyle w:val="OrderBody"/>
      </w:pPr>
    </w:p>
    <w:p w:rsidR="00D568AA" w:rsidRDefault="00D568AA" w:rsidP="00D568AA">
      <w:pPr>
        <w:pStyle w:val="OrderBody"/>
      </w:pPr>
    </w:p>
    <w:p w:rsidR="00F60042" w:rsidRDefault="00D568AA" w:rsidP="00F6004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F60042">
        <w:rPr>
          <w:u w:val="single"/>
        </w:rPr>
        <w:t xml:space="preserve"> </w:t>
      </w:r>
      <w:r w:rsidRPr="00A9775C">
        <w:rPr>
          <w:u w:val="single"/>
        </w:rPr>
        <w:t>ORDER</w:t>
      </w:r>
      <w:r w:rsidR="00A9775C" w:rsidRPr="00A9775C">
        <w:rPr>
          <w:u w:val="single"/>
        </w:rPr>
        <w:t xml:space="preserve"> APPROVING </w:t>
      </w:r>
    </w:p>
    <w:p w:rsidR="00D568AA" w:rsidRPr="00A9775C" w:rsidRDefault="00A9775C" w:rsidP="00F60042">
      <w:pPr>
        <w:pStyle w:val="OrderBody"/>
        <w:jc w:val="center"/>
        <w:rPr>
          <w:u w:val="single"/>
        </w:rPr>
      </w:pPr>
      <w:r w:rsidRPr="00A9775C">
        <w:rPr>
          <w:u w:val="single"/>
        </w:rPr>
        <w:t xml:space="preserve">COST </w:t>
      </w:r>
      <w:r w:rsidR="00047D35" w:rsidRPr="00A9775C">
        <w:rPr>
          <w:u w:val="single"/>
        </w:rPr>
        <w:t>RECOVERY FOR</w:t>
      </w:r>
      <w:r>
        <w:rPr>
          <w:u w:val="single"/>
        </w:rPr>
        <w:t xml:space="preserve"> NEGOTIATED</w:t>
      </w:r>
      <w:r w:rsidRPr="00A9775C">
        <w:rPr>
          <w:u w:val="single"/>
        </w:rPr>
        <w:t xml:space="preserve"> PURCHASE POWER AGREEMENTS</w:t>
      </w:r>
    </w:p>
    <w:p w:rsidR="00D568AA" w:rsidRPr="003E4B2D" w:rsidRDefault="00D568AA">
      <w:pPr>
        <w:pStyle w:val="OrderBody"/>
      </w:pPr>
    </w:p>
    <w:p w:rsidR="00D568AA" w:rsidRPr="003E4B2D" w:rsidRDefault="00D568AA">
      <w:pPr>
        <w:pStyle w:val="OrderBody"/>
      </w:pPr>
    </w:p>
    <w:p w:rsidR="00D568AA" w:rsidRPr="003E4B2D" w:rsidRDefault="00D568AA">
      <w:pPr>
        <w:pStyle w:val="OrderBody"/>
      </w:pPr>
      <w:r w:rsidRPr="003E4B2D">
        <w:t>BY THE COMMISSION:</w:t>
      </w:r>
    </w:p>
    <w:p w:rsidR="00D568AA" w:rsidRPr="003E4B2D" w:rsidRDefault="00D568AA">
      <w:pPr>
        <w:pStyle w:val="OrderBody"/>
      </w:pPr>
    </w:p>
    <w:p w:rsidR="00D568AA" w:rsidRDefault="00D568A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A9775C" w:rsidRDefault="00A9775C" w:rsidP="00A9775C">
      <w:pPr>
        <w:keepNext/>
        <w:spacing w:after="240"/>
        <w:outlineLvl w:val="0"/>
      </w:pPr>
      <w:bookmarkStart w:id="4" w:name="CaseBackground"/>
    </w:p>
    <w:p w:rsidR="00D568AA" w:rsidRPr="00A9775C" w:rsidRDefault="00D568AA" w:rsidP="00A9775C">
      <w:pPr>
        <w:pStyle w:val="ListParagraph"/>
        <w:keepNext/>
        <w:numPr>
          <w:ilvl w:val="0"/>
          <w:numId w:val="2"/>
        </w:numPr>
        <w:spacing w:after="240"/>
        <w:outlineLvl w:val="0"/>
        <w:rPr>
          <w:rFonts w:cs="Arial"/>
          <w:b/>
          <w:bCs/>
          <w:kern w:val="32"/>
          <w:szCs w:val="32"/>
          <w:u w:val="single"/>
        </w:rPr>
      </w:pPr>
      <w:r w:rsidRPr="00A9775C">
        <w:rPr>
          <w:rFonts w:cs="Arial"/>
          <w:b/>
          <w:bCs/>
          <w:kern w:val="32"/>
          <w:szCs w:val="32"/>
          <w:u w:val="single"/>
        </w:rPr>
        <w:t>Case Background</w:t>
      </w:r>
      <w:r w:rsidRPr="00A9775C">
        <w:rPr>
          <w:rFonts w:cs="Arial"/>
          <w:b/>
          <w:bCs/>
          <w:kern w:val="32"/>
          <w:szCs w:val="32"/>
          <w:u w:val="single"/>
        </w:rPr>
        <w:fldChar w:fldCharType="begin"/>
      </w:r>
      <w:r w:rsidRPr="00A9775C">
        <w:rPr>
          <w:rFonts w:cs="Arial"/>
          <w:b/>
          <w:bCs/>
          <w:kern w:val="32"/>
          <w:szCs w:val="32"/>
          <w:u w:val="single"/>
        </w:rPr>
        <w:instrText xml:space="preserve"> TC  "</w:instrText>
      </w:r>
      <w:r w:rsidRPr="00A9775C">
        <w:rPr>
          <w:rFonts w:cs="Arial"/>
          <w:b/>
          <w:bCs/>
          <w:kern w:val="32"/>
          <w:szCs w:val="32"/>
          <w:u w:val="single"/>
        </w:rPr>
        <w:tab/>
      </w:r>
      <w:bookmarkStart w:id="5" w:name="_Toc94516455"/>
      <w:r w:rsidRPr="00A9775C">
        <w:rPr>
          <w:rFonts w:cs="Arial"/>
          <w:b/>
          <w:bCs/>
          <w:kern w:val="32"/>
          <w:szCs w:val="32"/>
          <w:u w:val="single"/>
        </w:rPr>
        <w:instrText>Case Background</w:instrText>
      </w:r>
      <w:bookmarkEnd w:id="5"/>
      <w:r w:rsidRPr="00A9775C">
        <w:rPr>
          <w:rFonts w:cs="Arial"/>
          <w:b/>
          <w:bCs/>
          <w:kern w:val="32"/>
          <w:szCs w:val="32"/>
          <w:u w:val="single"/>
        </w:rPr>
        <w:instrText xml:space="preserve">" \l 1 </w:instrText>
      </w:r>
      <w:r w:rsidRPr="00A9775C">
        <w:rPr>
          <w:rFonts w:cs="Arial"/>
          <w:b/>
          <w:bCs/>
          <w:kern w:val="32"/>
          <w:szCs w:val="32"/>
          <w:u w:val="single"/>
        </w:rPr>
        <w:fldChar w:fldCharType="end"/>
      </w:r>
    </w:p>
    <w:p w:rsidR="00D568AA" w:rsidRDefault="00D568AA" w:rsidP="00D568AA">
      <w:pPr>
        <w:spacing w:after="240"/>
        <w:ind w:firstLine="720"/>
        <w:jc w:val="both"/>
      </w:pPr>
      <w:r w:rsidRPr="008811D2">
        <w:t>On January 22, 2015, Gulf Power Company (Gulf Power or Company) filed a petition requesting approval for cost recovery of three negotiated contracts for the purchase of energy between Gulf Power and Gulf Coast Solar Center I, LLC</w:t>
      </w:r>
      <w:r w:rsidR="007958DC">
        <w:rPr>
          <w:rStyle w:val="FootnoteReference"/>
        </w:rPr>
        <w:footnoteReference w:id="1"/>
      </w:r>
      <w:r w:rsidRPr="008811D2">
        <w:t>, Gulf Coast Solar Center II, LLC</w:t>
      </w:r>
      <w:r w:rsidR="007958DC">
        <w:rPr>
          <w:rStyle w:val="FootnoteReference"/>
        </w:rPr>
        <w:footnoteReference w:id="2"/>
      </w:r>
      <w:r w:rsidRPr="008811D2">
        <w:t>, and Gulf Coast Solar Center III, LLC</w:t>
      </w:r>
      <w:r w:rsidR="007958DC">
        <w:rPr>
          <w:rStyle w:val="FootnoteReference"/>
        </w:rPr>
        <w:footnoteReference w:id="3"/>
      </w:r>
      <w:r w:rsidRPr="008811D2">
        <w:t xml:space="preserve"> (collectively the Agreements).  Gulf Coast Solar Center I, LLC, Gulf Coast Solar Center II, LLC and Gulf Coast Solar Center III, LLC (collectively Gulf Coast) are wholly owned subsidiaries of HelioSage, LLC.</w:t>
      </w:r>
    </w:p>
    <w:p w:rsidR="00D568AA" w:rsidRPr="008811D2" w:rsidRDefault="008811D2" w:rsidP="00D568AA">
      <w:pPr>
        <w:spacing w:after="240"/>
        <w:ind w:firstLine="720"/>
        <w:jc w:val="both"/>
      </w:pPr>
      <w:r>
        <w:t>The three solar facilities, totaling 120 megawatts</w:t>
      </w:r>
      <w:r w:rsidR="00D568AA" w:rsidRPr="008811D2">
        <w:t xml:space="preserve"> (MW), associated with the Agreements are expected to deliver approximately 240,000 megawatt-hours (MWh) of energy to Gulf Power </w:t>
      </w:r>
      <w:r w:rsidR="00D568AA" w:rsidRPr="008811D2">
        <w:lastRenderedPageBreak/>
        <w:t xml:space="preserve">on an annual basis.  Each agreement is for a term of 25 years beginning in 2017.  In addition to receiving the full energy output of the facilities, Gulf Power will be entitled to receive and retain all environmental attributes, including renewable energy credits (RECs) associated with the output of each respective facility.  </w:t>
      </w:r>
    </w:p>
    <w:p w:rsidR="00D568AA" w:rsidRPr="008811D2" w:rsidRDefault="00D568AA" w:rsidP="007958DC">
      <w:pPr>
        <w:spacing w:after="240"/>
        <w:jc w:val="both"/>
      </w:pPr>
      <w:r w:rsidRPr="008811D2">
        <w:t>The following is a summary of the solar facilities associated with each agreement:</w:t>
      </w:r>
    </w:p>
    <w:p w:rsidR="00D568AA" w:rsidRPr="00D568AA" w:rsidRDefault="00D568AA" w:rsidP="00D568AA">
      <w:pPr>
        <w:numPr>
          <w:ilvl w:val="0"/>
          <w:numId w:val="1"/>
        </w:numPr>
        <w:tabs>
          <w:tab w:val="left" w:pos="1080"/>
        </w:tabs>
        <w:spacing w:after="240"/>
        <w:ind w:left="720" w:right="720"/>
        <w:jc w:val="both"/>
      </w:pPr>
      <w:r w:rsidRPr="00D568AA">
        <w:t xml:space="preserve">The Eglin Agreement contemplates that Gulf Coast Solar Center I, LLC, will develop, construct, own, operate and maintain a 30 MW solar facility located within the confines of Eglin Air Force Base in Okaloosa County, Florida. </w:t>
      </w:r>
    </w:p>
    <w:p w:rsidR="00D568AA" w:rsidRPr="00D568AA" w:rsidRDefault="00D568AA" w:rsidP="00D568AA">
      <w:pPr>
        <w:numPr>
          <w:ilvl w:val="0"/>
          <w:numId w:val="1"/>
        </w:numPr>
        <w:tabs>
          <w:tab w:val="left" w:pos="1080"/>
        </w:tabs>
        <w:spacing w:after="240"/>
        <w:ind w:left="720" w:right="720"/>
        <w:jc w:val="both"/>
      </w:pPr>
      <w:r w:rsidRPr="00D568AA">
        <w:t>The Holley Agreement contemplates that Gulf Coast Solar Center II, LLC, will develop, construct, own, operate and maintain a 40 MW solar facility located within the confines of the Navy’s Holley Outlying Field in Santa Rosa County, Florida.</w:t>
      </w:r>
    </w:p>
    <w:p w:rsidR="00D568AA" w:rsidRPr="00D568AA" w:rsidRDefault="00D568AA" w:rsidP="00D568AA">
      <w:pPr>
        <w:numPr>
          <w:ilvl w:val="0"/>
          <w:numId w:val="1"/>
        </w:numPr>
        <w:tabs>
          <w:tab w:val="left" w:pos="1080"/>
        </w:tabs>
        <w:spacing w:after="240"/>
        <w:ind w:left="720" w:right="720"/>
        <w:jc w:val="both"/>
      </w:pPr>
      <w:r w:rsidRPr="00D568AA">
        <w:t>The Saufley Agreement contemplates that Gulf Coast Solar Center III, LLC, will develop, construct, own, operate and maintain a 50 MW solar facility located within the confines of the Navy’s Saufley Outlying Field in Escambia County, Florida.</w:t>
      </w:r>
    </w:p>
    <w:p w:rsidR="00D568AA" w:rsidRPr="00D568AA" w:rsidRDefault="00D568AA" w:rsidP="00D568AA">
      <w:pPr>
        <w:spacing w:after="240"/>
        <w:ind w:firstLine="720"/>
        <w:jc w:val="both"/>
      </w:pPr>
      <w:r w:rsidRPr="00D568AA">
        <w:t xml:space="preserve">Contemporaneously with </w:t>
      </w:r>
      <w:r w:rsidR="007958DC">
        <w:t xml:space="preserve">execution of </w:t>
      </w:r>
      <w:r w:rsidRPr="00D568AA">
        <w:t>the Agreements, the parties also executed s</w:t>
      </w:r>
      <w:r w:rsidR="007958DC">
        <w:t>eparate Right of First Refusal a</w:t>
      </w:r>
      <w:r w:rsidRPr="00D568AA">
        <w:t xml:space="preserve">greements (ROFRs).  The ROFRs provide Gulf Power with a right to purchase one or more of the solar facilities in the event that Gulf Coast decides to sell one or more facilities to a third party.  Gulf Power is currently in the process of negotiating land lease agreements with the Navy and Air Force and anticipates finalizing those agreements in calendar year 2015.  Gulf Power intends to sublease the land to Gulf Coast </w:t>
      </w:r>
      <w:r w:rsidR="007958DC">
        <w:t>which</w:t>
      </w:r>
      <w:r w:rsidRPr="00D568AA">
        <w:t xml:space="preserve"> will bear full responsibility for cash payments under the lease agreement.  Neither the pending lease agreements nor the ROFRs contain costs that impact the economic evaluation of the Ag</w:t>
      </w:r>
      <w:r w:rsidR="007958DC">
        <w:t>reements as presented by Gulf Power.</w:t>
      </w:r>
    </w:p>
    <w:p w:rsidR="00D568AA" w:rsidRPr="00D568AA" w:rsidRDefault="00D568AA" w:rsidP="00D568AA">
      <w:pPr>
        <w:spacing w:after="240"/>
        <w:ind w:firstLine="720"/>
        <w:jc w:val="both"/>
      </w:pPr>
      <w:r w:rsidRPr="00D568AA">
        <w:t xml:space="preserve">The Agreements each contain a termination provision for failure to obtain </w:t>
      </w:r>
      <w:r w:rsidR="00A9775C">
        <w:t>our</w:t>
      </w:r>
      <w:r w:rsidRPr="00D568AA">
        <w:t xml:space="preserve"> approval of the Agreements through a final non-appealable order within 180 days of filing.  Based on the termination provision</w:t>
      </w:r>
      <w:r w:rsidR="00A9775C">
        <w:t xml:space="preserve"> contained in the Agreements, our </w:t>
      </w:r>
      <w:r w:rsidRPr="00D568AA">
        <w:t>decision must be rendered by June 1, 2015.  In its petition, Gulf Power indicated that</w:t>
      </w:r>
      <w:r w:rsidR="00A9775C">
        <w:t xml:space="preserve"> our</w:t>
      </w:r>
      <w:r w:rsidRPr="00D568AA">
        <w:t xml:space="preserve"> timely approval is critical because the solar facilities associated with the Agreements must be in-service on or before December 31, 2016, in order to qualify for federal business energy investment tax credits.</w:t>
      </w:r>
    </w:p>
    <w:p w:rsidR="00D568AA" w:rsidRPr="00D568AA" w:rsidRDefault="00D568AA" w:rsidP="00D568AA">
      <w:pPr>
        <w:spacing w:after="240"/>
        <w:ind w:firstLine="720"/>
        <w:jc w:val="both"/>
      </w:pPr>
      <w:r w:rsidRPr="00D568AA">
        <w:t xml:space="preserve">On January 26, 2015, the Office of Public Counsel filed a petition to intervene in </w:t>
      </w:r>
      <w:r w:rsidR="007958DC">
        <w:t>this</w:t>
      </w:r>
      <w:r w:rsidRPr="00D568AA">
        <w:t xml:space="preserve"> docket.  </w:t>
      </w:r>
      <w:r w:rsidR="00A9775C">
        <w:t>We</w:t>
      </w:r>
      <w:r w:rsidRPr="00D568AA">
        <w:t xml:space="preserve"> granted intervention to the Office of Public Counsel on March 11, 2015.</w:t>
      </w:r>
      <w:r w:rsidRPr="00D568AA">
        <w:rPr>
          <w:vertAlign w:val="superscript"/>
        </w:rPr>
        <w:footnoteReference w:id="4"/>
      </w:r>
      <w:r w:rsidRPr="00D568AA">
        <w:t xml:space="preserve">  </w:t>
      </w:r>
    </w:p>
    <w:p w:rsidR="00D568AA" w:rsidRPr="00D568AA" w:rsidRDefault="00A9775C" w:rsidP="00D568AA">
      <w:pPr>
        <w:spacing w:after="240"/>
        <w:ind w:firstLine="720"/>
        <w:jc w:val="both"/>
      </w:pPr>
      <w:r>
        <w:lastRenderedPageBreak/>
        <w:t xml:space="preserve">We have </w:t>
      </w:r>
      <w:r w:rsidR="00D568AA" w:rsidRPr="00D568AA">
        <w:t>jurisdiction over this matter pursuant to Sections 366.051, 366.91, and 366.92, Florida Statutes (F.S.).</w:t>
      </w:r>
    </w:p>
    <w:p w:rsidR="00D568AA" w:rsidRPr="00A9775C" w:rsidRDefault="00A9775C" w:rsidP="00A9775C">
      <w:pPr>
        <w:pStyle w:val="ListParagraph"/>
        <w:numPr>
          <w:ilvl w:val="0"/>
          <w:numId w:val="2"/>
        </w:numPr>
        <w:rPr>
          <w:b/>
          <w:u w:val="single"/>
        </w:rPr>
      </w:pPr>
      <w:r w:rsidRPr="00A9775C">
        <w:rPr>
          <w:b/>
          <w:u w:val="single"/>
        </w:rPr>
        <w:t>Analysis and Decision</w:t>
      </w:r>
    </w:p>
    <w:p w:rsidR="00A9775C" w:rsidRPr="00D568AA" w:rsidRDefault="00A9775C" w:rsidP="00A9775C">
      <w:pPr>
        <w:ind w:left="360"/>
      </w:pPr>
    </w:p>
    <w:bookmarkEnd w:id="4"/>
    <w:p w:rsidR="00D568AA" w:rsidRPr="00D568AA" w:rsidRDefault="007958DC" w:rsidP="00D568AA">
      <w:pPr>
        <w:spacing w:after="240"/>
        <w:ind w:firstLine="720"/>
        <w:jc w:val="both"/>
      </w:pPr>
      <w:r>
        <w:t xml:space="preserve">By its Petition, </w:t>
      </w:r>
      <w:r w:rsidR="00D568AA" w:rsidRPr="00D568AA">
        <w:t xml:space="preserve">Gulf Power requests approval for the recovery, through the Fuel and Purchased Power Cost Recovery Clause (fuel clause), of costs associated with three Agreements between the Company and Gulf Coast.  The Agreements are for the purchase of energy with no requirements with respect to the timing of the energy delivered.  Therefore, </w:t>
      </w:r>
      <w:r w:rsidR="00A9775C">
        <w:t xml:space="preserve">our </w:t>
      </w:r>
      <w:r w:rsidR="00D568AA" w:rsidRPr="00D568AA">
        <w:t xml:space="preserve">evaluation of the Agreements is based on the requirements of Rule 25-17.0825, Florida Administrative Code (F.A.C.).  Per Rule 25-17.0825(6), F.A.C., utility payments for energy made to qualifying facilities pursuant to a negotiated contract shall be recoverable if the payments to the qualifying facility are:  (1) not reasonably projected to result in higher cost electric service to the utility’s general body of ratepayers, and (2) the qualifying facility will not adversely affect the adequacy or reliability of electric service to all customers.  </w:t>
      </w:r>
    </w:p>
    <w:p w:rsidR="00D568AA" w:rsidRPr="00D568AA" w:rsidRDefault="00D568AA" w:rsidP="00D568AA">
      <w:pPr>
        <w:widowControl w:val="0"/>
        <w:overflowPunct w:val="0"/>
        <w:autoSpaceDE w:val="0"/>
        <w:autoSpaceDN w:val="0"/>
        <w:adjustRightInd w:val="0"/>
        <w:spacing w:before="240" w:after="240" w:line="260" w:lineRule="atLeast"/>
        <w:jc w:val="both"/>
        <w:textAlignment w:val="baseline"/>
        <w:rPr>
          <w:b/>
        </w:rPr>
      </w:pPr>
      <w:r w:rsidRPr="00D568AA">
        <w:rPr>
          <w:b/>
          <w:i/>
          <w:noProof/>
          <w:color w:val="000000"/>
        </w:rPr>
        <w:t>Economic Evaluation of Payments</w:t>
      </w:r>
    </w:p>
    <w:p w:rsidR="00D568AA" w:rsidRPr="00D568AA" w:rsidRDefault="00D568AA" w:rsidP="00D568AA">
      <w:pPr>
        <w:spacing w:before="240" w:after="240"/>
        <w:ind w:firstLine="720"/>
        <w:jc w:val="both"/>
      </w:pPr>
      <w:r w:rsidRPr="00D568AA">
        <w:t>The Agreements were analyzed, negotiated, and executed under Gulf Power’s 2014 energy budget which included the Company’s 2014 fuel price forecasts.  Based on the Company’s 2014 energy budget, the Agreements would result in a savings of approximately $17.4 million (in 2015 dollars) with savings occurring in each year of the 25 year term.</w:t>
      </w:r>
      <w:r w:rsidRPr="00D568AA">
        <w:rPr>
          <w:vertAlign w:val="superscript"/>
        </w:rPr>
        <w:footnoteReference w:id="5"/>
      </w:r>
      <w:r w:rsidRPr="00D568AA">
        <w:t xml:space="preserve">  Following the negotiation and execution of the Agreements, Gulf Power’s 2015 energy budget was released and the Company performed a second economic evaluation based upon the 2015 forecasts.  Based on Gulf Power’s second economic evaluation, the Agreements would result in a savings of approximately $2.8 million with savings occurring in 17 of the 25 contract years.  </w:t>
      </w:r>
      <w:r w:rsidR="008811D2">
        <w:t>The</w:t>
      </w:r>
      <w:r w:rsidRPr="00D568AA">
        <w:t xml:space="preserve"> cumulative savings are positive over the term of the Agreements with significant savings occurring over the first ten years of the Agreement.  Table 1, below, summarizes the results of Gulf Power’s economic evaluations.</w:t>
      </w:r>
    </w:p>
    <w:p w:rsidR="00D568AA" w:rsidRPr="00D568AA" w:rsidRDefault="00A9775C" w:rsidP="00A9775C">
      <w:pPr>
        <w:rPr>
          <w:b/>
          <w:bCs/>
          <w:sz w:val="20"/>
          <w:szCs w:val="20"/>
        </w:rPr>
      </w:pPr>
      <w:r>
        <w:t>T</w:t>
      </w:r>
      <w:r w:rsidR="00D568AA" w:rsidRPr="00D568AA">
        <w:rPr>
          <w:b/>
          <w:bCs/>
          <w:sz w:val="20"/>
          <w:szCs w:val="20"/>
        </w:rPr>
        <w:t xml:space="preserve">able </w:t>
      </w:r>
      <w:r w:rsidR="00D568AA" w:rsidRPr="00D568AA">
        <w:rPr>
          <w:b/>
          <w:bCs/>
          <w:sz w:val="20"/>
          <w:szCs w:val="20"/>
        </w:rPr>
        <w:fldChar w:fldCharType="begin"/>
      </w:r>
      <w:r w:rsidR="00D568AA" w:rsidRPr="00D568AA">
        <w:rPr>
          <w:b/>
          <w:bCs/>
          <w:sz w:val="20"/>
          <w:szCs w:val="20"/>
        </w:rPr>
        <w:instrText xml:space="preserve"> SEQ Table \* ARABIC </w:instrText>
      </w:r>
      <w:r w:rsidR="00D568AA" w:rsidRPr="00D568AA">
        <w:rPr>
          <w:b/>
          <w:bCs/>
          <w:sz w:val="20"/>
          <w:szCs w:val="20"/>
        </w:rPr>
        <w:fldChar w:fldCharType="separate"/>
      </w:r>
      <w:r w:rsidR="00700B96">
        <w:rPr>
          <w:b/>
          <w:bCs/>
          <w:noProof/>
          <w:sz w:val="20"/>
          <w:szCs w:val="20"/>
        </w:rPr>
        <w:t>1</w:t>
      </w:r>
      <w:r w:rsidR="00D568AA" w:rsidRPr="00D568AA">
        <w:rPr>
          <w:b/>
          <w:bCs/>
          <w:sz w:val="20"/>
          <w:szCs w:val="20"/>
        </w:rPr>
        <w:fldChar w:fldCharType="end"/>
      </w:r>
      <w:r w:rsidR="00D568AA" w:rsidRPr="00D568AA">
        <w:rPr>
          <w:b/>
          <w:bCs/>
          <w:sz w:val="20"/>
          <w:szCs w:val="20"/>
        </w:rPr>
        <w:t>:  Summary of Economic Evaluations</w:t>
      </w:r>
    </w:p>
    <w:tbl>
      <w:tblPr>
        <w:tblW w:w="8640" w:type="dxa"/>
        <w:jc w:val="center"/>
        <w:tblLook w:val="04A0" w:firstRow="1" w:lastRow="0" w:firstColumn="1" w:lastColumn="0" w:noHBand="0" w:noVBand="1"/>
      </w:tblPr>
      <w:tblGrid>
        <w:gridCol w:w="4320"/>
        <w:gridCol w:w="4320"/>
      </w:tblGrid>
      <w:tr w:rsidR="00D568AA" w:rsidRPr="00D568AA" w:rsidTr="00366BD7">
        <w:trPr>
          <w:trHeight w:val="288"/>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8AA" w:rsidRPr="00D568AA" w:rsidRDefault="00D568AA" w:rsidP="00D568AA">
            <w:pPr>
              <w:jc w:val="center"/>
              <w:rPr>
                <w:rFonts w:ascii="Calibri" w:hAnsi="Calibri"/>
                <w:b/>
                <w:bCs/>
                <w:color w:val="000000"/>
                <w:sz w:val="20"/>
                <w:szCs w:val="20"/>
              </w:rPr>
            </w:pPr>
            <w:r w:rsidRPr="00D568AA">
              <w:rPr>
                <w:rFonts w:ascii="Calibri" w:hAnsi="Calibri"/>
                <w:b/>
                <w:bCs/>
                <w:color w:val="000000"/>
                <w:sz w:val="20"/>
                <w:szCs w:val="20"/>
              </w:rPr>
              <w:t>Energy Budget</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D568AA" w:rsidRPr="00D568AA" w:rsidRDefault="00D568AA" w:rsidP="00D568AA">
            <w:pPr>
              <w:jc w:val="center"/>
              <w:rPr>
                <w:rFonts w:ascii="Calibri" w:hAnsi="Calibri"/>
                <w:b/>
                <w:bCs/>
                <w:color w:val="000000"/>
                <w:sz w:val="20"/>
                <w:szCs w:val="20"/>
              </w:rPr>
            </w:pPr>
            <w:r w:rsidRPr="00D568AA">
              <w:rPr>
                <w:rFonts w:ascii="Calibri" w:hAnsi="Calibri"/>
                <w:b/>
                <w:bCs/>
                <w:color w:val="000000"/>
                <w:sz w:val="20"/>
                <w:szCs w:val="20"/>
              </w:rPr>
              <w:t>Net Present Value Savings (millions 2015 $)</w:t>
            </w:r>
          </w:p>
        </w:tc>
      </w:tr>
      <w:tr w:rsidR="00D568AA" w:rsidRPr="00D568AA" w:rsidTr="00366BD7">
        <w:trPr>
          <w:trHeight w:val="288"/>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D568AA" w:rsidRPr="00D568AA" w:rsidRDefault="00D568AA" w:rsidP="00D568AA">
            <w:pPr>
              <w:jc w:val="center"/>
              <w:rPr>
                <w:rFonts w:ascii="Calibri" w:hAnsi="Calibri"/>
                <w:b/>
                <w:bCs/>
                <w:color w:val="000000"/>
                <w:sz w:val="20"/>
                <w:szCs w:val="20"/>
              </w:rPr>
            </w:pPr>
            <w:r w:rsidRPr="00D568AA">
              <w:rPr>
                <w:rFonts w:ascii="Calibri" w:hAnsi="Calibri"/>
                <w:b/>
                <w:bCs/>
                <w:color w:val="000000"/>
                <w:sz w:val="20"/>
                <w:szCs w:val="20"/>
              </w:rPr>
              <w:t>2014</w:t>
            </w:r>
          </w:p>
        </w:tc>
        <w:tc>
          <w:tcPr>
            <w:tcW w:w="3600" w:type="dxa"/>
            <w:tcBorders>
              <w:top w:val="nil"/>
              <w:left w:val="nil"/>
              <w:bottom w:val="single" w:sz="4" w:space="0" w:color="auto"/>
              <w:right w:val="single" w:sz="4" w:space="0" w:color="auto"/>
            </w:tcBorders>
            <w:shd w:val="clear" w:color="auto" w:fill="auto"/>
            <w:noWrap/>
            <w:vAlign w:val="center"/>
            <w:hideMark/>
          </w:tcPr>
          <w:p w:rsidR="00D568AA" w:rsidRPr="00D568AA" w:rsidRDefault="00D568AA" w:rsidP="00D568AA">
            <w:pPr>
              <w:jc w:val="center"/>
              <w:rPr>
                <w:rFonts w:ascii="Calibri" w:hAnsi="Calibri"/>
                <w:color w:val="000000"/>
                <w:sz w:val="20"/>
                <w:szCs w:val="20"/>
              </w:rPr>
            </w:pPr>
            <w:r w:rsidRPr="00D568AA">
              <w:rPr>
                <w:rFonts w:ascii="Calibri" w:hAnsi="Calibri"/>
                <w:color w:val="000000"/>
                <w:sz w:val="20"/>
                <w:szCs w:val="20"/>
              </w:rPr>
              <w:t>17.4</w:t>
            </w:r>
          </w:p>
        </w:tc>
      </w:tr>
      <w:tr w:rsidR="00D568AA" w:rsidRPr="00D568AA" w:rsidTr="00366BD7">
        <w:trPr>
          <w:trHeight w:val="288"/>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rsidR="00D568AA" w:rsidRPr="00D568AA" w:rsidRDefault="00D568AA" w:rsidP="00D568AA">
            <w:pPr>
              <w:jc w:val="center"/>
              <w:rPr>
                <w:rFonts w:ascii="Calibri" w:hAnsi="Calibri"/>
                <w:b/>
                <w:bCs/>
                <w:color w:val="000000"/>
                <w:sz w:val="20"/>
                <w:szCs w:val="20"/>
              </w:rPr>
            </w:pPr>
            <w:r w:rsidRPr="00D568AA">
              <w:rPr>
                <w:rFonts w:ascii="Calibri" w:hAnsi="Calibri"/>
                <w:b/>
                <w:bCs/>
                <w:color w:val="000000"/>
                <w:sz w:val="20"/>
                <w:szCs w:val="20"/>
              </w:rPr>
              <w:t>2015</w:t>
            </w:r>
          </w:p>
        </w:tc>
        <w:tc>
          <w:tcPr>
            <w:tcW w:w="3600" w:type="dxa"/>
            <w:tcBorders>
              <w:top w:val="nil"/>
              <w:left w:val="nil"/>
              <w:bottom w:val="single" w:sz="4" w:space="0" w:color="auto"/>
              <w:right w:val="single" w:sz="4" w:space="0" w:color="auto"/>
            </w:tcBorders>
            <w:shd w:val="clear" w:color="auto" w:fill="auto"/>
            <w:noWrap/>
            <w:vAlign w:val="center"/>
            <w:hideMark/>
          </w:tcPr>
          <w:p w:rsidR="00D568AA" w:rsidRPr="00D568AA" w:rsidRDefault="00D568AA" w:rsidP="00D568AA">
            <w:pPr>
              <w:jc w:val="center"/>
              <w:rPr>
                <w:rFonts w:ascii="Calibri" w:hAnsi="Calibri"/>
                <w:color w:val="000000"/>
                <w:sz w:val="20"/>
                <w:szCs w:val="20"/>
              </w:rPr>
            </w:pPr>
            <w:r w:rsidRPr="00D568AA">
              <w:rPr>
                <w:rFonts w:ascii="Calibri" w:hAnsi="Calibri"/>
                <w:color w:val="000000"/>
                <w:sz w:val="20"/>
                <w:szCs w:val="20"/>
              </w:rPr>
              <w:t>2.8</w:t>
            </w:r>
          </w:p>
        </w:tc>
      </w:tr>
    </w:tbl>
    <w:p w:rsidR="00D568AA" w:rsidRPr="00D568AA" w:rsidRDefault="00D568AA" w:rsidP="00D568AA">
      <w:pPr>
        <w:spacing w:before="240" w:after="240"/>
        <w:ind w:firstLine="720"/>
        <w:jc w:val="both"/>
      </w:pPr>
      <w:r w:rsidRPr="00D568AA">
        <w:t xml:space="preserve">Gulf Power indicated that the primary driver of the differences between the 2014 and 2015 evaluations is a lower fuel cost projection for the 2015 energy budget.  </w:t>
      </w:r>
      <w:r w:rsidR="001E7A11">
        <w:t>We reviewed</w:t>
      </w:r>
      <w:r w:rsidRPr="00D568AA">
        <w:t xml:space="preserve"> both of the fuel price forecasts as well as the process and methodology by which the forecasts were developed.  In response to </w:t>
      </w:r>
      <w:r w:rsidR="008811D2">
        <w:t>our</w:t>
      </w:r>
      <w:r w:rsidRPr="00D568AA">
        <w:t xml:space="preserve"> data request, the Company asserted that the methodology it employed in developing the fuel price forecasts used in this docket is the same as that used by </w:t>
      </w:r>
      <w:r w:rsidRPr="00D568AA">
        <w:lastRenderedPageBreak/>
        <w:t xml:space="preserve">the Company to develop its 2014 Ten-Year Site Plan.  </w:t>
      </w:r>
      <w:r w:rsidR="001E7A11">
        <w:t>We find</w:t>
      </w:r>
      <w:r w:rsidRPr="00D568AA">
        <w:t xml:space="preserve"> that Gulf Power’s 2014 and 2015 fuel price forecasts are reasonable for evaluating the Agreements.  </w:t>
      </w:r>
    </w:p>
    <w:p w:rsidR="00D568AA" w:rsidRPr="00D568AA" w:rsidRDefault="00D568AA" w:rsidP="00D568AA">
      <w:pPr>
        <w:widowControl w:val="0"/>
        <w:overflowPunct w:val="0"/>
        <w:autoSpaceDE w:val="0"/>
        <w:autoSpaceDN w:val="0"/>
        <w:adjustRightInd w:val="0"/>
        <w:spacing w:before="240" w:after="240" w:line="260" w:lineRule="atLeast"/>
        <w:ind w:firstLine="720"/>
        <w:jc w:val="both"/>
        <w:textAlignment w:val="baseline"/>
      </w:pPr>
      <w:r w:rsidRPr="00D568AA">
        <w:t>Gulf Power’s payments to Gulf Coast are based on a fixed annual contract energy rate.  Total payments to Gulf Coast will vary depending on the annual performance of the solar facilit</w:t>
      </w:r>
      <w:r w:rsidR="008811D2">
        <w:t>ies; however, the rate, in dollar per MWh</w:t>
      </w:r>
      <w:r w:rsidRPr="00D568AA">
        <w:t xml:space="preserve">, will not change as Gulf Power’s avoided energy costs change.  This allocates the risk of fuel price fluctuations, which impact avoided energy costs, to Gulf Power’s ratepayers.  </w:t>
      </w:r>
    </w:p>
    <w:p w:rsidR="00D568AA" w:rsidRPr="00D568AA" w:rsidRDefault="00D568AA" w:rsidP="00D568AA">
      <w:pPr>
        <w:widowControl w:val="0"/>
        <w:overflowPunct w:val="0"/>
        <w:autoSpaceDE w:val="0"/>
        <w:autoSpaceDN w:val="0"/>
        <w:adjustRightInd w:val="0"/>
        <w:spacing w:before="240" w:after="240" w:line="260" w:lineRule="atLeast"/>
        <w:ind w:firstLine="720"/>
        <w:jc w:val="both"/>
        <w:textAlignment w:val="baseline"/>
      </w:pPr>
      <w:r w:rsidRPr="00D568AA">
        <w:t>Although there is a risk that fuel costs may be lower than those forecasted by Gulf Power which would reduce the benefits of the Agreements, other variables not considered in Gulf Power’s economic evaluation could increase the benefits.  Specifically</w:t>
      </w:r>
      <w:r w:rsidR="00351996">
        <w:t>,</w:t>
      </w:r>
      <w:r w:rsidRPr="00D568AA">
        <w:t xml:space="preserve"> an economic evaluation that considered the potential benefits</w:t>
      </w:r>
      <w:r w:rsidRPr="00D568AA">
        <w:rPr>
          <w:noProof/>
          <w:color w:val="000000"/>
        </w:rPr>
        <w:t xml:space="preserve"> associated with renewable attributes and potential </w:t>
      </w:r>
      <w:r w:rsidRPr="00D568AA">
        <w:t>carbon dioxide (</w:t>
      </w:r>
      <w:r w:rsidRPr="00D568AA">
        <w:rPr>
          <w:noProof/>
          <w:color w:val="000000"/>
        </w:rPr>
        <w:t>CO</w:t>
      </w:r>
      <w:r w:rsidRPr="00D568AA">
        <w:rPr>
          <w:noProof/>
          <w:color w:val="000000"/>
          <w:vertAlign w:val="subscript"/>
        </w:rPr>
        <w:t>2</w:t>
      </w:r>
      <w:r w:rsidRPr="00D568AA">
        <w:rPr>
          <w:noProof/>
          <w:color w:val="000000"/>
        </w:rPr>
        <w:t xml:space="preserve">) regulations would increase the benefits of the Agreements.  </w:t>
      </w:r>
    </w:p>
    <w:p w:rsidR="00D568AA" w:rsidRPr="00D568AA" w:rsidRDefault="00D568AA" w:rsidP="00D568AA">
      <w:pPr>
        <w:ind w:firstLine="720"/>
        <w:jc w:val="both"/>
      </w:pPr>
      <w:r w:rsidRPr="00D568AA">
        <w:t xml:space="preserve">In its petition, Gulf Power stated that proceeds from the sale of renewable attributes would be returned to Gulf Power's ratepayers in the form of credits to the fuel clause.  Gulf Power anticipates receiving more than 5.6 million RECs (one REC per delivered MWh) over the term of the Agreements.  Gulf Power stated that RECs are presently selling on the voluntary market for approximately $0.75 per REC.  Based on pricing in the voluntary market as it exists today, Gulf Power estimates approximately $4.26 million in potential benefits associated with the sale of RECs over the term of the Agreements.  The RECs also have the potential to assist the Company in complying with Renewable Portfolio Standards or similar compliance obligations should they arise in the future.  </w:t>
      </w:r>
      <w:r w:rsidR="00351996">
        <w:t xml:space="preserve">We find that should Gulf Power decide to sell its </w:t>
      </w:r>
      <w:r w:rsidR="007958DC">
        <w:t>RECs</w:t>
      </w:r>
      <w:r w:rsidR="00351996">
        <w:t xml:space="preserve">, </w:t>
      </w:r>
      <w:r w:rsidR="00174C60">
        <w:t>the C</w:t>
      </w:r>
      <w:r w:rsidR="007958DC">
        <w:t>ompany’s</w:t>
      </w:r>
      <w:r w:rsidRPr="00D568AA">
        <w:t xml:space="preserve"> proposed treatment of RECs associated with the </w:t>
      </w:r>
      <w:r w:rsidR="008811D2">
        <w:t>Agreements</w:t>
      </w:r>
      <w:r w:rsidRPr="00D568AA">
        <w:t xml:space="preserve"> is appropriate because the proceeds from any sale of the RECs will benefit ratepayers in the form of credits to the fuel clause.</w:t>
      </w:r>
    </w:p>
    <w:p w:rsidR="00D568AA" w:rsidRPr="00D568AA" w:rsidRDefault="00D568AA" w:rsidP="00D568AA">
      <w:pPr>
        <w:spacing w:before="240" w:after="240"/>
        <w:ind w:firstLine="720"/>
        <w:jc w:val="both"/>
      </w:pPr>
      <w:r w:rsidRPr="00D568AA">
        <w:t>Gulf Power’s economic evaluations did not include consideration of potential rul</w:t>
      </w:r>
      <w:r w:rsidR="00F60042">
        <w:t xml:space="preserve">es or regulations concerning </w:t>
      </w:r>
      <w:r w:rsidR="00F60042" w:rsidRPr="00D568AA">
        <w:t>CO</w:t>
      </w:r>
      <w:r w:rsidR="00F60042" w:rsidRPr="00D568AA">
        <w:rPr>
          <w:vertAlign w:val="subscript"/>
        </w:rPr>
        <w:t>2</w:t>
      </w:r>
      <w:r w:rsidRPr="00D568AA">
        <w:t xml:space="preserve"> emissions.  In response to </w:t>
      </w:r>
      <w:r w:rsidR="00351996">
        <w:t>our</w:t>
      </w:r>
      <w:r w:rsidRPr="00D568AA">
        <w:t xml:space="preserve"> data request, Gulf indicated the Agreements could provide future value in terms of CO</w:t>
      </w:r>
      <w:r w:rsidRPr="00D568AA">
        <w:rPr>
          <w:vertAlign w:val="subscript"/>
        </w:rPr>
        <w:t>2</w:t>
      </w:r>
      <w:r w:rsidRPr="00D568AA">
        <w:t xml:space="preserve"> compliance.  Based on estimates provided by the Company, the Agreements will avoid more than 300,000 tons of coal and more than 50 million MMBtu of natural gas.  The avoided fossil fueled energy generation is projected to result in a reduction of more than 3.5 million tons of CO</w:t>
      </w:r>
      <w:r w:rsidRPr="00D568AA">
        <w:rPr>
          <w:vertAlign w:val="subscript"/>
        </w:rPr>
        <w:t>2</w:t>
      </w:r>
      <w:r w:rsidRPr="00D568AA">
        <w:t>.  If CO</w:t>
      </w:r>
      <w:r w:rsidRPr="00D568AA">
        <w:rPr>
          <w:vertAlign w:val="subscript"/>
        </w:rPr>
        <w:t>2</w:t>
      </w:r>
      <w:r w:rsidRPr="00D568AA">
        <w:t xml:space="preserve"> regulation costs were included in Gulf Power’s analysis, </w:t>
      </w:r>
      <w:r w:rsidR="00351996">
        <w:t>we find</w:t>
      </w:r>
      <w:r w:rsidRPr="00D568AA">
        <w:t xml:space="preserve"> that the economic benefits associated with the Agreements would increase. </w:t>
      </w:r>
    </w:p>
    <w:p w:rsidR="00D568AA" w:rsidRPr="00D568AA" w:rsidRDefault="00D568AA" w:rsidP="00D568AA">
      <w:pPr>
        <w:spacing w:before="240" w:after="240"/>
        <w:jc w:val="both"/>
        <w:rPr>
          <w:b/>
          <w:i/>
          <w:noProof/>
          <w:color w:val="000000"/>
        </w:rPr>
      </w:pPr>
      <w:r w:rsidRPr="00D568AA">
        <w:rPr>
          <w:noProof/>
          <w:color w:val="000000"/>
        </w:rPr>
        <w:t xml:space="preserve">  </w:t>
      </w:r>
      <w:r w:rsidRPr="00D568AA">
        <w:rPr>
          <w:noProof/>
          <w:color w:val="000000"/>
        </w:rPr>
        <w:tab/>
        <w:t xml:space="preserve">Based on the information provided, </w:t>
      </w:r>
      <w:r w:rsidR="00351996">
        <w:rPr>
          <w:noProof/>
          <w:color w:val="000000"/>
        </w:rPr>
        <w:t>we</w:t>
      </w:r>
      <w:r w:rsidRPr="00D568AA">
        <w:t xml:space="preserve"> </w:t>
      </w:r>
      <w:r w:rsidR="00047D35" w:rsidRPr="00D568AA">
        <w:t>conclude</w:t>
      </w:r>
      <w:r w:rsidRPr="00D568AA">
        <w:t xml:space="preserve"> that Gulf Power’s economic evaluations demonstrate that the Agreements are cost-effective.  While the inherent risk associated with the Agreements and potential fuel price fluctuations are recognized, </w:t>
      </w:r>
      <w:r w:rsidR="00351996">
        <w:t>we find</w:t>
      </w:r>
      <w:r w:rsidRPr="00D568AA">
        <w:t xml:space="preserve"> that consideration of potential benefits from renewable attributes increases the likelihood that the Agreements will result in savings to Gulf Power’s ratepayers over the life of the contracts. </w:t>
      </w:r>
    </w:p>
    <w:p w:rsidR="007958DC" w:rsidRDefault="007958DC" w:rsidP="00D568AA">
      <w:pPr>
        <w:jc w:val="both"/>
        <w:rPr>
          <w:b/>
          <w:i/>
          <w:noProof/>
          <w:color w:val="000000"/>
        </w:rPr>
      </w:pPr>
    </w:p>
    <w:p w:rsidR="007958DC" w:rsidRDefault="007958DC" w:rsidP="00D568AA">
      <w:pPr>
        <w:jc w:val="both"/>
        <w:rPr>
          <w:b/>
          <w:i/>
          <w:noProof/>
          <w:color w:val="000000"/>
        </w:rPr>
      </w:pPr>
    </w:p>
    <w:p w:rsidR="007958DC" w:rsidRDefault="007958DC" w:rsidP="00D568AA">
      <w:pPr>
        <w:jc w:val="both"/>
        <w:rPr>
          <w:b/>
          <w:i/>
          <w:noProof/>
          <w:color w:val="000000"/>
        </w:rPr>
      </w:pPr>
    </w:p>
    <w:p w:rsidR="00D568AA" w:rsidRPr="00D568AA" w:rsidRDefault="00D568AA" w:rsidP="00D568AA">
      <w:pPr>
        <w:jc w:val="both"/>
        <w:rPr>
          <w:b/>
        </w:rPr>
      </w:pPr>
      <w:r w:rsidRPr="00D568AA">
        <w:rPr>
          <w:b/>
          <w:i/>
          <w:noProof/>
          <w:color w:val="000000"/>
        </w:rPr>
        <w:lastRenderedPageBreak/>
        <w:t>Electric Service Adequacy and Reliability</w:t>
      </w:r>
      <w:r w:rsidRPr="00D568AA">
        <w:rPr>
          <w:b/>
        </w:rPr>
        <w:t xml:space="preserve"> </w:t>
      </w:r>
    </w:p>
    <w:p w:rsidR="00D568AA" w:rsidRPr="00D568AA" w:rsidRDefault="00D568AA" w:rsidP="00D568AA">
      <w:pPr>
        <w:spacing w:before="240" w:after="240"/>
        <w:ind w:firstLine="720"/>
        <w:jc w:val="both"/>
        <w:rPr>
          <w:noProof/>
          <w:color w:val="000000"/>
        </w:rPr>
      </w:pPr>
      <w:r w:rsidRPr="00D568AA">
        <w:rPr>
          <w:noProof/>
          <w:color w:val="000000"/>
        </w:rPr>
        <w:t xml:space="preserve">In its petition, Gulf Power stated that Gulf Coast will bear full responsibility for costs of facilities necessary to interconnect the solar array to Gulf Power’s transmission system.  Based on studies performed by Southern Company Services Transmission Planning, its relevant substations and transmission facilities can accommodate the the output of each solar facility without any adverse impacts or expense to Gulf Power.  Additionally, the Agreements contain a variety of provisions that are intended to ensure that the adequacy and reliability of electric service will not be adversely affected by the solar facilities.  Such provisions include:  requiring that the facilities be designed and operated in accordance with prudent industry practices and operating procedures, requiring Gulf Coast to curtail or cease energy deliveries under various circumstances including emergency conditions on Gulf Power’s system and load balancing situations, and requiring reasonable notice to Gulf Power of any unplanned outages. </w:t>
      </w:r>
    </w:p>
    <w:p w:rsidR="00D568AA" w:rsidRPr="00D568AA" w:rsidRDefault="00D568AA" w:rsidP="00D568AA">
      <w:pPr>
        <w:spacing w:before="240" w:after="240"/>
        <w:ind w:firstLine="720"/>
        <w:jc w:val="both"/>
        <w:rPr>
          <w:noProof/>
          <w:color w:val="000000"/>
        </w:rPr>
      </w:pPr>
      <w:r w:rsidRPr="00D568AA">
        <w:t xml:space="preserve">Gulf Power has taken reasonable steps to ensure that its electric service will not be adversely affected by the solar facilities associated with the Agreements.  Additionally, </w:t>
      </w:r>
      <w:r w:rsidR="00351996">
        <w:t>we find</w:t>
      </w:r>
      <w:r w:rsidRPr="00D568AA">
        <w:rPr>
          <w:noProof/>
          <w:color w:val="000000"/>
        </w:rPr>
        <w:t xml:space="preserve"> that the Agreements contain provisions to further ensure that the adequacy and reliability of Gulf Power’s electric service will not be impacted by the solar facilities</w:t>
      </w:r>
      <w:r w:rsidRPr="00D568AA">
        <w:t xml:space="preserve">.  </w:t>
      </w:r>
    </w:p>
    <w:p w:rsidR="00D568AA" w:rsidRPr="00D568AA" w:rsidRDefault="00D568AA" w:rsidP="00D568AA">
      <w:pPr>
        <w:jc w:val="both"/>
        <w:rPr>
          <w:b/>
          <w:i/>
          <w:noProof/>
          <w:color w:val="000000"/>
        </w:rPr>
      </w:pPr>
      <w:r w:rsidRPr="00D568AA">
        <w:rPr>
          <w:b/>
          <w:i/>
          <w:noProof/>
          <w:color w:val="000000"/>
        </w:rPr>
        <w:t>Additional Considerations</w:t>
      </w:r>
    </w:p>
    <w:p w:rsidR="00D568AA" w:rsidRPr="00D568AA" w:rsidRDefault="007958DC" w:rsidP="00D568AA">
      <w:pPr>
        <w:spacing w:before="240" w:after="240"/>
        <w:ind w:firstLine="720"/>
        <w:jc w:val="both"/>
      </w:pPr>
      <w:r>
        <w:t xml:space="preserve">While not required by </w:t>
      </w:r>
      <w:r w:rsidR="00D568AA" w:rsidRPr="00D568AA">
        <w:t>Rule</w:t>
      </w:r>
      <w:r>
        <w:t xml:space="preserve"> 25-17.0825, F.A.C.</w:t>
      </w:r>
      <w:r w:rsidR="00D568AA" w:rsidRPr="00D568AA">
        <w:t xml:space="preserve">, the Agreements contain provisions that provide protection to Gulf Power’s ratepayers in the event the solar facilities fail to meet certain performance requirements.  Per the Agreements, Gulf Power will pay Gulf Coast a specified dollar per MWh amount for each year of the contract.  The Agreements also specify an annual amount of energy to be delivered by Gulf Coast.  In the event Gulf Coast </w:t>
      </w:r>
      <w:r w:rsidR="00D568AA" w:rsidRPr="00D568AA">
        <w:rPr>
          <w:noProof/>
          <w:color w:val="000000"/>
        </w:rPr>
        <w:t xml:space="preserve">fails to meet contractual energy targets, Gulf Power’s dollar per MWh payment will be reduced.  </w:t>
      </w:r>
      <w:r w:rsidR="008811D2">
        <w:rPr>
          <w:noProof/>
          <w:color w:val="000000"/>
        </w:rPr>
        <w:t>This</w:t>
      </w:r>
      <w:r w:rsidR="00D568AA" w:rsidRPr="00D568AA">
        <w:rPr>
          <w:noProof/>
          <w:color w:val="000000"/>
        </w:rPr>
        <w:t xml:space="preserve"> provision preserves the economic benefits associated with the Agreements.</w:t>
      </w:r>
      <w:r w:rsidR="00D568AA" w:rsidRPr="00D568AA">
        <w:t xml:space="preserve">   </w:t>
      </w:r>
    </w:p>
    <w:p w:rsidR="00D568AA" w:rsidRPr="00D568AA" w:rsidRDefault="00D568AA" w:rsidP="00D568AA">
      <w:pPr>
        <w:spacing w:before="240" w:after="240"/>
        <w:ind w:firstLine="720"/>
        <w:jc w:val="both"/>
      </w:pPr>
      <w:r w:rsidRPr="00D568AA">
        <w:t xml:space="preserve">The Agreements also contain provisions to encourage commercial operation prior to March 1, 2017.  In the event the solar facilities are not commercially operable prior to March 1, 2017, Gulf Coast will pay Gulf Power liquidated damages.  If the facilities fail to achieve commercial operation within 270 days after the required commercial operation date, Gulf Power will be entitled to terminate the agreement. </w:t>
      </w:r>
    </w:p>
    <w:p w:rsidR="00D568AA" w:rsidRPr="00D568AA" w:rsidRDefault="00D568AA" w:rsidP="00D568AA">
      <w:pPr>
        <w:spacing w:before="240" w:after="240"/>
        <w:ind w:firstLine="720"/>
        <w:jc w:val="both"/>
        <w:rPr>
          <w:bCs/>
        </w:rPr>
      </w:pPr>
      <w:r w:rsidRPr="00D568AA">
        <w:rPr>
          <w:noProof/>
          <w:color w:val="000000"/>
        </w:rPr>
        <w:t xml:space="preserve">The </w:t>
      </w:r>
      <w:r w:rsidRPr="00D568AA">
        <w:rPr>
          <w:bCs/>
        </w:rPr>
        <w:t xml:space="preserve">Agreements </w:t>
      </w:r>
      <w:r w:rsidRPr="00D568AA">
        <w:rPr>
          <w:sz w:val="23"/>
          <w:szCs w:val="23"/>
        </w:rPr>
        <w:t xml:space="preserve">could increase Gulf Power’s energy generation from renewable sources by more than 600 percent.  The energy from the Agreements </w:t>
      </w:r>
      <w:r w:rsidRPr="00D568AA">
        <w:rPr>
          <w:bCs/>
        </w:rPr>
        <w:t xml:space="preserve">will enhance fuel diversity </w:t>
      </w:r>
      <w:r w:rsidRPr="00D568AA">
        <w:t xml:space="preserve">which </w:t>
      </w:r>
      <w:r w:rsidRPr="00D568AA">
        <w:rPr>
          <w:sz w:val="23"/>
          <w:szCs w:val="23"/>
        </w:rPr>
        <w:t>can improve system reliability and mitigate the effects of fuel price volatility.  The energy from the Agreements will also</w:t>
      </w:r>
      <w:r w:rsidRPr="00D568AA">
        <w:rPr>
          <w:bCs/>
        </w:rPr>
        <w:t xml:space="preserve"> reduce the state’s dependence on fossil fuel for electric production.  </w:t>
      </w:r>
    </w:p>
    <w:p w:rsidR="00D568AA" w:rsidRPr="00D568AA" w:rsidRDefault="00D568AA" w:rsidP="00D568AA">
      <w:pPr>
        <w:spacing w:after="240"/>
        <w:ind w:firstLine="720"/>
        <w:jc w:val="both"/>
      </w:pPr>
      <w:r w:rsidRPr="00D568AA">
        <w:t>As discussed above, the Agreements contain provisions, above those required for energy only contracts, which are favorable to Gulf Power and its ratepayers.  Furthermore, the energy from the Agreements will displace energy generated by fossil fuels, reducing the state’s dependence on these resources and promoting fuel diversity.</w:t>
      </w:r>
    </w:p>
    <w:p w:rsidR="004B2047" w:rsidRDefault="004B2047" w:rsidP="00D568AA">
      <w:pPr>
        <w:autoSpaceDE w:val="0"/>
        <w:autoSpaceDN w:val="0"/>
        <w:adjustRightInd w:val="0"/>
        <w:spacing w:before="240" w:after="240"/>
        <w:jc w:val="both"/>
        <w:rPr>
          <w:b/>
          <w:i/>
        </w:rPr>
      </w:pPr>
    </w:p>
    <w:p w:rsidR="00D568AA" w:rsidRPr="00D568AA" w:rsidRDefault="00D568AA" w:rsidP="00D568AA">
      <w:pPr>
        <w:autoSpaceDE w:val="0"/>
        <w:autoSpaceDN w:val="0"/>
        <w:adjustRightInd w:val="0"/>
        <w:spacing w:before="240" w:after="240"/>
        <w:jc w:val="both"/>
        <w:rPr>
          <w:b/>
          <w:i/>
        </w:rPr>
      </w:pPr>
      <w:r w:rsidRPr="00D568AA">
        <w:rPr>
          <w:b/>
          <w:i/>
        </w:rPr>
        <w:lastRenderedPageBreak/>
        <w:t>Conclusion</w:t>
      </w:r>
    </w:p>
    <w:p w:rsidR="00D568AA" w:rsidRDefault="008811D2" w:rsidP="00D568AA">
      <w:pPr>
        <w:spacing w:after="240"/>
        <w:ind w:firstLine="720"/>
        <w:jc w:val="both"/>
        <w:outlineLvl w:val="0"/>
        <w:rPr>
          <w:rFonts w:cs="Arial"/>
          <w:bCs/>
          <w:kern w:val="32"/>
          <w:szCs w:val="32"/>
        </w:rPr>
      </w:pPr>
      <w:r>
        <w:rPr>
          <w:rFonts w:cs="Arial"/>
          <w:bCs/>
          <w:noProof/>
          <w:color w:val="000000"/>
          <w:kern w:val="32"/>
          <w:szCs w:val="32"/>
        </w:rPr>
        <w:t>We find</w:t>
      </w:r>
      <w:r w:rsidR="00D568AA" w:rsidRPr="00D568AA">
        <w:rPr>
          <w:rFonts w:cs="Arial"/>
          <w:bCs/>
          <w:noProof/>
          <w:color w:val="000000"/>
          <w:kern w:val="32"/>
          <w:szCs w:val="32"/>
        </w:rPr>
        <w:t xml:space="preserve"> that the Agreements satisfy the minimum requirements of </w:t>
      </w:r>
      <w:r w:rsidR="00D568AA" w:rsidRPr="00D568AA">
        <w:rPr>
          <w:rFonts w:cs="Arial"/>
          <w:bCs/>
          <w:kern w:val="32"/>
          <w:szCs w:val="32"/>
        </w:rPr>
        <w:t xml:space="preserve">Rule 25-17.0825(6), F.A.C.  The Agreements will provide cost-effective renewable generation that will enhance fuel diversity in the state.  The Agreements are projected to produce savings between $2.8 million and $17.4 million and contain provisions to ensure that the associated solar facilities will not adversely affect the </w:t>
      </w:r>
      <w:r w:rsidR="00D568AA" w:rsidRPr="00D568AA">
        <w:rPr>
          <w:rFonts w:cs="Arial"/>
          <w:bCs/>
          <w:noProof/>
          <w:color w:val="000000"/>
          <w:kern w:val="32"/>
          <w:szCs w:val="32"/>
        </w:rPr>
        <w:t>adequacy or reliability of electric service to Gulf Power’s ratepayers</w:t>
      </w:r>
      <w:r w:rsidR="00D568AA" w:rsidRPr="00D568AA">
        <w:rPr>
          <w:rFonts w:cs="Arial"/>
          <w:bCs/>
          <w:kern w:val="32"/>
          <w:szCs w:val="32"/>
        </w:rPr>
        <w:t>.</w:t>
      </w:r>
    </w:p>
    <w:p w:rsidR="00D568AA" w:rsidRDefault="00D568AA" w:rsidP="00D568AA">
      <w:pPr>
        <w:spacing w:after="240"/>
        <w:jc w:val="both"/>
      </w:pPr>
    </w:p>
    <w:p w:rsidR="00D568AA" w:rsidRDefault="00D568AA" w:rsidP="00D568AA">
      <w:pPr>
        <w:pStyle w:val="OrderBody"/>
      </w:pPr>
      <w:r>
        <w:tab/>
        <w:t>Based on the foregoing, it is</w:t>
      </w:r>
    </w:p>
    <w:p w:rsidR="00D568AA" w:rsidRDefault="00D568AA" w:rsidP="00D568AA">
      <w:pPr>
        <w:pStyle w:val="OrderBody"/>
      </w:pPr>
    </w:p>
    <w:p w:rsidR="00D568AA" w:rsidRDefault="00D568AA" w:rsidP="00D568AA">
      <w:pPr>
        <w:pStyle w:val="OrderBody"/>
      </w:pPr>
      <w:r>
        <w:tab/>
        <w:t>ORDERED by the Florida Public Service Commission that</w:t>
      </w:r>
      <w:r w:rsidR="00A9775C">
        <w:t xml:space="preserve"> Gulf Power</w:t>
      </w:r>
      <w:r w:rsidR="007958DC">
        <w:t xml:space="preserve"> Company</w:t>
      </w:r>
      <w:r w:rsidR="00A9775C">
        <w:t xml:space="preserve">’s petition for cost recovery </w:t>
      </w:r>
      <w:r w:rsidR="008811D2">
        <w:t xml:space="preserve">of </w:t>
      </w:r>
      <w:r w:rsidR="00A9775C">
        <w:t>th</w:t>
      </w:r>
      <w:r w:rsidR="008811D2">
        <w:t>e three negotiated contracts of</w:t>
      </w:r>
      <w:r w:rsidR="00A9775C">
        <w:t xml:space="preserve"> the purchase of energy between Gulf Power</w:t>
      </w:r>
      <w:r w:rsidR="007958DC">
        <w:t xml:space="preserve"> Company</w:t>
      </w:r>
      <w:r w:rsidR="00A9775C">
        <w:t xml:space="preserve"> and Gulf Coast Solar Center I, LLC, Gulf Coast Solar Center II, LLC and Gulf Coast Solar Center III, LLC, be hereby granted as set forth in the body of this Order.  It is further</w:t>
      </w:r>
    </w:p>
    <w:p w:rsidR="00A9775C" w:rsidRDefault="00A9775C" w:rsidP="00D568AA">
      <w:pPr>
        <w:pStyle w:val="OrderBody"/>
      </w:pPr>
    </w:p>
    <w:p w:rsidR="00A9775C" w:rsidRDefault="008811D2" w:rsidP="008811D2">
      <w:pPr>
        <w:pStyle w:val="OrderBody"/>
        <w:ind w:firstLine="720"/>
      </w:pPr>
      <w:r>
        <w:t xml:space="preserve">ORDERED that the </w:t>
      </w:r>
      <w:r w:rsidR="00A9775C" w:rsidRPr="00D568AA">
        <w:t xml:space="preserve">Agreements will provide cost-effective renewable generation that will enhance fuel diversity in the state.  </w:t>
      </w:r>
      <w:r>
        <w:t>It is further</w:t>
      </w:r>
    </w:p>
    <w:p w:rsidR="00351996" w:rsidRDefault="00351996" w:rsidP="00D568AA">
      <w:pPr>
        <w:pStyle w:val="OrderBody"/>
      </w:pPr>
    </w:p>
    <w:p w:rsidR="00351996" w:rsidRDefault="00174C60" w:rsidP="00351996">
      <w:pPr>
        <w:pStyle w:val="OrderBody"/>
        <w:ind w:firstLine="720"/>
      </w:pPr>
      <w:r>
        <w:t>ORDERED that Gulf</w:t>
      </w:r>
      <w:r w:rsidR="00351996">
        <w:t xml:space="preserve"> </w:t>
      </w:r>
      <w:r w:rsidR="00351996" w:rsidRPr="00D568AA">
        <w:t>Power</w:t>
      </w:r>
      <w:r w:rsidR="007958DC">
        <w:t xml:space="preserve"> Company</w:t>
      </w:r>
      <w:r w:rsidR="00351996" w:rsidRPr="00D568AA">
        <w:t xml:space="preserve">’s proposed treatment of </w:t>
      </w:r>
      <w:r w:rsidR="00351996">
        <w:t>Renewable Energy Credits</w:t>
      </w:r>
      <w:r w:rsidR="00351996" w:rsidRPr="00D568AA">
        <w:t xml:space="preserve"> associated with the </w:t>
      </w:r>
      <w:r w:rsidR="008811D2">
        <w:t>Agreements</w:t>
      </w:r>
      <w:r w:rsidR="00351996" w:rsidRPr="00D568AA">
        <w:t xml:space="preserve"> is appropriate because the proceeds from any sale of the </w:t>
      </w:r>
      <w:r w:rsidR="00351996">
        <w:t>Renewable Energy Credits</w:t>
      </w:r>
      <w:r w:rsidR="00351996" w:rsidRPr="00D568AA">
        <w:t xml:space="preserve"> will benefit ratepayers in the form of credits to the fuel clause.</w:t>
      </w:r>
      <w:r w:rsidR="00351996">
        <w:t xml:space="preserve">  It is further</w:t>
      </w:r>
    </w:p>
    <w:p w:rsidR="00F60042" w:rsidRDefault="00F60042" w:rsidP="00351996">
      <w:pPr>
        <w:pStyle w:val="OrderBody"/>
        <w:ind w:firstLine="720"/>
      </w:pPr>
    </w:p>
    <w:p w:rsidR="00F60042" w:rsidRDefault="00F60042" w:rsidP="00351996">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811D2" w:rsidRDefault="008811D2" w:rsidP="00351996">
      <w:pPr>
        <w:pStyle w:val="OrderBody"/>
        <w:ind w:firstLine="720"/>
      </w:pPr>
    </w:p>
    <w:p w:rsidR="008811D2" w:rsidRPr="00D568AA" w:rsidRDefault="00F60042" w:rsidP="008811D2">
      <w:pPr>
        <w:spacing w:after="240"/>
        <w:ind w:firstLine="720"/>
        <w:jc w:val="both"/>
      </w:pPr>
      <w:r>
        <w:t xml:space="preserve">ORDERED that in the event this Order becomes final, this docket shall </w:t>
      </w:r>
      <w:r>
        <w:br/>
        <w:t>be closed.</w:t>
      </w:r>
    </w:p>
    <w:p w:rsidR="008811D2" w:rsidRDefault="008811D2" w:rsidP="00351996">
      <w:pPr>
        <w:pStyle w:val="OrderBody"/>
        <w:ind w:firstLine="720"/>
      </w:pPr>
    </w:p>
    <w:p w:rsidR="00351996" w:rsidRDefault="00351996" w:rsidP="00D568AA">
      <w:pPr>
        <w:pStyle w:val="OrderBody"/>
      </w:pPr>
    </w:p>
    <w:p w:rsidR="00351996" w:rsidRDefault="00351996" w:rsidP="00D568AA">
      <w:pPr>
        <w:pStyle w:val="OrderBody"/>
      </w:pPr>
    </w:p>
    <w:p w:rsidR="00D568AA" w:rsidRDefault="00D568AA" w:rsidP="00D568AA">
      <w:pPr>
        <w:pStyle w:val="OrderBody"/>
        <w:keepNext/>
        <w:keepLines/>
      </w:pPr>
      <w:r>
        <w:lastRenderedPageBreak/>
        <w:tab/>
        <w:t xml:space="preserve">By ORDER of the Florida Public Service Commission this </w:t>
      </w:r>
      <w:bookmarkStart w:id="7" w:name="replaceDate"/>
      <w:bookmarkEnd w:id="7"/>
      <w:r w:rsidR="00E6492D">
        <w:rPr>
          <w:u w:val="single"/>
        </w:rPr>
        <w:t>22nd</w:t>
      </w:r>
      <w:r w:rsidR="00E6492D">
        <w:t xml:space="preserve"> day of </w:t>
      </w:r>
      <w:r w:rsidR="00E6492D">
        <w:rPr>
          <w:u w:val="single"/>
        </w:rPr>
        <w:t>April</w:t>
      </w:r>
      <w:r w:rsidR="00E6492D">
        <w:t xml:space="preserve">, </w:t>
      </w:r>
      <w:r w:rsidR="00E6492D">
        <w:rPr>
          <w:u w:val="single"/>
        </w:rPr>
        <w:t>2015</w:t>
      </w:r>
      <w:r w:rsidR="00E6492D">
        <w:t>.</w:t>
      </w:r>
    </w:p>
    <w:p w:rsidR="00E6492D" w:rsidRDefault="00E6492D" w:rsidP="00D568AA">
      <w:pPr>
        <w:pStyle w:val="OrderBody"/>
        <w:keepNext/>
        <w:keepLines/>
      </w:pPr>
    </w:p>
    <w:p w:rsidR="00C07764" w:rsidRPr="00E6492D" w:rsidRDefault="00C07764" w:rsidP="00D568A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568AA" w:rsidTr="00D568AA">
        <w:tc>
          <w:tcPr>
            <w:tcW w:w="720" w:type="dxa"/>
            <w:shd w:val="clear" w:color="auto" w:fill="auto"/>
          </w:tcPr>
          <w:p w:rsidR="00D568AA" w:rsidRDefault="00D568AA" w:rsidP="00D568AA">
            <w:pPr>
              <w:pStyle w:val="OrderBody"/>
              <w:keepNext/>
              <w:keepLines/>
            </w:pPr>
            <w:bookmarkStart w:id="8" w:name="bkmrkSignature" w:colFirst="0" w:colLast="0"/>
          </w:p>
        </w:tc>
        <w:tc>
          <w:tcPr>
            <w:tcW w:w="4320" w:type="dxa"/>
            <w:tcBorders>
              <w:bottom w:val="single" w:sz="4" w:space="0" w:color="auto"/>
            </w:tcBorders>
            <w:shd w:val="clear" w:color="auto" w:fill="auto"/>
          </w:tcPr>
          <w:p w:rsidR="00D568AA" w:rsidRDefault="00700B96" w:rsidP="00D568AA">
            <w:pPr>
              <w:pStyle w:val="OrderBody"/>
              <w:keepNext/>
              <w:keepLines/>
            </w:pPr>
            <w:r>
              <w:t>/s/ Carlotta S. Stauffer</w:t>
            </w:r>
          </w:p>
        </w:tc>
      </w:tr>
      <w:bookmarkEnd w:id="8"/>
      <w:tr w:rsidR="00D568AA" w:rsidTr="00D568AA">
        <w:tc>
          <w:tcPr>
            <w:tcW w:w="720" w:type="dxa"/>
            <w:shd w:val="clear" w:color="auto" w:fill="auto"/>
          </w:tcPr>
          <w:p w:rsidR="00D568AA" w:rsidRDefault="00D568AA" w:rsidP="00D568AA">
            <w:pPr>
              <w:pStyle w:val="OrderBody"/>
              <w:keepNext/>
              <w:keepLines/>
            </w:pPr>
          </w:p>
        </w:tc>
        <w:tc>
          <w:tcPr>
            <w:tcW w:w="4320" w:type="dxa"/>
            <w:tcBorders>
              <w:top w:val="single" w:sz="4" w:space="0" w:color="auto"/>
            </w:tcBorders>
            <w:shd w:val="clear" w:color="auto" w:fill="auto"/>
          </w:tcPr>
          <w:p w:rsidR="00D568AA" w:rsidRDefault="00D568AA" w:rsidP="00D568AA">
            <w:pPr>
              <w:pStyle w:val="OrderBody"/>
              <w:keepNext/>
              <w:keepLines/>
            </w:pPr>
            <w:r>
              <w:t>CARLOTTA S. STAUFFER</w:t>
            </w:r>
          </w:p>
          <w:p w:rsidR="00D568AA" w:rsidRDefault="00D568AA" w:rsidP="00D568AA">
            <w:pPr>
              <w:pStyle w:val="OrderBody"/>
              <w:keepNext/>
              <w:keepLines/>
            </w:pPr>
            <w:r>
              <w:t>Commission Clerk</w:t>
            </w:r>
          </w:p>
        </w:tc>
      </w:tr>
    </w:tbl>
    <w:p w:rsidR="00D568AA" w:rsidRDefault="00D568AA" w:rsidP="00D568AA">
      <w:pPr>
        <w:pStyle w:val="OrderSigInfo"/>
        <w:keepNext/>
        <w:keepLines/>
      </w:pPr>
      <w:r>
        <w:t>Florida Public Service Commission</w:t>
      </w:r>
    </w:p>
    <w:p w:rsidR="00D568AA" w:rsidRDefault="00D568AA" w:rsidP="00D568AA">
      <w:pPr>
        <w:pStyle w:val="OrderSigInfo"/>
        <w:keepNext/>
        <w:keepLines/>
      </w:pPr>
      <w:r>
        <w:t>2540 Shumard Oak Boulevard</w:t>
      </w:r>
    </w:p>
    <w:p w:rsidR="00D568AA" w:rsidRDefault="00D568AA" w:rsidP="00D568AA">
      <w:pPr>
        <w:pStyle w:val="OrderSigInfo"/>
        <w:keepNext/>
        <w:keepLines/>
      </w:pPr>
      <w:r>
        <w:t>Tallahassee, Florida  32399</w:t>
      </w:r>
    </w:p>
    <w:p w:rsidR="00D568AA" w:rsidRDefault="00D568AA" w:rsidP="00D568AA">
      <w:pPr>
        <w:pStyle w:val="OrderSigInfo"/>
        <w:keepNext/>
        <w:keepLines/>
      </w:pPr>
      <w:r>
        <w:t>(850) 413</w:t>
      </w:r>
      <w:r>
        <w:noBreakHyphen/>
        <w:t>6770</w:t>
      </w:r>
    </w:p>
    <w:p w:rsidR="00D568AA" w:rsidRDefault="00D568AA" w:rsidP="00D568AA">
      <w:pPr>
        <w:pStyle w:val="OrderSigInfo"/>
        <w:keepNext/>
        <w:keepLines/>
      </w:pPr>
      <w:r>
        <w:t>www.floridapsc.com</w:t>
      </w:r>
    </w:p>
    <w:p w:rsidR="00D568AA" w:rsidRDefault="00D568AA" w:rsidP="00D568AA">
      <w:pPr>
        <w:pStyle w:val="OrderSigInfo"/>
        <w:keepNext/>
        <w:keepLines/>
      </w:pPr>
    </w:p>
    <w:p w:rsidR="00D568AA" w:rsidRDefault="00D568AA" w:rsidP="00D568AA">
      <w:pPr>
        <w:pStyle w:val="OrderSigInfo"/>
        <w:keepNext/>
        <w:keepLines/>
      </w:pPr>
      <w:r>
        <w:t xml:space="preserve">Copies furnished:  A copy of this document is provided to the parties of record at the time of </w:t>
      </w:r>
      <w:bookmarkStart w:id="9" w:name="_GoBack"/>
      <w:bookmarkEnd w:id="9"/>
      <w:r>
        <w:t>issuance and, if applicable, interested persons.</w:t>
      </w:r>
    </w:p>
    <w:p w:rsidR="00D568AA" w:rsidRDefault="00D568AA" w:rsidP="00D568AA">
      <w:pPr>
        <w:pStyle w:val="OrderBody"/>
        <w:keepNext/>
        <w:keepLines/>
      </w:pPr>
    </w:p>
    <w:p w:rsidR="00D568AA" w:rsidRDefault="00D568AA" w:rsidP="00D568AA">
      <w:pPr>
        <w:pStyle w:val="OrderBody"/>
        <w:keepNext/>
        <w:keepLines/>
      </w:pPr>
    </w:p>
    <w:p w:rsidR="00D568AA" w:rsidRDefault="00D568AA" w:rsidP="00D568AA">
      <w:pPr>
        <w:pStyle w:val="OrderBody"/>
        <w:keepNext/>
        <w:keepLines/>
      </w:pPr>
      <w:r>
        <w:t>TLT</w:t>
      </w:r>
    </w:p>
    <w:p w:rsidR="00D568AA" w:rsidRDefault="00D568AA" w:rsidP="00D568AA">
      <w:pPr>
        <w:pStyle w:val="OrderBody"/>
      </w:pPr>
    </w:p>
    <w:p w:rsidR="00D568AA" w:rsidRDefault="00D568AA" w:rsidP="00D568AA">
      <w:pPr>
        <w:pStyle w:val="OrderBody"/>
      </w:pPr>
    </w:p>
    <w:p w:rsidR="00D568AA" w:rsidRDefault="00D568AA" w:rsidP="00D568AA">
      <w:pPr>
        <w:pStyle w:val="CenterUnderline"/>
      </w:pPr>
      <w:r>
        <w:t>NOTICE OF FURTHER PROCEEDINGS OR JUDICIAL REVIEW</w:t>
      </w:r>
    </w:p>
    <w:p w:rsidR="00D568AA" w:rsidRDefault="00D568AA" w:rsidP="00D568AA">
      <w:pPr>
        <w:pStyle w:val="CenterUnderline"/>
        <w:rPr>
          <w:u w:val="none"/>
        </w:rPr>
      </w:pPr>
    </w:p>
    <w:p w:rsidR="00D568AA" w:rsidRDefault="00D568AA" w:rsidP="00D568A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568AA" w:rsidRDefault="00D568AA" w:rsidP="00D568AA">
      <w:pPr>
        <w:pStyle w:val="OrderBody"/>
      </w:pPr>
    </w:p>
    <w:p w:rsidR="00D568AA" w:rsidRDefault="00D568AA" w:rsidP="00D568AA">
      <w:pPr>
        <w:pStyle w:val="OrderBody"/>
      </w:pPr>
      <w:r>
        <w:tab/>
        <w:t>Mediation may be available on a case-by-case basis.  If mediation is conducted, it does not affect a substantially interested person's right to a hearing.</w:t>
      </w:r>
    </w:p>
    <w:p w:rsidR="00D568AA" w:rsidRDefault="00D568AA" w:rsidP="00D568AA">
      <w:pPr>
        <w:pStyle w:val="OrderBody"/>
      </w:pPr>
    </w:p>
    <w:p w:rsidR="00D568AA" w:rsidRDefault="00D568AA" w:rsidP="00D568A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6492D">
        <w:rPr>
          <w:u w:val="single"/>
        </w:rPr>
        <w:t>May 13, 2015</w:t>
      </w:r>
      <w:r>
        <w:t>.</w:t>
      </w:r>
    </w:p>
    <w:p w:rsidR="00D568AA" w:rsidRDefault="00D568AA" w:rsidP="00D568AA">
      <w:pPr>
        <w:pStyle w:val="OrderBody"/>
      </w:pPr>
    </w:p>
    <w:p w:rsidR="00D568AA" w:rsidRDefault="00D568AA" w:rsidP="00D568AA">
      <w:pPr>
        <w:pStyle w:val="OrderBody"/>
      </w:pPr>
      <w:r>
        <w:tab/>
        <w:t>In the absence of such a petition, this order shall become final and effective upon the issuance of a Consummating Order.</w:t>
      </w:r>
    </w:p>
    <w:p w:rsidR="00D568AA" w:rsidRDefault="00D568AA" w:rsidP="00D568AA">
      <w:pPr>
        <w:pStyle w:val="OrderBody"/>
      </w:pPr>
    </w:p>
    <w:p w:rsidR="00D568AA" w:rsidRDefault="00D568AA" w:rsidP="00D568AA">
      <w:pPr>
        <w:pStyle w:val="OrderBody"/>
      </w:pPr>
      <w:r>
        <w:tab/>
        <w:t>Any objection or protest filed in this/these docket(s) before the issuance date of this order is considered abandoned unless it satisfies the foregoing conditions and is renewed within the specified protest period.</w:t>
      </w:r>
    </w:p>
    <w:p w:rsidR="00D568AA" w:rsidRDefault="00D568AA" w:rsidP="00D568AA">
      <w:pPr>
        <w:pStyle w:val="OrderBody"/>
      </w:pPr>
    </w:p>
    <w:sectPr w:rsidR="00D568A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AA" w:rsidRDefault="00D568AA">
      <w:r>
        <w:separator/>
      </w:r>
    </w:p>
  </w:endnote>
  <w:endnote w:type="continuationSeparator" w:id="0">
    <w:p w:rsidR="00D568AA" w:rsidRDefault="00D5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AA" w:rsidRDefault="00D568AA">
      <w:r>
        <w:separator/>
      </w:r>
    </w:p>
  </w:footnote>
  <w:footnote w:type="continuationSeparator" w:id="0">
    <w:p w:rsidR="00D568AA" w:rsidRDefault="00D568AA">
      <w:r>
        <w:continuationSeparator/>
      </w:r>
    </w:p>
  </w:footnote>
  <w:footnote w:id="1">
    <w:p w:rsidR="007958DC" w:rsidRDefault="007958DC" w:rsidP="007958DC">
      <w:pPr>
        <w:pStyle w:val="FootnoteText"/>
      </w:pPr>
      <w:r>
        <w:rPr>
          <w:rStyle w:val="FootnoteReference"/>
        </w:rPr>
        <w:footnoteRef/>
      </w:r>
      <w:r>
        <w:t xml:space="preserve"> Eglin Agreement</w:t>
      </w:r>
    </w:p>
  </w:footnote>
  <w:footnote w:id="2">
    <w:p w:rsidR="007958DC" w:rsidRDefault="007958DC">
      <w:pPr>
        <w:pStyle w:val="FootnoteText"/>
      </w:pPr>
      <w:r>
        <w:rPr>
          <w:rStyle w:val="FootnoteReference"/>
        </w:rPr>
        <w:footnoteRef/>
      </w:r>
      <w:r>
        <w:t xml:space="preserve"> Holley Agreement</w:t>
      </w:r>
    </w:p>
  </w:footnote>
  <w:footnote w:id="3">
    <w:p w:rsidR="007958DC" w:rsidRDefault="007958DC">
      <w:pPr>
        <w:pStyle w:val="FootnoteText"/>
      </w:pPr>
      <w:r>
        <w:rPr>
          <w:rStyle w:val="FootnoteReference"/>
        </w:rPr>
        <w:footnoteRef/>
      </w:r>
      <w:r>
        <w:t xml:space="preserve"> Saufley Agreement</w:t>
      </w:r>
    </w:p>
  </w:footnote>
  <w:footnote w:id="4">
    <w:p w:rsidR="00D568AA" w:rsidRPr="00DB3333" w:rsidRDefault="00D568AA" w:rsidP="00D568AA">
      <w:pPr>
        <w:pStyle w:val="FootnoteText"/>
      </w:pPr>
      <w:r>
        <w:rPr>
          <w:rStyle w:val="FootnoteReference"/>
        </w:rPr>
        <w:footnoteRef/>
      </w:r>
      <w:r>
        <w:t xml:space="preserve"> </w:t>
      </w:r>
      <w:r w:rsidRPr="007144E8">
        <w:rPr>
          <w:u w:val="single"/>
        </w:rPr>
        <w:t>See</w:t>
      </w:r>
      <w:r>
        <w:t xml:space="preserve"> Order No. </w:t>
      </w:r>
      <w:bookmarkStart w:id="6" w:name="OrderNo0125"/>
      <w:r>
        <w:t>PSC-15-0125-PCO-EI</w:t>
      </w:r>
      <w:bookmarkEnd w:id="6"/>
      <w:r>
        <w:t xml:space="preserve"> issued: March 11, 2015, in Docket No. 150035-EI, </w:t>
      </w:r>
      <w:r w:rsidRPr="007D1F68">
        <w:rPr>
          <w:u w:val="single"/>
        </w:rPr>
        <w:t>In re:  P</w:t>
      </w:r>
      <w:r w:rsidRPr="002B2CF9">
        <w:rPr>
          <w:u w:val="single"/>
        </w:rPr>
        <w:t>etition for approval of energy purchase agreements between Gulf Power Company and Gulf Coast Solar Center I, LLC, Gulf Coast Solar Center II, LLC, and Gulf Coast Solar Center III, LLC</w:t>
      </w:r>
      <w:r w:rsidRPr="00CA4671">
        <w:rPr>
          <w:u w:val="single"/>
        </w:rPr>
        <w:t>.</w:t>
      </w:r>
    </w:p>
  </w:footnote>
  <w:footnote w:id="5">
    <w:p w:rsidR="00D568AA" w:rsidRPr="006D1B85" w:rsidRDefault="00D568AA" w:rsidP="00A9775C">
      <w:pPr>
        <w:pStyle w:val="BodyText"/>
        <w:jc w:val="both"/>
      </w:pPr>
      <w:r w:rsidRPr="006D1B85">
        <w:rPr>
          <w:rStyle w:val="FootnoteReference"/>
          <w:sz w:val="20"/>
          <w:szCs w:val="20"/>
        </w:rPr>
        <w:footnoteRef/>
      </w:r>
      <w:r w:rsidRPr="006D1B85">
        <w:rPr>
          <w:rStyle w:val="FootnoteReference"/>
          <w:sz w:val="20"/>
          <w:szCs w:val="20"/>
        </w:rPr>
        <w:t xml:space="preserve"> </w:t>
      </w:r>
      <w:r w:rsidRPr="006D1B85">
        <w:rPr>
          <w:sz w:val="20"/>
          <w:szCs w:val="20"/>
        </w:rPr>
        <w:t>The annual prices in the Agreements are conditione</w:t>
      </w:r>
      <w:r>
        <w:rPr>
          <w:sz w:val="20"/>
          <w:szCs w:val="20"/>
        </w:rPr>
        <w:t>d on all three agreements be</w:t>
      </w:r>
      <w:r w:rsidRPr="006D1B85">
        <w:rPr>
          <w:sz w:val="20"/>
          <w:szCs w:val="20"/>
        </w:rPr>
        <w:t>ing approv</w:t>
      </w:r>
      <w:r>
        <w:rPr>
          <w:sz w:val="20"/>
          <w:szCs w:val="20"/>
        </w:rPr>
        <w:t>ed</w:t>
      </w:r>
      <w:r w:rsidRPr="006D1B85">
        <w:rPr>
          <w:sz w:val="20"/>
          <w:szCs w:val="20"/>
        </w:rPr>
        <w:t xml:space="preserve"> </w:t>
      </w:r>
      <w:r>
        <w:rPr>
          <w:sz w:val="20"/>
          <w:szCs w:val="20"/>
        </w:rPr>
        <w:t xml:space="preserve">by the Commission.  </w:t>
      </w:r>
      <w:r w:rsidRPr="006D1B85">
        <w:rPr>
          <w:sz w:val="20"/>
          <w:szCs w:val="20"/>
        </w:rPr>
        <w:t xml:space="preserve">In the event that only two agreements are approved </w:t>
      </w:r>
      <w:r w:rsidR="00A9775C">
        <w:rPr>
          <w:sz w:val="20"/>
          <w:szCs w:val="20"/>
        </w:rPr>
        <w:t>by us</w:t>
      </w:r>
      <w:r w:rsidRPr="006D1B85">
        <w:rPr>
          <w:sz w:val="20"/>
          <w:szCs w:val="20"/>
        </w:rPr>
        <w:t>, the prices will increase by 1.5 percent.</w:t>
      </w:r>
      <w:r>
        <w:rPr>
          <w:sz w:val="20"/>
          <w:szCs w:val="20"/>
        </w:rPr>
        <w:t xml:space="preserve"> </w:t>
      </w:r>
      <w:r w:rsidRPr="006D1B85">
        <w:rPr>
          <w:sz w:val="20"/>
          <w:szCs w:val="20"/>
        </w:rPr>
        <w:t xml:space="preserve"> In the event that only one agreement is approved by </w:t>
      </w:r>
      <w:r w:rsidR="00A9775C">
        <w:rPr>
          <w:sz w:val="20"/>
          <w:szCs w:val="20"/>
        </w:rPr>
        <w:t>us</w:t>
      </w:r>
      <w:r w:rsidRPr="006D1B85">
        <w:rPr>
          <w:sz w:val="20"/>
          <w:szCs w:val="20"/>
        </w:rPr>
        <w:t xml:space="preserve"> the prices will increase by 2.5 percent.</w:t>
      </w:r>
      <w:r>
        <w:rPr>
          <w:sz w:val="20"/>
          <w:szCs w:val="20"/>
        </w:rPr>
        <w:t xml:space="preserve">  Such price increases would reduce the overall savings to Gulf Power’s customers.</w:t>
      </w:r>
    </w:p>
    <w:p w:rsidR="00D568AA" w:rsidRDefault="00D568AA" w:rsidP="00D568A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5 ">
      <w:r w:rsidR="00700B96">
        <w:t>PSC-15-0155-PAA-EI</w:t>
      </w:r>
    </w:fldSimple>
    <w:bookmarkStart w:id="10" w:name="OrderText"/>
    <w:bookmarkEnd w:id="10"/>
  </w:p>
  <w:p w:rsidR="00FA6EFD" w:rsidRDefault="00D568AA">
    <w:pPr>
      <w:pStyle w:val="OrderHeader"/>
    </w:pPr>
    <w:bookmarkStart w:id="11" w:name="HeaderDocketNo"/>
    <w:bookmarkEnd w:id="11"/>
    <w:r>
      <w:t>DOCKET NO. 150035-EI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0B9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90B16"/>
    <w:multiLevelType w:val="hybridMultilevel"/>
    <w:tmpl w:val="07440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7B0929"/>
    <w:multiLevelType w:val="hybridMultilevel"/>
    <w:tmpl w:val="27B6DCFA"/>
    <w:lvl w:ilvl="0" w:tplc="AB488B64">
      <w:start w:val="1"/>
      <w:numFmt w:val="upperRoman"/>
      <w:lvlText w:val="%1."/>
      <w:lvlJc w:val="left"/>
      <w:pPr>
        <w:ind w:left="1080" w:hanging="72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5-EI"/>
  </w:docVars>
  <w:rsids>
    <w:rsidRoot w:val="00D568AA"/>
    <w:rsid w:val="000022B8"/>
    <w:rsid w:val="00047D35"/>
    <w:rsid w:val="00053AB9"/>
    <w:rsid w:val="00056229"/>
    <w:rsid w:val="00065FC2"/>
    <w:rsid w:val="00090AFC"/>
    <w:rsid w:val="000D06E8"/>
    <w:rsid w:val="000E344D"/>
    <w:rsid w:val="000F3B2C"/>
    <w:rsid w:val="000F7BE3"/>
    <w:rsid w:val="00116AD3"/>
    <w:rsid w:val="00126593"/>
    <w:rsid w:val="00142A96"/>
    <w:rsid w:val="00174C60"/>
    <w:rsid w:val="00187E32"/>
    <w:rsid w:val="00194E81"/>
    <w:rsid w:val="001A33C9"/>
    <w:rsid w:val="001D008A"/>
    <w:rsid w:val="001E7A11"/>
    <w:rsid w:val="002002ED"/>
    <w:rsid w:val="0022721A"/>
    <w:rsid w:val="00230BB9"/>
    <w:rsid w:val="002A11AC"/>
    <w:rsid w:val="002A6F30"/>
    <w:rsid w:val="002D7D15"/>
    <w:rsid w:val="00303FDE"/>
    <w:rsid w:val="003140E8"/>
    <w:rsid w:val="003231C7"/>
    <w:rsid w:val="00331ED0"/>
    <w:rsid w:val="00351996"/>
    <w:rsid w:val="0035495B"/>
    <w:rsid w:val="003744F5"/>
    <w:rsid w:val="00390DD8"/>
    <w:rsid w:val="00394DC6"/>
    <w:rsid w:val="00397C3E"/>
    <w:rsid w:val="003D4CCA"/>
    <w:rsid w:val="003D6416"/>
    <w:rsid w:val="003E1D48"/>
    <w:rsid w:val="00457DC7"/>
    <w:rsid w:val="00472BCC"/>
    <w:rsid w:val="004A25CD"/>
    <w:rsid w:val="004A26CC"/>
    <w:rsid w:val="004B2047"/>
    <w:rsid w:val="004B2108"/>
    <w:rsid w:val="004B3A2B"/>
    <w:rsid w:val="004D2D1B"/>
    <w:rsid w:val="004F2DDE"/>
    <w:rsid w:val="0050097F"/>
    <w:rsid w:val="00514B1F"/>
    <w:rsid w:val="00556A10"/>
    <w:rsid w:val="005963C2"/>
    <w:rsid w:val="005B45F7"/>
    <w:rsid w:val="005B63EA"/>
    <w:rsid w:val="00660774"/>
    <w:rsid w:val="00665CC7"/>
    <w:rsid w:val="00683059"/>
    <w:rsid w:val="006A0BF3"/>
    <w:rsid w:val="006B0DA6"/>
    <w:rsid w:val="006C547E"/>
    <w:rsid w:val="00700B96"/>
    <w:rsid w:val="00704C5D"/>
    <w:rsid w:val="00733B6B"/>
    <w:rsid w:val="0076170F"/>
    <w:rsid w:val="0076669C"/>
    <w:rsid w:val="007865E9"/>
    <w:rsid w:val="00792383"/>
    <w:rsid w:val="007958DC"/>
    <w:rsid w:val="007B7C2E"/>
    <w:rsid w:val="007D3D20"/>
    <w:rsid w:val="007E3AFD"/>
    <w:rsid w:val="00804E7A"/>
    <w:rsid w:val="00805FBB"/>
    <w:rsid w:val="008169A4"/>
    <w:rsid w:val="008278FE"/>
    <w:rsid w:val="00832598"/>
    <w:rsid w:val="0083397E"/>
    <w:rsid w:val="0083534B"/>
    <w:rsid w:val="00863A66"/>
    <w:rsid w:val="00874429"/>
    <w:rsid w:val="008811D2"/>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9775C"/>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7764"/>
    <w:rsid w:val="00C66692"/>
    <w:rsid w:val="00C91123"/>
    <w:rsid w:val="00CA71FF"/>
    <w:rsid w:val="00CB5276"/>
    <w:rsid w:val="00CB68D7"/>
    <w:rsid w:val="00CC7E68"/>
    <w:rsid w:val="00CD7132"/>
    <w:rsid w:val="00D30B48"/>
    <w:rsid w:val="00D46FAA"/>
    <w:rsid w:val="00D568AA"/>
    <w:rsid w:val="00D57BB2"/>
    <w:rsid w:val="00D8560E"/>
    <w:rsid w:val="00D8758F"/>
    <w:rsid w:val="00DC1D94"/>
    <w:rsid w:val="00DE057F"/>
    <w:rsid w:val="00DE2082"/>
    <w:rsid w:val="00DE2289"/>
    <w:rsid w:val="00E04410"/>
    <w:rsid w:val="00E11351"/>
    <w:rsid w:val="00E6492D"/>
    <w:rsid w:val="00EA172C"/>
    <w:rsid w:val="00EA259B"/>
    <w:rsid w:val="00EA35A3"/>
    <w:rsid w:val="00EA3E6A"/>
    <w:rsid w:val="00EB18EF"/>
    <w:rsid w:val="00EE17DF"/>
    <w:rsid w:val="00EF1742"/>
    <w:rsid w:val="00EF4621"/>
    <w:rsid w:val="00F277B6"/>
    <w:rsid w:val="00F54380"/>
    <w:rsid w:val="00F54B47"/>
    <w:rsid w:val="00F60042"/>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D568AA"/>
  </w:style>
  <w:style w:type="paragraph" w:styleId="ListParagraph">
    <w:name w:val="List Paragraph"/>
    <w:basedOn w:val="Normal"/>
    <w:uiPriority w:val="34"/>
    <w:qFormat/>
    <w:rsid w:val="00A9775C"/>
    <w:pPr>
      <w:ind w:left="720"/>
      <w:contextualSpacing/>
    </w:pPr>
  </w:style>
  <w:style w:type="paragraph" w:styleId="BalloonText">
    <w:name w:val="Balloon Text"/>
    <w:basedOn w:val="Normal"/>
    <w:link w:val="BalloonTextChar"/>
    <w:rsid w:val="00EF1742"/>
    <w:rPr>
      <w:rFonts w:ascii="Tahoma" w:hAnsi="Tahoma" w:cs="Tahoma"/>
      <w:sz w:val="16"/>
      <w:szCs w:val="16"/>
    </w:rPr>
  </w:style>
  <w:style w:type="character" w:customStyle="1" w:styleId="BalloonTextChar">
    <w:name w:val="Balloon Text Char"/>
    <w:basedOn w:val="DefaultParagraphFont"/>
    <w:link w:val="BalloonText"/>
    <w:rsid w:val="00EF1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D568AA"/>
  </w:style>
  <w:style w:type="paragraph" w:styleId="ListParagraph">
    <w:name w:val="List Paragraph"/>
    <w:basedOn w:val="Normal"/>
    <w:uiPriority w:val="34"/>
    <w:qFormat/>
    <w:rsid w:val="00A9775C"/>
    <w:pPr>
      <w:ind w:left="720"/>
      <w:contextualSpacing/>
    </w:pPr>
  </w:style>
  <w:style w:type="paragraph" w:styleId="BalloonText">
    <w:name w:val="Balloon Text"/>
    <w:basedOn w:val="Normal"/>
    <w:link w:val="BalloonTextChar"/>
    <w:rsid w:val="00EF1742"/>
    <w:rPr>
      <w:rFonts w:ascii="Tahoma" w:hAnsi="Tahoma" w:cs="Tahoma"/>
      <w:sz w:val="16"/>
      <w:szCs w:val="16"/>
    </w:rPr>
  </w:style>
  <w:style w:type="character" w:customStyle="1" w:styleId="BalloonTextChar">
    <w:name w:val="Balloon Text Char"/>
    <w:basedOn w:val="DefaultParagraphFont"/>
    <w:link w:val="BalloonText"/>
    <w:rsid w:val="00EF1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C804-CDD6-43C6-8E3D-3A43F57B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1219</TotalTime>
  <Pages>7</Pages>
  <Words>2580</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11</cp:revision>
  <cp:lastPrinted>2015-04-22T15:41:00Z</cp:lastPrinted>
  <dcterms:created xsi:type="dcterms:W3CDTF">2015-04-17T18:37:00Z</dcterms:created>
  <dcterms:modified xsi:type="dcterms:W3CDTF">2015-04-22T15:42:00Z</dcterms:modified>
</cp:coreProperties>
</file>