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059B1" w:rsidP="008059B1">
      <w:pPr>
        <w:pStyle w:val="OrderHeading"/>
      </w:pPr>
      <w:r>
        <w:t>BEFORE THE FLORIDA PUBLIC SERVICE COMMISSION</w:t>
      </w:r>
    </w:p>
    <w:p w:rsidR="008059B1" w:rsidRDefault="008059B1" w:rsidP="008059B1">
      <w:pPr>
        <w:pStyle w:val="OrderHeading"/>
      </w:pPr>
    </w:p>
    <w:p w:rsidR="008059B1" w:rsidRDefault="008059B1" w:rsidP="008059B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059B1" w:rsidRPr="00C63FCF" w:rsidTr="00BC5BA5">
        <w:trPr>
          <w:trHeight w:val="828"/>
        </w:trPr>
        <w:tc>
          <w:tcPr>
            <w:tcW w:w="4788" w:type="dxa"/>
            <w:tcBorders>
              <w:bottom w:val="single" w:sz="8" w:space="0" w:color="auto"/>
              <w:right w:val="double" w:sz="6" w:space="0" w:color="auto"/>
            </w:tcBorders>
            <w:shd w:val="clear" w:color="auto" w:fill="auto"/>
          </w:tcPr>
          <w:p w:rsidR="008059B1" w:rsidRDefault="008059B1" w:rsidP="00BC5BA5">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059B1" w:rsidRDefault="008059B1" w:rsidP="008059B1">
            <w:pPr>
              <w:pStyle w:val="OrderBody"/>
            </w:pPr>
            <w:r>
              <w:t xml:space="preserve">DOCKET NO. </w:t>
            </w:r>
            <w:bookmarkStart w:id="1" w:name="SSDocketNo"/>
            <w:bookmarkEnd w:id="1"/>
            <w:r>
              <w:t>150001-EI</w:t>
            </w:r>
          </w:p>
          <w:p w:rsidR="008059B1" w:rsidRDefault="008059B1" w:rsidP="00BC5BA5">
            <w:pPr>
              <w:pStyle w:val="OrderBody"/>
              <w:tabs>
                <w:tab w:val="center" w:pos="4320"/>
                <w:tab w:val="right" w:pos="8640"/>
              </w:tabs>
              <w:jc w:val="left"/>
            </w:pPr>
            <w:r>
              <w:t xml:space="preserve">ORDER NO. </w:t>
            </w:r>
            <w:bookmarkStart w:id="2" w:name="OrderNo0284"/>
            <w:r w:rsidR="000A035B">
              <w:t>PSC-15-0284-FOF-EI</w:t>
            </w:r>
            <w:bookmarkEnd w:id="2"/>
          </w:p>
          <w:p w:rsidR="008059B1" w:rsidRDefault="008059B1" w:rsidP="00BC5BA5">
            <w:pPr>
              <w:pStyle w:val="OrderBody"/>
              <w:tabs>
                <w:tab w:val="center" w:pos="4320"/>
                <w:tab w:val="right" w:pos="8640"/>
              </w:tabs>
              <w:jc w:val="left"/>
            </w:pPr>
            <w:r>
              <w:t xml:space="preserve">ISSUED: </w:t>
            </w:r>
            <w:r w:rsidR="000A035B">
              <w:t>July 14, 2015</w:t>
            </w:r>
          </w:p>
        </w:tc>
      </w:tr>
    </w:tbl>
    <w:p w:rsidR="008059B1" w:rsidRDefault="008059B1" w:rsidP="008059B1"/>
    <w:p w:rsidR="008059B1" w:rsidRDefault="008059B1" w:rsidP="008059B1"/>
    <w:p w:rsidR="008059B1" w:rsidRPr="00E46E1F" w:rsidRDefault="008059B1">
      <w:pPr>
        <w:ind w:firstLine="720"/>
        <w:jc w:val="both"/>
      </w:pPr>
      <w:bookmarkStart w:id="3" w:name="Commissioners"/>
      <w:bookmarkEnd w:id="3"/>
      <w:r w:rsidRPr="00E46E1F">
        <w:t>The following Commissioners participated in the disposition of this matter:</w:t>
      </w:r>
    </w:p>
    <w:p w:rsidR="008059B1" w:rsidRPr="00E46E1F" w:rsidRDefault="008059B1"/>
    <w:p w:rsidR="008059B1" w:rsidRDefault="008059B1">
      <w:pPr>
        <w:jc w:val="center"/>
      </w:pPr>
      <w:r>
        <w:t>ART GRAHAM</w:t>
      </w:r>
      <w:r w:rsidRPr="00E46E1F">
        <w:t>, Chairman</w:t>
      </w:r>
    </w:p>
    <w:p w:rsidR="008059B1" w:rsidRPr="00E46E1F" w:rsidRDefault="008059B1">
      <w:pPr>
        <w:jc w:val="center"/>
      </w:pPr>
      <w:r w:rsidRPr="00E46E1F">
        <w:t>LISA POLAK EDGAR</w:t>
      </w:r>
    </w:p>
    <w:p w:rsidR="008059B1" w:rsidRDefault="008059B1">
      <w:pPr>
        <w:jc w:val="center"/>
      </w:pPr>
      <w:r>
        <w:t>RONALD A. BRISÉ</w:t>
      </w:r>
    </w:p>
    <w:p w:rsidR="008059B1" w:rsidRDefault="008059B1">
      <w:pPr>
        <w:jc w:val="center"/>
      </w:pPr>
      <w:r>
        <w:t>JULIE I. BROWN</w:t>
      </w:r>
    </w:p>
    <w:p w:rsidR="008059B1" w:rsidRDefault="008059B1">
      <w:pPr>
        <w:jc w:val="center"/>
      </w:pPr>
      <w:r>
        <w:t>JIMMY PATRONIS</w:t>
      </w:r>
    </w:p>
    <w:p w:rsidR="00CB5276" w:rsidRDefault="00CB5276">
      <w:pPr>
        <w:pStyle w:val="OrderBody"/>
      </w:pPr>
    </w:p>
    <w:p w:rsidR="008059B1" w:rsidRDefault="007F48BC" w:rsidP="008059B1">
      <w:pPr>
        <w:pStyle w:val="CenterUnderline"/>
      </w:pPr>
      <w:r>
        <w:t xml:space="preserve">FINAL </w:t>
      </w:r>
      <w:r w:rsidR="008059B1">
        <w:t>ORDER</w:t>
      </w:r>
      <w:bookmarkStart w:id="4" w:name="OrderTitle"/>
      <w:r w:rsidR="008059B1">
        <w:t xml:space="preserve"> </w:t>
      </w:r>
      <w:r w:rsidR="005F7FC9">
        <w:t xml:space="preserve">APPROVING MODIFIED GAS RESERVE </w:t>
      </w:r>
      <w:r w:rsidR="006B6AFB">
        <w:t>GUIDELINES</w:t>
      </w:r>
      <w:r w:rsidR="008059B1">
        <w:t xml:space="preserve"> </w:t>
      </w:r>
      <w:bookmarkEnd w:id="4"/>
    </w:p>
    <w:p w:rsidR="008059B1" w:rsidRDefault="008059B1" w:rsidP="008059B1">
      <w:pPr>
        <w:pStyle w:val="CenterUnderline"/>
      </w:pPr>
    </w:p>
    <w:p w:rsidR="00523373" w:rsidRPr="00701945" w:rsidRDefault="00523373" w:rsidP="00523373">
      <w:pPr>
        <w:jc w:val="both"/>
      </w:pPr>
      <w:r w:rsidRPr="00701945">
        <w:t>APPEARANCES:</w:t>
      </w:r>
    </w:p>
    <w:p w:rsidR="00523373" w:rsidRPr="00701945" w:rsidRDefault="00523373" w:rsidP="00523373">
      <w:pPr>
        <w:jc w:val="both"/>
      </w:pPr>
    </w:p>
    <w:p w:rsidR="00523373" w:rsidRPr="00EE7F55" w:rsidRDefault="00523373" w:rsidP="00523373">
      <w:pPr>
        <w:ind w:left="1440"/>
        <w:jc w:val="both"/>
      </w:pPr>
      <w:r>
        <w:rPr>
          <w:caps/>
        </w:rPr>
        <w:t>R. WADE LITCHFIELD</w:t>
      </w:r>
      <w:r>
        <w:t>,</w:t>
      </w:r>
      <w:r w:rsidRPr="00900721">
        <w:t xml:space="preserve"> </w:t>
      </w:r>
      <w:r w:rsidRPr="00EE7F55">
        <w:rPr>
          <w:caps/>
        </w:rPr>
        <w:t>JOHN T. BUTLER</w:t>
      </w:r>
      <w:r>
        <w:rPr>
          <w:caps/>
        </w:rPr>
        <w:t>,</w:t>
      </w:r>
      <w:r w:rsidRPr="00EE7F55">
        <w:t xml:space="preserve"> </w:t>
      </w:r>
      <w:r>
        <w:t xml:space="preserve">and </w:t>
      </w:r>
      <w:r w:rsidRPr="000E0FDA">
        <w:t>MARIA J. MONCADA</w:t>
      </w:r>
      <w:r>
        <w:t xml:space="preserve">, </w:t>
      </w:r>
      <w:r w:rsidRPr="00EE7F55">
        <w:t>ESQUIRES, Florida Power &amp; Light Company, 700 Universe Boulevard, Juno Beach, Florida 33408-0420</w:t>
      </w:r>
      <w:r>
        <w:t>; CHARLES A. GUYTON, ESQUIRE, Gunster Law Firm, 215 South Monroe Street, Suite 601, Tallahassee, Florida 32101-1804</w:t>
      </w:r>
    </w:p>
    <w:p w:rsidR="00523373" w:rsidRPr="00EE7F55" w:rsidRDefault="00523373" w:rsidP="00523373">
      <w:pPr>
        <w:ind w:left="1440"/>
        <w:jc w:val="both"/>
      </w:pPr>
      <w:r w:rsidRPr="00EE7F55">
        <w:rPr>
          <w:u w:val="single"/>
        </w:rPr>
        <w:t>On behalf of Florida Power &amp; Light Company (FPL)</w:t>
      </w:r>
    </w:p>
    <w:p w:rsidR="00523373" w:rsidRPr="00EE7F55" w:rsidRDefault="00523373" w:rsidP="00523373">
      <w:pPr>
        <w:jc w:val="both"/>
      </w:pPr>
    </w:p>
    <w:p w:rsidR="00523373" w:rsidRPr="00EE7F55" w:rsidRDefault="00523373" w:rsidP="00523373">
      <w:pPr>
        <w:ind w:left="1440" w:hanging="1440"/>
        <w:jc w:val="both"/>
      </w:pPr>
      <w:r w:rsidRPr="00EE7F55">
        <w:rPr>
          <w:rFonts w:cs="Arial"/>
          <w:spacing w:val="-3"/>
        </w:rPr>
        <w:tab/>
        <w:t xml:space="preserve">J.R. KELLY, </w:t>
      </w:r>
      <w:r w:rsidRPr="00EE7F55">
        <w:t>PATRICIA A. CHRISTENSEN, CHARLES REHWINKEL,</w:t>
      </w:r>
      <w:r w:rsidRPr="00EE7F55">
        <w:rPr>
          <w:rFonts w:cs="Arial"/>
          <w:spacing w:val="-3"/>
        </w:rPr>
        <w:t xml:space="preserve"> </w:t>
      </w:r>
      <w:r>
        <w:rPr>
          <w:rFonts w:cs="Arial"/>
          <w:spacing w:val="-3"/>
        </w:rPr>
        <w:t xml:space="preserve">and </w:t>
      </w:r>
      <w:r>
        <w:t>ERIK SAYLER</w:t>
      </w:r>
      <w:r w:rsidRPr="00EE7F55">
        <w:t>, ESQUIRES, Office of Public Counsel, c/o The Florida Legislature, 111 West Madison Street, Room 812, Tallahassee, Florida 32399-1400</w:t>
      </w:r>
    </w:p>
    <w:p w:rsidR="00523373" w:rsidRPr="00EE7F55" w:rsidRDefault="00523373" w:rsidP="00523373">
      <w:pPr>
        <w:ind w:left="1440" w:hanging="1440"/>
        <w:jc w:val="both"/>
      </w:pPr>
      <w:r w:rsidRPr="00EE7F55">
        <w:tab/>
      </w:r>
      <w:r w:rsidRPr="00EE7F55">
        <w:rPr>
          <w:u w:val="single"/>
        </w:rPr>
        <w:t>On behalf of the Citizens of the State of Florida (OPC)</w:t>
      </w:r>
    </w:p>
    <w:p w:rsidR="00523373" w:rsidRPr="00EE7F55" w:rsidRDefault="00523373" w:rsidP="00523373"/>
    <w:p w:rsidR="00523373" w:rsidRPr="00EE7F55" w:rsidRDefault="00523373" w:rsidP="00523373">
      <w:pPr>
        <w:ind w:left="1440" w:hanging="1440"/>
        <w:jc w:val="both"/>
        <w:rPr>
          <w:bCs/>
        </w:rPr>
      </w:pPr>
      <w:r w:rsidRPr="00EE7F55">
        <w:tab/>
      </w:r>
      <w:r>
        <w:rPr>
          <w:bCs/>
        </w:rPr>
        <w:t xml:space="preserve">JON C. MOYLE, JR., </w:t>
      </w:r>
      <w:r w:rsidRPr="00EE7F55">
        <w:rPr>
          <w:bCs/>
        </w:rPr>
        <w:t xml:space="preserve">KAREN PUTNAL, </w:t>
      </w:r>
      <w:r>
        <w:rPr>
          <w:bCs/>
        </w:rPr>
        <w:t xml:space="preserve">and VICKI GORDON KAUFMAN, </w:t>
      </w:r>
      <w:r w:rsidRPr="00EE7F55">
        <w:rPr>
          <w:bCs/>
        </w:rPr>
        <w:t>ESQUIRES, Moyle Law Firm, PA, The Perkins House, 118 North Gadsden Street, Tallahassee, Florida 32301</w:t>
      </w:r>
    </w:p>
    <w:p w:rsidR="00523373" w:rsidRPr="00EE7F55" w:rsidRDefault="00523373" w:rsidP="00523373">
      <w:pPr>
        <w:ind w:left="1440" w:hanging="1440"/>
        <w:jc w:val="both"/>
        <w:rPr>
          <w:u w:val="single"/>
        </w:rPr>
      </w:pPr>
      <w:r w:rsidRPr="00EE7F55">
        <w:rPr>
          <w:bCs/>
        </w:rPr>
        <w:tab/>
      </w:r>
      <w:r w:rsidRPr="00EE7F55">
        <w:rPr>
          <w:bCs/>
          <w:u w:val="single"/>
        </w:rPr>
        <w:t>On behalf of the Florida Industrial Power Users Group (FIPUG)</w:t>
      </w:r>
    </w:p>
    <w:p w:rsidR="00523373" w:rsidRPr="00EE7F55" w:rsidRDefault="00523373" w:rsidP="00523373">
      <w:pPr>
        <w:jc w:val="both"/>
      </w:pPr>
    </w:p>
    <w:p w:rsidR="00523373" w:rsidRPr="00EE7F55" w:rsidRDefault="00523373" w:rsidP="00523373">
      <w:pPr>
        <w:ind w:left="1440" w:hanging="1440"/>
        <w:jc w:val="both"/>
      </w:pPr>
      <w:r w:rsidRPr="00EE7F55">
        <w:tab/>
        <w:t>R</w:t>
      </w:r>
      <w:r>
        <w:rPr>
          <w:caps/>
        </w:rPr>
        <w:t>obert Scheffel Wright</w:t>
      </w:r>
      <w:r w:rsidRPr="00EE7F55">
        <w:rPr>
          <w:caps/>
        </w:rPr>
        <w:t xml:space="preserve"> </w:t>
      </w:r>
      <w:r w:rsidRPr="00EE7F55">
        <w:t>and</w:t>
      </w:r>
      <w:r w:rsidRPr="00EE7F55">
        <w:rPr>
          <w:caps/>
        </w:rPr>
        <w:t xml:space="preserve"> </w:t>
      </w:r>
      <w:r w:rsidRPr="00EE7F55">
        <w:rPr>
          <w:caps/>
          <w:sz w:val="25"/>
          <w:szCs w:val="25"/>
        </w:rPr>
        <w:t xml:space="preserve">John </w:t>
      </w:r>
      <w:r w:rsidRPr="00EE7F55">
        <w:rPr>
          <w:caps/>
        </w:rPr>
        <w:t xml:space="preserve">T. LaVia, III, ESQUIRES, </w:t>
      </w:r>
      <w:r w:rsidRPr="00EE7F55">
        <w:t xml:space="preserve">Gardner, </w:t>
      </w:r>
      <w:proofErr w:type="spellStart"/>
      <w:r w:rsidRPr="00EE7F55">
        <w:t>Bist</w:t>
      </w:r>
      <w:proofErr w:type="spellEnd"/>
      <w:r w:rsidRPr="00EE7F55">
        <w:t xml:space="preserve">, Wiener, Bowden, Bush, Dee, LaVia &amp; Wright, P.A., 1300 </w:t>
      </w:r>
      <w:proofErr w:type="spellStart"/>
      <w:r w:rsidRPr="00EE7F55">
        <w:t>Thomaswood</w:t>
      </w:r>
      <w:proofErr w:type="spellEnd"/>
      <w:r w:rsidRPr="00EE7F55">
        <w:t xml:space="preserve"> Drive, Tallahassee, Florida 32308</w:t>
      </w:r>
    </w:p>
    <w:p w:rsidR="00523373" w:rsidRPr="00EE7F55" w:rsidRDefault="00523373" w:rsidP="00523373">
      <w:pPr>
        <w:ind w:left="1440" w:hanging="1440"/>
        <w:jc w:val="both"/>
        <w:rPr>
          <w:caps/>
        </w:rPr>
      </w:pPr>
      <w:r w:rsidRPr="00EE7F55">
        <w:tab/>
      </w:r>
      <w:r w:rsidRPr="00EE7F55">
        <w:rPr>
          <w:u w:val="single"/>
        </w:rPr>
        <w:t>On behalf of the Florida Retail Federation (FRF)</w:t>
      </w:r>
    </w:p>
    <w:p w:rsidR="00523373" w:rsidRPr="00EE7F55" w:rsidRDefault="00523373" w:rsidP="00523373">
      <w:pPr>
        <w:jc w:val="both"/>
      </w:pPr>
      <w:r w:rsidRPr="00EE7F55">
        <w:tab/>
      </w:r>
      <w:r w:rsidRPr="00EE7F55">
        <w:tab/>
      </w:r>
    </w:p>
    <w:p w:rsidR="00523373" w:rsidRPr="00EE7F55" w:rsidRDefault="00523373" w:rsidP="00523373">
      <w:pPr>
        <w:ind w:left="1440" w:hanging="1440"/>
        <w:jc w:val="both"/>
      </w:pPr>
      <w:r w:rsidRPr="00EE7F55">
        <w:tab/>
        <w:t>MARTHA BARRERA</w:t>
      </w:r>
      <w:r>
        <w:t>,</w:t>
      </w:r>
      <w:r w:rsidRPr="00EE7F55">
        <w:t xml:space="preserve"> </w:t>
      </w:r>
      <w:r>
        <w:t>KEINO YOUNG</w:t>
      </w:r>
      <w:r w:rsidRPr="00EE7F55">
        <w:t>,</w:t>
      </w:r>
      <w:r>
        <w:t xml:space="preserve"> and KYESHA MAPP,</w:t>
      </w:r>
      <w:r w:rsidRPr="00EE7F55">
        <w:t xml:space="preserve"> ESQUIRES, Florida Public Service Commission, 2540 Shumard Oak Boulevard, Tallahassee, Florida 32399-0850</w:t>
      </w:r>
    </w:p>
    <w:p w:rsidR="00523373" w:rsidRPr="00EE7F55" w:rsidRDefault="00523373" w:rsidP="00523373">
      <w:pPr>
        <w:ind w:left="720" w:firstLine="720"/>
        <w:jc w:val="both"/>
      </w:pPr>
      <w:r w:rsidRPr="00EE7F55">
        <w:rPr>
          <w:u w:val="single"/>
        </w:rPr>
        <w:t>On behalf of the Florida Public Service Commission (Staff)</w:t>
      </w:r>
    </w:p>
    <w:p w:rsidR="00523373" w:rsidRPr="00EE7F55" w:rsidRDefault="00523373" w:rsidP="00523373">
      <w:pPr>
        <w:jc w:val="both"/>
      </w:pPr>
    </w:p>
    <w:p w:rsidR="00523373" w:rsidRPr="00EE7F55" w:rsidRDefault="00523373" w:rsidP="00523373">
      <w:pPr>
        <w:ind w:left="1440"/>
        <w:jc w:val="both"/>
      </w:pPr>
      <w:r w:rsidRPr="00EE7F55">
        <w:rPr>
          <w:caps/>
        </w:rPr>
        <w:t>Mary Anne Helton</w:t>
      </w:r>
      <w:r w:rsidRPr="00EE7F55">
        <w:t xml:space="preserve">, </w:t>
      </w:r>
      <w:r>
        <w:t xml:space="preserve">ESQUIRE, </w:t>
      </w:r>
      <w:r w:rsidRPr="00EE7F55">
        <w:t>Deputy General Counsel, Florida Public Service Commission, 2540 Shumard Oak Boulevard, Tallahassee, Florida 32399-0850</w:t>
      </w:r>
    </w:p>
    <w:p w:rsidR="00523373" w:rsidRDefault="00523373" w:rsidP="00523373">
      <w:pPr>
        <w:ind w:left="720" w:firstLine="720"/>
        <w:jc w:val="both"/>
        <w:rPr>
          <w:u w:val="single"/>
        </w:rPr>
      </w:pPr>
      <w:r w:rsidRPr="00EE7F55">
        <w:rPr>
          <w:u w:val="single"/>
        </w:rPr>
        <w:t>Advisor to the Florida Public Service Commission</w:t>
      </w:r>
    </w:p>
    <w:p w:rsidR="00523373" w:rsidRDefault="00523373" w:rsidP="008059B1">
      <w:pPr>
        <w:pStyle w:val="OrderBody"/>
      </w:pPr>
    </w:p>
    <w:p w:rsidR="008059B1" w:rsidRDefault="008059B1" w:rsidP="008059B1">
      <w:pPr>
        <w:pStyle w:val="OrderBody"/>
      </w:pPr>
      <w:r>
        <w:t>BY THE COMMISSION:</w:t>
      </w:r>
    </w:p>
    <w:p w:rsidR="008059B1" w:rsidRDefault="008059B1" w:rsidP="008059B1">
      <w:pPr>
        <w:pStyle w:val="OrderBody"/>
      </w:pPr>
    </w:p>
    <w:p w:rsidR="00CB5276" w:rsidRPr="008059B1" w:rsidRDefault="008059B1" w:rsidP="008059B1">
      <w:pPr>
        <w:pStyle w:val="OrderBody"/>
        <w:jc w:val="center"/>
        <w:rPr>
          <w:u w:val="single"/>
        </w:rPr>
      </w:pPr>
      <w:bookmarkStart w:id="5" w:name="OrderText"/>
      <w:bookmarkEnd w:id="5"/>
      <w:r w:rsidRPr="008059B1">
        <w:rPr>
          <w:u w:val="single"/>
        </w:rPr>
        <w:t>Background</w:t>
      </w:r>
    </w:p>
    <w:p w:rsidR="008059B1" w:rsidRDefault="008059B1">
      <w:pPr>
        <w:pStyle w:val="OrderBody"/>
      </w:pPr>
    </w:p>
    <w:p w:rsidR="008059B1" w:rsidRDefault="008059B1" w:rsidP="008059B1">
      <w:pPr>
        <w:ind w:firstLine="720"/>
        <w:jc w:val="both"/>
      </w:pPr>
      <w:r>
        <w:t xml:space="preserve">On June 25, 2014, </w:t>
      </w:r>
      <w:r w:rsidRPr="00B12347">
        <w:t xml:space="preserve">Florida Power </w:t>
      </w:r>
      <w:r>
        <w:t xml:space="preserve">&amp; </w:t>
      </w:r>
      <w:r w:rsidRPr="00B12347">
        <w:t>Light Company (FPL</w:t>
      </w:r>
      <w:r>
        <w:t xml:space="preserve"> or Company</w:t>
      </w:r>
      <w:r w:rsidRPr="00B12347">
        <w:t xml:space="preserve">) </w:t>
      </w:r>
      <w:r>
        <w:t xml:space="preserve">petitioned the Commission for </w:t>
      </w:r>
      <w:r w:rsidR="005F7FC9">
        <w:t>our</w:t>
      </w:r>
      <w:r>
        <w:t xml:space="preserve"> determination that it is prudent for FPL to acquire an interest in a natural gas reserve project (the Woodford Project) and that the revenue requirement associated with investing in and operating the gas reserve project is eligible for recovery through the Fuel</w:t>
      </w:r>
      <w:r w:rsidR="00607B7A">
        <w:t xml:space="preserve"> and Purchase Power Cost Recovery </w:t>
      </w:r>
      <w:r>
        <w:t xml:space="preserve">Clause (Petition).  FPL further requested that </w:t>
      </w:r>
      <w:r w:rsidR="005F7FC9">
        <w:t>we</w:t>
      </w:r>
      <w:r>
        <w:t xml:space="preserve"> establish </w:t>
      </w:r>
      <w:r w:rsidR="006B6AFB">
        <w:t>Guidelines</w:t>
      </w:r>
      <w:r>
        <w:t xml:space="preserve"> </w:t>
      </w:r>
      <w:r w:rsidR="00487DB1">
        <w:t>(</w:t>
      </w:r>
      <w:r w:rsidR="000C4E26">
        <w:t xml:space="preserve">Proposed </w:t>
      </w:r>
      <w:r w:rsidR="006B6AFB">
        <w:t>Guidelines</w:t>
      </w:r>
      <w:r w:rsidR="00487DB1">
        <w:t xml:space="preserve">) </w:t>
      </w:r>
      <w:r>
        <w:t>under which FPL could participate in future gas reserve projects without</w:t>
      </w:r>
      <w:r w:rsidR="005F7FC9">
        <w:t xml:space="preserve"> our</w:t>
      </w:r>
      <w:r>
        <w:t xml:space="preserve"> prior approval and recover the costs through the Fuel Clause, subject to </w:t>
      </w:r>
      <w:r w:rsidR="00564A9C">
        <w:t>our</w:t>
      </w:r>
      <w:r>
        <w:t xml:space="preserve"> established process for reviewing fuel-related transactions</w:t>
      </w:r>
      <w:r w:rsidR="00607B7A">
        <w:t>.</w:t>
      </w:r>
      <w:r>
        <w:t xml:space="preserve">  FPL requested that</w:t>
      </w:r>
      <w:r w:rsidR="0027316F">
        <w:t xml:space="preserve"> we</w:t>
      </w:r>
      <w:r>
        <w:t xml:space="preserve"> consider its Petition at the October 22-24, 2014 Fuel Clause hearing.</w:t>
      </w:r>
    </w:p>
    <w:p w:rsidR="008059B1" w:rsidRDefault="008059B1" w:rsidP="008059B1">
      <w:pPr>
        <w:jc w:val="both"/>
      </w:pPr>
    </w:p>
    <w:p w:rsidR="008059B1" w:rsidRDefault="008059B1" w:rsidP="008059B1">
      <w:pPr>
        <w:ind w:firstLine="720"/>
        <w:jc w:val="both"/>
      </w:pPr>
      <w:proofErr w:type="gramStart"/>
      <w:r>
        <w:t>On August 22, 2014, by Order No.</w:t>
      </w:r>
      <w:proofErr w:type="gramEnd"/>
      <w:r>
        <w:t xml:space="preserve"> PSC-14-0439-PCO-EI, the gas reserve issues were bifurcated from the Fuel Clause proceeding.</w:t>
      </w:r>
      <w:r>
        <w:rPr>
          <w:rStyle w:val="FootnoteReference"/>
        </w:rPr>
        <w:footnoteReference w:id="1"/>
      </w:r>
      <w:r>
        <w:t xml:space="preserve">  The gas reserve issues were scheduled to be heard at a separate hearing on December 1-2, 2014.  </w:t>
      </w:r>
    </w:p>
    <w:p w:rsidR="008059B1" w:rsidRDefault="008059B1" w:rsidP="008059B1">
      <w:pPr>
        <w:jc w:val="both"/>
      </w:pPr>
    </w:p>
    <w:p w:rsidR="008059B1" w:rsidRDefault="008059B1" w:rsidP="008059B1">
      <w:pPr>
        <w:jc w:val="both"/>
      </w:pPr>
      <w:r>
        <w:tab/>
        <w:t xml:space="preserve">On August 22, 2014, the Office of Public Counsel (OPC) filed </w:t>
      </w:r>
      <w:r w:rsidR="00607B7A">
        <w:t>its</w:t>
      </w:r>
      <w:r>
        <w:t xml:space="preserve"> Motion to Dismiss FPL’s Petition on the grounds that</w:t>
      </w:r>
      <w:r w:rsidR="0027316F">
        <w:t xml:space="preserve"> we</w:t>
      </w:r>
      <w:r>
        <w:t xml:space="preserve"> do</w:t>
      </w:r>
      <w:r w:rsidR="0027316F">
        <w:t xml:space="preserve"> </w:t>
      </w:r>
      <w:r>
        <w:t xml:space="preserve">not have subject matter jurisdiction.  On August 29, 2014, FPL filed its response in opposition.  </w:t>
      </w:r>
      <w:r w:rsidR="0027316F">
        <w:t>We</w:t>
      </w:r>
      <w:r>
        <w:t xml:space="preserve"> heard oral argument at the Commission Conference on November 25, 2014.  On December 17, 2014, </w:t>
      </w:r>
      <w:r w:rsidR="0027316F">
        <w:t>we</w:t>
      </w:r>
      <w:r>
        <w:t xml:space="preserve"> issued Order No. </w:t>
      </w:r>
      <w:proofErr w:type="gramStart"/>
      <w:r>
        <w:t>PSC-14-0697-PCO-EI denying OPC’s Motion.</w:t>
      </w:r>
      <w:proofErr w:type="gramEnd"/>
      <w:r>
        <w:rPr>
          <w:rStyle w:val="FootnoteReference"/>
        </w:rPr>
        <w:footnoteReference w:id="2"/>
      </w:r>
      <w:r>
        <w:t xml:space="preserve"> </w:t>
      </w:r>
    </w:p>
    <w:p w:rsidR="008059B1" w:rsidRDefault="008059B1" w:rsidP="008059B1">
      <w:pPr>
        <w:jc w:val="both"/>
      </w:pPr>
    </w:p>
    <w:p w:rsidR="008059B1" w:rsidRDefault="008059B1" w:rsidP="008059B1">
      <w:pPr>
        <w:ind w:firstLine="720"/>
        <w:jc w:val="both"/>
      </w:pPr>
      <w:r>
        <w:t xml:space="preserve">The hearing was held on December 1-2, 2014, at which FPL, OPC, the Florida Industrial Power Users Group (FIPUG), and the Florida Retail Federation (FRF) participated.  At the conclusion of the hearing, </w:t>
      </w:r>
      <w:r w:rsidR="009B47FB">
        <w:t>we</w:t>
      </w:r>
      <w:r>
        <w:t xml:space="preserve"> scheduled </w:t>
      </w:r>
      <w:r w:rsidR="003C523D">
        <w:t>the issues</w:t>
      </w:r>
      <w:r>
        <w:t xml:space="preserve"> related to the Woodford Project for consideration at the December 18, 2014 Commission Conference.  </w:t>
      </w:r>
      <w:r w:rsidR="009B47FB">
        <w:t>We</w:t>
      </w:r>
      <w:r>
        <w:t xml:space="preserve"> deferred consideration of </w:t>
      </w:r>
      <w:r w:rsidR="003C523D">
        <w:t>the remaining issues</w:t>
      </w:r>
      <w:r>
        <w:t xml:space="preserve"> related to FPL’s request for approval of investment </w:t>
      </w:r>
      <w:r w:rsidR="006B6AFB">
        <w:t>Guidelines</w:t>
      </w:r>
      <w:r>
        <w:t xml:space="preserve"> to a future Commission Conference.</w:t>
      </w:r>
    </w:p>
    <w:p w:rsidR="008059B1" w:rsidRDefault="008059B1" w:rsidP="008059B1">
      <w:pPr>
        <w:jc w:val="both"/>
      </w:pPr>
    </w:p>
    <w:p w:rsidR="008059B1" w:rsidRDefault="009B47FB" w:rsidP="008059B1">
      <w:pPr>
        <w:ind w:firstLine="720"/>
        <w:jc w:val="both"/>
      </w:pPr>
      <w:r>
        <w:lastRenderedPageBreak/>
        <w:t>We</w:t>
      </w:r>
      <w:r w:rsidR="008059B1">
        <w:t xml:space="preserve"> voted on the Woodford Project issues at the December 18, 2014 Commission Conference.  </w:t>
      </w:r>
      <w:proofErr w:type="gramStart"/>
      <w:r w:rsidR="008059B1">
        <w:t>By Order No.</w:t>
      </w:r>
      <w:proofErr w:type="gramEnd"/>
      <w:r w:rsidR="008059B1">
        <w:t xml:space="preserve"> PSC-15-0038-FOF-EI issued January 12, 2015, </w:t>
      </w:r>
      <w:r>
        <w:t>we</w:t>
      </w:r>
      <w:r w:rsidR="008059B1">
        <w:t xml:space="preserve"> found the Woodford Project in the public interest and the costs recoverable through the Fuel Clause.</w:t>
      </w:r>
      <w:r w:rsidR="008059B1">
        <w:rPr>
          <w:rStyle w:val="FootnoteReference"/>
        </w:rPr>
        <w:footnoteReference w:id="3"/>
      </w:r>
      <w:r w:rsidR="008059B1">
        <w:t xml:space="preserve">  </w:t>
      </w:r>
    </w:p>
    <w:p w:rsidR="008059B1" w:rsidRDefault="008059B1" w:rsidP="008059B1">
      <w:pPr>
        <w:autoSpaceDE w:val="0"/>
        <w:autoSpaceDN w:val="0"/>
        <w:adjustRightInd w:val="0"/>
        <w:jc w:val="both"/>
      </w:pPr>
    </w:p>
    <w:p w:rsidR="008059B1" w:rsidRDefault="008059B1" w:rsidP="008059B1">
      <w:pPr>
        <w:autoSpaceDE w:val="0"/>
        <w:autoSpaceDN w:val="0"/>
        <w:adjustRightInd w:val="0"/>
        <w:jc w:val="both"/>
      </w:pPr>
      <w:r>
        <w:tab/>
        <w:t xml:space="preserve">On January 15, 2015, OPC filed a Notice of Appeal in the Florida Supreme Court of Commission Order No. </w:t>
      </w:r>
      <w:proofErr w:type="gramStart"/>
      <w:r>
        <w:t>PSC-14-0697-PCO-EI, denying OPC’s Motion to Dismiss for lack of subject matter jurisdiction (Florida Sup</w:t>
      </w:r>
      <w:r w:rsidR="009B47FB">
        <w:t>reme Court Case No.</w:t>
      </w:r>
      <w:proofErr w:type="gramEnd"/>
      <w:r w:rsidR="009B47FB">
        <w:t xml:space="preserve"> </w:t>
      </w:r>
      <w:proofErr w:type="gramStart"/>
      <w:r w:rsidR="009B47FB">
        <w:t>SC15-95).</w:t>
      </w:r>
      <w:proofErr w:type="gramEnd"/>
      <w:r w:rsidR="009B47FB">
        <w:t xml:space="preserve"> </w:t>
      </w:r>
      <w:r>
        <w:t xml:space="preserve"> On January 20, 2015, OPC filed a Notice of Appeal in the Florida Supreme Court of Commission Order No. PSC-15-0038-FOF-EI, approving the Woodford Project for cost recovery through the Fuel Clause (Florida Supreme Court Case No. </w:t>
      </w:r>
      <w:proofErr w:type="gramStart"/>
      <w:r>
        <w:t>SC15-113).</w:t>
      </w:r>
      <w:proofErr w:type="gramEnd"/>
      <w:r>
        <w:t xml:space="preserve">  Also on January 20, 2015, OPC filed a Notice of Appeal in the Florida Supreme Court of Commission Order No. </w:t>
      </w:r>
      <w:proofErr w:type="gramStart"/>
      <w:r>
        <w:t>PSC-14-0701-FOF-EI, approving the fuel and purchased power cost recovery factors for all Florida investor-owned electric utilities, including FPL (Florida Supreme Court Case No.</w:t>
      </w:r>
      <w:proofErr w:type="gramEnd"/>
      <w:r>
        <w:t xml:space="preserve"> </w:t>
      </w:r>
      <w:proofErr w:type="gramStart"/>
      <w:r>
        <w:t>SC15-115).</w:t>
      </w:r>
      <w:proofErr w:type="gramEnd"/>
      <w:r>
        <w:rPr>
          <w:rStyle w:val="FootnoteReference"/>
        </w:rPr>
        <w:footnoteReference w:id="4"/>
      </w:r>
      <w:r>
        <w:t xml:space="preserve">  On February 10, 2015, FIPUG filed a Notice of Appeal in the Florida Supreme Court of Commission Order No. </w:t>
      </w:r>
      <w:proofErr w:type="gramStart"/>
      <w:r>
        <w:t>PSC-15-0038-FOF-EI, approving the Woodford Project (Florida Supreme Court Case No.</w:t>
      </w:r>
      <w:proofErr w:type="gramEnd"/>
      <w:r>
        <w:t xml:space="preserve"> </w:t>
      </w:r>
      <w:proofErr w:type="gramStart"/>
      <w:r>
        <w:t>SC15-274).</w:t>
      </w:r>
      <w:proofErr w:type="gramEnd"/>
      <w:r>
        <w:t xml:space="preserve">  On March 30, 2015, the Florida Supreme Court consolidated OPC’s three appeals and the FIPUG appeal into a single case (Florida Supreme Court Case No. </w:t>
      </w:r>
      <w:proofErr w:type="gramStart"/>
      <w:r>
        <w:t>SC15-95).</w:t>
      </w:r>
      <w:proofErr w:type="gramEnd"/>
      <w:r>
        <w:t xml:space="preserve">  Also on March 30, the Florida Supreme Court dismissed OPC’s petition for a writ of prohibition seeking to restrain </w:t>
      </w:r>
      <w:r w:rsidR="009B47FB">
        <w:t>us</w:t>
      </w:r>
      <w:r>
        <w:t xml:space="preserve"> from proceeding on FPL’s petition to establish </w:t>
      </w:r>
      <w:r w:rsidR="006B6AFB">
        <w:t>Guidelines</w:t>
      </w:r>
      <w:r>
        <w:t xml:space="preserve"> for FPL’s participation in future gas reserve projects</w:t>
      </w:r>
      <w:r w:rsidR="003C523D">
        <w:t>,</w:t>
      </w:r>
      <w:r>
        <w:t xml:space="preserve"> and granted </w:t>
      </w:r>
      <w:r w:rsidR="009B47FB">
        <w:t>our</w:t>
      </w:r>
      <w:r>
        <w:t xml:space="preserve"> motion to relinquish jurisdiction authorizing </w:t>
      </w:r>
      <w:r w:rsidR="009B47FB">
        <w:t>us</w:t>
      </w:r>
      <w:r>
        <w:t xml:space="preserve"> to continue proceedings on </w:t>
      </w:r>
      <w:r w:rsidR="003C523D">
        <w:t xml:space="preserve">the remaining issues in </w:t>
      </w:r>
      <w:r>
        <w:t xml:space="preserve">FPL’s Petition. </w:t>
      </w:r>
      <w:r w:rsidR="0059032C">
        <w:t xml:space="preserve"> </w:t>
      </w:r>
    </w:p>
    <w:p w:rsidR="0059032C" w:rsidRDefault="0059032C" w:rsidP="008059B1">
      <w:pPr>
        <w:autoSpaceDE w:val="0"/>
        <w:autoSpaceDN w:val="0"/>
        <w:adjustRightInd w:val="0"/>
        <w:jc w:val="both"/>
        <w:rPr>
          <w:u w:val="single"/>
        </w:rPr>
      </w:pPr>
    </w:p>
    <w:p w:rsidR="0059032C" w:rsidRPr="008E1695" w:rsidRDefault="008059B1" w:rsidP="0059032C">
      <w:pPr>
        <w:autoSpaceDE w:val="0"/>
        <w:autoSpaceDN w:val="0"/>
        <w:adjustRightInd w:val="0"/>
        <w:jc w:val="both"/>
      </w:pPr>
      <w:r>
        <w:tab/>
        <w:t xml:space="preserve">The parties’ </w:t>
      </w:r>
      <w:proofErr w:type="spellStart"/>
      <w:r>
        <w:t>posthearing</w:t>
      </w:r>
      <w:proofErr w:type="spellEnd"/>
      <w:r>
        <w:t xml:space="preserve"> briefs addressing </w:t>
      </w:r>
      <w:r w:rsidR="0059032C">
        <w:t xml:space="preserve">the remaining issues were filed on January 12, 2015.  This Order addresses the issues related </w:t>
      </w:r>
      <w:r>
        <w:t xml:space="preserve">to FPL’s </w:t>
      </w:r>
      <w:r w:rsidR="009C2844">
        <w:t>Proposed</w:t>
      </w:r>
      <w:r>
        <w:t xml:space="preserve"> </w:t>
      </w:r>
      <w:r w:rsidR="006B6AFB">
        <w:t>Guidelines</w:t>
      </w:r>
      <w:r w:rsidR="0059032C">
        <w:t>, rulemaking</w:t>
      </w:r>
      <w:r w:rsidR="003C523D">
        <w:t xml:space="preserve"> requirements</w:t>
      </w:r>
      <w:r w:rsidR="0059032C">
        <w:t xml:space="preserve">, and recovery through the Fuel Clause of investments made pursuant to the proposed guidelines.  </w:t>
      </w:r>
    </w:p>
    <w:p w:rsidR="006A0857" w:rsidRPr="008E3F0D" w:rsidRDefault="006A0857" w:rsidP="008059B1">
      <w:pPr>
        <w:autoSpaceDE w:val="0"/>
        <w:autoSpaceDN w:val="0"/>
        <w:adjustRightInd w:val="0"/>
        <w:jc w:val="both"/>
      </w:pPr>
    </w:p>
    <w:p w:rsidR="008059B1" w:rsidRDefault="009B47FB" w:rsidP="008059B1">
      <w:pPr>
        <w:pStyle w:val="OrderBody"/>
        <w:ind w:firstLine="720"/>
      </w:pPr>
      <w:r>
        <w:t>We have</w:t>
      </w:r>
      <w:r w:rsidR="008059B1">
        <w:t xml:space="preserve"> jurisdiction over this subject matter pursuant to the provisions of Chapter 366, Florida Statutes (F.S.), including Sections 366.04, 366.05, and 366.06, F.S.</w:t>
      </w:r>
    </w:p>
    <w:p w:rsidR="008059B1" w:rsidRDefault="008059B1">
      <w:pPr>
        <w:pStyle w:val="OrderBody"/>
      </w:pPr>
    </w:p>
    <w:p w:rsidR="00487DB1" w:rsidRDefault="00487DB1">
      <w:pPr>
        <w:rPr>
          <w:u w:val="single"/>
        </w:rPr>
      </w:pPr>
      <w:r>
        <w:rPr>
          <w:u w:val="single"/>
        </w:rPr>
        <w:br w:type="page"/>
      </w:r>
    </w:p>
    <w:p w:rsidR="00CB5276" w:rsidRPr="00487DB1" w:rsidRDefault="008059B1" w:rsidP="008059B1">
      <w:pPr>
        <w:jc w:val="center"/>
        <w:rPr>
          <w:u w:val="single"/>
        </w:rPr>
      </w:pPr>
      <w:r w:rsidRPr="00487DB1">
        <w:rPr>
          <w:u w:val="single"/>
        </w:rPr>
        <w:lastRenderedPageBreak/>
        <w:t>Decision</w:t>
      </w:r>
    </w:p>
    <w:p w:rsidR="008059B1" w:rsidRDefault="008059B1"/>
    <w:p w:rsidR="00754A13" w:rsidRPr="000E5EE8" w:rsidRDefault="003C523D" w:rsidP="00754A13">
      <w:pPr>
        <w:jc w:val="both"/>
        <w:rPr>
          <w:u w:val="single"/>
        </w:rPr>
      </w:pPr>
      <w:r>
        <w:rPr>
          <w:u w:val="single"/>
        </w:rPr>
        <w:t xml:space="preserve">Whether </w:t>
      </w:r>
      <w:r w:rsidR="00754A13" w:rsidRPr="000E5EE8">
        <w:rPr>
          <w:u w:val="single"/>
        </w:rPr>
        <w:t>Rulemaking</w:t>
      </w:r>
      <w:r>
        <w:rPr>
          <w:u w:val="single"/>
        </w:rPr>
        <w:t xml:space="preserve"> is </w:t>
      </w:r>
      <w:proofErr w:type="gramStart"/>
      <w:r>
        <w:rPr>
          <w:u w:val="single"/>
        </w:rPr>
        <w:t>Required</w:t>
      </w:r>
      <w:proofErr w:type="gramEnd"/>
    </w:p>
    <w:p w:rsidR="00754A13" w:rsidRDefault="00754A13" w:rsidP="00754A13">
      <w:pPr>
        <w:jc w:val="both"/>
      </w:pPr>
    </w:p>
    <w:p w:rsidR="00754A13" w:rsidRDefault="00754A13" w:rsidP="00754A13">
      <w:pPr>
        <w:ind w:firstLine="720"/>
        <w:jc w:val="both"/>
      </w:pPr>
      <w:r>
        <w:t xml:space="preserve">We address whether adoption of FPL’s </w:t>
      </w:r>
      <w:r w:rsidR="009C2844">
        <w:t>Proposed</w:t>
      </w:r>
      <w:r>
        <w:t xml:space="preserve"> Guidelines are applicable to all other </w:t>
      </w:r>
      <w:r w:rsidR="00230A49">
        <w:t>investor-owned utilities (</w:t>
      </w:r>
      <w:r>
        <w:t>IOUs</w:t>
      </w:r>
      <w:r w:rsidR="00230A49">
        <w:t>)</w:t>
      </w:r>
      <w:r>
        <w:t xml:space="preserve"> and, if so, whether we are required to engage in rulemaking to adopt the Guidelines.     </w:t>
      </w:r>
    </w:p>
    <w:p w:rsidR="00754A13" w:rsidRDefault="00754A13" w:rsidP="00754A13">
      <w:pPr>
        <w:jc w:val="both"/>
      </w:pPr>
    </w:p>
    <w:p w:rsidR="00754A13" w:rsidRDefault="00754A13" w:rsidP="00754A13">
      <w:pPr>
        <w:jc w:val="both"/>
      </w:pPr>
      <w:r>
        <w:tab/>
        <w:t>In its petition</w:t>
      </w:r>
      <w:r w:rsidR="00C9492D">
        <w:t>,</w:t>
      </w:r>
      <w:r>
        <w:t xml:space="preserve"> FPL </w:t>
      </w:r>
      <w:r w:rsidR="0059032C">
        <w:t>p</w:t>
      </w:r>
      <w:r w:rsidR="009C2844">
        <w:t>roposed</w:t>
      </w:r>
      <w:r>
        <w:t xml:space="preserve"> a detailed set of Guidelines FPL asserts are designed to establish a framework whereby FPL can participate in future gas reserve projects and recover its costs through the </w:t>
      </w:r>
      <w:r w:rsidR="0059032C">
        <w:t>Fuel Clause</w:t>
      </w:r>
      <w:r>
        <w:t xml:space="preserve"> without prior Commission approval.  FPL takes the position that no rules are required to adopt its Guidelines.  In support, FPL </w:t>
      </w:r>
      <w:r w:rsidR="003C523D">
        <w:t>relies on</w:t>
      </w:r>
      <w:r>
        <w:t xml:space="preserve"> </w:t>
      </w:r>
      <w:r w:rsidRPr="00192314">
        <w:t xml:space="preserve">Order </w:t>
      </w:r>
      <w:r>
        <w:t>N</w:t>
      </w:r>
      <w:r w:rsidRPr="00192314">
        <w:t>o. PSC-14-0665-PCO-EI</w:t>
      </w:r>
      <w:r>
        <w:t xml:space="preserve">, </w:t>
      </w:r>
      <w:r w:rsidR="003C523D">
        <w:t>where the Prehearing Officer denied</w:t>
      </w:r>
      <w:r>
        <w:t xml:space="preserve"> FIPUG’s motion to strike FPL’s request to establish Guidelines </w:t>
      </w:r>
      <w:r w:rsidR="00BE5AE4">
        <w:t xml:space="preserve">because </w:t>
      </w:r>
      <w:r w:rsidRPr="00764D0E">
        <w:t>cost recovery clauses are exempt from rulemaking under Section 120.80(13)(a), F.S</w:t>
      </w:r>
      <w:r>
        <w:t>.</w:t>
      </w:r>
      <w:r w:rsidRPr="00144211">
        <w:rPr>
          <w:rStyle w:val="FootnoteReference"/>
        </w:rPr>
        <w:t xml:space="preserve"> </w:t>
      </w:r>
      <w:r>
        <w:rPr>
          <w:rStyle w:val="FootnoteReference"/>
        </w:rPr>
        <w:footnoteReference w:id="5"/>
      </w:r>
      <w:r>
        <w:t xml:space="preserve"> </w:t>
      </w:r>
    </w:p>
    <w:p w:rsidR="00754A13" w:rsidRDefault="00754A13" w:rsidP="00754A13">
      <w:pPr>
        <w:keepLines/>
        <w:jc w:val="both"/>
      </w:pPr>
    </w:p>
    <w:p w:rsidR="00754A13" w:rsidRDefault="00754A13" w:rsidP="00754A13">
      <w:pPr>
        <w:widowControl w:val="0"/>
        <w:jc w:val="both"/>
        <w:rPr>
          <w:spacing w:val="-2"/>
        </w:rPr>
      </w:pPr>
      <w:r>
        <w:tab/>
      </w:r>
      <w:r>
        <w:rPr>
          <w:spacing w:val="-2"/>
        </w:rPr>
        <w:t>OPC admits that we are exempt from “some aspect of rulemaking” but that certain Commission orders, such as the order setting hedging Guidelines</w:t>
      </w:r>
      <w:r>
        <w:rPr>
          <w:rStyle w:val="FootnoteReference"/>
          <w:spacing w:val="-2"/>
        </w:rPr>
        <w:footnoteReference w:id="6"/>
      </w:r>
      <w:r>
        <w:rPr>
          <w:spacing w:val="-2"/>
        </w:rPr>
        <w:t xml:space="preserve"> are “de facto or surrogate rules.”</w:t>
      </w:r>
      <w:r>
        <w:rPr>
          <w:rStyle w:val="FootnoteReference"/>
          <w:spacing w:val="-2"/>
        </w:rPr>
        <w:footnoteReference w:id="7"/>
      </w:r>
      <w:r>
        <w:rPr>
          <w:spacing w:val="-2"/>
        </w:rPr>
        <w:t xml:space="preserve">  </w:t>
      </w:r>
      <w:r>
        <w:t xml:space="preserve">OPC argues that </w:t>
      </w:r>
      <w:r w:rsidRPr="00A95EB3">
        <w:rPr>
          <w:spacing w:val="-2"/>
        </w:rPr>
        <w:t xml:space="preserve">Section 366.06(1), </w:t>
      </w:r>
      <w:r w:rsidR="006A0857">
        <w:rPr>
          <w:spacing w:val="-2"/>
        </w:rPr>
        <w:t>F.S.,</w:t>
      </w:r>
      <w:r>
        <w:rPr>
          <w:rStyle w:val="FootnoteReference"/>
          <w:spacing w:val="-2"/>
        </w:rPr>
        <w:footnoteReference w:id="8"/>
      </w:r>
      <w:r>
        <w:rPr>
          <w:spacing w:val="-2"/>
        </w:rPr>
        <w:t xml:space="preserve"> </w:t>
      </w:r>
      <w:r w:rsidR="00E426B0">
        <w:rPr>
          <w:spacing w:val="-2"/>
        </w:rPr>
        <w:t>provides</w:t>
      </w:r>
      <w:r>
        <w:rPr>
          <w:spacing w:val="-2"/>
        </w:rPr>
        <w:t xml:space="preserve"> </w:t>
      </w:r>
      <w:r w:rsidRPr="00C170BC">
        <w:rPr>
          <w:spacing w:val="-2"/>
        </w:rPr>
        <w:t xml:space="preserve">that all applications for changes in rates shall be made under rules and regulations </w:t>
      </w:r>
      <w:r>
        <w:rPr>
          <w:spacing w:val="-2"/>
        </w:rPr>
        <w:t xml:space="preserve">as prescribed by us, </w:t>
      </w:r>
      <w:r w:rsidR="00E426B0">
        <w:rPr>
          <w:spacing w:val="-2"/>
        </w:rPr>
        <w:t xml:space="preserve">and this language </w:t>
      </w:r>
      <w:r>
        <w:rPr>
          <w:spacing w:val="-2"/>
        </w:rPr>
        <w:t xml:space="preserve">controls over the </w:t>
      </w:r>
      <w:r w:rsidR="00E426B0">
        <w:rPr>
          <w:spacing w:val="-2"/>
        </w:rPr>
        <w:t xml:space="preserve">rulemaking </w:t>
      </w:r>
      <w:r>
        <w:rPr>
          <w:spacing w:val="-2"/>
        </w:rPr>
        <w:t xml:space="preserve">exemption in </w:t>
      </w:r>
      <w:r w:rsidRPr="00C170BC">
        <w:rPr>
          <w:spacing w:val="-2"/>
        </w:rPr>
        <w:t>Section 120.80(13</w:t>
      </w:r>
      <w:proofErr w:type="gramStart"/>
      <w:r w:rsidRPr="00C170BC">
        <w:rPr>
          <w:spacing w:val="-2"/>
        </w:rPr>
        <w:t>)(</w:t>
      </w:r>
      <w:proofErr w:type="gramEnd"/>
      <w:r w:rsidRPr="00C170BC">
        <w:rPr>
          <w:spacing w:val="-2"/>
        </w:rPr>
        <w:t>a), F.S.</w:t>
      </w:r>
      <w:r>
        <w:rPr>
          <w:spacing w:val="-2"/>
        </w:rPr>
        <w:t xml:space="preserve">  In support, </w:t>
      </w:r>
      <w:r>
        <w:t>OPC</w:t>
      </w:r>
      <w:r>
        <w:rPr>
          <w:spacing w:val="-2"/>
        </w:rPr>
        <w:t xml:space="preserve"> cites a recommendation</w:t>
      </w:r>
      <w:r w:rsidR="00E426B0">
        <w:rPr>
          <w:rStyle w:val="FootnoteReference"/>
          <w:spacing w:val="-2"/>
        </w:rPr>
        <w:footnoteReference w:id="9"/>
      </w:r>
      <w:r>
        <w:rPr>
          <w:spacing w:val="-2"/>
        </w:rPr>
        <w:t xml:space="preserve"> </w:t>
      </w:r>
      <w:r w:rsidR="00E426B0">
        <w:rPr>
          <w:spacing w:val="-2"/>
        </w:rPr>
        <w:t>where staff proposed</w:t>
      </w:r>
      <w:r>
        <w:rPr>
          <w:spacing w:val="-2"/>
        </w:rPr>
        <w:t xml:space="preserve"> the promulgation of </w:t>
      </w:r>
      <w:r w:rsidRPr="00A95EB3">
        <w:rPr>
          <w:spacing w:val="-2"/>
        </w:rPr>
        <w:t xml:space="preserve">Rule 25-6.0424, F.A.C., </w:t>
      </w:r>
      <w:r>
        <w:rPr>
          <w:spacing w:val="-2"/>
        </w:rPr>
        <w:t>setting requirements for filing a p</w:t>
      </w:r>
      <w:r w:rsidRPr="00A95EB3">
        <w:rPr>
          <w:spacing w:val="-2"/>
        </w:rPr>
        <w:t>etition for mid-course correction</w:t>
      </w:r>
      <w:r w:rsidR="00E426B0">
        <w:rPr>
          <w:spacing w:val="-2"/>
        </w:rPr>
        <w:t xml:space="preserve"> for fuel factors set</w:t>
      </w:r>
      <w:r>
        <w:rPr>
          <w:spacing w:val="-2"/>
        </w:rPr>
        <w:t xml:space="preserve"> in fuel clause proceedings.  OPC contends that r</w:t>
      </w:r>
      <w:r w:rsidRPr="00C170BC">
        <w:rPr>
          <w:spacing w:val="-2"/>
        </w:rPr>
        <w:t xml:space="preserve">equesting approval for the </w:t>
      </w:r>
      <w:r>
        <w:rPr>
          <w:spacing w:val="-2"/>
        </w:rPr>
        <w:t>Guidelines</w:t>
      </w:r>
      <w:r w:rsidRPr="00C170BC">
        <w:rPr>
          <w:spacing w:val="-2"/>
        </w:rPr>
        <w:t xml:space="preserve"> is de facto a pre-application for changes in customer rates on an automat</w:t>
      </w:r>
      <w:r>
        <w:rPr>
          <w:spacing w:val="-2"/>
        </w:rPr>
        <w:t>ic, going-</w:t>
      </w:r>
      <w:r w:rsidRPr="00C170BC">
        <w:rPr>
          <w:spacing w:val="-2"/>
        </w:rPr>
        <w:t xml:space="preserve">forward basis for gas projects that meet the </w:t>
      </w:r>
      <w:r>
        <w:rPr>
          <w:spacing w:val="-2"/>
        </w:rPr>
        <w:t>Guidelines</w:t>
      </w:r>
      <w:r w:rsidRPr="00C170BC">
        <w:rPr>
          <w:spacing w:val="-2"/>
        </w:rPr>
        <w:t>.  Therefore,</w:t>
      </w:r>
      <w:r>
        <w:rPr>
          <w:spacing w:val="-2"/>
        </w:rPr>
        <w:t xml:space="preserve"> OPC argues,</w:t>
      </w:r>
      <w:r w:rsidRPr="00C170BC">
        <w:rPr>
          <w:spacing w:val="-2"/>
        </w:rPr>
        <w:t xml:space="preserve"> </w:t>
      </w:r>
      <w:r>
        <w:rPr>
          <w:spacing w:val="-2"/>
        </w:rPr>
        <w:t xml:space="preserve">we </w:t>
      </w:r>
      <w:r w:rsidRPr="00C170BC">
        <w:rPr>
          <w:spacing w:val="-2"/>
        </w:rPr>
        <w:t>violate the mandate of Section 366.06(1), F.S.</w:t>
      </w:r>
      <w:r>
        <w:rPr>
          <w:spacing w:val="-2"/>
        </w:rPr>
        <w:t>, if we adopt the FPL Guidelines</w:t>
      </w:r>
      <w:r w:rsidRPr="00C170BC">
        <w:rPr>
          <w:spacing w:val="-2"/>
        </w:rPr>
        <w:t xml:space="preserve"> without </w:t>
      </w:r>
      <w:r>
        <w:rPr>
          <w:spacing w:val="-2"/>
        </w:rPr>
        <w:t xml:space="preserve">promulgating </w:t>
      </w:r>
      <w:r w:rsidRPr="00C170BC">
        <w:rPr>
          <w:spacing w:val="-2"/>
        </w:rPr>
        <w:t>rules</w:t>
      </w:r>
      <w:r>
        <w:rPr>
          <w:spacing w:val="-2"/>
        </w:rPr>
        <w:t xml:space="preserve">. </w:t>
      </w:r>
    </w:p>
    <w:p w:rsidR="00754A13" w:rsidRDefault="00754A13" w:rsidP="00754A13">
      <w:pPr>
        <w:widowControl w:val="0"/>
        <w:jc w:val="both"/>
        <w:rPr>
          <w:spacing w:val="-2"/>
        </w:rPr>
      </w:pPr>
    </w:p>
    <w:p w:rsidR="00754A13" w:rsidRDefault="00754A13" w:rsidP="00754A13">
      <w:pPr>
        <w:autoSpaceDE w:val="0"/>
        <w:autoSpaceDN w:val="0"/>
        <w:ind w:firstLine="720"/>
        <w:jc w:val="both"/>
      </w:pPr>
      <w:r>
        <w:rPr>
          <w:spacing w:val="-2"/>
        </w:rPr>
        <w:t xml:space="preserve">FIPUG takes the position that we should engage in rulemaking because </w:t>
      </w:r>
      <w:r>
        <w:t xml:space="preserve">FPL’s </w:t>
      </w:r>
      <w:r w:rsidR="000C4E26">
        <w:t xml:space="preserve">Proposed </w:t>
      </w:r>
      <w:r>
        <w:t>Guidelines</w:t>
      </w:r>
      <w:r w:rsidRPr="004429A1">
        <w:t xml:space="preserve"> are tantamount to </w:t>
      </w:r>
      <w:r w:rsidR="00C9492D">
        <w:t>p</w:t>
      </w:r>
      <w:r w:rsidR="009C2844">
        <w:t>roposed</w:t>
      </w:r>
      <w:r w:rsidRPr="004429A1">
        <w:t xml:space="preserve"> rules and should</w:t>
      </w:r>
      <w:r>
        <w:t xml:space="preserve"> only </w:t>
      </w:r>
      <w:r w:rsidRPr="004429A1">
        <w:t xml:space="preserve">be considered in an appropriately noticed proceeding in accord with </w:t>
      </w:r>
      <w:r>
        <w:t>C</w:t>
      </w:r>
      <w:r w:rsidRPr="004429A1">
        <w:t xml:space="preserve">hapter 120, </w:t>
      </w:r>
      <w:r>
        <w:t>F.S.  FIPUG argues that r</w:t>
      </w:r>
      <w:r w:rsidRPr="004429A1">
        <w:t>ulemaking affords affected parties notice and the opportunity to participate in the development of a</w:t>
      </w:r>
      <w:r>
        <w:t xml:space="preserve"> prospective application of a policy regarding the issues raised by FPL’s petition.  FIPUG recommends that </w:t>
      </w:r>
      <w:r>
        <w:rPr>
          <w:bCs/>
        </w:rPr>
        <w:t>we</w:t>
      </w:r>
      <w:r w:rsidRPr="006B30E3">
        <w:rPr>
          <w:bCs/>
        </w:rPr>
        <w:t xml:space="preserve"> pursue rulemaking </w:t>
      </w:r>
      <w:r>
        <w:rPr>
          <w:bCs/>
        </w:rPr>
        <w:t xml:space="preserve">either directly or through </w:t>
      </w:r>
      <w:r w:rsidRPr="00755585">
        <w:rPr>
          <w:bCs/>
        </w:rPr>
        <w:t xml:space="preserve">incipient policy on </w:t>
      </w:r>
      <w:r w:rsidRPr="006B30E3">
        <w:rPr>
          <w:bCs/>
        </w:rPr>
        <w:t>a case-by-case approach</w:t>
      </w:r>
      <w:r>
        <w:rPr>
          <w:bCs/>
        </w:rPr>
        <w:t xml:space="preserve">.  </w:t>
      </w:r>
      <w:r>
        <w:lastRenderedPageBreak/>
        <w:t>FIPUG also argues that s</w:t>
      </w:r>
      <w:r w:rsidRPr="004429A1">
        <w:t>uch wide-ranging policy pronouncements should be pu</w:t>
      </w:r>
      <w:r>
        <w:t xml:space="preserve">t in place through legislative enactment.  FIPUG further states that the adoption of FPL’s Guidelines will establish precedent for other utilities to request approval of projects similar to FPL’s gas reserves project.  </w:t>
      </w:r>
    </w:p>
    <w:p w:rsidR="00754A13" w:rsidRDefault="00754A13" w:rsidP="00754A13">
      <w:pPr>
        <w:autoSpaceDE w:val="0"/>
        <w:autoSpaceDN w:val="0"/>
        <w:jc w:val="both"/>
      </w:pPr>
    </w:p>
    <w:p w:rsidR="00754A13" w:rsidRDefault="00754A13" w:rsidP="00754A13">
      <w:pPr>
        <w:pStyle w:val="OrderBody"/>
      </w:pPr>
      <w:r>
        <w:tab/>
        <w:t xml:space="preserve">We first consider whether FPL’s </w:t>
      </w:r>
      <w:r w:rsidR="009C2844">
        <w:t>Proposed</w:t>
      </w:r>
      <w:r>
        <w:t xml:space="preserve"> Guidelines, if adopted, are rules.  Section 120.52(7), F.S., defines a rule as an</w:t>
      </w:r>
      <w:r w:rsidRPr="00755585">
        <w:t xml:space="preserve"> </w:t>
      </w:r>
      <w:r w:rsidR="001507AD">
        <w:t>“</w:t>
      </w:r>
      <w:r w:rsidRPr="00755585">
        <w:t>agency statement of general applicability that implements, interprets, or prescribes law or policy</w:t>
      </w:r>
      <w:r>
        <w:t>,</w:t>
      </w:r>
      <w:r w:rsidRPr="00755585">
        <w:t xml:space="preserve"> or d</w:t>
      </w:r>
      <w:r w:rsidRPr="005B0700">
        <w:t>escribes the procedure or practice requirements of an agency and includes any form which imposes any requirement or solicits any information not specifically required by statute or by an existing rule.</w:t>
      </w:r>
      <w:r w:rsidR="001507AD">
        <w:t>”</w:t>
      </w:r>
      <w:r>
        <w:t xml:space="preserve">  </w:t>
      </w:r>
    </w:p>
    <w:p w:rsidR="00754A13" w:rsidRDefault="00754A13" w:rsidP="00754A13">
      <w:pPr>
        <w:pStyle w:val="OrderBody"/>
      </w:pPr>
    </w:p>
    <w:p w:rsidR="00754A13" w:rsidRDefault="00754A13" w:rsidP="00754A13">
      <w:pPr>
        <w:pStyle w:val="OrderBody"/>
      </w:pPr>
      <w:r>
        <w:tab/>
        <w:t xml:space="preserve">When deciding whether a challenged action constitutes a rule, a court analyzes the action's general applicability, requirement of compliance, or direct and consistent effect of law.  </w:t>
      </w:r>
      <w:proofErr w:type="gramStart"/>
      <w:r w:rsidRPr="000479E3">
        <w:rPr>
          <w:u w:val="single"/>
        </w:rPr>
        <w:t xml:space="preserve">Fla. Dep't of Fin. </w:t>
      </w:r>
      <w:proofErr w:type="spellStart"/>
      <w:r w:rsidRPr="000479E3">
        <w:rPr>
          <w:u w:val="single"/>
        </w:rPr>
        <w:t>Servs</w:t>
      </w:r>
      <w:proofErr w:type="spellEnd"/>
      <w:r w:rsidRPr="000479E3">
        <w:rPr>
          <w:u w:val="single"/>
        </w:rPr>
        <w:t>.</w:t>
      </w:r>
      <w:proofErr w:type="gramEnd"/>
      <w:r w:rsidRPr="000479E3">
        <w:rPr>
          <w:u w:val="single"/>
        </w:rPr>
        <w:t xml:space="preserve"> v. Capital Collateral </w:t>
      </w:r>
      <w:proofErr w:type="spellStart"/>
      <w:r w:rsidRPr="000479E3">
        <w:rPr>
          <w:u w:val="single"/>
        </w:rPr>
        <w:t>Reg'l</w:t>
      </w:r>
      <w:proofErr w:type="spellEnd"/>
      <w:r w:rsidRPr="000479E3">
        <w:rPr>
          <w:u w:val="single"/>
        </w:rPr>
        <w:t xml:space="preserve"> Counsel-Middle Region</w:t>
      </w:r>
      <w:r>
        <w:t xml:space="preserve">, 969 So. </w:t>
      </w:r>
      <w:proofErr w:type="gramStart"/>
      <w:r>
        <w:t>2d 527, 530 (Fla. 1</w:t>
      </w:r>
      <w:r w:rsidRPr="000479E3">
        <w:rPr>
          <w:vertAlign w:val="superscript"/>
        </w:rPr>
        <w:t>st</w:t>
      </w:r>
      <w:r>
        <w:t xml:space="preserve"> DCA 2007).</w:t>
      </w:r>
      <w:proofErr w:type="gramEnd"/>
      <w:r>
        <w:t xml:space="preserve">  The analysis is predicated on whether the action has a direct effect on the other regulated utilities, adversely affects any substantive right, constitutes a denial or withdrawal of a right, imposes any new or additional requirements, or has the direct and consistent effect of law.   </w:t>
      </w:r>
      <w:r w:rsidRPr="00280B7B">
        <w:rPr>
          <w:u w:val="single"/>
        </w:rPr>
        <w:t xml:space="preserve">Volusia County Sch. Bd. v. Volusia Home Builders </w:t>
      </w:r>
      <w:proofErr w:type="spellStart"/>
      <w:r w:rsidRPr="00280B7B">
        <w:rPr>
          <w:u w:val="single"/>
        </w:rPr>
        <w:t>Ass'n</w:t>
      </w:r>
      <w:proofErr w:type="spellEnd"/>
      <w:r w:rsidRPr="00280B7B">
        <w:rPr>
          <w:u w:val="single"/>
        </w:rPr>
        <w:t>, Inc.</w:t>
      </w:r>
      <w:r>
        <w:t xml:space="preserve">, 946 So. </w:t>
      </w:r>
      <w:proofErr w:type="gramStart"/>
      <w:r>
        <w:t>2d 1084, 1089 (Fla. 5th DCA 2006).</w:t>
      </w:r>
      <w:proofErr w:type="gramEnd"/>
      <w:r>
        <w:t xml:space="preserve">   </w:t>
      </w:r>
    </w:p>
    <w:p w:rsidR="00754A13" w:rsidRDefault="00754A13" w:rsidP="00754A13">
      <w:pPr>
        <w:pStyle w:val="OrderBody"/>
      </w:pPr>
    </w:p>
    <w:p w:rsidR="00754A13" w:rsidRDefault="00754A13" w:rsidP="00754A13">
      <w:pPr>
        <w:pStyle w:val="OrderBody"/>
      </w:pPr>
      <w:r>
        <w:tab/>
      </w:r>
      <w:proofErr w:type="gramStart"/>
      <w:r>
        <w:t xml:space="preserve">In </w:t>
      </w:r>
      <w:r w:rsidRPr="00252621">
        <w:rPr>
          <w:u w:val="single"/>
        </w:rPr>
        <w:t>Florida Public Service Com. v. Central Corp.</w:t>
      </w:r>
      <w:r w:rsidR="006A0857">
        <w:t>, 551 So.</w:t>
      </w:r>
      <w:proofErr w:type="gramEnd"/>
      <w:r w:rsidR="006A0857">
        <w:t xml:space="preserve"> 2d 568, 569 (</w:t>
      </w:r>
      <w:r>
        <w:t>Fla. 1</w:t>
      </w:r>
      <w:r w:rsidRPr="00252621">
        <w:rPr>
          <w:vertAlign w:val="superscript"/>
        </w:rPr>
        <w:t>st</w:t>
      </w:r>
      <w:r>
        <w:t xml:space="preserve"> DCA 1989), the court held that a Commission interim rate order imposing a temporary “hold subject to refund” requirement was an invalid </w:t>
      </w:r>
      <w:proofErr w:type="spellStart"/>
      <w:r>
        <w:t>unpromulgated</w:t>
      </w:r>
      <w:proofErr w:type="spellEnd"/>
      <w:r>
        <w:t xml:space="preserve"> rule because the order specifically stated that the requirement applied to all alternate service providers furnishing operator-assisted long distance telecommunications services, not just Central Corporation.  The court determined that the order was a rule as it imposed an immediate requirement not otherwise required by statute or existing rule because the providers either had to change previously approved rates to match those charged by local exchange companies, or set monies aside to cover the potential refund obligation. </w:t>
      </w:r>
    </w:p>
    <w:p w:rsidR="00754A13" w:rsidRDefault="00754A13" w:rsidP="00754A13">
      <w:pPr>
        <w:pStyle w:val="OrderBody"/>
      </w:pPr>
      <w:r>
        <w:tab/>
      </w:r>
    </w:p>
    <w:p w:rsidR="00754A13" w:rsidRDefault="00754A13" w:rsidP="00754A13">
      <w:pPr>
        <w:pStyle w:val="OrderBody"/>
      </w:pPr>
      <w:r>
        <w:tab/>
        <w:t xml:space="preserve">Unlike our order at issue in </w:t>
      </w:r>
      <w:r w:rsidRPr="000F15BB">
        <w:rPr>
          <w:u w:val="single"/>
        </w:rPr>
        <w:t>Central Corp</w:t>
      </w:r>
      <w:r w:rsidRPr="00101CC7">
        <w:rPr>
          <w:u w:val="single"/>
        </w:rPr>
        <w:t>.</w:t>
      </w:r>
      <w:r>
        <w:t xml:space="preserve"> or the order establishing the hedging Guidelines,</w:t>
      </w:r>
      <w:r>
        <w:rPr>
          <w:rStyle w:val="FootnoteReference"/>
        </w:rPr>
        <w:footnoteReference w:id="10"/>
      </w:r>
      <w:r>
        <w:t xml:space="preserve"> the FPL </w:t>
      </w:r>
      <w:r w:rsidR="009C2844">
        <w:t>Proposed</w:t>
      </w:r>
      <w:r>
        <w:t xml:space="preserve"> Guidelines, if adopted, affect only FPL.  The Guidelines neither have a direct effect on the other electric utilities that are parties in the fuel clause </w:t>
      </w:r>
      <w:proofErr w:type="gramStart"/>
      <w:r>
        <w:t>proceedings,</w:t>
      </w:r>
      <w:proofErr w:type="gramEnd"/>
      <w:r>
        <w:t xml:space="preserve"> adversely affect any of their substantive rights, impose any new or additional requirements, nor have the direct and consistent effect of law.  Thus, we find the Guidelines are not a statement of general applicability and do not rise to the level of a rule under the provisions of Section 120.52(7), F.S. </w:t>
      </w:r>
    </w:p>
    <w:p w:rsidR="00754A13" w:rsidRDefault="00754A13" w:rsidP="00754A13">
      <w:pPr>
        <w:pStyle w:val="OrderBody"/>
      </w:pPr>
    </w:p>
    <w:p w:rsidR="00754A13" w:rsidRDefault="00754A13" w:rsidP="00754A13">
      <w:pPr>
        <w:pStyle w:val="OrderBody"/>
      </w:pPr>
      <w:r>
        <w:tab/>
        <w:t>In 1991, the Florida Legislature enacted Section 120.54(1)(a), F.S., which provides that  r</w:t>
      </w:r>
      <w:r w:rsidRPr="00C71EAD">
        <w:t xml:space="preserve">ulemaking is not </w:t>
      </w:r>
      <w:r>
        <w:t xml:space="preserve">a matter of agency discretion and requires each </w:t>
      </w:r>
      <w:r w:rsidRPr="00C71EAD">
        <w:t xml:space="preserve">agency statement defined as a rule by </w:t>
      </w:r>
      <w:r>
        <w:t xml:space="preserve">Section </w:t>
      </w:r>
      <w:r w:rsidRPr="00C71EAD">
        <w:t xml:space="preserve">120.52 </w:t>
      </w:r>
      <w:r>
        <w:t xml:space="preserve">to be </w:t>
      </w:r>
      <w:r w:rsidRPr="00C71EAD">
        <w:t xml:space="preserve">adopted by the rulemaking procedure provided in </w:t>
      </w:r>
      <w:r>
        <w:t>Chapter 120, F.S.</w:t>
      </w:r>
      <w:r w:rsidR="006A0857">
        <w:t>,</w:t>
      </w:r>
      <w:r>
        <w:t xml:space="preserve"> </w:t>
      </w:r>
      <w:r w:rsidRPr="00C71EAD">
        <w:t xml:space="preserve">as soon as feasible and practicable.  </w:t>
      </w:r>
      <w:r>
        <w:t xml:space="preserve">See </w:t>
      </w:r>
      <w:r w:rsidRPr="00C71EAD">
        <w:rPr>
          <w:u w:val="single"/>
        </w:rPr>
        <w:t xml:space="preserve">Department of Highway Safety and Motor Vehicles v. </w:t>
      </w:r>
      <w:proofErr w:type="spellStart"/>
      <w:r w:rsidRPr="00C71EAD">
        <w:rPr>
          <w:u w:val="single"/>
        </w:rPr>
        <w:lastRenderedPageBreak/>
        <w:t>Schluter</w:t>
      </w:r>
      <w:proofErr w:type="spellEnd"/>
      <w:r w:rsidRPr="0045363B">
        <w:t xml:space="preserve">, </w:t>
      </w:r>
      <w:r w:rsidRPr="00C71EAD">
        <w:t>70</w:t>
      </w:r>
      <w:r>
        <w:t xml:space="preserve">5 So. </w:t>
      </w:r>
      <w:proofErr w:type="gramStart"/>
      <w:r>
        <w:t>2d 81 (Fla. 1st DCA 1997).</w:t>
      </w:r>
      <w:proofErr w:type="gramEnd"/>
      <w:r>
        <w:t xml:space="preserve">  However, Section 120.80(13</w:t>
      </w:r>
      <w:proofErr w:type="gramStart"/>
      <w:r>
        <w:t>)(</w:t>
      </w:r>
      <w:proofErr w:type="gramEnd"/>
      <w:r>
        <w:t xml:space="preserve">a), F.S., specifically exempts the Commission from the mandatory rulemaking requirements of Section 120.54(1)(a), F.S.  The exemption applies to any Commission statements that relate to cost-recovery clauses, factors, or mechanisms implemented pursuant to Chapter 366, F.S., relating to public utilities. We have, in the past, established </w:t>
      </w:r>
      <w:r w:rsidR="00521D30">
        <w:t>g</w:t>
      </w:r>
      <w:r>
        <w:t>uidelines and procedures for fuel clause proceedings that have general applicability through Commission orders without promulgating rules.</w:t>
      </w:r>
      <w:r>
        <w:rPr>
          <w:rStyle w:val="FootnoteReference"/>
        </w:rPr>
        <w:footnoteReference w:id="11"/>
      </w:r>
      <w:r>
        <w:t xml:space="preserve">  We specifically addressed the Section 120.80(13</w:t>
      </w:r>
      <w:proofErr w:type="gramStart"/>
      <w:r>
        <w:t>)(</w:t>
      </w:r>
      <w:proofErr w:type="gramEnd"/>
      <w:r>
        <w:t>a), F.S., exemption in Order No. PSC-99-1741-PAA-EI when we ruled that, despite containing agency statements of widespread applicability, an order issued as part of the fuel and purchased power cost recovery clause is exempt from the rulemaking requirements of Chapter 120, F.S.</w:t>
      </w:r>
      <w:r w:rsidRPr="00544E61">
        <w:rPr>
          <w:rStyle w:val="FootnoteReference"/>
        </w:rPr>
        <w:t xml:space="preserve"> </w:t>
      </w:r>
      <w:r>
        <w:rPr>
          <w:rStyle w:val="FootnoteReference"/>
        </w:rPr>
        <w:footnoteReference w:id="12"/>
      </w:r>
    </w:p>
    <w:p w:rsidR="00754A13" w:rsidRDefault="00754A13" w:rsidP="00754A13">
      <w:pPr>
        <w:pStyle w:val="OrderBody"/>
      </w:pPr>
    </w:p>
    <w:p w:rsidR="00754A13" w:rsidRPr="004B7649" w:rsidRDefault="00754A13" w:rsidP="00754A13">
      <w:pPr>
        <w:pStyle w:val="OrderBody"/>
        <w:rPr>
          <w:spacing w:val="-2"/>
        </w:rPr>
      </w:pPr>
      <w:r>
        <w:tab/>
        <w:t xml:space="preserve">We find OPC’s argument that </w:t>
      </w:r>
      <w:r>
        <w:rPr>
          <w:spacing w:val="-2"/>
        </w:rPr>
        <w:t xml:space="preserve">Section 120.80(13)(a), F.S., does not control because the petition for </w:t>
      </w:r>
      <w:r w:rsidRPr="00C170BC">
        <w:rPr>
          <w:spacing w:val="-2"/>
        </w:rPr>
        <w:t>approval</w:t>
      </w:r>
      <w:r>
        <w:rPr>
          <w:spacing w:val="-2"/>
        </w:rPr>
        <w:t xml:space="preserve"> of</w:t>
      </w:r>
      <w:r w:rsidRPr="00C170BC">
        <w:rPr>
          <w:spacing w:val="-2"/>
        </w:rPr>
        <w:t xml:space="preserve"> the </w:t>
      </w:r>
      <w:r>
        <w:rPr>
          <w:spacing w:val="-2"/>
        </w:rPr>
        <w:t>Guidelines</w:t>
      </w:r>
      <w:r w:rsidRPr="00C170BC">
        <w:rPr>
          <w:spacing w:val="-2"/>
        </w:rPr>
        <w:t xml:space="preserve"> </w:t>
      </w:r>
      <w:r>
        <w:rPr>
          <w:spacing w:val="-2"/>
        </w:rPr>
        <w:t>“</w:t>
      </w:r>
      <w:r w:rsidRPr="00C170BC">
        <w:rPr>
          <w:spacing w:val="-2"/>
        </w:rPr>
        <w:t>is de facto a pre-application for changes in customer rates</w:t>
      </w:r>
      <w:r>
        <w:rPr>
          <w:spacing w:val="-2"/>
        </w:rPr>
        <w:t>” under Section 366.01, F.S., is inapposite to the issue at hand and misapprehends the statutory interpretation of the relevant statutory sections.</w:t>
      </w:r>
      <w:r>
        <w:rPr>
          <w:rStyle w:val="FootnoteReference"/>
          <w:spacing w:val="-2"/>
        </w:rPr>
        <w:footnoteReference w:id="13"/>
      </w:r>
      <w:r w:rsidR="00230A49">
        <w:rPr>
          <w:spacing w:val="-2"/>
        </w:rPr>
        <w:t xml:space="preserve"> </w:t>
      </w:r>
      <w:r>
        <w:rPr>
          <w:spacing w:val="-2"/>
        </w:rPr>
        <w:t xml:space="preserve"> </w:t>
      </w:r>
      <w:r w:rsidRPr="00660A75">
        <w:rPr>
          <w:spacing w:val="-2"/>
        </w:rPr>
        <w:t>Rule 25-6.0424, F.A.C., setting requirements for petitions for mid-course correction involves petitions for change in rates.</w:t>
      </w:r>
      <w:r>
        <w:rPr>
          <w:spacing w:val="-2"/>
        </w:rPr>
        <w:t xml:space="preserve">  The petition to adopt Guidelines is clearly not an application for a change in rates.  Adopting OPC’s argument, we would be required to promulgate rules to implement </w:t>
      </w:r>
      <w:r w:rsidRPr="002919A4">
        <w:rPr>
          <w:i/>
          <w:spacing w:val="-2"/>
        </w:rPr>
        <w:t>all</w:t>
      </w:r>
      <w:r>
        <w:rPr>
          <w:spacing w:val="-2"/>
        </w:rPr>
        <w:t xml:space="preserve"> Commission orders setting procedures,  factors or mechanisms in cost-recovery clauses and renders the provisions of Section 120.80(13)(a), F.S., meaningless.  A</w:t>
      </w:r>
      <w:r w:rsidRPr="004B7649">
        <w:rPr>
          <w:spacing w:val="-2"/>
        </w:rPr>
        <w:t xml:space="preserve"> basic rule of statutory construction </w:t>
      </w:r>
      <w:r>
        <w:rPr>
          <w:spacing w:val="-2"/>
        </w:rPr>
        <w:t>is</w:t>
      </w:r>
      <w:r w:rsidRPr="004B7649">
        <w:rPr>
          <w:spacing w:val="-2"/>
        </w:rPr>
        <w:t xml:space="preserve"> that the Legislature does not intend to enact useless provisions, and courts avoid readings that would render part of a statute meaningless.</w:t>
      </w:r>
      <w:r>
        <w:rPr>
          <w:spacing w:val="-2"/>
        </w:rPr>
        <w:t xml:space="preserve">  </w:t>
      </w:r>
      <w:r w:rsidRPr="00205D76">
        <w:rPr>
          <w:spacing w:val="-2"/>
          <w:u w:val="single"/>
        </w:rPr>
        <w:t>American Home Assurance Co. v. Plaza Materials Corp.</w:t>
      </w:r>
      <w:r w:rsidRPr="00D30915">
        <w:rPr>
          <w:spacing w:val="-2"/>
        </w:rPr>
        <w:t>,</w:t>
      </w:r>
      <w:r w:rsidRPr="00584502">
        <w:rPr>
          <w:spacing w:val="-2"/>
        </w:rPr>
        <w:t xml:space="preserve"> 908 So. 2d 360, 366 (Fla. 2005)</w:t>
      </w:r>
      <w:proofErr w:type="gramStart"/>
      <w:r>
        <w:rPr>
          <w:spacing w:val="-2"/>
        </w:rPr>
        <w:t xml:space="preserve">;  </w:t>
      </w:r>
      <w:proofErr w:type="spellStart"/>
      <w:r w:rsidRPr="00205D76">
        <w:rPr>
          <w:spacing w:val="-2"/>
          <w:u w:val="single"/>
        </w:rPr>
        <w:t>Kasischke</w:t>
      </w:r>
      <w:proofErr w:type="spellEnd"/>
      <w:proofErr w:type="gramEnd"/>
      <w:r w:rsidRPr="00205D76">
        <w:rPr>
          <w:spacing w:val="-2"/>
          <w:u w:val="single"/>
        </w:rPr>
        <w:t xml:space="preserve"> v. State</w:t>
      </w:r>
      <w:r w:rsidRPr="00705FEE">
        <w:rPr>
          <w:spacing w:val="-2"/>
        </w:rPr>
        <w:t xml:space="preserve">, 991 So. 2d 803, 808 </w:t>
      </w:r>
      <w:r>
        <w:rPr>
          <w:spacing w:val="-2"/>
        </w:rPr>
        <w:t xml:space="preserve">(Fla. </w:t>
      </w:r>
      <w:r w:rsidRPr="00705FEE">
        <w:rPr>
          <w:spacing w:val="-2"/>
        </w:rPr>
        <w:t>2008</w:t>
      </w:r>
      <w:r>
        <w:rPr>
          <w:spacing w:val="-2"/>
        </w:rPr>
        <w:t>)</w:t>
      </w:r>
      <w:r w:rsidRPr="00584502">
        <w:rPr>
          <w:spacing w:val="-2"/>
        </w:rPr>
        <w:t xml:space="preserve"> (holding that a court must avoid interpreting a statute so as to render </w:t>
      </w:r>
      <w:r>
        <w:rPr>
          <w:spacing w:val="-2"/>
        </w:rPr>
        <w:t>the</w:t>
      </w:r>
      <w:r w:rsidRPr="00584502">
        <w:rPr>
          <w:spacing w:val="-2"/>
        </w:rPr>
        <w:t xml:space="preserve"> statute meaningless)</w:t>
      </w:r>
      <w:r>
        <w:rPr>
          <w:spacing w:val="-2"/>
        </w:rPr>
        <w:t xml:space="preserve">.  </w:t>
      </w:r>
    </w:p>
    <w:p w:rsidR="00754A13" w:rsidRDefault="00754A13" w:rsidP="00754A13">
      <w:pPr>
        <w:pStyle w:val="OrderBody"/>
        <w:rPr>
          <w:spacing w:val="-2"/>
        </w:rPr>
      </w:pPr>
    </w:p>
    <w:p w:rsidR="00754A13" w:rsidRDefault="00754A13" w:rsidP="00754A13">
      <w:pPr>
        <w:jc w:val="both"/>
      </w:pPr>
      <w:r>
        <w:tab/>
        <w:t>In conclusion, we find that we are not required to engage in rulemaking.  First, the Guidelines are not rules under the definition in Section 120.52(7), F.S.  Second, we are exempt from rulemaking under the provisions of Section 120.80(13</w:t>
      </w:r>
      <w:proofErr w:type="gramStart"/>
      <w:r>
        <w:t>)(</w:t>
      </w:r>
      <w:proofErr w:type="gramEnd"/>
      <w:r>
        <w:t xml:space="preserve">a), F.S., applicable to </w:t>
      </w:r>
      <w:r w:rsidRPr="00A14944">
        <w:t>cost-recovery clauses, factors, or mechanisms</w:t>
      </w:r>
      <w:r>
        <w:t>.</w:t>
      </w:r>
    </w:p>
    <w:p w:rsidR="00754A13" w:rsidRDefault="00754A13" w:rsidP="00487DB1">
      <w:pPr>
        <w:jc w:val="both"/>
        <w:rPr>
          <w:u w:val="single"/>
        </w:rPr>
      </w:pPr>
    </w:p>
    <w:p w:rsidR="00754A13" w:rsidRDefault="001507AD" w:rsidP="00487DB1">
      <w:pPr>
        <w:jc w:val="both"/>
        <w:rPr>
          <w:u w:val="single"/>
        </w:rPr>
      </w:pPr>
      <w:r>
        <w:rPr>
          <w:u w:val="single"/>
        </w:rPr>
        <w:t xml:space="preserve">Modifications to the Proposed </w:t>
      </w:r>
      <w:r w:rsidR="00754A13">
        <w:rPr>
          <w:u w:val="single"/>
        </w:rPr>
        <w:t>Guidelines</w:t>
      </w:r>
    </w:p>
    <w:p w:rsidR="006B6AFB" w:rsidRDefault="006B6AFB"/>
    <w:p w:rsidR="00317F98" w:rsidRDefault="00317F98" w:rsidP="00960502">
      <w:pPr>
        <w:autoSpaceDE w:val="0"/>
        <w:autoSpaceDN w:val="0"/>
        <w:adjustRightInd w:val="0"/>
        <w:ind w:firstLine="720"/>
        <w:jc w:val="both"/>
      </w:pPr>
      <w:r>
        <w:t xml:space="preserve">FPL’s Proposed Guidelines outline the parameters under which FPL proposes to enter future agreements for gas reserve projects.  The Guidelines include provisions </w:t>
      </w:r>
      <w:r w:rsidR="001507AD">
        <w:t>that</w:t>
      </w:r>
      <w:r>
        <w:t xml:space="preserve"> describe the limits to FPL’s participation in projects.  Namely, the provisions specify the percentage of average daily burn the aggregate output from the projects may represent, the composition of the natural gas (percentage of methane versus natural gas liquids) that FPL can pursue, and the maximum annual capital expenditure FPL may invest in these projects.  </w:t>
      </w:r>
      <w:r w:rsidR="00960502">
        <w:t>T</w:t>
      </w:r>
      <w:r>
        <w:t xml:space="preserve">he Guidelines specify </w:t>
      </w:r>
      <w:r>
        <w:lastRenderedPageBreak/>
        <w:t xml:space="preserve">the terms under which </w:t>
      </w:r>
      <w:r w:rsidR="00960502">
        <w:t xml:space="preserve">we would evaluate </w:t>
      </w:r>
      <w:r>
        <w:t xml:space="preserve">any agreements FPL enters </w:t>
      </w:r>
      <w:r w:rsidR="00960502">
        <w:t xml:space="preserve">into </w:t>
      </w:r>
      <w:r>
        <w:t xml:space="preserve">to determine if the investments are consistent with the Guidelines. </w:t>
      </w:r>
    </w:p>
    <w:p w:rsidR="00317F98" w:rsidRDefault="00317F98" w:rsidP="00317F98">
      <w:pPr>
        <w:autoSpaceDE w:val="0"/>
        <w:autoSpaceDN w:val="0"/>
        <w:adjustRightInd w:val="0"/>
        <w:jc w:val="both"/>
      </w:pPr>
    </w:p>
    <w:p w:rsidR="009C2844" w:rsidRDefault="009C2844" w:rsidP="00960502">
      <w:pPr>
        <w:autoSpaceDE w:val="0"/>
        <w:autoSpaceDN w:val="0"/>
        <w:adjustRightInd w:val="0"/>
        <w:ind w:firstLine="720"/>
        <w:jc w:val="both"/>
      </w:pPr>
      <w:r>
        <w:t xml:space="preserve">FPL </w:t>
      </w:r>
      <w:r w:rsidR="0059032C">
        <w:t>argued</w:t>
      </w:r>
      <w:r>
        <w:t xml:space="preserve"> that its Proposed</w:t>
      </w:r>
      <w:r w:rsidRPr="00A23065">
        <w:t xml:space="preserve"> Guidelines</w:t>
      </w:r>
      <w:r>
        <w:t xml:space="preserve"> appropriately balance FPL’s desire to secure low-cost, stable fuel sources for customers, the need to make prompt decisions in a competitive market, </w:t>
      </w:r>
      <w:r w:rsidRPr="00A23065">
        <w:t>an</w:t>
      </w:r>
      <w:r>
        <w:t>d the need to maintain regulatory oversight for the ongoing protection of customers.  FPL state</w:t>
      </w:r>
      <w:r w:rsidR="0059032C">
        <w:t>d</w:t>
      </w:r>
      <w:r>
        <w:t xml:space="preserve"> that the Guidelines </w:t>
      </w:r>
      <w:r w:rsidRPr="00A23065">
        <w:t>allow FPL to consummate a transaction when an agreement has been reached that meets the Guidelines, without having to wait on the</w:t>
      </w:r>
      <w:r>
        <w:t xml:space="preserve"> </w:t>
      </w:r>
      <w:r w:rsidRPr="00A23065">
        <w:t xml:space="preserve">normal several month-long approval process that likely would foreclose FPL from participating in many potentially valuable gas reserves projects.  </w:t>
      </w:r>
      <w:r>
        <w:t>FPL argue</w:t>
      </w:r>
      <w:r w:rsidR="0059032C">
        <w:t>d</w:t>
      </w:r>
      <w:r>
        <w:t xml:space="preserve"> that its</w:t>
      </w:r>
      <w:r w:rsidRPr="00A23065">
        <w:t xml:space="preserve"> Guidelines are </w:t>
      </w:r>
      <w:r>
        <w:t xml:space="preserve">appropriately </w:t>
      </w:r>
      <w:r w:rsidRPr="00A23065">
        <w:t xml:space="preserve">structured to limit the total dollar amount of FPL’s gas reserves investments and to ensure both that the investments are projected to produce fuel savings for customers and that they are for the types of reserves that are most useful </w:t>
      </w:r>
      <w:r>
        <w:t xml:space="preserve">for FPL’s </w:t>
      </w:r>
      <w:r w:rsidRPr="00A23065">
        <w:t>customers.</w:t>
      </w:r>
      <w:r w:rsidR="00471E1C">
        <w:t xml:space="preserve"> </w:t>
      </w:r>
      <w:r w:rsidRPr="00A23065">
        <w:t xml:space="preserve"> Specifically, </w:t>
      </w:r>
      <w:r>
        <w:t>FPL assert</w:t>
      </w:r>
      <w:r w:rsidR="0059032C">
        <w:t>ed</w:t>
      </w:r>
      <w:r>
        <w:t xml:space="preserve"> </w:t>
      </w:r>
      <w:r w:rsidRPr="00A23065">
        <w:t>the Guidelines cover the scope of FPL’s project participation as a percentage of average daily burn, as well as on an annual capital expenditure basis</w:t>
      </w:r>
      <w:r>
        <w:t xml:space="preserve">, and </w:t>
      </w:r>
      <w:r w:rsidRPr="00A23065">
        <w:t xml:space="preserve">how the deals will be evaluated against FPL’s then-current forecast of natural gas prices.  Finally, </w:t>
      </w:r>
      <w:r w:rsidR="0059032C">
        <w:t>FPL argued</w:t>
      </w:r>
      <w:r>
        <w:t xml:space="preserve"> </w:t>
      </w:r>
      <w:r w:rsidRPr="00A23065">
        <w:t>the Guidelines discuss the composition of gas</w:t>
      </w:r>
      <w:r w:rsidR="00E3168D">
        <w:t xml:space="preserve"> reserves that FPL can pursue. </w:t>
      </w:r>
      <w:r>
        <w:t>While FPL believes the parameters it proposes are reasonable, the Company would not object to modifications</w:t>
      </w:r>
      <w:r w:rsidR="001507AD">
        <w:t xml:space="preserve"> by us</w:t>
      </w:r>
      <w:r>
        <w:t xml:space="preserve"> so long as the a</w:t>
      </w:r>
      <w:r w:rsidR="00230A49">
        <w:t xml:space="preserve">pproved guidelines satisfy the </w:t>
      </w:r>
      <w:r>
        <w:t>th</w:t>
      </w:r>
      <w:r w:rsidR="00554CE3">
        <w:t xml:space="preserve">ese </w:t>
      </w:r>
      <w:r>
        <w:t>objectives.</w:t>
      </w:r>
    </w:p>
    <w:p w:rsidR="00960502" w:rsidRDefault="00960502" w:rsidP="00960502">
      <w:pPr>
        <w:autoSpaceDE w:val="0"/>
        <w:autoSpaceDN w:val="0"/>
        <w:adjustRightInd w:val="0"/>
        <w:ind w:firstLine="720"/>
        <w:jc w:val="both"/>
      </w:pPr>
    </w:p>
    <w:p w:rsidR="00960502" w:rsidRDefault="00471E1C" w:rsidP="00471E1C">
      <w:pPr>
        <w:autoSpaceDE w:val="0"/>
        <w:autoSpaceDN w:val="0"/>
        <w:adjustRightInd w:val="0"/>
        <w:ind w:firstLine="720"/>
        <w:jc w:val="both"/>
      </w:pPr>
      <w:r>
        <w:t xml:space="preserve">FPL witness </w:t>
      </w:r>
      <w:r w:rsidR="0059032C">
        <w:t>Forest</w:t>
      </w:r>
      <w:r>
        <w:t xml:space="preserve"> testified that the Woodford Project approved by </w:t>
      </w:r>
      <w:r w:rsidRPr="00E812A6">
        <w:t>Order No. PSC-15-0038-FOF-EI</w:t>
      </w:r>
      <w:r>
        <w:t xml:space="preserve"> represents an example of just one agreement in a broad market.  He testified that the </w:t>
      </w:r>
      <w:r w:rsidR="000C4E26">
        <w:t>P</w:t>
      </w:r>
      <w:r>
        <w:t>roposed Guidelines will enable FPL to act in real time to secure gas reserve projects for the benefit of FPL customers.  He stated that the drilling and production sector of the natural gas industry is not accustomed to waiting months for a potential counter-party to obtain regulatory approval to decide wheth</w:t>
      </w:r>
      <w:r w:rsidR="00230A49">
        <w:t xml:space="preserve">er to close on a transaction.  </w:t>
      </w:r>
      <w:r w:rsidR="00960502">
        <w:t>Due to the amount of the investment and the length of the commitments required, witness Forest testified FPL must have a presumption of prudence from the</w:t>
      </w:r>
      <w:r w:rsidR="00E3168D">
        <w:t xml:space="preserve"> Commission before proceeding. </w:t>
      </w:r>
      <w:r w:rsidR="00960502">
        <w:t xml:space="preserve">Without </w:t>
      </w:r>
      <w:r>
        <w:t xml:space="preserve">our </w:t>
      </w:r>
      <w:r w:rsidR="00960502">
        <w:t xml:space="preserve">assurance </w:t>
      </w:r>
      <w:r>
        <w:t>t</w:t>
      </w:r>
      <w:r w:rsidR="00960502">
        <w:t xml:space="preserve">hat </w:t>
      </w:r>
      <w:r>
        <w:t>we</w:t>
      </w:r>
      <w:r w:rsidR="00960502">
        <w:t xml:space="preserve"> concur with FPL’s approach, FPL cannot justify making such significant financial commitments.  </w:t>
      </w:r>
    </w:p>
    <w:p w:rsidR="006050A6" w:rsidRDefault="006050A6" w:rsidP="00471E1C">
      <w:pPr>
        <w:autoSpaceDE w:val="0"/>
        <w:autoSpaceDN w:val="0"/>
        <w:adjustRightInd w:val="0"/>
        <w:ind w:firstLine="720"/>
        <w:jc w:val="both"/>
      </w:pPr>
    </w:p>
    <w:p w:rsidR="00960502" w:rsidRDefault="00960502" w:rsidP="00960502">
      <w:pPr>
        <w:autoSpaceDE w:val="0"/>
        <w:autoSpaceDN w:val="0"/>
        <w:adjustRightInd w:val="0"/>
        <w:jc w:val="both"/>
      </w:pPr>
      <w:r>
        <w:tab/>
      </w:r>
      <w:r w:rsidR="0059032C">
        <w:t>Forest</w:t>
      </w:r>
      <w:r w:rsidR="00471E1C">
        <w:t xml:space="preserve"> further</w:t>
      </w:r>
      <w:r>
        <w:t xml:space="preserve"> testified that adoption of guidelines would be consistent with how </w:t>
      </w:r>
      <w:r w:rsidR="00471E1C">
        <w:t xml:space="preserve">we have </w:t>
      </w:r>
      <w:r>
        <w:t xml:space="preserve">administered FPL’s financial hedging program.  He noted how </w:t>
      </w:r>
      <w:r w:rsidR="00471E1C">
        <w:t>we</w:t>
      </w:r>
      <w:r>
        <w:t xml:space="preserve"> worked with FPL and the other </w:t>
      </w:r>
      <w:r w:rsidR="00230A49">
        <w:t>I</w:t>
      </w:r>
      <w:r>
        <w:t xml:space="preserve">OUs in a collaborative effort to develop and implement a process and eventually guidelines for what should and should not be part of the financial hedging programs.  Similar to the guidelines adopted for financial hedging programs, he suggested </w:t>
      </w:r>
      <w:r w:rsidR="00471E1C">
        <w:t xml:space="preserve">we </w:t>
      </w:r>
      <w:r>
        <w:t xml:space="preserve">could establish a framework whereby the Company could enter into several transactions that were within a range of predetermined guidelines.  Finally, witness </w:t>
      </w:r>
      <w:r w:rsidR="0059032C">
        <w:t>Forest</w:t>
      </w:r>
      <w:r>
        <w:t xml:space="preserve"> testified that, similar to the guidelines set forth for the financial hedging programs, “the Commission should acknowledge that there are potential drilling/production risks with pursuing gas assets and as long as the transaction was within the guidelines, it cannot be deemed imprudent based on the results.”  </w:t>
      </w:r>
    </w:p>
    <w:p w:rsidR="006050A6" w:rsidRDefault="006050A6" w:rsidP="00960502">
      <w:pPr>
        <w:autoSpaceDE w:val="0"/>
        <w:autoSpaceDN w:val="0"/>
        <w:adjustRightInd w:val="0"/>
        <w:jc w:val="both"/>
      </w:pPr>
    </w:p>
    <w:p w:rsidR="006050A6" w:rsidRDefault="006050A6" w:rsidP="006050A6">
      <w:pPr>
        <w:autoSpaceDE w:val="0"/>
        <w:autoSpaceDN w:val="0"/>
        <w:adjustRightInd w:val="0"/>
        <w:ind w:firstLine="720"/>
        <w:jc w:val="both"/>
      </w:pPr>
      <w:r>
        <w:t xml:space="preserve">In its brief, FPL argued that it would not object in principle if we, in our discretion, prefer to “test the waters” by initially adopting Guidelines that scale down the size of the allowed transactions or narrowed the scope of eligible investments.  However, FPL argued that approval </w:t>
      </w:r>
      <w:r>
        <w:lastRenderedPageBreak/>
        <w:t xml:space="preserve">of Guidelines is essential in order for the Company to deliver the benefits to customers FPL believes are available through its proposed program of investment in gas reserve projects. </w:t>
      </w:r>
    </w:p>
    <w:p w:rsidR="00B40B90" w:rsidRDefault="00B40B90" w:rsidP="00960502">
      <w:pPr>
        <w:autoSpaceDE w:val="0"/>
        <w:autoSpaceDN w:val="0"/>
        <w:adjustRightInd w:val="0"/>
        <w:jc w:val="both"/>
      </w:pPr>
    </w:p>
    <w:p w:rsidR="00B40B90" w:rsidRDefault="009C2844" w:rsidP="00471E1C">
      <w:pPr>
        <w:autoSpaceDE w:val="0"/>
        <w:autoSpaceDN w:val="0"/>
        <w:adjustRightInd w:val="0"/>
        <w:ind w:firstLine="720"/>
        <w:jc w:val="both"/>
      </w:pPr>
      <w:r>
        <w:rPr>
          <w:spacing w:val="-2"/>
        </w:rPr>
        <w:t>OPC argue</w:t>
      </w:r>
      <w:r w:rsidR="00B0001D">
        <w:rPr>
          <w:spacing w:val="-2"/>
        </w:rPr>
        <w:t>d</w:t>
      </w:r>
      <w:r>
        <w:rPr>
          <w:spacing w:val="-2"/>
        </w:rPr>
        <w:t xml:space="preserve"> that the </w:t>
      </w:r>
      <w:r w:rsidR="000C4E26">
        <w:rPr>
          <w:spacing w:val="-2"/>
        </w:rPr>
        <w:t>P</w:t>
      </w:r>
      <w:r>
        <w:rPr>
          <w:spacing w:val="-2"/>
        </w:rPr>
        <w:t>roposed</w:t>
      </w:r>
      <w:r w:rsidRPr="00C170BC">
        <w:rPr>
          <w:spacing w:val="-2"/>
        </w:rPr>
        <w:t xml:space="preserve"> Guidelines are one-sided, completely favor FPL and its shareholders at the expense o</w:t>
      </w:r>
      <w:r>
        <w:rPr>
          <w:spacing w:val="-2"/>
        </w:rPr>
        <w:t>f FPL’s 4.5 million customers</w:t>
      </w:r>
      <w:r w:rsidR="0028356A">
        <w:rPr>
          <w:spacing w:val="-2"/>
        </w:rPr>
        <w:t>,</w:t>
      </w:r>
      <w:r>
        <w:rPr>
          <w:spacing w:val="-2"/>
        </w:rPr>
        <w:t xml:space="preserve"> and </w:t>
      </w:r>
      <w:r w:rsidRPr="00C170BC">
        <w:rPr>
          <w:spacing w:val="-2"/>
        </w:rPr>
        <w:t xml:space="preserve">should be rejected outright.  </w:t>
      </w:r>
      <w:r w:rsidR="00B40B90">
        <w:t xml:space="preserve">OPC </w:t>
      </w:r>
      <w:r w:rsidR="006A0857">
        <w:t xml:space="preserve">further </w:t>
      </w:r>
      <w:r w:rsidR="00B40B90">
        <w:t xml:space="preserve">argued that approval of the </w:t>
      </w:r>
      <w:r w:rsidR="000C4E26">
        <w:t>P</w:t>
      </w:r>
      <w:r w:rsidR="00B40B90">
        <w:t>roposed Guidelines would impermissibly shift the investment risks from FPL’s shareholders to its customers and would represent a new way of reducing shareholder risk and enhancing shareholder returns.</w:t>
      </w:r>
    </w:p>
    <w:p w:rsidR="00B40B90" w:rsidRDefault="00B40B90" w:rsidP="00471E1C">
      <w:pPr>
        <w:autoSpaceDE w:val="0"/>
        <w:autoSpaceDN w:val="0"/>
        <w:adjustRightInd w:val="0"/>
        <w:ind w:firstLine="720"/>
        <w:jc w:val="both"/>
      </w:pPr>
    </w:p>
    <w:p w:rsidR="008059B1" w:rsidRDefault="008059B1" w:rsidP="008059B1">
      <w:pPr>
        <w:autoSpaceDE w:val="0"/>
        <w:autoSpaceDN w:val="0"/>
        <w:adjustRightInd w:val="0"/>
        <w:jc w:val="both"/>
      </w:pPr>
      <w:r>
        <w:tab/>
        <w:t>OPC witness Lawson testified that FPL’s proposal reflects FPL’s decision to diversify into a sep</w:t>
      </w:r>
      <w:r w:rsidR="00E3168D">
        <w:t xml:space="preserve">arate, non-regulated industry. </w:t>
      </w:r>
      <w:r>
        <w:t xml:space="preserve">The Company is requesting </w:t>
      </w:r>
      <w:r w:rsidR="00F277DA">
        <w:t xml:space="preserve">that we </w:t>
      </w:r>
      <w:r>
        <w:t xml:space="preserve">expand the traditional Fuel Clause so that FPL can import investments in gas reserve projects and require customers bear the investment risk associated with natural gas drilling and production.  Witness Lawson testified that the end result of FPL’s proposal would be that the risk of natural gas drilling and production typically borne by market participants such as </w:t>
      </w:r>
      <w:proofErr w:type="spellStart"/>
      <w:r>
        <w:t>PetroQuest</w:t>
      </w:r>
      <w:proofErr w:type="spellEnd"/>
      <w:r>
        <w:t xml:space="preserve"> Energy, Inc. (</w:t>
      </w:r>
      <w:proofErr w:type="spellStart"/>
      <w:r>
        <w:t>PetroQuest</w:t>
      </w:r>
      <w:proofErr w:type="spellEnd"/>
      <w:proofErr w:type="gramStart"/>
      <w:r>
        <w:t>),</w:t>
      </w:r>
      <w:proofErr w:type="gramEnd"/>
      <w:r>
        <w:t xml:space="preserve"> would be shifted by </w:t>
      </w:r>
      <w:proofErr w:type="spellStart"/>
      <w:r>
        <w:t>PetroQuest</w:t>
      </w:r>
      <w:proofErr w:type="spellEnd"/>
      <w:r>
        <w:t xml:space="preserve"> through FPL and/or its non-regulated affiliate directly to FPL’s customers.  </w:t>
      </w:r>
    </w:p>
    <w:p w:rsidR="008059B1" w:rsidRDefault="008059B1" w:rsidP="008059B1">
      <w:pPr>
        <w:autoSpaceDE w:val="0"/>
        <w:autoSpaceDN w:val="0"/>
        <w:adjustRightInd w:val="0"/>
        <w:jc w:val="both"/>
      </w:pPr>
    </w:p>
    <w:p w:rsidR="008059B1" w:rsidRDefault="008059B1" w:rsidP="008059B1">
      <w:pPr>
        <w:autoSpaceDE w:val="0"/>
        <w:autoSpaceDN w:val="0"/>
        <w:adjustRightInd w:val="0"/>
        <w:jc w:val="both"/>
      </w:pPr>
      <w:r>
        <w:tab/>
        <w:t xml:space="preserve">Witness Lawson </w:t>
      </w:r>
      <w:r w:rsidR="00F277DA">
        <w:t>testified</w:t>
      </w:r>
      <w:r>
        <w:t xml:space="preserve"> that FPL’s </w:t>
      </w:r>
      <w:r w:rsidR="009C2844">
        <w:t>Proposed</w:t>
      </w:r>
      <w:r>
        <w:t xml:space="preserve"> </w:t>
      </w:r>
      <w:r w:rsidR="006B6AFB">
        <w:t>Guidelines</w:t>
      </w:r>
      <w:r>
        <w:t xml:space="preserve"> are one-sided to the benefit of FPL and are not fair or equitable to its customers.  He noted that FPL’s </w:t>
      </w:r>
      <w:r w:rsidR="009C2844">
        <w:t>Proposed</w:t>
      </w:r>
      <w:r>
        <w:t xml:space="preserve"> </w:t>
      </w:r>
      <w:r w:rsidR="006B6AFB">
        <w:t>Guidelines</w:t>
      </w:r>
      <w:r>
        <w:t xml:space="preserve"> only require the projection of fuel savings for customers at a point in time, but does not guarantee any savings.  </w:t>
      </w:r>
      <w:r w:rsidR="0028356A">
        <w:t>He pointed out that i</w:t>
      </w:r>
      <w:r>
        <w:t xml:space="preserve">n contrast, if FPL’s </w:t>
      </w:r>
      <w:r w:rsidR="009C2844">
        <w:t>Proposed</w:t>
      </w:r>
      <w:r>
        <w:t xml:space="preserve"> </w:t>
      </w:r>
      <w:r w:rsidR="006B6AFB">
        <w:t>Guidelines</w:t>
      </w:r>
      <w:r>
        <w:t xml:space="preserve"> and the presumption of prudence that would attach are approved, the Company would be assured of earning its midpoint return on equity (ROE) on these investments regardless of the outcome of the investment or whether any fuel savings actually materialized as long as the Company demonstrated that the investment complied with the </w:t>
      </w:r>
      <w:r w:rsidR="006B6AFB">
        <w:t>Guidelines</w:t>
      </w:r>
      <w:r>
        <w:t xml:space="preserve"> at the time the investment was entered.  </w:t>
      </w:r>
    </w:p>
    <w:p w:rsidR="008059B1" w:rsidRDefault="008059B1" w:rsidP="008059B1">
      <w:pPr>
        <w:autoSpaceDE w:val="0"/>
        <w:autoSpaceDN w:val="0"/>
        <w:adjustRightInd w:val="0"/>
        <w:jc w:val="both"/>
      </w:pPr>
    </w:p>
    <w:p w:rsidR="008059B1" w:rsidRDefault="008059B1" w:rsidP="008059B1">
      <w:pPr>
        <w:autoSpaceDE w:val="0"/>
        <w:autoSpaceDN w:val="0"/>
        <w:adjustRightInd w:val="0"/>
        <w:jc w:val="both"/>
      </w:pPr>
      <w:r>
        <w:tab/>
        <w:t xml:space="preserve">With respect to FPL’s testimony regarding the need for the Company to have the ability to act quickly to take advantage of these investment opportunities, witness Lawson testified that </w:t>
      </w:r>
      <w:r w:rsidR="00F202CF">
        <w:t>we</w:t>
      </w:r>
      <w:r>
        <w:t xml:space="preserve"> should take caution from FPL’s claim. </w:t>
      </w:r>
      <w:r w:rsidR="00F202CF">
        <w:t xml:space="preserve"> </w:t>
      </w:r>
      <w:r>
        <w:t xml:space="preserve">He posited that “if gas reserve market participants must act within a month or two window as market prices fluctuate, why would this Commission or any other regulator consider the Woodford Project or any future gas reserve investment where the economic viability rests primarily on a 50-year forecast of market prices, and more than a two-month delay may change the economics of the deal?” </w:t>
      </w:r>
    </w:p>
    <w:p w:rsidR="008059B1" w:rsidRDefault="008059B1" w:rsidP="008059B1">
      <w:pPr>
        <w:autoSpaceDE w:val="0"/>
        <w:autoSpaceDN w:val="0"/>
        <w:adjustRightInd w:val="0"/>
        <w:jc w:val="both"/>
      </w:pPr>
    </w:p>
    <w:p w:rsidR="008059B1" w:rsidRDefault="008059B1" w:rsidP="008059B1">
      <w:pPr>
        <w:autoSpaceDE w:val="0"/>
        <w:autoSpaceDN w:val="0"/>
        <w:adjustRightInd w:val="0"/>
        <w:jc w:val="both"/>
      </w:pPr>
      <w:r>
        <w:tab/>
        <w:t xml:space="preserve">Finally, witness Lawson testified that the true purpose of FPL’s </w:t>
      </w:r>
      <w:r w:rsidR="000C4E26">
        <w:t>p</w:t>
      </w:r>
      <w:r w:rsidR="009C2844">
        <w:t>roposed</w:t>
      </w:r>
      <w:r>
        <w:t xml:space="preserve"> gas reserve investment program is a new earnings platform for the Co</w:t>
      </w:r>
      <w:r w:rsidR="000C4E26">
        <w:t xml:space="preserve">mpany and NextEra Energy, Inc. </w:t>
      </w:r>
      <w:r w:rsidR="006E3675">
        <w:t xml:space="preserve"> </w:t>
      </w:r>
      <w:r>
        <w:t xml:space="preserve">If the </w:t>
      </w:r>
      <w:r w:rsidR="009C2844">
        <w:t>Proposed</w:t>
      </w:r>
      <w:r>
        <w:t xml:space="preserve"> </w:t>
      </w:r>
      <w:r w:rsidR="006B6AFB">
        <w:t>Guidelines</w:t>
      </w:r>
      <w:r>
        <w:t xml:space="preserve"> are approved as filed, he argued that FPL would be able to grow rate base and earnings through the Fuel Clause without regard to whether the customers received any benefit from the investments. </w:t>
      </w:r>
      <w:r w:rsidR="00F202CF">
        <w:t xml:space="preserve"> </w:t>
      </w:r>
      <w:r>
        <w:t xml:space="preserve">In conclusion, witness Lawson recommended that FPL’s </w:t>
      </w:r>
      <w:r w:rsidR="009C2844">
        <w:t>Proposed</w:t>
      </w:r>
      <w:r>
        <w:t xml:space="preserve"> </w:t>
      </w:r>
      <w:r w:rsidR="006B6AFB">
        <w:t>Guidelines</w:t>
      </w:r>
      <w:r>
        <w:t xml:space="preserve"> be denied and that any future gas reserve projects be addressed on a case-by-case basis. </w:t>
      </w:r>
    </w:p>
    <w:p w:rsidR="008059B1" w:rsidRDefault="008059B1" w:rsidP="008059B1">
      <w:pPr>
        <w:autoSpaceDE w:val="0"/>
        <w:autoSpaceDN w:val="0"/>
        <w:adjustRightInd w:val="0"/>
        <w:jc w:val="both"/>
      </w:pPr>
    </w:p>
    <w:p w:rsidR="008059B1" w:rsidRDefault="008059B1" w:rsidP="008059B1">
      <w:pPr>
        <w:autoSpaceDE w:val="0"/>
        <w:autoSpaceDN w:val="0"/>
        <w:adjustRightInd w:val="0"/>
        <w:jc w:val="both"/>
      </w:pPr>
      <w:r>
        <w:tab/>
      </w:r>
      <w:r w:rsidR="00F202CF">
        <w:t>In its brief, FIPUG stated that it</w:t>
      </w:r>
      <w:r>
        <w:t xml:space="preserve"> opposes FPL’s efforts to have its customers fund natural gas drilling and production ventures as contemplated in FPL’s </w:t>
      </w:r>
      <w:r w:rsidR="009C2844">
        <w:t>Proposed</w:t>
      </w:r>
      <w:r>
        <w:t xml:space="preserve"> </w:t>
      </w:r>
      <w:r w:rsidR="006B6AFB">
        <w:t>Guidelines</w:t>
      </w:r>
      <w:r>
        <w:t xml:space="preserve">. FIPUG </w:t>
      </w:r>
      <w:r>
        <w:lastRenderedPageBreak/>
        <w:t>argued that policy is set by the Legislature and that</w:t>
      </w:r>
      <w:r w:rsidR="00F202CF">
        <w:t xml:space="preserve"> we </w:t>
      </w:r>
      <w:r>
        <w:t>should no</w:t>
      </w:r>
      <w:r w:rsidR="00F202CF">
        <w:t xml:space="preserve">t implement policy by adopting </w:t>
      </w:r>
      <w:r w:rsidR="006E3675">
        <w:t>g</w:t>
      </w:r>
      <w:r w:rsidR="006B6AFB">
        <w:t>uidelines</w:t>
      </w:r>
      <w:r w:rsidR="00F202CF">
        <w:t xml:space="preserve">.  </w:t>
      </w:r>
      <w:r>
        <w:t xml:space="preserve">FIPUG recommended that </w:t>
      </w:r>
      <w:r w:rsidR="00F202CF">
        <w:t>we</w:t>
      </w:r>
      <w:r>
        <w:t xml:space="preserve"> not act on FPL’s </w:t>
      </w:r>
      <w:r w:rsidR="009C2844">
        <w:t>Proposed</w:t>
      </w:r>
      <w:r>
        <w:t xml:space="preserve"> </w:t>
      </w:r>
      <w:r w:rsidR="006B6AFB">
        <w:t>Guidelines</w:t>
      </w:r>
      <w:r>
        <w:t xml:space="preserve"> but instead hold workshops or other proceedings with wider participation before implementing “policies governing future investor-owned utility </w:t>
      </w:r>
      <w:r w:rsidR="00E3168D">
        <w:t>p</w:t>
      </w:r>
      <w:r w:rsidR="009C2844">
        <w:t>roposed</w:t>
      </w:r>
      <w:r>
        <w:t xml:space="preserve"> and ratepayer-funded oil and gas exploration/drilling/production ventures.”  </w:t>
      </w:r>
    </w:p>
    <w:p w:rsidR="008059B1" w:rsidRDefault="008059B1" w:rsidP="008059B1">
      <w:pPr>
        <w:autoSpaceDE w:val="0"/>
        <w:autoSpaceDN w:val="0"/>
        <w:adjustRightInd w:val="0"/>
        <w:jc w:val="both"/>
      </w:pPr>
    </w:p>
    <w:p w:rsidR="008059B1" w:rsidRDefault="008059B1" w:rsidP="008059B1">
      <w:pPr>
        <w:autoSpaceDE w:val="0"/>
        <w:autoSpaceDN w:val="0"/>
        <w:adjustRightInd w:val="0"/>
        <w:jc w:val="both"/>
      </w:pPr>
      <w:r>
        <w:tab/>
        <w:t xml:space="preserve">FIPUG witness Pollock testified that </w:t>
      </w:r>
      <w:r w:rsidR="00F202CF">
        <w:t>we</w:t>
      </w:r>
      <w:r>
        <w:t xml:space="preserve"> should reject FPL’s </w:t>
      </w:r>
      <w:r w:rsidR="009C2844">
        <w:t>Proposed</w:t>
      </w:r>
      <w:r>
        <w:t xml:space="preserve"> </w:t>
      </w:r>
      <w:r w:rsidR="006B6AFB">
        <w:t>Guidelines</w:t>
      </w:r>
      <w:r>
        <w:t xml:space="preserve">.  He </w:t>
      </w:r>
      <w:r w:rsidR="0028356A">
        <w:t>stated</w:t>
      </w:r>
      <w:r>
        <w:t xml:space="preserve"> that FPL’s </w:t>
      </w:r>
      <w:r w:rsidR="009C2844">
        <w:t>Proposed</w:t>
      </w:r>
      <w:r>
        <w:t xml:space="preserve"> </w:t>
      </w:r>
      <w:r w:rsidR="006B6AFB">
        <w:t>Guidelines</w:t>
      </w:r>
      <w:r>
        <w:t xml:space="preserve"> do not address the sharing of risk between FPL and its customers nor do they impose any obligation on FPL to demonstrate that its customers have benefitted from investments in gas reserve projects.  If FPL’s </w:t>
      </w:r>
      <w:r w:rsidR="009C2844">
        <w:t>Proposed</w:t>
      </w:r>
      <w:r>
        <w:t xml:space="preserve"> </w:t>
      </w:r>
      <w:r w:rsidR="006B6AFB">
        <w:t>Guidelines</w:t>
      </w:r>
      <w:r>
        <w:t xml:space="preserve"> are approved as filed, witness Pollock testified</w:t>
      </w:r>
      <w:r w:rsidR="006E3675">
        <w:t>,</w:t>
      </w:r>
      <w:r>
        <w:t xml:space="preserve"> FPL would recover its investment and earn its mid-point ROE irrespective of whether FPL’s customers receive any benefit.  </w:t>
      </w:r>
    </w:p>
    <w:p w:rsidR="0072691B" w:rsidRDefault="0072691B" w:rsidP="008059B1">
      <w:pPr>
        <w:autoSpaceDE w:val="0"/>
        <w:autoSpaceDN w:val="0"/>
        <w:adjustRightInd w:val="0"/>
        <w:jc w:val="both"/>
      </w:pPr>
    </w:p>
    <w:p w:rsidR="00C37FB1" w:rsidRDefault="00B40B90" w:rsidP="0061393E">
      <w:pPr>
        <w:autoSpaceDE w:val="0"/>
        <w:autoSpaceDN w:val="0"/>
        <w:adjustRightInd w:val="0"/>
        <w:jc w:val="both"/>
      </w:pPr>
      <w:r>
        <w:tab/>
        <w:t>We have carefully</w:t>
      </w:r>
      <w:r w:rsidR="006E3675">
        <w:t xml:space="preserve"> examined FPL’s Proposed Guidelines,</w:t>
      </w:r>
      <w:r>
        <w:t xml:space="preserve"> reviewed the record in this proceeding</w:t>
      </w:r>
      <w:r w:rsidR="0028356A">
        <w:t>,</w:t>
      </w:r>
      <w:r>
        <w:t xml:space="preserve"> and considered the parties’ arguments.  </w:t>
      </w:r>
      <w:r w:rsidR="006E3675">
        <w:t xml:space="preserve">We focus on balancing FPL’s innovative attempt to secure low-cost, stable fuel while ensuring there is a net benefit to its customers and that proper customer protections are in place.  </w:t>
      </w:r>
      <w:r w:rsidR="0061393E">
        <w:t xml:space="preserve">The factors we consider are, in essence, reducing </w:t>
      </w:r>
      <w:r w:rsidR="0072691B">
        <w:t xml:space="preserve">fuel price </w:t>
      </w:r>
      <w:r w:rsidR="0061393E">
        <w:t xml:space="preserve">volatility while </w:t>
      </w:r>
      <w:r w:rsidR="0072691B">
        <w:t>limiting</w:t>
      </w:r>
      <w:r w:rsidR="0061393E">
        <w:t xml:space="preserve"> risk for the benefit of the customers.</w:t>
      </w:r>
      <w:r w:rsidR="00C37FB1">
        <w:t xml:space="preserve">  </w:t>
      </w:r>
      <w:r w:rsidR="00A03102">
        <w:t xml:space="preserve">Taking these factors into consideration, we modify FPL’s </w:t>
      </w:r>
      <w:r w:rsidR="0072691B">
        <w:t>Proposed Guidelines</w:t>
      </w:r>
      <w:r w:rsidR="00A03102">
        <w:t xml:space="preserve"> as stated herein.  </w:t>
      </w:r>
    </w:p>
    <w:p w:rsidR="00C37FB1" w:rsidRDefault="00C37FB1" w:rsidP="0061393E">
      <w:pPr>
        <w:autoSpaceDE w:val="0"/>
        <w:autoSpaceDN w:val="0"/>
        <w:adjustRightInd w:val="0"/>
        <w:jc w:val="both"/>
      </w:pPr>
    </w:p>
    <w:p w:rsidR="00E55865" w:rsidRPr="00E55865" w:rsidRDefault="00E55865" w:rsidP="00E55865">
      <w:pPr>
        <w:autoSpaceDE w:val="0"/>
        <w:autoSpaceDN w:val="0"/>
        <w:adjustRightInd w:val="0"/>
        <w:ind w:left="720"/>
        <w:jc w:val="both"/>
        <w:rPr>
          <w:u w:val="single"/>
        </w:rPr>
      </w:pPr>
      <w:r w:rsidRPr="00E55865">
        <w:rPr>
          <w:u w:val="single"/>
        </w:rPr>
        <w:t>Section I, Scope of Reserve Project Participation</w:t>
      </w:r>
    </w:p>
    <w:p w:rsidR="00E55865" w:rsidRDefault="00E55865" w:rsidP="0061393E">
      <w:pPr>
        <w:autoSpaceDE w:val="0"/>
        <w:autoSpaceDN w:val="0"/>
        <w:adjustRightInd w:val="0"/>
        <w:jc w:val="both"/>
      </w:pPr>
    </w:p>
    <w:p w:rsidR="0017712F" w:rsidRDefault="006A0857" w:rsidP="0061393E">
      <w:pPr>
        <w:ind w:firstLine="720"/>
        <w:jc w:val="both"/>
      </w:pPr>
      <w:proofErr w:type="gramStart"/>
      <w:r>
        <w:t xml:space="preserve">With respect to </w:t>
      </w:r>
      <w:r w:rsidR="000C4E26">
        <w:t>Guideline I.A.</w:t>
      </w:r>
      <w:proofErr w:type="gramEnd"/>
      <w:r w:rsidR="000C4E26">
        <w:t xml:space="preserve">  </w:t>
      </w:r>
      <w:r w:rsidR="0017712F">
        <w:t>FPL has proposed maximum percentages of average daily burn of 15 percent, 20 percent, and 25 percent for 2015, 2016, and 2017, respectively.</w:t>
      </w:r>
      <w:r w:rsidR="000F0FB1">
        <w:t xml:space="preserve"> </w:t>
      </w:r>
      <w:r w:rsidR="0017712F">
        <w:t xml:space="preserve"> FPL will be developing more wells and producing more gas and our goal is to encourage these types of investment in production while </w:t>
      </w:r>
      <w:r w:rsidR="00950973">
        <w:t>limiting</w:t>
      </w:r>
      <w:r w:rsidR="0017712F">
        <w:t xml:space="preserve"> risk.  We </w:t>
      </w:r>
      <w:r w:rsidR="000F0FB1">
        <w:t xml:space="preserve">find that modifications to the burn rate percentages are in keeping with our intent to </w:t>
      </w:r>
      <w:r w:rsidR="00E55865">
        <w:t>limit</w:t>
      </w:r>
      <w:r w:rsidR="000F0FB1">
        <w:t xml:space="preserve"> risk</w:t>
      </w:r>
      <w:r w:rsidR="0017712F">
        <w:t xml:space="preserve"> for customers</w:t>
      </w:r>
      <w:r w:rsidR="000F0FB1">
        <w:t xml:space="preserve">.  </w:t>
      </w:r>
      <w:r w:rsidR="0017712F">
        <w:t xml:space="preserve">Thus, Guideline I.A shall be modified as follows:  </w:t>
      </w:r>
    </w:p>
    <w:p w:rsidR="0017712F" w:rsidRDefault="0017712F" w:rsidP="0061393E">
      <w:pPr>
        <w:ind w:firstLine="720"/>
        <w:jc w:val="both"/>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780"/>
      </w:tblGrid>
      <w:tr w:rsidR="0017712F" w:rsidTr="00BC5BA5">
        <w:tc>
          <w:tcPr>
            <w:tcW w:w="3420" w:type="dxa"/>
            <w:tcBorders>
              <w:top w:val="single" w:sz="4" w:space="0" w:color="auto"/>
              <w:left w:val="single" w:sz="4" w:space="0" w:color="auto"/>
              <w:bottom w:val="single" w:sz="4" w:space="0" w:color="auto"/>
              <w:right w:val="single" w:sz="4" w:space="0" w:color="auto"/>
            </w:tcBorders>
            <w:hideMark/>
          </w:tcPr>
          <w:p w:rsidR="0017712F" w:rsidRDefault="0017712F" w:rsidP="00BC5BA5">
            <w:pPr>
              <w:jc w:val="center"/>
            </w:pPr>
            <w:r>
              <w:t>Year</w:t>
            </w:r>
          </w:p>
        </w:tc>
        <w:tc>
          <w:tcPr>
            <w:tcW w:w="3780" w:type="dxa"/>
            <w:tcBorders>
              <w:top w:val="single" w:sz="4" w:space="0" w:color="auto"/>
              <w:left w:val="single" w:sz="4" w:space="0" w:color="auto"/>
              <w:bottom w:val="single" w:sz="4" w:space="0" w:color="auto"/>
              <w:right w:val="single" w:sz="4" w:space="0" w:color="auto"/>
            </w:tcBorders>
            <w:hideMark/>
          </w:tcPr>
          <w:p w:rsidR="0017712F" w:rsidRDefault="0017712F" w:rsidP="00BC5BA5">
            <w:pPr>
              <w:jc w:val="center"/>
            </w:pPr>
            <w:r>
              <w:t>Maximum Volume as a Percentage of Average Daily Burn</w:t>
            </w:r>
          </w:p>
        </w:tc>
      </w:tr>
      <w:tr w:rsidR="0017712F" w:rsidRPr="00235570" w:rsidTr="0017712F">
        <w:tc>
          <w:tcPr>
            <w:tcW w:w="3420" w:type="dxa"/>
            <w:tcBorders>
              <w:top w:val="single" w:sz="4" w:space="0" w:color="auto"/>
              <w:left w:val="single" w:sz="4" w:space="0" w:color="auto"/>
              <w:bottom w:val="single" w:sz="4" w:space="0" w:color="auto"/>
              <w:right w:val="single" w:sz="4" w:space="0" w:color="auto"/>
            </w:tcBorders>
            <w:hideMark/>
          </w:tcPr>
          <w:p w:rsidR="0017712F" w:rsidRDefault="0017712F" w:rsidP="00BC5BA5">
            <w:pPr>
              <w:jc w:val="center"/>
            </w:pPr>
            <w:r>
              <w:t>2015</w:t>
            </w:r>
          </w:p>
        </w:tc>
        <w:tc>
          <w:tcPr>
            <w:tcW w:w="3780" w:type="dxa"/>
            <w:tcBorders>
              <w:top w:val="single" w:sz="4" w:space="0" w:color="auto"/>
              <w:left w:val="single" w:sz="4" w:space="0" w:color="auto"/>
              <w:bottom w:val="single" w:sz="4" w:space="0" w:color="auto"/>
              <w:right w:val="single" w:sz="4" w:space="0" w:color="auto"/>
            </w:tcBorders>
          </w:tcPr>
          <w:p w:rsidR="0017712F" w:rsidRPr="00D556F7" w:rsidRDefault="0017712F" w:rsidP="00BC5BA5">
            <w:pPr>
              <w:jc w:val="center"/>
            </w:pPr>
            <w:r>
              <w:t>5%</w:t>
            </w:r>
          </w:p>
        </w:tc>
      </w:tr>
      <w:tr w:rsidR="0017712F" w:rsidRPr="00235570" w:rsidTr="0017712F">
        <w:tc>
          <w:tcPr>
            <w:tcW w:w="3420" w:type="dxa"/>
            <w:tcBorders>
              <w:top w:val="single" w:sz="4" w:space="0" w:color="auto"/>
              <w:left w:val="single" w:sz="4" w:space="0" w:color="auto"/>
              <w:bottom w:val="single" w:sz="4" w:space="0" w:color="auto"/>
              <w:right w:val="single" w:sz="4" w:space="0" w:color="auto"/>
            </w:tcBorders>
            <w:hideMark/>
          </w:tcPr>
          <w:p w:rsidR="0017712F" w:rsidRDefault="0017712F" w:rsidP="00BC5BA5">
            <w:pPr>
              <w:jc w:val="center"/>
            </w:pPr>
            <w:r>
              <w:t>2016</w:t>
            </w:r>
          </w:p>
        </w:tc>
        <w:tc>
          <w:tcPr>
            <w:tcW w:w="3780" w:type="dxa"/>
            <w:tcBorders>
              <w:top w:val="single" w:sz="4" w:space="0" w:color="auto"/>
              <w:left w:val="single" w:sz="4" w:space="0" w:color="auto"/>
              <w:bottom w:val="single" w:sz="4" w:space="0" w:color="auto"/>
              <w:right w:val="single" w:sz="4" w:space="0" w:color="auto"/>
            </w:tcBorders>
          </w:tcPr>
          <w:p w:rsidR="0017712F" w:rsidRPr="00235570" w:rsidRDefault="0017712F" w:rsidP="00BC5BA5">
            <w:pPr>
              <w:jc w:val="center"/>
            </w:pPr>
            <w:r>
              <w:t>10%</w:t>
            </w:r>
          </w:p>
        </w:tc>
      </w:tr>
      <w:tr w:rsidR="0017712F" w:rsidRPr="00235570" w:rsidTr="0017712F">
        <w:tc>
          <w:tcPr>
            <w:tcW w:w="3420" w:type="dxa"/>
            <w:tcBorders>
              <w:top w:val="single" w:sz="4" w:space="0" w:color="auto"/>
              <w:left w:val="single" w:sz="4" w:space="0" w:color="auto"/>
              <w:bottom w:val="single" w:sz="4" w:space="0" w:color="auto"/>
              <w:right w:val="single" w:sz="4" w:space="0" w:color="auto"/>
            </w:tcBorders>
            <w:hideMark/>
          </w:tcPr>
          <w:p w:rsidR="0017712F" w:rsidRDefault="0017712F" w:rsidP="00BC5BA5">
            <w:pPr>
              <w:jc w:val="center"/>
            </w:pPr>
            <w:r>
              <w:t>2017</w:t>
            </w:r>
          </w:p>
        </w:tc>
        <w:tc>
          <w:tcPr>
            <w:tcW w:w="3780" w:type="dxa"/>
            <w:tcBorders>
              <w:top w:val="single" w:sz="4" w:space="0" w:color="auto"/>
              <w:left w:val="single" w:sz="4" w:space="0" w:color="auto"/>
              <w:bottom w:val="single" w:sz="4" w:space="0" w:color="auto"/>
              <w:right w:val="single" w:sz="4" w:space="0" w:color="auto"/>
            </w:tcBorders>
          </w:tcPr>
          <w:p w:rsidR="0017712F" w:rsidRPr="00D556F7" w:rsidRDefault="0017712F" w:rsidP="00BC5BA5">
            <w:pPr>
              <w:jc w:val="center"/>
            </w:pPr>
            <w:r w:rsidRPr="00D556F7">
              <w:t>15%</w:t>
            </w:r>
          </w:p>
        </w:tc>
      </w:tr>
      <w:tr w:rsidR="0017712F" w:rsidRPr="00235570" w:rsidTr="00BC5BA5">
        <w:tc>
          <w:tcPr>
            <w:tcW w:w="3420" w:type="dxa"/>
            <w:tcBorders>
              <w:top w:val="single" w:sz="4" w:space="0" w:color="auto"/>
              <w:left w:val="single" w:sz="4" w:space="0" w:color="auto"/>
              <w:bottom w:val="single" w:sz="4" w:space="0" w:color="auto"/>
              <w:right w:val="single" w:sz="4" w:space="0" w:color="auto"/>
            </w:tcBorders>
          </w:tcPr>
          <w:p w:rsidR="0017712F" w:rsidRDefault="0017712F" w:rsidP="00BC5BA5">
            <w:pPr>
              <w:jc w:val="center"/>
            </w:pPr>
            <w:r>
              <w:t>2018</w:t>
            </w:r>
          </w:p>
        </w:tc>
        <w:tc>
          <w:tcPr>
            <w:tcW w:w="3780" w:type="dxa"/>
            <w:tcBorders>
              <w:top w:val="single" w:sz="4" w:space="0" w:color="auto"/>
              <w:left w:val="single" w:sz="4" w:space="0" w:color="auto"/>
              <w:bottom w:val="single" w:sz="4" w:space="0" w:color="auto"/>
              <w:right w:val="single" w:sz="4" w:space="0" w:color="auto"/>
            </w:tcBorders>
          </w:tcPr>
          <w:p w:rsidR="0017712F" w:rsidRPr="00D556F7" w:rsidRDefault="0017712F" w:rsidP="00BC5BA5">
            <w:pPr>
              <w:jc w:val="center"/>
            </w:pPr>
            <w:r w:rsidRPr="00D556F7">
              <w:t>20%</w:t>
            </w:r>
          </w:p>
        </w:tc>
      </w:tr>
    </w:tbl>
    <w:p w:rsidR="008059B1" w:rsidRDefault="0017712F" w:rsidP="00A03102">
      <w:pPr>
        <w:ind w:firstLine="720"/>
        <w:jc w:val="both"/>
      </w:pPr>
      <w:r>
        <w:t xml:space="preserve"> </w:t>
      </w:r>
      <w:r w:rsidR="000F0FB1">
        <w:t xml:space="preserve">  </w:t>
      </w:r>
    </w:p>
    <w:p w:rsidR="004D5AE9" w:rsidRDefault="00A03102" w:rsidP="00A03102">
      <w:pPr>
        <w:ind w:firstLine="720"/>
        <w:jc w:val="both"/>
      </w:pPr>
      <w:r>
        <w:t xml:space="preserve">Guideline </w:t>
      </w:r>
      <w:r w:rsidR="00DA344B">
        <w:t>I</w:t>
      </w:r>
      <w:r>
        <w:t xml:space="preserve">.B shall be clarified to </w:t>
      </w:r>
      <w:r w:rsidR="00E55865">
        <w:t>require</w:t>
      </w:r>
      <w:r w:rsidR="004D5AE9">
        <w:t xml:space="preserve"> FPL to inform this Commission </w:t>
      </w:r>
      <w:r w:rsidR="00554CE3">
        <w:t>on an annual basis</w:t>
      </w:r>
      <w:r w:rsidR="00E55865">
        <w:t>,</w:t>
      </w:r>
      <w:r w:rsidR="00554CE3">
        <w:t xml:space="preserve"> </w:t>
      </w:r>
      <w:r w:rsidR="00554CE3" w:rsidRPr="00B40B90">
        <w:t>as part of its Risk Management Plan filed in early August each year with the Es</w:t>
      </w:r>
      <w:r w:rsidR="00554CE3">
        <w:t>timated/Actual Testimony filing</w:t>
      </w:r>
      <w:r w:rsidR="00E55865">
        <w:t>,</w:t>
      </w:r>
      <w:r w:rsidR="00554CE3">
        <w:t xml:space="preserve"> </w:t>
      </w:r>
      <w:r w:rsidR="00554CE3" w:rsidRPr="00B40B90">
        <w:t xml:space="preserve">the relative percentage of average daily burn the aggregate output of all gas reserve projects represent </w:t>
      </w:r>
      <w:r w:rsidR="004D5AE9">
        <w:t xml:space="preserve">of the relative percentage of average daily burn and to cap the maximum volume of a percentage of average daily burn at 20 percent.  </w:t>
      </w:r>
    </w:p>
    <w:p w:rsidR="004D5AE9" w:rsidRDefault="004D5AE9" w:rsidP="00A03102">
      <w:pPr>
        <w:ind w:firstLine="720"/>
        <w:jc w:val="both"/>
      </w:pPr>
    </w:p>
    <w:p w:rsidR="00A03102" w:rsidRDefault="004D5AE9" w:rsidP="004D5AE9">
      <w:pPr>
        <w:ind w:firstLine="720"/>
        <w:jc w:val="both"/>
      </w:pPr>
      <w:r>
        <w:t xml:space="preserve">In Guideline I.D., FPL proposed to set an annual cap of $750 million.  In order to </w:t>
      </w:r>
      <w:r w:rsidR="0072691B">
        <w:t>limit</w:t>
      </w:r>
      <w:r>
        <w:t xml:space="preserve"> risk, yet allow FPL to invest in additional projects</w:t>
      </w:r>
      <w:r w:rsidR="00E55865">
        <w:t>,</w:t>
      </w:r>
      <w:r>
        <w:t xml:space="preserve"> </w:t>
      </w:r>
      <w:r w:rsidR="009C136E">
        <w:t xml:space="preserve">we reduce the cap to $500 million per calendar year.  </w:t>
      </w:r>
    </w:p>
    <w:p w:rsidR="00A03102" w:rsidRDefault="00A03102" w:rsidP="008059B1">
      <w:pPr>
        <w:jc w:val="both"/>
      </w:pPr>
    </w:p>
    <w:p w:rsidR="00E55865" w:rsidRPr="00E55865" w:rsidRDefault="00E55865" w:rsidP="00500DD2">
      <w:pPr>
        <w:autoSpaceDE w:val="0"/>
        <w:autoSpaceDN w:val="0"/>
        <w:adjustRightInd w:val="0"/>
        <w:ind w:firstLine="720"/>
        <w:jc w:val="both"/>
        <w:rPr>
          <w:u w:val="single"/>
        </w:rPr>
      </w:pPr>
      <w:r w:rsidRPr="00E55865">
        <w:rPr>
          <w:u w:val="single"/>
        </w:rPr>
        <w:t>Section II, Customer Savings</w:t>
      </w:r>
    </w:p>
    <w:p w:rsidR="00E55865" w:rsidRDefault="00E55865" w:rsidP="00500DD2">
      <w:pPr>
        <w:autoSpaceDE w:val="0"/>
        <w:autoSpaceDN w:val="0"/>
        <w:adjustRightInd w:val="0"/>
        <w:ind w:firstLine="720"/>
        <w:jc w:val="both"/>
      </w:pPr>
    </w:p>
    <w:p w:rsidR="00500DD2" w:rsidRDefault="009C136E" w:rsidP="00500DD2">
      <w:pPr>
        <w:autoSpaceDE w:val="0"/>
        <w:autoSpaceDN w:val="0"/>
        <w:adjustRightInd w:val="0"/>
        <w:ind w:firstLine="720"/>
        <w:jc w:val="both"/>
      </w:pPr>
      <w:r>
        <w:t xml:space="preserve">Section II of FPL’s </w:t>
      </w:r>
      <w:r w:rsidR="00500DD2">
        <w:t>Proposed</w:t>
      </w:r>
      <w:r>
        <w:t xml:space="preserve"> Guidelines is titled Customer Savings.  OPC raised concerns that FPL’s proposed program for investing in gas reserve projects is designed more for the benefit of FPL and NextEra shareholders than for FPL customers.  NextEra, through its non-regulated subsidiary USG, has been investing in gas reserve projects since 2010.  FPL witness Taylor testified that the Woodford Project became available to FPL because USG had already reached its budget limit for investments for the period.  However, the Guidelines proposed by FPL are silent on how it will be decided which future gas reserve projects will be recorded on the books of USG and which projects will be recorded on FPL’s books.  Thus</w:t>
      </w:r>
      <w:r w:rsidR="00554CE3">
        <w:t>,</w:t>
      </w:r>
      <w:r>
        <w:t xml:space="preserve"> we modify Section II to add a guideline that ensures transparency in FPL’s investment methodology and </w:t>
      </w:r>
      <w:r w:rsidRPr="00B40B90">
        <w:t>demonstrate</w:t>
      </w:r>
      <w:r>
        <w:t>s</w:t>
      </w:r>
      <w:r w:rsidRPr="00B40B90">
        <w:t xml:space="preserve"> that FPL’s customers are receiving the greatest opportunity for fuel savings associated with investments in gas reserve projects</w:t>
      </w:r>
      <w:r>
        <w:t xml:space="preserve"> by requiring additional reporting mechanisms. </w:t>
      </w:r>
      <w:r w:rsidR="003D165B">
        <w:t xml:space="preserve"> </w:t>
      </w:r>
    </w:p>
    <w:p w:rsidR="00500DD2" w:rsidRDefault="00500DD2" w:rsidP="00500DD2">
      <w:pPr>
        <w:autoSpaceDE w:val="0"/>
        <w:autoSpaceDN w:val="0"/>
        <w:adjustRightInd w:val="0"/>
        <w:ind w:firstLine="720"/>
        <w:jc w:val="both"/>
      </w:pPr>
    </w:p>
    <w:p w:rsidR="009C136E" w:rsidRDefault="00500DD2" w:rsidP="00500DD2">
      <w:pPr>
        <w:autoSpaceDE w:val="0"/>
        <w:autoSpaceDN w:val="0"/>
        <w:adjustRightInd w:val="0"/>
        <w:ind w:firstLine="720"/>
        <w:jc w:val="both"/>
      </w:pPr>
      <w:r>
        <w:t>To</w:t>
      </w:r>
      <w:r w:rsidR="003D165B">
        <w:t xml:space="preserve"> provide additional protections in our determination of the prudence of the proposed project</w:t>
      </w:r>
      <w:r w:rsidR="0072691B">
        <w:t>,</w:t>
      </w:r>
      <w:r w:rsidR="003D165B">
        <w:t xml:space="preserve"> </w:t>
      </w:r>
      <w:r>
        <w:t xml:space="preserve">Guideline II.A shall be modified to </w:t>
      </w:r>
      <w:r w:rsidR="003D165B">
        <w:t>require additional information be provided by FPL in it</w:t>
      </w:r>
      <w:r w:rsidR="003D165B" w:rsidRPr="003D165B">
        <w:t>s Risk Management Plan</w:t>
      </w:r>
      <w:r w:rsidR="003D165B">
        <w:t xml:space="preserve">.  In our approval of the Woodford project, we required that </w:t>
      </w:r>
      <w:r w:rsidRPr="00500DD2">
        <w:t>the audits of the associated transactions</w:t>
      </w:r>
      <w:r>
        <w:t xml:space="preserve"> be performed by an independent third party </w:t>
      </w:r>
      <w:proofErr w:type="gramStart"/>
      <w:r>
        <w:t>auditor</w:t>
      </w:r>
      <w:r w:rsidR="0072691B">
        <w:t>,</w:t>
      </w:r>
      <w:proofErr w:type="gramEnd"/>
      <w:r w:rsidR="0072691B">
        <w:t xml:space="preserve"> involve Commission staff in the development of the scope of the audit, </w:t>
      </w:r>
      <w:r>
        <w:t>and the creation of subaccounts under t</w:t>
      </w:r>
      <w:r w:rsidR="000C4E26">
        <w:t xml:space="preserve">he FERC system of accounting.  </w:t>
      </w:r>
      <w:r>
        <w:t>The same</w:t>
      </w:r>
      <w:r w:rsidR="00E55865">
        <w:t xml:space="preserve"> audit requirements</w:t>
      </w:r>
      <w:r>
        <w:t xml:space="preserve"> will be added to Section II of the Guidelines.  </w:t>
      </w:r>
    </w:p>
    <w:p w:rsidR="00500DD2" w:rsidRDefault="00500DD2" w:rsidP="00500DD2">
      <w:pPr>
        <w:autoSpaceDE w:val="0"/>
        <w:autoSpaceDN w:val="0"/>
        <w:adjustRightInd w:val="0"/>
        <w:ind w:firstLine="720"/>
        <w:jc w:val="both"/>
      </w:pPr>
    </w:p>
    <w:p w:rsidR="00E55865" w:rsidRPr="00E55865" w:rsidRDefault="00E55865" w:rsidP="00500DD2">
      <w:pPr>
        <w:ind w:firstLine="720"/>
        <w:jc w:val="both"/>
        <w:rPr>
          <w:u w:val="single"/>
        </w:rPr>
      </w:pPr>
      <w:r w:rsidRPr="00E55865">
        <w:rPr>
          <w:u w:val="single"/>
        </w:rPr>
        <w:t>Section III, Supply Diversity</w:t>
      </w:r>
    </w:p>
    <w:p w:rsidR="00E55865" w:rsidRDefault="00E55865" w:rsidP="00500DD2">
      <w:pPr>
        <w:ind w:firstLine="720"/>
        <w:jc w:val="both"/>
      </w:pPr>
    </w:p>
    <w:p w:rsidR="007F48BC" w:rsidRDefault="00500DD2" w:rsidP="00500DD2">
      <w:pPr>
        <w:ind w:firstLine="720"/>
        <w:jc w:val="both"/>
      </w:pPr>
      <w:r>
        <w:t xml:space="preserve">Section III of FPL’s </w:t>
      </w:r>
      <w:r w:rsidRPr="00500DD2">
        <w:t>Proposed</w:t>
      </w:r>
      <w:r>
        <w:t xml:space="preserve"> Guidelines is titled Supply Diversity. </w:t>
      </w:r>
      <w:r w:rsidRPr="00500DD2">
        <w:t>To minimize counterparty risk, the Guideline shall be modified to provide that FPL will only transact with producers that are also producers for existing gas reserve projects held by one or more NextEra affiliates or subsidiaries.</w:t>
      </w:r>
      <w:r>
        <w:t xml:space="preserve">  We find that customers are protected by limiting FPL to the type of wells in areas with a proven history of gas production.  </w:t>
      </w:r>
      <w:r w:rsidRPr="00500DD2">
        <w:t>Guideline III.A</w:t>
      </w:r>
      <w:r>
        <w:t xml:space="preserve"> shall be modified to require </w:t>
      </w:r>
      <w:r w:rsidRPr="00500DD2">
        <w:t xml:space="preserve">FPL </w:t>
      </w:r>
      <w:r>
        <w:t xml:space="preserve">to </w:t>
      </w:r>
      <w:r w:rsidRPr="00500DD2">
        <w:t xml:space="preserve">only enter into transactions for onshore gas reserve projects, located in areas with reserves that have a well-established history of gas production.  Florida does not meet these criteria. In addition, FPL </w:t>
      </w:r>
      <w:r>
        <w:t xml:space="preserve">shall only </w:t>
      </w:r>
      <w:r w:rsidRPr="00500DD2">
        <w:t>enter into transactions for gas reserve projects that involve wells classified as “Proved Reserves” or “Probable Reserves” as defined by the Securities and Exchange Commission for public company reporting.  Because one of the primary purposes of gas reserve projects is a physical source of supply t</w:t>
      </w:r>
      <w:r w:rsidR="00254BCA">
        <w:t xml:space="preserve">o serve its natural gas needs, </w:t>
      </w:r>
      <w:r w:rsidRPr="00500DD2">
        <w:t>FPL will not enter into transactions for gas reserve projects that involve wells classified as “Possible Reserves</w:t>
      </w:r>
      <w:r>
        <w:t>.</w:t>
      </w:r>
      <w:r w:rsidRPr="00500DD2">
        <w:t>”</w:t>
      </w:r>
    </w:p>
    <w:p w:rsidR="007F48BC" w:rsidRDefault="007F48BC" w:rsidP="00500DD2">
      <w:pPr>
        <w:ind w:firstLine="720"/>
        <w:jc w:val="both"/>
      </w:pPr>
    </w:p>
    <w:p w:rsidR="00E55865" w:rsidRPr="00E55865" w:rsidRDefault="00E55865" w:rsidP="00500DD2">
      <w:pPr>
        <w:ind w:firstLine="720"/>
        <w:jc w:val="both"/>
        <w:rPr>
          <w:u w:val="single"/>
        </w:rPr>
      </w:pPr>
      <w:r w:rsidRPr="00E55865">
        <w:rPr>
          <w:u w:val="single"/>
        </w:rPr>
        <w:t>Further Modifications</w:t>
      </w:r>
    </w:p>
    <w:p w:rsidR="00E55865" w:rsidRDefault="00E55865" w:rsidP="00500DD2">
      <w:pPr>
        <w:ind w:firstLine="720"/>
        <w:jc w:val="both"/>
      </w:pPr>
    </w:p>
    <w:p w:rsidR="007F48BC" w:rsidRPr="007F48BC" w:rsidRDefault="007F48BC" w:rsidP="007F48BC">
      <w:pPr>
        <w:ind w:firstLine="720"/>
        <w:jc w:val="both"/>
      </w:pPr>
      <w:r>
        <w:t xml:space="preserve">The Proposed Guidelines allow FPL to propose modifications to these guidelines in its annual update and seek Fuel Clause recovery for a project that deviates from one or more of the </w:t>
      </w:r>
      <w:r w:rsidR="004A5434">
        <w:t>g</w:t>
      </w:r>
      <w:r>
        <w:t>uidelines upon a showing that the project nonetheless is expected to benefit FPL customers.</w:t>
      </w:r>
      <w:r w:rsidR="00500DD2">
        <w:t xml:space="preserve"> </w:t>
      </w:r>
      <w:r w:rsidRPr="007F48BC">
        <w:t xml:space="preserve"> In order to provide due process to all parties,</w:t>
      </w:r>
      <w:r>
        <w:t xml:space="preserve"> the </w:t>
      </w:r>
      <w:r w:rsidR="00A6547D">
        <w:t>g</w:t>
      </w:r>
      <w:r>
        <w:t>uideline</w:t>
      </w:r>
      <w:r w:rsidR="004A5434">
        <w:t>s</w:t>
      </w:r>
      <w:r>
        <w:t xml:space="preserve"> shall be modified to require that </w:t>
      </w:r>
      <w:r w:rsidRPr="007F48BC">
        <w:t xml:space="preserve">any </w:t>
      </w:r>
      <w:r w:rsidRPr="007F48BC">
        <w:lastRenderedPageBreak/>
        <w:t>proposed modifications to the</w:t>
      </w:r>
      <w:r>
        <w:t xml:space="preserve"> </w:t>
      </w:r>
      <w:r w:rsidR="00A6547D">
        <w:t>G</w:t>
      </w:r>
      <w:r w:rsidRPr="007F48BC">
        <w:t>uidelines</w:t>
      </w:r>
      <w:r w:rsidR="00E55865">
        <w:t xml:space="preserve"> be</w:t>
      </w:r>
      <w:r w:rsidRPr="007F48BC">
        <w:t xml:space="preserve"> filed in August</w:t>
      </w:r>
      <w:r w:rsidR="0072691B">
        <w:t>, and</w:t>
      </w:r>
      <w:r w:rsidRPr="007F48BC">
        <w:t xml:space="preserve"> </w:t>
      </w:r>
      <w:r w:rsidR="0028356A">
        <w:t xml:space="preserve">the proposed modifications will </w:t>
      </w:r>
      <w:r w:rsidRPr="007F48BC">
        <w:t>be the subject of the hearing in the following year’s Fuel Clause proceeding.  To be considered in the current year’s Fuel Clause hearing, any proposed modifications to the guidelines must be filed by March 1.  Eligibility for Fuel Clause recovery of any gas reserve project that deviates from one or more of the guidelines will be considered on a case-by-case basis.  Such projects must be filed with the Commission by March 1 to be considered in that year’s Fuel Clause proceeding.</w:t>
      </w:r>
      <w:r w:rsidR="0072691B">
        <w:t xml:space="preserve"> The evaluation of any projects presented for review on a case-by-case basis will be conducted consistent with the standard set forth in Guideline II.</w:t>
      </w:r>
      <w:r w:rsidR="00A6547D">
        <w:t>B</w:t>
      </w:r>
      <w:r w:rsidR="0072691B">
        <w:t>.</w:t>
      </w:r>
    </w:p>
    <w:p w:rsidR="007F48BC" w:rsidRDefault="007F48BC" w:rsidP="007F48BC"/>
    <w:p w:rsidR="007F48BC" w:rsidRPr="007F48BC" w:rsidRDefault="007F48BC" w:rsidP="007F48BC">
      <w:r>
        <w:tab/>
        <w:t xml:space="preserve">For the reasons stated in the body of this Order, FPL’s Proposed Guidelines, as modified and renumbered in Attachment A to this Order, shall be approved. </w:t>
      </w:r>
    </w:p>
    <w:p w:rsidR="00500DD2" w:rsidRDefault="00500DD2" w:rsidP="007F48BC">
      <w:pPr>
        <w:ind w:firstLine="720"/>
        <w:jc w:val="both"/>
      </w:pPr>
    </w:p>
    <w:p w:rsidR="005821D4" w:rsidRPr="005821D4" w:rsidRDefault="005821D4" w:rsidP="007F48BC">
      <w:pPr>
        <w:ind w:firstLine="720"/>
        <w:jc w:val="both"/>
        <w:rPr>
          <w:u w:val="single"/>
        </w:rPr>
      </w:pPr>
      <w:r w:rsidRPr="005821D4">
        <w:rPr>
          <w:u w:val="single"/>
        </w:rPr>
        <w:t>Further Review</w:t>
      </w:r>
    </w:p>
    <w:p w:rsidR="005821D4" w:rsidRPr="00500DD2" w:rsidRDefault="005821D4" w:rsidP="007F48BC">
      <w:pPr>
        <w:ind w:firstLine="720"/>
        <w:jc w:val="both"/>
      </w:pPr>
    </w:p>
    <w:p w:rsidR="00A03102" w:rsidRDefault="0028356A" w:rsidP="00A03102">
      <w:pPr>
        <w:autoSpaceDE w:val="0"/>
        <w:autoSpaceDN w:val="0"/>
        <w:adjustRightInd w:val="0"/>
        <w:ind w:firstLine="720"/>
        <w:jc w:val="both"/>
      </w:pPr>
      <w:r>
        <w:t xml:space="preserve">We recognize </w:t>
      </w:r>
      <w:r w:rsidR="00A03102">
        <w:t xml:space="preserve">that there is relatively little experience with these types of projects.  In keeping with the principle of allowing innovation to proceed while </w:t>
      </w:r>
      <w:r w:rsidR="00A6547D">
        <w:t>limiting</w:t>
      </w:r>
      <w:r w:rsidR="00A03102">
        <w:t xml:space="preserve"> risk, we find that it is reasonable for this Commission to review the Guidelines approved in this Order no earlier than three years and no later than 5 years from the date </w:t>
      </w:r>
      <w:r>
        <w:t xml:space="preserve">of the issuance of this Order.  </w:t>
      </w:r>
      <w:r w:rsidR="00A03102">
        <w:t xml:space="preserve">The approved Guidelines will continue in effect until we decide, as a result of our review, whether to continue, modify, or terminate the Guidelines. There will be no </w:t>
      </w:r>
      <w:r w:rsidR="005821D4">
        <w:t>reconsideration of the prudence of</w:t>
      </w:r>
      <w:r w:rsidR="00A03102">
        <w:t xml:space="preserve"> any projects</w:t>
      </w:r>
      <w:r w:rsidR="00AD08F1">
        <w:t xml:space="preserve"> entered into</w:t>
      </w:r>
      <w:r w:rsidR="00A03102">
        <w:t xml:space="preserve"> prior to our </w:t>
      </w:r>
      <w:r w:rsidR="0072691B">
        <w:t xml:space="preserve">post-review </w:t>
      </w:r>
      <w:r w:rsidR="00A03102">
        <w:t>decision</w:t>
      </w:r>
      <w:r>
        <w:t>,</w:t>
      </w:r>
      <w:r w:rsidR="00A03102">
        <w:t xml:space="preserve"> and we will evaluate projects filed during our review under the existing guidelines.  </w:t>
      </w:r>
    </w:p>
    <w:p w:rsidR="00E7147C" w:rsidRDefault="00E7147C" w:rsidP="00FB393E">
      <w:pPr>
        <w:jc w:val="both"/>
        <w:rPr>
          <w:u w:val="single"/>
        </w:rPr>
      </w:pPr>
    </w:p>
    <w:p w:rsidR="00FB393E" w:rsidRPr="00487DB1" w:rsidRDefault="00FB393E" w:rsidP="00FB393E">
      <w:pPr>
        <w:jc w:val="both"/>
        <w:rPr>
          <w:i/>
          <w:u w:val="single"/>
        </w:rPr>
      </w:pPr>
      <w:r w:rsidRPr="00487DB1">
        <w:rPr>
          <w:u w:val="single"/>
        </w:rPr>
        <w:t>Recovery through the Fuel Clause Proceedings</w:t>
      </w:r>
    </w:p>
    <w:p w:rsidR="00FB393E" w:rsidRPr="00487DB1" w:rsidRDefault="00FB393E" w:rsidP="00FB393E">
      <w:pPr>
        <w:ind w:firstLine="720"/>
        <w:jc w:val="both"/>
        <w:rPr>
          <w:i/>
        </w:rPr>
      </w:pPr>
    </w:p>
    <w:p w:rsidR="00FB393E" w:rsidRDefault="00FB393E" w:rsidP="00FB393E">
      <w:pPr>
        <w:ind w:firstLine="720"/>
        <w:jc w:val="both"/>
      </w:pPr>
      <w:r>
        <w:t xml:space="preserve">We next consider whether the </w:t>
      </w:r>
      <w:r w:rsidR="009C2844">
        <w:t>Proposed</w:t>
      </w:r>
      <w:r>
        <w:t xml:space="preserve"> Guidelines for future capital investments in natural gas exploration and drilling joint ventures satisfy our criteria for consideration through the Fuel Clause.  </w:t>
      </w:r>
    </w:p>
    <w:p w:rsidR="00FB393E" w:rsidRDefault="00FB393E" w:rsidP="00FB393E">
      <w:pPr>
        <w:ind w:firstLine="720"/>
        <w:jc w:val="both"/>
      </w:pPr>
    </w:p>
    <w:p w:rsidR="00754A13" w:rsidRDefault="00FB393E" w:rsidP="00754A13">
      <w:pPr>
        <w:pStyle w:val="BodyText"/>
        <w:spacing w:after="0"/>
        <w:ind w:firstLine="720"/>
        <w:jc w:val="both"/>
      </w:pPr>
      <w:r>
        <w:t>FPL argue</w:t>
      </w:r>
      <w:r w:rsidR="00254BCA">
        <w:t>d</w:t>
      </w:r>
      <w:r>
        <w:t xml:space="preserve"> that the investment should be recoverable through the Fuel Clause.  In support, FPL state</w:t>
      </w:r>
      <w:r w:rsidR="00254BCA">
        <w:t>d</w:t>
      </w:r>
      <w:r>
        <w:t xml:space="preserve"> that we have historically allowed hedging costs to be reco</w:t>
      </w:r>
      <w:r w:rsidR="004A5434">
        <w:t xml:space="preserve">vered through the fuel clause. </w:t>
      </w:r>
      <w:r>
        <w:t>Additionally, FPL, argue</w:t>
      </w:r>
      <w:r w:rsidR="00254BCA">
        <w:t>d</w:t>
      </w:r>
      <w:r>
        <w:t>, its</w:t>
      </w:r>
      <w:r w:rsidRPr="00AB234D">
        <w:t xml:space="preserve"> </w:t>
      </w:r>
      <w:r w:rsidR="009C2844">
        <w:t>Proposed</w:t>
      </w:r>
      <w:r w:rsidRPr="00AB234D">
        <w:t xml:space="preserve"> Guidelines require that </w:t>
      </w:r>
      <w:r>
        <w:t xml:space="preserve">gas reserves </w:t>
      </w:r>
      <w:r w:rsidRPr="00AB234D">
        <w:t xml:space="preserve">investments </w:t>
      </w:r>
      <w:r>
        <w:t xml:space="preserve">be </w:t>
      </w:r>
      <w:r w:rsidRPr="00AB234D">
        <w:t xml:space="preserve">projected to produce </w:t>
      </w:r>
      <w:r>
        <w:t xml:space="preserve">fuel </w:t>
      </w:r>
      <w:r w:rsidRPr="00AB234D">
        <w:t>savings for FPL’s customers</w:t>
      </w:r>
      <w:r>
        <w:t xml:space="preserve">.  We have a long history of allowing cost recovery through the fuel clause for investments that result in fuel savings. </w:t>
      </w:r>
    </w:p>
    <w:p w:rsidR="00754A13" w:rsidRDefault="00754A13" w:rsidP="00754A13">
      <w:pPr>
        <w:pStyle w:val="BodyText"/>
        <w:spacing w:after="0"/>
        <w:ind w:firstLine="720"/>
        <w:jc w:val="both"/>
      </w:pPr>
    </w:p>
    <w:p w:rsidR="00FB393E" w:rsidRDefault="00FB393E" w:rsidP="00754A13">
      <w:pPr>
        <w:pStyle w:val="BodyText"/>
        <w:ind w:firstLine="720"/>
        <w:jc w:val="both"/>
      </w:pPr>
      <w:r>
        <w:t>OPC argue</w:t>
      </w:r>
      <w:r w:rsidR="00254BCA">
        <w:t>d</w:t>
      </w:r>
      <w:r>
        <w:t xml:space="preserve"> against recovery through the Fuel Clause on the basis that the </w:t>
      </w:r>
      <w:r w:rsidR="009C2844">
        <w:t>Proposed</w:t>
      </w:r>
      <w:r>
        <w:t xml:space="preserve"> Guidelines </w:t>
      </w:r>
      <w:r w:rsidRPr="00C170BC">
        <w:rPr>
          <w:spacing w:val="-2"/>
        </w:rPr>
        <w:t>violate the guiding principles and policy decisions announced by th</w:t>
      </w:r>
      <w:r>
        <w:rPr>
          <w:spacing w:val="-2"/>
        </w:rPr>
        <w:t xml:space="preserve">is </w:t>
      </w:r>
      <w:r w:rsidRPr="00C170BC">
        <w:rPr>
          <w:spacing w:val="-2"/>
        </w:rPr>
        <w:t>Commission in Order No. 14546 and its progeny</w:t>
      </w:r>
      <w:r w:rsidR="00554CE3">
        <w:rPr>
          <w:spacing w:val="-2"/>
        </w:rPr>
        <w:t>,</w:t>
      </w:r>
      <w:r>
        <w:rPr>
          <w:spacing w:val="-2"/>
        </w:rPr>
        <w:t xml:space="preserve"> and </w:t>
      </w:r>
      <w:r w:rsidRPr="00C170BC">
        <w:rPr>
          <w:spacing w:val="-2"/>
        </w:rPr>
        <w:t xml:space="preserve">violates the “case-by-case” prudence review required by these orders by requesting presumptive eligibility for recovery and prudence of every project that purports to “satisfy” the Guidelines.  </w:t>
      </w:r>
      <w:r>
        <w:rPr>
          <w:spacing w:val="-2"/>
        </w:rPr>
        <w:t>OPC argue</w:t>
      </w:r>
      <w:r w:rsidR="00254BCA">
        <w:rPr>
          <w:spacing w:val="-2"/>
        </w:rPr>
        <w:t>d</w:t>
      </w:r>
      <w:r>
        <w:rPr>
          <w:spacing w:val="-2"/>
        </w:rPr>
        <w:t xml:space="preserve"> that </w:t>
      </w:r>
      <w:r w:rsidRPr="00C170BC">
        <w:rPr>
          <w:spacing w:val="-2"/>
        </w:rPr>
        <w:t xml:space="preserve">FPL is attempting to increase its rate base in unregulated, non-jurisdictional investments, outside the traditional rate-regulated electric monopoly utility functions of “generation, transmission, and distribution” expressly recognized in statute.  If </w:t>
      </w:r>
      <w:r>
        <w:rPr>
          <w:spacing w:val="-2"/>
        </w:rPr>
        <w:t xml:space="preserve">we approve the </w:t>
      </w:r>
      <w:r w:rsidR="00254BCA">
        <w:rPr>
          <w:spacing w:val="-2"/>
        </w:rPr>
        <w:t xml:space="preserve">Proposed </w:t>
      </w:r>
      <w:r>
        <w:rPr>
          <w:spacing w:val="-2"/>
        </w:rPr>
        <w:t>Guidelines, OPC argue</w:t>
      </w:r>
      <w:r w:rsidR="00254BCA">
        <w:rPr>
          <w:spacing w:val="-2"/>
        </w:rPr>
        <w:t>d</w:t>
      </w:r>
      <w:r>
        <w:rPr>
          <w:spacing w:val="-2"/>
        </w:rPr>
        <w:t xml:space="preserve"> that the door would be open</w:t>
      </w:r>
      <w:r w:rsidRPr="00C170BC">
        <w:rPr>
          <w:spacing w:val="-2"/>
        </w:rPr>
        <w:t xml:space="preserve"> for every other investor</w:t>
      </w:r>
      <w:r w:rsidR="00254BCA">
        <w:rPr>
          <w:spacing w:val="-2"/>
        </w:rPr>
        <w:t>-</w:t>
      </w:r>
      <w:r w:rsidRPr="00C170BC">
        <w:rPr>
          <w:spacing w:val="-2"/>
        </w:rPr>
        <w:t xml:space="preserve">owned utility to seek a risk-free way to expand rate base without a determination of need and without much scrutiny.  Further, </w:t>
      </w:r>
      <w:r>
        <w:rPr>
          <w:spacing w:val="-2"/>
        </w:rPr>
        <w:t xml:space="preserve">OPC </w:t>
      </w:r>
      <w:r w:rsidR="0028356A">
        <w:rPr>
          <w:spacing w:val="-2"/>
        </w:rPr>
        <w:t xml:space="preserve">reiterated the arguments it made in regard to the </w:t>
      </w:r>
      <w:r w:rsidR="0028356A">
        <w:rPr>
          <w:spacing w:val="-2"/>
        </w:rPr>
        <w:lastRenderedPageBreak/>
        <w:t>Woodford Project stating</w:t>
      </w:r>
      <w:r>
        <w:rPr>
          <w:spacing w:val="-2"/>
        </w:rPr>
        <w:t xml:space="preserve"> that </w:t>
      </w:r>
      <w:r w:rsidRPr="00C170BC">
        <w:rPr>
          <w:spacing w:val="-2"/>
        </w:rPr>
        <w:t xml:space="preserve">FPL’s </w:t>
      </w:r>
      <w:r w:rsidR="00254BCA">
        <w:rPr>
          <w:spacing w:val="-2"/>
        </w:rPr>
        <w:t>p</w:t>
      </w:r>
      <w:r w:rsidR="009C2844">
        <w:rPr>
          <w:spacing w:val="-2"/>
        </w:rPr>
        <w:t>roposed</w:t>
      </w:r>
      <w:r w:rsidRPr="00C170BC">
        <w:rPr>
          <w:spacing w:val="-2"/>
        </w:rPr>
        <w:t xml:space="preserve"> investments in gas reserves projects: (1) is not hedging; (2) does not satisfy the definition of hedging as established by the </w:t>
      </w:r>
      <w:r>
        <w:rPr>
          <w:spacing w:val="-2"/>
        </w:rPr>
        <w:t xml:space="preserve">our </w:t>
      </w:r>
      <w:r w:rsidRPr="00C170BC">
        <w:rPr>
          <w:spacing w:val="-2"/>
        </w:rPr>
        <w:t>hedging orders and hedging policy</w:t>
      </w:r>
      <w:r w:rsidR="00AD08F1">
        <w:rPr>
          <w:spacing w:val="-2"/>
        </w:rPr>
        <w:t>;</w:t>
      </w:r>
      <w:r w:rsidRPr="00C170BC">
        <w:rPr>
          <w:spacing w:val="-2"/>
        </w:rPr>
        <w:t xml:space="preserve"> and (3) will not reduce fuel price volatility to the </w:t>
      </w:r>
      <w:r w:rsidRPr="00FB393E">
        <w:rPr>
          <w:spacing w:val="-2"/>
        </w:rPr>
        <w:t>benefit o</w:t>
      </w:r>
      <w:r w:rsidRPr="00C170BC">
        <w:rPr>
          <w:spacing w:val="-2"/>
        </w:rPr>
        <w:t xml:space="preserve">f FPL’s customers.  </w:t>
      </w:r>
      <w:r>
        <w:rPr>
          <w:spacing w:val="-2"/>
        </w:rPr>
        <w:t>OPC further state</w:t>
      </w:r>
      <w:r w:rsidR="00254BCA">
        <w:rPr>
          <w:spacing w:val="-2"/>
        </w:rPr>
        <w:t>d</w:t>
      </w:r>
      <w:r>
        <w:rPr>
          <w:spacing w:val="-2"/>
        </w:rPr>
        <w:t xml:space="preserve"> that a</w:t>
      </w:r>
      <w:r w:rsidRPr="00C170BC">
        <w:rPr>
          <w:spacing w:val="-2"/>
        </w:rPr>
        <w:t xml:space="preserve">ny fuel price volatility experienced by the customers is already, and effectively, mitigated by the annual resetting of the </w:t>
      </w:r>
      <w:r>
        <w:rPr>
          <w:spacing w:val="-2"/>
        </w:rPr>
        <w:t>fuel factor in the Fuel Clause</w:t>
      </w:r>
      <w:r w:rsidRPr="00C170BC">
        <w:rPr>
          <w:spacing w:val="-2"/>
        </w:rPr>
        <w:t xml:space="preserve"> </w:t>
      </w:r>
      <w:r>
        <w:rPr>
          <w:spacing w:val="-2"/>
        </w:rPr>
        <w:t xml:space="preserve">and that </w:t>
      </w:r>
      <w:r w:rsidRPr="00C170BC">
        <w:rPr>
          <w:spacing w:val="-2"/>
        </w:rPr>
        <w:t>irrefutable fact belies the truth of FPL’s assertion that fuel price volatility is something that must be mitigated through speculative, and risky natural gas reserves investments.</w:t>
      </w:r>
    </w:p>
    <w:p w:rsidR="00FB393E" w:rsidRDefault="00FB393E" w:rsidP="00FB393E">
      <w:pPr>
        <w:keepNext/>
        <w:keepLines/>
        <w:spacing w:after="240"/>
        <w:ind w:firstLine="720"/>
        <w:jc w:val="both"/>
      </w:pPr>
      <w:proofErr w:type="gramStart"/>
      <w:r>
        <w:t xml:space="preserve">By </w:t>
      </w:r>
      <w:r w:rsidRPr="00E812A6">
        <w:t>Order No.</w:t>
      </w:r>
      <w:proofErr w:type="gramEnd"/>
      <w:r w:rsidRPr="00E812A6">
        <w:t xml:space="preserve"> PSC-15-0038-FOF-EI</w:t>
      </w:r>
      <w:r>
        <w:t>, we found that an investment in a working interest in a natural gas reserve project (the Woodford Project)</w:t>
      </w:r>
      <w:r w:rsidRPr="00F86FEF">
        <w:t>, in the manner described in FPL</w:t>
      </w:r>
      <w:r>
        <w:t>’s P</w:t>
      </w:r>
      <w:r w:rsidRPr="00F86FEF">
        <w:t>etition and evidence on the record, is expected to produce customer benefits and is in the public interest.</w:t>
      </w:r>
      <w:r>
        <w:rPr>
          <w:rStyle w:val="FootnoteReference"/>
        </w:rPr>
        <w:footnoteReference w:id="14"/>
      </w:r>
      <w:r w:rsidRPr="00F86FEF">
        <w:t xml:space="preserve"> </w:t>
      </w:r>
      <w:r>
        <w:t xml:space="preserve"> We</w:t>
      </w:r>
      <w:r w:rsidRPr="00E812A6">
        <w:t xml:space="preserve"> </w:t>
      </w:r>
      <w:r>
        <w:t xml:space="preserve">also </w:t>
      </w:r>
      <w:r w:rsidRPr="00E812A6">
        <w:t>found that</w:t>
      </w:r>
      <w:r>
        <w:t xml:space="preserve"> the revenue requirement associated with the investment in the Woodford Project is eligible for </w:t>
      </w:r>
      <w:r w:rsidRPr="00F86FEF">
        <w:t>recover</w:t>
      </w:r>
      <w:r>
        <w:t>y</w:t>
      </w:r>
      <w:r w:rsidRPr="00F86FEF">
        <w:t xml:space="preserve"> through the Fuel Clause. </w:t>
      </w:r>
    </w:p>
    <w:p w:rsidR="00FB393E" w:rsidRDefault="00FB393E" w:rsidP="00FB393E">
      <w:pPr>
        <w:ind w:firstLine="720"/>
        <w:jc w:val="both"/>
      </w:pPr>
      <w:r w:rsidRPr="00E812A6">
        <w:t xml:space="preserve">FPL’s </w:t>
      </w:r>
      <w:r w:rsidR="009C2844">
        <w:t>Proposed</w:t>
      </w:r>
      <w:r w:rsidRPr="00E812A6">
        <w:t xml:space="preserve"> Guidelines do not </w:t>
      </w:r>
      <w:r>
        <w:t xml:space="preserve">represent an actual cost that would be requested for recovery through the Fuel Clause.  Instead, evidence in the record indicates </w:t>
      </w:r>
      <w:r w:rsidRPr="00D33C79">
        <w:t xml:space="preserve">that the </w:t>
      </w:r>
      <w:r w:rsidR="009C2844">
        <w:t>Proposed</w:t>
      </w:r>
      <w:r>
        <w:t xml:space="preserve"> </w:t>
      </w:r>
      <w:r w:rsidRPr="00D33C79">
        <w:t xml:space="preserve">Guidelines </w:t>
      </w:r>
      <w:r>
        <w:t xml:space="preserve">are a set of parameters </w:t>
      </w:r>
      <w:r w:rsidRPr="00D33C79">
        <w:t xml:space="preserve">by which </w:t>
      </w:r>
      <w:r>
        <w:t xml:space="preserve">other, similar </w:t>
      </w:r>
      <w:r w:rsidRPr="00D33C79">
        <w:t>project</w:t>
      </w:r>
      <w:r>
        <w:t>s will be evaluated and assessed for consideration</w:t>
      </w:r>
      <w:r w:rsidRPr="00D33C79">
        <w:t xml:space="preserve"> </w:t>
      </w:r>
      <w:r>
        <w:t xml:space="preserve">as possible candidates for future investment.  </w:t>
      </w:r>
      <w:r w:rsidR="0028356A">
        <w:t xml:space="preserve">We found that the revenue requirement associated with the Woodford Project is eligible for recovery through the Fuel Clause.  Consistent with that decision, </w:t>
      </w:r>
      <w:r>
        <w:t xml:space="preserve">we find that FPL’s request for recovery of costs for similar investments satisfy the criteria for consideration in the fuel cost recovery clause proceeding. </w:t>
      </w:r>
    </w:p>
    <w:p w:rsidR="00FB393E" w:rsidRDefault="00FB393E" w:rsidP="008059B1">
      <w:pPr>
        <w:jc w:val="both"/>
      </w:pPr>
    </w:p>
    <w:p w:rsidR="008059B1" w:rsidRDefault="008059B1" w:rsidP="008059B1">
      <w:pPr>
        <w:pStyle w:val="OrderBody"/>
      </w:pPr>
      <w:r>
        <w:tab/>
        <w:t>Based on the foregoing, it is</w:t>
      </w:r>
    </w:p>
    <w:p w:rsidR="008059B1" w:rsidRDefault="008059B1" w:rsidP="008059B1">
      <w:pPr>
        <w:pStyle w:val="OrderBody"/>
      </w:pPr>
    </w:p>
    <w:p w:rsidR="008059B1" w:rsidRDefault="008059B1" w:rsidP="008059B1">
      <w:pPr>
        <w:pStyle w:val="OrderBody"/>
      </w:pPr>
      <w:r>
        <w:tab/>
      </w:r>
      <w:proofErr w:type="gramStart"/>
      <w:r>
        <w:t>ORDERED by the Florida Public Service Commission that</w:t>
      </w:r>
      <w:r w:rsidR="007F48BC">
        <w:t xml:space="preserve"> the Petition of Florida Power &amp; Light Company to establish guidelines for participation in gas reserve investment projects is hereby approved as modified </w:t>
      </w:r>
      <w:r w:rsidR="00F31E1E">
        <w:t>in Attachment A of this Order.</w:t>
      </w:r>
      <w:proofErr w:type="gramEnd"/>
      <w:r w:rsidR="00F31E1E">
        <w:t xml:space="preserve">   It is further </w:t>
      </w:r>
    </w:p>
    <w:p w:rsidR="00554CE3" w:rsidRDefault="00554CE3" w:rsidP="008059B1">
      <w:pPr>
        <w:pStyle w:val="OrderBody"/>
      </w:pPr>
    </w:p>
    <w:p w:rsidR="00F31E1E" w:rsidRDefault="00F31E1E" w:rsidP="008059B1">
      <w:pPr>
        <w:pStyle w:val="OrderBody"/>
      </w:pPr>
      <w:r>
        <w:tab/>
      </w:r>
      <w:proofErr w:type="gramStart"/>
      <w:r>
        <w:t>ORDERED that a review of the Guidelines shall be conducted within 3 to 5 years as provided in the body of this Order.</w:t>
      </w:r>
      <w:proofErr w:type="gramEnd"/>
      <w:r>
        <w:t xml:space="preserve">  It is further </w:t>
      </w:r>
    </w:p>
    <w:p w:rsidR="008059B1" w:rsidRDefault="008059B1" w:rsidP="008059B1">
      <w:pPr>
        <w:pStyle w:val="OrderBody"/>
      </w:pPr>
    </w:p>
    <w:p w:rsidR="008059B1" w:rsidRDefault="008059B1" w:rsidP="008059B1">
      <w:pPr>
        <w:pStyle w:val="OrderBody"/>
      </w:pPr>
      <w:r>
        <w:tab/>
      </w:r>
      <w:proofErr w:type="gramStart"/>
      <w:r>
        <w:t>ORDERED that the docket shall remain open.</w:t>
      </w:r>
      <w:proofErr w:type="gramEnd"/>
    </w:p>
    <w:p w:rsidR="00E127E6" w:rsidRDefault="00E127E6" w:rsidP="008059B1">
      <w:pPr>
        <w:pStyle w:val="OrderBody"/>
      </w:pPr>
    </w:p>
    <w:p w:rsidR="008059B1" w:rsidRDefault="008059B1" w:rsidP="008059B1">
      <w:pPr>
        <w:pStyle w:val="OrderBody"/>
        <w:keepNext/>
        <w:keepLines/>
      </w:pPr>
      <w:r>
        <w:lastRenderedPageBreak/>
        <w:tab/>
        <w:t xml:space="preserve">By ORDER of the Florida Public Service Commission this </w:t>
      </w:r>
      <w:bookmarkStart w:id="6" w:name="replaceDate"/>
      <w:bookmarkEnd w:id="6"/>
      <w:r w:rsidR="000A035B">
        <w:rPr>
          <w:u w:val="single"/>
        </w:rPr>
        <w:t>14th</w:t>
      </w:r>
      <w:r w:rsidR="000A035B">
        <w:t xml:space="preserve"> day of </w:t>
      </w:r>
      <w:r w:rsidR="000A035B">
        <w:rPr>
          <w:u w:val="single"/>
        </w:rPr>
        <w:t>July</w:t>
      </w:r>
      <w:r w:rsidR="000A035B">
        <w:t xml:space="preserve">, </w:t>
      </w:r>
      <w:r w:rsidR="000A035B">
        <w:rPr>
          <w:u w:val="single"/>
        </w:rPr>
        <w:t>2015</w:t>
      </w:r>
      <w:r w:rsidR="000A035B">
        <w:t>.</w:t>
      </w:r>
    </w:p>
    <w:p w:rsidR="000A035B" w:rsidRPr="000A035B" w:rsidRDefault="000A035B" w:rsidP="008059B1">
      <w:pPr>
        <w:pStyle w:val="OrderBody"/>
        <w:keepNext/>
        <w:keepLines/>
      </w:pPr>
    </w:p>
    <w:p w:rsidR="008059B1" w:rsidRDefault="008059B1" w:rsidP="008059B1">
      <w:pPr>
        <w:pStyle w:val="OrderBody"/>
        <w:keepNext/>
        <w:keepLines/>
      </w:pPr>
    </w:p>
    <w:p w:rsidR="008059B1" w:rsidRDefault="008059B1" w:rsidP="008059B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059B1" w:rsidTr="008059B1">
        <w:tc>
          <w:tcPr>
            <w:tcW w:w="720" w:type="dxa"/>
            <w:shd w:val="clear" w:color="auto" w:fill="auto"/>
          </w:tcPr>
          <w:p w:rsidR="008059B1" w:rsidRDefault="008059B1" w:rsidP="008059B1">
            <w:pPr>
              <w:pStyle w:val="OrderBody"/>
              <w:keepNext/>
              <w:keepLines/>
            </w:pPr>
            <w:bookmarkStart w:id="7" w:name="bkmrkSignature" w:colFirst="0" w:colLast="0"/>
          </w:p>
        </w:tc>
        <w:tc>
          <w:tcPr>
            <w:tcW w:w="4320" w:type="dxa"/>
            <w:tcBorders>
              <w:bottom w:val="single" w:sz="4" w:space="0" w:color="auto"/>
            </w:tcBorders>
            <w:shd w:val="clear" w:color="auto" w:fill="auto"/>
          </w:tcPr>
          <w:p w:rsidR="008059B1" w:rsidRDefault="000A035B" w:rsidP="008059B1">
            <w:pPr>
              <w:pStyle w:val="OrderBody"/>
              <w:keepNext/>
              <w:keepLines/>
            </w:pPr>
            <w:r>
              <w:t>/s/ Carlotta S. Stauffer</w:t>
            </w:r>
          </w:p>
        </w:tc>
      </w:tr>
      <w:bookmarkEnd w:id="7"/>
      <w:tr w:rsidR="008059B1" w:rsidTr="008059B1">
        <w:tc>
          <w:tcPr>
            <w:tcW w:w="720" w:type="dxa"/>
            <w:shd w:val="clear" w:color="auto" w:fill="auto"/>
          </w:tcPr>
          <w:p w:rsidR="008059B1" w:rsidRDefault="008059B1" w:rsidP="008059B1">
            <w:pPr>
              <w:pStyle w:val="OrderBody"/>
              <w:keepNext/>
              <w:keepLines/>
            </w:pPr>
          </w:p>
        </w:tc>
        <w:tc>
          <w:tcPr>
            <w:tcW w:w="4320" w:type="dxa"/>
            <w:tcBorders>
              <w:top w:val="single" w:sz="4" w:space="0" w:color="auto"/>
            </w:tcBorders>
            <w:shd w:val="clear" w:color="auto" w:fill="auto"/>
          </w:tcPr>
          <w:p w:rsidR="008059B1" w:rsidRDefault="008059B1" w:rsidP="008059B1">
            <w:pPr>
              <w:pStyle w:val="OrderBody"/>
              <w:keepNext/>
              <w:keepLines/>
            </w:pPr>
            <w:r>
              <w:t>CARLOTTA S. STAUFFER</w:t>
            </w:r>
          </w:p>
          <w:p w:rsidR="008059B1" w:rsidRDefault="008059B1" w:rsidP="008059B1">
            <w:pPr>
              <w:pStyle w:val="OrderBody"/>
              <w:keepNext/>
              <w:keepLines/>
            </w:pPr>
            <w:r>
              <w:t>Commission Clerk</w:t>
            </w:r>
          </w:p>
        </w:tc>
      </w:tr>
    </w:tbl>
    <w:p w:rsidR="008059B1" w:rsidRDefault="008059B1" w:rsidP="008059B1">
      <w:pPr>
        <w:pStyle w:val="OrderSigInfo"/>
        <w:keepNext/>
        <w:keepLines/>
      </w:pPr>
      <w:r>
        <w:t>Florida Public Service Commission</w:t>
      </w:r>
    </w:p>
    <w:p w:rsidR="008059B1" w:rsidRDefault="008059B1" w:rsidP="008059B1">
      <w:pPr>
        <w:pStyle w:val="OrderSigInfo"/>
        <w:keepNext/>
        <w:keepLines/>
      </w:pPr>
      <w:r>
        <w:t>2540 Shumard Oak Boulevard</w:t>
      </w:r>
    </w:p>
    <w:p w:rsidR="008059B1" w:rsidRDefault="008059B1" w:rsidP="008059B1">
      <w:pPr>
        <w:pStyle w:val="OrderSigInfo"/>
        <w:keepNext/>
        <w:keepLines/>
      </w:pPr>
      <w:r>
        <w:t>Tallahassee, Florida  32399</w:t>
      </w:r>
    </w:p>
    <w:p w:rsidR="008059B1" w:rsidRDefault="008059B1" w:rsidP="008059B1">
      <w:pPr>
        <w:pStyle w:val="OrderSigInfo"/>
        <w:keepNext/>
        <w:keepLines/>
      </w:pPr>
      <w:r>
        <w:t>(850) 413</w:t>
      </w:r>
      <w:r>
        <w:noBreakHyphen/>
        <w:t>6770</w:t>
      </w:r>
    </w:p>
    <w:p w:rsidR="008059B1" w:rsidRDefault="008059B1" w:rsidP="008059B1">
      <w:pPr>
        <w:pStyle w:val="OrderSigInfo"/>
        <w:keepNext/>
        <w:keepLines/>
      </w:pPr>
      <w:r>
        <w:t>www.floridapsc.com</w:t>
      </w:r>
    </w:p>
    <w:p w:rsidR="008059B1" w:rsidRDefault="008059B1" w:rsidP="008059B1">
      <w:pPr>
        <w:pStyle w:val="OrderSigInfo"/>
        <w:keepNext/>
        <w:keepLines/>
      </w:pPr>
    </w:p>
    <w:p w:rsidR="008059B1" w:rsidRDefault="008059B1" w:rsidP="008059B1">
      <w:pPr>
        <w:pStyle w:val="OrderSigInfo"/>
        <w:keepNext/>
        <w:keepLines/>
      </w:pPr>
      <w:r>
        <w:t>Copies furnished:  A copy of this document is provided to the parties of record at the time of issuance and, if applicable, interested persons.</w:t>
      </w:r>
    </w:p>
    <w:p w:rsidR="008059B1" w:rsidRDefault="008059B1" w:rsidP="008059B1">
      <w:pPr>
        <w:pStyle w:val="OrderBody"/>
        <w:keepNext/>
        <w:keepLines/>
      </w:pPr>
    </w:p>
    <w:p w:rsidR="008059B1" w:rsidRDefault="008059B1" w:rsidP="008059B1">
      <w:pPr>
        <w:pStyle w:val="OrderBody"/>
        <w:keepNext/>
        <w:keepLines/>
      </w:pPr>
    </w:p>
    <w:p w:rsidR="008059B1" w:rsidRDefault="008059B1" w:rsidP="008059B1">
      <w:pPr>
        <w:pStyle w:val="OrderBody"/>
        <w:keepNext/>
        <w:keepLines/>
      </w:pPr>
      <w:r>
        <w:t>MFB</w:t>
      </w:r>
    </w:p>
    <w:p w:rsidR="008059B1" w:rsidRDefault="008059B1" w:rsidP="008059B1">
      <w:pPr>
        <w:pStyle w:val="OrderBody"/>
      </w:pPr>
    </w:p>
    <w:p w:rsidR="008059B1" w:rsidRDefault="008059B1" w:rsidP="008059B1">
      <w:pPr>
        <w:pStyle w:val="CenterUnderline"/>
      </w:pPr>
      <w:r>
        <w:t>NOTICE OF FURTHER PROCEEDINGS OR JUDICIAL REVIEW</w:t>
      </w:r>
    </w:p>
    <w:p w:rsidR="008059B1" w:rsidRDefault="008059B1" w:rsidP="008059B1">
      <w:pPr>
        <w:pStyle w:val="CenterUnderline"/>
        <w:rPr>
          <w:u w:val="none"/>
        </w:rPr>
      </w:pPr>
    </w:p>
    <w:p w:rsidR="008059B1" w:rsidRDefault="008059B1" w:rsidP="008059B1">
      <w:pPr>
        <w:pStyle w:val="OrderBody"/>
      </w:pPr>
    </w:p>
    <w:p w:rsidR="008059B1" w:rsidRDefault="008059B1" w:rsidP="008059B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059B1" w:rsidRDefault="008059B1" w:rsidP="008059B1">
      <w:pPr>
        <w:pStyle w:val="OrderBody"/>
      </w:pPr>
    </w:p>
    <w:p w:rsidR="008059B1" w:rsidRDefault="008059B1" w:rsidP="008059B1">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059B1" w:rsidRDefault="008059B1" w:rsidP="008059B1">
      <w:pPr>
        <w:pStyle w:val="OrderBody"/>
        <w:sectPr w:rsidR="008059B1" w:rsidSect="008059B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p w:rsidR="00B8003A" w:rsidRDefault="00B8003A" w:rsidP="00B8003A">
      <w:pPr>
        <w:jc w:val="center"/>
      </w:pPr>
      <w:r>
        <w:lastRenderedPageBreak/>
        <w:t xml:space="preserve">FPL GAS RESERVES </w:t>
      </w:r>
      <w:r w:rsidR="006B6AFB">
        <w:t>GUIDELINES</w:t>
      </w:r>
    </w:p>
    <w:p w:rsidR="00B8003A" w:rsidRDefault="00B8003A" w:rsidP="00B8003A">
      <w:pPr>
        <w:jc w:val="both"/>
      </w:pPr>
    </w:p>
    <w:p w:rsidR="00B8003A" w:rsidRDefault="00B8003A" w:rsidP="00B8003A">
      <w:pPr>
        <w:numPr>
          <w:ilvl w:val="0"/>
          <w:numId w:val="1"/>
        </w:numPr>
        <w:ind w:left="1260" w:hanging="540"/>
        <w:jc w:val="both"/>
        <w:rPr>
          <w:b/>
          <w:u w:val="single"/>
        </w:rPr>
      </w:pPr>
      <w:r>
        <w:rPr>
          <w:b/>
          <w:u w:val="single"/>
        </w:rPr>
        <w:t>SCOPE OF GAS RESERVE PROJECT PARTICIPATION</w:t>
      </w:r>
    </w:p>
    <w:p w:rsidR="00B8003A" w:rsidRDefault="00B8003A" w:rsidP="00B8003A">
      <w:pPr>
        <w:jc w:val="both"/>
      </w:pPr>
    </w:p>
    <w:p w:rsidR="00B8003A" w:rsidRDefault="00B8003A" w:rsidP="00B8003A">
      <w:pPr>
        <w:numPr>
          <w:ilvl w:val="0"/>
          <w:numId w:val="2"/>
        </w:numPr>
        <w:jc w:val="both"/>
      </w:pPr>
      <w:r>
        <w:t>Gas reserve projects will help reduce the overall portfolio price volatility and supply risk.  The transactions will lessen the impact to customers if gas prices spike or rise and stay high for an extended period of time.  Even though each transaction individually will represent a very small percentage of the Company’s supply portfolio, collectively these transactions would help dampen the effects of price volatility.</w:t>
      </w:r>
    </w:p>
    <w:p w:rsidR="00772539" w:rsidRDefault="00772539" w:rsidP="00772539">
      <w:pPr>
        <w:ind w:left="1260"/>
        <w:jc w:val="both"/>
      </w:pPr>
    </w:p>
    <w:p w:rsidR="00B8003A" w:rsidRDefault="00B8003A" w:rsidP="00B8003A">
      <w:pPr>
        <w:numPr>
          <w:ilvl w:val="0"/>
          <w:numId w:val="2"/>
        </w:numPr>
        <w:jc w:val="both"/>
      </w:pPr>
      <w:r>
        <w:rPr>
          <w:u w:val="single"/>
        </w:rPr>
        <w:t>Guideline I.A</w:t>
      </w:r>
      <w:r>
        <w:t>:  Overall, the estimated aggregate output of all gas reserve projects will not exceed the following percentages of FPL’s projected average daily natural gas burn:</w:t>
      </w:r>
    </w:p>
    <w:p w:rsidR="00B8003A" w:rsidRDefault="00B8003A" w:rsidP="00B8003A">
      <w:pPr>
        <w:jc w:val="both"/>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780"/>
      </w:tblGrid>
      <w:tr w:rsidR="00B8003A" w:rsidTr="00BC5BA5">
        <w:tc>
          <w:tcPr>
            <w:tcW w:w="3420" w:type="dxa"/>
            <w:tcBorders>
              <w:top w:val="single" w:sz="4" w:space="0" w:color="auto"/>
              <w:left w:val="single" w:sz="4" w:space="0" w:color="auto"/>
              <w:bottom w:val="single" w:sz="4" w:space="0" w:color="auto"/>
              <w:right w:val="single" w:sz="4" w:space="0" w:color="auto"/>
            </w:tcBorders>
            <w:hideMark/>
          </w:tcPr>
          <w:p w:rsidR="00B8003A" w:rsidRDefault="00B8003A" w:rsidP="00BC5BA5">
            <w:pPr>
              <w:jc w:val="center"/>
            </w:pPr>
            <w:r>
              <w:t>Year</w:t>
            </w:r>
          </w:p>
        </w:tc>
        <w:tc>
          <w:tcPr>
            <w:tcW w:w="3780" w:type="dxa"/>
            <w:tcBorders>
              <w:top w:val="single" w:sz="4" w:space="0" w:color="auto"/>
              <w:left w:val="single" w:sz="4" w:space="0" w:color="auto"/>
              <w:bottom w:val="single" w:sz="4" w:space="0" w:color="auto"/>
              <w:right w:val="single" w:sz="4" w:space="0" w:color="auto"/>
            </w:tcBorders>
            <w:hideMark/>
          </w:tcPr>
          <w:p w:rsidR="00B8003A" w:rsidRDefault="00B8003A" w:rsidP="00BC5BA5">
            <w:pPr>
              <w:jc w:val="center"/>
            </w:pPr>
            <w:r>
              <w:t>Maximum Volume as a Percentage of Average Daily Burn</w:t>
            </w:r>
          </w:p>
        </w:tc>
      </w:tr>
      <w:tr w:rsidR="00B8003A" w:rsidTr="00BC5BA5">
        <w:tc>
          <w:tcPr>
            <w:tcW w:w="3420" w:type="dxa"/>
            <w:tcBorders>
              <w:top w:val="single" w:sz="4" w:space="0" w:color="auto"/>
              <w:left w:val="single" w:sz="4" w:space="0" w:color="auto"/>
              <w:bottom w:val="single" w:sz="4" w:space="0" w:color="auto"/>
              <w:right w:val="single" w:sz="4" w:space="0" w:color="auto"/>
            </w:tcBorders>
            <w:hideMark/>
          </w:tcPr>
          <w:p w:rsidR="00B8003A" w:rsidRDefault="00B8003A" w:rsidP="00BC5BA5">
            <w:pPr>
              <w:jc w:val="center"/>
            </w:pPr>
            <w:r>
              <w:t>2015</w:t>
            </w:r>
          </w:p>
        </w:tc>
        <w:tc>
          <w:tcPr>
            <w:tcW w:w="3780" w:type="dxa"/>
            <w:tcBorders>
              <w:top w:val="single" w:sz="4" w:space="0" w:color="auto"/>
              <w:left w:val="single" w:sz="4" w:space="0" w:color="auto"/>
              <w:bottom w:val="single" w:sz="4" w:space="0" w:color="auto"/>
              <w:right w:val="single" w:sz="4" w:space="0" w:color="auto"/>
            </w:tcBorders>
            <w:hideMark/>
          </w:tcPr>
          <w:p w:rsidR="00B8003A" w:rsidRPr="00D556F7" w:rsidRDefault="00D556F7" w:rsidP="00BC5BA5">
            <w:pPr>
              <w:jc w:val="center"/>
            </w:pPr>
            <w:r>
              <w:t>5%</w:t>
            </w:r>
          </w:p>
        </w:tc>
      </w:tr>
      <w:tr w:rsidR="00B8003A" w:rsidTr="00BC5BA5">
        <w:tc>
          <w:tcPr>
            <w:tcW w:w="3420" w:type="dxa"/>
            <w:tcBorders>
              <w:top w:val="single" w:sz="4" w:space="0" w:color="auto"/>
              <w:left w:val="single" w:sz="4" w:space="0" w:color="auto"/>
              <w:bottom w:val="single" w:sz="4" w:space="0" w:color="auto"/>
              <w:right w:val="single" w:sz="4" w:space="0" w:color="auto"/>
            </w:tcBorders>
            <w:hideMark/>
          </w:tcPr>
          <w:p w:rsidR="00B8003A" w:rsidRDefault="00B8003A" w:rsidP="00BC5BA5">
            <w:pPr>
              <w:jc w:val="center"/>
            </w:pPr>
            <w:r>
              <w:t>2016</w:t>
            </w:r>
          </w:p>
        </w:tc>
        <w:tc>
          <w:tcPr>
            <w:tcW w:w="3780" w:type="dxa"/>
            <w:tcBorders>
              <w:top w:val="single" w:sz="4" w:space="0" w:color="auto"/>
              <w:left w:val="single" w:sz="4" w:space="0" w:color="auto"/>
              <w:bottom w:val="single" w:sz="4" w:space="0" w:color="auto"/>
              <w:right w:val="single" w:sz="4" w:space="0" w:color="auto"/>
            </w:tcBorders>
            <w:hideMark/>
          </w:tcPr>
          <w:p w:rsidR="00B8003A" w:rsidRPr="00235570" w:rsidRDefault="00D556F7" w:rsidP="00BC5BA5">
            <w:pPr>
              <w:jc w:val="center"/>
            </w:pPr>
            <w:r>
              <w:t>10%</w:t>
            </w:r>
          </w:p>
        </w:tc>
      </w:tr>
      <w:tr w:rsidR="00B8003A" w:rsidTr="00BC5BA5">
        <w:tc>
          <w:tcPr>
            <w:tcW w:w="3420" w:type="dxa"/>
            <w:tcBorders>
              <w:top w:val="single" w:sz="4" w:space="0" w:color="auto"/>
              <w:left w:val="single" w:sz="4" w:space="0" w:color="auto"/>
              <w:bottom w:val="single" w:sz="4" w:space="0" w:color="auto"/>
              <w:right w:val="single" w:sz="4" w:space="0" w:color="auto"/>
            </w:tcBorders>
            <w:hideMark/>
          </w:tcPr>
          <w:p w:rsidR="00B8003A" w:rsidRDefault="00B8003A" w:rsidP="00BC5BA5">
            <w:pPr>
              <w:jc w:val="center"/>
            </w:pPr>
            <w:r>
              <w:t>2017</w:t>
            </w:r>
          </w:p>
        </w:tc>
        <w:tc>
          <w:tcPr>
            <w:tcW w:w="3780" w:type="dxa"/>
            <w:tcBorders>
              <w:top w:val="single" w:sz="4" w:space="0" w:color="auto"/>
              <w:left w:val="single" w:sz="4" w:space="0" w:color="auto"/>
              <w:bottom w:val="single" w:sz="4" w:space="0" w:color="auto"/>
              <w:right w:val="single" w:sz="4" w:space="0" w:color="auto"/>
            </w:tcBorders>
            <w:hideMark/>
          </w:tcPr>
          <w:p w:rsidR="00B8003A" w:rsidRPr="00D556F7" w:rsidRDefault="00D556F7" w:rsidP="00BC5BA5">
            <w:pPr>
              <w:jc w:val="center"/>
            </w:pPr>
            <w:r w:rsidRPr="00D556F7">
              <w:t>15%</w:t>
            </w:r>
          </w:p>
        </w:tc>
      </w:tr>
      <w:tr w:rsidR="00B40B90" w:rsidTr="00BC5BA5">
        <w:tc>
          <w:tcPr>
            <w:tcW w:w="3420" w:type="dxa"/>
            <w:tcBorders>
              <w:top w:val="single" w:sz="4" w:space="0" w:color="auto"/>
              <w:left w:val="single" w:sz="4" w:space="0" w:color="auto"/>
              <w:bottom w:val="single" w:sz="4" w:space="0" w:color="auto"/>
              <w:right w:val="single" w:sz="4" w:space="0" w:color="auto"/>
            </w:tcBorders>
          </w:tcPr>
          <w:p w:rsidR="00B40B90" w:rsidRDefault="00D556F7" w:rsidP="00BC5BA5">
            <w:pPr>
              <w:jc w:val="center"/>
            </w:pPr>
            <w:r>
              <w:t>2018</w:t>
            </w:r>
          </w:p>
        </w:tc>
        <w:tc>
          <w:tcPr>
            <w:tcW w:w="3780" w:type="dxa"/>
            <w:tcBorders>
              <w:top w:val="single" w:sz="4" w:space="0" w:color="auto"/>
              <w:left w:val="single" w:sz="4" w:space="0" w:color="auto"/>
              <w:bottom w:val="single" w:sz="4" w:space="0" w:color="auto"/>
              <w:right w:val="single" w:sz="4" w:space="0" w:color="auto"/>
            </w:tcBorders>
          </w:tcPr>
          <w:p w:rsidR="00B40B90" w:rsidRPr="00D556F7" w:rsidRDefault="00D556F7" w:rsidP="00BC5BA5">
            <w:pPr>
              <w:jc w:val="center"/>
            </w:pPr>
            <w:r w:rsidRPr="00D556F7">
              <w:t>20%</w:t>
            </w:r>
          </w:p>
        </w:tc>
      </w:tr>
    </w:tbl>
    <w:p w:rsidR="00B8003A" w:rsidRDefault="00B8003A" w:rsidP="00B8003A">
      <w:pPr>
        <w:ind w:left="1260"/>
        <w:jc w:val="both"/>
        <w:rPr>
          <w:u w:val="single"/>
        </w:rPr>
      </w:pPr>
    </w:p>
    <w:p w:rsidR="00B8003A" w:rsidRDefault="00B8003A" w:rsidP="00B8003A">
      <w:pPr>
        <w:numPr>
          <w:ilvl w:val="0"/>
          <w:numId w:val="3"/>
        </w:numPr>
        <w:jc w:val="both"/>
      </w:pPr>
      <w:r>
        <w:rPr>
          <w:u w:val="single"/>
        </w:rPr>
        <w:t>Guideline I.B</w:t>
      </w:r>
      <w:r>
        <w:t xml:space="preserve">:  FPL will provide an annual update </w:t>
      </w:r>
      <w:r w:rsidRPr="00B40B90">
        <w:t xml:space="preserve">informing the Commission of the relative percentage of average daily burn the aggregate output of all gas reserve projects represent as part of its Risk Management Plan filed in early August each year with the Estimated/Actual Testimony filing.  The maximum volume as a percentage of average daily burn will be capped at </w:t>
      </w:r>
      <w:r w:rsidR="00D556F7">
        <w:t>2</w:t>
      </w:r>
      <w:r w:rsidRPr="00B40B90">
        <w:t>0 percent until such time the Commission considers this Guideline in a future proceeding.</w:t>
      </w:r>
    </w:p>
    <w:p w:rsidR="00772539" w:rsidRPr="00B40B90" w:rsidRDefault="00772539" w:rsidP="00772539">
      <w:pPr>
        <w:ind w:left="1260"/>
        <w:jc w:val="both"/>
      </w:pPr>
    </w:p>
    <w:p w:rsidR="00B8003A" w:rsidRDefault="00B8003A" w:rsidP="00B8003A">
      <w:pPr>
        <w:numPr>
          <w:ilvl w:val="0"/>
          <w:numId w:val="4"/>
        </w:numPr>
        <w:ind w:left="1260"/>
        <w:jc w:val="both"/>
      </w:pPr>
      <w:r>
        <w:rPr>
          <w:u w:val="single"/>
        </w:rPr>
        <w:t>Guideline I.C</w:t>
      </w:r>
      <w:r>
        <w:t>:  Because gas reserve transactions provide a hedging benefit for FPL and its customers, the estimated aggregate volumes of natural gas from all gas reserve transactions in each calendar year will be netted against the amounts that FPL forecasts to hedge pursuant to FPL’s annual Risk Management Plan.  FPL will hedge the net amount as prescribed in the Risk Management Plan.</w:t>
      </w:r>
    </w:p>
    <w:p w:rsidR="00772539" w:rsidRDefault="00772539" w:rsidP="00772539">
      <w:pPr>
        <w:ind w:left="1260"/>
        <w:jc w:val="both"/>
      </w:pPr>
    </w:p>
    <w:p w:rsidR="00B8003A" w:rsidRDefault="00B8003A" w:rsidP="00772539">
      <w:pPr>
        <w:numPr>
          <w:ilvl w:val="0"/>
          <w:numId w:val="4"/>
        </w:numPr>
        <w:ind w:left="1260"/>
        <w:jc w:val="both"/>
      </w:pPr>
      <w:r w:rsidRPr="00772539">
        <w:rPr>
          <w:u w:val="single"/>
        </w:rPr>
        <w:t xml:space="preserve">Guideline </w:t>
      </w:r>
      <w:r w:rsidR="0000418E">
        <w:rPr>
          <w:u w:val="single"/>
        </w:rPr>
        <w:t>I</w:t>
      </w:r>
      <w:r w:rsidRPr="00772539">
        <w:rPr>
          <w:u w:val="single"/>
        </w:rPr>
        <w:t>.D</w:t>
      </w:r>
      <w:r>
        <w:t>:  FPL will not obligate itself to invest more than</w:t>
      </w:r>
      <w:r w:rsidRPr="00772539">
        <w:rPr>
          <w:color w:val="FF0000"/>
        </w:rPr>
        <w:t xml:space="preserve"> </w:t>
      </w:r>
      <w:r w:rsidR="00B40B90">
        <w:t>$500</w:t>
      </w:r>
      <w:r>
        <w:t xml:space="preserve"> MM in the aggregate on gas reserve projects over the course of any one calendar year.</w:t>
      </w:r>
    </w:p>
    <w:p w:rsidR="00B8003A" w:rsidRDefault="00B8003A" w:rsidP="00B8003A">
      <w:pPr>
        <w:jc w:val="both"/>
      </w:pPr>
    </w:p>
    <w:p w:rsidR="00B8003A" w:rsidRDefault="00B8003A" w:rsidP="00B8003A">
      <w:pPr>
        <w:numPr>
          <w:ilvl w:val="0"/>
          <w:numId w:val="1"/>
        </w:numPr>
        <w:ind w:left="1260" w:hanging="540"/>
        <w:jc w:val="both"/>
        <w:rPr>
          <w:b/>
          <w:u w:val="single"/>
        </w:rPr>
      </w:pPr>
      <w:r>
        <w:rPr>
          <w:b/>
          <w:u w:val="single"/>
        </w:rPr>
        <w:t>CUSTOMER SAVINGS</w:t>
      </w:r>
    </w:p>
    <w:p w:rsidR="00B8003A" w:rsidRDefault="00B8003A" w:rsidP="00B8003A">
      <w:pPr>
        <w:jc w:val="both"/>
        <w:rPr>
          <w:b/>
          <w:u w:val="single"/>
        </w:rPr>
      </w:pPr>
    </w:p>
    <w:p w:rsidR="00B40B90" w:rsidRPr="00772539" w:rsidRDefault="00B40B90" w:rsidP="00B40B90">
      <w:pPr>
        <w:numPr>
          <w:ilvl w:val="0"/>
          <w:numId w:val="5"/>
        </w:numPr>
        <w:ind w:left="1260"/>
        <w:jc w:val="both"/>
        <w:rPr>
          <w:b/>
          <w:u w:val="single"/>
        </w:rPr>
      </w:pPr>
      <w:r>
        <w:t xml:space="preserve">Investment in gas reserve projects can offer significant price stability for the volumes produced, while also providing customer savings in a market of rising gas prices.  A benefit of a well-managed gas reserves investment program is secure low-cost natural gas for our customers for years into the future that delivers an expected pricing discount relative to the forward curve.  Since typical wells produce </w:t>
      </w:r>
      <w:r>
        <w:lastRenderedPageBreak/>
        <w:t>for 40 to 60 years, gas production joint ventures can provide stable pricing for decades to come, thus helping to achieve the Commission’s stated goal for hedging to reduce price volatility for customers.</w:t>
      </w:r>
    </w:p>
    <w:p w:rsidR="00772539" w:rsidRDefault="00772539" w:rsidP="00772539">
      <w:pPr>
        <w:ind w:left="1260"/>
        <w:jc w:val="both"/>
        <w:rPr>
          <w:b/>
          <w:u w:val="single"/>
        </w:rPr>
      </w:pPr>
    </w:p>
    <w:p w:rsidR="00B40B90" w:rsidRPr="00772539" w:rsidRDefault="00B40B90" w:rsidP="00B40B90">
      <w:pPr>
        <w:numPr>
          <w:ilvl w:val="0"/>
          <w:numId w:val="5"/>
        </w:numPr>
        <w:ind w:left="1260"/>
        <w:jc w:val="both"/>
        <w:rPr>
          <w:b/>
          <w:u w:val="single"/>
        </w:rPr>
      </w:pPr>
      <w:r>
        <w:t>Transactions of this type can result in lost opportunities for savings in the fuel costs to be paid by customers if fuel prices actually settle at lower levels than at the time the gas reserves investments were made.  However, since only a portion of FPL’s fuel requirements is procured through gas reserves investments, FPL maintains the ability to purchase low priced fuel when the opportunity arises.  Moreover, in some projects it may be possible to delay the drilling plan and/or reduce the production volume from existing wells in the event of unexpected price declines.  Conversely, when fuel prices settle at higher levels than at the time the gas reserves investments were made, increased customer savings are a direct result of the gas production joint venture.</w:t>
      </w:r>
    </w:p>
    <w:p w:rsidR="00772539" w:rsidRDefault="00772539" w:rsidP="00772539">
      <w:pPr>
        <w:ind w:left="1260"/>
        <w:jc w:val="both"/>
        <w:rPr>
          <w:b/>
          <w:u w:val="single"/>
        </w:rPr>
      </w:pPr>
    </w:p>
    <w:p w:rsidR="00B8003A" w:rsidRPr="00772539" w:rsidRDefault="00B40B90" w:rsidP="00B40B90">
      <w:pPr>
        <w:numPr>
          <w:ilvl w:val="0"/>
          <w:numId w:val="5"/>
        </w:numPr>
        <w:ind w:left="1260"/>
        <w:jc w:val="both"/>
        <w:rPr>
          <w:b/>
          <w:u w:val="single"/>
        </w:rPr>
      </w:pPr>
      <w:r w:rsidRPr="00B40B90">
        <w:rPr>
          <w:u w:val="single"/>
        </w:rPr>
        <w:t>Guideline II.A</w:t>
      </w:r>
      <w:r w:rsidR="00772539" w:rsidRPr="00772539">
        <w:t>:</w:t>
      </w:r>
      <w:r w:rsidRPr="00772539">
        <w:t xml:space="preserve"> </w:t>
      </w:r>
      <w:r w:rsidR="00B8003A" w:rsidRPr="00B40B90">
        <w:t xml:space="preserve">To ensure transparency and to demonstrate that FPL’s customers are receiving the greatest opportunity for fuel savings associated with investments in gas reserve projects, FPL will provide an annual detailed comparison of all gas reserve projects entered into on behalf of FPL, USG, and/or any other affiliate or subsidiary of NextEra Energy as part of its Risk Management Plan filed in early August each year with the Estimated/Actual Testimony filing.  This annual filing will provide the same information for each gas reserve project entered into by any affiliate or subsidiary of NextEra Energy that was used to support or justify the appropriateness of each gas reserve project entered into by FPL during the reporting period.  In particular, this filing will show all material assumptions relied upon to support each gas reserve project including the capital investment amount, will calculate the associated revenue requirement for each gas reserve project, and will provide the net present value savings for each gas reserve project entered into by any affiliate </w:t>
      </w:r>
      <w:r w:rsidR="00D556F7">
        <w:t>or subsidiary of NextEra Energy.</w:t>
      </w:r>
    </w:p>
    <w:p w:rsidR="00772539" w:rsidRPr="00B40B90" w:rsidRDefault="00772539" w:rsidP="00772539">
      <w:pPr>
        <w:ind w:left="1260"/>
        <w:jc w:val="both"/>
        <w:rPr>
          <w:b/>
          <w:u w:val="single"/>
        </w:rPr>
      </w:pPr>
    </w:p>
    <w:p w:rsidR="00B8003A" w:rsidRPr="00772539" w:rsidRDefault="00B8003A" w:rsidP="00B8003A">
      <w:pPr>
        <w:numPr>
          <w:ilvl w:val="0"/>
          <w:numId w:val="5"/>
        </w:numPr>
        <w:ind w:left="1260"/>
        <w:jc w:val="both"/>
        <w:rPr>
          <w:b/>
        </w:rPr>
      </w:pPr>
      <w:r>
        <w:rPr>
          <w:u w:val="single"/>
        </w:rPr>
        <w:t>Guideline II.</w:t>
      </w:r>
      <w:r w:rsidR="00B40B90">
        <w:rPr>
          <w:u w:val="single"/>
        </w:rPr>
        <w:t>B</w:t>
      </w:r>
      <w:r>
        <w:t xml:space="preserve">:  </w:t>
      </w:r>
      <w:r w:rsidRPr="00772539">
        <w:t xml:space="preserve">Evaluation of the prudence of FPL’s having entered into a new gas reserve project will be based on a showing that the project is estimated to generate savings for customers on a net present value basis, relying solely on information relative to these </w:t>
      </w:r>
      <w:r w:rsidR="006B6AFB" w:rsidRPr="00772539">
        <w:t>Guidelines</w:t>
      </w:r>
      <w:r w:rsidRPr="00772539">
        <w:t xml:space="preserve"> available to FPL at the time the transaction was entered, as well as any information FPL should have known at the time,</w:t>
      </w:r>
      <w:r w:rsidRPr="00772539">
        <w:rPr>
          <w:color w:val="FF0000"/>
        </w:rPr>
        <w:t xml:space="preserve"> </w:t>
      </w:r>
      <w:r w:rsidRPr="00772539">
        <w:t>including the use of an independent third party reserve engineering report and FPL’s standard fuel price forecasting methodology. As part of the annual filing to the Risk Management Plan discussed above, FPL will provide the same showing of results (gains or losses) for every gas reserve project entered and/or held by any affiliate or subsidiary of NextEra Energy.  The results for all gas reserve projects will be evaluated using the same forecast of natural gas prices used to project customer fuel savings for FPL gas reserve projects.</w:t>
      </w:r>
    </w:p>
    <w:p w:rsidR="00772539" w:rsidRPr="00772539" w:rsidRDefault="00772539" w:rsidP="00772539">
      <w:pPr>
        <w:jc w:val="both"/>
        <w:rPr>
          <w:b/>
        </w:rPr>
      </w:pPr>
    </w:p>
    <w:p w:rsidR="00B8003A" w:rsidRPr="00772539" w:rsidRDefault="00772539" w:rsidP="00B8003A">
      <w:pPr>
        <w:numPr>
          <w:ilvl w:val="0"/>
          <w:numId w:val="5"/>
        </w:numPr>
        <w:ind w:left="1260"/>
        <w:jc w:val="both"/>
      </w:pPr>
      <w:r w:rsidRPr="00772539">
        <w:rPr>
          <w:u w:val="single"/>
        </w:rPr>
        <w:t>Guideline II.C</w:t>
      </w:r>
      <w:r>
        <w:t xml:space="preserve">:  </w:t>
      </w:r>
      <w:r w:rsidR="00B8003A" w:rsidRPr="00772539">
        <w:t xml:space="preserve">For any gas reserve projects secured pursuant to these </w:t>
      </w:r>
      <w:r w:rsidR="006B6AFB" w:rsidRPr="00772539">
        <w:t>Guidelines</w:t>
      </w:r>
      <w:r w:rsidR="00B8003A" w:rsidRPr="00772539">
        <w:t xml:space="preserve">, FPL will use an independent third party auditor in performing the audits of the associated transactions.  FPL will work with Commission staff to develop the scope </w:t>
      </w:r>
      <w:r w:rsidR="00B8003A" w:rsidRPr="00772539">
        <w:lastRenderedPageBreak/>
        <w:t xml:space="preserve">of these audits.  In addition, FPL will use the necessary subaccounts, under the FERC system of accounting, which will correspond on a one-on-one basis with the oil and gas system of accounts used by the Gas Reserve Company set up to record </w:t>
      </w:r>
      <w:proofErr w:type="gramStart"/>
      <w:r w:rsidR="00B8003A" w:rsidRPr="00772539">
        <w:t>FPL’s investments</w:t>
      </w:r>
      <w:proofErr w:type="gramEnd"/>
      <w:r w:rsidR="00B8003A" w:rsidRPr="00772539">
        <w:t xml:space="preserve"> in gas reserve projects.</w:t>
      </w:r>
    </w:p>
    <w:p w:rsidR="00B8003A" w:rsidRDefault="00B8003A" w:rsidP="00B8003A">
      <w:pPr>
        <w:jc w:val="both"/>
      </w:pPr>
    </w:p>
    <w:p w:rsidR="00B8003A" w:rsidRDefault="00B8003A" w:rsidP="00B8003A">
      <w:pPr>
        <w:numPr>
          <w:ilvl w:val="0"/>
          <w:numId w:val="1"/>
        </w:numPr>
        <w:ind w:left="1260" w:hanging="540"/>
        <w:jc w:val="both"/>
        <w:rPr>
          <w:b/>
          <w:u w:val="single"/>
        </w:rPr>
      </w:pPr>
      <w:r>
        <w:rPr>
          <w:b/>
          <w:u w:val="single"/>
        </w:rPr>
        <w:t>SUPPLY DIVERSITY</w:t>
      </w:r>
    </w:p>
    <w:p w:rsidR="00B8003A" w:rsidRDefault="00B8003A" w:rsidP="00B8003A">
      <w:pPr>
        <w:jc w:val="both"/>
        <w:rPr>
          <w:b/>
          <w:u w:val="single"/>
        </w:rPr>
      </w:pPr>
    </w:p>
    <w:p w:rsidR="00B8003A" w:rsidRDefault="00B8003A" w:rsidP="00B8003A">
      <w:pPr>
        <w:numPr>
          <w:ilvl w:val="0"/>
          <w:numId w:val="6"/>
        </w:numPr>
        <w:ind w:left="1260"/>
        <w:jc w:val="both"/>
      </w:pPr>
      <w:r>
        <w:t>Gas reserve projects will provide beneficial geographic diversity of fuel supply.  Catastrophic events, such as hurricanes, affect FPL’s ability to procure and deliver fuel.  Investments in multiple gas reserves across various regions will reduce the impact of a single event disrupting FPL’s entire fuel supply.</w:t>
      </w:r>
    </w:p>
    <w:p w:rsidR="00772539" w:rsidRDefault="00772539" w:rsidP="00772539">
      <w:pPr>
        <w:ind w:left="1260"/>
        <w:jc w:val="both"/>
      </w:pPr>
    </w:p>
    <w:p w:rsidR="00B8003A" w:rsidRDefault="00B8003A" w:rsidP="00B8003A">
      <w:pPr>
        <w:numPr>
          <w:ilvl w:val="0"/>
          <w:numId w:val="6"/>
        </w:numPr>
        <w:ind w:left="1260"/>
        <w:jc w:val="both"/>
      </w:pPr>
      <w:r>
        <w:t>Gas reserve projects also will increase the diversity of FPL’s supply from a physical perspective, as well as a financial one.  The longer time frame of these investments offers diversity when compared to the current financial and physical contract lengths in the existing hedging program.</w:t>
      </w:r>
    </w:p>
    <w:p w:rsidR="00772539" w:rsidRDefault="00772539" w:rsidP="00772539">
      <w:pPr>
        <w:jc w:val="both"/>
      </w:pPr>
    </w:p>
    <w:p w:rsidR="00B8003A" w:rsidRDefault="00B8003A" w:rsidP="00B8003A">
      <w:pPr>
        <w:numPr>
          <w:ilvl w:val="0"/>
          <w:numId w:val="6"/>
        </w:numPr>
        <w:ind w:left="1260"/>
        <w:jc w:val="both"/>
      </w:pPr>
      <w:r w:rsidRPr="00772539">
        <w:t>FPL intends over time to transact with a wide range of suppliers so as to minimize concentration of supply with any one producer.  This will allow FPL to transact in multiple regions and will also provide for reduced credit exposure to any one entity.</w:t>
      </w:r>
      <w:r w:rsidRPr="00772539">
        <w:rPr>
          <w:color w:val="FF0000"/>
        </w:rPr>
        <w:t xml:space="preserve"> </w:t>
      </w:r>
      <w:r w:rsidRPr="00772539">
        <w:t>To minimize counterparty risk, FPL will only transact with producers that are also producers for existing gas reserve projects held by one or more NextEra Energy affiliates or subsidiaries.</w:t>
      </w:r>
    </w:p>
    <w:p w:rsidR="00772539" w:rsidRPr="00772539" w:rsidRDefault="00772539" w:rsidP="00772539">
      <w:pPr>
        <w:jc w:val="both"/>
      </w:pPr>
    </w:p>
    <w:p w:rsidR="00B8003A" w:rsidRDefault="00B8003A" w:rsidP="00B8003A">
      <w:pPr>
        <w:numPr>
          <w:ilvl w:val="0"/>
          <w:numId w:val="6"/>
        </w:numPr>
        <w:ind w:left="1260"/>
        <w:jc w:val="both"/>
      </w:pPr>
      <w:r>
        <w:rPr>
          <w:u w:val="single"/>
        </w:rPr>
        <w:t>Guideline III.A</w:t>
      </w:r>
      <w:r>
        <w:t xml:space="preserve">:  </w:t>
      </w:r>
      <w:r w:rsidRPr="00772539">
        <w:t>FPL will only enter into transactions for onshore gas reserve projects, located in areas with reserves that have a well-established history of gas production.  Florida does not meet these criteria. In addition, FPL will only enter into transactions for gas reserve projects that involve wells classified as “Proved Reserves” or “Probable Reserves” as defined by the Securities and Exchange Commission for public company reporting.  Because one of the primary purposes of gas reserve projects is a physical source of supply to serve its natural gas needs, at least 50 percent of the wells in each gas reserve project must be classified as “Proved Reserves.”  FPL will not enter into transactions for gas reserve projects that involve wells classified as “Possible Reserves.”</w:t>
      </w:r>
    </w:p>
    <w:p w:rsidR="00772539" w:rsidRPr="00772539" w:rsidRDefault="00772539" w:rsidP="00772539">
      <w:pPr>
        <w:jc w:val="both"/>
      </w:pPr>
    </w:p>
    <w:p w:rsidR="00B8003A" w:rsidRDefault="00B8003A" w:rsidP="00B8003A">
      <w:pPr>
        <w:numPr>
          <w:ilvl w:val="0"/>
          <w:numId w:val="6"/>
        </w:numPr>
        <w:ind w:left="1260"/>
        <w:jc w:val="both"/>
      </w:pPr>
      <w:r>
        <w:rPr>
          <w:u w:val="single"/>
        </w:rPr>
        <w:t>Guideline III.B</w:t>
      </w:r>
      <w:r>
        <w:t>:  Because one of the primary purposes of gas reserve projects is a physical source of supply to serve its substantial gas needs, FPL will only enter into a transaction if there is a transportation path available to deliver the gas produced from that project to FPL’s service territory.  Texas, Louisiana, Oklahoma, Arkansas, Mississippi, Alabama, West Virginia, Ohio, and Pennsylvania currently meet this criterion.  FPL will make use of its transportation portfolio, along with considering new physical paths.  The costs of any new transportation needed to deliver gas from a gas reserve project will be taken into consideration when analyzing the economics of that project.</w:t>
      </w:r>
    </w:p>
    <w:p w:rsidR="00783B30" w:rsidRDefault="00783B30">
      <w:r>
        <w:br w:type="page"/>
      </w:r>
    </w:p>
    <w:p w:rsidR="00B8003A" w:rsidRDefault="00B8003A" w:rsidP="00B8003A">
      <w:pPr>
        <w:jc w:val="both"/>
      </w:pPr>
    </w:p>
    <w:p w:rsidR="00B8003A" w:rsidRDefault="00B8003A" w:rsidP="00B8003A">
      <w:pPr>
        <w:numPr>
          <w:ilvl w:val="0"/>
          <w:numId w:val="1"/>
        </w:numPr>
        <w:ind w:left="1260" w:hanging="540"/>
        <w:jc w:val="both"/>
        <w:rPr>
          <w:b/>
          <w:u w:val="single"/>
        </w:rPr>
      </w:pPr>
      <w:r>
        <w:rPr>
          <w:b/>
          <w:u w:val="single"/>
        </w:rPr>
        <w:t>CHARACTERISTICS OF GAS RESERVES</w:t>
      </w:r>
    </w:p>
    <w:p w:rsidR="00B8003A" w:rsidRDefault="00B8003A" w:rsidP="00B8003A">
      <w:pPr>
        <w:jc w:val="both"/>
        <w:rPr>
          <w:b/>
          <w:u w:val="single"/>
        </w:rPr>
      </w:pPr>
    </w:p>
    <w:p w:rsidR="00B8003A" w:rsidRDefault="00B8003A" w:rsidP="00B8003A">
      <w:pPr>
        <w:numPr>
          <w:ilvl w:val="0"/>
          <w:numId w:val="7"/>
        </w:numPr>
        <w:ind w:left="1260"/>
        <w:jc w:val="both"/>
      </w:pPr>
      <w:r>
        <w:t>Natural gas production consists of a combination of hydrocarbons, which can include methane, natural gas liquids (“NGLs”), and oil.  The composition of natural gas production varies region by region and within individual regions.</w:t>
      </w:r>
    </w:p>
    <w:p w:rsidR="00772539" w:rsidRDefault="00772539" w:rsidP="00772539">
      <w:pPr>
        <w:ind w:left="1260"/>
        <w:jc w:val="both"/>
      </w:pPr>
    </w:p>
    <w:p w:rsidR="00B8003A" w:rsidRDefault="00B8003A" w:rsidP="00B8003A">
      <w:pPr>
        <w:numPr>
          <w:ilvl w:val="0"/>
          <w:numId w:val="7"/>
        </w:numPr>
        <w:ind w:left="1260"/>
        <w:jc w:val="both"/>
      </w:pPr>
      <w:r>
        <w:t>FPL’s natural gas plants burn primarily methane and can accommodate only a very small percentage of other hydrocarbons.  However, there are active third party markets for purchase and sale of NGLs and oil.</w:t>
      </w:r>
    </w:p>
    <w:p w:rsidR="00772539" w:rsidRDefault="00772539" w:rsidP="00772539">
      <w:pPr>
        <w:jc w:val="both"/>
      </w:pPr>
    </w:p>
    <w:p w:rsidR="00B8003A" w:rsidRDefault="00B8003A" w:rsidP="00B8003A">
      <w:pPr>
        <w:numPr>
          <w:ilvl w:val="0"/>
          <w:numId w:val="7"/>
        </w:numPr>
        <w:ind w:left="1260"/>
        <w:jc w:val="both"/>
      </w:pPr>
      <w:r>
        <w:t>There are a range of designations for reserves denoting the degree of certainty that the predicted quantity of gas is commercially recoverable from the well under current conditions:  Proved, Probable, and Possible.  FPL’s gas reserve portfolio would appropriately be comprised of a range of projects</w:t>
      </w:r>
      <w:r w:rsidR="00AD08F1">
        <w:t xml:space="preserve"> in the proved and probable categories.</w:t>
      </w:r>
    </w:p>
    <w:p w:rsidR="00772539" w:rsidRDefault="00772539" w:rsidP="00772539">
      <w:pPr>
        <w:jc w:val="both"/>
      </w:pPr>
    </w:p>
    <w:p w:rsidR="00B8003A" w:rsidRDefault="00B8003A" w:rsidP="00B8003A">
      <w:pPr>
        <w:numPr>
          <w:ilvl w:val="0"/>
          <w:numId w:val="7"/>
        </w:numPr>
        <w:ind w:left="1260"/>
        <w:jc w:val="both"/>
      </w:pPr>
      <w:r>
        <w:rPr>
          <w:u w:val="single"/>
        </w:rPr>
        <w:t>Guideline IV.A</w:t>
      </w:r>
      <w:r>
        <w:t>:  Although there is significant customer value in the production and sale of NGLs and oil, the purpose of FPL’s gas reserves program is to provide a source of physical supply of natural gas to serve its power plants.  For that reason, FPL will only enter into a transaction for a gas reserve project if the estimated output of the wells in the project contains at least 50% from methane by volume.</w:t>
      </w:r>
    </w:p>
    <w:p w:rsidR="00772539" w:rsidRDefault="00772539" w:rsidP="00772539">
      <w:pPr>
        <w:jc w:val="both"/>
      </w:pPr>
    </w:p>
    <w:p w:rsidR="00B8003A" w:rsidRDefault="00B8003A" w:rsidP="00B8003A">
      <w:pPr>
        <w:numPr>
          <w:ilvl w:val="0"/>
          <w:numId w:val="7"/>
        </w:numPr>
        <w:ind w:left="1260"/>
        <w:jc w:val="both"/>
      </w:pPr>
      <w:r>
        <w:rPr>
          <w:u w:val="single"/>
        </w:rPr>
        <w:t>Guideline IV.B</w:t>
      </w:r>
      <w:r>
        <w:t xml:space="preserve">:  All NGLs and oil produced from a gas reserve project will be sold at market prices and the resulting revenues will be credited to the Fuel Clause to offset the production costs for which customers are responsible, thus lowering the effective cost of natural gas.  The projected revenues from NGLs and oil produced from a gas reserve project will be taken into consideration when analyzing the economics of that project.  </w:t>
      </w:r>
    </w:p>
    <w:p w:rsidR="00B8003A" w:rsidRDefault="00B8003A" w:rsidP="00B8003A">
      <w:pPr>
        <w:ind w:left="1260"/>
        <w:jc w:val="both"/>
      </w:pPr>
    </w:p>
    <w:p w:rsidR="00B8003A" w:rsidRPr="00772539" w:rsidRDefault="00B8003A" w:rsidP="000F0FB1">
      <w:pPr>
        <w:pStyle w:val="ListParagraph"/>
        <w:numPr>
          <w:ilvl w:val="0"/>
          <w:numId w:val="7"/>
        </w:numPr>
        <w:ind w:left="1260"/>
        <w:jc w:val="both"/>
      </w:pPr>
      <w:r w:rsidRPr="00772539">
        <w:t xml:space="preserve">Flexibility to respond to market opportunities is in the best interest of FPL and its customers.  Therefore, it is understood that FPL may (i) propose modifications to these </w:t>
      </w:r>
      <w:r w:rsidR="006B6AFB" w:rsidRPr="00772539">
        <w:t>Guidelines</w:t>
      </w:r>
      <w:r w:rsidRPr="00772539">
        <w:t xml:space="preserve"> in the annual update provided pursuant to Guideline I.B above, and (ii) seek Fuel Clause recovery for a project that deviates from one or more of the </w:t>
      </w:r>
      <w:r w:rsidR="006B6AFB" w:rsidRPr="00772539">
        <w:t>Guidelines</w:t>
      </w:r>
      <w:r w:rsidRPr="00772539">
        <w:t xml:space="preserve"> upon a showing that the project nonetheless is expected to benefit FPL customers.  In order to provide due process to all parties, any </w:t>
      </w:r>
      <w:r w:rsidR="00AD08F1">
        <w:t>p</w:t>
      </w:r>
      <w:r w:rsidR="009C2844" w:rsidRPr="00772539">
        <w:t>roposed</w:t>
      </w:r>
      <w:r w:rsidRPr="00772539">
        <w:t xml:space="preserve"> modifications to these </w:t>
      </w:r>
      <w:r w:rsidR="006B6AFB" w:rsidRPr="00772539">
        <w:t>Guidelines</w:t>
      </w:r>
      <w:r w:rsidRPr="00772539">
        <w:t xml:space="preserve"> filed in August will be the subject of the hearing in the following year’s Fuel Clause proceeding.  To be considered in the current year’s Fuel Clause hearing, any </w:t>
      </w:r>
      <w:r w:rsidR="00AD08F1">
        <w:t>p</w:t>
      </w:r>
      <w:r w:rsidR="009C2844" w:rsidRPr="00772539">
        <w:t>roposed</w:t>
      </w:r>
      <w:r w:rsidRPr="00772539">
        <w:t xml:space="preserve"> modifications to the </w:t>
      </w:r>
      <w:r w:rsidR="006B6AFB" w:rsidRPr="00772539">
        <w:t>Guidelines</w:t>
      </w:r>
      <w:r w:rsidRPr="00772539">
        <w:t xml:space="preserve"> must be filed by March 1.  Eligibility for Fuel Clause recovery of any gas reserve project that deviates from one or more of the </w:t>
      </w:r>
      <w:r w:rsidR="006B6AFB" w:rsidRPr="00772539">
        <w:t>Guidelines</w:t>
      </w:r>
      <w:r w:rsidRPr="00772539">
        <w:t xml:space="preserve"> will be considered on a case-by-case basis.  Such projects must be filed with the Commission by March 1 to be considered in that year’s Fuel Clause proceeding.</w:t>
      </w:r>
      <w:r w:rsidR="00AD08F1">
        <w:t xml:space="preserve">  The evaluation of any projects presented for review on a case-by-case basis will be conducted consistent with the standard set forth in Guideline II.A.</w:t>
      </w:r>
    </w:p>
    <w:sectPr w:rsidR="00B8003A" w:rsidRPr="00772539" w:rsidSect="008059B1">
      <w:headerReference w:type="default" r:id="rId15"/>
      <w:head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BA5" w:rsidRDefault="00BC5BA5">
      <w:r>
        <w:separator/>
      </w:r>
    </w:p>
  </w:endnote>
  <w:endnote w:type="continuationSeparator" w:id="0">
    <w:p w:rsidR="00BC5BA5" w:rsidRDefault="00BC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B28" w:rsidRDefault="00C74B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B28" w:rsidRDefault="00C74B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A5" w:rsidRDefault="00BC5BA5">
    <w:pPr>
      <w:pStyle w:val="Footer"/>
    </w:pPr>
  </w:p>
  <w:p w:rsidR="00BC5BA5" w:rsidRDefault="00BC5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BA5" w:rsidRDefault="00BC5BA5">
      <w:r>
        <w:separator/>
      </w:r>
    </w:p>
  </w:footnote>
  <w:footnote w:type="continuationSeparator" w:id="0">
    <w:p w:rsidR="00BC5BA5" w:rsidRDefault="00BC5BA5">
      <w:r>
        <w:continuationSeparator/>
      </w:r>
    </w:p>
  </w:footnote>
  <w:footnote w:id="1">
    <w:p w:rsidR="00BC5BA5" w:rsidRPr="006517C7" w:rsidRDefault="00BC5BA5" w:rsidP="008059B1">
      <w:pPr>
        <w:pStyle w:val="FootnoteText"/>
        <w:rPr>
          <w:u w:val="single"/>
        </w:rPr>
      </w:pPr>
      <w:r>
        <w:rPr>
          <w:rStyle w:val="FootnoteReference"/>
        </w:rPr>
        <w:footnoteRef/>
      </w:r>
      <w:r>
        <w:t xml:space="preserve"> </w:t>
      </w:r>
      <w:r>
        <w:rPr>
          <w:u w:val="single"/>
        </w:rPr>
        <w:t>See</w:t>
      </w:r>
      <w:r>
        <w:t xml:space="preserve"> Order No. PSC-14-0439-PCO-EI, issued August 22, 2014, in Docket No. 140001-EI, </w:t>
      </w:r>
      <w:r>
        <w:rPr>
          <w:u w:val="single"/>
        </w:rPr>
        <w:t>In re:  Fuel and purchased power cost recovery clause with generating performance incentive factor</w:t>
      </w:r>
      <w:r>
        <w:t>.</w:t>
      </w:r>
      <w:r>
        <w:rPr>
          <w:u w:val="single"/>
        </w:rPr>
        <w:t xml:space="preserve"> </w:t>
      </w:r>
    </w:p>
  </w:footnote>
  <w:footnote w:id="2">
    <w:p w:rsidR="00BC5BA5" w:rsidRDefault="00BC5BA5" w:rsidP="008059B1">
      <w:pPr>
        <w:pStyle w:val="FootnoteText"/>
      </w:pPr>
      <w:r>
        <w:rPr>
          <w:rStyle w:val="FootnoteReference"/>
        </w:rPr>
        <w:footnoteRef/>
      </w:r>
      <w:r>
        <w:t xml:space="preserve"> </w:t>
      </w:r>
      <w:r>
        <w:rPr>
          <w:u w:val="single"/>
        </w:rPr>
        <w:t>See</w:t>
      </w:r>
      <w:r>
        <w:t xml:space="preserve"> Order No. PSC-14-0697-PCO-EI, issued December 17, 2014, in Docket No. 140001-EI, </w:t>
      </w:r>
      <w:r>
        <w:rPr>
          <w:u w:val="single"/>
        </w:rPr>
        <w:t>In re:  Fuel and purchased power cost recovery clause with generating performance incentive factor</w:t>
      </w:r>
      <w:r>
        <w:t>.</w:t>
      </w:r>
    </w:p>
  </w:footnote>
  <w:footnote w:id="3">
    <w:p w:rsidR="00BC5BA5" w:rsidRPr="00D20199" w:rsidRDefault="00BC5BA5" w:rsidP="008059B1">
      <w:pPr>
        <w:pStyle w:val="FootnoteText"/>
      </w:pPr>
      <w:r>
        <w:rPr>
          <w:rStyle w:val="FootnoteReference"/>
        </w:rPr>
        <w:footnoteRef/>
      </w:r>
      <w:r>
        <w:t xml:space="preserve"> </w:t>
      </w:r>
      <w:r w:rsidRPr="00735EAF">
        <w:rPr>
          <w:u w:val="single"/>
        </w:rPr>
        <w:t>See</w:t>
      </w:r>
      <w:r w:rsidRPr="00217B8C">
        <w:t xml:space="preserve"> </w:t>
      </w:r>
      <w:r w:rsidRPr="004B614B">
        <w:t>Order No. PSC-15-0038-FOF-EI</w:t>
      </w:r>
      <w:r w:rsidRPr="00217B8C">
        <w:t>, issued January 12, 2015, in Docket No. 150001-EI</w:t>
      </w:r>
      <w:r>
        <w:t xml:space="preserve">, </w:t>
      </w:r>
      <w:r>
        <w:rPr>
          <w:u w:val="single"/>
        </w:rPr>
        <w:t>In re:  Fuel and purchased power cost recovery clause with generating performance incentive factor</w:t>
      </w:r>
      <w:r>
        <w:t>.</w:t>
      </w:r>
    </w:p>
  </w:footnote>
  <w:footnote w:id="4">
    <w:p w:rsidR="00BC5BA5" w:rsidRDefault="00BC5BA5" w:rsidP="008059B1">
      <w:pPr>
        <w:pStyle w:val="FootnoteText"/>
      </w:pPr>
      <w:r>
        <w:rPr>
          <w:rStyle w:val="FootnoteReference"/>
        </w:rPr>
        <w:footnoteRef/>
      </w:r>
      <w:r>
        <w:t xml:space="preserve"> </w:t>
      </w:r>
      <w:r>
        <w:rPr>
          <w:u w:val="single"/>
        </w:rPr>
        <w:t>See</w:t>
      </w:r>
      <w:r>
        <w:t xml:space="preserve"> Order No. PSC-14-0701-FOF-EI, issued December 19, 2014, in Docket No. 140001-EI, </w:t>
      </w:r>
      <w:r>
        <w:rPr>
          <w:u w:val="single"/>
        </w:rPr>
        <w:t>In re:  Fuel and purchased power cost recovery clause with generating performance incentive factor</w:t>
      </w:r>
      <w:r>
        <w:t xml:space="preserve">.  </w:t>
      </w:r>
      <w:proofErr w:type="gramStart"/>
      <w:r>
        <w:t>Order No.</w:t>
      </w:r>
      <w:proofErr w:type="gramEnd"/>
      <w:r>
        <w:t xml:space="preserve"> PSC-14-0701-FOF-EI addresses issues not related to the Woodford Project or the </w:t>
      </w:r>
      <w:r w:rsidR="000C4E26">
        <w:t>P</w:t>
      </w:r>
      <w:r>
        <w:t>roposed Guidelines.</w:t>
      </w:r>
    </w:p>
  </w:footnote>
  <w:footnote w:id="5">
    <w:p w:rsidR="00BC5BA5" w:rsidRPr="003E5DEF" w:rsidRDefault="00BC5BA5" w:rsidP="00754A13">
      <w:pPr>
        <w:pStyle w:val="FootnoteText"/>
      </w:pPr>
      <w:r>
        <w:rPr>
          <w:rStyle w:val="FootnoteReference"/>
        </w:rPr>
        <w:footnoteRef/>
      </w:r>
      <w:r>
        <w:t xml:space="preserve"> </w:t>
      </w:r>
      <w:proofErr w:type="gramStart"/>
      <w:r>
        <w:t>Order No.</w:t>
      </w:r>
      <w:proofErr w:type="gramEnd"/>
      <w:r>
        <w:t xml:space="preserve"> PSC-14-0665-PCO-EI, issued on November 17, 2014, in Docket No. 140001-EI</w:t>
      </w:r>
      <w:r w:rsidRPr="00D30915">
        <w:t xml:space="preserve">, </w:t>
      </w:r>
      <w:r w:rsidRPr="0055020E">
        <w:rPr>
          <w:u w:val="single"/>
        </w:rPr>
        <w:t>In re: Fuel and purchased power cost recovery clause with generating performance incentive factor</w:t>
      </w:r>
      <w:r w:rsidRPr="003E5DEF">
        <w:t>.</w:t>
      </w:r>
    </w:p>
  </w:footnote>
  <w:footnote w:id="6">
    <w:p w:rsidR="00BC5BA5" w:rsidRPr="003E5DEF" w:rsidRDefault="00BC5BA5" w:rsidP="00754A13">
      <w:pPr>
        <w:pStyle w:val="FootnoteText"/>
      </w:pPr>
      <w:r>
        <w:rPr>
          <w:rStyle w:val="FootnoteReference"/>
        </w:rPr>
        <w:footnoteRef/>
      </w:r>
      <w:r>
        <w:t xml:space="preserve"> </w:t>
      </w:r>
      <w:proofErr w:type="gramStart"/>
      <w:r w:rsidRPr="00544E61">
        <w:t>Order No.</w:t>
      </w:r>
      <w:proofErr w:type="gramEnd"/>
      <w:r w:rsidRPr="00544E61">
        <w:t xml:space="preserve"> PSC-08-0667-PAA-EI</w:t>
      </w:r>
      <w:r>
        <w:t>, issued October 8, 2008, in D</w:t>
      </w:r>
      <w:r w:rsidRPr="00544E61">
        <w:t xml:space="preserve">ocket No. 080001-EI, </w:t>
      </w:r>
      <w:r w:rsidRPr="0055020E">
        <w:rPr>
          <w:u w:val="single"/>
        </w:rPr>
        <w:t>In re Fuel and purchased power cost recovery clause with generating performance incentive factor</w:t>
      </w:r>
      <w:r w:rsidRPr="003E5DEF">
        <w:t>.</w:t>
      </w:r>
    </w:p>
  </w:footnote>
  <w:footnote w:id="7">
    <w:p w:rsidR="00BC5BA5" w:rsidRDefault="00BC5BA5" w:rsidP="00754A13">
      <w:pPr>
        <w:pStyle w:val="FootnoteText"/>
      </w:pPr>
      <w:r>
        <w:rPr>
          <w:rStyle w:val="FootnoteReference"/>
        </w:rPr>
        <w:footnoteRef/>
      </w:r>
      <w:r>
        <w:t xml:space="preserve"> The term “de facto” or “surrogate rule” is not found in any provision of Chapter 120, F.S.</w:t>
      </w:r>
    </w:p>
  </w:footnote>
  <w:footnote w:id="8">
    <w:p w:rsidR="00BC5BA5" w:rsidRDefault="00BC5BA5" w:rsidP="00754A13">
      <w:pPr>
        <w:pStyle w:val="FootnoteText"/>
      </w:pPr>
      <w:r>
        <w:rPr>
          <w:rStyle w:val="FootnoteReference"/>
        </w:rPr>
        <w:footnoteRef/>
      </w:r>
      <w:r w:rsidR="00E426B0">
        <w:t>“</w:t>
      </w:r>
      <w:r w:rsidRPr="00865088">
        <w:t>. . . All applic</w:t>
      </w:r>
      <w:r>
        <w:t>at</w:t>
      </w:r>
      <w:r w:rsidRPr="00865088">
        <w:t>ions for changes in r</w:t>
      </w:r>
      <w:r>
        <w:t>at</w:t>
      </w:r>
      <w:r w:rsidRPr="00865088">
        <w:t>es shall be made to the commission in writing under rules and regul</w:t>
      </w:r>
      <w:r>
        <w:t>at</w:t>
      </w:r>
      <w:r w:rsidRPr="00865088">
        <w:t>ions prescribed, and the commission shall have the authority to determine and fix fair, just, and reasonable r</w:t>
      </w:r>
      <w:r>
        <w:t>at</w:t>
      </w:r>
      <w:r w:rsidRPr="00865088">
        <w:t>es th</w:t>
      </w:r>
      <w:r>
        <w:t>at</w:t>
      </w:r>
      <w:r w:rsidRPr="00865088">
        <w:t xml:space="preserve"> may be requested, demanded, charged, or collected by any public utility for its service. . . .</w:t>
      </w:r>
      <w:r w:rsidR="00E426B0">
        <w:t>”</w:t>
      </w:r>
      <w:r w:rsidRPr="00865088">
        <w:t xml:space="preserve"> </w:t>
      </w:r>
      <w:proofErr w:type="gramStart"/>
      <w:r w:rsidRPr="00865088">
        <w:t>Section 366.06(1), F.S.</w:t>
      </w:r>
      <w:proofErr w:type="gramEnd"/>
    </w:p>
  </w:footnote>
  <w:footnote w:id="9">
    <w:p w:rsidR="00E426B0" w:rsidRDefault="00E426B0">
      <w:pPr>
        <w:pStyle w:val="FootnoteText"/>
      </w:pPr>
      <w:r>
        <w:rPr>
          <w:rStyle w:val="FootnoteReference"/>
        </w:rPr>
        <w:footnoteRef/>
      </w:r>
      <w:r>
        <w:t xml:space="preserve"> </w:t>
      </w:r>
      <w:r w:rsidRPr="00A84EDB">
        <w:t>Document No. 03779-10</w:t>
      </w:r>
      <w:r>
        <w:t xml:space="preserve">, filed May 6, 2010, Revised Recommendation for May 13, 2010 Agenda.  Staff notes that language in a staff recommendation does not constitute Commission action.  </w:t>
      </w:r>
      <w:proofErr w:type="gramStart"/>
      <w:r>
        <w:t>Order No.</w:t>
      </w:r>
      <w:proofErr w:type="gramEnd"/>
      <w:r>
        <w:t xml:space="preserve"> PSC-10-0332-NOR-EI</w:t>
      </w:r>
      <w:proofErr w:type="gramStart"/>
      <w:r>
        <w:t>,  issued</w:t>
      </w:r>
      <w:proofErr w:type="gramEnd"/>
      <w:r>
        <w:t xml:space="preserve"> May 25, 2010, in Docket No. 100084-EI, </w:t>
      </w:r>
      <w:r w:rsidRPr="0055020E">
        <w:t xml:space="preserve"> </w:t>
      </w:r>
      <w:r w:rsidRPr="0055020E">
        <w:rPr>
          <w:u w:val="single"/>
        </w:rPr>
        <w:t>In re: Initiation of rulemaking to adopt Rule 25-6.0424, F.A.C., Petition for Mid-Course Correction</w:t>
      </w:r>
      <w:r>
        <w:t xml:space="preserve">,  does not address this portion of the staff’s recommendation.  </w:t>
      </w:r>
    </w:p>
  </w:footnote>
  <w:footnote w:id="10">
    <w:p w:rsidR="00BC5BA5" w:rsidRPr="0045363B" w:rsidRDefault="00BC5BA5" w:rsidP="00754A13">
      <w:pPr>
        <w:pStyle w:val="FootnoteText"/>
        <w:rPr>
          <w:u w:val="single"/>
        </w:rPr>
      </w:pPr>
      <w:r>
        <w:rPr>
          <w:rStyle w:val="FootnoteReference"/>
        </w:rPr>
        <w:footnoteRef/>
      </w:r>
      <w:r>
        <w:t xml:space="preserve"> </w:t>
      </w:r>
      <w:proofErr w:type="gramStart"/>
      <w:r w:rsidRPr="00544E61">
        <w:t>Order No.</w:t>
      </w:r>
      <w:proofErr w:type="gramEnd"/>
      <w:r w:rsidRPr="00544E61">
        <w:t xml:space="preserve"> PSC-08-0667-PAA-EI</w:t>
      </w:r>
      <w:r>
        <w:t>, i</w:t>
      </w:r>
      <w:r w:rsidRPr="00544E61">
        <w:t xml:space="preserve">ssued October 8, 2008, in </w:t>
      </w:r>
      <w:r>
        <w:t>D</w:t>
      </w:r>
      <w:r w:rsidRPr="00544E61">
        <w:t xml:space="preserve">ocket No. 080001-EI, </w:t>
      </w:r>
      <w:r w:rsidRPr="0045363B">
        <w:rPr>
          <w:u w:val="single"/>
        </w:rPr>
        <w:t>In re Fuel and purchased power cost recovery clause with generating performance incentive factor</w:t>
      </w:r>
      <w:r w:rsidRPr="0065121E">
        <w:t>.</w:t>
      </w:r>
    </w:p>
  </w:footnote>
  <w:footnote w:id="11">
    <w:p w:rsidR="00BC5BA5" w:rsidRPr="0045363B" w:rsidRDefault="00BC5BA5" w:rsidP="00754A13">
      <w:pPr>
        <w:pStyle w:val="FootnoteText"/>
        <w:rPr>
          <w:u w:val="single"/>
        </w:rPr>
      </w:pPr>
      <w:r>
        <w:rPr>
          <w:rStyle w:val="FootnoteReference"/>
        </w:rPr>
        <w:footnoteRef/>
      </w:r>
      <w:r>
        <w:t xml:space="preserve"> </w:t>
      </w:r>
      <w:proofErr w:type="gramStart"/>
      <w:r w:rsidRPr="00544E61">
        <w:t>Order No.</w:t>
      </w:r>
      <w:proofErr w:type="gramEnd"/>
      <w:r w:rsidRPr="00544E61">
        <w:t xml:space="preserve"> PSC-08-0667-PAA-EI</w:t>
      </w:r>
      <w:r>
        <w:t>, i</w:t>
      </w:r>
      <w:r w:rsidRPr="00544E61">
        <w:t xml:space="preserve">ssued October 8, 2008, in </w:t>
      </w:r>
      <w:r>
        <w:t>D</w:t>
      </w:r>
      <w:r w:rsidRPr="00544E61">
        <w:t xml:space="preserve">ocket No. 080001-EI, </w:t>
      </w:r>
      <w:r w:rsidRPr="0045363B">
        <w:rPr>
          <w:u w:val="single"/>
        </w:rPr>
        <w:t>In re Fuel and purchased power cost recovery clause with generating performance incentive factor</w:t>
      </w:r>
      <w:r w:rsidRPr="00D30915">
        <w:t>.</w:t>
      </w:r>
    </w:p>
  </w:footnote>
  <w:footnote w:id="12">
    <w:p w:rsidR="00BC5BA5" w:rsidRDefault="00BC5BA5" w:rsidP="00754A13">
      <w:pPr>
        <w:pStyle w:val="FootnoteText"/>
      </w:pPr>
      <w:r>
        <w:rPr>
          <w:rStyle w:val="FootnoteReference"/>
        </w:rPr>
        <w:footnoteRef/>
      </w:r>
      <w:r>
        <w:t xml:space="preserve"> </w:t>
      </w:r>
      <w:proofErr w:type="gramStart"/>
      <w:r>
        <w:t>Order No.</w:t>
      </w:r>
      <w:proofErr w:type="gramEnd"/>
      <w:r>
        <w:t xml:space="preserve"> PSC-99-1741-PAA-EI, issued September 3, 1999, in Docket No. 990771-EI,</w:t>
      </w:r>
      <w:r w:rsidRPr="00D55338">
        <w:t xml:space="preserve"> </w:t>
      </w:r>
      <w:r w:rsidRPr="0045363B">
        <w:rPr>
          <w:u w:val="single"/>
        </w:rPr>
        <w:t>In re: Petition by Florida Power Corporation for approval of regulatory treatment associated with the sale of replacement capacity and energy to the City of Tallahass</w:t>
      </w:r>
      <w:r w:rsidRPr="00D30915">
        <w:rPr>
          <w:u w:val="single"/>
        </w:rPr>
        <w:t>ee</w:t>
      </w:r>
      <w:r w:rsidRPr="003E5DEF">
        <w:t>.</w:t>
      </w:r>
      <w:r>
        <w:t xml:space="preserve">  </w:t>
      </w:r>
    </w:p>
  </w:footnote>
  <w:footnote w:id="13">
    <w:p w:rsidR="00BC5BA5" w:rsidRDefault="00BC5BA5" w:rsidP="00754A13">
      <w:pPr>
        <w:pStyle w:val="FootnoteText"/>
      </w:pPr>
      <w:r>
        <w:rPr>
          <w:rStyle w:val="FootnoteReference"/>
        </w:rPr>
        <w:footnoteRef/>
      </w:r>
      <w:r>
        <w:t xml:space="preserve"> Section 366.06(1), F.S. does not address “pre-applications” for a change in rates.  </w:t>
      </w:r>
    </w:p>
  </w:footnote>
  <w:footnote w:id="14">
    <w:p w:rsidR="00BC5BA5" w:rsidRDefault="00BC5BA5" w:rsidP="00FB393E">
      <w:pPr>
        <w:pStyle w:val="FootnoteText"/>
      </w:pPr>
      <w:r>
        <w:rPr>
          <w:rStyle w:val="FootnoteReference"/>
        </w:rPr>
        <w:footnoteRef/>
      </w:r>
      <w:r>
        <w:t xml:space="preserve"> </w:t>
      </w:r>
      <w:r w:rsidRPr="00735EAF">
        <w:rPr>
          <w:u w:val="single"/>
        </w:rPr>
        <w:t>See</w:t>
      </w:r>
      <w:r w:rsidRPr="00217B8C">
        <w:t xml:space="preserve"> </w:t>
      </w:r>
      <w:r w:rsidRPr="004B614B">
        <w:t>Order No. PSC-15-0038-FOF-EI</w:t>
      </w:r>
      <w:r w:rsidRPr="00217B8C">
        <w:t>, issued January 12, 2015, in Docket No. 150001-EI</w:t>
      </w:r>
      <w:r>
        <w:t xml:space="preserve">, </w:t>
      </w:r>
      <w:r>
        <w:rPr>
          <w:u w:val="single"/>
        </w:rPr>
        <w:t>In re:  Fuel and purchased power cost recovery clause with generating performance incentive factor</w:t>
      </w:r>
      <w:r>
        <w:t>, p. 6.</w:t>
      </w:r>
      <w:r w:rsidRPr="00217B8C">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B28" w:rsidRDefault="00C74B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35B" w:rsidRDefault="00BC5BA5" w:rsidP="000A035B">
    <w:pPr>
      <w:pStyle w:val="OrderBody"/>
      <w:tabs>
        <w:tab w:val="center" w:pos="4320"/>
        <w:tab w:val="right" w:pos="8640"/>
      </w:tabs>
      <w:jc w:val="left"/>
    </w:pPr>
    <w:r>
      <w:t xml:space="preserve">ORDER NO. </w:t>
    </w:r>
    <w:bookmarkStart w:id="8" w:name="HeaderDocketNo"/>
    <w:bookmarkEnd w:id="8"/>
    <w:r w:rsidR="000A035B">
      <w:t>PSC-15-0284-FOF-EI</w:t>
    </w:r>
  </w:p>
  <w:p w:rsidR="00BC5BA5" w:rsidRDefault="00BC5BA5">
    <w:pPr>
      <w:pStyle w:val="OrderHeader"/>
    </w:pPr>
    <w:r>
      <w:t>DOCKET NO. 150001-EI</w:t>
    </w:r>
  </w:p>
  <w:p w:rsidR="00BC5BA5" w:rsidRDefault="00BC5BA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4B28">
      <w:rPr>
        <w:rStyle w:val="PageNumber"/>
        <w:noProof/>
      </w:rPr>
      <w:t>13</w:t>
    </w:r>
    <w:r>
      <w:rPr>
        <w:rStyle w:val="PageNumber"/>
      </w:rPr>
      <w:fldChar w:fldCharType="end"/>
    </w:r>
  </w:p>
  <w:p w:rsidR="00BC5BA5" w:rsidRDefault="00BC5BA5">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B28" w:rsidRDefault="00C74B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A5" w:rsidRDefault="00BC5BA5" w:rsidP="008059B1">
    <w:pPr>
      <w:pStyle w:val="OrderHeader"/>
      <w:tabs>
        <w:tab w:val="clear" w:pos="4320"/>
        <w:tab w:val="clear" w:pos="8640"/>
        <w:tab w:val="right" w:pos="9360"/>
      </w:tabs>
    </w:pPr>
    <w:r>
      <w:t xml:space="preserve">ORDER NO. </w:t>
    </w:r>
    <w:r w:rsidR="00C74B28">
      <w:t>PSC-15-0284-FOF-EI</w:t>
    </w:r>
    <w:bookmarkStart w:id="9" w:name="_GoBack"/>
    <w:bookmarkEnd w:id="9"/>
    <w:r>
      <w:tab/>
      <w:t>Attachment A</w:t>
    </w:r>
  </w:p>
  <w:p w:rsidR="00BC5BA5" w:rsidRDefault="00BC5BA5">
    <w:pPr>
      <w:pStyle w:val="OrderHeader"/>
    </w:pPr>
    <w:r>
      <w:t>DOCKET NO. 150001-EI</w:t>
    </w:r>
  </w:p>
  <w:p w:rsidR="00BC5BA5" w:rsidRDefault="00BC5BA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4B28">
      <w:rPr>
        <w:rStyle w:val="PageNumber"/>
        <w:noProof/>
      </w:rPr>
      <w:t>17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A5" w:rsidRDefault="00BC5B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7BC3"/>
    <w:multiLevelType w:val="hybridMultilevel"/>
    <w:tmpl w:val="BF440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E6866CB"/>
    <w:multiLevelType w:val="hybridMultilevel"/>
    <w:tmpl w:val="90128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F734991"/>
    <w:multiLevelType w:val="hybridMultilevel"/>
    <w:tmpl w:val="E7A2B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8583C87"/>
    <w:multiLevelType w:val="hybridMultilevel"/>
    <w:tmpl w:val="3E629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CA66DB7"/>
    <w:multiLevelType w:val="hybridMultilevel"/>
    <w:tmpl w:val="8BBA00C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
    <w:nsid w:val="50436FC6"/>
    <w:multiLevelType w:val="hybridMultilevel"/>
    <w:tmpl w:val="CABAF58A"/>
    <w:lvl w:ilvl="0" w:tplc="8D3E1CE2">
      <w:start w:val="1"/>
      <w:numFmt w:val="upperRoman"/>
      <w:lvlText w:val="%1."/>
      <w:lvlJc w:val="righ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1E16246"/>
    <w:multiLevelType w:val="hybridMultilevel"/>
    <w:tmpl w:val="A1640F68"/>
    <w:lvl w:ilvl="0" w:tplc="80526C50">
      <w:start w:val="1"/>
      <w:numFmt w:val="bullet"/>
      <w:lvlText w:val=""/>
      <w:lvlJc w:val="left"/>
      <w:pPr>
        <w:ind w:left="1260" w:hanging="360"/>
      </w:pPr>
      <w:rPr>
        <w:rFonts w:ascii="Symbol" w:hAnsi="Symbol" w:hint="default"/>
        <w:color w:val="auto"/>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2"/>
  </w:num>
  <w:num w:numId="5">
    <w:abstractNumId w:val="3"/>
  </w:num>
  <w:num w:numId="6">
    <w:abstractNumId w:val="1"/>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1-EI"/>
  </w:docVars>
  <w:rsids>
    <w:rsidRoot w:val="008059B1"/>
    <w:rsid w:val="000022B8"/>
    <w:rsid w:val="0000418E"/>
    <w:rsid w:val="00053AB9"/>
    <w:rsid w:val="00056229"/>
    <w:rsid w:val="00065FC2"/>
    <w:rsid w:val="00090AFC"/>
    <w:rsid w:val="000A035B"/>
    <w:rsid w:val="000C4E26"/>
    <w:rsid w:val="000D06E8"/>
    <w:rsid w:val="000E344D"/>
    <w:rsid w:val="000E5EE8"/>
    <w:rsid w:val="000F0FB1"/>
    <w:rsid w:val="000F3B2C"/>
    <w:rsid w:val="000F4DED"/>
    <w:rsid w:val="000F7BE3"/>
    <w:rsid w:val="00116AD3"/>
    <w:rsid w:val="00125BEC"/>
    <w:rsid w:val="00126593"/>
    <w:rsid w:val="00142A96"/>
    <w:rsid w:val="001507AD"/>
    <w:rsid w:val="0017712F"/>
    <w:rsid w:val="00187E32"/>
    <w:rsid w:val="00194E81"/>
    <w:rsid w:val="001A33C9"/>
    <w:rsid w:val="001D008A"/>
    <w:rsid w:val="001D0308"/>
    <w:rsid w:val="001F4B9B"/>
    <w:rsid w:val="002002ED"/>
    <w:rsid w:val="00225FBF"/>
    <w:rsid w:val="0022721A"/>
    <w:rsid w:val="00230A49"/>
    <w:rsid w:val="00230BB9"/>
    <w:rsid w:val="00254BCA"/>
    <w:rsid w:val="0027316F"/>
    <w:rsid w:val="00283249"/>
    <w:rsid w:val="0028356A"/>
    <w:rsid w:val="002A11AC"/>
    <w:rsid w:val="002A6F30"/>
    <w:rsid w:val="002D7D15"/>
    <w:rsid w:val="00303FDE"/>
    <w:rsid w:val="003140E8"/>
    <w:rsid w:val="00317F98"/>
    <w:rsid w:val="003231C7"/>
    <w:rsid w:val="00331ED0"/>
    <w:rsid w:val="0035495B"/>
    <w:rsid w:val="003744F5"/>
    <w:rsid w:val="00390DD8"/>
    <w:rsid w:val="00394DC6"/>
    <w:rsid w:val="00397C3E"/>
    <w:rsid w:val="003C523D"/>
    <w:rsid w:val="003D165B"/>
    <w:rsid w:val="003D4CCA"/>
    <w:rsid w:val="003D6416"/>
    <w:rsid w:val="003E1D48"/>
    <w:rsid w:val="00457DC7"/>
    <w:rsid w:val="00471E1C"/>
    <w:rsid w:val="00472BCC"/>
    <w:rsid w:val="00487DB1"/>
    <w:rsid w:val="004A25CD"/>
    <w:rsid w:val="004A26CC"/>
    <w:rsid w:val="004A5434"/>
    <w:rsid w:val="004B2108"/>
    <w:rsid w:val="004B3A2B"/>
    <w:rsid w:val="004D2D1B"/>
    <w:rsid w:val="004D5AE9"/>
    <w:rsid w:val="004F0FEC"/>
    <w:rsid w:val="004F2DDE"/>
    <w:rsid w:val="0050097F"/>
    <w:rsid w:val="00500DD2"/>
    <w:rsid w:val="00514B1F"/>
    <w:rsid w:val="00521D30"/>
    <w:rsid w:val="00523373"/>
    <w:rsid w:val="0055490D"/>
    <w:rsid w:val="00554CE3"/>
    <w:rsid w:val="00556A10"/>
    <w:rsid w:val="00564A9C"/>
    <w:rsid w:val="005821D4"/>
    <w:rsid w:val="0059032C"/>
    <w:rsid w:val="005963C2"/>
    <w:rsid w:val="005B45F7"/>
    <w:rsid w:val="005B63EA"/>
    <w:rsid w:val="005F7FC9"/>
    <w:rsid w:val="006050A6"/>
    <w:rsid w:val="00607B7A"/>
    <w:rsid w:val="0061393E"/>
    <w:rsid w:val="00660774"/>
    <w:rsid w:val="0066487B"/>
    <w:rsid w:val="00665CC7"/>
    <w:rsid w:val="006A0857"/>
    <w:rsid w:val="006A0BF3"/>
    <w:rsid w:val="006B0DA6"/>
    <w:rsid w:val="006B6AFB"/>
    <w:rsid w:val="006C547E"/>
    <w:rsid w:val="006E3675"/>
    <w:rsid w:val="00704C5D"/>
    <w:rsid w:val="0072691B"/>
    <w:rsid w:val="00733B6B"/>
    <w:rsid w:val="00735B1A"/>
    <w:rsid w:val="00754A13"/>
    <w:rsid w:val="0076170F"/>
    <w:rsid w:val="0076669C"/>
    <w:rsid w:val="00772539"/>
    <w:rsid w:val="00783B30"/>
    <w:rsid w:val="007865E9"/>
    <w:rsid w:val="00792383"/>
    <w:rsid w:val="007D3D20"/>
    <w:rsid w:val="007E3AFD"/>
    <w:rsid w:val="007F48BC"/>
    <w:rsid w:val="00804E7A"/>
    <w:rsid w:val="008059B1"/>
    <w:rsid w:val="00805FBB"/>
    <w:rsid w:val="008169A4"/>
    <w:rsid w:val="008278FE"/>
    <w:rsid w:val="00832598"/>
    <w:rsid w:val="0083397E"/>
    <w:rsid w:val="0083534B"/>
    <w:rsid w:val="00863A66"/>
    <w:rsid w:val="00874429"/>
    <w:rsid w:val="00883D9A"/>
    <w:rsid w:val="008919EF"/>
    <w:rsid w:val="008C6A5B"/>
    <w:rsid w:val="008D5BD7"/>
    <w:rsid w:val="008E26A5"/>
    <w:rsid w:val="008E42D2"/>
    <w:rsid w:val="009040EE"/>
    <w:rsid w:val="009057FD"/>
    <w:rsid w:val="00922A7F"/>
    <w:rsid w:val="00923A5E"/>
    <w:rsid w:val="00950973"/>
    <w:rsid w:val="00960502"/>
    <w:rsid w:val="00994100"/>
    <w:rsid w:val="009B47FB"/>
    <w:rsid w:val="009C136E"/>
    <w:rsid w:val="009C2844"/>
    <w:rsid w:val="009D4C29"/>
    <w:rsid w:val="00A03102"/>
    <w:rsid w:val="00A423F7"/>
    <w:rsid w:val="00A56C0B"/>
    <w:rsid w:val="00A62DAB"/>
    <w:rsid w:val="00A6547D"/>
    <w:rsid w:val="00A726A6"/>
    <w:rsid w:val="00A85AE8"/>
    <w:rsid w:val="00A97535"/>
    <w:rsid w:val="00AA73F1"/>
    <w:rsid w:val="00AB0E1A"/>
    <w:rsid w:val="00AB1A30"/>
    <w:rsid w:val="00AD08F1"/>
    <w:rsid w:val="00AD1ED3"/>
    <w:rsid w:val="00B0001D"/>
    <w:rsid w:val="00B0777D"/>
    <w:rsid w:val="00B34AA4"/>
    <w:rsid w:val="00B4057A"/>
    <w:rsid w:val="00B40894"/>
    <w:rsid w:val="00B40B90"/>
    <w:rsid w:val="00B41D97"/>
    <w:rsid w:val="00B45E75"/>
    <w:rsid w:val="00B50876"/>
    <w:rsid w:val="00B55EE5"/>
    <w:rsid w:val="00B73DE6"/>
    <w:rsid w:val="00B8003A"/>
    <w:rsid w:val="00B86EF0"/>
    <w:rsid w:val="00B97900"/>
    <w:rsid w:val="00BA44A8"/>
    <w:rsid w:val="00BC5BA5"/>
    <w:rsid w:val="00BE5AE4"/>
    <w:rsid w:val="00BF6691"/>
    <w:rsid w:val="00C0279E"/>
    <w:rsid w:val="00C028FC"/>
    <w:rsid w:val="00C37FB1"/>
    <w:rsid w:val="00C66692"/>
    <w:rsid w:val="00C74B28"/>
    <w:rsid w:val="00C91123"/>
    <w:rsid w:val="00C9492D"/>
    <w:rsid w:val="00CA71FF"/>
    <w:rsid w:val="00CB5276"/>
    <w:rsid w:val="00CB68D7"/>
    <w:rsid w:val="00CC7E68"/>
    <w:rsid w:val="00CD7132"/>
    <w:rsid w:val="00D30B48"/>
    <w:rsid w:val="00D46FAA"/>
    <w:rsid w:val="00D556F7"/>
    <w:rsid w:val="00D57BB2"/>
    <w:rsid w:val="00D8560E"/>
    <w:rsid w:val="00D8758F"/>
    <w:rsid w:val="00DA344B"/>
    <w:rsid w:val="00DC1D94"/>
    <w:rsid w:val="00DE057F"/>
    <w:rsid w:val="00DE2082"/>
    <w:rsid w:val="00DE2289"/>
    <w:rsid w:val="00DE7CDA"/>
    <w:rsid w:val="00E04410"/>
    <w:rsid w:val="00E11351"/>
    <w:rsid w:val="00E127E6"/>
    <w:rsid w:val="00E3168D"/>
    <w:rsid w:val="00E426B0"/>
    <w:rsid w:val="00E55865"/>
    <w:rsid w:val="00E7147C"/>
    <w:rsid w:val="00E91C60"/>
    <w:rsid w:val="00EA07F1"/>
    <w:rsid w:val="00EA172C"/>
    <w:rsid w:val="00EA259B"/>
    <w:rsid w:val="00EA35A3"/>
    <w:rsid w:val="00EA3E6A"/>
    <w:rsid w:val="00EB18EF"/>
    <w:rsid w:val="00EE17DF"/>
    <w:rsid w:val="00EF4621"/>
    <w:rsid w:val="00F07252"/>
    <w:rsid w:val="00F202CF"/>
    <w:rsid w:val="00F277B6"/>
    <w:rsid w:val="00F277DA"/>
    <w:rsid w:val="00F31E1E"/>
    <w:rsid w:val="00F54380"/>
    <w:rsid w:val="00F54B47"/>
    <w:rsid w:val="00F97E32"/>
    <w:rsid w:val="00FA6EFD"/>
    <w:rsid w:val="00FB393E"/>
    <w:rsid w:val="00FB74EA"/>
    <w:rsid w:val="00FD2C9E"/>
    <w:rsid w:val="00FD3C31"/>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8059B1"/>
  </w:style>
  <w:style w:type="paragraph" w:styleId="BalloonText">
    <w:name w:val="Balloon Text"/>
    <w:basedOn w:val="Normal"/>
    <w:link w:val="BalloonTextChar"/>
    <w:rsid w:val="005F7FC9"/>
    <w:rPr>
      <w:rFonts w:ascii="Tahoma" w:hAnsi="Tahoma" w:cs="Tahoma"/>
      <w:sz w:val="16"/>
      <w:szCs w:val="16"/>
    </w:rPr>
  </w:style>
  <w:style w:type="character" w:customStyle="1" w:styleId="BalloonTextChar">
    <w:name w:val="Balloon Text Char"/>
    <w:basedOn w:val="DefaultParagraphFont"/>
    <w:link w:val="BalloonText"/>
    <w:rsid w:val="005F7FC9"/>
    <w:rPr>
      <w:rFonts w:ascii="Tahoma" w:hAnsi="Tahoma" w:cs="Tahoma"/>
      <w:sz w:val="16"/>
      <w:szCs w:val="16"/>
    </w:rPr>
  </w:style>
  <w:style w:type="paragraph" w:styleId="EndnoteText">
    <w:name w:val="endnote text"/>
    <w:basedOn w:val="Normal"/>
    <w:link w:val="EndnoteTextChar"/>
    <w:rsid w:val="000F4DED"/>
    <w:rPr>
      <w:sz w:val="20"/>
      <w:szCs w:val="20"/>
    </w:rPr>
  </w:style>
  <w:style w:type="character" w:customStyle="1" w:styleId="EndnoteTextChar">
    <w:name w:val="Endnote Text Char"/>
    <w:basedOn w:val="DefaultParagraphFont"/>
    <w:link w:val="EndnoteText"/>
    <w:rsid w:val="000F4DED"/>
  </w:style>
  <w:style w:type="character" w:styleId="EndnoteReference">
    <w:name w:val="endnote reference"/>
    <w:basedOn w:val="DefaultParagraphFont"/>
    <w:rsid w:val="000F4DED"/>
    <w:rPr>
      <w:vertAlign w:val="superscript"/>
    </w:rPr>
  </w:style>
  <w:style w:type="paragraph" w:styleId="ListParagraph">
    <w:name w:val="List Paragraph"/>
    <w:basedOn w:val="Normal"/>
    <w:uiPriority w:val="34"/>
    <w:qFormat/>
    <w:rsid w:val="00B40B90"/>
    <w:pPr>
      <w:ind w:left="720"/>
      <w:contextualSpacing/>
    </w:pPr>
  </w:style>
  <w:style w:type="paragraph" w:customStyle="1" w:styleId="IssueBody">
    <w:name w:val="Issue Body"/>
    <w:basedOn w:val="Normal"/>
    <w:rsid w:val="00F97E32"/>
    <w:pPr>
      <w:spacing w:after="240"/>
      <w:ind w:left="144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8059B1"/>
  </w:style>
  <w:style w:type="paragraph" w:styleId="BalloonText">
    <w:name w:val="Balloon Text"/>
    <w:basedOn w:val="Normal"/>
    <w:link w:val="BalloonTextChar"/>
    <w:rsid w:val="005F7FC9"/>
    <w:rPr>
      <w:rFonts w:ascii="Tahoma" w:hAnsi="Tahoma" w:cs="Tahoma"/>
      <w:sz w:val="16"/>
      <w:szCs w:val="16"/>
    </w:rPr>
  </w:style>
  <w:style w:type="character" w:customStyle="1" w:styleId="BalloonTextChar">
    <w:name w:val="Balloon Text Char"/>
    <w:basedOn w:val="DefaultParagraphFont"/>
    <w:link w:val="BalloonText"/>
    <w:rsid w:val="005F7FC9"/>
    <w:rPr>
      <w:rFonts w:ascii="Tahoma" w:hAnsi="Tahoma" w:cs="Tahoma"/>
      <w:sz w:val="16"/>
      <w:szCs w:val="16"/>
    </w:rPr>
  </w:style>
  <w:style w:type="paragraph" w:styleId="EndnoteText">
    <w:name w:val="endnote text"/>
    <w:basedOn w:val="Normal"/>
    <w:link w:val="EndnoteTextChar"/>
    <w:rsid w:val="000F4DED"/>
    <w:rPr>
      <w:sz w:val="20"/>
      <w:szCs w:val="20"/>
    </w:rPr>
  </w:style>
  <w:style w:type="character" w:customStyle="1" w:styleId="EndnoteTextChar">
    <w:name w:val="Endnote Text Char"/>
    <w:basedOn w:val="DefaultParagraphFont"/>
    <w:link w:val="EndnoteText"/>
    <w:rsid w:val="000F4DED"/>
  </w:style>
  <w:style w:type="character" w:styleId="EndnoteReference">
    <w:name w:val="endnote reference"/>
    <w:basedOn w:val="DefaultParagraphFont"/>
    <w:rsid w:val="000F4DED"/>
    <w:rPr>
      <w:vertAlign w:val="superscript"/>
    </w:rPr>
  </w:style>
  <w:style w:type="paragraph" w:styleId="ListParagraph">
    <w:name w:val="List Paragraph"/>
    <w:basedOn w:val="Normal"/>
    <w:uiPriority w:val="34"/>
    <w:qFormat/>
    <w:rsid w:val="00B40B90"/>
    <w:pPr>
      <w:ind w:left="720"/>
      <w:contextualSpacing/>
    </w:pPr>
  </w:style>
  <w:style w:type="paragraph" w:customStyle="1" w:styleId="IssueBody">
    <w:name w:val="Issue Body"/>
    <w:basedOn w:val="Normal"/>
    <w:rsid w:val="00F97E32"/>
    <w:pPr>
      <w:spacing w:after="240"/>
      <w:ind w:left="144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2E46B-A634-409E-8F8C-A9A774EE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17</Pages>
  <Words>7120</Words>
  <Characters>39039</Characters>
  <Application>Microsoft Office Word</Application>
  <DocSecurity>0</DocSecurity>
  <Lines>325</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2015-07-14T15:55:00Z</dcterms:created>
  <dcterms:modified xsi:type="dcterms:W3CDTF">2015-07-14T18:51:00Z</dcterms:modified>
</cp:coreProperties>
</file>