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r>
              <w:t>State of Florida</w:t>
            </w:r>
          </w:p>
          <w:p w:rsidR="007C0528" w:rsidRDefault="00093B08">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A4529">
            <w:pPr>
              <w:pStyle w:val="MemoHeading"/>
            </w:pPr>
            <w:bookmarkStart w:id="0" w:name="FilingDate"/>
            <w:r>
              <w:t>February 18, 2016</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A4529" w:rsidRDefault="00BA4529">
            <w:pPr>
              <w:pStyle w:val="MemoHeading"/>
            </w:pPr>
            <w:bookmarkStart w:id="1" w:name="From"/>
            <w:r>
              <w:t>Division of Engineering (Lewis)</w:t>
            </w:r>
          </w:p>
          <w:p w:rsidR="00BA4529" w:rsidRDefault="00BA4529">
            <w:pPr>
              <w:pStyle w:val="MemoHeading"/>
            </w:pPr>
            <w:r>
              <w:t>Division of Accounting and Finance (Golden, Vogel)</w:t>
            </w:r>
          </w:p>
          <w:p w:rsidR="00BA4529" w:rsidRDefault="00BA4529">
            <w:pPr>
              <w:pStyle w:val="MemoHeading"/>
            </w:pPr>
            <w:r>
              <w:t>Division of Economics (Bruce)</w:t>
            </w:r>
          </w:p>
          <w:p w:rsidR="007C0528" w:rsidRDefault="00BA4529">
            <w:pPr>
              <w:pStyle w:val="MemoHeading"/>
            </w:pPr>
            <w:r>
              <w:t>Office of the General Counsel (Corbari)</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A4529">
            <w:pPr>
              <w:pStyle w:val="MemoHeadingRe"/>
            </w:pPr>
            <w:bookmarkStart w:id="2" w:name="Re"/>
            <w:r>
              <w:t>Docket No. 140219-WU – Application for staff-assisted rate case in Polk County by Alturas Utilities, L.L.C.</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A4529">
            <w:pPr>
              <w:pStyle w:val="MemoHeading"/>
            </w:pPr>
            <w:bookmarkStart w:id="3" w:name="AgendaDate"/>
            <w:r>
              <w:t>03/01/16</w:t>
            </w:r>
            <w:bookmarkEnd w:id="3"/>
            <w:r w:rsidR="007C0528">
              <w:t xml:space="preserve"> – </w:t>
            </w:r>
            <w:bookmarkStart w:id="4" w:name="PermittedStatus"/>
            <w:r w:rsidR="00C32617">
              <w:t>Proposed Agency Action</w:t>
            </w:r>
            <w:r>
              <w:t xml:space="preserve"> – </w:t>
            </w:r>
            <w:r w:rsidR="00B61067">
              <w:t xml:space="preserve">Except for Issue Nos. 10, </w:t>
            </w:r>
            <w:r w:rsidR="002D7B30">
              <w:t xml:space="preserve">11, </w:t>
            </w:r>
            <w:r w:rsidR="00B61067">
              <w:t>13, and 14 -</w:t>
            </w:r>
            <w:r>
              <w:t>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A4529">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A4529">
            <w:pPr>
              <w:pStyle w:val="MemoHeading"/>
            </w:pPr>
            <w:bookmarkStart w:id="6" w:name="PrehearingOfficer"/>
            <w:r>
              <w:t>Edgar</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C32617" w:rsidP="006C57A1">
            <w:pPr>
              <w:pStyle w:val="MemoHeading"/>
            </w:pPr>
            <w:bookmarkStart w:id="8" w:name="CriticalDates"/>
            <w:r w:rsidRPr="006C57A1">
              <w:t>0</w:t>
            </w:r>
            <w:r w:rsidR="006C57A1" w:rsidRPr="006C57A1">
              <w:t>5</w:t>
            </w:r>
            <w:r w:rsidRPr="006C57A1">
              <w:t>/0</w:t>
            </w:r>
            <w:r w:rsidR="006C57A1" w:rsidRPr="006C57A1">
              <w:t>6</w:t>
            </w:r>
            <w:r w:rsidRPr="006C57A1">
              <w:t>/201</w:t>
            </w:r>
            <w:r w:rsidR="006C57A1" w:rsidRPr="006C57A1">
              <w:t>6</w:t>
            </w:r>
            <w:r w:rsidRPr="006C57A1">
              <w:t xml:space="preserve"> </w:t>
            </w:r>
            <w:r w:rsidRPr="00572F00">
              <w:t>(15-Month Effective Date (SARC))</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52837">
            <w:pPr>
              <w:pStyle w:val="MemoHeading"/>
            </w:pPr>
            <w:r>
              <w:t xml:space="preserve">Place item on Agenda immediately before Docket No. 140220-WU, </w:t>
            </w:r>
            <w:r w:rsidRPr="00952837">
              <w:rPr>
                <w:i/>
              </w:rPr>
              <w:t>In re: Application for staff-assisted rate case in Polk County by Sunrise Utilities, L.L.C.</w:t>
            </w:r>
          </w:p>
        </w:tc>
      </w:tr>
    </w:tbl>
    <w:p w:rsidR="007C0528" w:rsidRDefault="007C0528">
      <w:pPr>
        <w:pStyle w:val="BodyText"/>
      </w:pPr>
    </w:p>
    <w:p w:rsidR="00BA4529" w:rsidRDefault="007C0528">
      <w:pPr>
        <w:pStyle w:val="RecommendationMajorSectionHeading"/>
        <w:sectPr w:rsidR="00BA4529">
          <w:headerReference w:type="default" r:id="rId10"/>
          <w:footerReference w:type="default" r:id="rId11"/>
          <w:footerReference w:type="first" r:id="rId12"/>
          <w:type w:val="continuous"/>
          <w:pgSz w:w="12240" w:h="15840" w:code="1"/>
          <w:pgMar w:top="1584" w:right="1440" w:bottom="1440" w:left="1440" w:header="720" w:footer="720" w:gutter="0"/>
          <w:cols w:space="720"/>
          <w:formProt w:val="0"/>
          <w:titlePg/>
          <w:docGrid w:linePitch="360"/>
        </w:sectPr>
      </w:pPr>
      <w:bookmarkStart w:id="11" w:name="RecToC"/>
      <w:bookmarkEnd w:id="11"/>
      <w:r>
        <w:t xml:space="preserve"> </w:t>
      </w:r>
      <w:bookmarkStart w:id="12" w:name="CaseBackground"/>
    </w:p>
    <w:p w:rsidR="00BA4529" w:rsidRDefault="00BA4529" w:rsidP="00BA4529">
      <w:pPr>
        <w:pStyle w:val="RecommendationMajorSectionHeading"/>
        <w:rPr>
          <w:rFonts w:ascii="Times New Roman" w:hAnsi="Times New Roman" w:cs="Times New Roman"/>
          <w:sz w:val="28"/>
          <w:szCs w:val="28"/>
        </w:rPr>
      </w:pPr>
      <w:r w:rsidRPr="00BA4529">
        <w:rPr>
          <w:rFonts w:ascii="Times New Roman" w:hAnsi="Times New Roman" w:cs="Times New Roman"/>
          <w:sz w:val="28"/>
          <w:szCs w:val="28"/>
        </w:rPr>
        <w:lastRenderedPageBreak/>
        <w:t>Table of Contents</w:t>
      </w:r>
    </w:p>
    <w:p w:rsidR="00552224" w:rsidRDefault="00500F44">
      <w:pPr>
        <w:pStyle w:val="TOC1"/>
        <w:rPr>
          <w:rFonts w:asciiTheme="minorHAnsi" w:eastAsiaTheme="minorEastAsia" w:hAnsiTheme="minorHAnsi" w:cstheme="minorBidi"/>
          <w:noProof/>
          <w:sz w:val="22"/>
          <w:szCs w:val="22"/>
        </w:rPr>
      </w:pPr>
      <w:r>
        <w:fldChar w:fldCharType="begin"/>
      </w:r>
      <w:r>
        <w:instrText xml:space="preserve"> TOC \f \h \z </w:instrText>
      </w:r>
      <w:r>
        <w:fldChar w:fldCharType="separate"/>
      </w:r>
      <w:hyperlink w:anchor="_Toc443485010" w:history="1">
        <w:r w:rsidR="00552224" w:rsidRPr="00337FD1">
          <w:rPr>
            <w:rStyle w:val="Hyperlink"/>
            <w:noProof/>
          </w:rPr>
          <w:t>Case Background</w:t>
        </w:r>
        <w:r w:rsidR="00552224">
          <w:rPr>
            <w:noProof/>
            <w:webHidden/>
          </w:rPr>
          <w:tab/>
        </w:r>
        <w:r w:rsidR="00552224">
          <w:rPr>
            <w:noProof/>
            <w:webHidden/>
          </w:rPr>
          <w:fldChar w:fldCharType="begin"/>
        </w:r>
        <w:r w:rsidR="00552224">
          <w:rPr>
            <w:noProof/>
            <w:webHidden/>
          </w:rPr>
          <w:instrText xml:space="preserve"> PAGEREF _Toc443485010 \h </w:instrText>
        </w:r>
        <w:r w:rsidR="00552224">
          <w:rPr>
            <w:noProof/>
            <w:webHidden/>
          </w:rPr>
        </w:r>
        <w:r w:rsidR="00552224">
          <w:rPr>
            <w:noProof/>
            <w:webHidden/>
          </w:rPr>
          <w:fldChar w:fldCharType="separate"/>
        </w:r>
        <w:r w:rsidR="004E0887">
          <w:rPr>
            <w:noProof/>
            <w:webHidden/>
          </w:rPr>
          <w:t>1</w:t>
        </w:r>
        <w:r w:rsidR="00552224">
          <w:rPr>
            <w:noProof/>
            <w:webHidden/>
          </w:rPr>
          <w:fldChar w:fldCharType="end"/>
        </w:r>
      </w:hyperlink>
    </w:p>
    <w:p w:rsidR="00552224" w:rsidRDefault="00F852FE">
      <w:pPr>
        <w:pStyle w:val="TOC1"/>
        <w:rPr>
          <w:rFonts w:asciiTheme="minorHAnsi" w:eastAsiaTheme="minorEastAsia" w:hAnsiTheme="minorHAnsi" w:cstheme="minorBidi"/>
          <w:noProof/>
          <w:sz w:val="22"/>
          <w:szCs w:val="22"/>
        </w:rPr>
      </w:pPr>
      <w:hyperlink w:anchor="_Toc443485011" w:history="1">
        <w:r w:rsidR="00552224" w:rsidRPr="00337FD1">
          <w:rPr>
            <w:rStyle w:val="Hyperlink"/>
            <w:noProof/>
          </w:rPr>
          <w:t>Issue 1 Quality of Service</w:t>
        </w:r>
        <w:r w:rsidR="00552224">
          <w:rPr>
            <w:noProof/>
            <w:webHidden/>
          </w:rPr>
          <w:tab/>
        </w:r>
        <w:r w:rsidR="00552224">
          <w:rPr>
            <w:noProof/>
            <w:webHidden/>
          </w:rPr>
          <w:fldChar w:fldCharType="begin"/>
        </w:r>
        <w:r w:rsidR="00552224">
          <w:rPr>
            <w:noProof/>
            <w:webHidden/>
          </w:rPr>
          <w:instrText xml:space="preserve"> PAGEREF _Toc443485011 \h </w:instrText>
        </w:r>
        <w:r w:rsidR="00552224">
          <w:rPr>
            <w:noProof/>
            <w:webHidden/>
          </w:rPr>
        </w:r>
        <w:r w:rsidR="00552224">
          <w:rPr>
            <w:noProof/>
            <w:webHidden/>
          </w:rPr>
          <w:fldChar w:fldCharType="separate"/>
        </w:r>
        <w:r w:rsidR="004E0887">
          <w:rPr>
            <w:noProof/>
            <w:webHidden/>
          </w:rPr>
          <w:t>2</w:t>
        </w:r>
        <w:r w:rsidR="00552224">
          <w:rPr>
            <w:noProof/>
            <w:webHidden/>
          </w:rPr>
          <w:fldChar w:fldCharType="end"/>
        </w:r>
      </w:hyperlink>
    </w:p>
    <w:p w:rsidR="00552224" w:rsidRDefault="00F852FE">
      <w:pPr>
        <w:pStyle w:val="TOC1"/>
        <w:rPr>
          <w:rFonts w:asciiTheme="minorHAnsi" w:eastAsiaTheme="minorEastAsia" w:hAnsiTheme="minorHAnsi" w:cstheme="minorBidi"/>
          <w:noProof/>
          <w:sz w:val="22"/>
          <w:szCs w:val="22"/>
        </w:rPr>
      </w:pPr>
      <w:hyperlink w:anchor="_Toc443485012" w:history="1">
        <w:r w:rsidR="00552224" w:rsidRPr="00337FD1">
          <w:rPr>
            <w:rStyle w:val="Hyperlink"/>
            <w:noProof/>
          </w:rPr>
          <w:t>Issue 2 Used and Useful</w:t>
        </w:r>
        <w:r w:rsidR="00552224">
          <w:rPr>
            <w:noProof/>
            <w:webHidden/>
          </w:rPr>
          <w:tab/>
        </w:r>
        <w:r w:rsidR="00552224">
          <w:rPr>
            <w:noProof/>
            <w:webHidden/>
          </w:rPr>
          <w:fldChar w:fldCharType="begin"/>
        </w:r>
        <w:r w:rsidR="00552224">
          <w:rPr>
            <w:noProof/>
            <w:webHidden/>
          </w:rPr>
          <w:instrText xml:space="preserve"> PAGEREF _Toc443485012 \h </w:instrText>
        </w:r>
        <w:r w:rsidR="00552224">
          <w:rPr>
            <w:noProof/>
            <w:webHidden/>
          </w:rPr>
        </w:r>
        <w:r w:rsidR="00552224">
          <w:rPr>
            <w:noProof/>
            <w:webHidden/>
          </w:rPr>
          <w:fldChar w:fldCharType="separate"/>
        </w:r>
        <w:r w:rsidR="004E0887">
          <w:rPr>
            <w:noProof/>
            <w:webHidden/>
          </w:rPr>
          <w:t>5</w:t>
        </w:r>
        <w:r w:rsidR="00552224">
          <w:rPr>
            <w:noProof/>
            <w:webHidden/>
          </w:rPr>
          <w:fldChar w:fldCharType="end"/>
        </w:r>
      </w:hyperlink>
    </w:p>
    <w:p w:rsidR="00552224" w:rsidRDefault="00F852FE">
      <w:pPr>
        <w:pStyle w:val="TOC1"/>
        <w:rPr>
          <w:rFonts w:asciiTheme="minorHAnsi" w:eastAsiaTheme="minorEastAsia" w:hAnsiTheme="minorHAnsi" w:cstheme="minorBidi"/>
          <w:noProof/>
          <w:sz w:val="22"/>
          <w:szCs w:val="22"/>
        </w:rPr>
      </w:pPr>
      <w:hyperlink w:anchor="_Toc443485013" w:history="1">
        <w:r w:rsidR="00552224" w:rsidRPr="00337FD1">
          <w:rPr>
            <w:rStyle w:val="Hyperlink"/>
            <w:noProof/>
          </w:rPr>
          <w:t>Issue 3 Allocation of Common Costs</w:t>
        </w:r>
        <w:r w:rsidR="00552224">
          <w:rPr>
            <w:noProof/>
            <w:webHidden/>
          </w:rPr>
          <w:tab/>
        </w:r>
        <w:r w:rsidR="00552224">
          <w:rPr>
            <w:noProof/>
            <w:webHidden/>
          </w:rPr>
          <w:fldChar w:fldCharType="begin"/>
        </w:r>
        <w:r w:rsidR="00552224">
          <w:rPr>
            <w:noProof/>
            <w:webHidden/>
          </w:rPr>
          <w:instrText xml:space="preserve"> PAGEREF _Toc443485013 \h </w:instrText>
        </w:r>
        <w:r w:rsidR="00552224">
          <w:rPr>
            <w:noProof/>
            <w:webHidden/>
          </w:rPr>
        </w:r>
        <w:r w:rsidR="00552224">
          <w:rPr>
            <w:noProof/>
            <w:webHidden/>
          </w:rPr>
          <w:fldChar w:fldCharType="separate"/>
        </w:r>
        <w:r w:rsidR="004E0887">
          <w:rPr>
            <w:noProof/>
            <w:webHidden/>
          </w:rPr>
          <w:t>7</w:t>
        </w:r>
        <w:r w:rsidR="00552224">
          <w:rPr>
            <w:noProof/>
            <w:webHidden/>
          </w:rPr>
          <w:fldChar w:fldCharType="end"/>
        </w:r>
      </w:hyperlink>
    </w:p>
    <w:p w:rsidR="00552224" w:rsidRDefault="00F852FE">
      <w:pPr>
        <w:pStyle w:val="TOC1"/>
        <w:rPr>
          <w:rFonts w:asciiTheme="minorHAnsi" w:eastAsiaTheme="minorEastAsia" w:hAnsiTheme="minorHAnsi" w:cstheme="minorBidi"/>
          <w:noProof/>
          <w:sz w:val="22"/>
          <w:szCs w:val="22"/>
        </w:rPr>
      </w:pPr>
      <w:hyperlink w:anchor="_Toc443485014" w:history="1">
        <w:r w:rsidR="00552224" w:rsidRPr="00337FD1">
          <w:rPr>
            <w:rStyle w:val="Hyperlink"/>
            <w:noProof/>
          </w:rPr>
          <w:t>Issue 4 Average Test Year Rate Base</w:t>
        </w:r>
        <w:r w:rsidR="00552224">
          <w:rPr>
            <w:noProof/>
            <w:webHidden/>
          </w:rPr>
          <w:tab/>
        </w:r>
        <w:r w:rsidR="00552224">
          <w:rPr>
            <w:noProof/>
            <w:webHidden/>
          </w:rPr>
          <w:fldChar w:fldCharType="begin"/>
        </w:r>
        <w:r w:rsidR="00552224">
          <w:rPr>
            <w:noProof/>
            <w:webHidden/>
          </w:rPr>
          <w:instrText xml:space="preserve"> PAGEREF _Toc443485014 \h </w:instrText>
        </w:r>
        <w:r w:rsidR="00552224">
          <w:rPr>
            <w:noProof/>
            <w:webHidden/>
          </w:rPr>
        </w:r>
        <w:r w:rsidR="00552224">
          <w:rPr>
            <w:noProof/>
            <w:webHidden/>
          </w:rPr>
          <w:fldChar w:fldCharType="separate"/>
        </w:r>
        <w:r w:rsidR="004E0887">
          <w:rPr>
            <w:noProof/>
            <w:webHidden/>
          </w:rPr>
          <w:t>8</w:t>
        </w:r>
        <w:r w:rsidR="00552224">
          <w:rPr>
            <w:noProof/>
            <w:webHidden/>
          </w:rPr>
          <w:fldChar w:fldCharType="end"/>
        </w:r>
      </w:hyperlink>
    </w:p>
    <w:p w:rsidR="00552224" w:rsidRDefault="00F852FE">
      <w:pPr>
        <w:pStyle w:val="TOC1"/>
        <w:rPr>
          <w:rFonts w:asciiTheme="minorHAnsi" w:eastAsiaTheme="minorEastAsia" w:hAnsiTheme="minorHAnsi" w:cstheme="minorBidi"/>
          <w:noProof/>
          <w:sz w:val="22"/>
          <w:szCs w:val="22"/>
        </w:rPr>
      </w:pPr>
      <w:hyperlink w:anchor="_Toc443485015" w:history="1">
        <w:r w:rsidR="00552224" w:rsidRPr="00337FD1">
          <w:rPr>
            <w:rStyle w:val="Hyperlink"/>
            <w:noProof/>
          </w:rPr>
          <w:t>Issue 5  Rate of Return</w:t>
        </w:r>
        <w:r w:rsidR="00552224">
          <w:rPr>
            <w:noProof/>
            <w:webHidden/>
          </w:rPr>
          <w:tab/>
        </w:r>
        <w:r w:rsidR="00552224">
          <w:rPr>
            <w:noProof/>
            <w:webHidden/>
          </w:rPr>
          <w:fldChar w:fldCharType="begin"/>
        </w:r>
        <w:r w:rsidR="00552224">
          <w:rPr>
            <w:noProof/>
            <w:webHidden/>
          </w:rPr>
          <w:instrText xml:space="preserve"> PAGEREF _Toc443485015 \h </w:instrText>
        </w:r>
        <w:r w:rsidR="00552224">
          <w:rPr>
            <w:noProof/>
            <w:webHidden/>
          </w:rPr>
        </w:r>
        <w:r w:rsidR="00552224">
          <w:rPr>
            <w:noProof/>
            <w:webHidden/>
          </w:rPr>
          <w:fldChar w:fldCharType="separate"/>
        </w:r>
        <w:r w:rsidR="004E0887">
          <w:rPr>
            <w:noProof/>
            <w:webHidden/>
          </w:rPr>
          <w:t>11</w:t>
        </w:r>
        <w:r w:rsidR="00552224">
          <w:rPr>
            <w:noProof/>
            <w:webHidden/>
          </w:rPr>
          <w:fldChar w:fldCharType="end"/>
        </w:r>
      </w:hyperlink>
    </w:p>
    <w:p w:rsidR="00552224" w:rsidRDefault="00F852FE">
      <w:pPr>
        <w:pStyle w:val="TOC1"/>
        <w:rPr>
          <w:rFonts w:asciiTheme="minorHAnsi" w:eastAsiaTheme="minorEastAsia" w:hAnsiTheme="minorHAnsi" w:cstheme="minorBidi"/>
          <w:noProof/>
          <w:sz w:val="22"/>
          <w:szCs w:val="22"/>
        </w:rPr>
      </w:pPr>
      <w:hyperlink w:anchor="_Toc443485016" w:history="1">
        <w:r w:rsidR="00552224" w:rsidRPr="00337FD1">
          <w:rPr>
            <w:rStyle w:val="Hyperlink"/>
            <w:noProof/>
          </w:rPr>
          <w:t>Issue 6 Test Year Revenues</w:t>
        </w:r>
        <w:r w:rsidR="00552224">
          <w:rPr>
            <w:noProof/>
            <w:webHidden/>
          </w:rPr>
          <w:tab/>
        </w:r>
        <w:r w:rsidR="00552224">
          <w:rPr>
            <w:noProof/>
            <w:webHidden/>
          </w:rPr>
          <w:fldChar w:fldCharType="begin"/>
        </w:r>
        <w:r w:rsidR="00552224">
          <w:rPr>
            <w:noProof/>
            <w:webHidden/>
          </w:rPr>
          <w:instrText xml:space="preserve"> PAGEREF _Toc443485016 \h </w:instrText>
        </w:r>
        <w:r w:rsidR="00552224">
          <w:rPr>
            <w:noProof/>
            <w:webHidden/>
          </w:rPr>
        </w:r>
        <w:r w:rsidR="00552224">
          <w:rPr>
            <w:noProof/>
            <w:webHidden/>
          </w:rPr>
          <w:fldChar w:fldCharType="separate"/>
        </w:r>
        <w:r w:rsidR="004E0887">
          <w:rPr>
            <w:noProof/>
            <w:webHidden/>
          </w:rPr>
          <w:t>12</w:t>
        </w:r>
        <w:r w:rsidR="00552224">
          <w:rPr>
            <w:noProof/>
            <w:webHidden/>
          </w:rPr>
          <w:fldChar w:fldCharType="end"/>
        </w:r>
      </w:hyperlink>
    </w:p>
    <w:p w:rsidR="00552224" w:rsidRDefault="00F852FE">
      <w:pPr>
        <w:pStyle w:val="TOC1"/>
        <w:rPr>
          <w:rFonts w:asciiTheme="minorHAnsi" w:eastAsiaTheme="minorEastAsia" w:hAnsiTheme="minorHAnsi" w:cstheme="minorBidi"/>
          <w:noProof/>
          <w:sz w:val="22"/>
          <w:szCs w:val="22"/>
        </w:rPr>
      </w:pPr>
      <w:hyperlink w:anchor="_Toc443485017" w:history="1">
        <w:r w:rsidR="00552224" w:rsidRPr="00337FD1">
          <w:rPr>
            <w:rStyle w:val="Hyperlink"/>
            <w:noProof/>
          </w:rPr>
          <w:t>Issue 7 Operating Expenses</w:t>
        </w:r>
        <w:r w:rsidR="00552224">
          <w:rPr>
            <w:noProof/>
            <w:webHidden/>
          </w:rPr>
          <w:tab/>
        </w:r>
        <w:r w:rsidR="00552224">
          <w:rPr>
            <w:noProof/>
            <w:webHidden/>
          </w:rPr>
          <w:fldChar w:fldCharType="begin"/>
        </w:r>
        <w:r w:rsidR="00552224">
          <w:rPr>
            <w:noProof/>
            <w:webHidden/>
          </w:rPr>
          <w:instrText xml:space="preserve"> PAGEREF _Toc443485017 \h </w:instrText>
        </w:r>
        <w:r w:rsidR="00552224">
          <w:rPr>
            <w:noProof/>
            <w:webHidden/>
          </w:rPr>
        </w:r>
        <w:r w:rsidR="00552224">
          <w:rPr>
            <w:noProof/>
            <w:webHidden/>
          </w:rPr>
          <w:fldChar w:fldCharType="separate"/>
        </w:r>
        <w:r w:rsidR="004E0887">
          <w:rPr>
            <w:noProof/>
            <w:webHidden/>
          </w:rPr>
          <w:t>13</w:t>
        </w:r>
        <w:r w:rsidR="00552224">
          <w:rPr>
            <w:noProof/>
            <w:webHidden/>
          </w:rPr>
          <w:fldChar w:fldCharType="end"/>
        </w:r>
      </w:hyperlink>
    </w:p>
    <w:p w:rsidR="00552224" w:rsidRDefault="00F852FE">
      <w:pPr>
        <w:pStyle w:val="TOC1"/>
        <w:rPr>
          <w:rFonts w:asciiTheme="minorHAnsi" w:eastAsiaTheme="minorEastAsia" w:hAnsiTheme="minorHAnsi" w:cstheme="minorBidi"/>
          <w:noProof/>
          <w:sz w:val="22"/>
          <w:szCs w:val="22"/>
        </w:rPr>
      </w:pPr>
      <w:hyperlink w:anchor="_Toc443485018" w:history="1">
        <w:r w:rsidR="00552224" w:rsidRPr="00337FD1">
          <w:rPr>
            <w:rStyle w:val="Hyperlink"/>
            <w:noProof/>
          </w:rPr>
          <w:t>Issue 8 Revenue Requirement</w:t>
        </w:r>
        <w:r w:rsidR="00552224">
          <w:rPr>
            <w:noProof/>
            <w:webHidden/>
          </w:rPr>
          <w:tab/>
        </w:r>
        <w:r w:rsidR="00552224">
          <w:rPr>
            <w:noProof/>
            <w:webHidden/>
          </w:rPr>
          <w:fldChar w:fldCharType="begin"/>
        </w:r>
        <w:r w:rsidR="00552224">
          <w:rPr>
            <w:noProof/>
            <w:webHidden/>
          </w:rPr>
          <w:instrText xml:space="preserve"> PAGEREF _Toc443485018 \h </w:instrText>
        </w:r>
        <w:r w:rsidR="00552224">
          <w:rPr>
            <w:noProof/>
            <w:webHidden/>
          </w:rPr>
        </w:r>
        <w:r w:rsidR="00552224">
          <w:rPr>
            <w:noProof/>
            <w:webHidden/>
          </w:rPr>
          <w:fldChar w:fldCharType="separate"/>
        </w:r>
        <w:r w:rsidR="004E0887">
          <w:rPr>
            <w:noProof/>
            <w:webHidden/>
          </w:rPr>
          <w:t>28</w:t>
        </w:r>
        <w:r w:rsidR="00552224">
          <w:rPr>
            <w:noProof/>
            <w:webHidden/>
          </w:rPr>
          <w:fldChar w:fldCharType="end"/>
        </w:r>
      </w:hyperlink>
    </w:p>
    <w:p w:rsidR="00552224" w:rsidRDefault="00F852FE">
      <w:pPr>
        <w:pStyle w:val="TOC1"/>
        <w:rPr>
          <w:rFonts w:asciiTheme="minorHAnsi" w:eastAsiaTheme="minorEastAsia" w:hAnsiTheme="minorHAnsi" w:cstheme="minorBidi"/>
          <w:noProof/>
          <w:sz w:val="22"/>
          <w:szCs w:val="22"/>
        </w:rPr>
      </w:pPr>
      <w:hyperlink w:anchor="_Toc443485019" w:history="1">
        <w:r w:rsidR="00552224" w:rsidRPr="00337FD1">
          <w:rPr>
            <w:rStyle w:val="Hyperlink"/>
            <w:noProof/>
          </w:rPr>
          <w:t>Issue 9 Appropriate Rate Structure</w:t>
        </w:r>
        <w:r w:rsidR="00552224">
          <w:rPr>
            <w:noProof/>
            <w:webHidden/>
          </w:rPr>
          <w:tab/>
        </w:r>
        <w:r w:rsidR="00552224">
          <w:rPr>
            <w:noProof/>
            <w:webHidden/>
          </w:rPr>
          <w:fldChar w:fldCharType="begin"/>
        </w:r>
        <w:r w:rsidR="00552224">
          <w:rPr>
            <w:noProof/>
            <w:webHidden/>
          </w:rPr>
          <w:instrText xml:space="preserve"> PAGEREF _Toc443485019 \h </w:instrText>
        </w:r>
        <w:r w:rsidR="00552224">
          <w:rPr>
            <w:noProof/>
            <w:webHidden/>
          </w:rPr>
        </w:r>
        <w:r w:rsidR="00552224">
          <w:rPr>
            <w:noProof/>
            <w:webHidden/>
          </w:rPr>
          <w:fldChar w:fldCharType="separate"/>
        </w:r>
        <w:r w:rsidR="004E0887">
          <w:rPr>
            <w:noProof/>
            <w:webHidden/>
          </w:rPr>
          <w:t>29</w:t>
        </w:r>
        <w:r w:rsidR="00552224">
          <w:rPr>
            <w:noProof/>
            <w:webHidden/>
          </w:rPr>
          <w:fldChar w:fldCharType="end"/>
        </w:r>
      </w:hyperlink>
    </w:p>
    <w:p w:rsidR="00552224" w:rsidRDefault="00F852FE">
      <w:pPr>
        <w:pStyle w:val="TOC1"/>
        <w:rPr>
          <w:rFonts w:asciiTheme="minorHAnsi" w:eastAsiaTheme="minorEastAsia" w:hAnsiTheme="minorHAnsi" w:cstheme="minorBidi"/>
          <w:noProof/>
          <w:sz w:val="22"/>
          <w:szCs w:val="22"/>
        </w:rPr>
      </w:pPr>
      <w:hyperlink w:anchor="_Toc443485020" w:history="1">
        <w:r w:rsidR="00552224" w:rsidRPr="00337FD1">
          <w:rPr>
            <w:rStyle w:val="Hyperlink"/>
            <w:noProof/>
          </w:rPr>
          <w:t>Issue 10 Four-Year Rate Reduction – Current SARC</w:t>
        </w:r>
        <w:r w:rsidR="00552224">
          <w:rPr>
            <w:noProof/>
            <w:webHidden/>
          </w:rPr>
          <w:tab/>
        </w:r>
        <w:r w:rsidR="00552224">
          <w:rPr>
            <w:noProof/>
            <w:webHidden/>
          </w:rPr>
          <w:fldChar w:fldCharType="begin"/>
        </w:r>
        <w:r w:rsidR="00552224">
          <w:rPr>
            <w:noProof/>
            <w:webHidden/>
          </w:rPr>
          <w:instrText xml:space="preserve"> PAGEREF _Toc443485020 \h </w:instrText>
        </w:r>
        <w:r w:rsidR="00552224">
          <w:rPr>
            <w:noProof/>
            <w:webHidden/>
          </w:rPr>
        </w:r>
        <w:r w:rsidR="00552224">
          <w:rPr>
            <w:noProof/>
            <w:webHidden/>
          </w:rPr>
          <w:fldChar w:fldCharType="separate"/>
        </w:r>
        <w:r w:rsidR="004E0887">
          <w:rPr>
            <w:noProof/>
            <w:webHidden/>
          </w:rPr>
          <w:t>31</w:t>
        </w:r>
        <w:r w:rsidR="00552224">
          <w:rPr>
            <w:noProof/>
            <w:webHidden/>
          </w:rPr>
          <w:fldChar w:fldCharType="end"/>
        </w:r>
      </w:hyperlink>
    </w:p>
    <w:p w:rsidR="00552224" w:rsidRDefault="00F852FE">
      <w:pPr>
        <w:pStyle w:val="TOC1"/>
        <w:rPr>
          <w:rFonts w:asciiTheme="minorHAnsi" w:eastAsiaTheme="minorEastAsia" w:hAnsiTheme="minorHAnsi" w:cstheme="minorBidi"/>
          <w:noProof/>
          <w:sz w:val="22"/>
          <w:szCs w:val="22"/>
        </w:rPr>
      </w:pPr>
      <w:hyperlink w:anchor="_Toc443485021" w:history="1">
        <w:r w:rsidR="00552224" w:rsidRPr="00337FD1">
          <w:rPr>
            <w:rStyle w:val="Hyperlink"/>
            <w:noProof/>
          </w:rPr>
          <w:t>Issue 11 Four-Year Rate Reduction – Prior SARC</w:t>
        </w:r>
        <w:r w:rsidR="00552224">
          <w:rPr>
            <w:noProof/>
            <w:webHidden/>
          </w:rPr>
          <w:tab/>
        </w:r>
        <w:r w:rsidR="00552224">
          <w:rPr>
            <w:noProof/>
            <w:webHidden/>
          </w:rPr>
          <w:fldChar w:fldCharType="begin"/>
        </w:r>
        <w:r w:rsidR="00552224">
          <w:rPr>
            <w:noProof/>
            <w:webHidden/>
          </w:rPr>
          <w:instrText xml:space="preserve"> PAGEREF _Toc443485021 \h </w:instrText>
        </w:r>
        <w:r w:rsidR="00552224">
          <w:rPr>
            <w:noProof/>
            <w:webHidden/>
          </w:rPr>
        </w:r>
        <w:r w:rsidR="00552224">
          <w:rPr>
            <w:noProof/>
            <w:webHidden/>
          </w:rPr>
          <w:fldChar w:fldCharType="separate"/>
        </w:r>
        <w:r w:rsidR="004E0887">
          <w:rPr>
            <w:noProof/>
            <w:webHidden/>
          </w:rPr>
          <w:t>32</w:t>
        </w:r>
        <w:r w:rsidR="00552224">
          <w:rPr>
            <w:noProof/>
            <w:webHidden/>
          </w:rPr>
          <w:fldChar w:fldCharType="end"/>
        </w:r>
      </w:hyperlink>
    </w:p>
    <w:p w:rsidR="00552224" w:rsidRDefault="00F852FE">
      <w:pPr>
        <w:pStyle w:val="TOC1"/>
        <w:rPr>
          <w:rFonts w:asciiTheme="minorHAnsi" w:eastAsiaTheme="minorEastAsia" w:hAnsiTheme="minorHAnsi" w:cstheme="minorBidi"/>
          <w:noProof/>
          <w:sz w:val="22"/>
          <w:szCs w:val="22"/>
        </w:rPr>
      </w:pPr>
      <w:hyperlink w:anchor="_Toc443485022" w:history="1">
        <w:r w:rsidR="00552224" w:rsidRPr="00337FD1">
          <w:rPr>
            <w:rStyle w:val="Hyperlink"/>
            <w:noProof/>
          </w:rPr>
          <w:t>Issue 12 Initial Customer Deposits</w:t>
        </w:r>
        <w:r w:rsidR="00552224">
          <w:rPr>
            <w:noProof/>
            <w:webHidden/>
          </w:rPr>
          <w:tab/>
        </w:r>
        <w:r w:rsidR="00552224">
          <w:rPr>
            <w:noProof/>
            <w:webHidden/>
          </w:rPr>
          <w:fldChar w:fldCharType="begin"/>
        </w:r>
        <w:r w:rsidR="00552224">
          <w:rPr>
            <w:noProof/>
            <w:webHidden/>
          </w:rPr>
          <w:instrText xml:space="preserve"> PAGEREF _Toc443485022 \h </w:instrText>
        </w:r>
        <w:r w:rsidR="00552224">
          <w:rPr>
            <w:noProof/>
            <w:webHidden/>
          </w:rPr>
        </w:r>
        <w:r w:rsidR="00552224">
          <w:rPr>
            <w:noProof/>
            <w:webHidden/>
          </w:rPr>
          <w:fldChar w:fldCharType="separate"/>
        </w:r>
        <w:r w:rsidR="004E0887">
          <w:rPr>
            <w:noProof/>
            <w:webHidden/>
          </w:rPr>
          <w:t>33</w:t>
        </w:r>
        <w:r w:rsidR="00552224">
          <w:rPr>
            <w:noProof/>
            <w:webHidden/>
          </w:rPr>
          <w:fldChar w:fldCharType="end"/>
        </w:r>
      </w:hyperlink>
    </w:p>
    <w:p w:rsidR="00552224" w:rsidRDefault="00F852FE">
      <w:pPr>
        <w:pStyle w:val="TOC1"/>
        <w:rPr>
          <w:rFonts w:asciiTheme="minorHAnsi" w:eastAsiaTheme="minorEastAsia" w:hAnsiTheme="minorHAnsi" w:cstheme="minorBidi"/>
          <w:noProof/>
          <w:sz w:val="22"/>
          <w:szCs w:val="22"/>
        </w:rPr>
      </w:pPr>
      <w:hyperlink w:anchor="_Toc443485023" w:history="1">
        <w:r w:rsidR="00552224" w:rsidRPr="00337FD1">
          <w:rPr>
            <w:rStyle w:val="Hyperlink"/>
            <w:noProof/>
          </w:rPr>
          <w:t>Issue 13 Temporary Rates</w:t>
        </w:r>
        <w:r w:rsidR="00552224">
          <w:rPr>
            <w:noProof/>
            <w:webHidden/>
          </w:rPr>
          <w:tab/>
        </w:r>
        <w:r w:rsidR="00552224">
          <w:rPr>
            <w:noProof/>
            <w:webHidden/>
          </w:rPr>
          <w:fldChar w:fldCharType="begin"/>
        </w:r>
        <w:r w:rsidR="00552224">
          <w:rPr>
            <w:noProof/>
            <w:webHidden/>
          </w:rPr>
          <w:instrText xml:space="preserve"> PAGEREF _Toc443485023 \h </w:instrText>
        </w:r>
        <w:r w:rsidR="00552224">
          <w:rPr>
            <w:noProof/>
            <w:webHidden/>
          </w:rPr>
        </w:r>
        <w:r w:rsidR="00552224">
          <w:rPr>
            <w:noProof/>
            <w:webHidden/>
          </w:rPr>
          <w:fldChar w:fldCharType="separate"/>
        </w:r>
        <w:r w:rsidR="004E0887">
          <w:rPr>
            <w:noProof/>
            <w:webHidden/>
          </w:rPr>
          <w:t>35</w:t>
        </w:r>
        <w:r w:rsidR="00552224">
          <w:rPr>
            <w:noProof/>
            <w:webHidden/>
          </w:rPr>
          <w:fldChar w:fldCharType="end"/>
        </w:r>
      </w:hyperlink>
    </w:p>
    <w:p w:rsidR="00552224" w:rsidRDefault="00F852FE">
      <w:pPr>
        <w:pStyle w:val="TOC1"/>
        <w:rPr>
          <w:rFonts w:asciiTheme="minorHAnsi" w:eastAsiaTheme="minorEastAsia" w:hAnsiTheme="minorHAnsi" w:cstheme="minorBidi"/>
          <w:noProof/>
          <w:sz w:val="22"/>
          <w:szCs w:val="22"/>
        </w:rPr>
      </w:pPr>
      <w:hyperlink w:anchor="_Toc443485024" w:history="1">
        <w:r w:rsidR="00552224" w:rsidRPr="00337FD1">
          <w:rPr>
            <w:rStyle w:val="Hyperlink"/>
            <w:noProof/>
          </w:rPr>
          <w:t>Issue 14 Proof of Adjustments</w:t>
        </w:r>
        <w:r w:rsidR="00552224">
          <w:rPr>
            <w:noProof/>
            <w:webHidden/>
          </w:rPr>
          <w:tab/>
        </w:r>
        <w:r w:rsidR="00552224">
          <w:rPr>
            <w:noProof/>
            <w:webHidden/>
          </w:rPr>
          <w:fldChar w:fldCharType="begin"/>
        </w:r>
        <w:r w:rsidR="00552224">
          <w:rPr>
            <w:noProof/>
            <w:webHidden/>
          </w:rPr>
          <w:instrText xml:space="preserve"> PAGEREF _Toc443485024 \h </w:instrText>
        </w:r>
        <w:r w:rsidR="00552224">
          <w:rPr>
            <w:noProof/>
            <w:webHidden/>
          </w:rPr>
        </w:r>
        <w:r w:rsidR="00552224">
          <w:rPr>
            <w:noProof/>
            <w:webHidden/>
          </w:rPr>
          <w:fldChar w:fldCharType="separate"/>
        </w:r>
        <w:r w:rsidR="004E0887">
          <w:rPr>
            <w:noProof/>
            <w:webHidden/>
          </w:rPr>
          <w:t>37</w:t>
        </w:r>
        <w:r w:rsidR="00552224">
          <w:rPr>
            <w:noProof/>
            <w:webHidden/>
          </w:rPr>
          <w:fldChar w:fldCharType="end"/>
        </w:r>
      </w:hyperlink>
    </w:p>
    <w:p w:rsidR="00552224" w:rsidRDefault="00F852FE">
      <w:pPr>
        <w:pStyle w:val="TOC1"/>
        <w:rPr>
          <w:rFonts w:asciiTheme="minorHAnsi" w:eastAsiaTheme="minorEastAsia" w:hAnsiTheme="minorHAnsi" w:cstheme="minorBidi"/>
          <w:noProof/>
          <w:sz w:val="22"/>
          <w:szCs w:val="22"/>
        </w:rPr>
      </w:pPr>
      <w:hyperlink w:anchor="_Toc443485025" w:history="1">
        <w:r w:rsidR="00552224" w:rsidRPr="00337FD1">
          <w:rPr>
            <w:rStyle w:val="Hyperlink"/>
            <w:noProof/>
          </w:rPr>
          <w:t>Issue 15 Close Docket</w:t>
        </w:r>
        <w:r w:rsidR="00552224">
          <w:rPr>
            <w:noProof/>
            <w:webHidden/>
          </w:rPr>
          <w:tab/>
        </w:r>
        <w:r w:rsidR="00552224">
          <w:rPr>
            <w:noProof/>
            <w:webHidden/>
          </w:rPr>
          <w:fldChar w:fldCharType="begin"/>
        </w:r>
        <w:r w:rsidR="00552224">
          <w:rPr>
            <w:noProof/>
            <w:webHidden/>
          </w:rPr>
          <w:instrText xml:space="preserve"> PAGEREF _Toc443485025 \h </w:instrText>
        </w:r>
        <w:r w:rsidR="00552224">
          <w:rPr>
            <w:noProof/>
            <w:webHidden/>
          </w:rPr>
        </w:r>
        <w:r w:rsidR="00552224">
          <w:rPr>
            <w:noProof/>
            <w:webHidden/>
          </w:rPr>
          <w:fldChar w:fldCharType="separate"/>
        </w:r>
        <w:r w:rsidR="004E0887">
          <w:rPr>
            <w:noProof/>
            <w:webHidden/>
          </w:rPr>
          <w:t>38</w:t>
        </w:r>
        <w:r w:rsidR="00552224">
          <w:rPr>
            <w:noProof/>
            <w:webHidden/>
          </w:rPr>
          <w:fldChar w:fldCharType="end"/>
        </w:r>
      </w:hyperlink>
    </w:p>
    <w:p w:rsidR="00552224" w:rsidRDefault="00F852FE">
      <w:pPr>
        <w:pStyle w:val="TOC1"/>
        <w:rPr>
          <w:rFonts w:asciiTheme="minorHAnsi" w:eastAsiaTheme="minorEastAsia" w:hAnsiTheme="minorHAnsi" w:cstheme="minorBidi"/>
          <w:noProof/>
          <w:sz w:val="22"/>
          <w:szCs w:val="22"/>
        </w:rPr>
      </w:pPr>
      <w:hyperlink w:anchor="_Toc443485026" w:history="1">
        <w:r w:rsidR="00552224" w:rsidRPr="00337FD1">
          <w:rPr>
            <w:rStyle w:val="Hyperlink"/>
            <w:noProof/>
          </w:rPr>
          <w:t>Schedule No. 1-A Water Rate Base</w:t>
        </w:r>
        <w:r w:rsidR="00552224">
          <w:rPr>
            <w:noProof/>
            <w:webHidden/>
          </w:rPr>
          <w:tab/>
        </w:r>
        <w:r w:rsidR="00552224">
          <w:rPr>
            <w:noProof/>
            <w:webHidden/>
          </w:rPr>
          <w:fldChar w:fldCharType="begin"/>
        </w:r>
        <w:r w:rsidR="00552224">
          <w:rPr>
            <w:noProof/>
            <w:webHidden/>
          </w:rPr>
          <w:instrText xml:space="preserve"> PAGEREF _Toc443485026 \h </w:instrText>
        </w:r>
        <w:r w:rsidR="00552224">
          <w:rPr>
            <w:noProof/>
            <w:webHidden/>
          </w:rPr>
        </w:r>
        <w:r w:rsidR="00552224">
          <w:rPr>
            <w:noProof/>
            <w:webHidden/>
          </w:rPr>
          <w:fldChar w:fldCharType="separate"/>
        </w:r>
        <w:r w:rsidR="004E0887">
          <w:rPr>
            <w:noProof/>
            <w:webHidden/>
          </w:rPr>
          <w:t>39</w:t>
        </w:r>
        <w:r w:rsidR="00552224">
          <w:rPr>
            <w:noProof/>
            <w:webHidden/>
          </w:rPr>
          <w:fldChar w:fldCharType="end"/>
        </w:r>
      </w:hyperlink>
    </w:p>
    <w:p w:rsidR="00552224" w:rsidRDefault="00F852FE">
      <w:pPr>
        <w:pStyle w:val="TOC1"/>
        <w:rPr>
          <w:rFonts w:asciiTheme="minorHAnsi" w:eastAsiaTheme="minorEastAsia" w:hAnsiTheme="minorHAnsi" w:cstheme="minorBidi"/>
          <w:noProof/>
          <w:sz w:val="22"/>
          <w:szCs w:val="22"/>
        </w:rPr>
      </w:pPr>
      <w:hyperlink w:anchor="_Toc443485027" w:history="1">
        <w:r w:rsidR="00552224" w:rsidRPr="00337FD1">
          <w:rPr>
            <w:rStyle w:val="Hyperlink"/>
            <w:noProof/>
          </w:rPr>
          <w:t>Schedule No. 1-B Adjustments to Rate Base</w:t>
        </w:r>
        <w:r w:rsidR="00552224">
          <w:rPr>
            <w:noProof/>
            <w:webHidden/>
          </w:rPr>
          <w:tab/>
        </w:r>
        <w:r w:rsidR="00552224">
          <w:rPr>
            <w:noProof/>
            <w:webHidden/>
          </w:rPr>
          <w:fldChar w:fldCharType="begin"/>
        </w:r>
        <w:r w:rsidR="00552224">
          <w:rPr>
            <w:noProof/>
            <w:webHidden/>
          </w:rPr>
          <w:instrText xml:space="preserve"> PAGEREF _Toc443485027 \h </w:instrText>
        </w:r>
        <w:r w:rsidR="00552224">
          <w:rPr>
            <w:noProof/>
            <w:webHidden/>
          </w:rPr>
        </w:r>
        <w:r w:rsidR="00552224">
          <w:rPr>
            <w:noProof/>
            <w:webHidden/>
          </w:rPr>
          <w:fldChar w:fldCharType="separate"/>
        </w:r>
        <w:r w:rsidR="004E0887">
          <w:rPr>
            <w:noProof/>
            <w:webHidden/>
          </w:rPr>
          <w:t>40</w:t>
        </w:r>
        <w:r w:rsidR="00552224">
          <w:rPr>
            <w:noProof/>
            <w:webHidden/>
          </w:rPr>
          <w:fldChar w:fldCharType="end"/>
        </w:r>
      </w:hyperlink>
    </w:p>
    <w:p w:rsidR="00552224" w:rsidRDefault="00F852FE">
      <w:pPr>
        <w:pStyle w:val="TOC1"/>
        <w:rPr>
          <w:rFonts w:asciiTheme="minorHAnsi" w:eastAsiaTheme="minorEastAsia" w:hAnsiTheme="minorHAnsi" w:cstheme="minorBidi"/>
          <w:noProof/>
          <w:sz w:val="22"/>
          <w:szCs w:val="22"/>
        </w:rPr>
      </w:pPr>
      <w:hyperlink w:anchor="_Toc443485028" w:history="1">
        <w:r w:rsidR="00552224" w:rsidRPr="00337FD1">
          <w:rPr>
            <w:rStyle w:val="Hyperlink"/>
            <w:noProof/>
          </w:rPr>
          <w:t>Schedule No. 2 Capital Structure</w:t>
        </w:r>
        <w:r w:rsidR="00552224">
          <w:rPr>
            <w:noProof/>
            <w:webHidden/>
          </w:rPr>
          <w:tab/>
        </w:r>
        <w:r w:rsidR="00552224">
          <w:rPr>
            <w:noProof/>
            <w:webHidden/>
          </w:rPr>
          <w:fldChar w:fldCharType="begin"/>
        </w:r>
        <w:r w:rsidR="00552224">
          <w:rPr>
            <w:noProof/>
            <w:webHidden/>
          </w:rPr>
          <w:instrText xml:space="preserve"> PAGEREF _Toc443485028 \h </w:instrText>
        </w:r>
        <w:r w:rsidR="00552224">
          <w:rPr>
            <w:noProof/>
            <w:webHidden/>
          </w:rPr>
        </w:r>
        <w:r w:rsidR="00552224">
          <w:rPr>
            <w:noProof/>
            <w:webHidden/>
          </w:rPr>
          <w:fldChar w:fldCharType="separate"/>
        </w:r>
        <w:r w:rsidR="004E0887">
          <w:rPr>
            <w:noProof/>
            <w:webHidden/>
          </w:rPr>
          <w:t>41</w:t>
        </w:r>
        <w:r w:rsidR="00552224">
          <w:rPr>
            <w:noProof/>
            <w:webHidden/>
          </w:rPr>
          <w:fldChar w:fldCharType="end"/>
        </w:r>
      </w:hyperlink>
    </w:p>
    <w:p w:rsidR="00552224" w:rsidRDefault="00F852FE">
      <w:pPr>
        <w:pStyle w:val="TOC1"/>
        <w:rPr>
          <w:rFonts w:asciiTheme="minorHAnsi" w:eastAsiaTheme="minorEastAsia" w:hAnsiTheme="minorHAnsi" w:cstheme="minorBidi"/>
          <w:noProof/>
          <w:sz w:val="22"/>
          <w:szCs w:val="22"/>
        </w:rPr>
      </w:pPr>
      <w:hyperlink w:anchor="_Toc443485029" w:history="1">
        <w:r w:rsidR="00552224" w:rsidRPr="00337FD1">
          <w:rPr>
            <w:rStyle w:val="Hyperlink"/>
            <w:noProof/>
          </w:rPr>
          <w:t>Schedule No. 3-A  Water Operating Income</w:t>
        </w:r>
        <w:r w:rsidR="00552224">
          <w:rPr>
            <w:noProof/>
            <w:webHidden/>
          </w:rPr>
          <w:tab/>
        </w:r>
        <w:r w:rsidR="00552224">
          <w:rPr>
            <w:noProof/>
            <w:webHidden/>
          </w:rPr>
          <w:fldChar w:fldCharType="begin"/>
        </w:r>
        <w:r w:rsidR="00552224">
          <w:rPr>
            <w:noProof/>
            <w:webHidden/>
          </w:rPr>
          <w:instrText xml:space="preserve"> PAGEREF _Toc443485029 \h </w:instrText>
        </w:r>
        <w:r w:rsidR="00552224">
          <w:rPr>
            <w:noProof/>
            <w:webHidden/>
          </w:rPr>
        </w:r>
        <w:r w:rsidR="00552224">
          <w:rPr>
            <w:noProof/>
            <w:webHidden/>
          </w:rPr>
          <w:fldChar w:fldCharType="separate"/>
        </w:r>
        <w:r w:rsidR="004E0887">
          <w:rPr>
            <w:noProof/>
            <w:webHidden/>
          </w:rPr>
          <w:t>42</w:t>
        </w:r>
        <w:r w:rsidR="00552224">
          <w:rPr>
            <w:noProof/>
            <w:webHidden/>
          </w:rPr>
          <w:fldChar w:fldCharType="end"/>
        </w:r>
      </w:hyperlink>
    </w:p>
    <w:p w:rsidR="00552224" w:rsidRDefault="00F852FE">
      <w:pPr>
        <w:pStyle w:val="TOC1"/>
        <w:rPr>
          <w:rFonts w:asciiTheme="minorHAnsi" w:eastAsiaTheme="minorEastAsia" w:hAnsiTheme="minorHAnsi" w:cstheme="minorBidi"/>
          <w:noProof/>
          <w:sz w:val="22"/>
          <w:szCs w:val="22"/>
        </w:rPr>
      </w:pPr>
      <w:hyperlink w:anchor="_Toc443485030" w:history="1">
        <w:r w:rsidR="00552224" w:rsidRPr="00337FD1">
          <w:rPr>
            <w:rStyle w:val="Hyperlink"/>
            <w:noProof/>
          </w:rPr>
          <w:t>Schedule No. 3-B  Adjustments to NOI</w:t>
        </w:r>
        <w:r w:rsidR="00552224">
          <w:rPr>
            <w:noProof/>
            <w:webHidden/>
          </w:rPr>
          <w:tab/>
        </w:r>
        <w:r w:rsidR="00552224">
          <w:rPr>
            <w:noProof/>
            <w:webHidden/>
          </w:rPr>
          <w:fldChar w:fldCharType="begin"/>
        </w:r>
        <w:r w:rsidR="00552224">
          <w:rPr>
            <w:noProof/>
            <w:webHidden/>
          </w:rPr>
          <w:instrText xml:space="preserve"> PAGEREF _Toc443485030 \h </w:instrText>
        </w:r>
        <w:r w:rsidR="00552224">
          <w:rPr>
            <w:noProof/>
            <w:webHidden/>
          </w:rPr>
        </w:r>
        <w:r w:rsidR="00552224">
          <w:rPr>
            <w:noProof/>
            <w:webHidden/>
          </w:rPr>
          <w:fldChar w:fldCharType="separate"/>
        </w:r>
        <w:r w:rsidR="004E0887">
          <w:rPr>
            <w:noProof/>
            <w:webHidden/>
          </w:rPr>
          <w:t>43</w:t>
        </w:r>
        <w:r w:rsidR="00552224">
          <w:rPr>
            <w:noProof/>
            <w:webHidden/>
          </w:rPr>
          <w:fldChar w:fldCharType="end"/>
        </w:r>
      </w:hyperlink>
    </w:p>
    <w:p w:rsidR="00552224" w:rsidRDefault="00F852FE">
      <w:pPr>
        <w:pStyle w:val="TOC1"/>
        <w:rPr>
          <w:rFonts w:asciiTheme="minorHAnsi" w:eastAsiaTheme="minorEastAsia" w:hAnsiTheme="minorHAnsi" w:cstheme="minorBidi"/>
          <w:noProof/>
          <w:sz w:val="22"/>
          <w:szCs w:val="22"/>
        </w:rPr>
      </w:pPr>
      <w:hyperlink w:anchor="_Toc443485031" w:history="1">
        <w:r w:rsidR="00552224" w:rsidRPr="00337FD1">
          <w:rPr>
            <w:rStyle w:val="Hyperlink"/>
            <w:noProof/>
          </w:rPr>
          <w:t>Schedule No. 3-C  Water O&amp;M Expense</w:t>
        </w:r>
        <w:r w:rsidR="00552224">
          <w:rPr>
            <w:noProof/>
            <w:webHidden/>
          </w:rPr>
          <w:tab/>
        </w:r>
        <w:r w:rsidR="00552224">
          <w:rPr>
            <w:noProof/>
            <w:webHidden/>
          </w:rPr>
          <w:fldChar w:fldCharType="begin"/>
        </w:r>
        <w:r w:rsidR="00552224">
          <w:rPr>
            <w:noProof/>
            <w:webHidden/>
          </w:rPr>
          <w:instrText xml:space="preserve"> PAGEREF _Toc443485031 \h </w:instrText>
        </w:r>
        <w:r w:rsidR="00552224">
          <w:rPr>
            <w:noProof/>
            <w:webHidden/>
          </w:rPr>
        </w:r>
        <w:r w:rsidR="00552224">
          <w:rPr>
            <w:noProof/>
            <w:webHidden/>
          </w:rPr>
          <w:fldChar w:fldCharType="separate"/>
        </w:r>
        <w:r w:rsidR="004E0887">
          <w:rPr>
            <w:noProof/>
            <w:webHidden/>
          </w:rPr>
          <w:t>45</w:t>
        </w:r>
        <w:r w:rsidR="00552224">
          <w:rPr>
            <w:noProof/>
            <w:webHidden/>
          </w:rPr>
          <w:fldChar w:fldCharType="end"/>
        </w:r>
      </w:hyperlink>
    </w:p>
    <w:p w:rsidR="00552224" w:rsidRDefault="00F852FE">
      <w:pPr>
        <w:pStyle w:val="TOC1"/>
        <w:rPr>
          <w:rFonts w:asciiTheme="minorHAnsi" w:eastAsiaTheme="minorEastAsia" w:hAnsiTheme="minorHAnsi" w:cstheme="minorBidi"/>
          <w:noProof/>
          <w:sz w:val="22"/>
          <w:szCs w:val="22"/>
        </w:rPr>
      </w:pPr>
      <w:hyperlink w:anchor="_Toc443485032" w:history="1">
        <w:r w:rsidR="00552224" w:rsidRPr="00337FD1">
          <w:rPr>
            <w:rStyle w:val="Hyperlink"/>
            <w:noProof/>
          </w:rPr>
          <w:t>Schedule No. 4 Monthly Water Rates</w:t>
        </w:r>
        <w:r w:rsidR="00552224">
          <w:rPr>
            <w:noProof/>
            <w:webHidden/>
          </w:rPr>
          <w:tab/>
        </w:r>
        <w:r w:rsidR="00552224">
          <w:rPr>
            <w:noProof/>
            <w:webHidden/>
          </w:rPr>
          <w:fldChar w:fldCharType="begin"/>
        </w:r>
        <w:r w:rsidR="00552224">
          <w:rPr>
            <w:noProof/>
            <w:webHidden/>
          </w:rPr>
          <w:instrText xml:space="preserve"> PAGEREF _Toc443485032 \h </w:instrText>
        </w:r>
        <w:r w:rsidR="00552224">
          <w:rPr>
            <w:noProof/>
            <w:webHidden/>
          </w:rPr>
        </w:r>
        <w:r w:rsidR="00552224">
          <w:rPr>
            <w:noProof/>
            <w:webHidden/>
          </w:rPr>
          <w:fldChar w:fldCharType="separate"/>
        </w:r>
        <w:r w:rsidR="004E0887">
          <w:rPr>
            <w:noProof/>
            <w:webHidden/>
          </w:rPr>
          <w:t>46</w:t>
        </w:r>
        <w:r w:rsidR="00552224">
          <w:rPr>
            <w:noProof/>
            <w:webHidden/>
          </w:rPr>
          <w:fldChar w:fldCharType="end"/>
        </w:r>
      </w:hyperlink>
    </w:p>
    <w:p w:rsidR="00552224" w:rsidRDefault="00F852FE">
      <w:pPr>
        <w:pStyle w:val="TOC1"/>
        <w:rPr>
          <w:rFonts w:asciiTheme="minorHAnsi" w:eastAsiaTheme="minorEastAsia" w:hAnsiTheme="minorHAnsi" w:cstheme="minorBidi"/>
          <w:noProof/>
          <w:sz w:val="22"/>
          <w:szCs w:val="22"/>
        </w:rPr>
      </w:pPr>
      <w:hyperlink w:anchor="_Toc443485033" w:history="1">
        <w:r w:rsidR="00552224" w:rsidRPr="00337FD1">
          <w:rPr>
            <w:rStyle w:val="Hyperlink"/>
            <w:noProof/>
          </w:rPr>
          <w:t>Schedule No. 5  Water Plant, Depreciation, CIAC, &amp; CIAC Amortization Balances</w:t>
        </w:r>
        <w:r w:rsidR="00552224">
          <w:rPr>
            <w:noProof/>
            <w:webHidden/>
          </w:rPr>
          <w:tab/>
        </w:r>
        <w:r w:rsidR="00552224">
          <w:rPr>
            <w:noProof/>
            <w:webHidden/>
          </w:rPr>
          <w:fldChar w:fldCharType="begin"/>
        </w:r>
        <w:r w:rsidR="00552224">
          <w:rPr>
            <w:noProof/>
            <w:webHidden/>
          </w:rPr>
          <w:instrText xml:space="preserve"> PAGEREF _Toc443485033 \h </w:instrText>
        </w:r>
        <w:r w:rsidR="00552224">
          <w:rPr>
            <w:noProof/>
            <w:webHidden/>
          </w:rPr>
        </w:r>
        <w:r w:rsidR="00552224">
          <w:rPr>
            <w:noProof/>
            <w:webHidden/>
          </w:rPr>
          <w:fldChar w:fldCharType="separate"/>
        </w:r>
        <w:r w:rsidR="004E0887">
          <w:rPr>
            <w:noProof/>
            <w:webHidden/>
          </w:rPr>
          <w:t>47</w:t>
        </w:r>
        <w:r w:rsidR="00552224">
          <w:rPr>
            <w:noProof/>
            <w:webHidden/>
          </w:rPr>
          <w:fldChar w:fldCharType="end"/>
        </w:r>
      </w:hyperlink>
    </w:p>
    <w:p w:rsidR="00BA4529" w:rsidRDefault="00500F44" w:rsidP="00BA4529">
      <w:pPr>
        <w:pStyle w:val="BodyText"/>
      </w:pPr>
      <w:r>
        <w:fldChar w:fldCharType="end"/>
      </w:r>
      <w:bookmarkStart w:id="13" w:name="_GoBack"/>
      <w:bookmarkEnd w:id="13"/>
    </w:p>
    <w:p w:rsidR="00BA4529" w:rsidRPr="00BA4529" w:rsidRDefault="00BA4529" w:rsidP="00BA4529">
      <w:pPr>
        <w:pStyle w:val="BodyText"/>
        <w:sectPr w:rsidR="00BA4529" w:rsidRPr="00BA4529" w:rsidSect="00676D24">
          <w:footerReference w:type="first" r:id="rId13"/>
          <w:pgSz w:w="12240" w:h="15840" w:code="1"/>
          <w:pgMar w:top="1584" w:right="1440" w:bottom="1440" w:left="1440" w:header="720" w:footer="720" w:gutter="0"/>
          <w:pgNumType w:fmt="lowerRoman" w:start="1"/>
          <w:cols w:space="720"/>
          <w:formProt w:val="0"/>
          <w:titlePg/>
          <w:docGrid w:linePitch="360"/>
        </w:sectPr>
      </w:pPr>
    </w:p>
    <w:p w:rsidR="007C0528" w:rsidRDefault="007C0528">
      <w:pPr>
        <w:pStyle w:val="RecommendationMajorSectionHeading"/>
      </w:pPr>
      <w:r>
        <w:lastRenderedPageBreak/>
        <w:t>Case Background</w:t>
      </w:r>
      <w:r>
        <w:fldChar w:fldCharType="begin"/>
      </w:r>
      <w:r>
        <w:instrText xml:space="preserve"> TC  "</w:instrText>
      </w:r>
      <w:bookmarkStart w:id="14" w:name="_Toc94516455"/>
      <w:bookmarkStart w:id="15" w:name="_Toc443485010"/>
      <w:r>
        <w:instrText>Case Background</w:instrText>
      </w:r>
      <w:bookmarkEnd w:id="14"/>
      <w:bookmarkEnd w:id="15"/>
      <w:r>
        <w:instrText xml:space="preserve">" \l 1 </w:instrText>
      </w:r>
      <w:r>
        <w:fldChar w:fldCharType="end"/>
      </w:r>
    </w:p>
    <w:p w:rsidR="00423CF2" w:rsidRDefault="00C32617" w:rsidP="00C32617">
      <w:pPr>
        <w:jc w:val="both"/>
      </w:pPr>
      <w:r>
        <w:t>Alturas Utilities, L.L.C., (Alturas or Utility) is a Class C utility providing water service to approximately 51 residential customers and 10 general service customers in Alturas, Florida in Polk County.</w:t>
      </w:r>
      <w:r w:rsidRPr="003B42CB">
        <w:t xml:space="preserve"> </w:t>
      </w:r>
      <w:r>
        <w:t>The Utility’s service territory</w:t>
      </w:r>
      <w:r w:rsidRPr="00510B29">
        <w:t xml:space="preserve"> is located in the Southwest Florida Water Management District (SWFWMD)</w:t>
      </w:r>
      <w:r>
        <w:t xml:space="preserve"> and is subject to a year-round irrigation rule</w:t>
      </w:r>
      <w:r w:rsidRPr="00510B29">
        <w:t>.</w:t>
      </w:r>
      <w:r>
        <w:t xml:space="preserve"> Alturas has been in existence since 1928 and was granted a Grandfather certificate </w:t>
      </w:r>
      <w:r w:rsidR="00952837">
        <w:t xml:space="preserve">by the Commission </w:t>
      </w:r>
      <w:r>
        <w:t xml:space="preserve">in 1997 </w:t>
      </w:r>
      <w:r w:rsidR="00952837">
        <w:t xml:space="preserve">in the name of </w:t>
      </w:r>
      <w:r>
        <w:t>Alturas Waterworks.</w:t>
      </w:r>
      <w:r>
        <w:rPr>
          <w:rStyle w:val="FootnoteReference"/>
        </w:rPr>
        <w:footnoteReference w:id="1"/>
      </w:r>
      <w:r>
        <w:t xml:space="preserve"> The </w:t>
      </w:r>
      <w:r w:rsidR="00952837">
        <w:t xml:space="preserve">Utility’s </w:t>
      </w:r>
      <w:r>
        <w:t>water treatment plant (WTP)</w:t>
      </w:r>
      <w:r w:rsidRPr="003B42CB">
        <w:t xml:space="preserve"> </w:t>
      </w:r>
      <w:r>
        <w:t>was placed into service in 1952 and was fully depreciated in</w:t>
      </w:r>
      <w:r w:rsidRPr="003B42CB">
        <w:t xml:space="preserve"> December 1992.</w:t>
      </w:r>
      <w:r>
        <w:rPr>
          <w:rStyle w:val="FootnoteReference"/>
        </w:rPr>
        <w:footnoteReference w:id="2"/>
      </w:r>
      <w:r w:rsidR="00952837">
        <w:t xml:space="preserve"> </w:t>
      </w:r>
    </w:p>
    <w:p w:rsidR="00423CF2" w:rsidRDefault="00423CF2" w:rsidP="00C32617">
      <w:pPr>
        <w:jc w:val="both"/>
      </w:pPr>
    </w:p>
    <w:p w:rsidR="00C32617" w:rsidRDefault="00952837" w:rsidP="00C32617">
      <w:pPr>
        <w:jc w:val="both"/>
      </w:pPr>
      <w:r>
        <w:t xml:space="preserve">In 1998, </w:t>
      </w:r>
      <w:r w:rsidR="00C32617">
        <w:t>Alturas Waterworks was transferred to Keen Sales, Rentals and Utilities, Inc. (Keen).</w:t>
      </w:r>
      <w:r w:rsidR="00C32617">
        <w:rPr>
          <w:rStyle w:val="FootnoteReference"/>
        </w:rPr>
        <w:footnoteReference w:id="3"/>
      </w:r>
      <w:r w:rsidR="00C32617">
        <w:t xml:space="preserve"> </w:t>
      </w:r>
      <w:r w:rsidR="00C32617" w:rsidRPr="00C7015C">
        <w:t>Alturas</w:t>
      </w:r>
      <w:r w:rsidR="00C32617">
        <w:t xml:space="preserve"> Utilities </w:t>
      </w:r>
      <w:r w:rsidR="00C32617" w:rsidRPr="006F1358">
        <w:t>acquired a portion of Keen’s service territory in 2005</w:t>
      </w:r>
      <w:r w:rsidR="00C32617">
        <w:t xml:space="preserve"> </w:t>
      </w:r>
      <w:r w:rsidR="00C32617" w:rsidRPr="00C7015C">
        <w:t xml:space="preserve">when </w:t>
      </w:r>
      <w:r>
        <w:t xml:space="preserve">the Commission </w:t>
      </w:r>
      <w:r w:rsidR="00C32617" w:rsidRPr="00C7015C">
        <w:t xml:space="preserve">granted </w:t>
      </w:r>
      <w:r>
        <w:t>the</w:t>
      </w:r>
      <w:r w:rsidR="00C32617">
        <w:t xml:space="preserve"> transfer.</w:t>
      </w:r>
      <w:r w:rsidR="00C32617">
        <w:rPr>
          <w:rStyle w:val="FootnoteReference"/>
        </w:rPr>
        <w:footnoteReference w:id="4"/>
      </w:r>
      <w:r w:rsidR="00C32617">
        <w:t xml:space="preserve"> According to the Utility’s 2014 Annual Report, its total gross revenues were $27,710 and total operating expenses were $42,012, resulting in a net loss of $14,302. </w:t>
      </w:r>
    </w:p>
    <w:p w:rsidR="00C32617" w:rsidRDefault="00C32617" w:rsidP="00C32617">
      <w:pPr>
        <w:jc w:val="both"/>
      </w:pPr>
    </w:p>
    <w:p w:rsidR="00C32617" w:rsidRDefault="00C32617" w:rsidP="00C32617">
      <w:pPr>
        <w:jc w:val="both"/>
      </w:pPr>
      <w:r>
        <w:t xml:space="preserve">On November 10, 2014, Alturas filed </w:t>
      </w:r>
      <w:r w:rsidR="00423CF2">
        <w:t>its</w:t>
      </w:r>
      <w:r>
        <w:t xml:space="preserve"> application for a staff-assisted rate case (SARC)</w:t>
      </w:r>
      <w:r w:rsidR="00952837">
        <w:t>, in accordance with a payment plan negotiated with staff for the payment of delinquent Regulatory Assessment Fees (RAFs) owed by the Utility</w:t>
      </w:r>
      <w:r>
        <w:t>. Staff selected the test year ending December 31, 2014, for the instant case.</w:t>
      </w:r>
      <w:r w:rsidR="00952837">
        <w:t xml:space="preserve"> Alturas’</w:t>
      </w:r>
      <w:r>
        <w:t xml:space="preserve"> last rate case proceeding before the Commission was in 2009 in Docket No. 090477-WU.</w:t>
      </w:r>
      <w:r>
        <w:rPr>
          <w:rStyle w:val="FootnoteReference"/>
        </w:rPr>
        <w:footnoteReference w:id="5"/>
      </w:r>
      <w:r>
        <w:t xml:space="preserve"> </w:t>
      </w:r>
    </w:p>
    <w:p w:rsidR="00C32617" w:rsidRDefault="00C32617" w:rsidP="00C32617">
      <w:pPr>
        <w:jc w:val="both"/>
      </w:pPr>
    </w:p>
    <w:p w:rsidR="0068481F" w:rsidRDefault="00A71AB2" w:rsidP="00C32617">
      <w:pPr>
        <w:pStyle w:val="BodyText"/>
      </w:pPr>
      <w:r>
        <w:t>On May 19, 201</w:t>
      </w:r>
      <w:r w:rsidR="00952837">
        <w:t>5, a</w:t>
      </w:r>
      <w:r w:rsidR="00C32617">
        <w:t xml:space="preserve"> customer m</w:t>
      </w:r>
      <w:r w:rsidR="002322F9">
        <w:t xml:space="preserve">eeting was held </w:t>
      </w:r>
      <w:r w:rsidR="00952837">
        <w:t xml:space="preserve">in Bartow, Florida </w:t>
      </w:r>
      <w:r w:rsidR="00C32617">
        <w:t xml:space="preserve">to receive customer </w:t>
      </w:r>
      <w:r w:rsidR="00952837">
        <w:t xml:space="preserve">questions and </w:t>
      </w:r>
      <w:r w:rsidR="00C32617">
        <w:t>comments concerning Alturas’</w:t>
      </w:r>
      <w:r w:rsidR="00C32617" w:rsidRPr="00BC2E37">
        <w:t xml:space="preserve"> </w:t>
      </w:r>
      <w:r w:rsidR="00952837">
        <w:t xml:space="preserve">rate case and </w:t>
      </w:r>
      <w:r w:rsidR="00C32617" w:rsidRPr="00BC2E37">
        <w:t>quality of service</w:t>
      </w:r>
      <w:r w:rsidR="00C32617">
        <w:t xml:space="preserve">. On June 11, 2015, the Office of Public Counsel (OPC) </w:t>
      </w:r>
      <w:r w:rsidR="00952837">
        <w:t xml:space="preserve">filed comments </w:t>
      </w:r>
      <w:r w:rsidR="00C32617">
        <w:t>identif</w:t>
      </w:r>
      <w:r w:rsidR="00952837">
        <w:t>ying its</w:t>
      </w:r>
      <w:r w:rsidR="00C32617">
        <w:t xml:space="preserve"> concerns with</w:t>
      </w:r>
      <w:r w:rsidR="00C32617" w:rsidRPr="0041295E">
        <w:t xml:space="preserve"> information </w:t>
      </w:r>
      <w:r w:rsidR="00952837">
        <w:t xml:space="preserve">contained </w:t>
      </w:r>
      <w:r w:rsidR="00C32617" w:rsidRPr="0041295E">
        <w:t xml:space="preserve">in the </w:t>
      </w:r>
      <w:r w:rsidR="00952837">
        <w:t>S</w:t>
      </w:r>
      <w:r w:rsidR="00C32617" w:rsidRPr="0041295E">
        <w:t xml:space="preserve">taff </w:t>
      </w:r>
      <w:r w:rsidR="00952837">
        <w:t>R</w:t>
      </w:r>
      <w:r w:rsidR="00C32617" w:rsidRPr="0041295E">
        <w:t>eport</w:t>
      </w:r>
      <w:r w:rsidR="00C32617">
        <w:t>.</w:t>
      </w:r>
      <w:r w:rsidR="00C32617">
        <w:rPr>
          <w:rStyle w:val="FootnoteReference"/>
        </w:rPr>
        <w:footnoteReference w:id="6"/>
      </w:r>
      <w:r w:rsidR="00C32617">
        <w:t xml:space="preserve"> </w:t>
      </w:r>
      <w:r w:rsidR="00952837">
        <w:t>On December 9, 2015, staff held a noticed, informal meeting with OPC to discuss the status of the Utility’s SARC, including issues or concerns identified by staff, OPC or other interested party.</w:t>
      </w:r>
      <w:r w:rsidR="00142855">
        <w:rPr>
          <w:rStyle w:val="FootnoteReference"/>
        </w:rPr>
        <w:footnoteReference w:id="7"/>
      </w:r>
      <w:r w:rsidR="00952837">
        <w:t xml:space="preserve"> </w:t>
      </w:r>
      <w:r w:rsidR="00C32617">
        <w:t>The Commission has jurisdiction in this case pursuant to Section 367.0814, Florida Statutes, (F.S.).</w:t>
      </w:r>
    </w:p>
    <w:p w:rsidR="007C0528" w:rsidRDefault="007C0528" w:rsidP="0068481F"/>
    <w:bookmarkEnd w:id="12"/>
    <w:p w:rsidR="00EA2273" w:rsidRDefault="00EA2273">
      <w:pPr>
        <w:pStyle w:val="RecommendationMajorSectionHeading"/>
        <w:sectPr w:rsidR="00EA2273" w:rsidSect="00676D24">
          <w:headerReference w:type="first" r:id="rId14"/>
          <w:footerReference w:type="first" r:id="rId15"/>
          <w:pgSz w:w="12240" w:h="15840" w:code="1"/>
          <w:pgMar w:top="1584" w:right="1440" w:bottom="1440" w:left="1440" w:header="720" w:footer="720" w:gutter="0"/>
          <w:pgNumType w:start="1"/>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BA4529" w:rsidRDefault="00BA4529">
      <w:pPr>
        <w:pStyle w:val="IssueHeading"/>
        <w:rPr>
          <w:vanish/>
          <w:specVanish/>
        </w:rPr>
      </w:pPr>
      <w:r w:rsidRPr="004C3641">
        <w:t xml:space="preserve">Issue </w:t>
      </w:r>
      <w:r w:rsidR="00F852FE">
        <w:fldChar w:fldCharType="begin"/>
      </w:r>
      <w:r w:rsidR="00F852FE">
        <w:instrText xml:space="preserve"> SEQ Issue \* MERGEFORMAT </w:instrText>
      </w:r>
      <w:r w:rsidR="00F852FE">
        <w:fldChar w:fldCharType="separate"/>
      </w:r>
      <w:r w:rsidR="004E0887">
        <w:rPr>
          <w:noProof/>
        </w:rPr>
        <w:t>1</w:t>
      </w:r>
      <w:r w:rsidR="00F852FE">
        <w:rPr>
          <w:noProof/>
        </w:rPr>
        <w:fldChar w:fldCharType="end"/>
      </w:r>
      <w:r w:rsidRPr="004C3641">
        <w:t>:</w:t>
      </w:r>
      <w:r>
        <w:fldChar w:fldCharType="begin"/>
      </w:r>
      <w:r>
        <w:instrText xml:space="preserve"> TC "</w:instrText>
      </w:r>
      <w:bookmarkStart w:id="17" w:name="_Toc443485011"/>
      <w:r>
        <w:instrText xml:space="preserve">Issue </w:instrText>
      </w:r>
      <w:r>
        <w:fldChar w:fldCharType="begin"/>
      </w:r>
      <w:r>
        <w:instrText xml:space="preserve"> SEQ issue \c </w:instrText>
      </w:r>
      <w:r>
        <w:fldChar w:fldCharType="separate"/>
      </w:r>
      <w:r w:rsidR="004E0887">
        <w:rPr>
          <w:noProof/>
        </w:rPr>
        <w:instrText>1</w:instrText>
      </w:r>
      <w:r>
        <w:fldChar w:fldCharType="end"/>
      </w:r>
      <w:r>
        <w:instrText xml:space="preserve"> Quality of Service</w:instrText>
      </w:r>
      <w:bookmarkEnd w:id="17"/>
      <w:r>
        <w:instrText xml:space="preserve">" \l 1 </w:instrText>
      </w:r>
      <w:r>
        <w:fldChar w:fldCharType="end"/>
      </w:r>
      <w:r>
        <w:t> </w:t>
      </w:r>
    </w:p>
    <w:p w:rsidR="00C32617" w:rsidRDefault="00BA4529" w:rsidP="00C32617">
      <w:pPr>
        <w:pStyle w:val="BodyText"/>
      </w:pPr>
      <w:r>
        <w:t> </w:t>
      </w:r>
      <w:r w:rsidR="00C32617">
        <w:t xml:space="preserve">Should </w:t>
      </w:r>
      <w:r w:rsidR="00C32617" w:rsidRPr="007969F8">
        <w:t xml:space="preserve">the quality of service provided by </w:t>
      </w:r>
      <w:r w:rsidR="00142855">
        <w:t>Alturas</w:t>
      </w:r>
      <w:r w:rsidR="00DA54CE">
        <w:t xml:space="preserve"> </w:t>
      </w:r>
      <w:r w:rsidR="00C32617">
        <w:t>be considered</w:t>
      </w:r>
      <w:r w:rsidR="00C32617" w:rsidRPr="007969F8">
        <w:t xml:space="preserve"> satisfactory?</w:t>
      </w:r>
    </w:p>
    <w:p w:rsidR="00C32617" w:rsidRPr="004C3641" w:rsidRDefault="00C32617" w:rsidP="00C32617">
      <w:pPr>
        <w:pStyle w:val="IssueSubsectionHeading"/>
        <w:rPr>
          <w:vanish/>
          <w:specVanish/>
        </w:rPr>
      </w:pPr>
      <w:r w:rsidRPr="004C3641">
        <w:t>Recommendation: </w:t>
      </w:r>
    </w:p>
    <w:p w:rsidR="00C32617" w:rsidRDefault="00C32617" w:rsidP="00C32617">
      <w:pPr>
        <w:pStyle w:val="BodyText"/>
      </w:pPr>
      <w:r>
        <w:t> </w:t>
      </w:r>
      <w:r w:rsidRPr="000C78C6">
        <w:t xml:space="preserve">No. </w:t>
      </w:r>
      <w:r>
        <w:t>T</w:t>
      </w:r>
      <w:r w:rsidRPr="000C78C6">
        <w:t xml:space="preserve">he </w:t>
      </w:r>
      <w:r>
        <w:t xml:space="preserve">overall </w:t>
      </w:r>
      <w:r w:rsidRPr="000C78C6">
        <w:t>qualit</w:t>
      </w:r>
      <w:r>
        <w:t>y of service provided by Alturas</w:t>
      </w:r>
      <w:r w:rsidRPr="000C78C6">
        <w:t xml:space="preserve"> </w:t>
      </w:r>
      <w:r>
        <w:t xml:space="preserve">should </w:t>
      </w:r>
      <w:r w:rsidRPr="000C78C6">
        <w:t>be considered unsatisfactory</w:t>
      </w:r>
      <w:r>
        <w:t xml:space="preserve"> because the Utility has failed to address maintenance and repairs recommended by the Polk County Health Department (PCHD) in 2011. As such, s</w:t>
      </w:r>
      <w:r w:rsidRPr="00507ACB">
        <w:t>taff recommends</w:t>
      </w:r>
      <w:r>
        <w:t xml:space="preserve"> </w:t>
      </w:r>
      <w:r w:rsidRPr="00507ACB">
        <w:t>decreasi</w:t>
      </w:r>
      <w:r>
        <w:t>ng</w:t>
      </w:r>
      <w:r w:rsidRPr="00507ACB">
        <w:t xml:space="preserve"> the </w:t>
      </w:r>
      <w:r w:rsidR="002D7B30">
        <w:t xml:space="preserve">officers’ </w:t>
      </w:r>
      <w:r w:rsidR="00142855">
        <w:t>s</w:t>
      </w:r>
      <w:r w:rsidRPr="00507ACB">
        <w:t>alar</w:t>
      </w:r>
      <w:r w:rsidR="00552224">
        <w:t>ies</w:t>
      </w:r>
      <w:r w:rsidRPr="00507ACB">
        <w:t xml:space="preserve"> by 25 percent</w:t>
      </w:r>
      <w:r w:rsidR="00142855">
        <w:t xml:space="preserve"> as detailed in Issue 7. </w:t>
      </w:r>
      <w:r>
        <w:t>(Lewis</w:t>
      </w:r>
      <w:r w:rsidRPr="00020A26">
        <w:t>)</w:t>
      </w:r>
      <w:r>
        <w:t xml:space="preserve"> </w:t>
      </w:r>
    </w:p>
    <w:p w:rsidR="00C32617" w:rsidRPr="004C3641" w:rsidRDefault="00C32617" w:rsidP="00C32617">
      <w:pPr>
        <w:pStyle w:val="IssueSubsectionHeading"/>
        <w:rPr>
          <w:vanish/>
          <w:specVanish/>
        </w:rPr>
      </w:pPr>
      <w:r w:rsidRPr="004C3641">
        <w:t>Staff Analysis: </w:t>
      </w:r>
    </w:p>
    <w:p w:rsidR="00C32617" w:rsidRDefault="00C32617" w:rsidP="00C32617">
      <w:pPr>
        <w:jc w:val="both"/>
      </w:pPr>
      <w:r>
        <w:t> Pursuant to Rule 25-30.433(1), F.A.C., in water and wastewater rate cases, the Commission shall determine the overall quality of service provided by the</w:t>
      </w:r>
      <w:r w:rsidR="005363FC">
        <w:t xml:space="preserve"> u</w:t>
      </w:r>
      <w:r>
        <w:t xml:space="preserve">tility. </w:t>
      </w:r>
      <w:r w:rsidR="005363FC">
        <w:t xml:space="preserve">Overall quality of service </w:t>
      </w:r>
      <w:r>
        <w:t>is derived from an evaluation of three separate components of the Utility</w:t>
      </w:r>
      <w:r w:rsidR="00213E20">
        <w:t>’s</w:t>
      </w:r>
      <w:r>
        <w:t xml:space="preserve"> operations. These components are</w:t>
      </w:r>
      <w:r w:rsidR="00F93614">
        <w:t>:</w:t>
      </w:r>
      <w:r>
        <w:t xml:space="preserve"> (1) the quality of the </w:t>
      </w:r>
      <w:r w:rsidR="005363FC">
        <w:t>u</w:t>
      </w:r>
      <w:r>
        <w:t>tility’s product</w:t>
      </w:r>
      <w:r w:rsidR="00F93614">
        <w:t>;</w:t>
      </w:r>
      <w:r>
        <w:t xml:space="preserve"> (2) the operating conditions of the </w:t>
      </w:r>
      <w:r w:rsidR="005363FC">
        <w:t>u</w:t>
      </w:r>
      <w:r>
        <w:t>tility’s plant and facilities</w:t>
      </w:r>
      <w:r w:rsidR="00F93614">
        <w:t>;</w:t>
      </w:r>
      <w:r>
        <w:t xml:space="preserve"> and (3) the </w:t>
      </w:r>
      <w:r w:rsidR="005363FC">
        <w:t>u</w:t>
      </w:r>
      <w:r>
        <w:t xml:space="preserve">tility’s attempt to address customer satisfaction. The </w:t>
      </w:r>
      <w:r w:rsidR="005363FC">
        <w:t>R</w:t>
      </w:r>
      <w:r>
        <w:t xml:space="preserve">ule further states that sanitary surveys, outstanding citations, violations, and consent orders on file with the </w:t>
      </w:r>
      <w:r w:rsidR="00771B4F">
        <w:t>Department of Environmental Protection (</w:t>
      </w:r>
      <w:r>
        <w:t>DEP</w:t>
      </w:r>
      <w:r w:rsidR="00771B4F">
        <w:t>)</w:t>
      </w:r>
      <w:r>
        <w:t xml:space="preserve"> and the county health department over the preceding three-year period shall be considered. Additionally, Section 367.0812(1)(c), F.S., requires the Commission </w:t>
      </w:r>
      <w:r w:rsidR="00423CF2">
        <w:t xml:space="preserve">to </w:t>
      </w:r>
      <w:r w:rsidRPr="0025357E">
        <w:t xml:space="preserve">consider the extent to which the utility provides water service that meets secondary water quality standards as established by the </w:t>
      </w:r>
      <w:r>
        <w:t>DEP</w:t>
      </w:r>
      <w:r w:rsidRPr="0025357E">
        <w:t>.</w:t>
      </w:r>
      <w:r>
        <w:t xml:space="preserve"> </w:t>
      </w:r>
    </w:p>
    <w:p w:rsidR="00C32617" w:rsidRDefault="00C32617" w:rsidP="00C32617">
      <w:pPr>
        <w:pStyle w:val="IssueSubsectionHeading"/>
        <w:spacing w:after="0"/>
        <w:rPr>
          <w:i w:val="0"/>
        </w:rPr>
      </w:pPr>
    </w:p>
    <w:p w:rsidR="00C32617" w:rsidRPr="000475DE" w:rsidRDefault="00C32617" w:rsidP="00C32617">
      <w:pPr>
        <w:pStyle w:val="IssueSubsectionHeading"/>
        <w:spacing w:after="0"/>
        <w:rPr>
          <w:i w:val="0"/>
        </w:rPr>
      </w:pPr>
      <w:r w:rsidRPr="000475DE">
        <w:rPr>
          <w:i w:val="0"/>
        </w:rPr>
        <w:t>Quality of Utility’s Product</w:t>
      </w:r>
    </w:p>
    <w:p w:rsidR="00C32617" w:rsidRDefault="00C32617" w:rsidP="00C32617">
      <w:pPr>
        <w:jc w:val="both"/>
      </w:pPr>
      <w:r>
        <w:t xml:space="preserve">Staff’s evaluation of Alturas’ product quality consisted of a review of the Utility’s compliance with </w:t>
      </w:r>
      <w:r w:rsidR="00771B4F">
        <w:t xml:space="preserve">the </w:t>
      </w:r>
      <w:r>
        <w:t xml:space="preserve">DEP primary and secondary drinking water standards, county health department standards, and customer complaints. </w:t>
      </w:r>
      <w:r w:rsidRPr="001948CB">
        <w:t xml:space="preserve">Primary standards protect public health </w:t>
      </w:r>
      <w:r>
        <w:t>while secondary standards regulate c</w:t>
      </w:r>
      <w:r w:rsidRPr="00C45270">
        <w:t xml:space="preserve">ontaminants that </w:t>
      </w:r>
      <w:r>
        <w:t>may impact the taste, odor, and color of</w:t>
      </w:r>
      <w:r w:rsidRPr="00C45270">
        <w:t xml:space="preserve"> drinking water.</w:t>
      </w:r>
      <w:r>
        <w:t xml:space="preserve"> </w:t>
      </w:r>
    </w:p>
    <w:p w:rsidR="00C32617" w:rsidRDefault="00C32617" w:rsidP="00C32617">
      <w:pPr>
        <w:jc w:val="both"/>
      </w:pPr>
    </w:p>
    <w:p w:rsidR="00C32617" w:rsidRDefault="00C32617" w:rsidP="00C32617">
      <w:pPr>
        <w:jc w:val="both"/>
      </w:pPr>
      <w:r>
        <w:t xml:space="preserve">Based on staff’s review of </w:t>
      </w:r>
      <w:r w:rsidR="00771B4F">
        <w:t xml:space="preserve">the </w:t>
      </w:r>
      <w:r>
        <w:t xml:space="preserve">DEP and </w:t>
      </w:r>
      <w:r w:rsidR="00771B4F">
        <w:t xml:space="preserve">the </w:t>
      </w:r>
      <w:r>
        <w:t xml:space="preserve">PCHD records, Alturas was in compliance with all primary and secondary standards during the three-year period (2012-2014) that preceded its application for a staff-assisted rate case. </w:t>
      </w:r>
      <w:r w:rsidR="005363FC">
        <w:t>However, o</w:t>
      </w:r>
      <w:r>
        <w:t xml:space="preserve">n June 9, 2015, </w:t>
      </w:r>
      <w:r w:rsidR="006C57A1">
        <w:t xml:space="preserve">the </w:t>
      </w:r>
      <w:r>
        <w:t xml:space="preserve">PCHD conducted a sanitary survey and found that </w:t>
      </w:r>
      <w:r w:rsidR="005363FC">
        <w:t xml:space="preserve">the Utility’s </w:t>
      </w:r>
      <w:r>
        <w:t xml:space="preserve">chlorination levels were insufficient. Follow up inspections </w:t>
      </w:r>
      <w:r w:rsidR="005363FC">
        <w:t xml:space="preserve">by the PCHD </w:t>
      </w:r>
      <w:r>
        <w:t xml:space="preserve">on July 9, 2015, and July 17, 2015, </w:t>
      </w:r>
      <w:r w:rsidR="005363FC">
        <w:t>indicated</w:t>
      </w:r>
      <w:r>
        <w:t xml:space="preserve"> that the chlorination issue had not been resolved. On July 21, 2015, </w:t>
      </w:r>
      <w:r w:rsidR="006C57A1">
        <w:t xml:space="preserve">the </w:t>
      </w:r>
      <w:r>
        <w:t xml:space="preserve">PCHD issued a warning notice </w:t>
      </w:r>
      <w:r w:rsidR="005363FC">
        <w:t>to</w:t>
      </w:r>
      <w:r>
        <w:t xml:space="preserve"> both Alturas and its sister company, Sunrise Utilities L.L.C., for not properly maintaining chlorine residuals. Alturas’ triennial test</w:t>
      </w:r>
      <w:r w:rsidR="005363FC">
        <w:t xml:space="preserve">ing, of </w:t>
      </w:r>
      <w:r w:rsidRPr="00AA47FF">
        <w:t>both prim</w:t>
      </w:r>
      <w:r>
        <w:t xml:space="preserve">ary and secondary standards, </w:t>
      </w:r>
      <w:r w:rsidRPr="00AA47FF">
        <w:t xml:space="preserve">completed on December 15, 2015, </w:t>
      </w:r>
      <w:r>
        <w:t xml:space="preserve">indicated that the </w:t>
      </w:r>
      <w:r w:rsidRPr="00AA47FF">
        <w:t xml:space="preserve">Utility </w:t>
      </w:r>
      <w:r>
        <w:t xml:space="preserve">was in compliance with </w:t>
      </w:r>
      <w:r w:rsidR="00771B4F">
        <w:t xml:space="preserve">the </w:t>
      </w:r>
      <w:r>
        <w:t xml:space="preserve">DEP and </w:t>
      </w:r>
      <w:r w:rsidR="00771B4F">
        <w:t xml:space="preserve">the </w:t>
      </w:r>
      <w:r>
        <w:t xml:space="preserve">PCHD standards. Therefore, it appears </w:t>
      </w:r>
      <w:r w:rsidR="005363FC">
        <w:t>that Alturas</w:t>
      </w:r>
      <w:r>
        <w:t xml:space="preserve"> has corrected </w:t>
      </w:r>
      <w:r w:rsidR="005363FC">
        <w:t xml:space="preserve">the </w:t>
      </w:r>
      <w:r>
        <w:t xml:space="preserve">chlorination issues and is now in compliance with </w:t>
      </w:r>
      <w:r w:rsidR="00771B4F">
        <w:t xml:space="preserve">the </w:t>
      </w:r>
      <w:r>
        <w:t xml:space="preserve">DEP and </w:t>
      </w:r>
      <w:r w:rsidR="00771B4F">
        <w:t xml:space="preserve">the </w:t>
      </w:r>
      <w:r>
        <w:t xml:space="preserve">PCHD primary and secondary standards. </w:t>
      </w:r>
    </w:p>
    <w:p w:rsidR="00C32617" w:rsidRDefault="00C32617" w:rsidP="00C32617">
      <w:pPr>
        <w:jc w:val="both"/>
      </w:pPr>
    </w:p>
    <w:p w:rsidR="00C32617" w:rsidRPr="005C56CF" w:rsidRDefault="00C32617" w:rsidP="00C32617">
      <w:pPr>
        <w:jc w:val="both"/>
        <w:rPr>
          <w:highlight w:val="yellow"/>
        </w:rPr>
      </w:pPr>
      <w:r w:rsidRPr="005C56CF">
        <w:t>Staff’s review of complaints filed by customers did not reveal any issues or concerns regarding the quality of Alturas’ product. Based o</w:t>
      </w:r>
      <w:r>
        <w:t>n staff’s review, giving consideration to the Utility’s current compliance with</w:t>
      </w:r>
      <w:r w:rsidR="00771B4F">
        <w:t xml:space="preserve"> the</w:t>
      </w:r>
      <w:r>
        <w:t xml:space="preserve"> DEP and </w:t>
      </w:r>
      <w:r w:rsidR="00771B4F">
        <w:t xml:space="preserve">the </w:t>
      </w:r>
      <w:r>
        <w:t xml:space="preserve">PCHD standards, as well as </w:t>
      </w:r>
      <w:r w:rsidR="005363FC">
        <w:t xml:space="preserve">the lack of </w:t>
      </w:r>
      <w:r>
        <w:t xml:space="preserve">customer complaints, the quality of Alturas’ product should be considered satisfactory. </w:t>
      </w:r>
    </w:p>
    <w:p w:rsidR="00C32617" w:rsidRDefault="00C32617" w:rsidP="00C32617">
      <w:pPr>
        <w:jc w:val="both"/>
      </w:pPr>
    </w:p>
    <w:p w:rsidR="003C5E88" w:rsidRDefault="003C5E88">
      <w:pPr>
        <w:rPr>
          <w:rFonts w:ascii="Arial" w:hAnsi="Arial" w:cs="Arial"/>
          <w:b/>
        </w:rPr>
      </w:pPr>
      <w:r>
        <w:rPr>
          <w:rFonts w:ascii="Arial" w:hAnsi="Arial" w:cs="Arial"/>
          <w:b/>
        </w:rPr>
        <w:br w:type="page"/>
      </w:r>
    </w:p>
    <w:p w:rsidR="00C32617" w:rsidRDefault="00C32617" w:rsidP="00C32617">
      <w:pPr>
        <w:rPr>
          <w:rFonts w:ascii="Arial" w:hAnsi="Arial" w:cs="Arial"/>
          <w:b/>
        </w:rPr>
      </w:pPr>
      <w:r w:rsidRPr="006402C0">
        <w:rPr>
          <w:rFonts w:ascii="Arial" w:hAnsi="Arial" w:cs="Arial"/>
          <w:b/>
        </w:rPr>
        <w:lastRenderedPageBreak/>
        <w:t>Operating Condition of the Utility’s Plant and Facilities</w:t>
      </w:r>
    </w:p>
    <w:p w:rsidR="00C32617" w:rsidRDefault="00C32617" w:rsidP="00C32617">
      <w:pPr>
        <w:jc w:val="both"/>
      </w:pPr>
      <w:r>
        <w:t>Alturas’ water system provides finished water obtained from a single well</w:t>
      </w:r>
      <w:r w:rsidR="005363FC">
        <w:t>,</w:t>
      </w:r>
      <w:r>
        <w:t xml:space="preserve"> which draws ground water from the aquifer. The raw water is injected with liquid chlorine prior to entering a 3,000-gallon hydropneumatic tank, and then pumped into the water distribution system. The distribution system is a composite network mix of PVC, concrete and galvanized pipe. Staff’s evaluation of Alturas’ facilities included a review of the Utility’s compliance with </w:t>
      </w:r>
      <w:r w:rsidR="00771B4F">
        <w:t xml:space="preserve">the </w:t>
      </w:r>
      <w:r>
        <w:t xml:space="preserve">DEP and </w:t>
      </w:r>
      <w:r w:rsidR="00771B4F">
        <w:t xml:space="preserve">the </w:t>
      </w:r>
      <w:r>
        <w:t>PCHD standards of operation.</w:t>
      </w:r>
      <w:r>
        <w:rPr>
          <w:rStyle w:val="FootnoteReference"/>
        </w:rPr>
        <w:footnoteReference w:id="8"/>
      </w:r>
      <w:r>
        <w:t xml:space="preserve"> In December 2011, the PCHD conducted a plant inspection and recommended</w:t>
      </w:r>
      <w:r w:rsidR="005363FC">
        <w:t xml:space="preserve"> that</w:t>
      </w:r>
      <w:r>
        <w:t xml:space="preserve"> the following repairs be performed:</w:t>
      </w:r>
    </w:p>
    <w:p w:rsidR="00C32617" w:rsidRPr="00BB7EA8" w:rsidRDefault="00C32617" w:rsidP="00F93614">
      <w:pPr>
        <w:pStyle w:val="ListParagraph"/>
        <w:numPr>
          <w:ilvl w:val="0"/>
          <w:numId w:val="11"/>
        </w:numPr>
        <w:ind w:left="630" w:hanging="270"/>
        <w:jc w:val="both"/>
        <w:rPr>
          <w:rFonts w:ascii="Times New Roman" w:hAnsi="Times New Roman"/>
        </w:rPr>
      </w:pPr>
      <w:r>
        <w:rPr>
          <w:rFonts w:ascii="Times New Roman" w:hAnsi="Times New Roman"/>
        </w:rPr>
        <w:t>T</w:t>
      </w:r>
      <w:r w:rsidRPr="00BB7EA8">
        <w:rPr>
          <w:rFonts w:ascii="Times New Roman" w:hAnsi="Times New Roman"/>
        </w:rPr>
        <w:t>he interior</w:t>
      </w:r>
      <w:r>
        <w:rPr>
          <w:rFonts w:ascii="Times New Roman" w:hAnsi="Times New Roman"/>
        </w:rPr>
        <w:t xml:space="preserve"> of the </w:t>
      </w:r>
      <w:r w:rsidRPr="00BB7EA8">
        <w:rPr>
          <w:rFonts w:ascii="Times New Roman" w:hAnsi="Times New Roman"/>
        </w:rPr>
        <w:t xml:space="preserve">hydropneumatic tank should be cleaned and recoated </w:t>
      </w:r>
      <w:r w:rsidRPr="00804E55">
        <w:rPr>
          <w:rFonts w:ascii="Times New Roman" w:hAnsi="Times New Roman"/>
          <w:i/>
        </w:rPr>
        <w:t>by December 2013</w:t>
      </w:r>
      <w:r w:rsidRPr="00BB7EA8">
        <w:rPr>
          <w:rFonts w:ascii="Times New Roman" w:hAnsi="Times New Roman"/>
        </w:rPr>
        <w:t xml:space="preserve">. </w:t>
      </w:r>
    </w:p>
    <w:p w:rsidR="00C32617" w:rsidRPr="00BB7EA8" w:rsidRDefault="00C32617" w:rsidP="00F93614">
      <w:pPr>
        <w:pStyle w:val="ListParagraph"/>
        <w:numPr>
          <w:ilvl w:val="0"/>
          <w:numId w:val="11"/>
        </w:numPr>
        <w:ind w:left="630" w:hanging="270"/>
        <w:jc w:val="both"/>
        <w:rPr>
          <w:rFonts w:ascii="Times New Roman" w:hAnsi="Times New Roman"/>
        </w:rPr>
      </w:pPr>
      <w:r w:rsidRPr="00BB7EA8">
        <w:rPr>
          <w:rFonts w:ascii="Times New Roman" w:hAnsi="Times New Roman"/>
        </w:rPr>
        <w:t>Pressure relief valves should be set at 92 psi.</w:t>
      </w:r>
    </w:p>
    <w:p w:rsidR="00C32617" w:rsidRDefault="00C32617" w:rsidP="00F93614">
      <w:pPr>
        <w:pStyle w:val="ListParagraph"/>
        <w:numPr>
          <w:ilvl w:val="0"/>
          <w:numId w:val="11"/>
        </w:numPr>
        <w:ind w:left="630" w:hanging="270"/>
        <w:jc w:val="both"/>
        <w:rPr>
          <w:rFonts w:ascii="Times New Roman" w:hAnsi="Times New Roman"/>
        </w:rPr>
      </w:pPr>
      <w:r>
        <w:rPr>
          <w:rFonts w:ascii="Times New Roman" w:hAnsi="Times New Roman"/>
        </w:rPr>
        <w:t>H</w:t>
      </w:r>
      <w:r w:rsidRPr="00BB7EA8">
        <w:rPr>
          <w:rFonts w:ascii="Times New Roman" w:hAnsi="Times New Roman"/>
        </w:rPr>
        <w:t>ydropneumatic tank</w:t>
      </w:r>
      <w:r>
        <w:rPr>
          <w:rFonts w:ascii="Times New Roman" w:hAnsi="Times New Roman"/>
        </w:rPr>
        <w:t xml:space="preserve"> c</w:t>
      </w:r>
      <w:r w:rsidRPr="00BB7EA8">
        <w:rPr>
          <w:rFonts w:ascii="Times New Roman" w:hAnsi="Times New Roman"/>
        </w:rPr>
        <w:t>radles</w:t>
      </w:r>
      <w:r>
        <w:rPr>
          <w:rFonts w:ascii="Times New Roman" w:hAnsi="Times New Roman"/>
        </w:rPr>
        <w:t xml:space="preserve"> should be</w:t>
      </w:r>
      <w:r w:rsidRPr="00BB7EA8">
        <w:rPr>
          <w:rFonts w:ascii="Times New Roman" w:hAnsi="Times New Roman"/>
        </w:rPr>
        <w:t xml:space="preserve"> </w:t>
      </w:r>
      <w:r>
        <w:rPr>
          <w:rFonts w:ascii="Times New Roman" w:hAnsi="Times New Roman"/>
        </w:rPr>
        <w:t>r</w:t>
      </w:r>
      <w:r w:rsidRPr="00BB7EA8">
        <w:rPr>
          <w:rFonts w:ascii="Times New Roman" w:hAnsi="Times New Roman"/>
        </w:rPr>
        <w:t>eplace</w:t>
      </w:r>
      <w:r>
        <w:rPr>
          <w:rFonts w:ascii="Times New Roman" w:hAnsi="Times New Roman"/>
        </w:rPr>
        <w:t>d</w:t>
      </w:r>
      <w:r w:rsidRPr="00BB7EA8">
        <w:rPr>
          <w:rFonts w:ascii="Times New Roman" w:hAnsi="Times New Roman"/>
        </w:rPr>
        <w:t xml:space="preserve"> or repair</w:t>
      </w:r>
      <w:r>
        <w:rPr>
          <w:rFonts w:ascii="Times New Roman" w:hAnsi="Times New Roman"/>
        </w:rPr>
        <w:t>ed</w:t>
      </w:r>
      <w:r w:rsidRPr="00BB7EA8">
        <w:rPr>
          <w:rFonts w:ascii="Times New Roman" w:hAnsi="Times New Roman"/>
        </w:rPr>
        <w:t xml:space="preserve"> </w:t>
      </w:r>
      <w:r>
        <w:rPr>
          <w:rFonts w:ascii="Times New Roman" w:hAnsi="Times New Roman"/>
          <w:i/>
        </w:rPr>
        <w:t>by September</w:t>
      </w:r>
      <w:r w:rsidRPr="00804E55">
        <w:rPr>
          <w:rFonts w:ascii="Times New Roman" w:hAnsi="Times New Roman"/>
          <w:i/>
        </w:rPr>
        <w:t xml:space="preserve"> 2014</w:t>
      </w:r>
      <w:r w:rsidRPr="00BB7EA8">
        <w:rPr>
          <w:rFonts w:ascii="Times New Roman" w:hAnsi="Times New Roman"/>
        </w:rPr>
        <w:t>.</w:t>
      </w:r>
    </w:p>
    <w:p w:rsidR="00C32617" w:rsidRDefault="00C32617" w:rsidP="00C32617">
      <w:pPr>
        <w:jc w:val="both"/>
        <w:rPr>
          <w:rFonts w:eastAsia="Calibri"/>
        </w:rPr>
      </w:pPr>
    </w:p>
    <w:p w:rsidR="00C32617" w:rsidRDefault="005363FC" w:rsidP="00C32617">
      <w:pPr>
        <w:jc w:val="both"/>
      </w:pPr>
      <w:r>
        <w:t>On August 28, 2013, and April 22, 2014, t</w:t>
      </w:r>
      <w:r w:rsidR="006C57A1">
        <w:t xml:space="preserve">he </w:t>
      </w:r>
      <w:r w:rsidR="00C32617">
        <w:t xml:space="preserve">PCHD issued letters </w:t>
      </w:r>
      <w:r w:rsidR="00B52A83">
        <w:t xml:space="preserve">to Alturas </w:t>
      </w:r>
      <w:r w:rsidR="00C32617">
        <w:t xml:space="preserve">requesting that </w:t>
      </w:r>
      <w:r w:rsidR="00B52A83">
        <w:t>the Utility</w:t>
      </w:r>
      <w:r w:rsidR="00C32617">
        <w:t xml:space="preserve"> provide scheduled maintenance on its </w:t>
      </w:r>
      <w:r w:rsidR="00C32617" w:rsidRPr="00BB7EA8">
        <w:t>hydropneumatic tank</w:t>
      </w:r>
      <w:r w:rsidR="00C32617">
        <w:t xml:space="preserve">. On May 26, 2015, </w:t>
      </w:r>
      <w:r w:rsidR="006C57A1">
        <w:t xml:space="preserve">the </w:t>
      </w:r>
      <w:r w:rsidR="00C32617">
        <w:t>PCHD issued a war</w:t>
      </w:r>
      <w:r>
        <w:t>ning notice to Alturas for fai</w:t>
      </w:r>
      <w:r w:rsidR="00423CF2">
        <w:t>lure</w:t>
      </w:r>
      <w:r w:rsidR="00C32617">
        <w:t xml:space="preserve"> to respond to </w:t>
      </w:r>
      <w:r w:rsidR="00423CF2">
        <w:t>its</w:t>
      </w:r>
      <w:r w:rsidR="00C32617">
        <w:t xml:space="preserve"> previous requests concerning the status of the repairs that were recommended in December 2011. </w:t>
      </w:r>
      <w:r w:rsidR="00771B4F">
        <w:t>The</w:t>
      </w:r>
      <w:r w:rsidR="00B52A83">
        <w:t xml:space="preserve"> </w:t>
      </w:r>
      <w:r w:rsidR="00C32617">
        <w:t xml:space="preserve">warning notice </w:t>
      </w:r>
      <w:r w:rsidR="00B52A83">
        <w:t>also</w:t>
      </w:r>
      <w:r w:rsidR="00C32617">
        <w:t xml:space="preserve"> notified </w:t>
      </w:r>
      <w:r w:rsidR="00B52A83">
        <w:t>Alturas</w:t>
      </w:r>
      <w:r w:rsidR="00C32617">
        <w:t xml:space="preserve"> that it needed to provide scheduled maintenance on the hydropneumatic tank prior to the </w:t>
      </w:r>
      <w:r w:rsidR="00B52A83">
        <w:t xml:space="preserve">PCHD’s </w:t>
      </w:r>
      <w:r w:rsidR="00C32617">
        <w:t>next inspection scheduled for December 2016.</w:t>
      </w:r>
      <w:r w:rsidR="00C32617">
        <w:rPr>
          <w:rStyle w:val="FootnoteReference"/>
        </w:rPr>
        <w:footnoteReference w:id="9"/>
      </w:r>
    </w:p>
    <w:p w:rsidR="00C32617" w:rsidRDefault="00C32617" w:rsidP="00C32617">
      <w:pPr>
        <w:jc w:val="both"/>
      </w:pPr>
    </w:p>
    <w:p w:rsidR="00C32617" w:rsidRPr="00515163" w:rsidRDefault="00C32617" w:rsidP="00C32617">
      <w:pPr>
        <w:jc w:val="both"/>
      </w:pPr>
      <w:r w:rsidRPr="00515163">
        <w:t xml:space="preserve">On February 4, 2016, staff received a proposal obtained by </w:t>
      </w:r>
      <w:r w:rsidR="00B52A83">
        <w:t>Alturas</w:t>
      </w:r>
      <w:r w:rsidRPr="00515163">
        <w:t xml:space="preserve"> for services to repair the tank cradles by February 19, 2016. </w:t>
      </w:r>
      <w:r w:rsidRPr="0053637E">
        <w:t xml:space="preserve">Although Alturas has provided documentation that it is planning to perform some of the PCHD’s recommended repairs, the Utility has not been responsive to </w:t>
      </w:r>
      <w:r w:rsidR="006C57A1">
        <w:t xml:space="preserve">the </w:t>
      </w:r>
      <w:r w:rsidRPr="0053637E">
        <w:t>PCH</w:t>
      </w:r>
      <w:r w:rsidRPr="005C56CF">
        <w:t xml:space="preserve">D. </w:t>
      </w:r>
      <w:r w:rsidR="00B52A83">
        <w:t xml:space="preserve">As of the date of </w:t>
      </w:r>
      <w:r w:rsidRPr="005C56CF">
        <w:t>staff</w:t>
      </w:r>
      <w:r w:rsidR="00B52A83">
        <w:t>’s</w:t>
      </w:r>
      <w:r w:rsidRPr="005C56CF">
        <w:t xml:space="preserve"> recommendation</w:t>
      </w:r>
      <w:r w:rsidR="00B52A83">
        <w:t>,</w:t>
      </w:r>
      <w:r w:rsidRPr="005C56CF">
        <w:t xml:space="preserve"> two of the </w:t>
      </w:r>
      <w:r w:rsidR="00B52A83">
        <w:t xml:space="preserve">PCHD recommended </w:t>
      </w:r>
      <w:r w:rsidRPr="005C56CF">
        <w:t xml:space="preserve">repairs </w:t>
      </w:r>
      <w:r w:rsidR="00B52A83">
        <w:t>have not been completed</w:t>
      </w:r>
      <w:r w:rsidRPr="005C56CF">
        <w:t xml:space="preserve">. </w:t>
      </w:r>
      <w:r w:rsidRPr="0053637E">
        <w:t>Based on the Utility’s non-compliance and</w:t>
      </w:r>
      <w:r>
        <w:t xml:space="preserve"> non-responsiveness to </w:t>
      </w:r>
      <w:r w:rsidR="006C57A1">
        <w:t xml:space="preserve">the </w:t>
      </w:r>
      <w:r>
        <w:t>PCHD notices and standards, staff believes that the operating condition of the Utility’s plant and f</w:t>
      </w:r>
      <w:r w:rsidRPr="00507ACB">
        <w:t>acilities</w:t>
      </w:r>
      <w:r>
        <w:t xml:space="preserve"> should be considered unsatisfactory</w:t>
      </w:r>
      <w:r w:rsidR="0081418B">
        <w:t>.</w:t>
      </w:r>
      <w:r w:rsidR="00845B6B">
        <w:t xml:space="preserve"> </w:t>
      </w:r>
      <w:r w:rsidR="00845B6B" w:rsidRPr="00845B6B">
        <w:t>OPC also raised concerns about the Utility’s non-responsiveness to the PCHD.</w:t>
      </w:r>
      <w:r w:rsidR="00845B6B" w:rsidRPr="00845B6B">
        <w:rPr>
          <w:rStyle w:val="FootnoteReference"/>
        </w:rPr>
        <w:footnoteReference w:id="10"/>
      </w:r>
      <w:r w:rsidR="00845B6B" w:rsidRPr="00845B6B">
        <w:rPr>
          <w:vertAlign w:val="superscript"/>
        </w:rPr>
        <w:t>,</w:t>
      </w:r>
      <w:r w:rsidR="00845B6B" w:rsidRPr="00845B6B">
        <w:rPr>
          <w:rStyle w:val="FootnoteReference"/>
        </w:rPr>
        <w:footnoteReference w:id="11"/>
      </w:r>
      <w:r>
        <w:t xml:space="preserve"> </w:t>
      </w:r>
    </w:p>
    <w:p w:rsidR="00C32617" w:rsidRDefault="00C32617" w:rsidP="00C32617">
      <w:pPr>
        <w:jc w:val="both"/>
      </w:pPr>
    </w:p>
    <w:p w:rsidR="00C32617" w:rsidRDefault="00C32617" w:rsidP="00C32617">
      <w:r w:rsidRPr="006402C0">
        <w:rPr>
          <w:rFonts w:ascii="Arial" w:hAnsi="Arial" w:cs="Arial"/>
          <w:b/>
        </w:rPr>
        <w:t>The Utility’s Attempt to Address Customer Satisfaction</w:t>
      </w:r>
    </w:p>
    <w:p w:rsidR="00C32617" w:rsidRPr="00C32617" w:rsidRDefault="00C32617" w:rsidP="00C32617">
      <w:pPr>
        <w:spacing w:after="240"/>
        <w:jc w:val="both"/>
      </w:pPr>
      <w:r>
        <w:t xml:space="preserve">The final component of the overall quality of service which must be assessed is customer satisfaction. As part of staff’s evaluation of customer satisfaction staff held a customer meeting (May 19, 2015) to receive customer comments concerning Alturas’ quality of service. No customers attended the meeting. Staff also requested, from </w:t>
      </w:r>
      <w:r w:rsidR="00771B4F">
        <w:t xml:space="preserve">the </w:t>
      </w:r>
      <w:r>
        <w:t xml:space="preserve">DEP and </w:t>
      </w:r>
      <w:r w:rsidR="00771B4F">
        <w:t xml:space="preserve">the </w:t>
      </w:r>
      <w:r>
        <w:t>PCHD, any complaint records filed against the Utility from 2011 through 2</w:t>
      </w:r>
      <w:r w:rsidRPr="00E0707B">
        <w:t>01</w:t>
      </w:r>
      <w:r w:rsidR="00473EFD" w:rsidRPr="00E0707B">
        <w:t>5</w:t>
      </w:r>
      <w:r w:rsidRPr="00E0707B">
        <w:t xml:space="preserve">. </w:t>
      </w:r>
      <w:r w:rsidR="00771B4F">
        <w:t xml:space="preserve">The </w:t>
      </w:r>
      <w:r w:rsidRPr="00E0707B">
        <w:t xml:space="preserve">DEP and </w:t>
      </w:r>
      <w:r w:rsidR="00771B4F">
        <w:t xml:space="preserve">the </w:t>
      </w:r>
      <w:r w:rsidRPr="00E0707B">
        <w:t xml:space="preserve">PCHD responded that it had not received any complaints against the Utility during the specified time frame. The same request was sent to Alturas, which responded that it did not have any customer complaints outside of the ones forwarded by the Commission’s </w:t>
      </w:r>
      <w:r w:rsidR="00473EFD" w:rsidRPr="00E0707B">
        <w:t xml:space="preserve">Office of </w:t>
      </w:r>
      <w:r w:rsidRPr="00E0707B">
        <w:t>Consumer Assistance and Outreach for the requested period. The review of the Commission’s complaint recor</w:t>
      </w:r>
      <w:r>
        <w:t>ds indicated six complaints were received from January 1, 2011, through December 31, 2014, all of which occurred in 2011.</w:t>
      </w:r>
      <w:r>
        <w:rPr>
          <w:color w:val="8DB3E2" w:themeColor="text2" w:themeTint="66"/>
        </w:rPr>
        <w:t xml:space="preserve"> </w:t>
      </w:r>
    </w:p>
    <w:p w:rsidR="00C32617" w:rsidRPr="00C32617" w:rsidRDefault="00C32617" w:rsidP="00C32617">
      <w:pPr>
        <w:spacing w:after="240"/>
        <w:jc w:val="both"/>
      </w:pPr>
      <w:r>
        <w:lastRenderedPageBreak/>
        <w:t xml:space="preserve">Since January 1, 2015, one </w:t>
      </w:r>
      <w:r w:rsidR="00423CF2">
        <w:t xml:space="preserve">customer </w:t>
      </w:r>
      <w:r>
        <w:t>complaint was filed with the Commission. The customer complaint stated</w:t>
      </w:r>
      <w:r w:rsidRPr="009F457B">
        <w:t xml:space="preserve"> </w:t>
      </w:r>
      <w:r>
        <w:t xml:space="preserve">that a </w:t>
      </w:r>
      <w:r w:rsidRPr="009F457B">
        <w:t>disconnect</w:t>
      </w:r>
      <w:r>
        <w:t xml:space="preserve"> notice was not received </w:t>
      </w:r>
      <w:r w:rsidRPr="009F457B">
        <w:t xml:space="preserve">prior to </w:t>
      </w:r>
      <w:r>
        <w:t>disconnection and a</w:t>
      </w:r>
      <w:r w:rsidRPr="009F457B">
        <w:t>ttempt</w:t>
      </w:r>
      <w:r>
        <w:t>s</w:t>
      </w:r>
      <w:r w:rsidRPr="009F457B">
        <w:t xml:space="preserve"> to make payments over the </w:t>
      </w:r>
      <w:r w:rsidR="00665F05">
        <w:t>tele</w:t>
      </w:r>
      <w:r w:rsidRPr="009F457B">
        <w:t xml:space="preserve">phone </w:t>
      </w:r>
      <w:r>
        <w:t xml:space="preserve">were unsuccessful. </w:t>
      </w:r>
      <w:r w:rsidRPr="00514B18">
        <w:t xml:space="preserve">The Utility’s response to staff requests arrived after 90 days and indicated payments by the customers were returned due to non-sufficient funds. Since the response was late, it was recorded as an apparent violation of Rule 25-22.032, (6)(b) F.A.C., Customer Complaints, which requires utilities to respond to staff inquiries within 15 work days. </w:t>
      </w:r>
      <w:r>
        <w:t xml:space="preserve">Given the relatively low number of complaints filed with the Commission, staff does not believe any action should be taken against the Utility for its apparent </w:t>
      </w:r>
      <w:r w:rsidR="009A33A3">
        <w:t>R</w:t>
      </w:r>
      <w:r>
        <w:t>ule violation. However, the Utility should take steps to timely file any required responses to Commission complaints. All complaints filed with the Commission have been closed. Table 1-1, below summarizes the classification of complaints</w:t>
      </w:r>
      <w:r w:rsidRPr="00C32617">
        <w:t xml:space="preserve"> filed with the Commission. </w:t>
      </w:r>
    </w:p>
    <w:p w:rsidR="00C32617" w:rsidRPr="00F93614" w:rsidRDefault="00C32617" w:rsidP="008731BF">
      <w:pPr>
        <w:pStyle w:val="Caption"/>
        <w:keepNext/>
        <w:spacing w:before="0" w:after="0"/>
        <w:jc w:val="center"/>
        <w:rPr>
          <w:rFonts w:ascii="Arial" w:hAnsi="Arial" w:cs="Arial"/>
          <w:sz w:val="24"/>
          <w:szCs w:val="24"/>
        </w:rPr>
      </w:pPr>
      <w:r w:rsidRPr="00F93614">
        <w:rPr>
          <w:rFonts w:ascii="Arial" w:hAnsi="Arial" w:cs="Arial"/>
          <w:sz w:val="24"/>
          <w:szCs w:val="24"/>
        </w:rPr>
        <w:t xml:space="preserve">Table </w:t>
      </w:r>
      <w:r w:rsidRPr="00F93614">
        <w:rPr>
          <w:rFonts w:ascii="Arial" w:hAnsi="Arial" w:cs="Arial"/>
          <w:sz w:val="24"/>
          <w:szCs w:val="24"/>
        </w:rPr>
        <w:fldChar w:fldCharType="begin"/>
      </w:r>
      <w:r w:rsidRPr="00F93614">
        <w:rPr>
          <w:rFonts w:ascii="Arial" w:hAnsi="Arial" w:cs="Arial"/>
          <w:sz w:val="24"/>
          <w:szCs w:val="24"/>
        </w:rPr>
        <w:instrText xml:space="preserve"> SEQ Table \* ARABIC </w:instrText>
      </w:r>
      <w:r w:rsidRPr="00F93614">
        <w:rPr>
          <w:rFonts w:ascii="Arial" w:hAnsi="Arial" w:cs="Arial"/>
          <w:sz w:val="24"/>
          <w:szCs w:val="24"/>
        </w:rPr>
        <w:fldChar w:fldCharType="separate"/>
      </w:r>
      <w:r w:rsidR="004E0887">
        <w:rPr>
          <w:rFonts w:ascii="Arial" w:hAnsi="Arial" w:cs="Arial"/>
          <w:noProof/>
          <w:sz w:val="24"/>
          <w:szCs w:val="24"/>
        </w:rPr>
        <w:t>1</w:t>
      </w:r>
      <w:r w:rsidRPr="00F93614">
        <w:rPr>
          <w:rFonts w:ascii="Arial" w:hAnsi="Arial" w:cs="Arial"/>
          <w:sz w:val="24"/>
          <w:szCs w:val="24"/>
        </w:rPr>
        <w:fldChar w:fldCharType="end"/>
      </w:r>
      <w:r w:rsidRPr="00F93614">
        <w:rPr>
          <w:rFonts w:ascii="Arial" w:hAnsi="Arial" w:cs="Arial"/>
          <w:sz w:val="24"/>
          <w:szCs w:val="24"/>
        </w:rPr>
        <w:t>-1</w:t>
      </w:r>
    </w:p>
    <w:tbl>
      <w:tblPr>
        <w:tblW w:w="4120" w:type="dxa"/>
        <w:jc w:val="center"/>
        <w:tblInd w:w="93" w:type="dxa"/>
        <w:tblLook w:val="04A0" w:firstRow="1" w:lastRow="0" w:firstColumn="1" w:lastColumn="0" w:noHBand="0" w:noVBand="1"/>
      </w:tblPr>
      <w:tblGrid>
        <w:gridCol w:w="2160"/>
        <w:gridCol w:w="1960"/>
      </w:tblGrid>
      <w:tr w:rsidR="00C32617" w:rsidRPr="00C32617" w:rsidTr="00C32617">
        <w:trPr>
          <w:trHeight w:val="300"/>
          <w:jc w:val="center"/>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617" w:rsidRPr="00E211FA" w:rsidRDefault="00E211FA" w:rsidP="008731BF">
            <w:pPr>
              <w:jc w:val="center"/>
              <w:rPr>
                <w:b/>
                <w:color w:val="000000"/>
              </w:rPr>
            </w:pPr>
            <w:r w:rsidRPr="00E211FA">
              <w:rPr>
                <w:b/>
                <w:color w:val="000000"/>
              </w:rPr>
              <w:t>Type</w:t>
            </w:r>
            <w:r w:rsidR="00C32617" w:rsidRPr="00E211FA">
              <w:rPr>
                <w:b/>
                <w:color w:val="000000"/>
              </w:rPr>
              <w:t> </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C32617" w:rsidRPr="00C32617" w:rsidRDefault="00C32617" w:rsidP="008731BF">
            <w:pPr>
              <w:jc w:val="center"/>
              <w:rPr>
                <w:b/>
                <w:bCs/>
                <w:color w:val="000000"/>
              </w:rPr>
            </w:pPr>
            <w:r w:rsidRPr="00C32617">
              <w:rPr>
                <w:b/>
                <w:bCs/>
                <w:color w:val="000000"/>
              </w:rPr>
              <w:t>Number of Complaints</w:t>
            </w:r>
          </w:p>
        </w:tc>
      </w:tr>
      <w:tr w:rsidR="00C32617" w:rsidRPr="00C32617" w:rsidTr="00C32617">
        <w:trPr>
          <w:trHeight w:val="300"/>
          <w:jc w:val="center"/>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C32617" w:rsidRPr="00C32617" w:rsidRDefault="00C32617" w:rsidP="00C32617">
            <w:pPr>
              <w:rPr>
                <w:b/>
                <w:bCs/>
                <w:color w:val="000000"/>
              </w:rPr>
            </w:pPr>
            <w:r w:rsidRPr="00C32617">
              <w:rPr>
                <w:b/>
                <w:bCs/>
                <w:color w:val="000000"/>
              </w:rPr>
              <w:t>Improper Disconnects</w:t>
            </w:r>
          </w:p>
        </w:tc>
        <w:tc>
          <w:tcPr>
            <w:tcW w:w="1960" w:type="dxa"/>
            <w:tcBorders>
              <w:top w:val="nil"/>
              <w:left w:val="nil"/>
              <w:bottom w:val="single" w:sz="4" w:space="0" w:color="auto"/>
              <w:right w:val="single" w:sz="4" w:space="0" w:color="auto"/>
            </w:tcBorders>
            <w:shd w:val="clear" w:color="auto" w:fill="auto"/>
            <w:noWrap/>
            <w:vAlign w:val="center"/>
            <w:hideMark/>
          </w:tcPr>
          <w:p w:rsidR="00C32617" w:rsidRPr="00C32617" w:rsidRDefault="00C32617" w:rsidP="00C32617">
            <w:pPr>
              <w:jc w:val="center"/>
              <w:rPr>
                <w:color w:val="000000"/>
              </w:rPr>
            </w:pPr>
            <w:r w:rsidRPr="00C32617">
              <w:rPr>
                <w:color w:val="000000"/>
              </w:rPr>
              <w:t>2</w:t>
            </w:r>
          </w:p>
        </w:tc>
      </w:tr>
      <w:tr w:rsidR="00C32617" w:rsidRPr="00C32617" w:rsidTr="00C32617">
        <w:trPr>
          <w:trHeight w:val="300"/>
          <w:jc w:val="center"/>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C32617" w:rsidRPr="00C32617" w:rsidRDefault="00C32617" w:rsidP="00C32617">
            <w:pPr>
              <w:rPr>
                <w:b/>
                <w:bCs/>
                <w:color w:val="000000"/>
              </w:rPr>
            </w:pPr>
            <w:r w:rsidRPr="00C32617">
              <w:rPr>
                <w:b/>
                <w:bCs/>
                <w:color w:val="000000"/>
              </w:rPr>
              <w:t>Improper Bills</w:t>
            </w:r>
          </w:p>
        </w:tc>
        <w:tc>
          <w:tcPr>
            <w:tcW w:w="1960" w:type="dxa"/>
            <w:tcBorders>
              <w:top w:val="nil"/>
              <w:left w:val="nil"/>
              <w:bottom w:val="single" w:sz="4" w:space="0" w:color="auto"/>
              <w:right w:val="single" w:sz="4" w:space="0" w:color="auto"/>
            </w:tcBorders>
            <w:shd w:val="clear" w:color="auto" w:fill="auto"/>
            <w:noWrap/>
            <w:vAlign w:val="center"/>
            <w:hideMark/>
          </w:tcPr>
          <w:p w:rsidR="00C32617" w:rsidRPr="00C32617" w:rsidRDefault="00C32617" w:rsidP="00C32617">
            <w:pPr>
              <w:jc w:val="center"/>
              <w:rPr>
                <w:color w:val="000000"/>
              </w:rPr>
            </w:pPr>
            <w:r w:rsidRPr="00C32617">
              <w:rPr>
                <w:color w:val="000000"/>
              </w:rPr>
              <w:t>4</w:t>
            </w:r>
          </w:p>
        </w:tc>
      </w:tr>
      <w:tr w:rsidR="00C32617" w:rsidRPr="00C32617" w:rsidTr="00C32617">
        <w:trPr>
          <w:trHeight w:val="300"/>
          <w:jc w:val="center"/>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C32617" w:rsidRPr="00C32617" w:rsidRDefault="00C32617" w:rsidP="008731BF">
            <w:pPr>
              <w:rPr>
                <w:b/>
                <w:bCs/>
                <w:color w:val="000000"/>
              </w:rPr>
            </w:pPr>
            <w:r w:rsidRPr="00C32617">
              <w:rPr>
                <w:b/>
                <w:bCs/>
                <w:color w:val="000000"/>
              </w:rPr>
              <w:t>Quality of Service</w:t>
            </w:r>
          </w:p>
        </w:tc>
        <w:tc>
          <w:tcPr>
            <w:tcW w:w="1960" w:type="dxa"/>
            <w:tcBorders>
              <w:top w:val="nil"/>
              <w:left w:val="nil"/>
              <w:bottom w:val="single" w:sz="4" w:space="0" w:color="auto"/>
              <w:right w:val="single" w:sz="4" w:space="0" w:color="auto"/>
            </w:tcBorders>
            <w:shd w:val="clear" w:color="auto" w:fill="auto"/>
            <w:noWrap/>
            <w:vAlign w:val="center"/>
            <w:hideMark/>
          </w:tcPr>
          <w:p w:rsidR="00C32617" w:rsidRPr="00C32617" w:rsidRDefault="00C32617" w:rsidP="008731BF">
            <w:pPr>
              <w:jc w:val="center"/>
              <w:rPr>
                <w:color w:val="000000"/>
              </w:rPr>
            </w:pPr>
            <w:r w:rsidRPr="00C32617">
              <w:rPr>
                <w:color w:val="000000"/>
              </w:rPr>
              <w:t>1</w:t>
            </w:r>
          </w:p>
        </w:tc>
      </w:tr>
    </w:tbl>
    <w:p w:rsidR="008731BF" w:rsidRDefault="008731BF" w:rsidP="008731BF">
      <w:pPr>
        <w:jc w:val="both"/>
      </w:pPr>
    </w:p>
    <w:p w:rsidR="00C32617" w:rsidRDefault="00665F05" w:rsidP="008731BF">
      <w:pPr>
        <w:jc w:val="both"/>
      </w:pPr>
      <w:r>
        <w:t xml:space="preserve">Staff notes that Alturas does not have a physical office location for customers to make payments or service inquiries. </w:t>
      </w:r>
      <w:r w:rsidR="00C32617">
        <w:t xml:space="preserve">On October 19, 2015, the Utility notified staff that its daily customer service and repair operations were under new management. Additionally, the Utility has contracted with a bookkeeper in Bartow, Florida, which </w:t>
      </w:r>
      <w:r w:rsidR="00C32617" w:rsidRPr="00E0707B">
        <w:t>allow</w:t>
      </w:r>
      <w:r w:rsidR="00473EFD" w:rsidRPr="00E0707B">
        <w:t>s</w:t>
      </w:r>
      <w:r w:rsidR="00C32617" w:rsidRPr="00E0707B">
        <w:t xml:space="preserve"> customers to make service requests and bill payments in person from 8:30 a</w:t>
      </w:r>
      <w:r w:rsidR="00F93614" w:rsidRPr="00E0707B">
        <w:t>.</w:t>
      </w:r>
      <w:r w:rsidR="00C32617" w:rsidRPr="00E0707B">
        <w:t>m</w:t>
      </w:r>
      <w:r w:rsidR="00F93614" w:rsidRPr="00E0707B">
        <w:t>.</w:t>
      </w:r>
      <w:r w:rsidR="00C32617" w:rsidRPr="00E0707B">
        <w:t xml:space="preserve"> to 5:00 p</w:t>
      </w:r>
      <w:r w:rsidR="00F93614" w:rsidRPr="00E0707B">
        <w:t>.</w:t>
      </w:r>
      <w:r w:rsidR="00C32617" w:rsidRPr="00E0707B">
        <w:t>m</w:t>
      </w:r>
      <w:r w:rsidR="00F93614" w:rsidRPr="00E0707B">
        <w:t>.</w:t>
      </w:r>
      <w:r w:rsidR="00C32617" w:rsidRPr="00E0707B">
        <w:t xml:space="preserve"> Monday through Friday.</w:t>
      </w:r>
      <w:r w:rsidR="00C32617" w:rsidRPr="00E0707B">
        <w:rPr>
          <w:rStyle w:val="FootnoteReference"/>
        </w:rPr>
        <w:footnoteReference w:id="12"/>
      </w:r>
      <w:r w:rsidR="00C32617" w:rsidRPr="00E0707B">
        <w:t xml:space="preserve"> Staff believes that these efforts taken by the Utility</w:t>
      </w:r>
      <w:r w:rsidR="00473EFD" w:rsidRPr="00E0707B">
        <w:t xml:space="preserve"> demonstrate</w:t>
      </w:r>
      <w:r w:rsidR="00C32617" w:rsidRPr="00E0707B">
        <w:t xml:space="preserve"> a willingness to address customer satisfaction. Additionally, given that only one complaint has been filed since 2011, staff does not believe the Utility has systemic issues with respect to </w:t>
      </w:r>
      <w:r w:rsidR="00473EFD" w:rsidRPr="00E0707B">
        <w:t xml:space="preserve">adequately </w:t>
      </w:r>
      <w:r w:rsidR="00C32617" w:rsidRPr="00E0707B">
        <w:t>addressing customer satisfaction. Therefore, staff believes that the Utility has satisfactori</w:t>
      </w:r>
      <w:r w:rsidR="00C32617">
        <w:t>ly attempted to address customer satisfaction.</w:t>
      </w:r>
    </w:p>
    <w:p w:rsidR="00C32617" w:rsidRPr="00895293" w:rsidRDefault="00C32617" w:rsidP="00C32617">
      <w:pPr>
        <w:tabs>
          <w:tab w:val="left" w:pos="4005"/>
        </w:tabs>
        <w:spacing w:before="240"/>
        <w:jc w:val="both"/>
        <w:rPr>
          <w:rFonts w:ascii="Arial" w:hAnsi="Arial" w:cs="Arial"/>
        </w:rPr>
      </w:pPr>
      <w:bookmarkStart w:id="18" w:name="_MON_1498894922"/>
      <w:bookmarkEnd w:id="18"/>
      <w:r w:rsidRPr="00895293">
        <w:rPr>
          <w:rFonts w:ascii="Arial" w:hAnsi="Arial" w:cs="Arial"/>
          <w:b/>
        </w:rPr>
        <w:t>Conclusion</w:t>
      </w:r>
    </w:p>
    <w:p w:rsidR="00BA4529" w:rsidRDefault="00C32617" w:rsidP="00C32617">
      <w:pPr>
        <w:pStyle w:val="BodyText"/>
        <w:rPr>
          <w:vanish/>
          <w:specVanish/>
        </w:rPr>
      </w:pPr>
      <w:r>
        <w:t>T</w:t>
      </w:r>
      <w:r w:rsidRPr="000C78C6">
        <w:t xml:space="preserve">he </w:t>
      </w:r>
      <w:r>
        <w:t xml:space="preserve">overall </w:t>
      </w:r>
      <w:r w:rsidRPr="000C78C6">
        <w:t>qualit</w:t>
      </w:r>
      <w:r>
        <w:t>y of service provided by Alturas</w:t>
      </w:r>
      <w:r w:rsidRPr="000C78C6">
        <w:t xml:space="preserve"> </w:t>
      </w:r>
      <w:r>
        <w:t xml:space="preserve">should </w:t>
      </w:r>
      <w:r w:rsidRPr="000C78C6">
        <w:t>be considered unsatisfactory</w:t>
      </w:r>
      <w:r>
        <w:t xml:space="preserve"> because the Utility has failed to address maintenance and repairs recommended by the PCHD in 2011. As such, s</w:t>
      </w:r>
      <w:r w:rsidRPr="00507ACB">
        <w:t xml:space="preserve">taff </w:t>
      </w:r>
      <w:r>
        <w:t>believes</w:t>
      </w:r>
      <w:r w:rsidRPr="00507ACB">
        <w:t xml:space="preserve"> the </w:t>
      </w:r>
      <w:r w:rsidR="002D7B30">
        <w:t>o</w:t>
      </w:r>
      <w:r w:rsidR="00493032">
        <w:t>fficers’</w:t>
      </w:r>
      <w:r w:rsidRPr="00507ACB">
        <w:t xml:space="preserve"> salar</w:t>
      </w:r>
      <w:r w:rsidR="00552224">
        <w:t>ies</w:t>
      </w:r>
      <w:r>
        <w:t xml:space="preserve"> should be decreased</w:t>
      </w:r>
      <w:r w:rsidRPr="00507ACB">
        <w:t xml:space="preserve"> by 25 percent</w:t>
      </w:r>
      <w:r>
        <w:t>.</w:t>
      </w:r>
      <w:r w:rsidR="00BA4529" w:rsidRPr="004C3641">
        <w:br w:type="page"/>
      </w:r>
      <w:r w:rsidR="00BA4529" w:rsidRPr="004F7CC7">
        <w:rPr>
          <w:rFonts w:ascii="Arial" w:hAnsi="Arial" w:cs="Arial"/>
          <w:b/>
          <w:i/>
        </w:rPr>
        <w:lastRenderedPageBreak/>
        <w:t xml:space="preserve">Issue </w:t>
      </w:r>
      <w:r w:rsidRPr="004F7CC7">
        <w:rPr>
          <w:rFonts w:ascii="Arial" w:hAnsi="Arial" w:cs="Arial"/>
          <w:b/>
          <w:i/>
        </w:rPr>
        <w:fldChar w:fldCharType="begin"/>
      </w:r>
      <w:r w:rsidRPr="004F7CC7">
        <w:rPr>
          <w:rFonts w:ascii="Arial" w:hAnsi="Arial" w:cs="Arial"/>
          <w:b/>
          <w:i/>
        </w:rPr>
        <w:instrText xml:space="preserve"> SEQ Issue \* MERGEFORMAT </w:instrText>
      </w:r>
      <w:r w:rsidRPr="004F7CC7">
        <w:rPr>
          <w:rFonts w:ascii="Arial" w:hAnsi="Arial" w:cs="Arial"/>
          <w:b/>
          <w:i/>
        </w:rPr>
        <w:fldChar w:fldCharType="separate"/>
      </w:r>
      <w:r w:rsidR="004E0887">
        <w:rPr>
          <w:rFonts w:ascii="Arial" w:hAnsi="Arial" w:cs="Arial"/>
          <w:b/>
          <w:i/>
          <w:noProof/>
        </w:rPr>
        <w:t>2</w:t>
      </w:r>
      <w:r w:rsidRPr="004F7CC7">
        <w:rPr>
          <w:rFonts w:ascii="Arial" w:hAnsi="Arial" w:cs="Arial"/>
          <w:b/>
          <w:i/>
          <w:noProof/>
        </w:rPr>
        <w:fldChar w:fldCharType="end"/>
      </w:r>
      <w:r w:rsidR="00BA4529" w:rsidRPr="004C3641">
        <w:t>:</w:t>
      </w:r>
      <w:r w:rsidR="00BA4529">
        <w:fldChar w:fldCharType="begin"/>
      </w:r>
      <w:r w:rsidR="00BA4529">
        <w:instrText xml:space="preserve"> TC "</w:instrText>
      </w:r>
      <w:bookmarkStart w:id="19" w:name="_Toc443485012"/>
      <w:r w:rsidR="00BA4529">
        <w:instrText xml:space="preserve">Issue </w:instrText>
      </w:r>
      <w:r w:rsidR="00BA4529">
        <w:fldChar w:fldCharType="begin"/>
      </w:r>
      <w:r w:rsidR="00BA4529">
        <w:instrText xml:space="preserve"> SEQ issue \c </w:instrText>
      </w:r>
      <w:r w:rsidR="00BA4529">
        <w:fldChar w:fldCharType="separate"/>
      </w:r>
      <w:r w:rsidR="004E0887">
        <w:rPr>
          <w:noProof/>
        </w:rPr>
        <w:instrText>2</w:instrText>
      </w:r>
      <w:r w:rsidR="00BA4529">
        <w:fldChar w:fldCharType="end"/>
      </w:r>
      <w:r w:rsidR="00BA4529">
        <w:instrText xml:space="preserve"> Used and Useful</w:instrText>
      </w:r>
      <w:bookmarkEnd w:id="19"/>
      <w:r w:rsidR="00BA4529">
        <w:instrText xml:space="preserve">" \l 1 </w:instrText>
      </w:r>
      <w:r w:rsidR="00BA4529">
        <w:fldChar w:fldCharType="end"/>
      </w:r>
      <w:r w:rsidR="00BA4529">
        <w:t> </w:t>
      </w:r>
    </w:p>
    <w:p w:rsidR="00C32617" w:rsidRDefault="00BA4529" w:rsidP="00C32617">
      <w:pPr>
        <w:pStyle w:val="BodyText"/>
      </w:pPr>
      <w:r>
        <w:t> </w:t>
      </w:r>
      <w:r w:rsidR="00C32617" w:rsidRPr="00020A26">
        <w:t>What are the used and useful percentages (U&amp;U) of Alturas water treatment plant and distribution system</w:t>
      </w:r>
      <w:r w:rsidR="00C32617" w:rsidRPr="00020A26">
        <w:rPr>
          <w:bCs/>
        </w:rPr>
        <w:t>?</w:t>
      </w:r>
    </w:p>
    <w:p w:rsidR="00C32617" w:rsidRPr="004C3641" w:rsidRDefault="00C32617" w:rsidP="00C32617">
      <w:pPr>
        <w:pStyle w:val="IssueHeading"/>
        <w:rPr>
          <w:vanish/>
          <w:specVanish/>
        </w:rPr>
      </w:pPr>
      <w:r w:rsidRPr="004C3641">
        <w:t>Recommendation: </w:t>
      </w:r>
    </w:p>
    <w:p w:rsidR="00C32617" w:rsidRDefault="00C32617" w:rsidP="00C32617">
      <w:pPr>
        <w:jc w:val="both"/>
      </w:pPr>
      <w:r>
        <w:t> S</w:t>
      </w:r>
      <w:r w:rsidRPr="001E1821">
        <w:t xml:space="preserve">taff </w:t>
      </w:r>
      <w:r w:rsidR="006C57A1">
        <w:t>recommends Alturas’ water treatment plant and its distribution system should both be considered 100 percent U&amp;U</w:t>
      </w:r>
      <w:r w:rsidR="006C57A1" w:rsidRPr="00C307C3">
        <w:t>.</w:t>
      </w:r>
      <w:r>
        <w:t xml:space="preserve"> Additionally, staff</w:t>
      </w:r>
      <w:r w:rsidR="006C57A1">
        <w:t xml:space="preserve"> recommends</w:t>
      </w:r>
      <w:r w:rsidR="006C57A1" w:rsidRPr="001E1821">
        <w:t xml:space="preserve"> a </w:t>
      </w:r>
      <w:r w:rsidR="006C57A1">
        <w:t xml:space="preserve">31.77 percent </w:t>
      </w:r>
      <w:r w:rsidR="006C57A1" w:rsidRPr="001E1821">
        <w:t xml:space="preserve">adjustment </w:t>
      </w:r>
      <w:r w:rsidR="006C57A1">
        <w:t xml:space="preserve">for </w:t>
      </w:r>
      <w:r w:rsidR="00665F05">
        <w:t>Excessive Unaccounted for Water (</w:t>
      </w:r>
      <w:r w:rsidR="006C57A1">
        <w:t>EUW</w:t>
      </w:r>
      <w:r w:rsidR="00665F05">
        <w:t>)</w:t>
      </w:r>
      <w:r w:rsidR="006C57A1">
        <w:t xml:space="preserve"> should </w:t>
      </w:r>
      <w:r w:rsidR="006C57A1" w:rsidRPr="001E1821">
        <w:t>be made to operating expenses for chemicals and purchased power.</w:t>
      </w:r>
      <w:r>
        <w:t xml:space="preserve"> (Lewis</w:t>
      </w:r>
      <w:r w:rsidRPr="00020A26">
        <w:t>)</w:t>
      </w:r>
    </w:p>
    <w:p w:rsidR="00C32617" w:rsidRDefault="00C32617" w:rsidP="00C32617">
      <w:pPr>
        <w:jc w:val="both"/>
      </w:pPr>
      <w:r>
        <w:t xml:space="preserve">  </w:t>
      </w:r>
    </w:p>
    <w:p w:rsidR="00C32617" w:rsidRPr="004C3641" w:rsidRDefault="00C32617" w:rsidP="00C32617">
      <w:pPr>
        <w:pStyle w:val="IssueSubsectionHeading"/>
        <w:rPr>
          <w:vanish/>
          <w:specVanish/>
        </w:rPr>
      </w:pPr>
      <w:r w:rsidRPr="004C3641">
        <w:t>Staff Analysis: </w:t>
      </w:r>
    </w:p>
    <w:p w:rsidR="00C32617" w:rsidRDefault="00C32617" w:rsidP="00C32617">
      <w:pPr>
        <w:jc w:val="both"/>
      </w:pPr>
      <w:r>
        <w:t xml:space="preserve"> Alturas’ water system is served by a single 6-inch diameter well rated at 350 gpm. The raw water is injected with liquid chlorine prior to entering the 3,000-gallon hydropneumatic tank, and then pumped into the water distribution system. The Utility is permitted to withdraw an average of 34,200 gallons per day (gpd) up to 94,600 gpd peak. </w:t>
      </w:r>
      <w:r w:rsidR="00313D84">
        <w:t>The treated water is then pumped into the water distribution system. According to the Utility, there are no fire hydrants and there was no growth in the service area during the last five years. During the previous SARC, both the water treatment plant and distribution system were deemed 100 percent U&amp;U.</w:t>
      </w:r>
    </w:p>
    <w:p w:rsidR="00313D84" w:rsidRDefault="00313D84" w:rsidP="00C32617">
      <w:pPr>
        <w:jc w:val="both"/>
      </w:pPr>
    </w:p>
    <w:p w:rsidR="00AF10D7" w:rsidRPr="00BD6415" w:rsidRDefault="00AF10D7" w:rsidP="00AF10D7">
      <w:pPr>
        <w:autoSpaceDE w:val="0"/>
        <w:autoSpaceDN w:val="0"/>
        <w:adjustRightInd w:val="0"/>
        <w:jc w:val="both"/>
        <w:rPr>
          <w:rFonts w:ascii="Arial" w:hAnsi="Arial" w:cs="Arial"/>
          <w:b/>
        </w:rPr>
      </w:pPr>
      <w:r w:rsidRPr="00BD6415">
        <w:rPr>
          <w:rFonts w:ascii="Arial" w:hAnsi="Arial" w:cs="Arial"/>
          <w:b/>
        </w:rPr>
        <w:t>Water Treatment Plant and Distribution System Used &amp;Useful</w:t>
      </w:r>
    </w:p>
    <w:p w:rsidR="00313D84" w:rsidRDefault="00313D84" w:rsidP="00313D84">
      <w:pPr>
        <w:pStyle w:val="BodyText"/>
        <w:rPr>
          <w:rFonts w:ascii="Arial" w:hAnsi="Arial" w:cs="Arial"/>
          <w:b/>
          <w:bCs/>
          <w:iCs/>
          <w:szCs w:val="28"/>
        </w:rPr>
      </w:pPr>
      <w:r>
        <w:t>As noted above, the Commission found both the water treatment plant and distribution system to be 100 percent U&amp;U in the prior SARC. There have been no major plant additions or growth in the last five years. Therefore, consistent with the prior Commission decision, the water treatment plant and distribution system should be considered 100 percent U&amp;U.</w:t>
      </w:r>
    </w:p>
    <w:p w:rsidR="00C32617" w:rsidRPr="00C46A0A" w:rsidRDefault="00C32617" w:rsidP="00C32617">
      <w:pPr>
        <w:jc w:val="both"/>
        <w:rPr>
          <w:rFonts w:ascii="Arial" w:hAnsi="Arial" w:cs="Arial"/>
          <w:b/>
          <w:i/>
        </w:rPr>
      </w:pPr>
      <w:r w:rsidRPr="00BD6415">
        <w:rPr>
          <w:rFonts w:ascii="Arial" w:hAnsi="Arial" w:cs="Arial"/>
          <w:b/>
        </w:rPr>
        <w:t>Excessive Unaccounted for Water</w:t>
      </w:r>
      <w:r w:rsidR="00AF10D7">
        <w:rPr>
          <w:rFonts w:ascii="Arial" w:hAnsi="Arial" w:cs="Arial"/>
          <w:b/>
        </w:rPr>
        <w:t xml:space="preserve"> (EUW)</w:t>
      </w:r>
    </w:p>
    <w:p w:rsidR="00C32617" w:rsidRDefault="00C32617" w:rsidP="00C32617">
      <w:pPr>
        <w:jc w:val="both"/>
      </w:pPr>
      <w:r>
        <w:t xml:space="preserve">Rule 25-30.4325, F.A.C., describes </w:t>
      </w:r>
      <w:r w:rsidR="00AF10D7">
        <w:t>EUW</w:t>
      </w:r>
      <w:r>
        <w:t xml:space="preserve"> as unaccounted for water in excess of 10 percent of the amount produced. When establishing the </w:t>
      </w:r>
      <w:r w:rsidR="00665F05">
        <w:t>R</w:t>
      </w:r>
      <w:r>
        <w:t xml:space="preserve">ule, the Commission recognized that some uses of water are readily measurable and others are not. Unaccounted for water is all water produced that is not sold, metered or accounted for in the records of the Utility. The </w:t>
      </w:r>
      <w:r w:rsidR="002D7B30">
        <w:t>R</w:t>
      </w:r>
      <w:r>
        <w:t xml:space="preserve">ule provides that to determine whether adjustments to plant and operating expenses, such as purchased electrical power and chemicals cost, are necessary, the Commission will consider all relevant factors as to the reason for EUW, solutions implemented to correct the problem, </w:t>
      </w:r>
      <w:r w:rsidR="00665F05">
        <w:t>and</w:t>
      </w:r>
      <w:r>
        <w:t xml:space="preserve"> whether a proposed solution is economically feasible. The unaccounted for water is calculated by subtracting both the gallons used for other purposes, such as flushing, and the gallons sold to customers from the total gallons pumped for the test year.</w:t>
      </w:r>
    </w:p>
    <w:p w:rsidR="004F7CC7" w:rsidRDefault="004F7CC7" w:rsidP="00C32617">
      <w:pPr>
        <w:jc w:val="both"/>
      </w:pPr>
    </w:p>
    <w:p w:rsidR="00C32617" w:rsidRDefault="00C32617" w:rsidP="00C32617">
      <w:pPr>
        <w:jc w:val="both"/>
      </w:pPr>
      <w:r>
        <w:t>The Utility treated 6,294,431 gallons and sold 3,665,000 gallons of water for the test year. Alturas did not record any gallons used for other purposes. Therefore, the amount of unaccounted for water is 2,629,431 gallons (6,294,431 – 3,655,000). Ten percent of the gall</w:t>
      </w:r>
      <w:r w:rsidR="00AF10D7">
        <w:t>ons produced, (6,294,431 x .10)</w:t>
      </w:r>
      <w:r>
        <w:t xml:space="preserve"> </w:t>
      </w:r>
      <w:r w:rsidR="00AF10D7">
        <w:t>or</w:t>
      </w:r>
      <w:r>
        <w:t xml:space="preserve"> 629,443 gallons is allowed per rule; therefore, the EUW is (2,629,431 - 629,443) 1,999,998 gallons.</w:t>
      </w:r>
      <w:r w:rsidR="002D7B30">
        <w:t xml:space="preserve"> </w:t>
      </w:r>
      <w:r>
        <w:t>This divided by the total gallons produced (1,999,998/6,294,431) equates to 31.77 percent EUW</w:t>
      </w:r>
      <w:r w:rsidR="0081418B">
        <w:t xml:space="preserve">. </w:t>
      </w:r>
    </w:p>
    <w:p w:rsidR="00C32617" w:rsidRDefault="00C32617" w:rsidP="00C32617">
      <w:pPr>
        <w:jc w:val="both"/>
      </w:pPr>
    </w:p>
    <w:p w:rsidR="00C32617" w:rsidRDefault="00C32617" w:rsidP="00C32617">
      <w:pPr>
        <w:jc w:val="both"/>
      </w:pPr>
      <w:r w:rsidRPr="00B83279">
        <w:t xml:space="preserve">Per staff’s suggestion, the Utility contacted the </w:t>
      </w:r>
      <w:r w:rsidR="00BD4DD2" w:rsidRPr="002D7B30">
        <w:t>Florida Rural Water Association (</w:t>
      </w:r>
      <w:r w:rsidRPr="002D7B30">
        <w:t>FRWA</w:t>
      </w:r>
      <w:r w:rsidR="00BD4DD2" w:rsidRPr="002D7B30">
        <w:t>)</w:t>
      </w:r>
      <w:r w:rsidRPr="002D7B30">
        <w:t xml:space="preserve"> a</w:t>
      </w:r>
      <w:r w:rsidRPr="00B83279">
        <w:t>nd scheduled a survey of its distribution system. The Utility provided documentation of FRWA</w:t>
      </w:r>
      <w:r w:rsidR="00665F05">
        <w:t>’s</w:t>
      </w:r>
      <w:r w:rsidRPr="00B83279">
        <w:t xml:space="preserve"> test results, dated August 25, 2015, indicating that the Utility’s plant master</w:t>
      </w:r>
      <w:r w:rsidR="00473EFD">
        <w:t xml:space="preserve"> </w:t>
      </w:r>
      <w:r w:rsidRPr="00B83279">
        <w:t xml:space="preserve">flow meter is </w:t>
      </w:r>
      <w:r w:rsidRPr="00B83279">
        <w:lastRenderedPageBreak/>
        <w:t>inaccurate and reading 20.8</w:t>
      </w:r>
      <w:r w:rsidR="004F7CC7">
        <w:t xml:space="preserve"> percent</w:t>
      </w:r>
      <w:r w:rsidRPr="00B83279">
        <w:t xml:space="preserve"> faster than the actuals flow.</w:t>
      </w:r>
      <w:r w:rsidRPr="00B83279">
        <w:rPr>
          <w:rStyle w:val="FootnoteReference"/>
        </w:rPr>
        <w:footnoteReference w:id="13"/>
      </w:r>
      <w:r w:rsidRPr="00B83279">
        <w:t xml:space="preserve"> In its 2009 rate case, an EUW adjustment </w:t>
      </w:r>
      <w:r w:rsidR="00473EFD">
        <w:t xml:space="preserve">was not made because the master </w:t>
      </w:r>
      <w:r w:rsidRPr="00B83279">
        <w:t>flow meter was not working properly and the Utility was working to address the problem with the</w:t>
      </w:r>
      <w:r w:rsidR="00473EFD" w:rsidRPr="00473EFD">
        <w:t xml:space="preserve"> </w:t>
      </w:r>
      <w:r w:rsidR="00473EFD">
        <w:t>master</w:t>
      </w:r>
      <w:r w:rsidRPr="00B83279">
        <w:t xml:space="preserve"> flow meter and possible leaks in the distribution system. Staff does not believe that Alturas has demonstrated an effort to address its on-going EUW issues in its current rate case. Although the Utility has joined the FRWA, the Utility has </w:t>
      </w:r>
      <w:r w:rsidR="00174B06">
        <w:t>ye</w:t>
      </w:r>
      <w:r w:rsidRPr="00B83279">
        <w:t>t</w:t>
      </w:r>
      <w:r w:rsidR="00174B06">
        <w:t xml:space="preserve"> to provide</w:t>
      </w:r>
      <w:r w:rsidR="000E4A86">
        <w:t xml:space="preserve"> </w:t>
      </w:r>
      <w:r w:rsidRPr="00B83279">
        <w:t xml:space="preserve">documentation </w:t>
      </w:r>
      <w:r w:rsidR="00174B06">
        <w:t xml:space="preserve">that </w:t>
      </w:r>
      <w:r w:rsidRPr="00B83279">
        <w:t xml:space="preserve">the </w:t>
      </w:r>
      <w:r w:rsidR="00174B06">
        <w:t>master flow meter has been replaced</w:t>
      </w:r>
      <w:r w:rsidRPr="00B83279">
        <w:t xml:space="preserve"> or repair</w:t>
      </w:r>
      <w:r w:rsidR="00174B06">
        <w:t>ed</w:t>
      </w:r>
      <w:r w:rsidRPr="00B83279">
        <w:t xml:space="preserve">. Therefore, due to uncertainty regarding the current status of the </w:t>
      </w:r>
      <w:r w:rsidR="00473EFD">
        <w:t>master</w:t>
      </w:r>
      <w:r w:rsidR="00473EFD" w:rsidRPr="00B83279">
        <w:t xml:space="preserve"> flow </w:t>
      </w:r>
      <w:r w:rsidRPr="00B83279">
        <w:t>meter replacement, staff believes an adjustment should be made to operating expenses (chemicals and purchased power) due to EUW.</w:t>
      </w:r>
    </w:p>
    <w:p w:rsidR="00C32617" w:rsidRDefault="00C32617" w:rsidP="00C32617"/>
    <w:p w:rsidR="00C32617" w:rsidRPr="00BD6415" w:rsidRDefault="00C32617" w:rsidP="00C32617">
      <w:pPr>
        <w:rPr>
          <w:rFonts w:ascii="Arial" w:hAnsi="Arial" w:cs="Arial"/>
          <w:b/>
        </w:rPr>
      </w:pPr>
      <w:r w:rsidRPr="00BD6415">
        <w:rPr>
          <w:rFonts w:ascii="Arial" w:hAnsi="Arial" w:cs="Arial"/>
          <w:b/>
        </w:rPr>
        <w:t>Conclusion</w:t>
      </w:r>
    </w:p>
    <w:p w:rsidR="00BA4529" w:rsidRDefault="00AF10D7">
      <w:pPr>
        <w:pStyle w:val="IssueHeading"/>
        <w:rPr>
          <w:vanish/>
          <w:specVanish/>
        </w:rPr>
      </w:pPr>
      <w:r w:rsidRPr="00AF10D7">
        <w:rPr>
          <w:rFonts w:ascii="Times New Roman" w:hAnsi="Times New Roman" w:cs="Times New Roman"/>
          <w:b w:val="0"/>
          <w:bCs w:val="0"/>
          <w:i w:val="0"/>
          <w:kern w:val="0"/>
          <w:szCs w:val="24"/>
        </w:rPr>
        <w:t>Staff recommends Alturas’ water treatment plant and its distribution system should both be considered 100 percent U&amp;U. Additionally, staff recommends a 31.77 percent adjustment for EUW should be made to operating expenses for chemicals and purchased power.</w:t>
      </w:r>
      <w:r w:rsidR="00BA4529" w:rsidRPr="004C3641">
        <w:rPr>
          <w:b w:val="0"/>
          <w:i w:val="0"/>
        </w:rPr>
        <w:br w:type="page"/>
      </w:r>
      <w:r w:rsidR="00BA4529" w:rsidRPr="004C3641">
        <w:lastRenderedPageBreak/>
        <w:t xml:space="preserve">Issue </w:t>
      </w:r>
      <w:r w:rsidR="00F852FE">
        <w:fldChar w:fldCharType="begin"/>
      </w:r>
      <w:r w:rsidR="00F852FE">
        <w:instrText xml:space="preserve"> SEQ </w:instrText>
      </w:r>
      <w:r w:rsidR="00F852FE">
        <w:instrText xml:space="preserve">Issue \* MERGEFORMAT </w:instrText>
      </w:r>
      <w:r w:rsidR="00F852FE">
        <w:fldChar w:fldCharType="separate"/>
      </w:r>
      <w:r w:rsidR="004E0887">
        <w:rPr>
          <w:noProof/>
        </w:rPr>
        <w:t>3</w:t>
      </w:r>
      <w:r w:rsidR="00F852FE">
        <w:rPr>
          <w:noProof/>
        </w:rPr>
        <w:fldChar w:fldCharType="end"/>
      </w:r>
      <w:r w:rsidR="00BA4529" w:rsidRPr="004C3641">
        <w:t>:</w:t>
      </w:r>
      <w:r w:rsidR="00BA4529">
        <w:fldChar w:fldCharType="begin"/>
      </w:r>
      <w:r w:rsidR="00BA4529">
        <w:instrText xml:space="preserve"> TC "</w:instrText>
      </w:r>
      <w:bookmarkStart w:id="20" w:name="_Toc443485013"/>
      <w:r w:rsidR="00BA4529">
        <w:instrText xml:space="preserve">Issue </w:instrText>
      </w:r>
      <w:r w:rsidR="00BA4529">
        <w:fldChar w:fldCharType="begin"/>
      </w:r>
      <w:r w:rsidR="00BA4529">
        <w:instrText xml:space="preserve"> SEQ issue \c </w:instrText>
      </w:r>
      <w:r w:rsidR="00BA4529">
        <w:fldChar w:fldCharType="separate"/>
      </w:r>
      <w:r w:rsidR="004E0887">
        <w:rPr>
          <w:noProof/>
        </w:rPr>
        <w:instrText>3</w:instrText>
      </w:r>
      <w:r w:rsidR="00BA4529">
        <w:fldChar w:fldCharType="end"/>
      </w:r>
      <w:r w:rsidR="00BA4529">
        <w:instrText xml:space="preserve"> Allocation of Common Costs</w:instrText>
      </w:r>
      <w:bookmarkEnd w:id="20"/>
      <w:r w:rsidR="00BA4529">
        <w:instrText xml:space="preserve">" \l 1 </w:instrText>
      </w:r>
      <w:r w:rsidR="00BA4529">
        <w:fldChar w:fldCharType="end"/>
      </w:r>
      <w:r w:rsidR="00BA4529">
        <w:t> </w:t>
      </w:r>
    </w:p>
    <w:p w:rsidR="008876BF" w:rsidRPr="00927852" w:rsidRDefault="00BA4529" w:rsidP="008876BF">
      <w:pPr>
        <w:spacing w:after="240"/>
        <w:jc w:val="both"/>
      </w:pPr>
      <w:r>
        <w:t> </w:t>
      </w:r>
      <w:r w:rsidR="008876BF" w:rsidRPr="00A948A9">
        <w:rPr>
          <w:rFonts w:cs="Arial"/>
          <w:bCs/>
          <w:kern w:val="32"/>
          <w:szCs w:val="32"/>
        </w:rPr>
        <w:t>What is the</w:t>
      </w:r>
      <w:r w:rsidR="008876BF" w:rsidRPr="00927852">
        <w:rPr>
          <w:rFonts w:cs="Arial"/>
          <w:bCs/>
          <w:kern w:val="32"/>
          <w:szCs w:val="32"/>
        </w:rPr>
        <w:t xml:space="preserve"> appropriate allocation of common costs </w:t>
      </w:r>
      <w:r w:rsidR="008876BF">
        <w:rPr>
          <w:rFonts w:cs="Arial"/>
          <w:bCs/>
          <w:kern w:val="32"/>
          <w:szCs w:val="32"/>
        </w:rPr>
        <w:t>to Alturas?</w:t>
      </w:r>
    </w:p>
    <w:p w:rsidR="008876BF" w:rsidRPr="004C3641" w:rsidRDefault="008876BF" w:rsidP="008876BF">
      <w:pPr>
        <w:pStyle w:val="IssueSubsectionHeading"/>
        <w:rPr>
          <w:vanish/>
          <w:specVanish/>
        </w:rPr>
      </w:pPr>
      <w:r w:rsidRPr="004C3641">
        <w:t>Recommendation: </w:t>
      </w:r>
    </w:p>
    <w:p w:rsidR="008876BF" w:rsidRDefault="008876BF" w:rsidP="008876BF">
      <w:pPr>
        <w:pStyle w:val="BodyText"/>
      </w:pPr>
      <w:r w:rsidRPr="00927852">
        <w:t> </w:t>
      </w:r>
      <w:r w:rsidRPr="008B0360">
        <w:t>The appropriate allocation</w:t>
      </w:r>
      <w:r w:rsidRPr="00927852">
        <w:t xml:space="preserve"> of common costs </w:t>
      </w:r>
      <w:r>
        <w:t xml:space="preserve">to Alturas is 22 percent. </w:t>
      </w:r>
      <w:r w:rsidRPr="00927852">
        <w:t>(Golden, Vogel)</w:t>
      </w:r>
    </w:p>
    <w:p w:rsidR="008876BF" w:rsidRPr="00293B44" w:rsidRDefault="008876BF" w:rsidP="00293B44">
      <w:pPr>
        <w:pStyle w:val="IssueSubsectionHeading"/>
        <w:rPr>
          <w:rFonts w:ascii="Times New Roman" w:hAnsi="Times New Roman" w:cs="Times New Roman"/>
          <w:b w:val="0"/>
          <w:i w:val="0"/>
        </w:rPr>
      </w:pPr>
      <w:r w:rsidRPr="004C3641">
        <w:t>Staff Analysis:</w:t>
      </w:r>
      <w:r w:rsidR="00293B44">
        <w:t xml:space="preserve"> </w:t>
      </w:r>
      <w:r w:rsidRPr="00293B44">
        <w:rPr>
          <w:rFonts w:ascii="Times New Roman" w:hAnsi="Times New Roman" w:cs="Times New Roman"/>
          <w:b w:val="0"/>
          <w:i w:val="0"/>
        </w:rPr>
        <w:t>Alturas and its sister company, Sunrise Utilities, L</w:t>
      </w:r>
      <w:r w:rsidR="00A71AB2">
        <w:rPr>
          <w:rFonts w:ascii="Times New Roman" w:hAnsi="Times New Roman" w:cs="Times New Roman"/>
          <w:b w:val="0"/>
          <w:i w:val="0"/>
        </w:rPr>
        <w:t>.</w:t>
      </w:r>
      <w:r w:rsidRPr="00293B44">
        <w:rPr>
          <w:rFonts w:ascii="Times New Roman" w:hAnsi="Times New Roman" w:cs="Times New Roman"/>
          <w:b w:val="0"/>
          <w:i w:val="0"/>
        </w:rPr>
        <w:t>L</w:t>
      </w:r>
      <w:r w:rsidR="00A71AB2">
        <w:rPr>
          <w:rFonts w:ascii="Times New Roman" w:hAnsi="Times New Roman" w:cs="Times New Roman"/>
          <w:b w:val="0"/>
          <w:i w:val="0"/>
        </w:rPr>
        <w:t>.</w:t>
      </w:r>
      <w:r w:rsidRPr="00293B44">
        <w:rPr>
          <w:rFonts w:ascii="Times New Roman" w:hAnsi="Times New Roman" w:cs="Times New Roman"/>
          <w:b w:val="0"/>
          <w:i w:val="0"/>
        </w:rPr>
        <w:t>C</w:t>
      </w:r>
      <w:r w:rsidR="00A71AB2">
        <w:rPr>
          <w:rFonts w:ascii="Times New Roman" w:hAnsi="Times New Roman" w:cs="Times New Roman"/>
          <w:b w:val="0"/>
          <w:i w:val="0"/>
        </w:rPr>
        <w:t>.</w:t>
      </w:r>
      <w:r w:rsidRPr="00293B44">
        <w:rPr>
          <w:rFonts w:ascii="Times New Roman" w:hAnsi="Times New Roman" w:cs="Times New Roman"/>
          <w:b w:val="0"/>
          <w:i w:val="0"/>
        </w:rPr>
        <w:t xml:space="preserve"> (Sunrise), receive services from several shared contractual service providers. During the test year, the Utility’s allocation of the common costs varied for each of the contractual service providers. Commission practice is to allocate shared administrative and general expenses based on the number of ERCs.</w:t>
      </w:r>
      <w:r w:rsidRPr="00293B44">
        <w:rPr>
          <w:rFonts w:ascii="Times New Roman" w:hAnsi="Times New Roman" w:cs="Times New Roman"/>
          <w:b w:val="0"/>
          <w:i w:val="0"/>
          <w:vertAlign w:val="superscript"/>
        </w:rPr>
        <w:footnoteReference w:id="14"/>
      </w:r>
      <w:r w:rsidRPr="00293B44">
        <w:rPr>
          <w:rFonts w:ascii="Times New Roman" w:hAnsi="Times New Roman" w:cs="Times New Roman"/>
          <w:b w:val="0"/>
          <w:i w:val="0"/>
        </w:rPr>
        <w:t xml:space="preserve"> In addition, the Commission previously approved this methodology for Alturas and Sunrise when the systems were owned by Keen Sales, Rentals, and Utilities. The appropriate allocation percentages are calculated as follows: </w:t>
      </w:r>
    </w:p>
    <w:p w:rsidR="008876BF" w:rsidRDefault="008876BF" w:rsidP="0074026F">
      <w:pPr>
        <w:jc w:val="center"/>
        <w:rPr>
          <w:rFonts w:ascii="Arial" w:hAnsi="Arial" w:cs="Arial"/>
          <w:b/>
          <w:color w:val="000000"/>
        </w:rPr>
      </w:pPr>
      <w:r w:rsidRPr="000921E5">
        <w:rPr>
          <w:rFonts w:ascii="Arial" w:hAnsi="Arial" w:cs="Arial"/>
          <w:b/>
          <w:color w:val="000000"/>
        </w:rPr>
        <w:t>Table 3-1</w:t>
      </w:r>
    </w:p>
    <w:p w:rsidR="000948A1" w:rsidRPr="000921E5" w:rsidRDefault="000948A1" w:rsidP="0074026F">
      <w:pPr>
        <w:jc w:val="center"/>
        <w:rPr>
          <w:rFonts w:ascii="Arial" w:hAnsi="Arial" w:cs="Arial"/>
          <w:b/>
          <w:color w:val="000000"/>
        </w:rPr>
      </w:pPr>
      <w:r w:rsidRPr="000921E5">
        <w:rPr>
          <w:rFonts w:ascii="Arial" w:hAnsi="Arial" w:cs="Arial"/>
          <w:b/>
          <w:bCs/>
        </w:rPr>
        <w:t>Allocation Percentages</w:t>
      </w:r>
    </w:p>
    <w:tbl>
      <w:tblPr>
        <w:tblW w:w="7720" w:type="dxa"/>
        <w:tblInd w:w="938" w:type="dxa"/>
        <w:tblLook w:val="04A0" w:firstRow="1" w:lastRow="0" w:firstColumn="1" w:lastColumn="0" w:noHBand="0" w:noVBand="1"/>
      </w:tblPr>
      <w:tblGrid>
        <w:gridCol w:w="4464"/>
        <w:gridCol w:w="1584"/>
        <w:gridCol w:w="1672"/>
      </w:tblGrid>
      <w:tr w:rsidR="008876BF" w:rsidRPr="00927852" w:rsidTr="001618A6">
        <w:trPr>
          <w:trHeight w:val="264"/>
        </w:trPr>
        <w:tc>
          <w:tcPr>
            <w:tcW w:w="4464" w:type="dxa"/>
            <w:tcBorders>
              <w:top w:val="single" w:sz="8" w:space="0" w:color="auto"/>
              <w:left w:val="single" w:sz="8" w:space="0" w:color="auto"/>
              <w:right w:val="single" w:sz="8" w:space="0" w:color="auto"/>
            </w:tcBorders>
            <w:shd w:val="clear" w:color="auto" w:fill="auto"/>
            <w:noWrap/>
          </w:tcPr>
          <w:p w:rsidR="008876BF" w:rsidRPr="00493032" w:rsidRDefault="008876BF" w:rsidP="008876BF">
            <w:pPr>
              <w:rPr>
                <w:b/>
                <w:bCs/>
              </w:rPr>
            </w:pPr>
          </w:p>
        </w:tc>
        <w:tc>
          <w:tcPr>
            <w:tcW w:w="1584" w:type="dxa"/>
            <w:tcBorders>
              <w:top w:val="single" w:sz="8" w:space="0" w:color="auto"/>
              <w:left w:val="single" w:sz="8" w:space="0" w:color="auto"/>
              <w:bottom w:val="single" w:sz="8" w:space="0" w:color="auto"/>
              <w:right w:val="single" w:sz="8" w:space="0" w:color="auto"/>
            </w:tcBorders>
            <w:shd w:val="clear" w:color="auto" w:fill="auto"/>
            <w:vAlign w:val="bottom"/>
          </w:tcPr>
          <w:p w:rsidR="008876BF" w:rsidRPr="00493032" w:rsidRDefault="008876BF" w:rsidP="00493032">
            <w:pPr>
              <w:jc w:val="center"/>
              <w:rPr>
                <w:b/>
                <w:bCs/>
                <w:u w:val="single"/>
              </w:rPr>
            </w:pPr>
            <w:r w:rsidRPr="00493032">
              <w:rPr>
                <w:b/>
                <w:bCs/>
              </w:rPr>
              <w:t>Number of</w:t>
            </w:r>
          </w:p>
        </w:tc>
        <w:tc>
          <w:tcPr>
            <w:tcW w:w="167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876BF" w:rsidRPr="00493032" w:rsidRDefault="008876BF" w:rsidP="00493032">
            <w:pPr>
              <w:rPr>
                <w:b/>
                <w:bCs/>
              </w:rPr>
            </w:pPr>
            <w:r w:rsidRPr="00493032">
              <w:rPr>
                <w:b/>
                <w:bCs/>
              </w:rPr>
              <w:t xml:space="preserve">Percentage </w:t>
            </w:r>
            <w:r w:rsidR="00493032">
              <w:rPr>
                <w:b/>
                <w:bCs/>
              </w:rPr>
              <w:t>of</w:t>
            </w:r>
          </w:p>
        </w:tc>
      </w:tr>
      <w:tr w:rsidR="008876BF" w:rsidRPr="00927852" w:rsidTr="001618A6">
        <w:trPr>
          <w:trHeight w:val="264"/>
        </w:trPr>
        <w:tc>
          <w:tcPr>
            <w:tcW w:w="4464" w:type="dxa"/>
            <w:tcBorders>
              <w:top w:val="nil"/>
              <w:left w:val="single" w:sz="8" w:space="0" w:color="auto"/>
              <w:right w:val="single" w:sz="8" w:space="0" w:color="auto"/>
            </w:tcBorders>
            <w:shd w:val="clear" w:color="auto" w:fill="auto"/>
            <w:noWrap/>
            <w:vAlign w:val="bottom"/>
            <w:hideMark/>
          </w:tcPr>
          <w:p w:rsidR="008876BF" w:rsidRPr="00493032" w:rsidRDefault="008876BF" w:rsidP="008876BF">
            <w:pPr>
              <w:jc w:val="center"/>
              <w:rPr>
                <w:b/>
                <w:u w:val="single"/>
              </w:rPr>
            </w:pPr>
            <w:r w:rsidRPr="00493032">
              <w:rPr>
                <w:b/>
                <w:bCs/>
                <w:u w:val="single"/>
              </w:rPr>
              <w:t>Name of System</w:t>
            </w:r>
          </w:p>
        </w:tc>
        <w:tc>
          <w:tcPr>
            <w:tcW w:w="158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76BF" w:rsidRPr="00493032" w:rsidRDefault="008876BF" w:rsidP="008876BF">
            <w:pPr>
              <w:jc w:val="center"/>
              <w:rPr>
                <w:b/>
                <w:bCs/>
                <w:u w:val="single"/>
              </w:rPr>
            </w:pPr>
            <w:r w:rsidRPr="00493032">
              <w:rPr>
                <w:b/>
                <w:bCs/>
                <w:u w:val="single"/>
              </w:rPr>
              <w:t>ERCs</w:t>
            </w:r>
          </w:p>
        </w:tc>
        <w:tc>
          <w:tcPr>
            <w:tcW w:w="16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76BF" w:rsidRPr="00493032" w:rsidRDefault="008876BF" w:rsidP="008876BF">
            <w:pPr>
              <w:jc w:val="center"/>
              <w:rPr>
                <w:b/>
                <w:bCs/>
                <w:u w:val="single"/>
              </w:rPr>
            </w:pPr>
            <w:r w:rsidRPr="00493032">
              <w:rPr>
                <w:b/>
                <w:u w:val="single"/>
              </w:rPr>
              <w:t>Allocation</w:t>
            </w:r>
          </w:p>
        </w:tc>
      </w:tr>
      <w:tr w:rsidR="008876BF" w:rsidRPr="00927852" w:rsidTr="001618A6">
        <w:trPr>
          <w:trHeight w:val="276"/>
        </w:trPr>
        <w:tc>
          <w:tcPr>
            <w:tcW w:w="4464" w:type="dxa"/>
            <w:tcBorders>
              <w:left w:val="single" w:sz="8" w:space="0" w:color="auto"/>
              <w:bottom w:val="nil"/>
              <w:right w:val="single" w:sz="8" w:space="0" w:color="auto"/>
            </w:tcBorders>
            <w:shd w:val="clear" w:color="auto" w:fill="auto"/>
            <w:noWrap/>
          </w:tcPr>
          <w:p w:rsidR="008876BF" w:rsidRPr="00927852" w:rsidRDefault="008876BF" w:rsidP="008876BF">
            <w:pPr>
              <w:rPr>
                <w:bCs/>
              </w:rPr>
            </w:pPr>
          </w:p>
        </w:tc>
        <w:tc>
          <w:tcPr>
            <w:tcW w:w="1584" w:type="dxa"/>
            <w:tcBorders>
              <w:top w:val="single" w:sz="8" w:space="0" w:color="auto"/>
              <w:left w:val="single" w:sz="8" w:space="0" w:color="auto"/>
              <w:bottom w:val="single" w:sz="8" w:space="0" w:color="auto"/>
              <w:right w:val="single" w:sz="8" w:space="0" w:color="auto"/>
            </w:tcBorders>
            <w:shd w:val="clear" w:color="auto" w:fill="auto"/>
            <w:noWrap/>
            <w:vAlign w:val="bottom"/>
          </w:tcPr>
          <w:p w:rsidR="008876BF" w:rsidRPr="00927852" w:rsidRDefault="008876BF" w:rsidP="008876BF">
            <w:pPr>
              <w:rPr>
                <w:b/>
                <w:bCs/>
              </w:rPr>
            </w:pPr>
          </w:p>
        </w:tc>
        <w:tc>
          <w:tcPr>
            <w:tcW w:w="167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876BF" w:rsidRPr="00927852" w:rsidRDefault="008876BF" w:rsidP="008876BF">
            <w:pPr>
              <w:jc w:val="center"/>
              <w:rPr>
                <w:b/>
              </w:rPr>
            </w:pPr>
          </w:p>
        </w:tc>
      </w:tr>
      <w:tr w:rsidR="008876BF" w:rsidRPr="00927852" w:rsidTr="001618A6">
        <w:trPr>
          <w:trHeight w:val="264"/>
        </w:trPr>
        <w:tc>
          <w:tcPr>
            <w:tcW w:w="4464" w:type="dxa"/>
            <w:tcBorders>
              <w:left w:val="single" w:sz="8" w:space="0" w:color="auto"/>
              <w:right w:val="single" w:sz="8" w:space="0" w:color="auto"/>
            </w:tcBorders>
            <w:shd w:val="clear" w:color="auto" w:fill="auto"/>
            <w:noWrap/>
            <w:vAlign w:val="bottom"/>
            <w:hideMark/>
          </w:tcPr>
          <w:p w:rsidR="008876BF" w:rsidRPr="00927852" w:rsidRDefault="008876BF" w:rsidP="008876BF">
            <w:r>
              <w:t>Alturas Utilities, L.L.C.</w:t>
            </w:r>
          </w:p>
        </w:tc>
        <w:tc>
          <w:tcPr>
            <w:tcW w:w="158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76BF" w:rsidRPr="00927852" w:rsidRDefault="008876BF" w:rsidP="00493032">
            <w:pPr>
              <w:jc w:val="right"/>
            </w:pPr>
            <w:r>
              <w:t xml:space="preserve">               </w:t>
            </w:r>
            <w:r w:rsidR="00493032">
              <w:t>69</w:t>
            </w:r>
          </w:p>
        </w:tc>
        <w:tc>
          <w:tcPr>
            <w:tcW w:w="16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76BF" w:rsidRPr="00927852" w:rsidRDefault="008876BF" w:rsidP="008876BF">
            <w:pPr>
              <w:jc w:val="right"/>
            </w:pPr>
            <w:r>
              <w:t>22</w:t>
            </w:r>
            <w:r w:rsidRPr="00927852">
              <w:t>%</w:t>
            </w:r>
          </w:p>
        </w:tc>
      </w:tr>
      <w:tr w:rsidR="008876BF" w:rsidRPr="00927852" w:rsidTr="001618A6">
        <w:trPr>
          <w:trHeight w:val="276"/>
        </w:trPr>
        <w:tc>
          <w:tcPr>
            <w:tcW w:w="4464" w:type="dxa"/>
            <w:tcBorders>
              <w:top w:val="nil"/>
              <w:left w:val="single" w:sz="8" w:space="0" w:color="auto"/>
              <w:right w:val="single" w:sz="8" w:space="0" w:color="auto"/>
            </w:tcBorders>
            <w:shd w:val="clear" w:color="auto" w:fill="auto"/>
            <w:noWrap/>
            <w:vAlign w:val="bottom"/>
            <w:hideMark/>
          </w:tcPr>
          <w:p w:rsidR="008876BF" w:rsidRPr="00927852" w:rsidRDefault="008876BF" w:rsidP="008876BF">
            <w:r>
              <w:t>Sunrise Utilities, L.L.C.</w:t>
            </w:r>
          </w:p>
        </w:tc>
        <w:tc>
          <w:tcPr>
            <w:tcW w:w="158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76BF" w:rsidRPr="00927852" w:rsidRDefault="008876BF" w:rsidP="00292B38">
            <w:pPr>
              <w:jc w:val="right"/>
              <w:rPr>
                <w:u w:val="single"/>
              </w:rPr>
            </w:pPr>
            <w:r>
              <w:t xml:space="preserve">             </w:t>
            </w:r>
            <w:r>
              <w:rPr>
                <w:u w:val="single"/>
              </w:rPr>
              <w:t>24</w:t>
            </w:r>
            <w:r w:rsidR="00292B38">
              <w:rPr>
                <w:u w:val="single"/>
              </w:rPr>
              <w:t>7</w:t>
            </w:r>
          </w:p>
        </w:tc>
        <w:tc>
          <w:tcPr>
            <w:tcW w:w="16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76BF" w:rsidRPr="00927852" w:rsidRDefault="008876BF" w:rsidP="008876BF">
            <w:pPr>
              <w:jc w:val="right"/>
              <w:rPr>
                <w:u w:val="single"/>
              </w:rPr>
            </w:pPr>
            <w:r>
              <w:rPr>
                <w:u w:val="single"/>
              </w:rPr>
              <w:t>78</w:t>
            </w:r>
            <w:r w:rsidRPr="00927852">
              <w:rPr>
                <w:u w:val="single"/>
              </w:rPr>
              <w:t>%</w:t>
            </w:r>
          </w:p>
        </w:tc>
      </w:tr>
      <w:tr w:rsidR="008876BF" w:rsidRPr="00927852" w:rsidTr="001618A6">
        <w:trPr>
          <w:trHeight w:val="276"/>
        </w:trPr>
        <w:tc>
          <w:tcPr>
            <w:tcW w:w="4464" w:type="dxa"/>
            <w:tcBorders>
              <w:top w:val="nil"/>
              <w:left w:val="single" w:sz="8" w:space="0" w:color="auto"/>
              <w:bottom w:val="nil"/>
              <w:right w:val="single" w:sz="8" w:space="0" w:color="auto"/>
            </w:tcBorders>
            <w:shd w:val="clear" w:color="auto" w:fill="auto"/>
            <w:noWrap/>
            <w:vAlign w:val="bottom"/>
            <w:hideMark/>
          </w:tcPr>
          <w:p w:rsidR="008876BF" w:rsidRPr="00927852" w:rsidRDefault="008876BF" w:rsidP="008876BF">
            <w:r w:rsidRPr="00927852">
              <w:t>      Total</w:t>
            </w:r>
          </w:p>
        </w:tc>
        <w:tc>
          <w:tcPr>
            <w:tcW w:w="158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76BF" w:rsidRPr="00927852" w:rsidRDefault="008876BF" w:rsidP="00292B38">
            <w:pPr>
              <w:jc w:val="right"/>
              <w:rPr>
                <w:u w:val="double"/>
              </w:rPr>
            </w:pPr>
            <w:r w:rsidRPr="003B352A">
              <w:t xml:space="preserve">             </w:t>
            </w:r>
            <w:r>
              <w:rPr>
                <w:u w:val="double"/>
              </w:rPr>
              <w:t>31</w:t>
            </w:r>
            <w:r w:rsidR="00292B38">
              <w:rPr>
                <w:u w:val="double"/>
              </w:rPr>
              <w:t>6</w:t>
            </w:r>
            <w:r w:rsidRPr="00927852">
              <w:rPr>
                <w:u w:val="double"/>
              </w:rPr>
              <w:t xml:space="preserve"> </w:t>
            </w:r>
          </w:p>
        </w:tc>
        <w:tc>
          <w:tcPr>
            <w:tcW w:w="16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76BF" w:rsidRPr="00927852" w:rsidRDefault="008876BF" w:rsidP="008876BF">
            <w:pPr>
              <w:jc w:val="right"/>
              <w:rPr>
                <w:u w:val="double"/>
              </w:rPr>
            </w:pPr>
            <w:r w:rsidRPr="00927852">
              <w:rPr>
                <w:u w:val="double"/>
              </w:rPr>
              <w:t>100%</w:t>
            </w:r>
          </w:p>
        </w:tc>
      </w:tr>
      <w:tr w:rsidR="00493032" w:rsidRPr="00927852" w:rsidTr="001618A6">
        <w:trPr>
          <w:trHeight w:val="276"/>
        </w:trPr>
        <w:tc>
          <w:tcPr>
            <w:tcW w:w="4464" w:type="dxa"/>
            <w:tcBorders>
              <w:top w:val="nil"/>
              <w:left w:val="single" w:sz="8" w:space="0" w:color="auto"/>
              <w:bottom w:val="single" w:sz="8" w:space="0" w:color="auto"/>
              <w:right w:val="single" w:sz="8" w:space="0" w:color="auto"/>
            </w:tcBorders>
            <w:shd w:val="clear" w:color="auto" w:fill="auto"/>
            <w:noWrap/>
            <w:vAlign w:val="bottom"/>
          </w:tcPr>
          <w:p w:rsidR="00493032" w:rsidRPr="00927852" w:rsidRDefault="00493032" w:rsidP="008876BF"/>
        </w:tc>
        <w:tc>
          <w:tcPr>
            <w:tcW w:w="1584" w:type="dxa"/>
            <w:tcBorders>
              <w:top w:val="single" w:sz="8" w:space="0" w:color="auto"/>
              <w:left w:val="single" w:sz="8" w:space="0" w:color="auto"/>
              <w:bottom w:val="single" w:sz="8" w:space="0" w:color="auto"/>
              <w:right w:val="single" w:sz="8" w:space="0" w:color="auto"/>
            </w:tcBorders>
            <w:shd w:val="clear" w:color="auto" w:fill="auto"/>
            <w:noWrap/>
            <w:vAlign w:val="bottom"/>
          </w:tcPr>
          <w:p w:rsidR="00493032" w:rsidRPr="003B352A" w:rsidRDefault="00493032" w:rsidP="00493032">
            <w:pPr>
              <w:jc w:val="right"/>
            </w:pPr>
          </w:p>
        </w:tc>
        <w:tc>
          <w:tcPr>
            <w:tcW w:w="167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93032" w:rsidRPr="00927852" w:rsidRDefault="00493032" w:rsidP="008876BF">
            <w:pPr>
              <w:jc w:val="right"/>
              <w:rPr>
                <w:u w:val="double"/>
              </w:rPr>
            </w:pPr>
          </w:p>
        </w:tc>
      </w:tr>
    </w:tbl>
    <w:p w:rsidR="008876BF" w:rsidRPr="00927852" w:rsidRDefault="008876BF" w:rsidP="0074026F">
      <w:pPr>
        <w:ind w:firstLine="720"/>
        <w:jc w:val="both"/>
      </w:pPr>
    </w:p>
    <w:p w:rsidR="00BA4529" w:rsidRDefault="008876BF" w:rsidP="0074026F">
      <w:pPr>
        <w:pStyle w:val="BodyText"/>
        <w:spacing w:after="0"/>
        <w:rPr>
          <w:vanish/>
          <w:specVanish/>
        </w:rPr>
      </w:pPr>
      <w:r w:rsidRPr="00927852">
        <w:t xml:space="preserve">As shown above, </w:t>
      </w:r>
      <w:r>
        <w:t xml:space="preserve">Alturas </w:t>
      </w:r>
      <w:r w:rsidRPr="00927852">
        <w:t xml:space="preserve">represents </w:t>
      </w:r>
      <w:r>
        <w:t>22</w:t>
      </w:r>
      <w:r w:rsidRPr="00927852">
        <w:t xml:space="preserve"> percent of the ERCs for </w:t>
      </w:r>
      <w:r>
        <w:t>both u</w:t>
      </w:r>
      <w:r w:rsidRPr="00927852">
        <w:t>tilities</w:t>
      </w:r>
      <w:r>
        <w:t xml:space="preserve">. </w:t>
      </w:r>
      <w:r w:rsidRPr="00927852">
        <w:t>Therefore, staff recommends th</w:t>
      </w:r>
      <w:r>
        <w:t>e</w:t>
      </w:r>
      <w:r w:rsidRPr="00927852">
        <w:t xml:space="preserve"> </w:t>
      </w:r>
      <w:r>
        <w:t xml:space="preserve">shared </w:t>
      </w:r>
      <w:r w:rsidRPr="00927852">
        <w:t xml:space="preserve">reasonable and prudent common expenses should be allocated to the </w:t>
      </w:r>
      <w:r>
        <w:t>Alturas water system b</w:t>
      </w:r>
      <w:r w:rsidRPr="00927852">
        <w:t xml:space="preserve">ased on the allocated portion of </w:t>
      </w:r>
      <w:r>
        <w:t>22</w:t>
      </w:r>
      <w:r w:rsidRPr="00927852">
        <w:t xml:space="preserve"> percent</w:t>
      </w:r>
      <w:r>
        <w:t xml:space="preserve">. </w:t>
      </w:r>
      <w:r w:rsidRPr="00927852">
        <w:t>This equitably reflects the distribution of costs between the</w:t>
      </w:r>
      <w:r>
        <w:t xml:space="preserve"> two</w:t>
      </w:r>
      <w:r w:rsidRPr="00927852">
        <w:t xml:space="preserve"> systems.</w:t>
      </w:r>
      <w:r w:rsidR="00BA4529" w:rsidRPr="004C3641">
        <w:br w:type="page"/>
      </w:r>
      <w:r w:rsidR="00BA4529" w:rsidRPr="0074026F">
        <w:rPr>
          <w:rFonts w:ascii="Arial" w:hAnsi="Arial" w:cs="Arial"/>
          <w:b/>
          <w:i/>
        </w:rPr>
        <w:lastRenderedPageBreak/>
        <w:t xml:space="preserve">Issue </w:t>
      </w:r>
      <w:r w:rsidRPr="0074026F">
        <w:rPr>
          <w:rFonts w:ascii="Arial" w:hAnsi="Arial" w:cs="Arial"/>
          <w:b/>
          <w:i/>
        </w:rPr>
        <w:fldChar w:fldCharType="begin"/>
      </w:r>
      <w:r w:rsidRPr="0074026F">
        <w:rPr>
          <w:rFonts w:ascii="Arial" w:hAnsi="Arial" w:cs="Arial"/>
          <w:b/>
          <w:i/>
        </w:rPr>
        <w:instrText xml:space="preserve"> SEQ Issue \* MERGEFORMAT </w:instrText>
      </w:r>
      <w:r w:rsidRPr="0074026F">
        <w:rPr>
          <w:rFonts w:ascii="Arial" w:hAnsi="Arial" w:cs="Arial"/>
          <w:b/>
          <w:i/>
        </w:rPr>
        <w:fldChar w:fldCharType="separate"/>
      </w:r>
      <w:r w:rsidR="004E0887">
        <w:rPr>
          <w:rFonts w:ascii="Arial" w:hAnsi="Arial" w:cs="Arial"/>
          <w:b/>
          <w:i/>
          <w:noProof/>
        </w:rPr>
        <w:t>4</w:t>
      </w:r>
      <w:r w:rsidRPr="0074026F">
        <w:rPr>
          <w:rFonts w:ascii="Arial" w:hAnsi="Arial" w:cs="Arial"/>
          <w:b/>
          <w:i/>
          <w:noProof/>
        </w:rPr>
        <w:fldChar w:fldCharType="end"/>
      </w:r>
      <w:r w:rsidR="00BA4529" w:rsidRPr="0074026F">
        <w:rPr>
          <w:rFonts w:ascii="Arial" w:hAnsi="Arial" w:cs="Arial"/>
          <w:b/>
          <w:i/>
        </w:rPr>
        <w:t>:</w:t>
      </w:r>
      <w:r w:rsidR="00BA4529">
        <w:fldChar w:fldCharType="begin"/>
      </w:r>
      <w:r w:rsidR="00BA4529">
        <w:instrText xml:space="preserve"> TC "</w:instrText>
      </w:r>
      <w:bookmarkStart w:id="21" w:name="_Toc443485014"/>
      <w:r w:rsidR="00BA4529">
        <w:instrText xml:space="preserve">Issue </w:instrText>
      </w:r>
      <w:r w:rsidR="00BA4529">
        <w:fldChar w:fldCharType="begin"/>
      </w:r>
      <w:r w:rsidR="00BA4529">
        <w:instrText xml:space="preserve"> SEQ issue \c </w:instrText>
      </w:r>
      <w:r w:rsidR="00BA4529">
        <w:fldChar w:fldCharType="separate"/>
      </w:r>
      <w:r w:rsidR="004E0887">
        <w:rPr>
          <w:noProof/>
        </w:rPr>
        <w:instrText>4</w:instrText>
      </w:r>
      <w:r w:rsidR="00BA4529">
        <w:fldChar w:fldCharType="end"/>
      </w:r>
      <w:r w:rsidR="00BA4529">
        <w:instrText xml:space="preserve"> Average Test Year Rate Base</w:instrText>
      </w:r>
      <w:bookmarkEnd w:id="21"/>
      <w:r w:rsidR="00BA4529">
        <w:instrText xml:space="preserve">" \l 1 </w:instrText>
      </w:r>
      <w:r w:rsidR="00BA4529">
        <w:fldChar w:fldCharType="end"/>
      </w:r>
      <w:r w:rsidR="00BA4529">
        <w:t> </w:t>
      </w:r>
    </w:p>
    <w:p w:rsidR="008876BF" w:rsidRDefault="00BA4529" w:rsidP="008876BF">
      <w:pPr>
        <w:pStyle w:val="BodyText"/>
      </w:pPr>
      <w:r>
        <w:t> </w:t>
      </w:r>
      <w:r w:rsidR="008876BF" w:rsidRPr="001677BB">
        <w:rPr>
          <w:bCs/>
        </w:rPr>
        <w:t>What is the appr</w:t>
      </w:r>
      <w:r w:rsidR="008876BF" w:rsidRPr="00D94078">
        <w:rPr>
          <w:bCs/>
        </w:rPr>
        <w:t>opriate average test year rate base for Alturas?</w:t>
      </w:r>
    </w:p>
    <w:p w:rsidR="008876BF" w:rsidRPr="004C3641" w:rsidRDefault="008876BF" w:rsidP="008876BF">
      <w:pPr>
        <w:pStyle w:val="IssueSubsectionHeading"/>
        <w:rPr>
          <w:vanish/>
          <w:specVanish/>
        </w:rPr>
      </w:pPr>
      <w:r w:rsidRPr="004C3641">
        <w:t>Recommendation: </w:t>
      </w:r>
    </w:p>
    <w:p w:rsidR="008876BF" w:rsidRDefault="008876BF" w:rsidP="008876BF">
      <w:pPr>
        <w:pStyle w:val="BodyText"/>
      </w:pPr>
      <w:r>
        <w:t> </w:t>
      </w:r>
      <w:r w:rsidRPr="00D94078">
        <w:t xml:space="preserve">The appropriate average test year rate base for Alturas is </w:t>
      </w:r>
      <w:r w:rsidRPr="005A3F42">
        <w:t>$31,</w:t>
      </w:r>
      <w:r w:rsidR="00493032">
        <w:t>718</w:t>
      </w:r>
      <w:r w:rsidRPr="005A3F42">
        <w:t xml:space="preserve">. In the event the </w:t>
      </w:r>
      <w:r>
        <w:t>U</w:t>
      </w:r>
      <w:r w:rsidRPr="005A3F42">
        <w:t xml:space="preserve">tility is unable to issue customer deposit refunds and interest payments to former customers, staff recommends that the resulting total of the unclaimed refunds and associated accrued interest should be credited to </w:t>
      </w:r>
      <w:r>
        <w:t xml:space="preserve">contributions-in-aid-of-construction </w:t>
      </w:r>
      <w:r w:rsidRPr="005A3F42">
        <w:t xml:space="preserve">in the </w:t>
      </w:r>
      <w:r>
        <w:t>U</w:t>
      </w:r>
      <w:r w:rsidRPr="005A3F42">
        <w:t>tility’s next rate proceeding.</w:t>
      </w:r>
      <w:r w:rsidRPr="00D94078">
        <w:t xml:space="preserve"> (Golden, Vogel)</w:t>
      </w:r>
      <w:r>
        <w:t xml:space="preserve"> </w:t>
      </w:r>
    </w:p>
    <w:p w:rsidR="008876BF" w:rsidRPr="004C3641" w:rsidRDefault="008876BF" w:rsidP="008876BF">
      <w:pPr>
        <w:pStyle w:val="IssueSubsectionHeading"/>
        <w:rPr>
          <w:vanish/>
          <w:specVanish/>
        </w:rPr>
      </w:pPr>
      <w:r w:rsidRPr="004C3641">
        <w:t>Staff Analysis: </w:t>
      </w:r>
    </w:p>
    <w:p w:rsidR="008876BF" w:rsidRPr="00D94078" w:rsidRDefault="008876BF" w:rsidP="008876BF">
      <w:pPr>
        <w:pStyle w:val="BodyText"/>
      </w:pPr>
      <w:r>
        <w:t> </w:t>
      </w:r>
      <w:r w:rsidRPr="00D94078">
        <w:t>The appropriate components of the Utility</w:t>
      </w:r>
      <w:r w:rsidR="00114959">
        <w:t>’</w:t>
      </w:r>
      <w:r w:rsidRPr="00D94078">
        <w:t>s rate base include utility plant in service, land, contributions-in-aid-of-construction (CIAC), accumulated depreciation, amortization of CIAC, and working capital. Alturas’ rate base was last established by Order No. PSC-10-0380-PAA-WU in a 2009 SARC.</w:t>
      </w:r>
      <w:r w:rsidRPr="00D94078">
        <w:rPr>
          <w:vertAlign w:val="superscript"/>
        </w:rPr>
        <w:footnoteReference w:id="15"/>
      </w:r>
      <w:r w:rsidRPr="00D94078">
        <w:t xml:space="preserve"> Staff selected the test year end</w:t>
      </w:r>
      <w:r w:rsidR="00493032">
        <w:t>ed</w:t>
      </w:r>
      <w:r w:rsidRPr="00D94078">
        <w:t xml:space="preserve"> December 31, 2014, for the instant case. A summary of each component of rate base and the recommended adjustments are discussed below.</w:t>
      </w:r>
    </w:p>
    <w:p w:rsidR="008876BF" w:rsidRPr="00D94078" w:rsidRDefault="008876BF" w:rsidP="008876BF">
      <w:pPr>
        <w:pStyle w:val="BodyText"/>
      </w:pPr>
      <w:r w:rsidRPr="00D94078">
        <w:t xml:space="preserve">Pursuant to Rule 25-30.115, F.A.C., water and wastewater utilities are required to maintain their accounts and records in conformity with the 1996 National Association of Regulatory Utility Commissioners’ Uniform System of Accounts (NARUC USOA). As will be discussed further in </w:t>
      </w:r>
      <w:r w:rsidRPr="008F5EBB">
        <w:t>Issues 6 and 13,</w:t>
      </w:r>
      <w:r w:rsidRPr="00D94078">
        <w:t xml:space="preserve"> the Utility is not currently maintaining its books and records on a monthly basis as prescribed by the NARUC USOA. Commission audit staff determined that the Utility’s accounting activities are compiled at the end of each calendar year by the Utility’s </w:t>
      </w:r>
      <w:r>
        <w:t>officers</w:t>
      </w:r>
      <w:r w:rsidRPr="00D94078">
        <w:t xml:space="preserve"> and their Certified Public Accounting (CPA) firm to prepare the Utility’s </w:t>
      </w:r>
      <w:r>
        <w:t>A</w:t>
      </w:r>
      <w:r w:rsidRPr="00D94078">
        <w:t xml:space="preserve">nnual </w:t>
      </w:r>
      <w:r>
        <w:t>R</w:t>
      </w:r>
      <w:r w:rsidRPr="00D94078">
        <w:t xml:space="preserve">eport and its </w:t>
      </w:r>
      <w:r>
        <w:t>F</w:t>
      </w:r>
      <w:r w:rsidRPr="00D94078">
        <w:t xml:space="preserve">ederal </w:t>
      </w:r>
      <w:r>
        <w:t>T</w:t>
      </w:r>
      <w:r w:rsidRPr="00D94078">
        <w:t xml:space="preserve">ax </w:t>
      </w:r>
      <w:r>
        <w:t>R</w:t>
      </w:r>
      <w:r w:rsidRPr="00D94078">
        <w:t>eturn. Consequently, a 2014 income statement and balance sheet were not available, and the 2014 Annual Report was not compiled before the end of the audit staff’s field work. Audit staff used the Utility’s 2009 through 2013 Annual Reports, 2013 Federal Tax Return, and other supporting documents to compile the Utility’s rate base, capital structure, and net operating income for the test year ended December 31, 2014.</w:t>
      </w:r>
    </w:p>
    <w:p w:rsidR="008876BF" w:rsidRPr="003C585E" w:rsidRDefault="008876BF" w:rsidP="008876BF">
      <w:pPr>
        <w:pStyle w:val="Second-LevelSubheading"/>
        <w:ind w:left="0"/>
        <w:rPr>
          <w:i w:val="0"/>
        </w:rPr>
      </w:pPr>
      <w:r w:rsidRPr="003C585E">
        <w:rPr>
          <w:i w:val="0"/>
        </w:rPr>
        <w:t>Utility Plant in Service (UPIS)</w:t>
      </w:r>
    </w:p>
    <w:p w:rsidR="008876BF" w:rsidRPr="00D94078" w:rsidRDefault="008876BF" w:rsidP="008876BF">
      <w:pPr>
        <w:pStyle w:val="BodyText"/>
      </w:pPr>
      <w:r w:rsidRPr="00D94078">
        <w:t>As discussed above, no rate base balances were available for 2014. Using the Utility’s 2009 through 2013 Annual Reports, audit staff calculated a test year UPIS balance of $59,612. In the Utility’s last SARC, with a test year ended October 31, 2009, the Commission approved and included $18,075 of pro forma plant additions, without retirements. The projects included installing a shed, rebuilding a master meter at the well, refurbishing a well pump, refurbishing the water tank and tank piping, installing a new blowoff at the tank, and installing new water meters. On August 8, 2011, the Utility filed documents with the Commission that supported an actual cost of $10,486 for the approved projects that were completed during 2010 and 2011. Commission staff reviewed and approved the Utility’s filed documents and administratively closed the docket in that proceeding.</w:t>
      </w:r>
    </w:p>
    <w:p w:rsidR="008876BF" w:rsidRPr="00D94078" w:rsidRDefault="008876BF" w:rsidP="008876BF">
      <w:pPr>
        <w:pStyle w:val="BodyText"/>
      </w:pPr>
      <w:r w:rsidRPr="00D94078">
        <w:t xml:space="preserve">A review of the Utility’s annual reports indicates that the Utility experienced a net operating loss in each year since the pro forma projects were completed in 2011. Specifically, the Utility reported net operating losses of $4,933, $5,375, and $6,142 for 2011, 2012, and 2013, respectively. In addition, audit staff calculated a loss of $8,096 for 2014. The increasing level of </w:t>
      </w:r>
      <w:r w:rsidRPr="00D94078">
        <w:lastRenderedPageBreak/>
        <w:t>operating losses indicates that the $7,589 overstatement of UPIS was offset by other costs, and therefore, did not cause the Utility to exceed its authorized rate of return. However, staff believes it would be appropriate to adjust the rate base prospectively to correctly reflect the pro forma that was completed. The audit staff’s starting balance of $59,612 only includes a portion of the completed pro forma projects. Based on audit staff’s review, staff has increased UPIS by $7,068 to reflect the correct test year UPIS balance including all of the completed pro forma projects.</w:t>
      </w:r>
    </w:p>
    <w:p w:rsidR="008876BF" w:rsidRPr="00D94078" w:rsidRDefault="008876BF" w:rsidP="008876BF">
      <w:pPr>
        <w:pStyle w:val="BodyText"/>
      </w:pPr>
      <w:r w:rsidRPr="00D94078">
        <w:t>Audit staff noted that the previously approved pro forma projects did not include any plant retirements. The majority of the projects involve</w:t>
      </w:r>
      <w:r w:rsidR="00114959">
        <w:t>s</w:t>
      </w:r>
      <w:r w:rsidRPr="00D94078">
        <w:t xml:space="preserve"> new plant additions or refurbishments, and do not require plant retirements. However, staff believes it would be appropriate to recognize plant retirements for the meter replacements. Staff attempted to calculate the retirements based upon the original cost of the meters, however, there is insufficient information at this time to determine the exact number of meters that were replaced. It is Commission practice to use 75 percent of the cost of the replacement as the retirement value when the original cost or original in-service date is not known. Accordingly, staff has decreased this account by $1,752 ($2,336 x .75 = $1,752) to reflect the plant retirements associated with the 2010 and 2011 meter replacements. No plant additions were made during the test year, therefore, no averaging adjustment is necessary.</w:t>
      </w:r>
    </w:p>
    <w:p w:rsidR="008876BF" w:rsidRPr="008F5EBB" w:rsidRDefault="008876BF" w:rsidP="008876BF">
      <w:pPr>
        <w:pStyle w:val="BodyText"/>
      </w:pPr>
      <w:r w:rsidRPr="00D94078">
        <w:t xml:space="preserve">Based on the adjustments shown above, staff’s net adjustment to UPIS is an increase of </w:t>
      </w:r>
      <w:r w:rsidRPr="008F5EBB">
        <w:t xml:space="preserve">$5,316 </w:t>
      </w:r>
      <w:r w:rsidR="000948A1" w:rsidRPr="000948A1">
        <w:t>($7,068 - $1,752 = $5,316).</w:t>
      </w:r>
      <w:r w:rsidR="000948A1">
        <w:t xml:space="preserve"> </w:t>
      </w:r>
      <w:r w:rsidRPr="008F5EBB">
        <w:t>Staff recommends a UPIS balance of $64,928.</w:t>
      </w:r>
    </w:p>
    <w:p w:rsidR="008876BF" w:rsidRPr="003C585E" w:rsidRDefault="008876BF" w:rsidP="008876BF">
      <w:pPr>
        <w:pStyle w:val="Second-LevelSubheading"/>
        <w:ind w:left="0"/>
        <w:rPr>
          <w:i w:val="0"/>
        </w:rPr>
      </w:pPr>
      <w:r w:rsidRPr="003C585E">
        <w:rPr>
          <w:i w:val="0"/>
        </w:rPr>
        <w:t>Land and Land Rights</w:t>
      </w:r>
    </w:p>
    <w:p w:rsidR="008876BF" w:rsidRPr="008F5EBB" w:rsidRDefault="008876BF" w:rsidP="008876BF">
      <w:pPr>
        <w:pStyle w:val="BodyText"/>
      </w:pPr>
      <w:r w:rsidRPr="008F5EBB">
        <w:t>The Commission approved a land balance of $500 in the Utility’s 2009 SARC. Audit staff determined that there has been no activity related to land since the last case, therefore, no adjustments are necessary. Staff recommends a land and land rights balance of $500.</w:t>
      </w:r>
    </w:p>
    <w:p w:rsidR="008876BF" w:rsidRPr="003C585E" w:rsidRDefault="008876BF" w:rsidP="008876BF">
      <w:pPr>
        <w:pStyle w:val="Second-LevelSubheading"/>
        <w:ind w:left="0"/>
        <w:rPr>
          <w:i w:val="0"/>
        </w:rPr>
      </w:pPr>
      <w:r w:rsidRPr="003C585E">
        <w:rPr>
          <w:i w:val="0"/>
        </w:rPr>
        <w:t>Non-Used and Useful Plant</w:t>
      </w:r>
    </w:p>
    <w:p w:rsidR="008876BF" w:rsidRPr="008F5EBB" w:rsidRDefault="008876BF" w:rsidP="008876BF">
      <w:pPr>
        <w:pStyle w:val="BodyText"/>
      </w:pPr>
      <w:r w:rsidRPr="008F5EBB">
        <w:t>As discussed in Issue 2, Alturas’ water treatment plant and distribution system are considered 100 percent U&amp;U. Therefore, a U&amp;U adjustment is unnecessary.</w:t>
      </w:r>
    </w:p>
    <w:p w:rsidR="008876BF" w:rsidRPr="003C585E" w:rsidRDefault="008876BF" w:rsidP="008876BF">
      <w:pPr>
        <w:pStyle w:val="Second-LevelSubheading"/>
        <w:ind w:left="0"/>
        <w:rPr>
          <w:i w:val="0"/>
        </w:rPr>
      </w:pPr>
      <w:r w:rsidRPr="003C585E">
        <w:rPr>
          <w:i w:val="0"/>
        </w:rPr>
        <w:t>Contribution in Aid of Construction (CIAC)</w:t>
      </w:r>
    </w:p>
    <w:p w:rsidR="008876BF" w:rsidRDefault="008876BF" w:rsidP="008876BF">
      <w:pPr>
        <w:pStyle w:val="BodyText"/>
      </w:pPr>
      <w:r w:rsidRPr="008F5EBB">
        <w:t>The Commission approved a CIAC balance of $18,637 in the Utility’s 2009 SARC. Audit staff determined there has been no activity related to CIAC since that case, therefore, no adjustments are necessary. Staff recommends a CIAC balance of $18,637.</w:t>
      </w:r>
    </w:p>
    <w:p w:rsidR="0074026F" w:rsidRDefault="008876BF" w:rsidP="008876BF">
      <w:pPr>
        <w:pStyle w:val="BodyText"/>
      </w:pPr>
      <w:r w:rsidRPr="008F5EBB">
        <w:t xml:space="preserve">In addition, as will be discussed later in this recommendation, Alturas appears to be in violation of the Commission’s </w:t>
      </w:r>
      <w:r w:rsidR="009A33A3">
        <w:t>R</w:t>
      </w:r>
      <w:r w:rsidRPr="008F5EBB">
        <w:t xml:space="preserve">ules and regulations regarding customer deposits. The </w:t>
      </w:r>
      <w:r w:rsidR="00E0707B">
        <w:t>U</w:t>
      </w:r>
      <w:r w:rsidRPr="008F5EBB">
        <w:t xml:space="preserve">tility is working with Commission staff to correct the apparent violations, however, the final results of those corrections are not yet known. In the event the </w:t>
      </w:r>
      <w:r w:rsidR="00AF57EC">
        <w:t>U</w:t>
      </w:r>
      <w:r w:rsidRPr="008F5EBB">
        <w:t xml:space="preserve">tility is unable to issue customer deposit refunds and interest payments to former customers, staff recommends that the resulting total of the unclaimed refunds and associated accrued interest should be credited to CIAC in the </w:t>
      </w:r>
      <w:r w:rsidR="00E0707B">
        <w:t>U</w:t>
      </w:r>
      <w:r w:rsidRPr="008F5EBB">
        <w:t>tility’s next rate proceeding.</w:t>
      </w:r>
    </w:p>
    <w:p w:rsidR="0074026F" w:rsidRDefault="0074026F" w:rsidP="0074026F">
      <w:r>
        <w:br w:type="page"/>
      </w:r>
    </w:p>
    <w:p w:rsidR="008876BF" w:rsidRPr="003C585E" w:rsidRDefault="008876BF" w:rsidP="008876BF">
      <w:pPr>
        <w:pStyle w:val="Second-LevelSubheading"/>
        <w:ind w:left="0"/>
        <w:rPr>
          <w:i w:val="0"/>
        </w:rPr>
      </w:pPr>
      <w:r w:rsidRPr="003C585E">
        <w:rPr>
          <w:i w:val="0"/>
        </w:rPr>
        <w:lastRenderedPageBreak/>
        <w:t>Accumulated Depreciation</w:t>
      </w:r>
    </w:p>
    <w:p w:rsidR="008876BF" w:rsidRPr="00D94078" w:rsidRDefault="008876BF" w:rsidP="008876BF">
      <w:pPr>
        <w:pStyle w:val="BodyText"/>
      </w:pPr>
      <w:r w:rsidRPr="00D94078">
        <w:t>Audit staff calculated a test year accumulated depreciation balance of $34,230. Audit staff determined that no depreciation was recorded during 2011 and 2012. Therefore, audit staff calculated the annual accruals to accumulated depreciation beginning with the Utility’s last SARC in 2009 through the end of the test year, using the prescribed rates set forth in Rule 25-30.140, F.A.C</w:t>
      </w:r>
      <w:r w:rsidR="0074026F">
        <w:t>.</w:t>
      </w:r>
      <w:r w:rsidRPr="00D94078">
        <w:t xml:space="preserve">, and determined that accumulated depreciation should be increased by $5,623 to reflect the correct test year balance. In addition, staff decreased this account by a total of $2,204 to reflect the retirement of the replaced meters discussed above. Staff’s retirement adjustment includes removal of $1,752 in accumulated depreciation for the retired meters, as well as removal of $452 in additional accumulated depreciation that continued to accrue during the years following the meter replacements ($1,752 + $452 = $2,204). Also, staff decreased this account by $811 to reflect an averaging adjustment. Staff’s net adjustment to accumulated depreciation is an increase of </w:t>
      </w:r>
      <w:r w:rsidRPr="008F5EBB">
        <w:t>$2,607, resulting in an accumulated depreciation balance of $36,837.</w:t>
      </w:r>
    </w:p>
    <w:p w:rsidR="008876BF" w:rsidRPr="003C585E" w:rsidRDefault="008876BF" w:rsidP="008876BF">
      <w:pPr>
        <w:pStyle w:val="Second-LevelSubheading"/>
        <w:ind w:left="0"/>
        <w:rPr>
          <w:i w:val="0"/>
        </w:rPr>
      </w:pPr>
      <w:r w:rsidRPr="003C585E">
        <w:rPr>
          <w:i w:val="0"/>
        </w:rPr>
        <w:t>Accumulated Amortization of CIAC</w:t>
      </w:r>
    </w:p>
    <w:p w:rsidR="008876BF" w:rsidRPr="00D94078" w:rsidRDefault="008876BF" w:rsidP="008876BF">
      <w:pPr>
        <w:pStyle w:val="BodyText"/>
      </w:pPr>
      <w:r w:rsidRPr="00D94078">
        <w:t xml:space="preserve">The Commission approved an accumulated amortization of CIAC balance of $18,637 in the Utility’s 2009 SARC, and determined that CIAC had become fully amortized as of February 10, 2004. As noted above, there has been no activity related to CIAC since the last case, therefore, no adjustments to amortization of CIAC are necessary. Although there is a net zero effect of having balances of $18,637 for CIAC and accumulated amortization of CIAC, these balances should still be maintained for accounting purposes. These balances represent contributions toward plant assets by the Utility’s customers. When those plant assets are replaced and retired, a corresponding retirement to CIAC and accumulated amortization of CIAC will be required and therefore, staff recommends an accumulated amortization of CIAC balance of </w:t>
      </w:r>
      <w:r w:rsidRPr="008F5EBB">
        <w:t>$18,637.</w:t>
      </w:r>
    </w:p>
    <w:p w:rsidR="008876BF" w:rsidRPr="003C585E" w:rsidRDefault="008876BF" w:rsidP="008876BF">
      <w:pPr>
        <w:pStyle w:val="Second-LevelSubheading"/>
        <w:ind w:left="0"/>
        <w:rPr>
          <w:i w:val="0"/>
        </w:rPr>
      </w:pPr>
      <w:r w:rsidRPr="003C585E">
        <w:rPr>
          <w:i w:val="0"/>
        </w:rPr>
        <w:t>Working Capital Allowance</w:t>
      </w:r>
    </w:p>
    <w:p w:rsidR="008876BF" w:rsidRPr="008F5EBB" w:rsidRDefault="008876BF" w:rsidP="008876BF">
      <w:pPr>
        <w:pStyle w:val="BodyText"/>
      </w:pPr>
      <w:r w:rsidRPr="00D94078">
        <w:t xml:space="preserve">Working capital is defined as the investor-supplied funds that are necessary to meet operating expenses of the </w:t>
      </w:r>
      <w:r w:rsidR="00AF57EC">
        <w:t>U</w:t>
      </w:r>
      <w:r w:rsidRPr="00D94078">
        <w:t xml:space="preserve">tility. Consistent with Rule 25-30.433(2), F.A.C., staff used the one-eighth of the operation and maintenance (O&amp;M) expense formula approach for calculating the working capital allowance. Applying this formula, staff recommends a working capital allowance of </w:t>
      </w:r>
      <w:r w:rsidRPr="008F5EBB">
        <w:t>$</w:t>
      </w:r>
      <w:r w:rsidR="00493032">
        <w:t>3,127</w:t>
      </w:r>
      <w:r w:rsidRPr="008F5EBB">
        <w:t xml:space="preserve"> (based on O&amp;M expense of $2</w:t>
      </w:r>
      <w:r w:rsidR="00493032">
        <w:t>5,015</w:t>
      </w:r>
      <w:r w:rsidRPr="008F5EBB">
        <w:t>/8).</w:t>
      </w:r>
    </w:p>
    <w:p w:rsidR="008876BF" w:rsidRPr="003C585E" w:rsidRDefault="008876BF" w:rsidP="008876BF">
      <w:pPr>
        <w:pStyle w:val="Second-LevelSubheading"/>
        <w:ind w:left="0"/>
        <w:rPr>
          <w:i w:val="0"/>
        </w:rPr>
      </w:pPr>
      <w:r w:rsidRPr="003C585E">
        <w:rPr>
          <w:i w:val="0"/>
        </w:rPr>
        <w:t>Rate Base Summary</w:t>
      </w:r>
    </w:p>
    <w:p w:rsidR="008876BF" w:rsidRPr="00D94078" w:rsidRDefault="008876BF" w:rsidP="008876BF">
      <w:pPr>
        <w:pStyle w:val="BodyText"/>
      </w:pPr>
      <w:r w:rsidRPr="008F5EBB">
        <w:t>Based on the foregoing, staff recommends that the appropriate average test year rate base is $31,</w:t>
      </w:r>
      <w:r w:rsidR="00493032">
        <w:t>718</w:t>
      </w:r>
      <w:r w:rsidRPr="008F5EBB">
        <w:t xml:space="preserve">. Rate base is shown on Schedule No. 1-A. The related adjustments are shown on Schedule No. 1-B. Also, in the event the </w:t>
      </w:r>
      <w:r w:rsidR="00277C52">
        <w:t>U</w:t>
      </w:r>
      <w:r w:rsidRPr="008F5EBB">
        <w:t xml:space="preserve">tility is unable to issue customer deposit refunds and interest payments to former customers, staff recommends that the resulting total of the unclaimed refunds and associated accrued interest should be credited to CIAC in the </w:t>
      </w:r>
      <w:r w:rsidR="00277C52">
        <w:t>U</w:t>
      </w:r>
      <w:r w:rsidRPr="008F5EBB">
        <w:t>tility’s next rate proceeding.</w:t>
      </w:r>
    </w:p>
    <w:p w:rsidR="008876BF" w:rsidRDefault="008876BF" w:rsidP="008876BF">
      <w:pPr>
        <w:pStyle w:val="IssueHeading"/>
        <w:rPr>
          <w:b w:val="0"/>
          <w:i w:val="0"/>
        </w:rPr>
      </w:pPr>
      <w:r w:rsidRPr="004C3641">
        <w:rPr>
          <w:b w:val="0"/>
          <w:i w:val="0"/>
        </w:rPr>
        <w:br w:type="page"/>
      </w:r>
    </w:p>
    <w:p w:rsidR="008876BF" w:rsidRDefault="008876BF" w:rsidP="008876BF">
      <w:pPr>
        <w:pStyle w:val="IssueHeading"/>
        <w:rPr>
          <w:vanish/>
          <w:specVanish/>
        </w:rPr>
      </w:pPr>
      <w:r w:rsidRPr="004C3641">
        <w:lastRenderedPageBreak/>
        <w:t xml:space="preserve">Issue </w:t>
      </w:r>
      <w:r w:rsidR="00F852FE">
        <w:fldChar w:fldCharType="begin"/>
      </w:r>
      <w:r w:rsidR="00F852FE">
        <w:instrText xml:space="preserve"> SEQ Issue \* MERGEFORMAT </w:instrText>
      </w:r>
      <w:r w:rsidR="00F852FE">
        <w:fldChar w:fldCharType="separate"/>
      </w:r>
      <w:r w:rsidR="004E0887">
        <w:rPr>
          <w:noProof/>
        </w:rPr>
        <w:t>5</w:t>
      </w:r>
      <w:r w:rsidR="00F852FE">
        <w:rPr>
          <w:noProof/>
        </w:rPr>
        <w:fldChar w:fldCharType="end"/>
      </w:r>
      <w:r w:rsidRPr="004C3641">
        <w:t>:</w:t>
      </w:r>
      <w:r>
        <w:fldChar w:fldCharType="begin"/>
      </w:r>
      <w:r>
        <w:instrText xml:space="preserve"> TC "</w:instrText>
      </w:r>
      <w:bookmarkStart w:id="22" w:name="_Toc442961334"/>
      <w:bookmarkStart w:id="23" w:name="_Toc443485015"/>
      <w:r>
        <w:instrText>Issue 5  Rate of Return</w:instrText>
      </w:r>
      <w:bookmarkEnd w:id="22"/>
      <w:bookmarkEnd w:id="23"/>
      <w:r>
        <w:instrText xml:space="preserve">" \l 1 </w:instrText>
      </w:r>
      <w:r>
        <w:fldChar w:fldCharType="end"/>
      </w:r>
      <w:r>
        <w:t> </w:t>
      </w:r>
    </w:p>
    <w:p w:rsidR="008876BF" w:rsidRDefault="008876BF" w:rsidP="008876BF">
      <w:pPr>
        <w:pStyle w:val="BodyText"/>
      </w:pPr>
      <w:r>
        <w:t> </w:t>
      </w:r>
      <w:r w:rsidRPr="001677BB">
        <w:t>What is the appropriate rate of</w:t>
      </w:r>
      <w:r w:rsidRPr="00350064">
        <w:t xml:space="preserve"> return on equity and overall rate of return for Alturas</w:t>
      </w:r>
      <w:r>
        <w:t>?</w:t>
      </w:r>
    </w:p>
    <w:p w:rsidR="008876BF" w:rsidRPr="004C3641" w:rsidRDefault="008876BF" w:rsidP="008876BF">
      <w:pPr>
        <w:pStyle w:val="IssueSubsectionHeading"/>
        <w:rPr>
          <w:vanish/>
          <w:specVanish/>
        </w:rPr>
      </w:pPr>
      <w:r w:rsidRPr="004C3641">
        <w:t>Recommendation: </w:t>
      </w:r>
    </w:p>
    <w:p w:rsidR="008876BF" w:rsidRDefault="008876BF" w:rsidP="008876BF">
      <w:pPr>
        <w:pStyle w:val="BodyText"/>
      </w:pPr>
      <w:r>
        <w:t> </w:t>
      </w:r>
      <w:r w:rsidRPr="00350064">
        <w:t xml:space="preserve">The appropriate return on equity (ROE) is </w:t>
      </w:r>
      <w:r w:rsidRPr="008F5EBB">
        <w:t>8.74 percent with a range of 7.74 percent to 9.74 percent. The appropriate overall rate of return is 8.53 percent. (Golden, Vogel)</w:t>
      </w:r>
      <w:r>
        <w:t xml:space="preserve"> </w:t>
      </w:r>
    </w:p>
    <w:p w:rsidR="008876BF" w:rsidRPr="004C3641" w:rsidRDefault="008876BF" w:rsidP="008876BF">
      <w:pPr>
        <w:pStyle w:val="IssueSubsectionHeading"/>
        <w:rPr>
          <w:vanish/>
          <w:specVanish/>
        </w:rPr>
      </w:pPr>
      <w:r w:rsidRPr="004C3641">
        <w:t>Staff Analysis: </w:t>
      </w:r>
    </w:p>
    <w:p w:rsidR="008876BF" w:rsidRPr="008F5EBB" w:rsidRDefault="008876BF" w:rsidP="008876BF">
      <w:pPr>
        <w:pStyle w:val="BodyText"/>
      </w:pPr>
      <w:r>
        <w:t> </w:t>
      </w:r>
      <w:r w:rsidRPr="00350064">
        <w:t xml:space="preserve">No capital structure balance was available for 2014. Based on a review of the Utility’s </w:t>
      </w:r>
      <w:r>
        <w:t>A</w:t>
      </w:r>
      <w:r w:rsidRPr="00350064">
        <w:t xml:space="preserve">nnual </w:t>
      </w:r>
      <w:r>
        <w:t>R</w:t>
      </w:r>
      <w:r w:rsidRPr="00350064">
        <w:t xml:space="preserve">eports, audit staff </w:t>
      </w:r>
      <w:r>
        <w:t xml:space="preserve">initially </w:t>
      </w:r>
      <w:r w:rsidRPr="00350064">
        <w:t>determined that the Utility’s capital structure is composed entirely of owners’ equity because no debt or customer deposits were disclosed. However,</w:t>
      </w:r>
      <w:r>
        <w:t xml:space="preserve"> audit staff could not determine the </w:t>
      </w:r>
      <w:r w:rsidRPr="00350064">
        <w:t xml:space="preserve">Utility’s equity balance </w:t>
      </w:r>
      <w:r>
        <w:t xml:space="preserve">from </w:t>
      </w:r>
      <w:r w:rsidRPr="00350064">
        <w:t>its 2013 Annual Report or 2013 Federal Tax Return. Pursuant to Order No. PSC-05-0309-PAA-WU</w:t>
      </w:r>
      <w:r w:rsidR="0074026F">
        <w:t>,</w:t>
      </w:r>
      <w:r w:rsidRPr="00350064">
        <w:t xml:space="preserve"> that approved the transfer of Alturas to the current owner, the purchase price was $45,000 for the system.</w:t>
      </w:r>
      <w:r w:rsidRPr="00350064">
        <w:rPr>
          <w:vertAlign w:val="superscript"/>
        </w:rPr>
        <w:footnoteReference w:id="16"/>
      </w:r>
      <w:r w:rsidRPr="00350064">
        <w:t xml:space="preserve"> The purchase price was paid with cash in several installments. Therefore, staff has increased common equity by $45,000 to reflect the owner’s equity in the system.</w:t>
      </w:r>
      <w:r>
        <w:t xml:space="preserve"> </w:t>
      </w:r>
      <w:r w:rsidRPr="008F5EBB">
        <w:t>In addition, Alturas subsequently provided customer deposit records that indicated the Utility was holding $986 in customer deposits during the test year. Accordingly, staff increased customer deposits by $986 to reflect the Utility’s customer deposit balance as of December 31, 2014.</w:t>
      </w:r>
    </w:p>
    <w:p w:rsidR="008876BF" w:rsidRDefault="008876BF" w:rsidP="008876BF">
      <w:pPr>
        <w:pStyle w:val="BodyText"/>
        <w:sectPr w:rsidR="008876BF" w:rsidSect="0068481F">
          <w:headerReference w:type="default" r:id="rId16"/>
          <w:headerReference w:type="first" r:id="rId17"/>
          <w:footerReference w:type="first" r:id="rId18"/>
          <w:pgSz w:w="12240" w:h="15840" w:code="1"/>
          <w:pgMar w:top="1584" w:right="1440" w:bottom="1440" w:left="1440" w:header="720" w:footer="720" w:gutter="0"/>
          <w:cols w:space="720"/>
          <w:formProt w:val="0"/>
          <w:docGrid w:linePitch="360"/>
        </w:sectPr>
      </w:pPr>
      <w:r w:rsidRPr="008F5EBB">
        <w:t>The Utility’s capital structure has been reconciled with staff’s recommended rate base. The appropriate ROE is 8.74 percent based upon the Commission-approved leverage formula currently in effect.</w:t>
      </w:r>
      <w:r w:rsidRPr="008F5EBB">
        <w:rPr>
          <w:vertAlign w:val="superscript"/>
        </w:rPr>
        <w:footnoteReference w:id="17"/>
      </w:r>
      <w:r w:rsidRPr="008F5EBB">
        <w:t xml:space="preserve"> Staff recommends an ROE of 8.74 percent, with a range of 7.74 percent to 9.74 percent, and an overall rate of return of 8.53 percent. The ROE and overall rate of return are shown on Schedule No. 2.</w:t>
      </w:r>
    </w:p>
    <w:p w:rsidR="00BA4529" w:rsidRDefault="00BA4529">
      <w:pPr>
        <w:pStyle w:val="IssueHeading"/>
        <w:rPr>
          <w:vanish/>
          <w:specVanish/>
        </w:rPr>
      </w:pPr>
      <w:r w:rsidRPr="004C3641">
        <w:lastRenderedPageBreak/>
        <w:t xml:space="preserve">Issue </w:t>
      </w:r>
      <w:r w:rsidR="00F852FE">
        <w:fldChar w:fldCharType="begin"/>
      </w:r>
      <w:r w:rsidR="00F852FE">
        <w:instrText xml:space="preserve"> SEQ Issue \* MERGEFORMAT </w:instrText>
      </w:r>
      <w:r w:rsidR="00F852FE">
        <w:fldChar w:fldCharType="separate"/>
      </w:r>
      <w:r w:rsidR="004E0887">
        <w:rPr>
          <w:noProof/>
        </w:rPr>
        <w:t>6</w:t>
      </w:r>
      <w:r w:rsidR="00F852FE">
        <w:rPr>
          <w:noProof/>
        </w:rPr>
        <w:fldChar w:fldCharType="end"/>
      </w:r>
      <w:r w:rsidRPr="004C3641">
        <w:t>:</w:t>
      </w:r>
      <w:r>
        <w:fldChar w:fldCharType="begin"/>
      </w:r>
      <w:r>
        <w:instrText xml:space="preserve"> TC "</w:instrText>
      </w:r>
      <w:bookmarkStart w:id="24" w:name="_Toc443485016"/>
      <w:r>
        <w:instrText xml:space="preserve">Issue </w:instrText>
      </w:r>
      <w:r>
        <w:fldChar w:fldCharType="begin"/>
      </w:r>
      <w:r>
        <w:instrText xml:space="preserve"> SEQ issue \c </w:instrText>
      </w:r>
      <w:r>
        <w:fldChar w:fldCharType="separate"/>
      </w:r>
      <w:r w:rsidR="004E0887">
        <w:rPr>
          <w:noProof/>
        </w:rPr>
        <w:instrText>6</w:instrText>
      </w:r>
      <w:r>
        <w:fldChar w:fldCharType="end"/>
      </w:r>
      <w:r>
        <w:instrText xml:space="preserve"> Test Year Revenues</w:instrText>
      </w:r>
      <w:bookmarkEnd w:id="24"/>
      <w:r>
        <w:instrText xml:space="preserve">" \l 1 </w:instrText>
      </w:r>
      <w:r>
        <w:fldChar w:fldCharType="end"/>
      </w:r>
      <w:r>
        <w:t> </w:t>
      </w:r>
    </w:p>
    <w:p w:rsidR="0081418B" w:rsidRDefault="0081418B" w:rsidP="0081418B">
      <w:pPr>
        <w:jc w:val="both"/>
      </w:pPr>
      <w:r>
        <w:t>What are the appropriate test year revenues for Alturas’ water system?</w:t>
      </w:r>
    </w:p>
    <w:p w:rsidR="0081418B" w:rsidRDefault="0081418B" w:rsidP="0081418B">
      <w:pPr>
        <w:jc w:val="both"/>
      </w:pPr>
    </w:p>
    <w:p w:rsidR="007E52A8" w:rsidRDefault="0081418B" w:rsidP="007E52A8">
      <w:pPr>
        <w:jc w:val="both"/>
      </w:pPr>
      <w:r w:rsidRPr="00A77C3E">
        <w:rPr>
          <w:rFonts w:ascii="Arial" w:hAnsi="Arial" w:cs="Arial"/>
          <w:b/>
          <w:i/>
        </w:rPr>
        <w:t>Recommendation</w:t>
      </w:r>
      <w:r>
        <w:t xml:space="preserve">: </w:t>
      </w:r>
      <w:r w:rsidR="007E52A8">
        <w:t>The appropriate test year revenues for Alturas’ water system are $28,143. (Bruce)</w:t>
      </w:r>
    </w:p>
    <w:p w:rsidR="007E52A8" w:rsidRDefault="007E52A8" w:rsidP="007E52A8">
      <w:pPr>
        <w:jc w:val="both"/>
      </w:pPr>
    </w:p>
    <w:p w:rsidR="0081418B" w:rsidRDefault="007E52A8" w:rsidP="007E52A8">
      <w:pPr>
        <w:jc w:val="both"/>
      </w:pPr>
      <w:r w:rsidRPr="00A77C3E">
        <w:rPr>
          <w:rFonts w:ascii="Arial" w:hAnsi="Arial" w:cs="Arial"/>
          <w:b/>
          <w:i/>
        </w:rPr>
        <w:t>Staff Analysis</w:t>
      </w:r>
      <w:r>
        <w:t xml:space="preserve">:  At the time of staff’s audit, the Utility had not closed its books for calendar year 2014, which is the test year in this docket. As a result, staff’s adjustments are to the Utility’s estimated test year revenues. Alturas estimated test year revenues of $26,138, which did not include any miscellaneous revenues. </w:t>
      </w:r>
      <w:r w:rsidRPr="00407690">
        <w:t xml:space="preserve">The </w:t>
      </w:r>
      <w:r w:rsidR="008236E8">
        <w:t>U</w:t>
      </w:r>
      <w:r w:rsidRPr="00407690">
        <w:t xml:space="preserve">tility recorded five months of miscellaneous revenues during the test year, which totaled $75. Because no records were provided for the remaining seven months of the test year, </w:t>
      </w:r>
      <w:r w:rsidRPr="00BC3358">
        <w:t xml:space="preserve">staff </w:t>
      </w:r>
      <w:r>
        <w:t xml:space="preserve">estimated that a similar number of miscellaneous service events would </w:t>
      </w:r>
      <w:r w:rsidRPr="00BC3358">
        <w:t xml:space="preserve">occur throughout the </w:t>
      </w:r>
      <w:r>
        <w:t xml:space="preserve">remaining months </w:t>
      </w:r>
      <w:r w:rsidRPr="00407690">
        <w:t>and determined that</w:t>
      </w:r>
      <w:r w:rsidR="003B6FBF">
        <w:t xml:space="preserve"> additional miscellaneous</w:t>
      </w:r>
      <w:r w:rsidRPr="00407690">
        <w:t xml:space="preserve"> revenues </w:t>
      </w:r>
      <w:r w:rsidR="003B6FBF">
        <w:t xml:space="preserve">of $75 </w:t>
      </w:r>
      <w:r w:rsidRPr="00407690">
        <w:t xml:space="preserve">should be </w:t>
      </w:r>
      <w:r w:rsidR="003B6FBF">
        <w:t>added</w:t>
      </w:r>
      <w:r w:rsidRPr="00407690">
        <w:t xml:space="preserve">. Therefore, </w:t>
      </w:r>
      <w:r>
        <w:t xml:space="preserve">test year revenues should be increased by </w:t>
      </w:r>
      <w:r w:rsidRPr="00407690">
        <w:t>$150</w:t>
      </w:r>
      <w:r>
        <w:t>.</w:t>
      </w:r>
      <w:r w:rsidRPr="00407690">
        <w:t xml:space="preserve"> </w:t>
      </w:r>
      <w:r>
        <w:t xml:space="preserve">As discussed in Issue 7, the utility has taken steps to properly record miscellaneous revenues. </w:t>
      </w:r>
      <w:r w:rsidRPr="00407690">
        <w:t>During the test year, the Utility had a four year rate reduction that became effective on August 14, 2014. However, the Utility did not reduce the rates when the revised tariff was approved.</w:t>
      </w:r>
      <w:r>
        <w:t xml:space="preserve"> Staff has verified that the rates were reduced in May</w:t>
      </w:r>
      <w:r w:rsidR="008236E8">
        <w:t xml:space="preserve"> </w:t>
      </w:r>
      <w:r>
        <w:t>2015. The disposition of the overcollection of rate case expense is discussed in Issue 11.</w:t>
      </w:r>
      <w:r w:rsidRPr="00407690">
        <w:t xml:space="preserve"> Based on staff’s adjustments to miscellaneous revenues and the </w:t>
      </w:r>
      <w:r>
        <w:t>annualized</w:t>
      </w:r>
      <w:r w:rsidRPr="00407690">
        <w:t xml:space="preserve"> reduced rates, service revenues sho</w:t>
      </w:r>
      <w:r>
        <w:t>uld be increased by $1,855 to reflect service revenue of $27,993. Staff recommends that the appropriate test year revenues for Alturas’ water system are $28,143 ($27,993 + $150).</w:t>
      </w:r>
    </w:p>
    <w:p w:rsidR="00BA4529" w:rsidRDefault="00BA4529">
      <w:pPr>
        <w:pStyle w:val="IssueHeading"/>
        <w:rPr>
          <w:vanish/>
          <w:specVanish/>
        </w:rPr>
      </w:pPr>
      <w:r w:rsidRPr="004C3641">
        <w:rPr>
          <w:b w:val="0"/>
          <w:i w:val="0"/>
        </w:rPr>
        <w:br w:type="page"/>
      </w:r>
      <w:r w:rsidRPr="004C3641">
        <w:lastRenderedPageBreak/>
        <w:t xml:space="preserve">Issue </w:t>
      </w:r>
      <w:r w:rsidR="00F852FE">
        <w:fldChar w:fldCharType="begin"/>
      </w:r>
      <w:r w:rsidR="00F852FE">
        <w:instrText xml:space="preserve"> SEQ Issue \* MERGEFORMAT </w:instrText>
      </w:r>
      <w:r w:rsidR="00F852FE">
        <w:fldChar w:fldCharType="separate"/>
      </w:r>
      <w:r w:rsidR="004E0887">
        <w:rPr>
          <w:noProof/>
        </w:rPr>
        <w:t>7</w:t>
      </w:r>
      <w:r w:rsidR="00F852FE">
        <w:rPr>
          <w:noProof/>
        </w:rPr>
        <w:fldChar w:fldCharType="end"/>
      </w:r>
      <w:r w:rsidRPr="004C3641">
        <w:t>:</w:t>
      </w:r>
      <w:r>
        <w:fldChar w:fldCharType="begin"/>
      </w:r>
      <w:r>
        <w:instrText xml:space="preserve"> TC "</w:instrText>
      </w:r>
      <w:bookmarkStart w:id="25" w:name="_Toc443485017"/>
      <w:r>
        <w:instrText xml:space="preserve">Issue </w:instrText>
      </w:r>
      <w:r>
        <w:fldChar w:fldCharType="begin"/>
      </w:r>
      <w:r>
        <w:instrText xml:space="preserve"> SEQ issue \c </w:instrText>
      </w:r>
      <w:r>
        <w:fldChar w:fldCharType="separate"/>
      </w:r>
      <w:r w:rsidR="004E0887">
        <w:rPr>
          <w:noProof/>
        </w:rPr>
        <w:instrText>7</w:instrText>
      </w:r>
      <w:r>
        <w:fldChar w:fldCharType="end"/>
      </w:r>
      <w:r w:rsidR="00FA00AA">
        <w:instrText xml:space="preserve"> Operating</w:instrText>
      </w:r>
      <w:r>
        <w:instrText xml:space="preserve"> Expenses</w:instrText>
      </w:r>
      <w:bookmarkEnd w:id="25"/>
      <w:r>
        <w:instrText xml:space="preserve">" \l 1 </w:instrText>
      </w:r>
      <w:r>
        <w:fldChar w:fldCharType="end"/>
      </w:r>
      <w:r>
        <w:t> </w:t>
      </w:r>
    </w:p>
    <w:p w:rsidR="008876BF" w:rsidRDefault="00BA4529" w:rsidP="008876BF">
      <w:pPr>
        <w:pStyle w:val="BodyText"/>
      </w:pPr>
      <w:r>
        <w:t> </w:t>
      </w:r>
      <w:r w:rsidR="008876BF" w:rsidRPr="00350064">
        <w:t>What is the appropriate amount of operating expense?</w:t>
      </w:r>
    </w:p>
    <w:p w:rsidR="008876BF" w:rsidRPr="004C3641" w:rsidRDefault="008876BF" w:rsidP="008876BF">
      <w:pPr>
        <w:pStyle w:val="IssueSubsectionHeading"/>
        <w:rPr>
          <w:vanish/>
          <w:specVanish/>
        </w:rPr>
      </w:pPr>
      <w:r w:rsidRPr="004C3641">
        <w:t>Recommendation: </w:t>
      </w:r>
    </w:p>
    <w:p w:rsidR="008876BF" w:rsidRDefault="008876BF" w:rsidP="008876BF">
      <w:pPr>
        <w:pStyle w:val="BodyText"/>
      </w:pPr>
      <w:r>
        <w:t> </w:t>
      </w:r>
      <w:r w:rsidRPr="00350064">
        <w:t xml:space="preserve">The appropriate amount of operating expenses for the Utility is </w:t>
      </w:r>
      <w:r w:rsidRPr="001677BB">
        <w:t>$2</w:t>
      </w:r>
      <w:r w:rsidR="00493032">
        <w:t>8,395</w:t>
      </w:r>
      <w:r w:rsidRPr="001677BB">
        <w:t>.</w:t>
      </w:r>
      <w:r w:rsidRPr="00350064">
        <w:t xml:space="preserve"> </w:t>
      </w:r>
      <w:r>
        <w:t xml:space="preserve">Staff recommends that the Utility be required to file documentation in this docket by December 31, 2016, showing that the pro forma trihalomethane and haloacetic acid tests have been completed. The documentation should include a copy of the test results and final invoices. </w:t>
      </w:r>
      <w:r w:rsidRPr="00350064">
        <w:t>(Golden, Vogel)</w:t>
      </w:r>
      <w:r>
        <w:t xml:space="preserve"> </w:t>
      </w:r>
    </w:p>
    <w:p w:rsidR="008876BF" w:rsidRPr="004C3641" w:rsidRDefault="008876BF" w:rsidP="008876BF">
      <w:pPr>
        <w:pStyle w:val="IssueSubsectionHeading"/>
        <w:rPr>
          <w:vanish/>
          <w:specVanish/>
        </w:rPr>
      </w:pPr>
      <w:r w:rsidRPr="004C3641">
        <w:t>Staff Analysis: </w:t>
      </w:r>
    </w:p>
    <w:p w:rsidR="008876BF" w:rsidRDefault="008876BF" w:rsidP="008876BF">
      <w:pPr>
        <w:pStyle w:val="BodyText"/>
      </w:pPr>
      <w:r>
        <w:t> </w:t>
      </w:r>
      <w:r w:rsidRPr="00350064">
        <w:t>As discussed in Issue 3, the Utility had not yet prepared its accounting records for 2014 at the time of staff’s audit. Instead, the Utility provided audit staff with an Expense Summary schedule of actual and estimated expenses of $43,921, some invoices, and some cancelled checks. The Utility’s sister company, Sunrise, has also filed an application for a SARC that is being processed concurrently under Docket No. 140220-WU. Audit staff noted that the majority of information used to verify Alturas’ test year expenses involved shared operator services between the two Utilities or comingled banking operations due to severe cash flow problems. Based on a review of the available information for both Alturas and Sunrise, audit staff determined Alturas’ test year operating expenses to be $34,234 for the test year ended December 31, 2014. In addition, staff made several adjustments to the Utility’s operating expenses, as summarized below.</w:t>
      </w:r>
    </w:p>
    <w:p w:rsidR="008876BF" w:rsidRDefault="008876BF" w:rsidP="008876BF">
      <w:pPr>
        <w:pStyle w:val="BodyText"/>
      </w:pPr>
      <w:r w:rsidRPr="00A8107E">
        <w:t>Subsequent to the audit, the Utility mad</w:t>
      </w:r>
      <w:r>
        <w:t xml:space="preserve">e several changes in its contractual service providers. The Utility also changed some procedures to improve the operation of the Utility and address some concerns discussed in staff’s audit report and raised by customers. In response to several staff data requests, the Utility also provided additional documentation to support some previously unsupported expenses, some requested pro forma expenses, and some new pro forma expenses related to the Utility’s efforts to improve its operations. Based on </w:t>
      </w:r>
      <w:r w:rsidR="00493032">
        <w:t xml:space="preserve">both </w:t>
      </w:r>
      <w:r>
        <w:t xml:space="preserve">the test year and supplemental information, staff made several adjustments to the Utility’s operating expenses, as summarized below. In addition, staff made several adjustments in response to concerns raised by OPC in its June </w:t>
      </w:r>
      <w:r w:rsidR="00E47DD6">
        <w:t>11</w:t>
      </w:r>
      <w:r>
        <w:t>, 2015</w:t>
      </w:r>
      <w:r w:rsidR="0074026F">
        <w:t>,</w:t>
      </w:r>
      <w:r>
        <w:t xml:space="preserve"> letter</w:t>
      </w:r>
      <w:r w:rsidR="0074026F">
        <w:t>,</w:t>
      </w:r>
      <w:r>
        <w:t xml:space="preserve"> filed in this docket and at a December 9, 2015, noticed informal meeting.</w:t>
      </w:r>
    </w:p>
    <w:p w:rsidR="008876BF" w:rsidRDefault="008876BF" w:rsidP="008876BF">
      <w:pPr>
        <w:jc w:val="both"/>
        <w:outlineLvl w:val="0"/>
        <w:rPr>
          <w:rFonts w:ascii="Arial" w:hAnsi="Arial" w:cs="Arial"/>
          <w:b/>
          <w:bCs/>
          <w:kern w:val="32"/>
          <w:szCs w:val="32"/>
        </w:rPr>
      </w:pPr>
      <w:r w:rsidRPr="009D5E85">
        <w:rPr>
          <w:rFonts w:ascii="Arial" w:hAnsi="Arial" w:cs="Arial"/>
          <w:b/>
          <w:bCs/>
          <w:kern w:val="32"/>
          <w:szCs w:val="32"/>
        </w:rPr>
        <w:t>Operation and Maintenance (O&amp;M) Expenses</w:t>
      </w:r>
    </w:p>
    <w:p w:rsidR="00603830" w:rsidRDefault="00603830" w:rsidP="00603830">
      <w:pPr>
        <w:pStyle w:val="Second-LevelSubheading"/>
      </w:pPr>
      <w:r>
        <w:t>Salaries and Wages – Officers (603)</w:t>
      </w:r>
    </w:p>
    <w:p w:rsidR="008876BF" w:rsidRDefault="008876BF" w:rsidP="008876BF">
      <w:pPr>
        <w:pStyle w:val="BodyText"/>
      </w:pPr>
      <w:r w:rsidRPr="00350064">
        <w:t>The Utility’s Expense Summary does not include this account.</w:t>
      </w:r>
      <w:r>
        <w:t xml:space="preserve"> </w:t>
      </w:r>
      <w:r w:rsidRPr="00DB498C">
        <w:t xml:space="preserve">The </w:t>
      </w:r>
      <w:r>
        <w:t>U</w:t>
      </w:r>
      <w:r w:rsidRPr="00DB498C">
        <w:t>tility currently has two officers</w:t>
      </w:r>
      <w:r>
        <w:t>; an administration officer and a president. The administration officer is the Utility owner and serves as the primary officer responsible for overseeing the daily operations of the Utility. The Commission previously approved an annual officer’s salary of $12,000 for Alturas’ sister company, Sunrise, in its last SARC.</w:t>
      </w:r>
      <w:r w:rsidRPr="00DB498C">
        <w:rPr>
          <w:vertAlign w:val="superscript"/>
        </w:rPr>
        <w:footnoteReference w:id="18"/>
      </w:r>
      <w:r>
        <w:t xml:space="preserve"> At that time, the owner’s duties included interfacing with the Utility’s contractual manager on the day-to-day operations,</w:t>
      </w:r>
      <w:r w:rsidRPr="001A1E28">
        <w:t xml:space="preserve"> reviewing the monthly meter reading reports, reviewing monthly bank statements, preparing the </w:t>
      </w:r>
      <w:r>
        <w:t>a</w:t>
      </w:r>
      <w:r w:rsidRPr="001A1E28">
        <w:t xml:space="preserve">nnual </w:t>
      </w:r>
      <w:r>
        <w:t>r</w:t>
      </w:r>
      <w:r w:rsidRPr="001A1E28">
        <w:t xml:space="preserve">eport, </w:t>
      </w:r>
      <w:r>
        <w:t xml:space="preserve">and </w:t>
      </w:r>
      <w:r w:rsidRPr="001A1E28">
        <w:t xml:space="preserve">compiling financial data for the </w:t>
      </w:r>
      <w:r>
        <w:t>CPA</w:t>
      </w:r>
      <w:r w:rsidRPr="001A1E28">
        <w:t xml:space="preserve"> to prepare the federal income tax return</w:t>
      </w:r>
      <w:r>
        <w:t>. Currently, the owner works with the Utility’s four contractual service providers to oversee the financial and operational functions of Alturas and Sunrise.</w:t>
      </w:r>
    </w:p>
    <w:p w:rsidR="008876BF" w:rsidRDefault="008876BF" w:rsidP="008876BF">
      <w:pPr>
        <w:pStyle w:val="BodyText"/>
      </w:pPr>
      <w:r>
        <w:lastRenderedPageBreak/>
        <w:t>As discussed in Issue 3, staff recommends that common costs be allocated between Alturas and Sunrise based on ERCs, with 22 percent allocated to Alturas and the remaining 78 percent allocated to Sunrise. Staff determined that the appropriate allocation of the administration officer/owner’s salary to Alturas is $2,640 ($12,000 x .22 = $2,640). Accordingly, staff increased this account by $2,640 to allocate the 22 percent of the $12,000 salary to Alturas.</w:t>
      </w:r>
    </w:p>
    <w:p w:rsidR="008876BF" w:rsidRDefault="008876BF" w:rsidP="008876BF">
      <w:pPr>
        <w:pStyle w:val="BodyText"/>
      </w:pPr>
      <w:r w:rsidRPr="00A71557">
        <w:t>During the test</w:t>
      </w:r>
      <w:r w:rsidRPr="00DB498C">
        <w:t xml:space="preserve"> year, the </w:t>
      </w:r>
      <w:r>
        <w:t>U</w:t>
      </w:r>
      <w:r w:rsidRPr="00DB498C">
        <w:t xml:space="preserve">tility </w:t>
      </w:r>
      <w:r>
        <w:t xml:space="preserve">also </w:t>
      </w:r>
      <w:r w:rsidRPr="00DB498C">
        <w:t xml:space="preserve">paid $750 to the </w:t>
      </w:r>
      <w:r>
        <w:t>U</w:t>
      </w:r>
      <w:r w:rsidRPr="00DB498C">
        <w:t xml:space="preserve">tility’s </w:t>
      </w:r>
      <w:r w:rsidR="00603830">
        <w:t xml:space="preserve">president </w:t>
      </w:r>
      <w:r w:rsidRPr="00DB498C">
        <w:t xml:space="preserve">who assists the owner </w:t>
      </w:r>
      <w:r>
        <w:t xml:space="preserve">with </w:t>
      </w:r>
      <w:r w:rsidR="00277C52">
        <w:t>u</w:t>
      </w:r>
      <w:r w:rsidRPr="00DB498C">
        <w:t xml:space="preserve">tility </w:t>
      </w:r>
      <w:r>
        <w:t xml:space="preserve">matters </w:t>
      </w:r>
      <w:r w:rsidRPr="00DB498C">
        <w:t>as needed</w:t>
      </w:r>
      <w:r>
        <w:t xml:space="preserve">, including annual work related to preparation of the </w:t>
      </w:r>
      <w:r w:rsidR="0074026F">
        <w:t>A</w:t>
      </w:r>
      <w:r>
        <w:t xml:space="preserve">nnual </w:t>
      </w:r>
      <w:r w:rsidR="0074026F">
        <w:t>R</w:t>
      </w:r>
      <w:r>
        <w:t>eport and income tax forms. Staff increased this account by $165 to reflect the appropriate 22 percent allocation of the president’s salary to Alturas ($750 x .22 = $165).</w:t>
      </w:r>
    </w:p>
    <w:p w:rsidR="008876BF" w:rsidRDefault="00493032" w:rsidP="008876BF">
      <w:pPr>
        <w:pStyle w:val="BodyText"/>
      </w:pPr>
      <w:r>
        <w:t>In its June</w:t>
      </w:r>
      <w:r w:rsidR="00E47DD6">
        <w:t xml:space="preserve"> 11</w:t>
      </w:r>
      <w:r>
        <w:t xml:space="preserve">, 2015 letter, OPC suggested that the administration officer/owner’s salary should be re-evaluated due to the severe accounting record deficiencies and the owner’s lack of response to several warning letters from the PCHD. As </w:t>
      </w:r>
      <w:r w:rsidR="008876BF">
        <w:t>discussed in Issue 1, staff recommends that a 25 percent penalty be applied to the officers’ salaries for unsatisfactory quality of service. The penalty was applied to the administration officer/owner’s salary of $</w:t>
      </w:r>
      <w:r>
        <w:t>2,640</w:t>
      </w:r>
      <w:r w:rsidR="008876BF">
        <w:t>, resulting in a $</w:t>
      </w:r>
      <w:r>
        <w:t>6</w:t>
      </w:r>
      <w:r w:rsidR="008876BF">
        <w:t xml:space="preserve">60 penalty decrease. The penalty was also applied to the </w:t>
      </w:r>
      <w:r w:rsidR="00603830">
        <w:t>president’s</w:t>
      </w:r>
      <w:r w:rsidR="008876BF">
        <w:t xml:space="preserve"> salary of $165, resulting in a $41 decrease. Therefore, staff decreased this account by a total of $</w:t>
      </w:r>
      <w:r w:rsidR="00515CB8">
        <w:t>7</w:t>
      </w:r>
      <w:r w:rsidR="008876BF">
        <w:t>01 to reflect a 25 percent reduction in both officers’ salaries allocated to Alturas. The resulting officers’ salaries allocated to Alturas following the penalty reduction are $</w:t>
      </w:r>
      <w:r w:rsidR="00515CB8">
        <w:t>1,980</w:t>
      </w:r>
      <w:r w:rsidR="008876BF">
        <w:t xml:space="preserve"> for the administration officer/owner and $124 for the </w:t>
      </w:r>
      <w:r w:rsidR="00603830">
        <w:t>president</w:t>
      </w:r>
      <w:r w:rsidR="008876BF">
        <w:t>. As additional information, the total combined salaries for Alturas and Sunrise following all of staff’s adjustments are $</w:t>
      </w:r>
      <w:r w:rsidR="00515CB8">
        <w:t>9,000</w:t>
      </w:r>
      <w:r w:rsidR="008876BF">
        <w:t xml:space="preserve"> for the administration officer/owner and $563 for the </w:t>
      </w:r>
      <w:r w:rsidR="0074026F">
        <w:t>P</w:t>
      </w:r>
      <w:r w:rsidR="008876BF">
        <w:t>resident.</w:t>
      </w:r>
    </w:p>
    <w:p w:rsidR="008876BF" w:rsidRDefault="008876BF" w:rsidP="008876BF">
      <w:pPr>
        <w:pStyle w:val="BodyText"/>
      </w:pPr>
      <w:r w:rsidRPr="009A1785">
        <w:t>In summary, staff’s total adjustment to this account is a</w:t>
      </w:r>
      <w:r>
        <w:t>n increase of $</w:t>
      </w:r>
      <w:r w:rsidR="00515CB8">
        <w:t>2,104 ($2,640 + 165 – 701 = $2,104</w:t>
      </w:r>
      <w:r w:rsidR="000948A1">
        <w:t>)</w:t>
      </w:r>
      <w:r w:rsidRPr="009A1785">
        <w:t xml:space="preserve">. Staff recommends </w:t>
      </w:r>
      <w:r w:rsidR="00515CB8">
        <w:t>s</w:t>
      </w:r>
      <w:r w:rsidRPr="009A1785">
        <w:t xml:space="preserve">alaries and </w:t>
      </w:r>
      <w:r w:rsidR="00515CB8">
        <w:t>w</w:t>
      </w:r>
      <w:r w:rsidRPr="009A1785">
        <w:t xml:space="preserve">ages – </w:t>
      </w:r>
      <w:r w:rsidR="00515CB8">
        <w:t>o</w:t>
      </w:r>
      <w:r w:rsidRPr="009A1785">
        <w:t xml:space="preserve">fficers’ </w:t>
      </w:r>
      <w:r w:rsidR="00515CB8">
        <w:t>e</w:t>
      </w:r>
      <w:r w:rsidRPr="009A1785">
        <w:t xml:space="preserve">xpense of </w:t>
      </w:r>
      <w:r w:rsidRPr="001677BB">
        <w:t>$</w:t>
      </w:r>
      <w:r w:rsidR="00515CB8">
        <w:t>2,104</w:t>
      </w:r>
      <w:r w:rsidRPr="001677BB">
        <w:t>.</w:t>
      </w:r>
    </w:p>
    <w:p w:rsidR="008876BF" w:rsidRPr="00350064" w:rsidRDefault="008876BF" w:rsidP="00603830">
      <w:pPr>
        <w:pStyle w:val="Second-LevelSubheading"/>
      </w:pPr>
      <w:r w:rsidRPr="00350064">
        <w:t>Purchased Power (615)</w:t>
      </w:r>
    </w:p>
    <w:p w:rsidR="008876BF" w:rsidRPr="00350064" w:rsidRDefault="008876BF" w:rsidP="008876BF">
      <w:pPr>
        <w:pStyle w:val="BodyText"/>
      </w:pPr>
      <w:r w:rsidRPr="00350064">
        <w:t>The Utility’s Expense Summary reflects $1,542 in this account. The Utility was only able to provide nine electric power invoices for the test year. Audit staff was able to substantiate the amounts for two of the three missing invoices using payment information included on subsequent invoices. Also, audit staff estimated the missing December 2014 invoice amount by using the average of the billed amounts for January through November 2014. Consequently, staff decreased this account by $104 to reflect the correct test year purchased power expense, resulting in an adjusted balance of $1,438. The $104 adjustment includes removal of $20 in late payment fees that are not recoverable through the Utility’s rates.</w:t>
      </w:r>
    </w:p>
    <w:p w:rsidR="008876BF" w:rsidRPr="00350064" w:rsidRDefault="008876BF" w:rsidP="008876BF">
      <w:pPr>
        <w:pStyle w:val="BodyText"/>
      </w:pPr>
      <w:r w:rsidRPr="00350064">
        <w:t>In addition, as discussed in Issue 2, staff is recommending a EUW adjustment of 32 percent. Therefore, staff decreased the adjusted balance by $460 ($1,438 x .32 = $460) to reflect a 32 percent EUW adjustment. Staff’s total adjustment is a decrease of $564. Therefore, staff recommends purchased power expense of $978.</w:t>
      </w:r>
    </w:p>
    <w:p w:rsidR="008876BF" w:rsidRDefault="008876BF" w:rsidP="008876BF">
      <w:pPr>
        <w:rPr>
          <w:rFonts w:ascii="Arial" w:hAnsi="Arial" w:cs="Arial"/>
          <w:b/>
          <w:bCs/>
          <w:i/>
          <w:iCs/>
          <w:szCs w:val="28"/>
        </w:rPr>
      </w:pPr>
      <w:r>
        <w:br w:type="page"/>
      </w:r>
    </w:p>
    <w:p w:rsidR="008876BF" w:rsidRPr="004902A8" w:rsidRDefault="008876BF" w:rsidP="00603830">
      <w:pPr>
        <w:pStyle w:val="Second-LevelSubheading"/>
      </w:pPr>
      <w:r w:rsidRPr="001677BB">
        <w:lastRenderedPageBreak/>
        <w:t>Chemicals</w:t>
      </w:r>
      <w:r w:rsidRPr="004902A8">
        <w:t xml:space="preserve"> (618)</w:t>
      </w:r>
    </w:p>
    <w:p w:rsidR="008876BF" w:rsidRPr="00350064" w:rsidRDefault="008876BF" w:rsidP="008876BF">
      <w:pPr>
        <w:pStyle w:val="BodyText"/>
      </w:pPr>
      <w:r w:rsidRPr="00350064">
        <w:t>The Utility’s Expense Summary reflects chemicals expense of $772. Audit staff verified this amount and determined it was appropriate for the test year. However, as discussed in Issue 2, staff is recommending a EUW adjustment of 32 percent. Accordingly, staff decreased this account by $247 to reflect a EUW adjustment of 32 percent ($772 x .32 = $247), resulting in a recommended chemicals expense of $525.</w:t>
      </w:r>
    </w:p>
    <w:p w:rsidR="008876BF" w:rsidRDefault="008876BF" w:rsidP="00603830">
      <w:pPr>
        <w:pStyle w:val="Second-LevelSubheading"/>
      </w:pPr>
      <w:r w:rsidRPr="00A8107E">
        <w:t>Contractual Services</w:t>
      </w:r>
      <w:r w:rsidRPr="00DB498C">
        <w:t xml:space="preserve"> </w:t>
      </w:r>
      <w:r>
        <w:t>–</w:t>
      </w:r>
      <w:r w:rsidRPr="00DB498C">
        <w:t xml:space="preserve"> </w:t>
      </w:r>
      <w:r>
        <w:t>Overview</w:t>
      </w:r>
    </w:p>
    <w:p w:rsidR="008876BF" w:rsidRDefault="008876BF" w:rsidP="008876BF">
      <w:pPr>
        <w:pStyle w:val="BodyText"/>
      </w:pPr>
      <w:r>
        <w:t>Subsequent to the test year, the Utility made several changes in its contractual service providers that will affect the contractual service expenses going forward. The changes are intended to address concerns raised by staff and the Utility’s customers, and improve the Utility’s operations going forward. Staff believes these changes will be beneficial to both the Utility and its customers. Accordingly, staff believes it would be appropriate to make some pro forma adjustments to reflect those changes. Due to the level of changes made, staff believes it will be helpful to provide an overview of the changes between the test year and current year’s contractual service providers. It should be noted that the Utility does not have written contracts for any of the current contractual service providers.</w:t>
      </w:r>
    </w:p>
    <w:p w:rsidR="008876BF" w:rsidRDefault="008876BF" w:rsidP="008876BF">
      <w:pPr>
        <w:pStyle w:val="BodyText"/>
      </w:pPr>
      <w:r>
        <w:t>As background information, the Utility began the test year with four part-time contractual service providers; an office manager, management assistant, billing assistant, and plant operator. The contractual office manager and plant operator services also included on-call work for emergency purposes. The first office manager left abruptly in the middle of the test year, causing the management assistant to immediately assume the office manager’s duties, in addition to continuing the management assistant duties. Due to cash flow shortages, the Utility did not replace the management assistant, and only requested assistance from the billing assistant a few times during the test year. Consequently, the Utility only operated with an office manager and plant operator for part of the test year and much of 2015. It appears that the abrupt management changes during the test year and limited staffing may have contributed to many of the billing and service issues raised by the Utility’s customers.</w:t>
      </w:r>
    </w:p>
    <w:p w:rsidR="008876BF" w:rsidRDefault="008876BF" w:rsidP="008876BF">
      <w:pPr>
        <w:pStyle w:val="BodyText"/>
      </w:pPr>
      <w:r>
        <w:t>In September 2015, the second office manager discontinued working for the Utility. The Utility subsequently hired three additional contractual service providers; an accountant, a Utility service technician, and the former billing assistant. The Utility expanded the duties of the new contractual service providers to cover more utility functions than were covered by the previous workers. The expanded duties and specific skills of the new contractual service providers are expected to improve the Utility’s operations and customer service.</w:t>
      </w:r>
    </w:p>
    <w:p w:rsidR="008876BF" w:rsidRDefault="008876BF" w:rsidP="008876BF">
      <w:pPr>
        <w:pStyle w:val="BodyText"/>
      </w:pPr>
      <w:r>
        <w:t xml:space="preserve">In order to reduce overhead costs, the Utility owner never established a physical office in the service area. Previously, the only option for customers who wanted to pay their bill in person was to go to the office manager’s house to drop off the payment or arrange for the office manager to pick up the payment at their house. The recently hired contractual accountant has an office near the service area and has agreed to accept customer payments at that location in order to help address this concern. The contractual accountant now serves as the office manager and bookkeeper for the Utility. The contractual accountant’s services include: updating and maintaining the Utility’s books and records; preparing and issuing monthly bills; preparing the monthly billing detail reports; collecting customer payments and deposits; providing a location </w:t>
      </w:r>
      <w:r>
        <w:lastRenderedPageBreak/>
        <w:t>where customers may mail or drop-off payments; providing a utility drop-box where customers may drop off payments during non-business hours; checking for payments daily during the work week; transmitting customer payments electronically to the bank on a daily basis when received during the work week; reviewing payment records and assisting with service disconnections due to non-payment; accepting customer calls regarding billing questions; handling customer complaints regarding billing issues; and assisting with preparing the financial information for the Utility’s</w:t>
      </w:r>
      <w:r w:rsidR="00277C52">
        <w:t xml:space="preserve"> A</w:t>
      </w:r>
      <w:r>
        <w:t xml:space="preserve">nnual </w:t>
      </w:r>
      <w:r w:rsidR="00277C52">
        <w:t>R</w:t>
      </w:r>
      <w:r>
        <w:t xml:space="preserve">eport. The accountant’s contractual fees will be discussed under the </w:t>
      </w:r>
      <w:r w:rsidR="00515CB8">
        <w:t>c</w:t>
      </w:r>
      <w:r>
        <w:t xml:space="preserve">ontractual </w:t>
      </w:r>
      <w:r w:rsidR="00515CB8">
        <w:t>s</w:t>
      </w:r>
      <w:r>
        <w:t xml:space="preserve">ervices – </w:t>
      </w:r>
      <w:r w:rsidR="00515CB8">
        <w:t>p</w:t>
      </w:r>
      <w:r>
        <w:t>rofessional (631) section below.</w:t>
      </w:r>
    </w:p>
    <w:p w:rsidR="008876BF" w:rsidRDefault="008876BF" w:rsidP="008876BF">
      <w:pPr>
        <w:pStyle w:val="BodyText"/>
      </w:pPr>
      <w:r>
        <w:t xml:space="preserve">The contractual utility service technician’s duties include assisting with general system repairs, customer service repairs, new customer connections, service disconnections, monthly meter reading, mowing, answering the Utility’s emergency cell phone, and being on-call 24 hours a day, 7 days a week. The utility service technician’s meter reading fees will be discussed in </w:t>
      </w:r>
      <w:r w:rsidR="00515CB8">
        <w:t>c</w:t>
      </w:r>
      <w:r>
        <w:t xml:space="preserve">ontractual </w:t>
      </w:r>
      <w:r w:rsidR="00515CB8">
        <w:t>s</w:t>
      </w:r>
      <w:r>
        <w:t>ervices –</w:t>
      </w:r>
      <w:r w:rsidR="00515CB8">
        <w:t xml:space="preserve"> b</w:t>
      </w:r>
      <w:r>
        <w:t xml:space="preserve">illing (630), and the fees for the remaining duties will be discussed in the </w:t>
      </w:r>
      <w:r w:rsidR="00515CB8">
        <w:t>c</w:t>
      </w:r>
      <w:r>
        <w:t xml:space="preserve">ontractual </w:t>
      </w:r>
      <w:r w:rsidR="00515CB8">
        <w:t>s</w:t>
      </w:r>
      <w:r>
        <w:t xml:space="preserve">ervices – </w:t>
      </w:r>
      <w:r w:rsidR="00515CB8">
        <w:t>o</w:t>
      </w:r>
      <w:r>
        <w:t>ther (636).</w:t>
      </w:r>
    </w:p>
    <w:p w:rsidR="008876BF" w:rsidRDefault="008876BF" w:rsidP="008876BF">
      <w:pPr>
        <w:pStyle w:val="BodyText"/>
      </w:pPr>
      <w:r>
        <w:t xml:space="preserve">During the test year, the Utility hired a contractual billing assistant to analyze the monthly accounts receivable and assist the office manager with collection of past due accounts for both Sunrise and Alturas. Due to cash flow shortages, the Utility only requested service from the billing assistant during part of the test year. In September 2015, the Utility re-hired the contractual billing assistant with expanded duties. The billing assistant’s current duties include: answering the Utility’s main phone number; assisting with customer complaints; assisting with reviewing and correcting the Utility’s customer deposit records; assisting with researching customer records as needed; analyzing the monthly accounts receivable; and assisting with collection of past due accounts. The billing assistant’s fees will be discussed in the </w:t>
      </w:r>
      <w:r w:rsidR="00515CB8">
        <w:t>c</w:t>
      </w:r>
      <w:r>
        <w:t xml:space="preserve">ontractual </w:t>
      </w:r>
      <w:r w:rsidR="00515CB8">
        <w:t>s</w:t>
      </w:r>
      <w:r>
        <w:t xml:space="preserve">ervices – </w:t>
      </w:r>
      <w:r w:rsidR="00515CB8">
        <w:t>bi</w:t>
      </w:r>
      <w:r>
        <w:t>lling (630) section below.</w:t>
      </w:r>
    </w:p>
    <w:p w:rsidR="008876BF" w:rsidRPr="004902A8" w:rsidRDefault="008876BF" w:rsidP="00603830">
      <w:pPr>
        <w:pStyle w:val="Second-LevelSubheading"/>
      </w:pPr>
      <w:r w:rsidRPr="001677BB">
        <w:t>Contractual Services -</w:t>
      </w:r>
      <w:r w:rsidRPr="004902A8">
        <w:t xml:space="preserve"> Billing (630)</w:t>
      </w:r>
    </w:p>
    <w:p w:rsidR="008876BF" w:rsidRDefault="008876BF" w:rsidP="008876BF">
      <w:pPr>
        <w:pStyle w:val="BodyText"/>
      </w:pPr>
      <w:r w:rsidRPr="00350064">
        <w:t>The Utility’s Expense Summary reflects $3,169 in this account</w:t>
      </w:r>
      <w:r>
        <w:t xml:space="preserve"> for meter reading provided by the former office manager and bill collection services provided by the billing assistant. In September 2015, the Utility hired a contractual utility service technician to begin providing the monthly meter reading services. The utility service technician’s contractual fee for meter reading is $65 per month or $780 per year. The current fee is the same as the audited test year meter reading expense. In addition, staff believes this is a reasonable meter reading expense for Alturas. Therefore, no adjustments are needed.</w:t>
      </w:r>
    </w:p>
    <w:p w:rsidR="008876BF" w:rsidRDefault="008876BF" w:rsidP="008876BF">
      <w:pPr>
        <w:pStyle w:val="BodyText"/>
      </w:pPr>
      <w:r>
        <w:t>During the test year, the Utility hired a contractual billing assistant to review the monthly accounts receivable and assist with the collection of past due accounts for both Alturas and Sunrise at a monthly fee of $400, for an annual total of $4,800. However, the Utility only incurred $2,100 of the contracted $4,800 fees for Alturas and Sunrise combined. The Utility indicated that it had only requested billing assistance from this vendor for part of the test year due to cash flow shortages.</w:t>
      </w:r>
    </w:p>
    <w:p w:rsidR="008876BF" w:rsidRDefault="008876BF" w:rsidP="008876BF">
      <w:pPr>
        <w:pStyle w:val="BodyText"/>
      </w:pPr>
      <w:r>
        <w:t xml:space="preserve">As discussed above, in September 2015, the Utility re-hired the contractual billing assistant and indicated that the previous duties would be expanded to include answering the Utility’s main phone number, assisting with customer complaints, and assisting with reviewing and correcting the Utility’s customer deposit records. The new contractual fee is still $400 per month, which </w:t>
      </w:r>
      <w:r>
        <w:lastRenderedPageBreak/>
        <w:t xml:space="preserve">covers approximately 40 hours of work per month at $10 per hour, for an annual total of $4,800 for Alturas and Sunrise combined. </w:t>
      </w:r>
      <w:r w:rsidR="00515CB8" w:rsidRPr="00515CB8">
        <w:t>The Utility has not fully supported its request for the increase in this expense over the audited test year expense. However, staff confirmed that the billing assistant is currently working with the office manager to review delinquent accounts and address customer complaints. Staff believes it will be beneficial to both the Utility and its customers to have a billing assistant available on a regular basis to assist customers with service complaints. Staff believes the hourly rate of $10 is reasonable. Also, staff believes the request for 40 hours of work</w:t>
      </w:r>
      <w:r w:rsidR="00603830">
        <w:t xml:space="preserve"> per</w:t>
      </w:r>
      <w:r w:rsidR="00515CB8" w:rsidRPr="00515CB8">
        <w:t xml:space="preserve"> month is reasonable considering that the work will cover both Alturas and Sunrise. At the December 9, 2015, noticed informal meeting, OPC requested that the contractual worker expenses be reviewed to avoid any duplication of duties. Based on staff’s review, it does not appear that there will be a duplication of duties between the billing assistant and office manager.</w:t>
      </w:r>
      <w:r w:rsidR="00515CB8">
        <w:t xml:space="preserve"> </w:t>
      </w:r>
      <w:r w:rsidRPr="00515CB8">
        <w:t>S</w:t>
      </w:r>
      <w:r>
        <w:t xml:space="preserve">taff determined that the appropriate allocation of the contractual billing assistant’s expense to Alturas is </w:t>
      </w:r>
      <w:r w:rsidR="00515CB8" w:rsidRPr="00515CB8">
        <w:t>$1,056 ($4,800 x .22 = $1,056)</w:t>
      </w:r>
      <w:r w:rsidRPr="00515CB8">
        <w:t>.</w:t>
      </w:r>
      <w:r>
        <w:t xml:space="preserve"> Staff decreased this account by $1,</w:t>
      </w:r>
      <w:r w:rsidR="00515CB8">
        <w:t>333</w:t>
      </w:r>
      <w:r>
        <w:t xml:space="preserve"> to remove the unsupported expenses in this account and reflect </w:t>
      </w:r>
      <w:r w:rsidR="00515CB8">
        <w:t xml:space="preserve">a pro forma increase in the </w:t>
      </w:r>
      <w:r>
        <w:t>contractual billing services expense.</w:t>
      </w:r>
    </w:p>
    <w:p w:rsidR="008876BF" w:rsidRDefault="008876BF" w:rsidP="008876BF">
      <w:pPr>
        <w:pStyle w:val="BodyText"/>
      </w:pPr>
      <w:r>
        <w:t>Staff’s total adjustment to this account is a decrease of $1,</w:t>
      </w:r>
      <w:r w:rsidR="00515CB8">
        <w:t>333</w:t>
      </w:r>
      <w:r>
        <w:t xml:space="preserve">. Therefore, staff recommends </w:t>
      </w:r>
      <w:r w:rsidR="00515CB8">
        <w:t>c</w:t>
      </w:r>
      <w:r>
        <w:t xml:space="preserve">ontractual </w:t>
      </w:r>
      <w:r w:rsidR="00515CB8">
        <w:t>s</w:t>
      </w:r>
      <w:r>
        <w:t xml:space="preserve">ervices – </w:t>
      </w:r>
      <w:r w:rsidR="00515CB8">
        <w:t>b</w:t>
      </w:r>
      <w:r>
        <w:t xml:space="preserve">illing </w:t>
      </w:r>
      <w:r w:rsidR="00515CB8">
        <w:t>e</w:t>
      </w:r>
      <w:r>
        <w:t>xpense of $1,</w:t>
      </w:r>
      <w:r w:rsidR="00515CB8">
        <w:t>836</w:t>
      </w:r>
      <w:r>
        <w:t>.</w:t>
      </w:r>
    </w:p>
    <w:p w:rsidR="008876BF" w:rsidRPr="004902A8" w:rsidRDefault="008876BF" w:rsidP="00603830">
      <w:pPr>
        <w:pStyle w:val="Second-LevelSubheading"/>
      </w:pPr>
      <w:r w:rsidRPr="001677BB">
        <w:t>Contractual</w:t>
      </w:r>
      <w:r w:rsidRPr="004902A8">
        <w:t xml:space="preserve"> Services - Professional (631)</w:t>
      </w:r>
    </w:p>
    <w:p w:rsidR="008876BF" w:rsidRPr="00DB498C" w:rsidRDefault="008876BF" w:rsidP="008876BF">
      <w:pPr>
        <w:pStyle w:val="BodyText"/>
      </w:pPr>
      <w:r w:rsidRPr="00DB498C">
        <w:t>The Utility’s Expense Summary reflects $400 in this account for preparation of the Utility’s Annual Report and Federal Tax Return by its CPA. Audit staff verified that this amount is appropriate for the test year, and that no adjustments are necessary.</w:t>
      </w:r>
    </w:p>
    <w:p w:rsidR="00603830" w:rsidRPr="00603830" w:rsidRDefault="00603830" w:rsidP="00603830">
      <w:pPr>
        <w:pStyle w:val="BodyText"/>
      </w:pPr>
      <w:r w:rsidRPr="00603830">
        <w:t xml:space="preserve">As discussed in Issue 4, Rule 25-30.115, F.A.C., requires that water and wastewater utilities maintain their accounts and records in conformity with the 1996 NARUC USOA. Audit staff determined that the Utility was not maintaining its books and records on a monthly basis as required. During the test year, the Utility did not have any employees or contractual service providers specifically hired to work on the Utility’s day-to-day bookkeeping operations. Therefore, in the May 1, 2015 Staff Report, staff recommended a pro forma adjustment to include an allowance for contractual bookkeeping expense to assist the Utility in meeting the rule requirement going forward. </w:t>
      </w:r>
    </w:p>
    <w:p w:rsidR="00603830" w:rsidRPr="00603830" w:rsidRDefault="00603830" w:rsidP="00603830">
      <w:pPr>
        <w:pStyle w:val="BodyText"/>
      </w:pPr>
      <w:r w:rsidRPr="00603830">
        <w:t>Subsequently, in September 2015, the Utility hired a contractual accountant to handle the Utility’s bookkeeping, billing, payment collections, billing inquiries, and billing complaints. As of the end of January 2016, the Utility had not yet begun providing any accounting records to the accountant to begin maintaining the Utility’s books and records. Due to the severe accounting deficiencies and the Utility’s difficulty in complying with both audit and technical staffs’ requests for accounting supporting documentation during this case, staff believes it will be beneficial to the Utility and its customers for the Utility to allow a trained accountant to handle the Utility’s day-to-day bookkeeping activities. Further, staff believes that properly maintained accounting records may help the Utility to better monitor and manage its cash flow. Therefore, despite the Utility’s delay in implementing this process, staff believes it would be appropriate to make a pro forma adjustment to recognize the contractual bookkeeping expense going forward.</w:t>
      </w:r>
    </w:p>
    <w:p w:rsidR="00603830" w:rsidRDefault="00603830" w:rsidP="00603830">
      <w:pPr>
        <w:pStyle w:val="BodyText"/>
      </w:pPr>
      <w:r>
        <w:t xml:space="preserve">By a letter dated January 15, 2016, the contractual accountant estimated that the initial set-up fee for Alturas will be $250, for setting up the Utility’s books and bringing forward the beginning </w:t>
      </w:r>
      <w:r>
        <w:lastRenderedPageBreak/>
        <w:t>balances. After the set-up is complete, the monthly fee will be $100 per month, which equals $1,200 per year. Because the initial set-up fee is non-recurring in nature, staff believes it would be appropriate to amortize that portion of the bookkeeping expense over a five-year period, resulting in an annual expense of $50 ($250 / 5 = $50). Therefore, staff increased this account by $1,250 to reflect the pro forma increase for the recurring annual bookkeeping fees of $1,200 and the non-recurring fees of $50.</w:t>
      </w:r>
    </w:p>
    <w:p w:rsidR="00603830" w:rsidRPr="00350064" w:rsidRDefault="00603830" w:rsidP="00603830">
      <w:pPr>
        <w:pStyle w:val="BodyText"/>
      </w:pPr>
      <w:r w:rsidRPr="00350064">
        <w:t xml:space="preserve">In addition, the Utility has requested recovery of $4,247 in outstanding legal fees related to Alturas’ defense in a 2013 law suit filed by the Utility’s former contract operator, Blount Utilities, Inc. (Blount), for outstanding payments that occurred prior to the test year. The outstanding legal fees </w:t>
      </w:r>
      <w:r>
        <w:t>were</w:t>
      </w:r>
      <w:r w:rsidRPr="00350064">
        <w:t xml:space="preserve"> due in full before the end of 2015. On July 22, 2014, a </w:t>
      </w:r>
      <w:r>
        <w:t>J</w:t>
      </w:r>
      <w:r w:rsidRPr="00350064">
        <w:t xml:space="preserve">udgment was issued against Alturas for $3,960 by the Tenth Judicial Circuit Court in favor of Blount for the uncontested outstanding balance owed for contractual services performed by Blount prior to the test year. The parties subsequently reached a settlement agreement regarding a payment plan for the balance owed, and payments of $300 per month started on August 2014, which are to continue until the balance is extinguished. The outstanding payable balance to Blount was approximately $2,700 as of December 31, 2014, the end of the test year. </w:t>
      </w:r>
    </w:p>
    <w:p w:rsidR="00603830" w:rsidRPr="00350064" w:rsidRDefault="00603830" w:rsidP="00603830">
      <w:pPr>
        <w:pStyle w:val="BodyText"/>
      </w:pPr>
      <w:r w:rsidRPr="00350064">
        <w:t>In order to determine if it is appropriate to allow recovery of utility litigation costs from the ratepayers, the Commission generally considers whether the litigation resulted in a benefit to the customers, whether the customers gained a benefit that would not have occurred absent the litigation process, and the materiality of the litigation costs. For example, if a utility engaged in legal action to oppose government required plant improvements that it deemed to be unnecessary and won the law suit, the customers would receive the direct benefit of a lower rate base and thus lower rates. In the instant case, staff does not believe the litigation resulted in any direct benefit to the customers. The litigation was the result of one of the Utility’s former managers not paying the plant operator in a timely manner for services rendered. The Utility was successful in receiving a lower interest rate as a result of the litigation. However, since Commission practice is to disallow recovery of late payment fees or interest charges resulting from untimely payments, the reduced interest rate is a direct benefit to the stockholders/owners rather than the customers. In addition, the interest savings is not sufficient to offset the litigation costs. Consequently, the legal action only served to increase the Utility’s expenses rather than reduce them to the benefit of the customers. Based on the above, staff does not believe it would be appropriate to require the customers to pay the litigation costs.</w:t>
      </w:r>
    </w:p>
    <w:p w:rsidR="00603830" w:rsidRDefault="00603830" w:rsidP="00603830">
      <w:pPr>
        <w:pStyle w:val="BodyText"/>
      </w:pPr>
      <w:r w:rsidRPr="00350064">
        <w:t>Staff reviewed the Utility’s last SARC and recent annual reports to determine if the Utility incurred any other legal fees in recent years that would be more representative of routine, recurring legal services. Based on the information available, it appears that the Utility has not incurred any other legal fees in recent years.</w:t>
      </w:r>
      <w:r>
        <w:t xml:space="preserve"> </w:t>
      </w:r>
    </w:p>
    <w:p w:rsidR="008876BF" w:rsidRDefault="00603830" w:rsidP="00603830">
      <w:pPr>
        <w:pStyle w:val="BodyText"/>
      </w:pPr>
      <w:r>
        <w:t>Therefore, staff’s total adjustment to this account is an increase of $1,250 to include the new contractual accountant’s bookkeeping services. S</w:t>
      </w:r>
      <w:r w:rsidRPr="00DB498C">
        <w:t xml:space="preserve">taff recommends </w:t>
      </w:r>
      <w:r>
        <w:t>c</w:t>
      </w:r>
      <w:r w:rsidRPr="00DB498C">
        <w:t xml:space="preserve">ontractual </w:t>
      </w:r>
      <w:r>
        <w:t>s</w:t>
      </w:r>
      <w:r w:rsidRPr="00DB498C">
        <w:t xml:space="preserve">ervices – </w:t>
      </w:r>
      <w:r>
        <w:t>p</w:t>
      </w:r>
      <w:r w:rsidRPr="00DB498C">
        <w:t xml:space="preserve">rofessional </w:t>
      </w:r>
      <w:r>
        <w:t>e</w:t>
      </w:r>
      <w:r w:rsidRPr="00DB498C">
        <w:t xml:space="preserve">xpense of </w:t>
      </w:r>
      <w:r>
        <w:t>$1,650</w:t>
      </w:r>
      <w:r w:rsidR="008876BF">
        <w:t>.</w:t>
      </w:r>
    </w:p>
    <w:p w:rsidR="003C5E88" w:rsidRDefault="003C5E88">
      <w:pPr>
        <w:rPr>
          <w:rFonts w:ascii="Arial" w:hAnsi="Arial" w:cs="Arial"/>
          <w:b/>
          <w:bCs/>
          <w:i/>
          <w:iCs/>
          <w:szCs w:val="28"/>
        </w:rPr>
      </w:pPr>
      <w:r>
        <w:br w:type="page"/>
      </w:r>
    </w:p>
    <w:p w:rsidR="008876BF" w:rsidRPr="004902A8" w:rsidRDefault="008876BF" w:rsidP="00603830">
      <w:pPr>
        <w:pStyle w:val="Second-LevelSubheading"/>
      </w:pPr>
      <w:r w:rsidRPr="001677BB">
        <w:lastRenderedPageBreak/>
        <w:t>Contractual Serv</w:t>
      </w:r>
      <w:r w:rsidRPr="004902A8">
        <w:t>ices – Testing (635)</w:t>
      </w:r>
    </w:p>
    <w:p w:rsidR="008876BF" w:rsidRDefault="008876BF" w:rsidP="008876BF">
      <w:pPr>
        <w:pStyle w:val="BodyText"/>
      </w:pPr>
      <w:r w:rsidRPr="00DB498C">
        <w:t>The Utility’s Expense Summary does not include this account. Audit staff determined the Utility incurred $</w:t>
      </w:r>
      <w:r>
        <w:t>1</w:t>
      </w:r>
      <w:r w:rsidRPr="00DB498C">
        <w:t>,</w:t>
      </w:r>
      <w:r>
        <w:t>465</w:t>
      </w:r>
      <w:r w:rsidRPr="00DB498C">
        <w:t xml:space="preserve"> in testing expense for the test year</w:t>
      </w:r>
      <w:r>
        <w:t xml:space="preserve">. </w:t>
      </w:r>
      <w:r w:rsidRPr="00DB498C">
        <w:t>Accordingly, staff increased this account by $</w:t>
      </w:r>
      <w:r>
        <w:t>1</w:t>
      </w:r>
      <w:r w:rsidRPr="00DB498C">
        <w:t>,</w:t>
      </w:r>
      <w:r>
        <w:t>465</w:t>
      </w:r>
      <w:r w:rsidRPr="00DB498C">
        <w:t xml:space="preserve">. </w:t>
      </w:r>
    </w:p>
    <w:p w:rsidR="008876BF" w:rsidRDefault="008876BF" w:rsidP="008876BF">
      <w:pPr>
        <w:pStyle w:val="BodyText"/>
      </w:pPr>
      <w:r w:rsidRPr="00DB498C">
        <w:t xml:space="preserve">In addition, the Utility </w:t>
      </w:r>
      <w:r>
        <w:t xml:space="preserve">was required by the PCHD on behalf of </w:t>
      </w:r>
      <w:r w:rsidR="00771B4F">
        <w:t xml:space="preserve">the </w:t>
      </w:r>
      <w:r>
        <w:t xml:space="preserve">DEP </w:t>
      </w:r>
      <w:r w:rsidRPr="00DB498C">
        <w:t xml:space="preserve">to conduct triennial water tests </w:t>
      </w:r>
      <w:r>
        <w:t xml:space="preserve">by the end of </w:t>
      </w:r>
      <w:r w:rsidRPr="00DB498C">
        <w:t xml:space="preserve">2015. </w:t>
      </w:r>
      <w:r>
        <w:t>The Utility provided invoices from the contract operator totaling $3,310 for the triennial tests. Therefore, s</w:t>
      </w:r>
      <w:r w:rsidRPr="00DB498C">
        <w:t>taff increased this account by $1,</w:t>
      </w:r>
      <w:r>
        <w:t>103</w:t>
      </w:r>
      <w:r w:rsidRPr="00DB498C">
        <w:t xml:space="preserve"> ($</w:t>
      </w:r>
      <w:r>
        <w:t>3</w:t>
      </w:r>
      <w:r w:rsidRPr="00DB498C">
        <w:t>,</w:t>
      </w:r>
      <w:r>
        <w:t xml:space="preserve">310 </w:t>
      </w:r>
      <w:r w:rsidRPr="00DB498C">
        <w:t>/</w:t>
      </w:r>
      <w:r>
        <w:t xml:space="preserve"> </w:t>
      </w:r>
      <w:r w:rsidRPr="00DB498C">
        <w:t>3 = $1,</w:t>
      </w:r>
      <w:r>
        <w:t>103</w:t>
      </w:r>
      <w:r w:rsidRPr="00DB498C">
        <w:t>) to include a pro forma adjustment to reflect the</w:t>
      </w:r>
      <w:r w:rsidR="0001696A">
        <w:t xml:space="preserve"> three</w:t>
      </w:r>
      <w:r>
        <w:t>-</w:t>
      </w:r>
      <w:r w:rsidRPr="00DB498C">
        <w:t>year amortization of the triennial water test costs.</w:t>
      </w:r>
    </w:p>
    <w:p w:rsidR="008876BF" w:rsidRDefault="008876BF" w:rsidP="008876BF">
      <w:pPr>
        <w:pStyle w:val="BodyText"/>
      </w:pPr>
      <w:r>
        <w:t>Finally, the Utility requested a pro forma increase to cover $1,900 in testing expenses for additional trihalomethane (TTHM) and haloacetic acid (HAA5) testing required by the PCHD on a quarterly basis beginning in the last quarter of 2015 and continuing through the third quarter of 2016. The first quarter’s tests have been completed and it is anticipated that the second quarter’s test will be completed prior to implementation of any rates approved by the Commission in this case. According to the operator’s invoices, the cost for the first quarter’s tests is $475 and the estimated cost for the remaining three quarters is $1,425, for a total of $1,900. The Utility’s operator also provided documentation from the PCHD to support that the additional testing is required.</w:t>
      </w:r>
      <w:r w:rsidRPr="008B1191">
        <w:t xml:space="preserve"> Th</w:t>
      </w:r>
      <w:r>
        <w:t>e</w:t>
      </w:r>
      <w:r w:rsidRPr="008B1191">
        <w:t xml:space="preserve"> additional testing requirement was caused by the Utility exceeding the TT</w:t>
      </w:r>
      <w:r>
        <w:t>H</w:t>
      </w:r>
      <w:r w:rsidRPr="008B1191">
        <w:t>M limit on one test, and therefore, is not part of the Utility’s normally recurring tests.</w:t>
      </w:r>
      <w:r>
        <w:t xml:space="preserve"> </w:t>
      </w:r>
      <w:r w:rsidRPr="00B74354">
        <w:t xml:space="preserve">Rule 25-30.433(8), F.A.C., requires that non-recurring expenses be amortized over a </w:t>
      </w:r>
      <w:r w:rsidR="0001696A">
        <w:t>five</w:t>
      </w:r>
      <w:r w:rsidRPr="00B74354">
        <w:t>-year period unless a shorter or longer period of time can be justified.</w:t>
      </w:r>
      <w:r>
        <w:t xml:space="preserve"> Amortizing the $1,900 testing expense over a </w:t>
      </w:r>
      <w:r w:rsidR="0001696A">
        <w:t>five</w:t>
      </w:r>
      <w:r>
        <w:t>-year period results in an annual increase of $380 in the Utility’s testing expense. Due to the serious nature of this testing requirement, staff believes it warrants inclusion in this rate proceeding.</w:t>
      </w:r>
    </w:p>
    <w:p w:rsidR="008876BF" w:rsidRDefault="008876BF" w:rsidP="008876BF">
      <w:pPr>
        <w:pStyle w:val="BodyText"/>
      </w:pPr>
      <w:r w:rsidRPr="00F23232">
        <w:t>In accordance with Commission practice, staff calculated a Phase II revenue requirement for the pro forma testing that will not be completed until the second and third quarters of 2016 and determined that the Phase II revenue requirement</w:t>
      </w:r>
      <w:r w:rsidRPr="008A4FE0">
        <w:t xml:space="preserve"> would be only $</w:t>
      </w:r>
      <w:r>
        <w:t>201</w:t>
      </w:r>
      <w:r w:rsidRPr="008A4FE0">
        <w:t xml:space="preserve"> or 0.</w:t>
      </w:r>
      <w:r>
        <w:t>69</w:t>
      </w:r>
      <w:r w:rsidRPr="008A4FE0">
        <w:t xml:space="preserve"> percent above the Phase I revenue requirement</w:t>
      </w:r>
      <w:r>
        <w:t xml:space="preserve">. </w:t>
      </w:r>
      <w:r w:rsidRPr="008A4FE0">
        <w:t xml:space="preserve">If </w:t>
      </w:r>
      <w:r>
        <w:t xml:space="preserve">all of the </w:t>
      </w:r>
      <w:r w:rsidRPr="008A4FE0">
        <w:t xml:space="preserve">pro forma </w:t>
      </w:r>
      <w:r>
        <w:t xml:space="preserve">testing expense is included </w:t>
      </w:r>
      <w:r w:rsidRPr="008A4FE0">
        <w:t>in Phase I, rate case expense can be reduced by a total of $</w:t>
      </w:r>
      <w:r>
        <w:t>41</w:t>
      </w:r>
      <w:r w:rsidRPr="008A4FE0">
        <w:t xml:space="preserve"> or </w:t>
      </w:r>
      <w:r>
        <w:t xml:space="preserve">approximately </w:t>
      </w:r>
      <w:r w:rsidRPr="008A4FE0">
        <w:t>$</w:t>
      </w:r>
      <w:r>
        <w:t>10</w:t>
      </w:r>
      <w:r w:rsidRPr="008A4FE0">
        <w:t xml:space="preserve"> per year over the </w:t>
      </w:r>
      <w:r w:rsidR="0001696A">
        <w:t>four</w:t>
      </w:r>
      <w:r w:rsidRPr="008A4FE0">
        <w:t xml:space="preserve">-year amortization period due to elimination of the additional customer noticing that would be required upon implementation of the Phase II rate increase. </w:t>
      </w:r>
      <w:r>
        <w:t xml:space="preserve">Although </w:t>
      </w:r>
      <w:r w:rsidRPr="008A4FE0">
        <w:t xml:space="preserve">pro forma </w:t>
      </w:r>
      <w:r>
        <w:t>plant additions and expenses</w:t>
      </w:r>
      <w:r w:rsidRPr="008A4FE0">
        <w:t xml:space="preserve"> are often addressed using a phased approach, </w:t>
      </w:r>
      <w:r>
        <w:t xml:space="preserve">staff believes it would be appropriate to include the pro forma testing expenses in the initial revenue requirement in this case </w:t>
      </w:r>
      <w:r w:rsidRPr="008A4FE0">
        <w:t xml:space="preserve">because of the minimal impact of the pro forma </w:t>
      </w:r>
      <w:r>
        <w:t xml:space="preserve">testing expense </w:t>
      </w:r>
      <w:r w:rsidRPr="008A4FE0">
        <w:t>on the initial revenue requirement, as well as the additional benefit of reducing rate case expense</w:t>
      </w:r>
      <w:r>
        <w:t xml:space="preserve">. Therefore, staff increased this account by $380 to reflect a pro forma increase to cover the additional TTHM and HAA5 testing expense. Staff recommends that the Utility be required to file documentation in this docket by December 31, 2016, showing that the tests have been completed. The documentation should include a copy of the test results and final invoices. However, staff does not believe it is necessary to hold the docket open until this information is filed since the PCHD is monitoring the Utility’s completion of these tests and the test results. </w:t>
      </w:r>
    </w:p>
    <w:p w:rsidR="008876BF" w:rsidRPr="008B1191" w:rsidRDefault="008876BF" w:rsidP="008876BF">
      <w:pPr>
        <w:pStyle w:val="BodyText"/>
      </w:pPr>
      <w:r w:rsidRPr="008B1191">
        <w:lastRenderedPageBreak/>
        <w:t>Staff’s total adjustment to this account is an increase of $</w:t>
      </w:r>
      <w:r>
        <w:t>2</w:t>
      </w:r>
      <w:r w:rsidRPr="008B1191">
        <w:t>,</w:t>
      </w:r>
      <w:r>
        <w:t>948</w:t>
      </w:r>
      <w:r w:rsidRPr="008B1191">
        <w:t>. Therefore, staff recommends contractual services – testing expense of $</w:t>
      </w:r>
      <w:r>
        <w:t>2</w:t>
      </w:r>
      <w:r w:rsidRPr="008B1191">
        <w:t>,</w:t>
      </w:r>
      <w:r>
        <w:t>948</w:t>
      </w:r>
      <w:r w:rsidRPr="008B1191">
        <w:t>.</w:t>
      </w:r>
    </w:p>
    <w:p w:rsidR="008876BF" w:rsidRPr="004902A8" w:rsidRDefault="008876BF" w:rsidP="00603830">
      <w:pPr>
        <w:pStyle w:val="Second-LevelSubheading"/>
      </w:pPr>
      <w:r w:rsidRPr="004902A8">
        <w:t>Contractual Services - Other (636)</w:t>
      </w:r>
    </w:p>
    <w:p w:rsidR="008876BF" w:rsidRDefault="008876BF" w:rsidP="008876BF">
      <w:pPr>
        <w:pStyle w:val="BodyText"/>
      </w:pPr>
      <w:r w:rsidRPr="00350064">
        <w:t xml:space="preserve">The Utility’s Expense Summary reflects $19,545 in this account broken down by $5,950 for contractual office management; </w:t>
      </w:r>
      <w:r w:rsidRPr="001677BB">
        <w:t>$6,855 for contractual utility operations; and</w:t>
      </w:r>
      <w:r w:rsidRPr="00350064">
        <w:t xml:space="preserve"> $6,740 for supplies, maintenance and repairs.</w:t>
      </w:r>
      <w:r>
        <w:t xml:space="preserve"> In September 2015, the Utility hired a contractual accountant to take over the majority of the office management duties. Staff confirmed that the contractual accountant has charged Alturas and Sunrise a combined fee of $1,200 per month beginning September 10, 2015 through January 10, 2016. It was initially expected that the $1,200 fee would only be charged for the first three months for additional work required to learn the billing system, bring the billing records up-to-date, and address unresolved billing inquiries and complaints. However, the workload has not yet decreased as expected. Consequently, the $1,200 per month fee will continue until the office begins to operate more smoothly, and then will decrease to $800 per month thereafter. At this time, it is expected that the $1,200 per month fee will be needed through May 2016. In addition to the monthly fee, the contractual accountant will also be reimbursed for any additional costs incurred, such as postage and utility office supplies.</w:t>
      </w:r>
    </w:p>
    <w:p w:rsidR="008876BF" w:rsidRDefault="008876BF" w:rsidP="008876BF">
      <w:pPr>
        <w:pStyle w:val="BodyText"/>
      </w:pPr>
      <w:r>
        <w:t xml:space="preserve">Because the additional $400 per month fee is considered to be temporary and part of the initial set-up cost under the new office management arrangement, staff believes it would be appropriate to allow recovery of those costs as non-recurring expenses over a </w:t>
      </w:r>
      <w:r w:rsidR="0001696A">
        <w:t>five</w:t>
      </w:r>
      <w:r>
        <w:t xml:space="preserve">-year period. The total non-recurring expense for Alturas and Sunrise combined is $3,600 ($400 x 9 months = $3,600), which translates to an annual expense of $720 when amortized over </w:t>
      </w:r>
      <w:r w:rsidR="0001696A">
        <w:t>five</w:t>
      </w:r>
      <w:r>
        <w:t xml:space="preserve"> years. Staff determined that the appropriate allocation of the non-recurring contractual office management fees to Alturas is $158 ($720 x .22 = $158). The remaining $800 per month fee should be treated as a recurring expense, which equals $9,600 per year. The appropriate allocation of the recurring contractual office management expense to Alturas is $2,112 ($9,600 x .22 = $2,112). Alturas’ total contractual office management expense allocation, including both the recurring and non-recurring fees, is $2,270. Therefore, staff decreased this account by $3,680 to reflect the pro forma change in contractual office management expense ($2,270 - $5,950 = -$3,680).</w:t>
      </w:r>
    </w:p>
    <w:p w:rsidR="008876BF" w:rsidRDefault="00047FE8" w:rsidP="008876BF">
      <w:pPr>
        <w:pStyle w:val="BodyText"/>
      </w:pPr>
      <w:r>
        <w:t>I</w:t>
      </w:r>
      <w:r w:rsidR="008876BF">
        <w:t>n its June</w:t>
      </w:r>
      <w:r>
        <w:t xml:space="preserve"> 11</w:t>
      </w:r>
      <w:r w:rsidR="008876BF">
        <w:t>, 2015</w:t>
      </w:r>
      <w:r w:rsidR="003500EA">
        <w:t>,</w:t>
      </w:r>
      <w:r w:rsidR="008876BF">
        <w:t xml:space="preserve"> letter, OPC expressed concern about the Utility’s procedures for handling cash payments from customers. Specifically, OPC expressed concern about whether or not the cash payments are being properly recorded against accounts receivable, whether or not the cash collections of miscellaneous service charges are being recorded and included in test year revenues, and whether or not the accounts receivable aging reports accurately reflect these collections.</w:t>
      </w:r>
    </w:p>
    <w:p w:rsidR="008876BF" w:rsidRDefault="008876BF" w:rsidP="008876BF">
      <w:pPr>
        <w:pStyle w:val="BodyText"/>
      </w:pPr>
      <w:r>
        <w:t xml:space="preserve">Staff determined that the Utility includes the type of payment in its billing records when recording monthly bill payments. For example, the records indicate if the payment was made by cash, check, money order, or money transfer. In addition, the Utility’s customer deposit records indicate if the initial customer deposits </w:t>
      </w:r>
      <w:r w:rsidR="0001696A">
        <w:t>were</w:t>
      </w:r>
      <w:r>
        <w:t xml:space="preserve"> paid by cash, check, money order, or money transfer. </w:t>
      </w:r>
    </w:p>
    <w:p w:rsidR="008876BF" w:rsidRDefault="008876BF" w:rsidP="008876BF">
      <w:pPr>
        <w:pStyle w:val="BodyText"/>
      </w:pPr>
      <w:r>
        <w:t xml:space="preserve">The area of concern appears to be limited </w:t>
      </w:r>
      <w:r w:rsidR="002A1B25">
        <w:t xml:space="preserve">to </w:t>
      </w:r>
      <w:r>
        <w:t xml:space="preserve">the handling of miscellaneous service charges. The Utility owner acknowledged that he had authorized the contractual office manager and office manager assistant to keep any miscellaneous service charges collected as payment for their work </w:t>
      </w:r>
      <w:r>
        <w:lastRenderedPageBreak/>
        <w:t>related to the customer disconnections and reconnections. Because miscellaneous service charges are designed to cover the additional costs incurred to provide a specific miscellaneous service, it is acceptable for the Utility to use those funds to pay for the contractual work needed to accomplish those services. However, it is incorrect for the Utility to omit the miscellaneous service charge assessments and payments from the billing records and revenues.</w:t>
      </w:r>
    </w:p>
    <w:p w:rsidR="008876BF" w:rsidRDefault="008876BF" w:rsidP="008876BF">
      <w:pPr>
        <w:pStyle w:val="BodyText"/>
      </w:pPr>
      <w:r>
        <w:t>In addition, staff attempted to review the Utility’s billing records to determine whether or not the Utility properly assessed the miscellaneous service charges in accordance with Commission rules and the Utility’s approved tariff. The Utility was not able to provide all of the records that are needed to complete this type of review. The Utility owner informed staff that the former office manager had deleted 11 months of billing records in error. Therefore, the only records available during that time period are the specific reports that were printed prior to the deletion. Based on the available records, staff believes that the Utility does experience some issues with delinquent payments. However, staff was unable to determine if the customers were given proper disconnection notices and assessed the miscellaneous service charges within the proper timeframes prescribed by Commission rules during the test year. Also, staff notes that the delinquent payments appear to be more of an issue for Sunrise than Alturas.</w:t>
      </w:r>
    </w:p>
    <w:p w:rsidR="008876BF" w:rsidRDefault="008876BF" w:rsidP="008876BF">
      <w:pPr>
        <w:contextualSpacing/>
        <w:jc w:val="both"/>
      </w:pPr>
      <w:r w:rsidRPr="00141017">
        <w:t xml:space="preserve">Based on staff’s review, it appears the Utility may be in apparent violation of the following rules and statute. Rule 25-30.335(7), F.A.C., </w:t>
      </w:r>
      <w:r w:rsidR="00423CF2">
        <w:t xml:space="preserve">which </w:t>
      </w:r>
      <w:r w:rsidRPr="00141017">
        <w:t>requires that utilities shall maintain a record of each customer’s account for the most current</w:t>
      </w:r>
      <w:r w:rsidRPr="004D325D">
        <w:t xml:space="preserve"> </w:t>
      </w:r>
      <w:r>
        <w:t>two</w:t>
      </w:r>
      <w:r w:rsidRPr="004D325D">
        <w:t xml:space="preserve"> years so as to permit reproduction of the customer’s bills during the time that the utility provided service to that customer.</w:t>
      </w:r>
      <w:r>
        <w:t xml:space="preserve"> Rule 25-30.320, F.A.C.,</w:t>
      </w:r>
      <w:r w:rsidR="00423CF2">
        <w:t xml:space="preserve"> which </w:t>
      </w:r>
      <w:r>
        <w:t xml:space="preserve">sets forth the guidelines that utilities must follow when refusing or discontinuing service, including disconnection for non-payment of bills. Section 367.081, F.S., requires that a utility may only charge rates and charges that have been approved by the Commission. </w:t>
      </w:r>
    </w:p>
    <w:p w:rsidR="0001696A" w:rsidRDefault="0001696A" w:rsidP="008876BF">
      <w:pPr>
        <w:contextualSpacing/>
        <w:jc w:val="both"/>
      </w:pPr>
    </w:p>
    <w:p w:rsidR="008876BF" w:rsidRDefault="0021009C" w:rsidP="008876BF">
      <w:pPr>
        <w:pStyle w:val="BodyText"/>
      </w:pPr>
      <w:r>
        <w:t>S</w:t>
      </w:r>
      <w:r w:rsidR="008876BF">
        <w:t xml:space="preserve">taff does not believe show cause proceedings should be initiated at this time for the apparent violations related to the maintenance of customer records and handling of miscellaneous service charges. It appears that the Utility has taken steps to correct these issues. The Utility indicated that it has discontinued accepting customer payments in the field. As discussed previously, customers now have the additional option of paying in person or using a drop box at the contractual accountant’s office. Based on staff’s review, it appears that the Utility has taken the necessary steps to ensure that future miscellaneous service charges are correctly recorded. Also, the separation of duties between the office manager and utility service technician working in the field allows for better oversight of the handling of cash collections. Finally, under the Utility’s current procedures, customers are first sent a letter regarding their past due payment, and then sent a second notice regarding disconnection only if the bill remains unpaid. Providing a past due notice prior to a disconnection notice goes beyond what it required in the </w:t>
      </w:r>
      <w:r w:rsidR="009A33A3">
        <w:t>R</w:t>
      </w:r>
      <w:r w:rsidR="008876BF">
        <w:t>ule and helps to demonstrate the Utility’s willingness to work with customers to resolve payment issues prior to disconnecting service.</w:t>
      </w:r>
      <w:r>
        <w:t xml:space="preserve"> However, staff believes Alturas should be put on notice that if the Utility fails to maintain its customer records or to properly account for miscellaneous service charges in compliance with Commission regulations in the future</w:t>
      </w:r>
      <w:r w:rsidR="000C6F60">
        <w:t xml:space="preserve">, </w:t>
      </w:r>
      <w:r>
        <w:t>Alturas may be subject to a show cause proceeding by the Commission, including penalties.</w:t>
      </w:r>
    </w:p>
    <w:p w:rsidR="008876BF" w:rsidRDefault="008876BF" w:rsidP="008876BF">
      <w:pPr>
        <w:pStyle w:val="BodyText"/>
      </w:pPr>
      <w:r>
        <w:lastRenderedPageBreak/>
        <w:t xml:space="preserve">As noted above, the Utility included </w:t>
      </w:r>
      <w:r w:rsidRPr="00DB498C">
        <w:t>$</w:t>
      </w:r>
      <w:r>
        <w:t>6</w:t>
      </w:r>
      <w:r w:rsidRPr="00DB498C">
        <w:t>,</w:t>
      </w:r>
      <w:r>
        <w:t>855</w:t>
      </w:r>
      <w:r w:rsidRPr="00DB498C">
        <w:t xml:space="preserve"> </w:t>
      </w:r>
      <w:r>
        <w:t xml:space="preserve">in this account for </w:t>
      </w:r>
      <w:r w:rsidRPr="00DB498C">
        <w:t>contractual utility operations</w:t>
      </w:r>
      <w:r>
        <w:t>. Staff determined that the appropriate contractual operator’s expense for Alturas is $4,288, which includes the plant operator’s monthly fees, inspection reports, repairs, and flushing. In its June 1</w:t>
      </w:r>
      <w:r w:rsidR="00213E20">
        <w:t>1</w:t>
      </w:r>
      <w:r>
        <w:t>, 2015</w:t>
      </w:r>
      <w:r w:rsidR="00F24F7B">
        <w:t>,</w:t>
      </w:r>
      <w:r>
        <w:t xml:space="preserve"> letter, OPC expressed a concern about possible duplication of mowing expenses because the test year included charges for mowing by the office manager and plant operator. As discussed above, the new contractual utility service technician will be responsible for mowing the plant site g</w:t>
      </w:r>
      <w:r w:rsidR="00946D10">
        <w:t>oing forward. Therefore, staff did not include any mowing expense in the $4,288 operator’s expense calculation</w:t>
      </w:r>
      <w:r>
        <w:t>. Although the utility service technician will be assisting with repairs in the field going forward, staff believes there will still be a need for the operator to make utility repairs related to the plant. Consequently, staff does not believe a reduction to the repair portion of the operator’s expenses is necessary. The operator’s monthly fees are allocated between Alturas and Sunrise based on ERCs. The inspection report, repair, and flushing expenses are based on direct costs for Alturas. Staff decreased this account by $2,567 to reflect the appropriate contractual operator’s expense ($4,288 - $6,855 = $2,567).</w:t>
      </w:r>
    </w:p>
    <w:p w:rsidR="008876BF" w:rsidRDefault="008876BF" w:rsidP="008876BF">
      <w:pPr>
        <w:pStyle w:val="BodyText"/>
      </w:pPr>
      <w:r>
        <w:t>T</w:t>
      </w:r>
      <w:r w:rsidRPr="00DB498C">
        <w:t xml:space="preserve">he </w:t>
      </w:r>
      <w:r>
        <w:t>U</w:t>
      </w:r>
      <w:r w:rsidRPr="00DB498C">
        <w:t>tility’s Expense Summary reflected $</w:t>
      </w:r>
      <w:r>
        <w:t>6</w:t>
      </w:r>
      <w:r w:rsidRPr="00DB498C">
        <w:t>,</w:t>
      </w:r>
      <w:r>
        <w:t>740</w:t>
      </w:r>
      <w:r w:rsidRPr="00DB498C">
        <w:t xml:space="preserve"> for supplies, maintenance, and repairs.</w:t>
      </w:r>
      <w:r>
        <w:t xml:space="preserve"> </w:t>
      </w:r>
      <w:r w:rsidRPr="00350064">
        <w:t>The Utility’s total includes test year repairs of $1,019 based on four repair invoices for electrical plant repairs and meter repairs.</w:t>
      </w:r>
      <w:r w:rsidRPr="000948A1">
        <w:t xml:space="preserve"> </w:t>
      </w:r>
      <w:r w:rsidR="000948A1" w:rsidRPr="000948A1">
        <w:t>In its June 1</w:t>
      </w:r>
      <w:r w:rsidR="00213E20">
        <w:t>1</w:t>
      </w:r>
      <w:r w:rsidR="000948A1">
        <w:t>, 201</w:t>
      </w:r>
      <w:r w:rsidR="003500EA">
        <w:t>5</w:t>
      </w:r>
      <w:r w:rsidR="000948A1">
        <w:t>,</w:t>
      </w:r>
      <w:r w:rsidR="000948A1" w:rsidRPr="000948A1">
        <w:t xml:space="preserve"> letter, OPC questioned whether it was reasonable and prudent for the Utility to make four chlorine pump repairs in one year, and whether the repair costs should be treated as non-recurring expenses. According to information provided by the Utility’s contract operator, the chlorine pump required repairs in January and April 2014 due to calcium build up, in May 2014 due to a lightening strike, and in June 2014 due to a hole in a discharge tube.</w:t>
      </w:r>
      <w:r w:rsidRPr="000948A1">
        <w:t xml:space="preserve"> Staff believes it is reasonable</w:t>
      </w:r>
      <w:r w:rsidRPr="00350064">
        <w:t xml:space="preserve"> to expect that the Utility may require this level of repairs on an annual basis. Therefore, staff does not believe it is necessary to amortize any of the test year repairs as non-recurring. </w:t>
      </w:r>
    </w:p>
    <w:p w:rsidR="008876BF" w:rsidRDefault="008876BF" w:rsidP="008876BF">
      <w:pPr>
        <w:pStyle w:val="BodyText"/>
      </w:pPr>
      <w:r w:rsidRPr="00350064">
        <w:t>As noted above, the Utility’s Expense Summary also includes expenses related to chemicals, testing, and miscellaneous expenses</w:t>
      </w:r>
      <w:r>
        <w:t xml:space="preserve">. Audit staff reclassified those expenses to the correct expense accounts. </w:t>
      </w:r>
      <w:r w:rsidRPr="00350064">
        <w:t>In addition, audit staff determined that some expenses were unsupported</w:t>
      </w:r>
      <w:r>
        <w:t xml:space="preserve"> and should be removed</w:t>
      </w:r>
      <w:r w:rsidRPr="00350064">
        <w:t>. Accordingly, staff decreased this account by $5,721 ($1,019 - $6,740 = -$5,721) to reflect the appropriate repair expense for the test year.</w:t>
      </w:r>
    </w:p>
    <w:p w:rsidR="008876BF" w:rsidRDefault="008876BF" w:rsidP="008876BF">
      <w:pPr>
        <w:pStyle w:val="BodyText"/>
      </w:pPr>
      <w:r w:rsidRPr="007C028B">
        <w:t>In its June 1</w:t>
      </w:r>
      <w:r w:rsidR="00213E20">
        <w:t>1</w:t>
      </w:r>
      <w:r w:rsidRPr="00E13908">
        <w:t>, 2015</w:t>
      </w:r>
      <w:r w:rsidR="00F24F7B">
        <w:t>,</w:t>
      </w:r>
      <w:r w:rsidRPr="007C028B">
        <w:t xml:space="preserve"> letter,</w:t>
      </w:r>
      <w:r>
        <w:t xml:space="preserve"> OPC noted that the Alturas test year expenses included an invoice for $225 for checking meters, but that only $56 of that expense was for checking meters for Alturas. The remaining $159 was for checking meters for Sunrise. OPC proposed that $159 should be removed from the Alturas expenses. Staff agrees that it would be appropriate to reclassify $159 of the meter testing expense to Sunrise. Therefore, staff decreased this account by $159.</w:t>
      </w:r>
    </w:p>
    <w:p w:rsidR="008876BF" w:rsidRDefault="008876BF" w:rsidP="008876BF">
      <w:pPr>
        <w:pStyle w:val="BodyText"/>
        <w:spacing w:after="0"/>
      </w:pPr>
      <w:r>
        <w:t>In September 2015, the Utility hired a contractual utility service technician</w:t>
      </w:r>
      <w:r w:rsidRPr="00AB7FA2">
        <w:t xml:space="preserve"> </w:t>
      </w:r>
      <w:r>
        <w:t xml:space="preserve">to assist with general system repairs, customer service repairs, new customer connections, service disconnections, monthly meter reading, mowing, answering the Utility’s emergency cell phone, and being on-call 24 hours a day, 7 days a week. As discussed above under Account 630 – Contractual Services – Billing, the utility service technician’s contractual fee for meter reading is $65 per month or $780 per year. In addition to the meter reading fees, the Utility indicated that it intends to pay this contractual service worker $250 per week for 25 hours of work at an hourly rate of $10 for the remaining work duties. This results in an annual expense of $13,000 for Alturas and </w:t>
      </w:r>
      <w:r>
        <w:lastRenderedPageBreak/>
        <w:t xml:space="preserve">Sunrise combined for the remaining field work and on-call duties. In addition, the Utility has requested a transportation expense allowance for this contractual service worker, which is discussed in more detail below under Account 650 – Transportation Expense. </w:t>
      </w:r>
    </w:p>
    <w:p w:rsidR="00F24F7B" w:rsidRDefault="00F24F7B" w:rsidP="008876BF">
      <w:pPr>
        <w:pStyle w:val="BodyText"/>
        <w:spacing w:after="0"/>
      </w:pPr>
    </w:p>
    <w:p w:rsidR="008876BF" w:rsidRDefault="008876BF" w:rsidP="008876BF">
      <w:pPr>
        <w:pStyle w:val="BodyText"/>
      </w:pPr>
      <w:r>
        <w:t>The Utility has not fully supported its request for this level of contractual service fees. However, audit staff did verify test year expenses for the former office manager and office manager assistant related to some of these duties. In addition, the Utility provided several invoices for work performed by a new utility service technician in September and October 2015. Staff also confirmed that the Utility currently has a contractual service worker performing these job duties. Staff believes it will be beneficial to both the Utility and its customers to have a contractual utility service technician available on a regular basis to assist customers with service issues and to work on utility maintenance. Staff believes the hourly rate of $10 is reasonable and comparable to fees approved for other utilities. Also, staff believes the request for 25 hours of work per week is reasonable considering that the work will cover both the Alturas and Sunrise service territories. Consequently, staff increased this account by $2,860 to reflect Alturas’ allocation of this expense ($13,000 x .22 = $2,860).</w:t>
      </w:r>
    </w:p>
    <w:p w:rsidR="008876BF" w:rsidRPr="00350064" w:rsidRDefault="008876BF" w:rsidP="008876BF">
      <w:pPr>
        <w:pStyle w:val="BodyText"/>
      </w:pPr>
      <w:r w:rsidRPr="00350064">
        <w:t>Finally, as discussed above, a</w:t>
      </w:r>
      <w:r w:rsidR="00F24F7B">
        <w:t xml:space="preserve"> J</w:t>
      </w:r>
      <w:r w:rsidRPr="00350064">
        <w:t xml:space="preserve">udgment was issued against the Utility for $3,960 for outstanding payments owed to Blount for contractual services related to the plant operation and maintenance. The Utility has requested consideration of the outstanding balance and monthly payments of $300 in the instant case. Although the </w:t>
      </w:r>
      <w:r w:rsidR="00F24F7B">
        <w:t>J</w:t>
      </w:r>
      <w:r w:rsidRPr="00350064">
        <w:t>udgment and payment plan were finalized during the 2014 test year, the outstanding balance is for work performed by Blount prior to the test year. Historically, the Commission has determined that the recovery of past expenses from current customers constitutes retroactive ratemaking and is disallowed. Accordingly, staff does not believe it would be appropriate to recognize the past amounts owed to Blount in the instant proceeding.</w:t>
      </w:r>
    </w:p>
    <w:p w:rsidR="008876BF" w:rsidRPr="00DB498C" w:rsidRDefault="008876BF" w:rsidP="008876BF">
      <w:pPr>
        <w:pStyle w:val="BodyText"/>
      </w:pPr>
      <w:r w:rsidRPr="008C37DC">
        <w:t xml:space="preserve">Staff’s net adjustment to this account is a </w:t>
      </w:r>
      <w:r>
        <w:t>decrease</w:t>
      </w:r>
      <w:r w:rsidRPr="008C37DC">
        <w:t xml:space="preserve"> of $</w:t>
      </w:r>
      <w:r>
        <w:t>9</w:t>
      </w:r>
      <w:r w:rsidRPr="008C37DC">
        <w:t>,</w:t>
      </w:r>
      <w:r>
        <w:t xml:space="preserve">267 (-$3,680 - $2,567 - $5,721 -159 + 2,860 = -$9,267). </w:t>
      </w:r>
      <w:r w:rsidRPr="008C37DC">
        <w:t xml:space="preserve">Therefore, staff recommends </w:t>
      </w:r>
      <w:r w:rsidR="00946D10">
        <w:t>c</w:t>
      </w:r>
      <w:r w:rsidRPr="008C37DC">
        <w:t xml:space="preserve">ontractual </w:t>
      </w:r>
      <w:r w:rsidR="00946D10">
        <w:t>s</w:t>
      </w:r>
      <w:r w:rsidRPr="008C37DC">
        <w:t xml:space="preserve">ervices – </w:t>
      </w:r>
      <w:r w:rsidR="00946D10">
        <w:t>o</w:t>
      </w:r>
      <w:r w:rsidRPr="008C37DC">
        <w:t xml:space="preserve">ther </w:t>
      </w:r>
      <w:r w:rsidR="00946D10">
        <w:t>e</w:t>
      </w:r>
      <w:r w:rsidRPr="008C37DC">
        <w:t>xpense of $</w:t>
      </w:r>
      <w:r>
        <w:t>10</w:t>
      </w:r>
      <w:r w:rsidRPr="008C37DC">
        <w:t>,</w:t>
      </w:r>
      <w:r>
        <w:t>278</w:t>
      </w:r>
      <w:r w:rsidRPr="008C37DC">
        <w:t>.</w:t>
      </w:r>
    </w:p>
    <w:p w:rsidR="008876BF" w:rsidRPr="004902A8" w:rsidRDefault="008876BF" w:rsidP="00603830">
      <w:pPr>
        <w:pStyle w:val="Second-LevelSubheading"/>
      </w:pPr>
      <w:r w:rsidRPr="001677BB">
        <w:t>Transportation Expense (650)</w:t>
      </w:r>
    </w:p>
    <w:p w:rsidR="008876BF" w:rsidRDefault="008876BF" w:rsidP="008876BF">
      <w:pPr>
        <w:pStyle w:val="BodyText"/>
      </w:pPr>
      <w:r w:rsidRPr="00350064">
        <w:t xml:space="preserve">The Utility’s Expense Summary reflects $1,233 in this account. Audit staff could not verify how this amount was determined. </w:t>
      </w:r>
      <w:r>
        <w:t>Staff determined that the former office manager’s expense included mileage reimbursements of approximately $14 for Alturas and $97 for Sunrise during January through May 2014. The expense was primarily related to mileage incurred conducting customer disconnections and reconnections, and was calculated based on a mileage rate of $0.50 per mile. The second office manager during the test year did not claim any mileage, but expressed concern about having to use her personal vehicle for utility work at her own expense.</w:t>
      </w:r>
    </w:p>
    <w:p w:rsidR="008876BF" w:rsidRDefault="008876BF" w:rsidP="008876BF">
      <w:pPr>
        <w:pStyle w:val="BodyText"/>
      </w:pPr>
      <w:r>
        <w:t>In its January 26, 2016</w:t>
      </w:r>
      <w:r w:rsidR="00F24F7B">
        <w:t>,</w:t>
      </w:r>
      <w:r>
        <w:t xml:space="preserve"> letter, the Utility requested a transportation expense for the contractual utility service technician of $75 per month, or $900 annually, for Sunrise and Alturas combined. The Utility did not provide any documentation to support this request, such as records of any recent mileage reimbursements or written contracts indicating that transportation expense will be provided. However, in consideration of the Utility’s previous practice of reimbursing the former office manager’s mileage expense and the physical distance between the Alturas and Sunrise service areas, staff believes it would be appropriate to include a mileage allowance. Also, it </w:t>
      </w:r>
      <w:r>
        <w:lastRenderedPageBreak/>
        <w:t>appears that the lack of full reimbursement of additional expenses incurred by the Utility’s contractual service workers may be a contributing factor in the high level of turnover experienced by Alturas and Sunrise. Inclusion of a mileage allowance may help the Utility retain its contractual service workers longer, thereby improving the consistency and stability in the Utility’s field operations.</w:t>
      </w:r>
    </w:p>
    <w:p w:rsidR="008876BF" w:rsidRPr="00946D10" w:rsidRDefault="008876BF" w:rsidP="008876BF">
      <w:pPr>
        <w:pStyle w:val="BodyText"/>
      </w:pPr>
      <w:r>
        <w:t xml:space="preserve">The Utility requested $75 per month transportation </w:t>
      </w:r>
      <w:r w:rsidR="00946D10">
        <w:t xml:space="preserve">expense would allow </w:t>
      </w:r>
      <w:r w:rsidR="00946D10" w:rsidRPr="00946D10">
        <w:t>reimbursement of approximately 34 miles per week at the test year mileage rate of $0.50 per mile. The Alturas and Sunrise service territories are located approximately 18 miles a part.</w:t>
      </w:r>
      <w:r>
        <w:t xml:space="preserve"> </w:t>
      </w:r>
      <w:r w:rsidR="00946D10" w:rsidRPr="00946D10">
        <w:t>Staff believes the majority of the utility service technician’s work will be conducted within each Utilities’ service territory with minimal driving required</w:t>
      </w:r>
      <w:r w:rsidR="00047FE8">
        <w:t xml:space="preserve">. </w:t>
      </w:r>
      <w:r w:rsidR="00946D10" w:rsidRPr="00946D10">
        <w:t>However, on occasion it will be necessary for the utility service technician to drive between the Alturas and Sunrise service territories or to a store to purchase parts for repairs. Staff believes the Utility’s requested expense should be sufficient to cover the transportation expense for both the more frequent in-territory driving, as well as the less frequent out-of-territory driving. Staff determined that the appropriate allocation of the transportation expense to Alturas is $198 ($900 x .22 = $198). The remaining $702 will be allocated to Sunrise. Consequently, staff decreased this account by $1,035 to remove the unsupported test year expenses and reflect a pro forma transportation expense increase. Staff recommends transportation expense of $198.</w:t>
      </w:r>
    </w:p>
    <w:p w:rsidR="008876BF" w:rsidRPr="004902A8" w:rsidRDefault="008876BF" w:rsidP="00603830">
      <w:pPr>
        <w:pStyle w:val="Second-LevelSubheading"/>
      </w:pPr>
      <w:r w:rsidRPr="004902A8">
        <w:t>Insurance Expense (655)</w:t>
      </w:r>
    </w:p>
    <w:p w:rsidR="008876BF" w:rsidRPr="00350064" w:rsidRDefault="008876BF" w:rsidP="008876BF">
      <w:pPr>
        <w:pStyle w:val="BodyText"/>
      </w:pPr>
      <w:r w:rsidRPr="00350064">
        <w:t>The Utility’s Expense Summary reflects $1,576 in this account. Staff increased this account by $31 to reflect the current year’s general liability insurance premium, and recommends insurance expense for the test year of $1,607.</w:t>
      </w:r>
    </w:p>
    <w:p w:rsidR="000948A1" w:rsidRPr="00AE48D5" w:rsidRDefault="000948A1" w:rsidP="00603830">
      <w:pPr>
        <w:pStyle w:val="Second-LevelSubheading"/>
      </w:pPr>
      <w:r w:rsidRPr="00AE48D5">
        <w:t>Regulatory Commission Expense (665)</w:t>
      </w:r>
    </w:p>
    <w:p w:rsidR="000948A1" w:rsidRPr="00AE48D5" w:rsidRDefault="000948A1" w:rsidP="000948A1">
      <w:pPr>
        <w:pStyle w:val="BodyText"/>
      </w:pPr>
      <w:r w:rsidRPr="00AE48D5">
        <w:t xml:space="preserve">The Utility’s Expense Summary does not include this account. The Utility is required by Rule 25-22.0407, F.A.C., to provide notices to its customers of the customer meeting and notices of final rates in this case. For noticing, staff estimated $55 for postage expense, $34 for printing expense, and $5 for envelopes. This results in $94 for the noticing requirement. The Utility paid a $1,000 rate case filing fee. </w:t>
      </w:r>
    </w:p>
    <w:p w:rsidR="000948A1" w:rsidRPr="00DB498C" w:rsidRDefault="000948A1" w:rsidP="000948A1">
      <w:pPr>
        <w:pStyle w:val="BodyText"/>
      </w:pPr>
      <w:r w:rsidRPr="00AE48D5">
        <w:t>The Utility also provided an invoice for accounting fees of $450 for work performed by the Utility’s CPA related to the SARCs for both Alturas and Sunrise. The work performed was similar for both Utilities. Therefore, staff believes it would be appropriate to allow Alturas to recover half or $225 of the accounting expense and allow Sunrise to recover the remaining $225 of rate case related accounting expense. In addition, the Utility provided invoices for $800 in additional work performed by the Utility’s contract operator to assist with the Alturas SARC, such as answering staff data requests related to plant operations and attending the customer meeting. Staff has reviewed the invoices and believes it would be appropriate to allow recovery of these expenses in rate case expense. Pursuant to Section 367.0816, F.S., rate case expense is amortized over a four-year period. Based on the above, staff recommends total rate case expense for the instant case of $2,119 ($94 + $1,000 + $225 + $800), which amortized over four years is $530. Staff’s total adjustment to this account is an increase of $530, resulting in a recommended regulatory commission expense of $530.</w:t>
      </w:r>
    </w:p>
    <w:p w:rsidR="00114959" w:rsidRDefault="00114959">
      <w:pPr>
        <w:rPr>
          <w:rFonts w:ascii="Arial" w:hAnsi="Arial" w:cs="Arial"/>
          <w:b/>
          <w:bCs/>
          <w:i/>
          <w:iCs/>
          <w:szCs w:val="28"/>
        </w:rPr>
      </w:pPr>
      <w:r>
        <w:br w:type="page"/>
      </w:r>
    </w:p>
    <w:p w:rsidR="000948A1" w:rsidRPr="004902A8" w:rsidRDefault="000948A1" w:rsidP="00603830">
      <w:pPr>
        <w:pStyle w:val="Second-LevelSubheading"/>
      </w:pPr>
      <w:r w:rsidRPr="004902A8">
        <w:lastRenderedPageBreak/>
        <w:t>Bad Debt Expense (670)</w:t>
      </w:r>
    </w:p>
    <w:p w:rsidR="000948A1" w:rsidRPr="00AE48D5" w:rsidRDefault="000948A1" w:rsidP="000948A1">
      <w:pPr>
        <w:pStyle w:val="BodyText"/>
      </w:pPr>
      <w:r w:rsidRPr="00AE48D5">
        <w:t>The Utility’s Expense Summary reflects $516 in this account. During the audit, the Utility provided a list of Alturas and Sunrise accounts that were written-off during the test year. Only one account was written-off for Alturas in the amount of $671, which equals 2.</w:t>
      </w:r>
      <w:r w:rsidR="006A09F9">
        <w:t>38</w:t>
      </w:r>
      <w:r w:rsidRPr="00AE48D5">
        <w:t xml:space="preserve"> percent of the test year revenues or 2.</w:t>
      </w:r>
      <w:r w:rsidR="006A09F9">
        <w:t>16</w:t>
      </w:r>
      <w:r w:rsidRPr="00AE48D5">
        <w:t xml:space="preserve"> percent of staff’s recommended revenue requirement. In its June 1</w:t>
      </w:r>
      <w:r w:rsidR="00C8156B">
        <w:t>1</w:t>
      </w:r>
      <w:r w:rsidRPr="00AE48D5">
        <w:t>, 2015</w:t>
      </w:r>
      <w:r w:rsidR="00AE48D5" w:rsidRPr="00AE48D5">
        <w:t>,</w:t>
      </w:r>
      <w:r w:rsidRPr="00AE48D5">
        <w:t xml:space="preserve"> letter, OPC expressed concern that Sunrise’s bad debt expense is excessive, but did not discuss Alturas’ bad debt expense. The Utility did not provide any supporting documentation showing how it calculated the bad debt write-offs, but did acknowledge that the test year bad debt expense included multiple years of bad debt write-offs.</w:t>
      </w:r>
    </w:p>
    <w:p w:rsidR="000948A1" w:rsidRPr="00AE48D5" w:rsidRDefault="000948A1" w:rsidP="000948A1">
      <w:pPr>
        <w:pStyle w:val="BodyText"/>
      </w:pPr>
      <w:r w:rsidRPr="00AE48D5">
        <w:t xml:space="preserve">Commission practice is to calculate bad debt expense using a </w:t>
      </w:r>
      <w:r w:rsidR="00AE48D5" w:rsidRPr="00AE48D5">
        <w:t>three</w:t>
      </w:r>
      <w:r w:rsidRPr="00AE48D5">
        <w:t xml:space="preserve">-year average, typically based on the test year plus </w:t>
      </w:r>
      <w:r w:rsidR="00AE48D5" w:rsidRPr="00AE48D5">
        <w:t>two</w:t>
      </w:r>
      <w:r w:rsidRPr="00AE48D5">
        <w:t xml:space="preserve"> years of annual report data. It appears that the bad debt expense for the </w:t>
      </w:r>
      <w:r w:rsidR="00AE48D5" w:rsidRPr="00AE48D5">
        <w:t>two</w:t>
      </w:r>
      <w:r w:rsidRPr="00AE48D5">
        <w:t xml:space="preserve"> years prior to the test year may have included multiple years of write-offs as well. Therefore, staff is unable to calculate a reliable </w:t>
      </w:r>
      <w:r w:rsidR="00AE48D5" w:rsidRPr="00AE48D5">
        <w:t>three</w:t>
      </w:r>
      <w:r w:rsidRPr="00AE48D5">
        <w:t>-year average using the traditional method. As an alternative, staff believes it would be appropriate to calculate an average bad debt expense based solely on the test year expense. This approach results in a bad debt expense of $224 ($6</w:t>
      </w:r>
      <w:r w:rsidR="006A09F9">
        <w:t>71</w:t>
      </w:r>
      <w:r w:rsidRPr="00AE48D5">
        <w:t xml:space="preserve"> / 3 = $224), that is 0.7</w:t>
      </w:r>
      <w:r w:rsidR="006A09F9">
        <w:t>2</w:t>
      </w:r>
      <w:r w:rsidRPr="00AE48D5">
        <w:t xml:space="preserve"> percent of staff’s recommended revenue requirement. </w:t>
      </w:r>
    </w:p>
    <w:p w:rsidR="000948A1" w:rsidRDefault="000948A1" w:rsidP="000948A1">
      <w:pPr>
        <w:pStyle w:val="BodyText"/>
        <w:rPr>
          <w:rFonts w:ascii="Arial" w:hAnsi="Arial" w:cs="Arial"/>
          <w:b/>
          <w:bCs/>
          <w:i/>
          <w:iCs/>
          <w:szCs w:val="28"/>
        </w:rPr>
      </w:pPr>
      <w:r w:rsidRPr="00AE48D5">
        <w:t>At the December 9, 2015, noticed informal meeting, OPC indicated that it believes the large write-offs may be the result of errors in the recording of cash payments and poor bookkeeping practices, and that bad debt expense should not exceed 1 percent. Staff reviewed a sample of 15 SARCs, which had bad debt expense ranging from zero to over 4 percent, with 60 percent of the sample falling below the 1 percent range and 27 percent of the sample falling in the 0.50 to 1 percent range. Therefore, staff believes a bad debt expense of 0.7</w:t>
      </w:r>
      <w:r w:rsidR="006A09F9">
        <w:t>2</w:t>
      </w:r>
      <w:r w:rsidRPr="00AE48D5">
        <w:t xml:space="preserve"> percent falls within a reasonable range. Although staff is not opposed to OPC’s 1 percent suggestion, that approach would actually increase the bad debt expense for Alturas above the amount recommended by staff. Based on staff’s review of the available billing records, it appears that Alturas has a lower incidence of high delinquent balances than Sunrise, and therefore, would be expected to have a lower bad debt expense percentage. In an effort to provide as much uniformity in the ratesetting methods used for both companies, staff believes it would be more appropriate calculate a specific bad debt expense for each company based on the test year data. Based on the above, staff decreased this account by $292, and recommends a bad debt expense of $224.</w:t>
      </w:r>
    </w:p>
    <w:p w:rsidR="000948A1" w:rsidRPr="004902A8" w:rsidRDefault="000948A1" w:rsidP="00603830">
      <w:pPr>
        <w:pStyle w:val="Second-LevelSubheading"/>
      </w:pPr>
      <w:r w:rsidRPr="004902A8">
        <w:t>Miscellaneous Expense (675)</w:t>
      </w:r>
    </w:p>
    <w:p w:rsidR="000948A1" w:rsidRPr="00AE48D5" w:rsidRDefault="000948A1" w:rsidP="000948A1">
      <w:pPr>
        <w:pStyle w:val="BodyText"/>
      </w:pPr>
      <w:r w:rsidRPr="00AE48D5">
        <w:t>The Utility’s Expense Summary reflects $2,201 in this account. Staff decreased this account by $260 to reflect the appropriate test year miscellaneous expense for the Utility’s annual permit and license renewal fees, cell phones, postage, and office supplies. Staff used the Utility’s direct actual expense for the PCHD annual drinking water permit</w:t>
      </w:r>
      <w:r w:rsidR="001F44DD">
        <w:t>, t</w:t>
      </w:r>
      <w:r w:rsidRPr="00AE48D5">
        <w:t xml:space="preserve">he </w:t>
      </w:r>
      <w:r w:rsidR="004F615C">
        <w:t xml:space="preserve">SWFWMD </w:t>
      </w:r>
      <w:r w:rsidRPr="00AE48D5">
        <w:t>annual water permit</w:t>
      </w:r>
      <w:r w:rsidR="001F44DD">
        <w:t xml:space="preserve">, and the Department of State’s Division of Corporation’s annual </w:t>
      </w:r>
      <w:r w:rsidRPr="00AE48D5">
        <w:t>filing</w:t>
      </w:r>
      <w:r w:rsidR="004F615C">
        <w:t xml:space="preserve"> </w:t>
      </w:r>
      <w:r w:rsidRPr="00AE48D5">
        <w:t>fee. In addition, staff used the ERC allocation method to allocate the common miscellaneous expenses related to the Utility’s cell phone, postage, and office supplies.</w:t>
      </w:r>
    </w:p>
    <w:p w:rsidR="000948A1" w:rsidRPr="00AE48D5" w:rsidRDefault="000948A1" w:rsidP="000948A1">
      <w:pPr>
        <w:pStyle w:val="BodyText"/>
      </w:pPr>
      <w:r w:rsidRPr="00AE48D5">
        <w:t>In its June 1</w:t>
      </w:r>
      <w:r w:rsidR="00C8156B">
        <w:t>1</w:t>
      </w:r>
      <w:r w:rsidRPr="00AE48D5">
        <w:t>, 2015</w:t>
      </w:r>
      <w:r w:rsidR="00AE48D5" w:rsidRPr="00AE48D5">
        <w:t>,</w:t>
      </w:r>
      <w:r w:rsidRPr="00AE48D5">
        <w:t xml:space="preserve"> letter, OPC noted the Utility’s test year miscellaneous expense included additional work performed by the contractual plant operator to assist with the transition between office mangers. OPC believes this is a non-recurring expense that should not be included in setting future rates. Staff agrees that this work is outside the scope of the operator’s regularly </w:t>
      </w:r>
      <w:r w:rsidRPr="00AE48D5">
        <w:lastRenderedPageBreak/>
        <w:t xml:space="preserve">recurring duties, however, staff believes it would be more appropriate to amortize the non-recurring expense over a </w:t>
      </w:r>
      <w:r w:rsidR="00AE48D5" w:rsidRPr="00AE48D5">
        <w:t>five</w:t>
      </w:r>
      <w:r w:rsidRPr="00AE48D5">
        <w:t>-year period consistent with Rule 25-30.433(8), F.A.C. The operator’s expense was $740 for Sunrise and Alturas combined. Staff increased this account by $33 to reflect Alturas’ amortized allocation of that expense ($740 / 5 = $148; $148 x .22= $33).</w:t>
      </w:r>
    </w:p>
    <w:p w:rsidR="000948A1" w:rsidRPr="00AE48D5" w:rsidRDefault="000948A1" w:rsidP="000948A1">
      <w:pPr>
        <w:pStyle w:val="BodyText"/>
      </w:pPr>
      <w:r w:rsidRPr="00AE48D5">
        <w:t>In August 2015, the Utility became a member of the Florida Rural Water Association (FRWA) and provided proof of payment of the Utility’s annual membership dues. Therefore, staff increased this account by $163 to reflect a pro forma adjustment for the Utility’s annual FRWA membership dues. Staff believes the Utility should be reminded that the membership dues included in the Utility’s revenue requirement are intended to serve as annual recurring expense for the purpose of renewing the Utility’s FRWA membership each year.</w:t>
      </w:r>
    </w:p>
    <w:p w:rsidR="000948A1" w:rsidRPr="000948A1" w:rsidRDefault="000948A1" w:rsidP="000948A1">
      <w:pPr>
        <w:pStyle w:val="Second-LevelSubheading"/>
        <w:ind w:left="0"/>
        <w:rPr>
          <w:rFonts w:ascii="Times New Roman" w:hAnsi="Times New Roman" w:cs="Times New Roman"/>
          <w:b w:val="0"/>
          <w:i w:val="0"/>
        </w:rPr>
      </w:pPr>
      <w:r w:rsidRPr="00AE48D5">
        <w:rPr>
          <w:rFonts w:ascii="Times New Roman" w:hAnsi="Times New Roman" w:cs="Times New Roman"/>
          <w:b w:val="0"/>
          <w:i w:val="0"/>
        </w:rPr>
        <w:t xml:space="preserve">In addition, staff increased this account by $30 to make a pro forma adjustment to reflect Alturas’ amortized allocation of the Utility’s purchase </w:t>
      </w:r>
      <w:r w:rsidR="00946D10">
        <w:rPr>
          <w:rFonts w:ascii="Times New Roman" w:hAnsi="Times New Roman" w:cs="Times New Roman"/>
          <w:b w:val="0"/>
          <w:i w:val="0"/>
        </w:rPr>
        <w:t xml:space="preserve">of </w:t>
      </w:r>
      <w:r w:rsidRPr="00AE48D5">
        <w:rPr>
          <w:rFonts w:ascii="Times New Roman" w:hAnsi="Times New Roman" w:cs="Times New Roman"/>
          <w:b w:val="0"/>
          <w:i w:val="0"/>
        </w:rPr>
        <w:t xml:space="preserve">a billing software update, an additional billing software license, and billing software training for the contractual office manager. Finally, staff increased this account by $17 to make a pro forma adjustment to reflect Alturas’ amortized allocation of an electronic bank deposit machine that enables the contractual office manager to electronically deposit customers payments on the business day the payments are received. The Utility made these pro forma purchases in an effort to improve the Utility’s billing and collection practices. Therefore, staff believes it would be appropriate to make these pro forma adjustments and allow the Utility to recover these expenses as non-recurring expenses over a </w:t>
      </w:r>
      <w:r w:rsidR="00AE48D5" w:rsidRPr="00AE48D5">
        <w:rPr>
          <w:rFonts w:ascii="Times New Roman" w:hAnsi="Times New Roman" w:cs="Times New Roman"/>
          <w:b w:val="0"/>
          <w:i w:val="0"/>
        </w:rPr>
        <w:t>five</w:t>
      </w:r>
      <w:r w:rsidRPr="00AE48D5">
        <w:rPr>
          <w:rFonts w:ascii="Times New Roman" w:hAnsi="Times New Roman" w:cs="Times New Roman"/>
          <w:b w:val="0"/>
          <w:i w:val="0"/>
        </w:rPr>
        <w:t>-year period. Staff’s net adjustment to this account is a decrease of $64 (-$260 + 33 + 163 + 30 + 17 = -$64), resulting in a recommended miscellaneous expense of $2,137 for the test year.</w:t>
      </w:r>
    </w:p>
    <w:p w:rsidR="00946D10" w:rsidRDefault="00946D10">
      <w:pPr>
        <w:rPr>
          <w:rFonts w:ascii="Arial" w:hAnsi="Arial" w:cs="Arial"/>
          <w:b/>
          <w:bCs/>
          <w:iCs/>
          <w:szCs w:val="28"/>
        </w:rPr>
      </w:pPr>
    </w:p>
    <w:p w:rsidR="008876BF" w:rsidRPr="004902A8" w:rsidRDefault="008876BF" w:rsidP="00603830">
      <w:pPr>
        <w:pStyle w:val="Second-LevelSubheading"/>
      </w:pPr>
      <w:r w:rsidRPr="004902A8">
        <w:t>Operation and Maintenance Expense (O&amp;M Summary)</w:t>
      </w:r>
    </w:p>
    <w:p w:rsidR="008876BF" w:rsidRPr="00350064" w:rsidRDefault="008876BF" w:rsidP="008876BF">
      <w:pPr>
        <w:pStyle w:val="BodyText"/>
      </w:pPr>
      <w:r w:rsidRPr="004902A8">
        <w:t xml:space="preserve">Based on the above adjustments, O&amp;M expense should be </w:t>
      </w:r>
      <w:r>
        <w:t>decreased</w:t>
      </w:r>
      <w:r w:rsidRPr="00350064">
        <w:t xml:space="preserve"> by $</w:t>
      </w:r>
      <w:r w:rsidR="00946D10">
        <w:t>5,939</w:t>
      </w:r>
      <w:r w:rsidRPr="00350064">
        <w:t>, resulting in total O&amp;M expense of $</w:t>
      </w:r>
      <w:r>
        <w:t>2</w:t>
      </w:r>
      <w:r w:rsidR="00946D10">
        <w:t>5,015</w:t>
      </w:r>
      <w:r w:rsidRPr="00350064">
        <w:t>. Staff’s recommended adjustments to O&amp;M expense are shown on Schedule Nos. 3-A and 3-B.</w:t>
      </w:r>
    </w:p>
    <w:p w:rsidR="008876BF" w:rsidRPr="004902A8" w:rsidRDefault="008876BF" w:rsidP="00DF395A">
      <w:pPr>
        <w:pStyle w:val="First-LevelSubheading"/>
      </w:pPr>
      <w:r w:rsidRPr="004902A8">
        <w:t>Depreciation Expense (Net of Amortization of CIAC)</w:t>
      </w:r>
    </w:p>
    <w:p w:rsidR="008876BF" w:rsidRPr="00350064" w:rsidRDefault="008876BF" w:rsidP="008876BF">
      <w:pPr>
        <w:pStyle w:val="BodyText"/>
      </w:pPr>
      <w:r w:rsidRPr="00350064">
        <w:t>No depreciation expense balances were available for 2014. Audit staff calculated depreciation expense using the prescribed rates set forth in Rule 25-30.140, F.A.C.</w:t>
      </w:r>
      <w:r w:rsidR="00A74818">
        <w:t>,</w:t>
      </w:r>
      <w:r w:rsidRPr="00350064">
        <w:t xml:space="preserve"> and determined a test year depreciation expense of $1,727. Staff decreased this account by $103 to reflect retirement of certain pro forma items from the Utility’s last SARC, as discussed in Issue 3, reducing the test year depreciation expense to $1,624. In addition, because the Utility’s CIAC is fully amortized and there has been no CIAC activity since the Utility’s last SARC, there is no amortization of CIAC expense. Therefore, staff recommends depreciation expense of $1,624.</w:t>
      </w:r>
    </w:p>
    <w:p w:rsidR="008876BF" w:rsidRPr="004902A8" w:rsidRDefault="008876BF" w:rsidP="00DF395A">
      <w:pPr>
        <w:pStyle w:val="First-LevelSubheading"/>
      </w:pPr>
      <w:r w:rsidRPr="004902A8">
        <w:t>Taxes Other Than Income (TOTI)</w:t>
      </w:r>
    </w:p>
    <w:p w:rsidR="008876BF" w:rsidRPr="00350064" w:rsidRDefault="008876BF" w:rsidP="008876BF">
      <w:pPr>
        <w:pStyle w:val="BodyText"/>
      </w:pPr>
      <w:r w:rsidRPr="00350064">
        <w:t>The Utility’s Expense Summary reflects $3,280 in TOTI for the test year, although an official balance for 2014 was not yet available at the time of staff’s audit. Staff increased this account by $90 to reflect the appropriate test year RAFs. Also, staff decreased this account by $1,7</w:t>
      </w:r>
      <w:r>
        <w:t>47</w:t>
      </w:r>
      <w:r w:rsidRPr="00350064">
        <w:t xml:space="preserve"> to reflect the appropriate test year property taxes and remove license and permit renewal fees that are currently included in Account No. 675 – Miscellaneous Expense. Staff’s net adjustment to test year TOTI is a decrease of $1,6</w:t>
      </w:r>
      <w:r>
        <w:t>57</w:t>
      </w:r>
      <w:r w:rsidRPr="00350064">
        <w:t>. In addition, as discussed in Issue 7, revenues have been increased by $</w:t>
      </w:r>
      <w:r w:rsidR="00946D10">
        <w:t>2,958</w:t>
      </w:r>
      <w:r w:rsidRPr="00350064">
        <w:t xml:space="preserve"> to reflect the change in revenue required to cover expenses and allow the </w:t>
      </w:r>
      <w:r w:rsidRPr="00350064">
        <w:lastRenderedPageBreak/>
        <w:t>recommended rate of return. As a result, TOTI should be increased by $</w:t>
      </w:r>
      <w:r w:rsidR="00946D10">
        <w:t>133</w:t>
      </w:r>
      <w:r w:rsidRPr="00350064">
        <w:t xml:space="preserve"> to reflect RAFs of 4.5 percent of the change in revenues. Therefore, staff recommends TOTI of $</w:t>
      </w:r>
      <w:r>
        <w:t>1</w:t>
      </w:r>
      <w:r w:rsidRPr="00350064">
        <w:t>,</w:t>
      </w:r>
      <w:r w:rsidR="00946D10">
        <w:t>757</w:t>
      </w:r>
      <w:r w:rsidRPr="00350064">
        <w:t>.</w:t>
      </w:r>
    </w:p>
    <w:p w:rsidR="008876BF" w:rsidRPr="004902A8" w:rsidRDefault="008876BF" w:rsidP="00DF395A">
      <w:pPr>
        <w:pStyle w:val="First-LevelSubheading"/>
      </w:pPr>
      <w:r w:rsidRPr="004902A8">
        <w:t>Operating Expenses Summary</w:t>
      </w:r>
    </w:p>
    <w:p w:rsidR="00BA4529" w:rsidRDefault="008876BF" w:rsidP="008876BF">
      <w:pPr>
        <w:pStyle w:val="BodyText"/>
      </w:pPr>
      <w:r w:rsidRPr="00350064">
        <w:t>The application of staff’s recommended adjustments to Alturas’ test year operating expenses result in operating expenses of $</w:t>
      </w:r>
      <w:r>
        <w:t>2</w:t>
      </w:r>
      <w:r w:rsidR="00946D10">
        <w:t>8,395</w:t>
      </w:r>
      <w:r w:rsidRPr="00350064">
        <w:t xml:space="preserve">. </w:t>
      </w:r>
      <w:r>
        <w:t>Staff recommends that the Utility be required to file documentation in this docket by December 31, 2016, showing that the pro forma trihalomethane and haloacetic acid tests have been completed. The documentation should include a copy of the test results and final invoices.</w:t>
      </w:r>
    </w:p>
    <w:p w:rsidR="00BA4529" w:rsidRDefault="00BA4529">
      <w:pPr>
        <w:pStyle w:val="IssueHeading"/>
        <w:rPr>
          <w:vanish/>
          <w:specVanish/>
        </w:rPr>
      </w:pPr>
      <w:r w:rsidRPr="004C3641">
        <w:rPr>
          <w:b w:val="0"/>
          <w:i w:val="0"/>
        </w:rPr>
        <w:br w:type="page"/>
      </w:r>
      <w:r w:rsidRPr="004C3641">
        <w:lastRenderedPageBreak/>
        <w:t xml:space="preserve">Issue </w:t>
      </w:r>
      <w:r w:rsidR="00F852FE">
        <w:fldChar w:fldCharType="begin"/>
      </w:r>
      <w:r w:rsidR="00F852FE">
        <w:instrText xml:space="preserve"> SEQ Issue \* MERGEFORMAT </w:instrText>
      </w:r>
      <w:r w:rsidR="00F852FE">
        <w:fldChar w:fldCharType="separate"/>
      </w:r>
      <w:r w:rsidR="004E0887">
        <w:rPr>
          <w:noProof/>
        </w:rPr>
        <w:t>8</w:t>
      </w:r>
      <w:r w:rsidR="00F852FE">
        <w:rPr>
          <w:noProof/>
        </w:rPr>
        <w:fldChar w:fldCharType="end"/>
      </w:r>
      <w:r w:rsidRPr="004C3641">
        <w:t>:</w:t>
      </w:r>
      <w:r>
        <w:fldChar w:fldCharType="begin"/>
      </w:r>
      <w:r>
        <w:instrText xml:space="preserve"> TC "</w:instrText>
      </w:r>
      <w:bookmarkStart w:id="26" w:name="_Toc443485018"/>
      <w:r>
        <w:instrText xml:space="preserve">Issue </w:instrText>
      </w:r>
      <w:r>
        <w:fldChar w:fldCharType="begin"/>
      </w:r>
      <w:r>
        <w:instrText xml:space="preserve"> SEQ issue \c </w:instrText>
      </w:r>
      <w:r>
        <w:fldChar w:fldCharType="separate"/>
      </w:r>
      <w:r w:rsidR="004E0887">
        <w:rPr>
          <w:noProof/>
        </w:rPr>
        <w:instrText>8</w:instrText>
      </w:r>
      <w:r>
        <w:fldChar w:fldCharType="end"/>
      </w:r>
      <w:r>
        <w:instrText xml:space="preserve"> Revenue Requirement</w:instrText>
      </w:r>
      <w:bookmarkEnd w:id="26"/>
      <w:r>
        <w:instrText xml:space="preserve">" \l 1 </w:instrText>
      </w:r>
      <w:r>
        <w:fldChar w:fldCharType="end"/>
      </w:r>
      <w:r>
        <w:t> </w:t>
      </w:r>
    </w:p>
    <w:p w:rsidR="008876BF" w:rsidRDefault="00BA4529" w:rsidP="008876BF">
      <w:pPr>
        <w:pStyle w:val="BodyText"/>
      </w:pPr>
      <w:r>
        <w:t> </w:t>
      </w:r>
      <w:r w:rsidR="008876BF" w:rsidRPr="00EC648C">
        <w:t>What is the approp</w:t>
      </w:r>
      <w:r w:rsidR="008876BF" w:rsidRPr="004902A8">
        <w:t>riate revenue requirement?</w:t>
      </w:r>
    </w:p>
    <w:p w:rsidR="008876BF" w:rsidRPr="004C3641" w:rsidRDefault="008876BF" w:rsidP="008876BF">
      <w:pPr>
        <w:pStyle w:val="IssueSubsectionHeading"/>
        <w:rPr>
          <w:vanish/>
          <w:specVanish/>
        </w:rPr>
      </w:pPr>
      <w:r w:rsidRPr="004C3641">
        <w:t>Recommendation: </w:t>
      </w:r>
    </w:p>
    <w:p w:rsidR="008876BF" w:rsidRPr="00D25CE8" w:rsidRDefault="008876BF" w:rsidP="008876BF">
      <w:pPr>
        <w:pStyle w:val="BodyText"/>
      </w:pPr>
      <w:r>
        <w:t> </w:t>
      </w:r>
      <w:r w:rsidRPr="004902A8">
        <w:t xml:space="preserve">The appropriate revenue requirement is </w:t>
      </w:r>
      <w:r w:rsidRPr="00D25CE8">
        <w:t>$</w:t>
      </w:r>
      <w:r w:rsidR="00292B38">
        <w:t>31,101</w:t>
      </w:r>
      <w:r>
        <w:t xml:space="preserve">, </w:t>
      </w:r>
      <w:r w:rsidRPr="004902A8">
        <w:t xml:space="preserve">resulting in an annual increase of </w:t>
      </w:r>
      <w:r w:rsidRPr="00D25CE8">
        <w:t>$</w:t>
      </w:r>
      <w:r w:rsidR="00292B38">
        <w:t>2,958</w:t>
      </w:r>
      <w:r w:rsidRPr="00D25CE8">
        <w:t xml:space="preserve"> (</w:t>
      </w:r>
      <w:r w:rsidR="00292B38">
        <w:t>10.51</w:t>
      </w:r>
      <w:r w:rsidRPr="00D25CE8">
        <w:t xml:space="preserve"> percent). (Golden, Vogel) </w:t>
      </w:r>
    </w:p>
    <w:p w:rsidR="008876BF" w:rsidRPr="00D25CE8" w:rsidRDefault="008876BF" w:rsidP="008876BF">
      <w:pPr>
        <w:pStyle w:val="IssueSubsectionHeading"/>
        <w:rPr>
          <w:vanish/>
          <w:specVanish/>
        </w:rPr>
      </w:pPr>
      <w:r w:rsidRPr="00D25CE8">
        <w:t>Staff Analysis: </w:t>
      </w:r>
    </w:p>
    <w:p w:rsidR="008876BF" w:rsidRDefault="008876BF" w:rsidP="008876BF">
      <w:pPr>
        <w:pStyle w:val="BodyText"/>
        <w:spacing w:after="0"/>
      </w:pPr>
      <w:r w:rsidRPr="00D25CE8">
        <w:t> Alturas should be allowed an annual increase of $</w:t>
      </w:r>
      <w:r w:rsidR="00292B38">
        <w:t>2,958</w:t>
      </w:r>
      <w:r w:rsidRPr="00D25CE8">
        <w:t xml:space="preserve"> (</w:t>
      </w:r>
      <w:r w:rsidR="00292B38">
        <w:t>10.51</w:t>
      </w:r>
      <w:r w:rsidRPr="00D25CE8">
        <w:t xml:space="preserve"> percent). This will allow the Utility the opportunity to recover its expenses and earn an 8.53 percent return on its investment. The calculations are as follows:</w:t>
      </w:r>
    </w:p>
    <w:p w:rsidR="008876BF" w:rsidRDefault="008876BF" w:rsidP="008876BF">
      <w:pPr>
        <w:pStyle w:val="BodyText"/>
        <w:spacing w:after="0"/>
      </w:pPr>
    </w:p>
    <w:p w:rsidR="008876BF" w:rsidRDefault="008876BF" w:rsidP="008876BF">
      <w:pPr>
        <w:pStyle w:val="BodyText"/>
        <w:spacing w:after="0"/>
        <w:jc w:val="center"/>
        <w:rPr>
          <w:rFonts w:ascii="Arial" w:hAnsi="Arial" w:cs="Arial"/>
          <w:b/>
        </w:rPr>
      </w:pPr>
      <w:r w:rsidRPr="00D25CE8">
        <w:rPr>
          <w:rFonts w:ascii="Arial" w:hAnsi="Arial" w:cs="Arial"/>
          <w:b/>
        </w:rPr>
        <w:t>Table 8-1</w:t>
      </w:r>
    </w:p>
    <w:p w:rsidR="00F93614" w:rsidRPr="004902A8" w:rsidRDefault="00F93614" w:rsidP="008876BF">
      <w:pPr>
        <w:pStyle w:val="BodyText"/>
        <w:spacing w:after="0"/>
        <w:jc w:val="center"/>
      </w:pPr>
      <w:r w:rsidRPr="00EE4A5C">
        <w:rPr>
          <w:rFonts w:ascii="Arial" w:hAnsi="Arial" w:cs="Arial"/>
          <w:b/>
        </w:rPr>
        <w:t>Water 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881"/>
        <w:gridCol w:w="1141"/>
      </w:tblGrid>
      <w:tr w:rsidR="008876BF" w:rsidRPr="00A00D7A" w:rsidTr="008876BF">
        <w:trPr>
          <w:cantSplit/>
          <w:jc w:val="center"/>
        </w:trPr>
        <w:tc>
          <w:tcPr>
            <w:tcW w:w="3681" w:type="dxa"/>
            <w:tcBorders>
              <w:top w:val="single" w:sz="4" w:space="0" w:color="auto"/>
            </w:tcBorders>
          </w:tcPr>
          <w:p w:rsidR="008876BF" w:rsidRPr="00B74354" w:rsidRDefault="008876BF" w:rsidP="008876BF">
            <w:pPr>
              <w:spacing w:before="116" w:after="44"/>
            </w:pPr>
            <w:r w:rsidRPr="00B74354">
              <w:t>Adjusted Rate Base</w:t>
            </w:r>
          </w:p>
        </w:tc>
        <w:tc>
          <w:tcPr>
            <w:tcW w:w="881" w:type="dxa"/>
            <w:tcBorders>
              <w:top w:val="single" w:sz="4" w:space="0" w:color="auto"/>
            </w:tcBorders>
          </w:tcPr>
          <w:p w:rsidR="008876BF" w:rsidRPr="00B74354" w:rsidRDefault="008876BF" w:rsidP="008876BF">
            <w:pPr>
              <w:spacing w:before="116" w:after="44"/>
              <w:jc w:val="center"/>
            </w:pPr>
          </w:p>
        </w:tc>
        <w:tc>
          <w:tcPr>
            <w:tcW w:w="1141" w:type="dxa"/>
            <w:tcBorders>
              <w:top w:val="single" w:sz="4" w:space="0" w:color="auto"/>
              <w:bottom w:val="nil"/>
            </w:tcBorders>
          </w:tcPr>
          <w:p w:rsidR="008876BF" w:rsidRPr="007C04E8" w:rsidRDefault="008876BF" w:rsidP="00C8156B">
            <w:pPr>
              <w:spacing w:before="116" w:after="44"/>
              <w:jc w:val="right"/>
            </w:pPr>
            <w:r w:rsidRPr="007C04E8">
              <w:t>$</w:t>
            </w:r>
            <w:r>
              <w:t>31</w:t>
            </w:r>
            <w:r w:rsidRPr="007C04E8">
              <w:t>,</w:t>
            </w:r>
            <w:r w:rsidR="00C8156B">
              <w:t>718</w:t>
            </w:r>
          </w:p>
        </w:tc>
      </w:tr>
      <w:tr w:rsidR="008876BF" w:rsidRPr="00A00D7A" w:rsidTr="008876BF">
        <w:trPr>
          <w:cantSplit/>
          <w:jc w:val="center"/>
        </w:trPr>
        <w:tc>
          <w:tcPr>
            <w:tcW w:w="3681" w:type="dxa"/>
          </w:tcPr>
          <w:p w:rsidR="008876BF" w:rsidRPr="00B74354" w:rsidRDefault="008876BF" w:rsidP="008876BF">
            <w:pPr>
              <w:spacing w:before="116" w:after="44"/>
            </w:pPr>
            <w:r w:rsidRPr="00B74354">
              <w:t>Rate of Return</w:t>
            </w:r>
          </w:p>
        </w:tc>
        <w:tc>
          <w:tcPr>
            <w:tcW w:w="881" w:type="dxa"/>
          </w:tcPr>
          <w:p w:rsidR="008876BF" w:rsidRPr="00B74354" w:rsidRDefault="008876BF" w:rsidP="008876BF">
            <w:pPr>
              <w:spacing w:before="116" w:after="44"/>
              <w:jc w:val="center"/>
            </w:pPr>
          </w:p>
        </w:tc>
        <w:tc>
          <w:tcPr>
            <w:tcW w:w="1141" w:type="dxa"/>
            <w:tcBorders>
              <w:top w:val="nil"/>
              <w:bottom w:val="single" w:sz="4" w:space="0" w:color="auto"/>
            </w:tcBorders>
          </w:tcPr>
          <w:p w:rsidR="008876BF" w:rsidRPr="007C04E8" w:rsidRDefault="008876BF" w:rsidP="008876BF">
            <w:pPr>
              <w:spacing w:before="116" w:after="44"/>
              <w:jc w:val="right"/>
            </w:pPr>
            <w:r w:rsidRPr="007C04E8">
              <w:t>x 8.</w:t>
            </w:r>
            <w:r>
              <w:t>53</w:t>
            </w:r>
            <w:r w:rsidRPr="007C04E8">
              <w:t>%</w:t>
            </w:r>
          </w:p>
        </w:tc>
      </w:tr>
      <w:tr w:rsidR="008876BF" w:rsidRPr="00A00D7A" w:rsidTr="008876BF">
        <w:trPr>
          <w:cantSplit/>
          <w:jc w:val="center"/>
        </w:trPr>
        <w:tc>
          <w:tcPr>
            <w:tcW w:w="3681" w:type="dxa"/>
          </w:tcPr>
          <w:p w:rsidR="008876BF" w:rsidRPr="00B74354" w:rsidRDefault="008876BF" w:rsidP="008876BF">
            <w:pPr>
              <w:spacing w:before="116" w:after="44"/>
            </w:pPr>
            <w:r w:rsidRPr="00B74354">
              <w:t>Return on Rate Base</w:t>
            </w:r>
          </w:p>
        </w:tc>
        <w:tc>
          <w:tcPr>
            <w:tcW w:w="881" w:type="dxa"/>
          </w:tcPr>
          <w:p w:rsidR="008876BF" w:rsidRPr="00B74354" w:rsidRDefault="008876BF" w:rsidP="008876BF">
            <w:pPr>
              <w:spacing w:before="116" w:after="44"/>
              <w:jc w:val="center"/>
            </w:pPr>
          </w:p>
        </w:tc>
        <w:tc>
          <w:tcPr>
            <w:tcW w:w="1141" w:type="dxa"/>
            <w:tcBorders>
              <w:top w:val="single" w:sz="4" w:space="0" w:color="auto"/>
            </w:tcBorders>
          </w:tcPr>
          <w:p w:rsidR="008876BF" w:rsidRPr="007C04E8" w:rsidRDefault="008876BF" w:rsidP="00C8156B">
            <w:pPr>
              <w:spacing w:before="116" w:after="44"/>
              <w:jc w:val="right"/>
            </w:pPr>
            <w:r w:rsidRPr="007C04E8">
              <w:t>$</w:t>
            </w:r>
            <w:r>
              <w:t>2</w:t>
            </w:r>
            <w:r w:rsidRPr="007C04E8">
              <w:t>,</w:t>
            </w:r>
            <w:r w:rsidR="00C8156B">
              <w:t>706</w:t>
            </w:r>
            <w:r w:rsidRPr="007C04E8">
              <w:t xml:space="preserve"> </w:t>
            </w:r>
          </w:p>
        </w:tc>
      </w:tr>
      <w:tr w:rsidR="008876BF" w:rsidRPr="00A00D7A" w:rsidTr="008876BF">
        <w:trPr>
          <w:cantSplit/>
          <w:jc w:val="center"/>
        </w:trPr>
        <w:tc>
          <w:tcPr>
            <w:tcW w:w="3681" w:type="dxa"/>
          </w:tcPr>
          <w:p w:rsidR="008876BF" w:rsidRPr="00B74354" w:rsidRDefault="008876BF" w:rsidP="008876BF">
            <w:pPr>
              <w:spacing w:before="116" w:after="44"/>
            </w:pPr>
            <w:r w:rsidRPr="00B74354">
              <w:t>Adjusted O&amp;M Expense</w:t>
            </w:r>
          </w:p>
        </w:tc>
        <w:tc>
          <w:tcPr>
            <w:tcW w:w="881" w:type="dxa"/>
          </w:tcPr>
          <w:p w:rsidR="008876BF" w:rsidRPr="00B74354" w:rsidRDefault="008876BF" w:rsidP="008876BF">
            <w:pPr>
              <w:spacing w:before="116" w:after="44"/>
              <w:jc w:val="center"/>
            </w:pPr>
          </w:p>
        </w:tc>
        <w:tc>
          <w:tcPr>
            <w:tcW w:w="1141" w:type="dxa"/>
          </w:tcPr>
          <w:p w:rsidR="008876BF" w:rsidRPr="007C04E8" w:rsidRDefault="008876BF" w:rsidP="00C8156B">
            <w:pPr>
              <w:spacing w:before="116" w:after="44"/>
              <w:jc w:val="right"/>
            </w:pPr>
            <w:r>
              <w:t>2</w:t>
            </w:r>
            <w:r w:rsidR="00C8156B">
              <w:t>5,015</w:t>
            </w:r>
          </w:p>
        </w:tc>
      </w:tr>
      <w:tr w:rsidR="008876BF" w:rsidRPr="00A00D7A" w:rsidTr="008876BF">
        <w:trPr>
          <w:cantSplit/>
          <w:jc w:val="center"/>
        </w:trPr>
        <w:tc>
          <w:tcPr>
            <w:tcW w:w="3681" w:type="dxa"/>
          </w:tcPr>
          <w:p w:rsidR="008876BF" w:rsidRPr="00B74354" w:rsidRDefault="008876BF" w:rsidP="008876BF">
            <w:pPr>
              <w:spacing w:before="116" w:after="44"/>
            </w:pPr>
            <w:r w:rsidRPr="00B74354">
              <w:t xml:space="preserve">Depreciation Expense (Net) </w:t>
            </w:r>
          </w:p>
        </w:tc>
        <w:tc>
          <w:tcPr>
            <w:tcW w:w="881" w:type="dxa"/>
          </w:tcPr>
          <w:p w:rsidR="008876BF" w:rsidRPr="00B74354" w:rsidRDefault="008876BF" w:rsidP="008876BF">
            <w:pPr>
              <w:spacing w:before="116" w:after="44"/>
              <w:jc w:val="center"/>
            </w:pPr>
          </w:p>
        </w:tc>
        <w:tc>
          <w:tcPr>
            <w:tcW w:w="1141" w:type="dxa"/>
          </w:tcPr>
          <w:p w:rsidR="008876BF" w:rsidRPr="007C04E8" w:rsidRDefault="008876BF" w:rsidP="008876BF">
            <w:pPr>
              <w:spacing w:before="116" w:after="44"/>
              <w:jc w:val="right"/>
            </w:pPr>
            <w:r>
              <w:t>1</w:t>
            </w:r>
            <w:r w:rsidRPr="007C04E8">
              <w:t>,</w:t>
            </w:r>
            <w:r>
              <w:t>624</w:t>
            </w:r>
          </w:p>
        </w:tc>
      </w:tr>
      <w:tr w:rsidR="008876BF" w:rsidRPr="00A00D7A" w:rsidTr="008876BF">
        <w:trPr>
          <w:cantSplit/>
          <w:jc w:val="center"/>
        </w:trPr>
        <w:tc>
          <w:tcPr>
            <w:tcW w:w="3681" w:type="dxa"/>
          </w:tcPr>
          <w:p w:rsidR="008876BF" w:rsidRPr="00B74354" w:rsidRDefault="008876BF" w:rsidP="008876BF">
            <w:pPr>
              <w:spacing w:before="116" w:after="44"/>
            </w:pPr>
            <w:r w:rsidRPr="00B74354">
              <w:t>Taxes Other Than Income</w:t>
            </w:r>
          </w:p>
        </w:tc>
        <w:tc>
          <w:tcPr>
            <w:tcW w:w="881" w:type="dxa"/>
          </w:tcPr>
          <w:p w:rsidR="008876BF" w:rsidRPr="00B74354" w:rsidRDefault="008876BF" w:rsidP="008876BF">
            <w:pPr>
              <w:spacing w:before="116" w:after="44"/>
              <w:jc w:val="center"/>
            </w:pPr>
          </w:p>
        </w:tc>
        <w:tc>
          <w:tcPr>
            <w:tcW w:w="1141" w:type="dxa"/>
            <w:tcBorders>
              <w:bottom w:val="nil"/>
            </w:tcBorders>
          </w:tcPr>
          <w:p w:rsidR="008876BF" w:rsidRPr="007C04E8" w:rsidRDefault="00C8156B" w:rsidP="008876BF">
            <w:pPr>
              <w:spacing w:before="116" w:after="44"/>
              <w:jc w:val="right"/>
            </w:pPr>
            <w:r>
              <w:t>1,757</w:t>
            </w:r>
          </w:p>
        </w:tc>
      </w:tr>
      <w:tr w:rsidR="008876BF" w:rsidRPr="00A00D7A" w:rsidTr="008876BF">
        <w:trPr>
          <w:cantSplit/>
          <w:jc w:val="center"/>
        </w:trPr>
        <w:tc>
          <w:tcPr>
            <w:tcW w:w="3681" w:type="dxa"/>
          </w:tcPr>
          <w:p w:rsidR="008876BF" w:rsidRPr="00B74354" w:rsidRDefault="008876BF" w:rsidP="008876BF">
            <w:pPr>
              <w:spacing w:before="116" w:after="44"/>
            </w:pPr>
            <w:r w:rsidRPr="00B74354">
              <w:t>Income Taxes</w:t>
            </w:r>
          </w:p>
        </w:tc>
        <w:tc>
          <w:tcPr>
            <w:tcW w:w="881" w:type="dxa"/>
          </w:tcPr>
          <w:p w:rsidR="008876BF" w:rsidRPr="00B74354" w:rsidRDefault="008876BF" w:rsidP="008876BF">
            <w:pPr>
              <w:spacing w:before="116" w:after="44"/>
              <w:jc w:val="center"/>
            </w:pPr>
          </w:p>
        </w:tc>
        <w:tc>
          <w:tcPr>
            <w:tcW w:w="1141" w:type="dxa"/>
            <w:tcBorders>
              <w:top w:val="nil"/>
              <w:bottom w:val="single" w:sz="4" w:space="0" w:color="auto"/>
            </w:tcBorders>
          </w:tcPr>
          <w:p w:rsidR="008876BF" w:rsidRPr="007C04E8" w:rsidRDefault="008876BF" w:rsidP="008876BF">
            <w:pPr>
              <w:spacing w:before="116" w:after="44"/>
              <w:jc w:val="right"/>
            </w:pPr>
            <w:r w:rsidRPr="007C04E8">
              <w:t>0</w:t>
            </w:r>
          </w:p>
        </w:tc>
      </w:tr>
      <w:tr w:rsidR="008876BF" w:rsidRPr="00A00D7A" w:rsidTr="008876BF">
        <w:trPr>
          <w:cantSplit/>
          <w:jc w:val="center"/>
        </w:trPr>
        <w:tc>
          <w:tcPr>
            <w:tcW w:w="3681" w:type="dxa"/>
          </w:tcPr>
          <w:p w:rsidR="008876BF" w:rsidRPr="00B74354" w:rsidRDefault="008876BF" w:rsidP="008876BF">
            <w:pPr>
              <w:spacing w:before="116" w:after="44"/>
            </w:pPr>
            <w:r w:rsidRPr="00B74354">
              <w:t xml:space="preserve">Revenue Requirement </w:t>
            </w:r>
          </w:p>
        </w:tc>
        <w:tc>
          <w:tcPr>
            <w:tcW w:w="881" w:type="dxa"/>
          </w:tcPr>
          <w:p w:rsidR="008876BF" w:rsidRPr="00B74354" w:rsidRDefault="008876BF" w:rsidP="008876BF">
            <w:pPr>
              <w:spacing w:before="116" w:after="44"/>
              <w:jc w:val="center"/>
            </w:pPr>
          </w:p>
        </w:tc>
        <w:tc>
          <w:tcPr>
            <w:tcW w:w="1141" w:type="dxa"/>
            <w:tcBorders>
              <w:top w:val="single" w:sz="4" w:space="0" w:color="auto"/>
              <w:bottom w:val="nil"/>
            </w:tcBorders>
          </w:tcPr>
          <w:p w:rsidR="008876BF" w:rsidRPr="007C04E8" w:rsidRDefault="008876BF" w:rsidP="00C8156B">
            <w:pPr>
              <w:spacing w:before="116" w:after="44"/>
              <w:jc w:val="right"/>
            </w:pPr>
            <w:r w:rsidRPr="007C04E8">
              <w:t>$</w:t>
            </w:r>
            <w:r w:rsidR="00C8156B">
              <w:t>31,101</w:t>
            </w:r>
          </w:p>
        </w:tc>
      </w:tr>
      <w:tr w:rsidR="008876BF" w:rsidRPr="00B74354" w:rsidTr="008876BF">
        <w:trPr>
          <w:cantSplit/>
          <w:jc w:val="center"/>
        </w:trPr>
        <w:tc>
          <w:tcPr>
            <w:tcW w:w="3681" w:type="dxa"/>
          </w:tcPr>
          <w:p w:rsidR="008876BF" w:rsidRPr="00B74354" w:rsidRDefault="008876BF" w:rsidP="008876BF">
            <w:pPr>
              <w:spacing w:before="116" w:after="44"/>
            </w:pPr>
            <w:r w:rsidRPr="00B74354">
              <w:t>Less Adjusted Test Year Revenues</w:t>
            </w:r>
          </w:p>
        </w:tc>
        <w:tc>
          <w:tcPr>
            <w:tcW w:w="881" w:type="dxa"/>
          </w:tcPr>
          <w:p w:rsidR="008876BF" w:rsidRPr="00B74354" w:rsidRDefault="008876BF" w:rsidP="008876BF">
            <w:pPr>
              <w:spacing w:before="116" w:after="44"/>
              <w:jc w:val="center"/>
            </w:pPr>
          </w:p>
        </w:tc>
        <w:tc>
          <w:tcPr>
            <w:tcW w:w="1141" w:type="dxa"/>
            <w:tcBorders>
              <w:top w:val="nil"/>
              <w:bottom w:val="single" w:sz="4" w:space="0" w:color="auto"/>
            </w:tcBorders>
          </w:tcPr>
          <w:p w:rsidR="008876BF" w:rsidRPr="007C04E8" w:rsidRDefault="008876BF" w:rsidP="008876BF">
            <w:pPr>
              <w:spacing w:before="116" w:after="44"/>
              <w:jc w:val="right"/>
            </w:pPr>
            <w:r>
              <w:t>28</w:t>
            </w:r>
            <w:r w:rsidRPr="007C04E8">
              <w:t>,</w:t>
            </w:r>
            <w:r>
              <w:t>143</w:t>
            </w:r>
          </w:p>
        </w:tc>
      </w:tr>
      <w:tr w:rsidR="008876BF" w:rsidRPr="00A00D7A" w:rsidTr="008876BF">
        <w:trPr>
          <w:cantSplit/>
          <w:jc w:val="center"/>
        </w:trPr>
        <w:tc>
          <w:tcPr>
            <w:tcW w:w="3681" w:type="dxa"/>
          </w:tcPr>
          <w:p w:rsidR="008876BF" w:rsidRPr="00B74354" w:rsidRDefault="008876BF" w:rsidP="008876BF">
            <w:pPr>
              <w:spacing w:before="116" w:after="44"/>
            </w:pPr>
            <w:r w:rsidRPr="00B74354">
              <w:t>Annual Increase</w:t>
            </w:r>
          </w:p>
        </w:tc>
        <w:tc>
          <w:tcPr>
            <w:tcW w:w="881" w:type="dxa"/>
          </w:tcPr>
          <w:p w:rsidR="008876BF" w:rsidRPr="00B74354" w:rsidRDefault="008876BF" w:rsidP="008876BF">
            <w:pPr>
              <w:spacing w:before="116" w:after="44"/>
              <w:jc w:val="center"/>
            </w:pPr>
          </w:p>
        </w:tc>
        <w:tc>
          <w:tcPr>
            <w:tcW w:w="1141" w:type="dxa"/>
            <w:tcBorders>
              <w:top w:val="single" w:sz="4" w:space="0" w:color="auto"/>
              <w:bottom w:val="double" w:sz="4" w:space="0" w:color="auto"/>
            </w:tcBorders>
          </w:tcPr>
          <w:p w:rsidR="008876BF" w:rsidRPr="007C04E8" w:rsidRDefault="008876BF" w:rsidP="00C8156B">
            <w:pPr>
              <w:spacing w:before="116" w:after="44"/>
              <w:jc w:val="right"/>
            </w:pPr>
            <w:r w:rsidRPr="007C04E8">
              <w:t>$</w:t>
            </w:r>
            <w:r w:rsidR="00C8156B">
              <w:t>2,958</w:t>
            </w:r>
          </w:p>
        </w:tc>
      </w:tr>
      <w:tr w:rsidR="008876BF" w:rsidRPr="00A00D7A" w:rsidTr="008876BF">
        <w:trPr>
          <w:cantSplit/>
          <w:trHeight w:val="372"/>
          <w:jc w:val="center"/>
        </w:trPr>
        <w:tc>
          <w:tcPr>
            <w:tcW w:w="3681" w:type="dxa"/>
          </w:tcPr>
          <w:p w:rsidR="008876BF" w:rsidRPr="00B74354" w:rsidRDefault="008876BF" w:rsidP="008876BF">
            <w:pPr>
              <w:spacing w:before="116" w:after="44"/>
            </w:pPr>
            <w:r w:rsidRPr="00B74354">
              <w:t>Percent Increase</w:t>
            </w:r>
          </w:p>
        </w:tc>
        <w:tc>
          <w:tcPr>
            <w:tcW w:w="881" w:type="dxa"/>
          </w:tcPr>
          <w:p w:rsidR="008876BF" w:rsidRPr="00B74354" w:rsidRDefault="008876BF" w:rsidP="008876BF">
            <w:pPr>
              <w:spacing w:before="116" w:after="44"/>
              <w:jc w:val="center"/>
            </w:pPr>
          </w:p>
        </w:tc>
        <w:tc>
          <w:tcPr>
            <w:tcW w:w="1141" w:type="dxa"/>
            <w:tcBorders>
              <w:top w:val="double" w:sz="4" w:space="0" w:color="auto"/>
              <w:bottom w:val="single" w:sz="4" w:space="0" w:color="auto"/>
            </w:tcBorders>
          </w:tcPr>
          <w:p w:rsidR="008876BF" w:rsidRPr="007C04E8" w:rsidRDefault="00C8156B" w:rsidP="008876BF">
            <w:pPr>
              <w:spacing w:before="116" w:after="44"/>
              <w:jc w:val="right"/>
            </w:pPr>
            <w:r>
              <w:t>10.51</w:t>
            </w:r>
            <w:r w:rsidR="008876BF" w:rsidRPr="007C04E8">
              <w:t>%</w:t>
            </w:r>
          </w:p>
        </w:tc>
      </w:tr>
    </w:tbl>
    <w:p w:rsidR="005C231F" w:rsidRDefault="005C231F" w:rsidP="008876BF">
      <w:pPr>
        <w:pStyle w:val="BodyText"/>
      </w:pPr>
    </w:p>
    <w:p w:rsidR="005C231F" w:rsidRDefault="005C231F">
      <w:pPr>
        <w:pStyle w:val="BodyText"/>
      </w:pPr>
    </w:p>
    <w:p w:rsidR="00BA4529" w:rsidRDefault="00BA4529">
      <w:pPr>
        <w:pStyle w:val="IssueHeading"/>
        <w:rPr>
          <w:vanish/>
          <w:specVanish/>
        </w:rPr>
      </w:pPr>
      <w:r w:rsidRPr="004C3641">
        <w:rPr>
          <w:b w:val="0"/>
          <w:i w:val="0"/>
        </w:rPr>
        <w:br w:type="page"/>
      </w:r>
      <w:r w:rsidRPr="004C3641">
        <w:lastRenderedPageBreak/>
        <w:t xml:space="preserve">Issue </w:t>
      </w:r>
      <w:r w:rsidR="00F852FE">
        <w:fldChar w:fldCharType="begin"/>
      </w:r>
      <w:r w:rsidR="00F852FE">
        <w:instrText xml:space="preserve"> SEQ Issue \* MERGEFORMAT </w:instrText>
      </w:r>
      <w:r w:rsidR="00F852FE">
        <w:fldChar w:fldCharType="separate"/>
      </w:r>
      <w:r w:rsidR="004E0887">
        <w:rPr>
          <w:noProof/>
        </w:rPr>
        <w:t>9</w:t>
      </w:r>
      <w:r w:rsidR="00F852FE">
        <w:rPr>
          <w:noProof/>
        </w:rPr>
        <w:fldChar w:fldCharType="end"/>
      </w:r>
      <w:r w:rsidRPr="004C3641">
        <w:t>:</w:t>
      </w:r>
      <w:r>
        <w:fldChar w:fldCharType="begin"/>
      </w:r>
      <w:r>
        <w:instrText xml:space="preserve"> TC "</w:instrText>
      </w:r>
      <w:bookmarkStart w:id="27" w:name="_Toc443485019"/>
      <w:r>
        <w:instrText xml:space="preserve">Issue </w:instrText>
      </w:r>
      <w:r>
        <w:fldChar w:fldCharType="begin"/>
      </w:r>
      <w:r>
        <w:instrText xml:space="preserve"> SEQ issue \c </w:instrText>
      </w:r>
      <w:r>
        <w:fldChar w:fldCharType="separate"/>
      </w:r>
      <w:r w:rsidR="004E0887">
        <w:rPr>
          <w:noProof/>
        </w:rPr>
        <w:instrText>9</w:instrText>
      </w:r>
      <w:r>
        <w:fldChar w:fldCharType="end"/>
      </w:r>
      <w:r>
        <w:instrText xml:space="preserve"> Appropriate Rate Structure</w:instrText>
      </w:r>
      <w:bookmarkEnd w:id="27"/>
      <w:r>
        <w:instrText xml:space="preserve">" \l 1 </w:instrText>
      </w:r>
      <w:r>
        <w:fldChar w:fldCharType="end"/>
      </w:r>
      <w:r>
        <w:t> </w:t>
      </w:r>
    </w:p>
    <w:p w:rsidR="0081418B" w:rsidRDefault="0081418B" w:rsidP="0081418B">
      <w:pPr>
        <w:jc w:val="both"/>
      </w:pPr>
      <w:r>
        <w:t>What are the appropriate rate structure and rates for Alturas?</w:t>
      </w:r>
    </w:p>
    <w:p w:rsidR="0081418B" w:rsidRDefault="0081418B" w:rsidP="0081418B">
      <w:pPr>
        <w:jc w:val="both"/>
      </w:pPr>
    </w:p>
    <w:p w:rsidR="007E52A8" w:rsidRDefault="0081418B" w:rsidP="007E52A8">
      <w:pPr>
        <w:jc w:val="both"/>
      </w:pPr>
      <w:r w:rsidRPr="00A77C3E">
        <w:rPr>
          <w:rFonts w:ascii="Arial" w:hAnsi="Arial" w:cs="Arial"/>
          <w:b/>
          <w:i/>
        </w:rPr>
        <w:t>Recommendation</w:t>
      </w:r>
      <w:r>
        <w:t xml:space="preserve">: </w:t>
      </w:r>
      <w:r w:rsidR="007E52A8">
        <w:t xml:space="preserve">The recommended rate structure and monthly water rates are shown on Schedule No. 4. </w:t>
      </w:r>
      <w:r w:rsidR="007E52A8" w:rsidRPr="00B74354">
        <w:t>The Utility should file revised tariff sheets and a proposed customer notice to reflect the Commission-approved rates</w:t>
      </w:r>
      <w:r w:rsidR="007E52A8">
        <w:t xml:space="preserve">. </w:t>
      </w:r>
      <w:r w:rsidR="007E52A8" w:rsidRPr="00B74354">
        <w:t>The approved rates should be effective for service rendered on or after the stamped approval date on the tariff sheet, pursuant to Rule 25-30.475(1), F.A.C</w:t>
      </w:r>
      <w:r w:rsidR="007E52A8">
        <w:t xml:space="preserve">. </w:t>
      </w:r>
      <w:r w:rsidR="007E52A8" w:rsidRPr="00B74354">
        <w:t>In addition, the approved rates should not be implemented until staff has approved the proposed customer notice and the notice has been received by the customers</w:t>
      </w:r>
      <w:r w:rsidR="007E52A8">
        <w:t xml:space="preserve">. </w:t>
      </w:r>
      <w:r w:rsidR="007E52A8" w:rsidRPr="00B74354">
        <w:t>The Utility should provide proof of the date notice was given within 10 days of the date of the notice.</w:t>
      </w:r>
      <w:r w:rsidR="007E52A8">
        <w:t xml:space="preserve"> (Bruce)</w:t>
      </w:r>
    </w:p>
    <w:p w:rsidR="007E52A8" w:rsidRDefault="007E52A8" w:rsidP="007E52A8">
      <w:pPr>
        <w:jc w:val="both"/>
        <w:rPr>
          <w:rFonts w:ascii="Arial" w:hAnsi="Arial" w:cs="Arial"/>
          <w:b/>
          <w:i/>
        </w:rPr>
      </w:pPr>
    </w:p>
    <w:p w:rsidR="007E52A8" w:rsidRDefault="007E52A8" w:rsidP="007E52A8">
      <w:pPr>
        <w:jc w:val="both"/>
      </w:pPr>
      <w:r w:rsidRPr="00A77C3E">
        <w:rPr>
          <w:rFonts w:ascii="Arial" w:hAnsi="Arial" w:cs="Arial"/>
          <w:b/>
          <w:i/>
        </w:rPr>
        <w:t>Staff Analysis</w:t>
      </w:r>
      <w:r>
        <w:t xml:space="preserve">:  Alturas is located in Polk County within the </w:t>
      </w:r>
      <w:r w:rsidR="008236E8">
        <w:t>SWFWMD</w:t>
      </w:r>
      <w:r>
        <w:t xml:space="preserve">. The Utility provides water service to approximately 51 residential customers and </w:t>
      </w:r>
      <w:r w:rsidR="008236E8">
        <w:t>10</w:t>
      </w:r>
      <w:r>
        <w:t xml:space="preserve"> general service customers. Approximately </w:t>
      </w:r>
      <w:r w:rsidR="008236E8">
        <w:t>5</w:t>
      </w:r>
      <w:r>
        <w:t xml:space="preserve"> percent of the residential customer bills during the test year had zero gallons, indicating a non-seasonal customer base. The average residential water demand is 5,455 gallons per month. Currently, the Utility’s water rate structure consists of a monthly base facility charge (BFC) and uniform gallonage charge for all customers. In the </w:t>
      </w:r>
      <w:r w:rsidR="008236E8">
        <w:t>U</w:t>
      </w:r>
      <w:r>
        <w:t>tility’s last rate case, a BFC allocation of 30 percent was approved.</w:t>
      </w:r>
    </w:p>
    <w:p w:rsidR="007E52A8" w:rsidRDefault="007E52A8" w:rsidP="007E52A8">
      <w:pPr>
        <w:jc w:val="both"/>
      </w:pPr>
    </w:p>
    <w:p w:rsidR="007E52A8" w:rsidRDefault="007E52A8" w:rsidP="007E52A8">
      <w:pPr>
        <w:jc w:val="both"/>
      </w:pPr>
      <w:r w:rsidRPr="00CF56EB">
        <w:t xml:space="preserve">Staff performed an analysis of the </w:t>
      </w:r>
      <w:r w:rsidR="008236E8">
        <w:t>U</w:t>
      </w:r>
      <w:r w:rsidRPr="00CF56EB">
        <w:t xml:space="preserve">tility’s billing data in order to evaluate </w:t>
      </w:r>
      <w:r>
        <w:t xml:space="preserve">the appropriate rate structure for the residential water customers. </w:t>
      </w:r>
      <w:r w:rsidRPr="00CF56EB">
        <w:t>The goal of the evaluation was to select the rate design parameters that:</w:t>
      </w:r>
      <w:r w:rsidRPr="009371AC">
        <w:t xml:space="preserve"> </w:t>
      </w:r>
      <w:r>
        <w:t>(</w:t>
      </w:r>
      <w:r w:rsidRPr="00CF56EB">
        <w:t xml:space="preserve">1) produce the recommended revenue requirement; </w:t>
      </w:r>
      <w:r>
        <w:t>(</w:t>
      </w:r>
      <w:r w:rsidRPr="00CF56EB">
        <w:t xml:space="preserve">2) equitably distribute cost recovery among the </w:t>
      </w:r>
      <w:r w:rsidR="008236E8">
        <w:t>u</w:t>
      </w:r>
      <w:r w:rsidRPr="00CF56EB">
        <w:t xml:space="preserve">tility’s customers; </w:t>
      </w:r>
      <w:r>
        <w:t>(</w:t>
      </w:r>
      <w:r w:rsidRPr="00CF56EB">
        <w:t xml:space="preserve">3) establish the appropriate non-discretionary usage threshold for restricting repression; and </w:t>
      </w:r>
      <w:r>
        <w:t>(</w:t>
      </w:r>
      <w:r w:rsidRPr="00CF56EB">
        <w:t>4) implement, where appropriate, water conserving rate structures consistent with Commission practice.</w:t>
      </w:r>
    </w:p>
    <w:p w:rsidR="008236E8" w:rsidRDefault="008236E8" w:rsidP="007E52A8">
      <w:pPr>
        <w:jc w:val="both"/>
      </w:pPr>
    </w:p>
    <w:p w:rsidR="007E52A8" w:rsidRDefault="007E52A8" w:rsidP="007E52A8">
      <w:pPr>
        <w:jc w:val="both"/>
      </w:pPr>
      <w:r w:rsidRPr="000F5659">
        <w:t xml:space="preserve">Staff evaluated whether it was appropriate to change the design of the </w:t>
      </w:r>
      <w:r w:rsidR="008236E8">
        <w:t>U</w:t>
      </w:r>
      <w:r w:rsidRPr="000F5659">
        <w:t>tility’s current rate structure. Based on staff’s analysis, establishing a non-discretionary usage threshold for restr</w:t>
      </w:r>
      <w:r>
        <w:t>icting repression results in a d</w:t>
      </w:r>
      <w:r w:rsidRPr="000F5659">
        <w:t xml:space="preserve">e </w:t>
      </w:r>
      <w:r>
        <w:t>minimi</w:t>
      </w:r>
      <w:r w:rsidRPr="000F5659">
        <w:t>s amount of repression to residential gallons for rate setting purposes. Therefore, staff recommends an across-the-board increase of 10.57</w:t>
      </w:r>
      <w:r>
        <w:t xml:space="preserve"> percent </w:t>
      </w:r>
      <w:r w:rsidRPr="000F5659">
        <w:t xml:space="preserve">to the existing rates and no repression adjustment to water consumption. </w:t>
      </w:r>
      <w:r>
        <w:t xml:space="preserve">The 10.57 percent increase reflects the recommended revenue increase excluding miscellaneous revenue. </w:t>
      </w:r>
      <w:r w:rsidRPr="000F5659">
        <w:t xml:space="preserve">Table </w:t>
      </w:r>
      <w:r>
        <w:t>9</w:t>
      </w:r>
      <w:r w:rsidRPr="000F5659">
        <w:t>-1, on the following page</w:t>
      </w:r>
      <w:r>
        <w:t>,</w:t>
      </w:r>
      <w:r w:rsidRPr="000F5659">
        <w:t xml:space="preserve"> contains staff</w:t>
      </w:r>
      <w:r>
        <w:t>s’</w:t>
      </w:r>
      <w:r w:rsidRPr="000F5659">
        <w:t xml:space="preserve"> recommended</w:t>
      </w:r>
      <w:r>
        <w:t xml:space="preserve"> rates as an</w:t>
      </w:r>
      <w:r w:rsidRPr="000F5659">
        <w:t xml:space="preserve"> across-the-board increase to the existing rate structure </w:t>
      </w:r>
      <w:r>
        <w:t xml:space="preserve">and rates </w:t>
      </w:r>
      <w:r w:rsidRPr="000F5659">
        <w:t>and two alternative rate structure</w:t>
      </w:r>
      <w:r>
        <w:t>s, which include</w:t>
      </w:r>
      <w:r w:rsidRPr="000F5659">
        <w:t xml:space="preserve"> a </w:t>
      </w:r>
      <w:r>
        <w:t xml:space="preserve">block for </w:t>
      </w:r>
      <w:r w:rsidRPr="000F5659">
        <w:t xml:space="preserve">non-discretionary </w:t>
      </w:r>
      <w:r>
        <w:t>usage</w:t>
      </w:r>
      <w:r w:rsidRPr="000F5659">
        <w:t xml:space="preserve">. </w:t>
      </w:r>
    </w:p>
    <w:p w:rsidR="008236E8" w:rsidRDefault="008236E8">
      <w:r>
        <w:br w:type="page"/>
      </w:r>
    </w:p>
    <w:p w:rsidR="007E52A8" w:rsidRPr="007E52A8" w:rsidRDefault="007E52A8" w:rsidP="007E52A8">
      <w:pPr>
        <w:jc w:val="center"/>
        <w:rPr>
          <w:rFonts w:ascii="Arial" w:hAnsi="Arial" w:cs="Arial"/>
          <w:b/>
        </w:rPr>
      </w:pPr>
      <w:r w:rsidRPr="007E52A8">
        <w:rPr>
          <w:rFonts w:ascii="Arial" w:hAnsi="Arial" w:cs="Arial"/>
          <w:b/>
        </w:rPr>
        <w:lastRenderedPageBreak/>
        <w:t>Table 9-1</w:t>
      </w:r>
    </w:p>
    <w:p w:rsidR="007E52A8" w:rsidRPr="007E52A8" w:rsidRDefault="007E52A8" w:rsidP="007E52A8">
      <w:pPr>
        <w:jc w:val="center"/>
        <w:rPr>
          <w:rFonts w:ascii="Arial" w:hAnsi="Arial" w:cs="Arial"/>
          <w:b/>
        </w:rPr>
      </w:pPr>
      <w:r w:rsidRPr="007E52A8">
        <w:rPr>
          <w:rFonts w:ascii="Arial" w:hAnsi="Arial" w:cs="Arial"/>
          <w:b/>
        </w:rPr>
        <w:t>Staff’s Recommended and Alternative Water Rate Structures and Rates</w:t>
      </w:r>
    </w:p>
    <w:tbl>
      <w:tblPr>
        <w:tblW w:w="9312" w:type="dxa"/>
        <w:jc w:val="center"/>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1218"/>
        <w:gridCol w:w="2457"/>
        <w:gridCol w:w="1683"/>
        <w:gridCol w:w="1683"/>
      </w:tblGrid>
      <w:tr w:rsidR="007E52A8" w:rsidRPr="007E52A8" w:rsidTr="008236E8">
        <w:trPr>
          <w:trHeight w:val="262"/>
          <w:jc w:val="center"/>
        </w:trPr>
        <w:tc>
          <w:tcPr>
            <w:tcW w:w="2271" w:type="dxa"/>
            <w:shd w:val="clear" w:color="000000" w:fill="auto"/>
            <w:noWrap/>
            <w:vAlign w:val="bottom"/>
            <w:hideMark/>
          </w:tcPr>
          <w:p w:rsidR="007E52A8" w:rsidRPr="007E52A8" w:rsidRDefault="007E52A8" w:rsidP="007E52A8">
            <w:pPr>
              <w:rPr>
                <w:b/>
                <w:bCs/>
                <w:sz w:val="20"/>
                <w:szCs w:val="20"/>
                <w:u w:val="single"/>
              </w:rPr>
            </w:pPr>
          </w:p>
        </w:tc>
        <w:tc>
          <w:tcPr>
            <w:tcW w:w="1218" w:type="dxa"/>
            <w:shd w:val="clear" w:color="000000" w:fill="auto"/>
            <w:noWrap/>
            <w:vAlign w:val="bottom"/>
          </w:tcPr>
          <w:p w:rsidR="007E52A8" w:rsidRPr="007E52A8" w:rsidRDefault="007E52A8" w:rsidP="007E52A8">
            <w:pPr>
              <w:jc w:val="center"/>
              <w:rPr>
                <w:b/>
                <w:bCs/>
                <w:color w:val="000000"/>
                <w:sz w:val="20"/>
                <w:szCs w:val="20"/>
              </w:rPr>
            </w:pPr>
            <w:r w:rsidRPr="007E52A8">
              <w:rPr>
                <w:b/>
                <w:bCs/>
                <w:color w:val="000000"/>
                <w:sz w:val="20"/>
                <w:szCs w:val="20"/>
              </w:rPr>
              <w:t>RATES AT</w:t>
            </w:r>
          </w:p>
        </w:tc>
        <w:tc>
          <w:tcPr>
            <w:tcW w:w="2457" w:type="dxa"/>
            <w:shd w:val="clear" w:color="000000" w:fill="auto"/>
            <w:noWrap/>
            <w:vAlign w:val="bottom"/>
          </w:tcPr>
          <w:p w:rsidR="007E52A8" w:rsidRPr="007E52A8" w:rsidRDefault="007E52A8" w:rsidP="007E52A8">
            <w:pPr>
              <w:jc w:val="center"/>
              <w:rPr>
                <w:b/>
                <w:bCs/>
                <w:color w:val="000000"/>
                <w:sz w:val="20"/>
                <w:szCs w:val="20"/>
              </w:rPr>
            </w:pPr>
            <w:r w:rsidRPr="007E52A8">
              <w:rPr>
                <w:b/>
                <w:bCs/>
                <w:color w:val="000000"/>
                <w:sz w:val="20"/>
                <w:szCs w:val="20"/>
              </w:rPr>
              <w:t>STAFF</w:t>
            </w:r>
          </w:p>
        </w:tc>
        <w:tc>
          <w:tcPr>
            <w:tcW w:w="1683" w:type="dxa"/>
            <w:shd w:val="clear" w:color="000000" w:fill="auto"/>
            <w:noWrap/>
            <w:vAlign w:val="bottom"/>
            <w:hideMark/>
          </w:tcPr>
          <w:p w:rsidR="007E52A8" w:rsidRPr="007E52A8" w:rsidRDefault="007E52A8" w:rsidP="007E52A8">
            <w:pPr>
              <w:jc w:val="center"/>
              <w:rPr>
                <w:b/>
                <w:bCs/>
                <w:color w:val="000000"/>
                <w:sz w:val="20"/>
                <w:szCs w:val="20"/>
              </w:rPr>
            </w:pPr>
            <w:r w:rsidRPr="007E52A8">
              <w:rPr>
                <w:b/>
                <w:bCs/>
                <w:color w:val="000000"/>
                <w:sz w:val="20"/>
                <w:szCs w:val="20"/>
              </w:rPr>
              <w:t>ALTERNATIVE</w:t>
            </w:r>
          </w:p>
        </w:tc>
        <w:tc>
          <w:tcPr>
            <w:tcW w:w="1683" w:type="dxa"/>
            <w:shd w:val="clear" w:color="000000" w:fill="auto"/>
            <w:noWrap/>
            <w:vAlign w:val="bottom"/>
            <w:hideMark/>
          </w:tcPr>
          <w:p w:rsidR="007E52A8" w:rsidRPr="007E52A8" w:rsidRDefault="007E52A8" w:rsidP="007E52A8">
            <w:pPr>
              <w:jc w:val="center"/>
              <w:rPr>
                <w:b/>
                <w:bCs/>
                <w:color w:val="000000"/>
                <w:sz w:val="20"/>
                <w:szCs w:val="20"/>
              </w:rPr>
            </w:pPr>
            <w:r w:rsidRPr="007E52A8">
              <w:rPr>
                <w:b/>
                <w:bCs/>
                <w:color w:val="000000"/>
                <w:sz w:val="20"/>
                <w:szCs w:val="20"/>
              </w:rPr>
              <w:t>ALTERNATIVE</w:t>
            </w:r>
          </w:p>
        </w:tc>
      </w:tr>
      <w:tr w:rsidR="007E52A8" w:rsidRPr="007E52A8" w:rsidTr="008236E8">
        <w:trPr>
          <w:trHeight w:val="275"/>
          <w:jc w:val="center"/>
        </w:trPr>
        <w:tc>
          <w:tcPr>
            <w:tcW w:w="2271" w:type="dxa"/>
            <w:shd w:val="clear" w:color="000000" w:fill="auto"/>
            <w:noWrap/>
            <w:vAlign w:val="bottom"/>
            <w:hideMark/>
          </w:tcPr>
          <w:p w:rsidR="007E52A8" w:rsidRPr="007E52A8" w:rsidRDefault="007E52A8" w:rsidP="007E52A8">
            <w:pPr>
              <w:rPr>
                <w:b/>
                <w:bCs/>
                <w:sz w:val="20"/>
                <w:szCs w:val="20"/>
                <w:u w:val="single"/>
              </w:rPr>
            </w:pPr>
          </w:p>
        </w:tc>
        <w:tc>
          <w:tcPr>
            <w:tcW w:w="1218" w:type="dxa"/>
            <w:shd w:val="clear" w:color="000000" w:fill="auto"/>
            <w:noWrap/>
            <w:vAlign w:val="bottom"/>
          </w:tcPr>
          <w:p w:rsidR="007E52A8" w:rsidRPr="007E52A8" w:rsidRDefault="007E52A8" w:rsidP="007E52A8">
            <w:pPr>
              <w:jc w:val="center"/>
              <w:rPr>
                <w:b/>
                <w:bCs/>
                <w:color w:val="000000"/>
                <w:sz w:val="20"/>
                <w:szCs w:val="20"/>
              </w:rPr>
            </w:pPr>
            <w:r w:rsidRPr="007E52A8">
              <w:rPr>
                <w:b/>
                <w:bCs/>
                <w:color w:val="000000"/>
                <w:sz w:val="20"/>
                <w:szCs w:val="20"/>
              </w:rPr>
              <w:t>TIME OF</w:t>
            </w:r>
          </w:p>
        </w:tc>
        <w:tc>
          <w:tcPr>
            <w:tcW w:w="2457" w:type="dxa"/>
            <w:shd w:val="clear" w:color="000000" w:fill="auto"/>
            <w:noWrap/>
            <w:vAlign w:val="bottom"/>
          </w:tcPr>
          <w:p w:rsidR="007E52A8" w:rsidRPr="007E52A8" w:rsidRDefault="007E52A8" w:rsidP="007E52A8">
            <w:pPr>
              <w:jc w:val="center"/>
              <w:rPr>
                <w:b/>
                <w:bCs/>
                <w:color w:val="000000"/>
                <w:sz w:val="20"/>
                <w:szCs w:val="20"/>
              </w:rPr>
            </w:pPr>
            <w:r w:rsidRPr="007E52A8">
              <w:rPr>
                <w:b/>
                <w:bCs/>
                <w:color w:val="000000"/>
                <w:sz w:val="20"/>
                <w:szCs w:val="20"/>
              </w:rPr>
              <w:t>RECOMMENDED</w:t>
            </w:r>
          </w:p>
        </w:tc>
        <w:tc>
          <w:tcPr>
            <w:tcW w:w="1683" w:type="dxa"/>
            <w:shd w:val="clear" w:color="000000" w:fill="auto"/>
            <w:noWrap/>
            <w:vAlign w:val="bottom"/>
            <w:hideMark/>
          </w:tcPr>
          <w:p w:rsidR="007E52A8" w:rsidRPr="007E52A8" w:rsidRDefault="007E52A8" w:rsidP="007E52A8">
            <w:pPr>
              <w:jc w:val="center"/>
              <w:rPr>
                <w:b/>
                <w:bCs/>
                <w:color w:val="000000"/>
                <w:sz w:val="20"/>
                <w:szCs w:val="20"/>
              </w:rPr>
            </w:pPr>
            <w:r w:rsidRPr="007E52A8">
              <w:rPr>
                <w:b/>
                <w:bCs/>
                <w:color w:val="000000"/>
                <w:sz w:val="20"/>
                <w:szCs w:val="20"/>
              </w:rPr>
              <w:t>I</w:t>
            </w:r>
          </w:p>
        </w:tc>
        <w:tc>
          <w:tcPr>
            <w:tcW w:w="1683" w:type="dxa"/>
            <w:shd w:val="clear" w:color="000000" w:fill="auto"/>
            <w:noWrap/>
            <w:vAlign w:val="bottom"/>
            <w:hideMark/>
          </w:tcPr>
          <w:p w:rsidR="007E52A8" w:rsidRPr="007E52A8" w:rsidRDefault="007E52A8" w:rsidP="007E52A8">
            <w:pPr>
              <w:jc w:val="center"/>
              <w:rPr>
                <w:b/>
                <w:bCs/>
                <w:color w:val="000000"/>
                <w:sz w:val="20"/>
                <w:szCs w:val="20"/>
              </w:rPr>
            </w:pPr>
            <w:r w:rsidRPr="007E52A8">
              <w:rPr>
                <w:b/>
                <w:bCs/>
                <w:color w:val="000000"/>
                <w:sz w:val="20"/>
                <w:szCs w:val="20"/>
              </w:rPr>
              <w:t>II</w:t>
            </w:r>
          </w:p>
        </w:tc>
      </w:tr>
      <w:tr w:rsidR="007E52A8" w:rsidRPr="007E52A8" w:rsidTr="008236E8">
        <w:trPr>
          <w:trHeight w:val="275"/>
          <w:jc w:val="center"/>
        </w:trPr>
        <w:tc>
          <w:tcPr>
            <w:tcW w:w="2271" w:type="dxa"/>
            <w:shd w:val="clear" w:color="000000" w:fill="auto"/>
            <w:noWrap/>
            <w:vAlign w:val="bottom"/>
          </w:tcPr>
          <w:p w:rsidR="007E52A8" w:rsidRPr="007E52A8" w:rsidRDefault="007E52A8" w:rsidP="007E52A8">
            <w:pPr>
              <w:rPr>
                <w:b/>
                <w:bCs/>
                <w:sz w:val="20"/>
                <w:szCs w:val="20"/>
                <w:u w:val="single"/>
              </w:rPr>
            </w:pPr>
          </w:p>
        </w:tc>
        <w:tc>
          <w:tcPr>
            <w:tcW w:w="1218" w:type="dxa"/>
            <w:shd w:val="clear" w:color="000000" w:fill="auto"/>
            <w:noWrap/>
            <w:vAlign w:val="bottom"/>
          </w:tcPr>
          <w:p w:rsidR="007E52A8" w:rsidRPr="007E52A8" w:rsidRDefault="007E52A8" w:rsidP="007E52A8">
            <w:pPr>
              <w:jc w:val="center"/>
              <w:rPr>
                <w:b/>
                <w:bCs/>
                <w:color w:val="000000"/>
                <w:sz w:val="20"/>
                <w:szCs w:val="20"/>
              </w:rPr>
            </w:pPr>
            <w:r w:rsidRPr="007E52A8">
              <w:rPr>
                <w:b/>
                <w:bCs/>
                <w:color w:val="000000"/>
                <w:sz w:val="20"/>
                <w:szCs w:val="20"/>
              </w:rPr>
              <w:t>FILING</w:t>
            </w:r>
          </w:p>
        </w:tc>
        <w:tc>
          <w:tcPr>
            <w:tcW w:w="2457" w:type="dxa"/>
            <w:shd w:val="clear" w:color="000000" w:fill="auto"/>
            <w:noWrap/>
            <w:vAlign w:val="bottom"/>
          </w:tcPr>
          <w:p w:rsidR="007E52A8" w:rsidRPr="007E52A8" w:rsidRDefault="007E52A8" w:rsidP="007E52A8">
            <w:pPr>
              <w:jc w:val="center"/>
              <w:rPr>
                <w:b/>
                <w:bCs/>
                <w:color w:val="000000"/>
                <w:sz w:val="20"/>
                <w:szCs w:val="20"/>
              </w:rPr>
            </w:pPr>
            <w:r w:rsidRPr="007E52A8">
              <w:rPr>
                <w:b/>
                <w:bCs/>
                <w:color w:val="000000"/>
                <w:sz w:val="20"/>
                <w:szCs w:val="20"/>
              </w:rPr>
              <w:t>ACROSS-THE-BOARD</w:t>
            </w:r>
          </w:p>
        </w:tc>
        <w:tc>
          <w:tcPr>
            <w:tcW w:w="1683" w:type="dxa"/>
            <w:shd w:val="clear" w:color="000000" w:fill="auto"/>
            <w:noWrap/>
            <w:vAlign w:val="bottom"/>
          </w:tcPr>
          <w:p w:rsidR="007E52A8" w:rsidRPr="007E52A8" w:rsidRDefault="007E52A8" w:rsidP="007E52A8">
            <w:pPr>
              <w:jc w:val="center"/>
              <w:rPr>
                <w:b/>
                <w:bCs/>
                <w:color w:val="000000"/>
                <w:sz w:val="20"/>
                <w:szCs w:val="20"/>
              </w:rPr>
            </w:pPr>
            <w:r w:rsidRPr="007E52A8">
              <w:rPr>
                <w:b/>
                <w:bCs/>
                <w:color w:val="000000"/>
                <w:sz w:val="20"/>
                <w:szCs w:val="20"/>
              </w:rPr>
              <w:t>(30% BFC)</w:t>
            </w:r>
          </w:p>
        </w:tc>
        <w:tc>
          <w:tcPr>
            <w:tcW w:w="1683" w:type="dxa"/>
            <w:shd w:val="clear" w:color="000000" w:fill="auto"/>
            <w:noWrap/>
            <w:vAlign w:val="bottom"/>
          </w:tcPr>
          <w:p w:rsidR="007E52A8" w:rsidRPr="007E52A8" w:rsidRDefault="007E52A8" w:rsidP="007E52A8">
            <w:pPr>
              <w:jc w:val="center"/>
              <w:rPr>
                <w:b/>
                <w:bCs/>
                <w:color w:val="000000"/>
                <w:sz w:val="20"/>
                <w:szCs w:val="20"/>
              </w:rPr>
            </w:pPr>
            <w:r w:rsidRPr="007E52A8">
              <w:rPr>
                <w:b/>
                <w:bCs/>
                <w:color w:val="000000"/>
                <w:sz w:val="20"/>
                <w:szCs w:val="20"/>
              </w:rPr>
              <w:t>(35% BFC)</w:t>
            </w:r>
          </w:p>
        </w:tc>
      </w:tr>
      <w:tr w:rsidR="007E52A8" w:rsidRPr="007E52A8" w:rsidTr="008236E8">
        <w:trPr>
          <w:trHeight w:val="262"/>
          <w:jc w:val="center"/>
        </w:trPr>
        <w:tc>
          <w:tcPr>
            <w:tcW w:w="2271" w:type="dxa"/>
            <w:shd w:val="clear" w:color="auto" w:fill="auto"/>
            <w:noWrap/>
            <w:vAlign w:val="bottom"/>
            <w:hideMark/>
          </w:tcPr>
          <w:p w:rsidR="007E52A8" w:rsidRPr="007E52A8" w:rsidRDefault="007E52A8" w:rsidP="007E52A8">
            <w:pPr>
              <w:rPr>
                <w:b/>
                <w:bCs/>
                <w:color w:val="000000"/>
                <w:sz w:val="20"/>
                <w:szCs w:val="20"/>
                <w:u w:val="single"/>
              </w:rPr>
            </w:pPr>
            <w:r w:rsidRPr="007E52A8">
              <w:rPr>
                <w:b/>
                <w:bCs/>
                <w:color w:val="000000"/>
                <w:sz w:val="20"/>
                <w:szCs w:val="20"/>
                <w:u w:val="single"/>
              </w:rPr>
              <w:t xml:space="preserve">Residential </w:t>
            </w:r>
          </w:p>
        </w:tc>
        <w:tc>
          <w:tcPr>
            <w:tcW w:w="1218" w:type="dxa"/>
            <w:shd w:val="clear" w:color="auto" w:fill="auto"/>
            <w:noWrap/>
            <w:vAlign w:val="bottom"/>
            <w:hideMark/>
          </w:tcPr>
          <w:p w:rsidR="007E52A8" w:rsidRPr="007E52A8" w:rsidRDefault="007E52A8" w:rsidP="007E52A8">
            <w:pPr>
              <w:jc w:val="center"/>
              <w:rPr>
                <w:b/>
                <w:bCs/>
                <w:color w:val="000000"/>
                <w:sz w:val="20"/>
                <w:szCs w:val="20"/>
              </w:rPr>
            </w:pPr>
          </w:p>
        </w:tc>
        <w:tc>
          <w:tcPr>
            <w:tcW w:w="2457" w:type="dxa"/>
            <w:shd w:val="clear" w:color="auto" w:fill="auto"/>
            <w:noWrap/>
            <w:vAlign w:val="bottom"/>
            <w:hideMark/>
          </w:tcPr>
          <w:p w:rsidR="007E52A8" w:rsidRPr="007E52A8" w:rsidRDefault="007E52A8" w:rsidP="007E52A8">
            <w:pPr>
              <w:jc w:val="center"/>
              <w:rPr>
                <w:b/>
                <w:bCs/>
                <w:color w:val="000000"/>
                <w:sz w:val="20"/>
                <w:szCs w:val="20"/>
              </w:rPr>
            </w:pPr>
            <w:r w:rsidRPr="007E52A8">
              <w:rPr>
                <w:b/>
                <w:bCs/>
                <w:color w:val="000000"/>
                <w:sz w:val="20"/>
                <w:szCs w:val="20"/>
              </w:rPr>
              <w:t> </w:t>
            </w:r>
          </w:p>
        </w:tc>
        <w:tc>
          <w:tcPr>
            <w:tcW w:w="1683" w:type="dxa"/>
            <w:shd w:val="clear" w:color="auto" w:fill="auto"/>
            <w:noWrap/>
            <w:vAlign w:val="bottom"/>
            <w:hideMark/>
          </w:tcPr>
          <w:p w:rsidR="007E52A8" w:rsidRPr="007E52A8" w:rsidRDefault="007E52A8" w:rsidP="007E52A8">
            <w:pPr>
              <w:jc w:val="center"/>
              <w:rPr>
                <w:b/>
                <w:bCs/>
                <w:color w:val="000000"/>
                <w:sz w:val="20"/>
                <w:szCs w:val="20"/>
              </w:rPr>
            </w:pPr>
          </w:p>
        </w:tc>
        <w:tc>
          <w:tcPr>
            <w:tcW w:w="1683" w:type="dxa"/>
            <w:shd w:val="clear" w:color="auto" w:fill="auto"/>
            <w:noWrap/>
            <w:vAlign w:val="bottom"/>
            <w:hideMark/>
          </w:tcPr>
          <w:p w:rsidR="007E52A8" w:rsidRPr="007E52A8" w:rsidRDefault="007E52A8" w:rsidP="007E52A8">
            <w:pPr>
              <w:jc w:val="center"/>
              <w:rPr>
                <w:b/>
                <w:bCs/>
                <w:color w:val="000000"/>
                <w:sz w:val="20"/>
                <w:szCs w:val="20"/>
              </w:rPr>
            </w:pPr>
            <w:r w:rsidRPr="007E52A8">
              <w:rPr>
                <w:b/>
                <w:bCs/>
                <w:color w:val="000000"/>
                <w:sz w:val="20"/>
                <w:szCs w:val="20"/>
              </w:rPr>
              <w:t> </w:t>
            </w:r>
          </w:p>
        </w:tc>
      </w:tr>
      <w:tr w:rsidR="007E52A8" w:rsidRPr="007E52A8" w:rsidTr="008236E8">
        <w:trPr>
          <w:trHeight w:val="262"/>
          <w:jc w:val="center"/>
        </w:trPr>
        <w:tc>
          <w:tcPr>
            <w:tcW w:w="2271" w:type="dxa"/>
            <w:shd w:val="clear" w:color="auto" w:fill="auto"/>
            <w:noWrap/>
            <w:vAlign w:val="bottom"/>
            <w:hideMark/>
          </w:tcPr>
          <w:p w:rsidR="007E52A8" w:rsidRPr="007E52A8" w:rsidRDefault="007E52A8" w:rsidP="007E52A8">
            <w:pPr>
              <w:rPr>
                <w:color w:val="000000"/>
                <w:sz w:val="20"/>
                <w:szCs w:val="20"/>
              </w:rPr>
            </w:pPr>
            <w:r w:rsidRPr="007E52A8">
              <w:rPr>
                <w:color w:val="000000"/>
                <w:sz w:val="20"/>
                <w:szCs w:val="20"/>
              </w:rPr>
              <w:t>5/8” x 3/4”  Meter Size</w:t>
            </w:r>
          </w:p>
        </w:tc>
        <w:tc>
          <w:tcPr>
            <w:tcW w:w="1218" w:type="dxa"/>
            <w:shd w:val="clear" w:color="auto" w:fill="auto"/>
            <w:noWrap/>
            <w:vAlign w:val="bottom"/>
            <w:hideMark/>
          </w:tcPr>
          <w:p w:rsidR="007E52A8" w:rsidRPr="007E52A8" w:rsidRDefault="007E52A8" w:rsidP="007E52A8">
            <w:pPr>
              <w:jc w:val="right"/>
              <w:rPr>
                <w:color w:val="000000"/>
                <w:sz w:val="20"/>
                <w:szCs w:val="20"/>
              </w:rPr>
            </w:pPr>
            <w:r w:rsidRPr="007E52A8">
              <w:rPr>
                <w:color w:val="000000"/>
                <w:sz w:val="20"/>
                <w:szCs w:val="20"/>
              </w:rPr>
              <w:t>$11.28</w:t>
            </w:r>
          </w:p>
        </w:tc>
        <w:tc>
          <w:tcPr>
            <w:tcW w:w="2457" w:type="dxa"/>
            <w:shd w:val="clear" w:color="auto" w:fill="auto"/>
            <w:noWrap/>
            <w:vAlign w:val="bottom"/>
            <w:hideMark/>
          </w:tcPr>
          <w:p w:rsidR="007E52A8" w:rsidRPr="007E52A8" w:rsidRDefault="007E52A8" w:rsidP="007E52A8">
            <w:pPr>
              <w:jc w:val="right"/>
              <w:rPr>
                <w:color w:val="000000"/>
                <w:sz w:val="20"/>
                <w:szCs w:val="20"/>
              </w:rPr>
            </w:pPr>
            <w:r w:rsidRPr="007E52A8">
              <w:rPr>
                <w:color w:val="000000"/>
                <w:sz w:val="20"/>
                <w:szCs w:val="20"/>
              </w:rPr>
              <w:t>$12.47</w:t>
            </w:r>
          </w:p>
        </w:tc>
        <w:tc>
          <w:tcPr>
            <w:tcW w:w="1683" w:type="dxa"/>
            <w:shd w:val="clear" w:color="auto" w:fill="auto"/>
            <w:noWrap/>
            <w:vAlign w:val="bottom"/>
            <w:hideMark/>
          </w:tcPr>
          <w:p w:rsidR="007E52A8" w:rsidRPr="007E52A8" w:rsidRDefault="007E52A8" w:rsidP="007E52A8">
            <w:pPr>
              <w:jc w:val="right"/>
              <w:rPr>
                <w:color w:val="000000"/>
                <w:sz w:val="20"/>
                <w:szCs w:val="20"/>
              </w:rPr>
            </w:pPr>
            <w:r w:rsidRPr="007E52A8">
              <w:rPr>
                <w:color w:val="000000"/>
                <w:sz w:val="20"/>
                <w:szCs w:val="20"/>
              </w:rPr>
              <w:t>$12.67</w:t>
            </w:r>
          </w:p>
        </w:tc>
        <w:tc>
          <w:tcPr>
            <w:tcW w:w="1683" w:type="dxa"/>
            <w:shd w:val="clear" w:color="auto" w:fill="auto"/>
            <w:noWrap/>
            <w:vAlign w:val="bottom"/>
            <w:hideMark/>
          </w:tcPr>
          <w:p w:rsidR="007E52A8" w:rsidRPr="007E52A8" w:rsidRDefault="007E52A8" w:rsidP="007E52A8">
            <w:pPr>
              <w:jc w:val="right"/>
              <w:rPr>
                <w:color w:val="000000"/>
                <w:sz w:val="20"/>
                <w:szCs w:val="20"/>
              </w:rPr>
            </w:pPr>
            <w:r w:rsidRPr="007E52A8">
              <w:rPr>
                <w:color w:val="000000"/>
                <w:sz w:val="20"/>
                <w:szCs w:val="20"/>
              </w:rPr>
              <w:t>$14.79</w:t>
            </w:r>
          </w:p>
        </w:tc>
      </w:tr>
      <w:tr w:rsidR="007E52A8" w:rsidRPr="007E52A8" w:rsidTr="008236E8">
        <w:trPr>
          <w:trHeight w:val="262"/>
          <w:jc w:val="center"/>
        </w:trPr>
        <w:tc>
          <w:tcPr>
            <w:tcW w:w="2271" w:type="dxa"/>
            <w:shd w:val="clear" w:color="auto" w:fill="auto"/>
            <w:noWrap/>
            <w:vAlign w:val="bottom"/>
            <w:hideMark/>
          </w:tcPr>
          <w:p w:rsidR="007E52A8" w:rsidRPr="007E52A8" w:rsidRDefault="007E52A8" w:rsidP="007E52A8">
            <w:pPr>
              <w:rPr>
                <w:color w:val="000000"/>
                <w:sz w:val="20"/>
                <w:szCs w:val="20"/>
              </w:rPr>
            </w:pPr>
            <w:r w:rsidRPr="007E52A8">
              <w:rPr>
                <w:color w:val="000000"/>
                <w:sz w:val="20"/>
                <w:szCs w:val="20"/>
              </w:rPr>
              <w:t> </w:t>
            </w:r>
          </w:p>
        </w:tc>
        <w:tc>
          <w:tcPr>
            <w:tcW w:w="1218" w:type="dxa"/>
            <w:shd w:val="clear" w:color="auto" w:fill="auto"/>
            <w:noWrap/>
            <w:vAlign w:val="bottom"/>
            <w:hideMark/>
          </w:tcPr>
          <w:p w:rsidR="007E52A8" w:rsidRPr="007E52A8" w:rsidRDefault="007E52A8" w:rsidP="007E52A8">
            <w:pPr>
              <w:jc w:val="right"/>
              <w:rPr>
                <w:color w:val="000000"/>
                <w:sz w:val="20"/>
                <w:szCs w:val="20"/>
              </w:rPr>
            </w:pPr>
          </w:p>
        </w:tc>
        <w:tc>
          <w:tcPr>
            <w:tcW w:w="2457" w:type="dxa"/>
            <w:shd w:val="clear" w:color="auto" w:fill="auto"/>
            <w:noWrap/>
            <w:vAlign w:val="bottom"/>
            <w:hideMark/>
          </w:tcPr>
          <w:p w:rsidR="007E52A8" w:rsidRPr="007E52A8" w:rsidRDefault="007E52A8" w:rsidP="007E52A8">
            <w:pPr>
              <w:jc w:val="right"/>
              <w:rPr>
                <w:color w:val="000000"/>
                <w:sz w:val="20"/>
                <w:szCs w:val="20"/>
              </w:rPr>
            </w:pPr>
          </w:p>
        </w:tc>
        <w:tc>
          <w:tcPr>
            <w:tcW w:w="1683" w:type="dxa"/>
            <w:shd w:val="clear" w:color="auto" w:fill="auto"/>
            <w:noWrap/>
            <w:vAlign w:val="bottom"/>
            <w:hideMark/>
          </w:tcPr>
          <w:p w:rsidR="007E52A8" w:rsidRPr="007E52A8" w:rsidRDefault="007E52A8" w:rsidP="007E52A8">
            <w:pPr>
              <w:jc w:val="right"/>
              <w:rPr>
                <w:color w:val="000000"/>
                <w:sz w:val="20"/>
                <w:szCs w:val="20"/>
              </w:rPr>
            </w:pPr>
          </w:p>
        </w:tc>
        <w:tc>
          <w:tcPr>
            <w:tcW w:w="1683" w:type="dxa"/>
            <w:shd w:val="clear" w:color="auto" w:fill="auto"/>
            <w:noWrap/>
            <w:vAlign w:val="bottom"/>
            <w:hideMark/>
          </w:tcPr>
          <w:p w:rsidR="007E52A8" w:rsidRPr="007E52A8" w:rsidRDefault="007E52A8" w:rsidP="007E52A8">
            <w:pPr>
              <w:jc w:val="right"/>
              <w:rPr>
                <w:color w:val="000000"/>
                <w:sz w:val="20"/>
                <w:szCs w:val="20"/>
              </w:rPr>
            </w:pPr>
            <w:r w:rsidRPr="007E52A8">
              <w:rPr>
                <w:color w:val="000000"/>
                <w:sz w:val="20"/>
                <w:szCs w:val="20"/>
              </w:rPr>
              <w:t> </w:t>
            </w:r>
          </w:p>
        </w:tc>
      </w:tr>
      <w:tr w:rsidR="007E52A8" w:rsidRPr="007E52A8" w:rsidTr="008236E8">
        <w:trPr>
          <w:trHeight w:val="262"/>
          <w:jc w:val="center"/>
        </w:trPr>
        <w:tc>
          <w:tcPr>
            <w:tcW w:w="2271" w:type="dxa"/>
            <w:shd w:val="clear" w:color="auto" w:fill="auto"/>
            <w:noWrap/>
            <w:vAlign w:val="bottom"/>
            <w:hideMark/>
          </w:tcPr>
          <w:p w:rsidR="007E52A8" w:rsidRPr="007E52A8" w:rsidRDefault="007E52A8" w:rsidP="007E52A8">
            <w:pPr>
              <w:rPr>
                <w:sz w:val="20"/>
                <w:szCs w:val="20"/>
              </w:rPr>
            </w:pPr>
            <w:r w:rsidRPr="007E52A8">
              <w:rPr>
                <w:sz w:val="20"/>
                <w:szCs w:val="20"/>
              </w:rPr>
              <w:t xml:space="preserve">Charge per 1,000 gallons  </w:t>
            </w:r>
          </w:p>
        </w:tc>
        <w:tc>
          <w:tcPr>
            <w:tcW w:w="1218" w:type="dxa"/>
            <w:shd w:val="clear" w:color="auto" w:fill="auto"/>
            <w:noWrap/>
            <w:vAlign w:val="bottom"/>
            <w:hideMark/>
          </w:tcPr>
          <w:p w:rsidR="007E52A8" w:rsidRPr="007E52A8" w:rsidRDefault="007E52A8" w:rsidP="007E52A8">
            <w:pPr>
              <w:jc w:val="right"/>
              <w:rPr>
                <w:color w:val="000000"/>
                <w:sz w:val="20"/>
                <w:szCs w:val="20"/>
              </w:rPr>
            </w:pPr>
          </w:p>
        </w:tc>
        <w:tc>
          <w:tcPr>
            <w:tcW w:w="2457" w:type="dxa"/>
            <w:shd w:val="clear" w:color="auto" w:fill="auto"/>
            <w:noWrap/>
            <w:vAlign w:val="bottom"/>
            <w:hideMark/>
          </w:tcPr>
          <w:p w:rsidR="007E52A8" w:rsidRPr="007E52A8" w:rsidRDefault="007E52A8" w:rsidP="007E52A8">
            <w:pPr>
              <w:jc w:val="right"/>
              <w:rPr>
                <w:color w:val="000000"/>
                <w:sz w:val="20"/>
                <w:szCs w:val="20"/>
              </w:rPr>
            </w:pPr>
          </w:p>
        </w:tc>
        <w:tc>
          <w:tcPr>
            <w:tcW w:w="1683" w:type="dxa"/>
            <w:shd w:val="clear" w:color="auto" w:fill="auto"/>
            <w:noWrap/>
            <w:vAlign w:val="bottom"/>
            <w:hideMark/>
          </w:tcPr>
          <w:p w:rsidR="007E52A8" w:rsidRPr="007E52A8" w:rsidRDefault="007E52A8" w:rsidP="007E52A8">
            <w:pPr>
              <w:jc w:val="right"/>
              <w:rPr>
                <w:color w:val="000000"/>
                <w:sz w:val="20"/>
                <w:szCs w:val="20"/>
              </w:rPr>
            </w:pPr>
          </w:p>
        </w:tc>
        <w:tc>
          <w:tcPr>
            <w:tcW w:w="1683" w:type="dxa"/>
            <w:shd w:val="clear" w:color="auto" w:fill="auto"/>
            <w:noWrap/>
            <w:vAlign w:val="bottom"/>
            <w:hideMark/>
          </w:tcPr>
          <w:p w:rsidR="007E52A8" w:rsidRPr="007E52A8" w:rsidRDefault="007E52A8" w:rsidP="007E52A8">
            <w:pPr>
              <w:jc w:val="right"/>
              <w:rPr>
                <w:color w:val="000000"/>
                <w:sz w:val="20"/>
                <w:szCs w:val="20"/>
              </w:rPr>
            </w:pPr>
          </w:p>
        </w:tc>
      </w:tr>
      <w:tr w:rsidR="007E52A8" w:rsidRPr="007E52A8" w:rsidTr="008236E8">
        <w:trPr>
          <w:trHeight w:val="262"/>
          <w:jc w:val="center"/>
        </w:trPr>
        <w:tc>
          <w:tcPr>
            <w:tcW w:w="2271" w:type="dxa"/>
            <w:shd w:val="clear" w:color="auto" w:fill="auto"/>
            <w:noWrap/>
            <w:vAlign w:val="bottom"/>
          </w:tcPr>
          <w:p w:rsidR="007E52A8" w:rsidRPr="007E52A8" w:rsidRDefault="007E52A8" w:rsidP="007E52A8">
            <w:pPr>
              <w:rPr>
                <w:sz w:val="20"/>
                <w:szCs w:val="20"/>
              </w:rPr>
            </w:pPr>
            <w:r w:rsidRPr="007E52A8">
              <w:rPr>
                <w:sz w:val="20"/>
                <w:szCs w:val="20"/>
              </w:rPr>
              <w:t>All Gallons</w:t>
            </w:r>
          </w:p>
        </w:tc>
        <w:tc>
          <w:tcPr>
            <w:tcW w:w="1218" w:type="dxa"/>
            <w:shd w:val="clear" w:color="auto" w:fill="auto"/>
            <w:noWrap/>
            <w:vAlign w:val="bottom"/>
          </w:tcPr>
          <w:p w:rsidR="007E52A8" w:rsidRPr="007E52A8" w:rsidRDefault="007E52A8" w:rsidP="007E52A8">
            <w:pPr>
              <w:jc w:val="right"/>
              <w:rPr>
                <w:color w:val="000000"/>
                <w:sz w:val="20"/>
                <w:szCs w:val="20"/>
              </w:rPr>
            </w:pPr>
            <w:r w:rsidRPr="007E52A8">
              <w:rPr>
                <w:color w:val="000000"/>
                <w:sz w:val="20"/>
                <w:szCs w:val="20"/>
              </w:rPr>
              <w:t>$5.09</w:t>
            </w:r>
          </w:p>
        </w:tc>
        <w:tc>
          <w:tcPr>
            <w:tcW w:w="2457" w:type="dxa"/>
            <w:shd w:val="clear" w:color="auto" w:fill="auto"/>
            <w:noWrap/>
            <w:vAlign w:val="bottom"/>
          </w:tcPr>
          <w:p w:rsidR="007E52A8" w:rsidRPr="007E52A8" w:rsidRDefault="007E52A8" w:rsidP="007E52A8">
            <w:pPr>
              <w:jc w:val="right"/>
              <w:rPr>
                <w:color w:val="000000"/>
                <w:sz w:val="20"/>
                <w:szCs w:val="20"/>
              </w:rPr>
            </w:pPr>
            <w:r w:rsidRPr="007E52A8">
              <w:rPr>
                <w:color w:val="000000"/>
                <w:sz w:val="20"/>
                <w:szCs w:val="20"/>
              </w:rPr>
              <w:t>$5.63</w:t>
            </w:r>
          </w:p>
        </w:tc>
        <w:tc>
          <w:tcPr>
            <w:tcW w:w="1683" w:type="dxa"/>
            <w:shd w:val="clear" w:color="auto" w:fill="auto"/>
            <w:noWrap/>
            <w:vAlign w:val="bottom"/>
          </w:tcPr>
          <w:p w:rsidR="007E52A8" w:rsidRPr="007E52A8" w:rsidRDefault="007E52A8" w:rsidP="007E52A8">
            <w:pPr>
              <w:jc w:val="right"/>
              <w:rPr>
                <w:color w:val="000000"/>
                <w:sz w:val="20"/>
                <w:szCs w:val="20"/>
              </w:rPr>
            </w:pPr>
          </w:p>
        </w:tc>
        <w:tc>
          <w:tcPr>
            <w:tcW w:w="1683" w:type="dxa"/>
            <w:shd w:val="clear" w:color="auto" w:fill="auto"/>
            <w:noWrap/>
            <w:vAlign w:val="bottom"/>
          </w:tcPr>
          <w:p w:rsidR="007E52A8" w:rsidRPr="007E52A8" w:rsidRDefault="007E52A8" w:rsidP="007E52A8">
            <w:pPr>
              <w:jc w:val="right"/>
              <w:rPr>
                <w:color w:val="000000"/>
                <w:sz w:val="20"/>
                <w:szCs w:val="20"/>
              </w:rPr>
            </w:pPr>
          </w:p>
        </w:tc>
      </w:tr>
      <w:tr w:rsidR="007E52A8" w:rsidRPr="007E52A8" w:rsidTr="008236E8">
        <w:trPr>
          <w:trHeight w:val="262"/>
          <w:jc w:val="center"/>
        </w:trPr>
        <w:tc>
          <w:tcPr>
            <w:tcW w:w="2271" w:type="dxa"/>
            <w:shd w:val="clear" w:color="auto" w:fill="auto"/>
            <w:noWrap/>
            <w:vAlign w:val="bottom"/>
          </w:tcPr>
          <w:p w:rsidR="007E52A8" w:rsidRPr="007E52A8" w:rsidRDefault="007E52A8" w:rsidP="007E52A8">
            <w:pPr>
              <w:rPr>
                <w:sz w:val="20"/>
                <w:szCs w:val="20"/>
              </w:rPr>
            </w:pPr>
            <w:r w:rsidRPr="007E52A8">
              <w:rPr>
                <w:sz w:val="20"/>
                <w:szCs w:val="20"/>
              </w:rPr>
              <w:t>0-5,000 gallons</w:t>
            </w:r>
          </w:p>
        </w:tc>
        <w:tc>
          <w:tcPr>
            <w:tcW w:w="1218" w:type="dxa"/>
            <w:shd w:val="clear" w:color="auto" w:fill="auto"/>
            <w:noWrap/>
            <w:vAlign w:val="bottom"/>
          </w:tcPr>
          <w:p w:rsidR="007E52A8" w:rsidRPr="007E52A8" w:rsidRDefault="007E52A8" w:rsidP="007E52A8">
            <w:pPr>
              <w:jc w:val="right"/>
              <w:rPr>
                <w:color w:val="000000"/>
                <w:sz w:val="20"/>
                <w:szCs w:val="20"/>
              </w:rPr>
            </w:pPr>
          </w:p>
        </w:tc>
        <w:tc>
          <w:tcPr>
            <w:tcW w:w="2457" w:type="dxa"/>
            <w:shd w:val="clear" w:color="auto" w:fill="auto"/>
            <w:noWrap/>
            <w:vAlign w:val="bottom"/>
          </w:tcPr>
          <w:p w:rsidR="007E52A8" w:rsidRPr="007E52A8" w:rsidRDefault="007E52A8" w:rsidP="007E52A8">
            <w:pPr>
              <w:jc w:val="right"/>
              <w:rPr>
                <w:color w:val="000000"/>
                <w:sz w:val="20"/>
                <w:szCs w:val="20"/>
              </w:rPr>
            </w:pPr>
          </w:p>
        </w:tc>
        <w:tc>
          <w:tcPr>
            <w:tcW w:w="1683" w:type="dxa"/>
            <w:shd w:val="clear" w:color="auto" w:fill="auto"/>
            <w:noWrap/>
            <w:vAlign w:val="bottom"/>
          </w:tcPr>
          <w:p w:rsidR="007E52A8" w:rsidRPr="007E52A8" w:rsidRDefault="007E52A8" w:rsidP="007E52A8">
            <w:pPr>
              <w:jc w:val="right"/>
              <w:rPr>
                <w:color w:val="000000"/>
                <w:sz w:val="20"/>
                <w:szCs w:val="20"/>
              </w:rPr>
            </w:pPr>
            <w:r w:rsidRPr="007E52A8">
              <w:rPr>
                <w:color w:val="000000"/>
                <w:sz w:val="20"/>
                <w:szCs w:val="20"/>
              </w:rPr>
              <w:t>$5.91</w:t>
            </w:r>
          </w:p>
        </w:tc>
        <w:tc>
          <w:tcPr>
            <w:tcW w:w="1683" w:type="dxa"/>
            <w:shd w:val="clear" w:color="auto" w:fill="auto"/>
            <w:noWrap/>
            <w:vAlign w:val="bottom"/>
          </w:tcPr>
          <w:p w:rsidR="007E52A8" w:rsidRPr="007E52A8" w:rsidRDefault="007E52A8" w:rsidP="007E52A8">
            <w:pPr>
              <w:jc w:val="right"/>
              <w:rPr>
                <w:color w:val="000000"/>
                <w:sz w:val="20"/>
                <w:szCs w:val="20"/>
              </w:rPr>
            </w:pPr>
            <w:r w:rsidRPr="007E52A8">
              <w:rPr>
                <w:color w:val="000000"/>
                <w:sz w:val="20"/>
                <w:szCs w:val="20"/>
              </w:rPr>
              <w:t>$5.49</w:t>
            </w:r>
          </w:p>
        </w:tc>
      </w:tr>
      <w:tr w:rsidR="007E52A8" w:rsidRPr="007E52A8" w:rsidTr="008236E8">
        <w:trPr>
          <w:trHeight w:val="262"/>
          <w:jc w:val="center"/>
        </w:trPr>
        <w:tc>
          <w:tcPr>
            <w:tcW w:w="2271" w:type="dxa"/>
            <w:shd w:val="clear" w:color="auto" w:fill="auto"/>
            <w:noWrap/>
            <w:vAlign w:val="bottom"/>
          </w:tcPr>
          <w:p w:rsidR="007E52A8" w:rsidRPr="007E52A8" w:rsidRDefault="007E52A8" w:rsidP="007E52A8">
            <w:pPr>
              <w:rPr>
                <w:sz w:val="20"/>
                <w:szCs w:val="20"/>
              </w:rPr>
            </w:pPr>
            <w:r w:rsidRPr="007E52A8">
              <w:rPr>
                <w:sz w:val="20"/>
                <w:szCs w:val="20"/>
              </w:rPr>
              <w:t>Over 5,000 gallons</w:t>
            </w:r>
          </w:p>
        </w:tc>
        <w:tc>
          <w:tcPr>
            <w:tcW w:w="1218" w:type="dxa"/>
            <w:shd w:val="clear" w:color="auto" w:fill="auto"/>
            <w:noWrap/>
            <w:vAlign w:val="bottom"/>
          </w:tcPr>
          <w:p w:rsidR="007E52A8" w:rsidRPr="007E52A8" w:rsidRDefault="007E52A8" w:rsidP="007E52A8">
            <w:pPr>
              <w:jc w:val="right"/>
              <w:rPr>
                <w:color w:val="000000"/>
                <w:sz w:val="20"/>
                <w:szCs w:val="20"/>
              </w:rPr>
            </w:pPr>
          </w:p>
        </w:tc>
        <w:tc>
          <w:tcPr>
            <w:tcW w:w="2457" w:type="dxa"/>
            <w:shd w:val="clear" w:color="auto" w:fill="auto"/>
            <w:noWrap/>
            <w:vAlign w:val="bottom"/>
          </w:tcPr>
          <w:p w:rsidR="007E52A8" w:rsidRPr="007E52A8" w:rsidRDefault="007E52A8" w:rsidP="007E52A8">
            <w:pPr>
              <w:jc w:val="right"/>
              <w:rPr>
                <w:color w:val="000000"/>
                <w:sz w:val="20"/>
                <w:szCs w:val="20"/>
              </w:rPr>
            </w:pPr>
          </w:p>
        </w:tc>
        <w:tc>
          <w:tcPr>
            <w:tcW w:w="1683" w:type="dxa"/>
            <w:shd w:val="clear" w:color="auto" w:fill="auto"/>
            <w:noWrap/>
            <w:vAlign w:val="bottom"/>
          </w:tcPr>
          <w:p w:rsidR="007E52A8" w:rsidRPr="007E52A8" w:rsidRDefault="007E52A8" w:rsidP="007E52A8">
            <w:pPr>
              <w:jc w:val="right"/>
              <w:rPr>
                <w:color w:val="000000"/>
                <w:sz w:val="20"/>
                <w:szCs w:val="20"/>
              </w:rPr>
            </w:pPr>
            <w:r w:rsidRPr="007E52A8">
              <w:rPr>
                <w:color w:val="000000"/>
                <w:sz w:val="20"/>
                <w:szCs w:val="20"/>
              </w:rPr>
              <w:t>$6.27</w:t>
            </w:r>
          </w:p>
        </w:tc>
        <w:tc>
          <w:tcPr>
            <w:tcW w:w="1683" w:type="dxa"/>
            <w:shd w:val="clear" w:color="auto" w:fill="auto"/>
            <w:noWrap/>
            <w:vAlign w:val="bottom"/>
          </w:tcPr>
          <w:p w:rsidR="007E52A8" w:rsidRPr="007E52A8" w:rsidRDefault="007E52A8" w:rsidP="007E52A8">
            <w:pPr>
              <w:jc w:val="right"/>
              <w:rPr>
                <w:color w:val="000000"/>
                <w:sz w:val="20"/>
                <w:szCs w:val="20"/>
              </w:rPr>
            </w:pPr>
            <w:r w:rsidRPr="007E52A8">
              <w:rPr>
                <w:color w:val="000000"/>
                <w:sz w:val="20"/>
                <w:szCs w:val="20"/>
              </w:rPr>
              <w:t>$5.74</w:t>
            </w:r>
          </w:p>
        </w:tc>
      </w:tr>
      <w:tr w:rsidR="007E52A8" w:rsidRPr="007E52A8" w:rsidTr="008236E8">
        <w:trPr>
          <w:trHeight w:val="262"/>
          <w:jc w:val="center"/>
        </w:trPr>
        <w:tc>
          <w:tcPr>
            <w:tcW w:w="2271" w:type="dxa"/>
            <w:shd w:val="clear" w:color="auto" w:fill="auto"/>
            <w:noWrap/>
            <w:vAlign w:val="bottom"/>
          </w:tcPr>
          <w:p w:rsidR="007E52A8" w:rsidRPr="007E52A8" w:rsidRDefault="007E52A8" w:rsidP="007E52A8">
            <w:pPr>
              <w:rPr>
                <w:sz w:val="20"/>
                <w:szCs w:val="20"/>
              </w:rPr>
            </w:pPr>
          </w:p>
        </w:tc>
        <w:tc>
          <w:tcPr>
            <w:tcW w:w="1218" w:type="dxa"/>
            <w:shd w:val="clear" w:color="auto" w:fill="auto"/>
            <w:noWrap/>
            <w:vAlign w:val="bottom"/>
          </w:tcPr>
          <w:p w:rsidR="007E52A8" w:rsidRPr="007E52A8" w:rsidRDefault="007E52A8" w:rsidP="007E52A8">
            <w:pPr>
              <w:jc w:val="right"/>
              <w:rPr>
                <w:sz w:val="20"/>
                <w:szCs w:val="20"/>
              </w:rPr>
            </w:pPr>
          </w:p>
        </w:tc>
        <w:tc>
          <w:tcPr>
            <w:tcW w:w="2457" w:type="dxa"/>
            <w:shd w:val="clear" w:color="auto" w:fill="auto"/>
            <w:noWrap/>
            <w:vAlign w:val="bottom"/>
          </w:tcPr>
          <w:p w:rsidR="007E52A8" w:rsidRPr="007E52A8" w:rsidRDefault="007E52A8" w:rsidP="007E52A8">
            <w:pPr>
              <w:jc w:val="right"/>
              <w:rPr>
                <w:color w:val="000000"/>
                <w:sz w:val="20"/>
                <w:szCs w:val="20"/>
              </w:rPr>
            </w:pPr>
          </w:p>
        </w:tc>
        <w:tc>
          <w:tcPr>
            <w:tcW w:w="1683" w:type="dxa"/>
            <w:shd w:val="clear" w:color="auto" w:fill="auto"/>
            <w:noWrap/>
            <w:vAlign w:val="bottom"/>
          </w:tcPr>
          <w:p w:rsidR="007E52A8" w:rsidRPr="007E52A8" w:rsidRDefault="007E52A8" w:rsidP="007E52A8">
            <w:pPr>
              <w:jc w:val="right"/>
              <w:rPr>
                <w:color w:val="000000"/>
                <w:sz w:val="20"/>
                <w:szCs w:val="20"/>
              </w:rPr>
            </w:pPr>
          </w:p>
        </w:tc>
        <w:tc>
          <w:tcPr>
            <w:tcW w:w="1683" w:type="dxa"/>
            <w:shd w:val="clear" w:color="auto" w:fill="auto"/>
            <w:noWrap/>
            <w:vAlign w:val="bottom"/>
          </w:tcPr>
          <w:p w:rsidR="007E52A8" w:rsidRPr="007E52A8" w:rsidRDefault="007E52A8" w:rsidP="007E52A8">
            <w:pPr>
              <w:jc w:val="right"/>
              <w:rPr>
                <w:color w:val="000000"/>
                <w:sz w:val="20"/>
                <w:szCs w:val="20"/>
              </w:rPr>
            </w:pPr>
          </w:p>
        </w:tc>
      </w:tr>
      <w:tr w:rsidR="007E52A8" w:rsidRPr="007E52A8" w:rsidTr="008236E8">
        <w:trPr>
          <w:trHeight w:val="262"/>
          <w:jc w:val="center"/>
        </w:trPr>
        <w:tc>
          <w:tcPr>
            <w:tcW w:w="5946" w:type="dxa"/>
            <w:gridSpan w:val="3"/>
            <w:shd w:val="clear" w:color="auto" w:fill="auto"/>
            <w:noWrap/>
            <w:vAlign w:val="bottom"/>
            <w:hideMark/>
          </w:tcPr>
          <w:p w:rsidR="007E52A8" w:rsidRPr="007E52A8" w:rsidRDefault="007E52A8" w:rsidP="007E52A8">
            <w:pPr>
              <w:rPr>
                <w:color w:val="000000"/>
                <w:sz w:val="20"/>
                <w:szCs w:val="20"/>
              </w:rPr>
            </w:pPr>
            <w:r w:rsidRPr="007E52A8">
              <w:rPr>
                <w:b/>
                <w:bCs/>
                <w:color w:val="000000"/>
                <w:sz w:val="20"/>
                <w:szCs w:val="20"/>
                <w:u w:val="single"/>
              </w:rPr>
              <w:t>Typical Residential 5/8" x 3/4" Meter Bill Comparison</w:t>
            </w:r>
          </w:p>
        </w:tc>
        <w:tc>
          <w:tcPr>
            <w:tcW w:w="1683" w:type="dxa"/>
            <w:shd w:val="clear" w:color="auto" w:fill="auto"/>
            <w:noWrap/>
            <w:vAlign w:val="bottom"/>
            <w:hideMark/>
          </w:tcPr>
          <w:p w:rsidR="007E52A8" w:rsidRPr="007E52A8" w:rsidRDefault="007E52A8" w:rsidP="007E52A8">
            <w:pPr>
              <w:jc w:val="right"/>
              <w:rPr>
                <w:color w:val="000000"/>
                <w:sz w:val="20"/>
                <w:szCs w:val="20"/>
              </w:rPr>
            </w:pPr>
          </w:p>
        </w:tc>
        <w:tc>
          <w:tcPr>
            <w:tcW w:w="1683" w:type="dxa"/>
            <w:shd w:val="clear" w:color="auto" w:fill="auto"/>
            <w:noWrap/>
            <w:vAlign w:val="bottom"/>
            <w:hideMark/>
          </w:tcPr>
          <w:p w:rsidR="007E52A8" w:rsidRPr="007E52A8" w:rsidRDefault="007E52A8" w:rsidP="007E52A8">
            <w:pPr>
              <w:jc w:val="right"/>
              <w:rPr>
                <w:color w:val="000000"/>
                <w:sz w:val="20"/>
                <w:szCs w:val="20"/>
              </w:rPr>
            </w:pPr>
            <w:r w:rsidRPr="007E52A8">
              <w:rPr>
                <w:color w:val="000000"/>
                <w:sz w:val="20"/>
                <w:szCs w:val="20"/>
              </w:rPr>
              <w:t> </w:t>
            </w:r>
          </w:p>
        </w:tc>
      </w:tr>
      <w:tr w:rsidR="007E52A8" w:rsidRPr="007E52A8" w:rsidTr="008236E8">
        <w:trPr>
          <w:trHeight w:val="262"/>
          <w:jc w:val="center"/>
        </w:trPr>
        <w:tc>
          <w:tcPr>
            <w:tcW w:w="2271" w:type="dxa"/>
            <w:shd w:val="clear" w:color="auto" w:fill="auto"/>
            <w:noWrap/>
            <w:vAlign w:val="bottom"/>
            <w:hideMark/>
          </w:tcPr>
          <w:p w:rsidR="007E52A8" w:rsidRPr="007E52A8" w:rsidRDefault="007E52A8" w:rsidP="007E52A8">
            <w:pPr>
              <w:rPr>
                <w:color w:val="000000"/>
                <w:sz w:val="20"/>
                <w:szCs w:val="20"/>
              </w:rPr>
            </w:pPr>
            <w:r w:rsidRPr="007E52A8">
              <w:rPr>
                <w:color w:val="000000"/>
                <w:sz w:val="20"/>
                <w:szCs w:val="20"/>
              </w:rPr>
              <w:t>3,000 Gallons</w:t>
            </w:r>
          </w:p>
        </w:tc>
        <w:tc>
          <w:tcPr>
            <w:tcW w:w="1218" w:type="dxa"/>
            <w:shd w:val="clear" w:color="auto" w:fill="auto"/>
            <w:noWrap/>
            <w:vAlign w:val="bottom"/>
            <w:hideMark/>
          </w:tcPr>
          <w:p w:rsidR="007E52A8" w:rsidRPr="007E52A8" w:rsidRDefault="007E52A8" w:rsidP="007E52A8">
            <w:pPr>
              <w:jc w:val="right"/>
              <w:rPr>
                <w:color w:val="000000"/>
                <w:sz w:val="20"/>
                <w:szCs w:val="20"/>
              </w:rPr>
            </w:pPr>
            <w:r w:rsidRPr="007E52A8">
              <w:rPr>
                <w:color w:val="000000"/>
                <w:sz w:val="20"/>
                <w:szCs w:val="20"/>
              </w:rPr>
              <w:t xml:space="preserve">$26.55 </w:t>
            </w:r>
          </w:p>
        </w:tc>
        <w:tc>
          <w:tcPr>
            <w:tcW w:w="2457" w:type="dxa"/>
            <w:shd w:val="clear" w:color="auto" w:fill="auto"/>
            <w:noWrap/>
            <w:vAlign w:val="bottom"/>
            <w:hideMark/>
          </w:tcPr>
          <w:p w:rsidR="007E52A8" w:rsidRPr="007E52A8" w:rsidRDefault="007E52A8" w:rsidP="007E52A8">
            <w:pPr>
              <w:jc w:val="right"/>
              <w:rPr>
                <w:color w:val="000000"/>
                <w:sz w:val="20"/>
                <w:szCs w:val="20"/>
              </w:rPr>
            </w:pPr>
            <w:r w:rsidRPr="007E52A8">
              <w:rPr>
                <w:color w:val="000000"/>
                <w:sz w:val="20"/>
                <w:szCs w:val="20"/>
              </w:rPr>
              <w:t>$29.36</w:t>
            </w:r>
          </w:p>
        </w:tc>
        <w:tc>
          <w:tcPr>
            <w:tcW w:w="1683" w:type="dxa"/>
            <w:shd w:val="clear" w:color="auto" w:fill="auto"/>
            <w:noWrap/>
            <w:vAlign w:val="bottom"/>
            <w:hideMark/>
          </w:tcPr>
          <w:p w:rsidR="007E52A8" w:rsidRPr="007E52A8" w:rsidRDefault="007E52A8" w:rsidP="007E52A8">
            <w:pPr>
              <w:jc w:val="right"/>
              <w:rPr>
                <w:color w:val="000000"/>
                <w:sz w:val="20"/>
                <w:szCs w:val="20"/>
              </w:rPr>
            </w:pPr>
            <w:r w:rsidRPr="007E52A8">
              <w:rPr>
                <w:color w:val="000000"/>
                <w:sz w:val="20"/>
                <w:szCs w:val="20"/>
              </w:rPr>
              <w:t xml:space="preserve">$30.40 </w:t>
            </w:r>
          </w:p>
        </w:tc>
        <w:tc>
          <w:tcPr>
            <w:tcW w:w="1683" w:type="dxa"/>
            <w:shd w:val="clear" w:color="auto" w:fill="auto"/>
            <w:noWrap/>
            <w:vAlign w:val="bottom"/>
            <w:hideMark/>
          </w:tcPr>
          <w:p w:rsidR="007E52A8" w:rsidRPr="007E52A8" w:rsidRDefault="007E52A8" w:rsidP="007E52A8">
            <w:pPr>
              <w:jc w:val="right"/>
              <w:rPr>
                <w:color w:val="000000"/>
                <w:sz w:val="20"/>
                <w:szCs w:val="20"/>
              </w:rPr>
            </w:pPr>
            <w:r w:rsidRPr="007E52A8">
              <w:rPr>
                <w:color w:val="000000"/>
                <w:sz w:val="20"/>
                <w:szCs w:val="20"/>
              </w:rPr>
              <w:t xml:space="preserve">$31.26 </w:t>
            </w:r>
          </w:p>
        </w:tc>
      </w:tr>
      <w:tr w:rsidR="007E52A8" w:rsidRPr="007E52A8" w:rsidTr="008236E8">
        <w:trPr>
          <w:trHeight w:val="262"/>
          <w:jc w:val="center"/>
        </w:trPr>
        <w:tc>
          <w:tcPr>
            <w:tcW w:w="2271" w:type="dxa"/>
            <w:shd w:val="clear" w:color="auto" w:fill="auto"/>
            <w:noWrap/>
            <w:vAlign w:val="bottom"/>
            <w:hideMark/>
          </w:tcPr>
          <w:p w:rsidR="007E52A8" w:rsidRPr="007E52A8" w:rsidRDefault="007E52A8" w:rsidP="007E52A8">
            <w:pPr>
              <w:rPr>
                <w:color w:val="000000"/>
                <w:sz w:val="20"/>
                <w:szCs w:val="20"/>
              </w:rPr>
            </w:pPr>
            <w:r w:rsidRPr="007E52A8">
              <w:rPr>
                <w:color w:val="000000"/>
                <w:sz w:val="20"/>
                <w:szCs w:val="20"/>
              </w:rPr>
              <w:t>5,000 Gallons</w:t>
            </w:r>
          </w:p>
        </w:tc>
        <w:tc>
          <w:tcPr>
            <w:tcW w:w="1218" w:type="dxa"/>
            <w:shd w:val="clear" w:color="auto" w:fill="auto"/>
            <w:noWrap/>
            <w:vAlign w:val="bottom"/>
            <w:hideMark/>
          </w:tcPr>
          <w:p w:rsidR="007E52A8" w:rsidRPr="007E52A8" w:rsidRDefault="007E52A8" w:rsidP="007E52A8">
            <w:pPr>
              <w:jc w:val="right"/>
              <w:rPr>
                <w:color w:val="000000"/>
                <w:sz w:val="20"/>
                <w:szCs w:val="20"/>
              </w:rPr>
            </w:pPr>
            <w:r w:rsidRPr="007E52A8">
              <w:rPr>
                <w:color w:val="000000"/>
                <w:sz w:val="20"/>
                <w:szCs w:val="20"/>
              </w:rPr>
              <w:t xml:space="preserve">$36.73 </w:t>
            </w:r>
          </w:p>
        </w:tc>
        <w:tc>
          <w:tcPr>
            <w:tcW w:w="2457" w:type="dxa"/>
            <w:shd w:val="clear" w:color="auto" w:fill="auto"/>
            <w:noWrap/>
            <w:vAlign w:val="bottom"/>
            <w:hideMark/>
          </w:tcPr>
          <w:p w:rsidR="007E52A8" w:rsidRPr="007E52A8" w:rsidRDefault="007E52A8" w:rsidP="007E52A8">
            <w:pPr>
              <w:jc w:val="right"/>
              <w:rPr>
                <w:color w:val="000000"/>
                <w:sz w:val="20"/>
                <w:szCs w:val="20"/>
              </w:rPr>
            </w:pPr>
            <w:r w:rsidRPr="007E52A8">
              <w:rPr>
                <w:color w:val="000000"/>
                <w:sz w:val="20"/>
                <w:szCs w:val="20"/>
              </w:rPr>
              <w:t>$40.62</w:t>
            </w:r>
          </w:p>
        </w:tc>
        <w:tc>
          <w:tcPr>
            <w:tcW w:w="1683" w:type="dxa"/>
            <w:shd w:val="clear" w:color="auto" w:fill="auto"/>
            <w:noWrap/>
            <w:vAlign w:val="bottom"/>
            <w:hideMark/>
          </w:tcPr>
          <w:p w:rsidR="007E52A8" w:rsidRPr="007E52A8" w:rsidRDefault="007E52A8" w:rsidP="007E52A8">
            <w:pPr>
              <w:jc w:val="right"/>
              <w:rPr>
                <w:color w:val="000000"/>
                <w:sz w:val="20"/>
                <w:szCs w:val="20"/>
              </w:rPr>
            </w:pPr>
            <w:r w:rsidRPr="007E52A8">
              <w:rPr>
                <w:color w:val="000000"/>
                <w:sz w:val="20"/>
                <w:szCs w:val="20"/>
              </w:rPr>
              <w:t xml:space="preserve">$42.22 </w:t>
            </w:r>
          </w:p>
        </w:tc>
        <w:tc>
          <w:tcPr>
            <w:tcW w:w="1683" w:type="dxa"/>
            <w:shd w:val="clear" w:color="auto" w:fill="auto"/>
            <w:noWrap/>
            <w:vAlign w:val="bottom"/>
            <w:hideMark/>
          </w:tcPr>
          <w:p w:rsidR="007E52A8" w:rsidRPr="007E52A8" w:rsidRDefault="007E52A8" w:rsidP="007E52A8">
            <w:pPr>
              <w:jc w:val="right"/>
              <w:rPr>
                <w:color w:val="000000"/>
                <w:sz w:val="20"/>
                <w:szCs w:val="20"/>
              </w:rPr>
            </w:pPr>
            <w:r w:rsidRPr="007E52A8">
              <w:rPr>
                <w:color w:val="000000"/>
                <w:sz w:val="20"/>
                <w:szCs w:val="20"/>
              </w:rPr>
              <w:t xml:space="preserve">$42.24 </w:t>
            </w:r>
          </w:p>
        </w:tc>
      </w:tr>
      <w:tr w:rsidR="007E52A8" w:rsidRPr="007E52A8" w:rsidTr="008236E8">
        <w:trPr>
          <w:trHeight w:val="262"/>
          <w:jc w:val="center"/>
        </w:trPr>
        <w:tc>
          <w:tcPr>
            <w:tcW w:w="2271" w:type="dxa"/>
            <w:shd w:val="clear" w:color="auto" w:fill="auto"/>
            <w:noWrap/>
            <w:vAlign w:val="bottom"/>
            <w:hideMark/>
          </w:tcPr>
          <w:p w:rsidR="007E52A8" w:rsidRPr="007E52A8" w:rsidRDefault="007E52A8" w:rsidP="007E52A8">
            <w:pPr>
              <w:rPr>
                <w:color w:val="000000"/>
                <w:sz w:val="20"/>
                <w:szCs w:val="20"/>
              </w:rPr>
            </w:pPr>
            <w:r w:rsidRPr="007E52A8">
              <w:rPr>
                <w:color w:val="000000"/>
                <w:sz w:val="20"/>
                <w:szCs w:val="20"/>
              </w:rPr>
              <w:t>10,000 Gallons</w:t>
            </w:r>
          </w:p>
        </w:tc>
        <w:tc>
          <w:tcPr>
            <w:tcW w:w="1218" w:type="dxa"/>
            <w:shd w:val="clear" w:color="auto" w:fill="auto"/>
            <w:noWrap/>
            <w:vAlign w:val="bottom"/>
            <w:hideMark/>
          </w:tcPr>
          <w:p w:rsidR="007E52A8" w:rsidRPr="007E52A8" w:rsidRDefault="007E52A8" w:rsidP="007E52A8">
            <w:pPr>
              <w:jc w:val="right"/>
              <w:rPr>
                <w:color w:val="000000"/>
                <w:sz w:val="20"/>
                <w:szCs w:val="20"/>
              </w:rPr>
            </w:pPr>
            <w:r w:rsidRPr="007E52A8">
              <w:rPr>
                <w:color w:val="000000"/>
                <w:sz w:val="20"/>
                <w:szCs w:val="20"/>
              </w:rPr>
              <w:t xml:space="preserve">$62.18 </w:t>
            </w:r>
          </w:p>
        </w:tc>
        <w:tc>
          <w:tcPr>
            <w:tcW w:w="2457" w:type="dxa"/>
            <w:shd w:val="clear" w:color="auto" w:fill="auto"/>
            <w:noWrap/>
            <w:vAlign w:val="bottom"/>
            <w:hideMark/>
          </w:tcPr>
          <w:p w:rsidR="007E52A8" w:rsidRPr="007E52A8" w:rsidRDefault="007E52A8" w:rsidP="007E52A8">
            <w:pPr>
              <w:jc w:val="right"/>
              <w:rPr>
                <w:color w:val="000000"/>
                <w:sz w:val="20"/>
                <w:szCs w:val="20"/>
              </w:rPr>
            </w:pPr>
            <w:r w:rsidRPr="007E52A8">
              <w:rPr>
                <w:color w:val="000000"/>
                <w:sz w:val="20"/>
                <w:szCs w:val="20"/>
              </w:rPr>
              <w:t xml:space="preserve">$68.77 </w:t>
            </w:r>
          </w:p>
        </w:tc>
        <w:tc>
          <w:tcPr>
            <w:tcW w:w="1683" w:type="dxa"/>
            <w:shd w:val="clear" w:color="auto" w:fill="auto"/>
            <w:noWrap/>
            <w:vAlign w:val="bottom"/>
            <w:hideMark/>
          </w:tcPr>
          <w:p w:rsidR="007E52A8" w:rsidRPr="007E52A8" w:rsidRDefault="007E52A8" w:rsidP="007E52A8">
            <w:pPr>
              <w:jc w:val="right"/>
              <w:rPr>
                <w:color w:val="000000"/>
                <w:sz w:val="20"/>
                <w:szCs w:val="20"/>
              </w:rPr>
            </w:pPr>
            <w:r w:rsidRPr="007E52A8">
              <w:rPr>
                <w:color w:val="000000"/>
                <w:sz w:val="20"/>
                <w:szCs w:val="20"/>
              </w:rPr>
              <w:t xml:space="preserve">$73.57 </w:t>
            </w:r>
          </w:p>
        </w:tc>
        <w:tc>
          <w:tcPr>
            <w:tcW w:w="1683" w:type="dxa"/>
            <w:shd w:val="clear" w:color="auto" w:fill="auto"/>
            <w:noWrap/>
            <w:vAlign w:val="bottom"/>
            <w:hideMark/>
          </w:tcPr>
          <w:p w:rsidR="007E52A8" w:rsidRPr="007E52A8" w:rsidRDefault="007E52A8" w:rsidP="007E52A8">
            <w:pPr>
              <w:jc w:val="right"/>
              <w:rPr>
                <w:color w:val="000000"/>
                <w:sz w:val="20"/>
                <w:szCs w:val="20"/>
              </w:rPr>
            </w:pPr>
            <w:r w:rsidRPr="007E52A8">
              <w:rPr>
                <w:color w:val="000000"/>
                <w:sz w:val="20"/>
                <w:szCs w:val="20"/>
              </w:rPr>
              <w:t xml:space="preserve">$70.94 </w:t>
            </w:r>
          </w:p>
        </w:tc>
      </w:tr>
      <w:tr w:rsidR="007E52A8" w:rsidRPr="007E52A8" w:rsidTr="008236E8">
        <w:trPr>
          <w:trHeight w:val="275"/>
          <w:jc w:val="center"/>
        </w:trPr>
        <w:tc>
          <w:tcPr>
            <w:tcW w:w="2271" w:type="dxa"/>
            <w:shd w:val="clear" w:color="auto" w:fill="auto"/>
            <w:noWrap/>
            <w:vAlign w:val="bottom"/>
            <w:hideMark/>
          </w:tcPr>
          <w:p w:rsidR="007E52A8" w:rsidRPr="007E52A8" w:rsidRDefault="007E52A8" w:rsidP="007E52A8">
            <w:pPr>
              <w:rPr>
                <w:color w:val="000000"/>
                <w:sz w:val="20"/>
                <w:szCs w:val="20"/>
              </w:rPr>
            </w:pPr>
            <w:r w:rsidRPr="007E52A8">
              <w:rPr>
                <w:color w:val="000000"/>
                <w:sz w:val="20"/>
                <w:szCs w:val="20"/>
              </w:rPr>
              <w:t> </w:t>
            </w:r>
          </w:p>
        </w:tc>
        <w:tc>
          <w:tcPr>
            <w:tcW w:w="1218" w:type="dxa"/>
            <w:shd w:val="clear" w:color="auto" w:fill="auto"/>
            <w:noWrap/>
            <w:vAlign w:val="bottom"/>
            <w:hideMark/>
          </w:tcPr>
          <w:p w:rsidR="007E52A8" w:rsidRPr="007E52A8" w:rsidRDefault="007E52A8" w:rsidP="007E52A8">
            <w:pPr>
              <w:jc w:val="right"/>
              <w:rPr>
                <w:color w:val="000000"/>
                <w:sz w:val="20"/>
                <w:szCs w:val="20"/>
              </w:rPr>
            </w:pPr>
            <w:r w:rsidRPr="007E52A8">
              <w:rPr>
                <w:color w:val="000000"/>
                <w:sz w:val="20"/>
                <w:szCs w:val="20"/>
              </w:rPr>
              <w:t> </w:t>
            </w:r>
          </w:p>
        </w:tc>
        <w:tc>
          <w:tcPr>
            <w:tcW w:w="2457" w:type="dxa"/>
            <w:shd w:val="clear" w:color="auto" w:fill="auto"/>
            <w:noWrap/>
            <w:vAlign w:val="bottom"/>
            <w:hideMark/>
          </w:tcPr>
          <w:p w:rsidR="007E52A8" w:rsidRPr="007E52A8" w:rsidRDefault="007E52A8" w:rsidP="007E52A8">
            <w:pPr>
              <w:jc w:val="right"/>
              <w:rPr>
                <w:color w:val="000000"/>
                <w:sz w:val="20"/>
                <w:szCs w:val="20"/>
              </w:rPr>
            </w:pPr>
            <w:r w:rsidRPr="007E52A8">
              <w:rPr>
                <w:color w:val="000000"/>
                <w:sz w:val="20"/>
                <w:szCs w:val="20"/>
              </w:rPr>
              <w:t> </w:t>
            </w:r>
          </w:p>
        </w:tc>
        <w:tc>
          <w:tcPr>
            <w:tcW w:w="1683" w:type="dxa"/>
            <w:shd w:val="clear" w:color="auto" w:fill="auto"/>
            <w:noWrap/>
            <w:vAlign w:val="bottom"/>
            <w:hideMark/>
          </w:tcPr>
          <w:p w:rsidR="007E52A8" w:rsidRPr="007E52A8" w:rsidRDefault="007E52A8" w:rsidP="007E52A8">
            <w:pPr>
              <w:jc w:val="right"/>
              <w:rPr>
                <w:color w:val="000000"/>
                <w:sz w:val="20"/>
                <w:szCs w:val="20"/>
              </w:rPr>
            </w:pPr>
            <w:r w:rsidRPr="007E52A8">
              <w:rPr>
                <w:color w:val="000000"/>
                <w:sz w:val="20"/>
                <w:szCs w:val="20"/>
              </w:rPr>
              <w:t> </w:t>
            </w:r>
          </w:p>
        </w:tc>
        <w:tc>
          <w:tcPr>
            <w:tcW w:w="1683" w:type="dxa"/>
            <w:shd w:val="clear" w:color="auto" w:fill="auto"/>
            <w:noWrap/>
            <w:vAlign w:val="bottom"/>
            <w:hideMark/>
          </w:tcPr>
          <w:p w:rsidR="007E52A8" w:rsidRPr="007E52A8" w:rsidRDefault="007E52A8" w:rsidP="007E52A8">
            <w:pPr>
              <w:jc w:val="right"/>
              <w:rPr>
                <w:color w:val="000000"/>
                <w:sz w:val="20"/>
                <w:szCs w:val="20"/>
              </w:rPr>
            </w:pPr>
            <w:r w:rsidRPr="007E52A8">
              <w:rPr>
                <w:color w:val="000000"/>
                <w:sz w:val="20"/>
                <w:szCs w:val="20"/>
              </w:rPr>
              <w:t> </w:t>
            </w:r>
          </w:p>
        </w:tc>
      </w:tr>
    </w:tbl>
    <w:p w:rsidR="007E52A8" w:rsidRPr="007E52A8" w:rsidRDefault="007E52A8" w:rsidP="007E52A8">
      <w:r w:rsidRPr="007E52A8">
        <w:t>Source: Current tariff and staff’s calculations</w:t>
      </w:r>
    </w:p>
    <w:p w:rsidR="007E52A8" w:rsidRPr="007E52A8" w:rsidRDefault="007E52A8" w:rsidP="007E52A8">
      <w:pPr>
        <w:rPr>
          <w:rFonts w:ascii="Arial" w:hAnsi="Arial" w:cs="Arial"/>
          <w:b/>
        </w:rPr>
      </w:pPr>
    </w:p>
    <w:p w:rsidR="007E52A8" w:rsidRPr="007E52A8" w:rsidRDefault="007E52A8" w:rsidP="007E52A8">
      <w:pPr>
        <w:rPr>
          <w:rFonts w:ascii="Arial" w:hAnsi="Arial" w:cs="Arial"/>
          <w:b/>
        </w:rPr>
      </w:pPr>
      <w:r w:rsidRPr="007E52A8">
        <w:rPr>
          <w:rFonts w:ascii="Arial" w:hAnsi="Arial" w:cs="Arial"/>
          <w:b/>
        </w:rPr>
        <w:t>Summary</w:t>
      </w:r>
    </w:p>
    <w:p w:rsidR="00BA4529" w:rsidRDefault="007E52A8" w:rsidP="007E52A8">
      <w:pPr>
        <w:pStyle w:val="IssueHeading"/>
        <w:rPr>
          <w:vanish/>
          <w:specVanish/>
        </w:rPr>
      </w:pPr>
      <w:r w:rsidRPr="007E52A8">
        <w:rPr>
          <w:rFonts w:ascii="Times New Roman" w:hAnsi="Times New Roman" w:cs="Times New Roman"/>
          <w:b w:val="0"/>
          <w:bCs w:val="0"/>
          <w:i w:val="0"/>
          <w:kern w:val="0"/>
          <w:szCs w:val="24"/>
        </w:rPr>
        <w:t xml:space="preserve">The recommended rate structures and monthly water rates are shown on Schedule No. 4. The utility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The </w:t>
      </w:r>
      <w:r w:rsidR="008236E8">
        <w:rPr>
          <w:rFonts w:ascii="Times New Roman" w:hAnsi="Times New Roman" w:cs="Times New Roman"/>
          <w:b w:val="0"/>
          <w:bCs w:val="0"/>
          <w:i w:val="0"/>
          <w:kern w:val="0"/>
          <w:szCs w:val="24"/>
        </w:rPr>
        <w:t>U</w:t>
      </w:r>
      <w:r w:rsidRPr="007E52A8">
        <w:rPr>
          <w:rFonts w:ascii="Times New Roman" w:hAnsi="Times New Roman" w:cs="Times New Roman"/>
          <w:b w:val="0"/>
          <w:bCs w:val="0"/>
          <w:i w:val="0"/>
          <w:kern w:val="0"/>
          <w:szCs w:val="24"/>
        </w:rPr>
        <w:t xml:space="preserve">tility should provide proof of the date notice was given within 10 days of the date of the notice. </w:t>
      </w:r>
      <w:r w:rsidR="00BA4529" w:rsidRPr="004C3641">
        <w:rPr>
          <w:b w:val="0"/>
          <w:i w:val="0"/>
        </w:rPr>
        <w:br w:type="page"/>
      </w:r>
      <w:r w:rsidR="00BA4529" w:rsidRPr="004C3641">
        <w:lastRenderedPageBreak/>
        <w:t xml:space="preserve">Issue </w:t>
      </w:r>
      <w:r w:rsidR="00F852FE">
        <w:fldChar w:fldCharType="begin"/>
      </w:r>
      <w:r w:rsidR="00F852FE">
        <w:instrText xml:space="preserve"> SEQ Issue \* MERGEFORMAT </w:instrText>
      </w:r>
      <w:r w:rsidR="00F852FE">
        <w:fldChar w:fldCharType="separate"/>
      </w:r>
      <w:r w:rsidR="004E0887">
        <w:rPr>
          <w:noProof/>
        </w:rPr>
        <w:t>10</w:t>
      </w:r>
      <w:r w:rsidR="00F852FE">
        <w:rPr>
          <w:noProof/>
        </w:rPr>
        <w:fldChar w:fldCharType="end"/>
      </w:r>
      <w:r w:rsidR="00BA4529" w:rsidRPr="004C3641">
        <w:t>:</w:t>
      </w:r>
      <w:r w:rsidR="00BA4529">
        <w:fldChar w:fldCharType="begin"/>
      </w:r>
      <w:r w:rsidR="00BA4529">
        <w:instrText xml:space="preserve"> TC "</w:instrText>
      </w:r>
      <w:bookmarkStart w:id="28" w:name="_Toc443485020"/>
      <w:r w:rsidR="00BA4529">
        <w:instrText xml:space="preserve">Issue </w:instrText>
      </w:r>
      <w:r w:rsidR="00BA4529">
        <w:fldChar w:fldCharType="begin"/>
      </w:r>
      <w:r w:rsidR="00BA4529">
        <w:instrText xml:space="preserve"> SEQ issue \c </w:instrText>
      </w:r>
      <w:r w:rsidR="00BA4529">
        <w:fldChar w:fldCharType="separate"/>
      </w:r>
      <w:r w:rsidR="004E0887">
        <w:rPr>
          <w:noProof/>
        </w:rPr>
        <w:instrText>10</w:instrText>
      </w:r>
      <w:r w:rsidR="00BA4529">
        <w:fldChar w:fldCharType="end"/>
      </w:r>
      <w:r w:rsidR="00BA4529">
        <w:instrText xml:space="preserve"> </w:instrText>
      </w:r>
      <w:r w:rsidR="0098003B">
        <w:instrText>Four</w:instrText>
      </w:r>
      <w:r w:rsidR="001668C1">
        <w:instrText>-</w:instrText>
      </w:r>
      <w:r w:rsidR="0098003B">
        <w:instrText xml:space="preserve">Year </w:instrText>
      </w:r>
      <w:r w:rsidR="00BA4529">
        <w:instrText>Rate Reduction</w:instrText>
      </w:r>
      <w:r w:rsidR="0006474F">
        <w:instrText xml:space="preserve"> – Current SARC</w:instrText>
      </w:r>
      <w:bookmarkEnd w:id="28"/>
      <w:r w:rsidR="00BA4529">
        <w:instrText xml:space="preserve">" \l 1 </w:instrText>
      </w:r>
      <w:r w:rsidR="00BA4529">
        <w:fldChar w:fldCharType="end"/>
      </w:r>
      <w:r w:rsidR="00BA4529">
        <w:t> </w:t>
      </w:r>
    </w:p>
    <w:p w:rsidR="008876BF" w:rsidRDefault="008876BF" w:rsidP="008876BF">
      <w:pPr>
        <w:pStyle w:val="BodyText"/>
      </w:pPr>
      <w:r w:rsidRPr="001677BB">
        <w:t>What is the approp</w:t>
      </w:r>
      <w:r w:rsidRPr="002856FD">
        <w:t>riate amount by which rates should be reduced four years after the published effective date to reflect the removal of the amortized rate case expense as required by Section 367.0816, F.S.?</w:t>
      </w:r>
    </w:p>
    <w:p w:rsidR="008876BF" w:rsidRPr="004C3641" w:rsidRDefault="008876BF" w:rsidP="008876BF">
      <w:pPr>
        <w:pStyle w:val="IssueSubsectionHeading"/>
        <w:rPr>
          <w:vanish/>
          <w:specVanish/>
        </w:rPr>
      </w:pPr>
      <w:r w:rsidRPr="004C3641">
        <w:t>Recommendation: </w:t>
      </w:r>
    </w:p>
    <w:p w:rsidR="008876BF" w:rsidRDefault="008876BF" w:rsidP="008876BF">
      <w:pPr>
        <w:pStyle w:val="BodyText"/>
      </w:pPr>
      <w:r w:rsidRPr="00325F75">
        <w:t>The water rates should be reduced as shown on Schedule No. 4, to remove rate case expense grossed-up for RAFs and amortized over a four-year period</w:t>
      </w:r>
      <w:r>
        <w:t xml:space="preserve">. </w:t>
      </w:r>
      <w:r w:rsidRPr="00325F75">
        <w:t>The decrease in rates should become effective immediately following the expiration of the four-year rate case expense recovery period, pursuant to Section 367.0816, F.S</w:t>
      </w:r>
      <w:r>
        <w:t xml:space="preserve">. </w:t>
      </w:r>
      <w:r w:rsidRPr="00325F75">
        <w:t>The Utility should be required to file revised tariffs and a proposed customer notice setting forth the lower rates and the reason for the reduction no later than one month prior to the actual date of the required rate reduction</w:t>
      </w:r>
      <w:r>
        <w:t xml:space="preserve">. </w:t>
      </w:r>
      <w:r w:rsidRPr="00325F75">
        <w:t xml:space="preserve">If </w:t>
      </w:r>
      <w:r>
        <w:t xml:space="preserve">Alturas </w:t>
      </w:r>
      <w:r w:rsidRPr="00325F75">
        <w:t>files this reduction in conjunction with a price index or pass-through rate adjustment, separate data should be filed for the price index and/or pass-through increase or decrease and the reduction in the rates due to the amortized rate case expense.</w:t>
      </w:r>
      <w:r w:rsidRPr="00F04DBD">
        <w:t xml:space="preserve"> </w:t>
      </w:r>
      <w:r w:rsidRPr="004902A8">
        <w:t>(Bruce, Golden, Vogel)</w:t>
      </w:r>
      <w:r>
        <w:t xml:space="preserve"> </w:t>
      </w:r>
    </w:p>
    <w:p w:rsidR="008876BF" w:rsidRPr="004C3641" w:rsidRDefault="008876BF" w:rsidP="008876BF">
      <w:pPr>
        <w:pStyle w:val="IssueSubsectionHeading"/>
        <w:rPr>
          <w:vanish/>
          <w:specVanish/>
        </w:rPr>
      </w:pPr>
      <w:r w:rsidRPr="004C3641">
        <w:t>Staff Analysis: </w:t>
      </w:r>
    </w:p>
    <w:p w:rsidR="008876BF" w:rsidRDefault="008876BF" w:rsidP="008876BF">
      <w:pPr>
        <w:jc w:val="both"/>
      </w:pPr>
      <w:r>
        <w:t> </w:t>
      </w:r>
      <w:r w:rsidRPr="00325F75">
        <w:t>Section 367.0816, F.S., requires that the rates be reduced immediately following the expiration of the four-year period by the amount of the rate case expense previously included in the rates</w:t>
      </w:r>
      <w:r>
        <w:t xml:space="preserve">. </w:t>
      </w:r>
      <w:r w:rsidRPr="00325F75">
        <w:t>The reduction will reflect the removal of revenues associated with the amortization of rate case expense, the associated return on working capital, and the gross-up for RAFs which is $</w:t>
      </w:r>
      <w:r>
        <w:t xml:space="preserve">561. </w:t>
      </w:r>
      <w:r w:rsidRPr="00325F75">
        <w:t>Using the Utility</w:t>
      </w:r>
      <w:r w:rsidR="00A74818">
        <w:t>’</w:t>
      </w:r>
      <w:r w:rsidRPr="00325F75">
        <w:t>s current revenues, expenses, and customer base, the reduction in revenues will result in the rate decrease shown on Schedule No. 4.</w:t>
      </w:r>
    </w:p>
    <w:p w:rsidR="008876BF" w:rsidRPr="00325F75" w:rsidRDefault="008876BF" w:rsidP="008876BF">
      <w:pPr>
        <w:jc w:val="both"/>
      </w:pPr>
    </w:p>
    <w:p w:rsidR="00BA4529" w:rsidRDefault="008876BF" w:rsidP="008876BF">
      <w:pPr>
        <w:pStyle w:val="BodyText"/>
      </w:pPr>
      <w:r>
        <w:rPr>
          <w:color w:val="000000"/>
        </w:rPr>
        <w:t>Alturas</w:t>
      </w:r>
      <w:r w:rsidRPr="00325F75">
        <w:rPr>
          <w:color w:val="000000"/>
        </w:rPr>
        <w:t xml:space="preserve"> </w:t>
      </w:r>
      <w:r w:rsidRPr="00325F75">
        <w:t>should be required to file revised tariff sheets no later than one month prior to the actual date of the required rate reduction</w:t>
      </w:r>
      <w:r>
        <w:t xml:space="preserve">. </w:t>
      </w:r>
      <w:r w:rsidRPr="00325F75">
        <w:t>The Utility also should be required to file a proposed customer notice setting forth the lower rates and the reason for the reduction</w:t>
      </w:r>
      <w:r>
        <w:t xml:space="preserve">. </w:t>
      </w:r>
      <w:r w:rsidRPr="00325F75">
        <w:t xml:space="preserve">If </w:t>
      </w:r>
      <w:r>
        <w:t xml:space="preserve">Alturas </w:t>
      </w:r>
      <w:r w:rsidRPr="00325F75">
        <w:t>files this reduction in conjunction with a price index or pass-through rate adjustment, separate data should be filed for the price index and/or pass-through increase or decrease and the reduction in the rates due to the amortized rate case expense</w:t>
      </w:r>
      <w:r>
        <w:t>.</w:t>
      </w:r>
    </w:p>
    <w:p w:rsidR="0006474F" w:rsidRDefault="0006474F">
      <w:pPr>
        <w:pStyle w:val="IssueHeading"/>
        <w:rPr>
          <w:vanish/>
          <w:specVanish/>
        </w:rPr>
      </w:pPr>
      <w:r w:rsidRPr="004C3641">
        <w:rPr>
          <w:b w:val="0"/>
          <w:i w:val="0"/>
        </w:rPr>
        <w:br w:type="page"/>
      </w:r>
      <w:r w:rsidRPr="004C3641">
        <w:lastRenderedPageBreak/>
        <w:t xml:space="preserve">Issue </w:t>
      </w:r>
      <w:r w:rsidRPr="004C3641">
        <w:fldChar w:fldCharType="begin"/>
      </w:r>
      <w:r>
        <w:instrText>seq issue</w:instrText>
      </w:r>
      <w:r w:rsidRPr="004C3641">
        <w:fldChar w:fldCharType="separate"/>
      </w:r>
      <w:r w:rsidR="004E0887">
        <w:rPr>
          <w:noProof/>
        </w:rPr>
        <w:t>11</w:t>
      </w:r>
      <w:r w:rsidRPr="004C3641">
        <w:fldChar w:fldCharType="end"/>
      </w:r>
      <w:r w:rsidRPr="004C3641">
        <w:t>:</w:t>
      </w:r>
      <w:r>
        <w:fldChar w:fldCharType="begin"/>
      </w:r>
      <w:r>
        <w:instrText xml:space="preserve"> TC "</w:instrText>
      </w:r>
      <w:bookmarkStart w:id="29" w:name="_Toc443485021"/>
      <w:r>
        <w:instrText xml:space="preserve">Issue </w:instrText>
      </w:r>
      <w:r>
        <w:fldChar w:fldCharType="begin"/>
      </w:r>
      <w:r>
        <w:instrText xml:space="preserve"> SEQ issue \c </w:instrText>
      </w:r>
      <w:r>
        <w:fldChar w:fldCharType="separate"/>
      </w:r>
      <w:r w:rsidR="004E0887">
        <w:rPr>
          <w:noProof/>
        </w:rPr>
        <w:instrText>11</w:instrText>
      </w:r>
      <w:r>
        <w:fldChar w:fldCharType="end"/>
      </w:r>
      <w:r w:rsidR="0098003B">
        <w:instrText xml:space="preserve"> Four</w:instrText>
      </w:r>
      <w:r w:rsidR="001668C1">
        <w:instrText>-</w:instrText>
      </w:r>
      <w:r w:rsidR="0098003B">
        <w:instrText xml:space="preserve">Year </w:instrText>
      </w:r>
      <w:r>
        <w:instrText>Rate Reduction – P</w:instrText>
      </w:r>
      <w:r w:rsidR="0098003B">
        <w:instrText>rior</w:instrText>
      </w:r>
      <w:r>
        <w:instrText xml:space="preserve"> SARC</w:instrText>
      </w:r>
      <w:bookmarkEnd w:id="29"/>
      <w:r>
        <w:instrText xml:space="preserve">" \l 1 </w:instrText>
      </w:r>
      <w:r>
        <w:fldChar w:fldCharType="end"/>
      </w:r>
      <w:r>
        <w:t> </w:t>
      </w:r>
    </w:p>
    <w:p w:rsidR="0006474F" w:rsidRDefault="0006474F">
      <w:pPr>
        <w:pStyle w:val="BodyText"/>
      </w:pPr>
      <w:r>
        <w:t> </w:t>
      </w:r>
      <w:r w:rsidR="007E52A8">
        <w:rPr>
          <w:color w:val="000000"/>
        </w:rPr>
        <w:t>What is the appropriate disposition of the overcollection of rate case expense approved by Order No. PSC-10-0380-PAA-WU for Alturas’ water system?</w:t>
      </w:r>
      <w:r w:rsidR="00114959">
        <w:rPr>
          <w:rStyle w:val="FootnoteReference"/>
          <w:color w:val="000000"/>
        </w:rPr>
        <w:footnoteReference w:id="19"/>
      </w:r>
    </w:p>
    <w:p w:rsidR="0006474F" w:rsidRPr="004C3641" w:rsidRDefault="0006474F">
      <w:pPr>
        <w:pStyle w:val="IssueSubsectionHeading"/>
        <w:rPr>
          <w:vanish/>
          <w:specVanish/>
        </w:rPr>
      </w:pPr>
      <w:r w:rsidRPr="004C3641">
        <w:t>Recommendation: </w:t>
      </w:r>
    </w:p>
    <w:p w:rsidR="007E52A8" w:rsidRPr="007E52A8" w:rsidRDefault="0006474F" w:rsidP="007E52A8">
      <w:pPr>
        <w:spacing w:after="240"/>
        <w:jc w:val="both"/>
        <w:rPr>
          <w:color w:val="000000"/>
        </w:rPr>
      </w:pPr>
      <w:r>
        <w:t> </w:t>
      </w:r>
      <w:r w:rsidR="007E52A8" w:rsidRPr="007E52A8">
        <w:rPr>
          <w:color w:val="000000"/>
        </w:rPr>
        <w:t xml:space="preserve">The </w:t>
      </w:r>
      <w:r w:rsidR="008236E8">
        <w:rPr>
          <w:color w:val="000000"/>
        </w:rPr>
        <w:t>U</w:t>
      </w:r>
      <w:r w:rsidR="007E52A8" w:rsidRPr="007E52A8">
        <w:rPr>
          <w:color w:val="000000"/>
        </w:rPr>
        <w:t xml:space="preserve">tility should be required to refund customers the amount of overcollected rate case expense. The refund should be made in accordance with Rule 25-30.360, F.A.C. The </w:t>
      </w:r>
      <w:r w:rsidR="008236E8">
        <w:rPr>
          <w:color w:val="000000"/>
        </w:rPr>
        <w:t>U</w:t>
      </w:r>
      <w:r w:rsidR="007E52A8" w:rsidRPr="007E52A8">
        <w:rPr>
          <w:color w:val="000000"/>
        </w:rPr>
        <w:t>tility should be required to file monthly reports on the status of the refund by the twentieth of the following month pursuant to Rule 25-30.311(7) F.A.C.</w:t>
      </w:r>
      <w:r w:rsidR="00475926">
        <w:rPr>
          <w:color w:val="000000"/>
        </w:rPr>
        <w:t xml:space="preserve"> (Burce)</w:t>
      </w:r>
    </w:p>
    <w:p w:rsidR="007E52A8" w:rsidRPr="007E52A8" w:rsidRDefault="007E52A8" w:rsidP="007E52A8">
      <w:pPr>
        <w:spacing w:after="240"/>
        <w:jc w:val="both"/>
      </w:pPr>
      <w:r w:rsidRPr="007E52A8">
        <w:rPr>
          <w:rFonts w:ascii="Arial" w:hAnsi="Arial" w:cs="Arial"/>
          <w:b/>
          <w:i/>
          <w:color w:val="000000"/>
        </w:rPr>
        <w:t>Staff Analysis</w:t>
      </w:r>
      <w:r w:rsidRPr="007E52A8">
        <w:rPr>
          <w:color w:val="000000"/>
        </w:rPr>
        <w:t xml:space="preserve">: As discussed previously, staff discovered that Alturas did not implement the </w:t>
      </w:r>
      <w:r w:rsidRPr="007E52A8">
        <w:t>four</w:t>
      </w:r>
      <w:r w:rsidR="008236E8">
        <w:t>-y</w:t>
      </w:r>
      <w:r w:rsidRPr="007E52A8">
        <w:t>ear rate reduction that became effective on August 14, 2014</w:t>
      </w:r>
      <w:r w:rsidR="008236E8">
        <w:t>,</w:t>
      </w:r>
      <w:r w:rsidRPr="007E52A8">
        <w:t xml:space="preserve"> as a result of the staff audit. </w:t>
      </w:r>
      <w:r>
        <w:t>Staff verified that the U</w:t>
      </w:r>
      <w:r w:rsidRPr="007E52A8">
        <w:t xml:space="preserve">tility began billing the reduced rates in May 2015. The </w:t>
      </w:r>
      <w:r w:rsidR="008236E8">
        <w:t>U</w:t>
      </w:r>
      <w:r w:rsidRPr="007E52A8">
        <w:t xml:space="preserve">tility has indicated it issued refunds to customers for the overcollection of rate case expense. On several occasions, staff requested the utility provide documentation of the refund, including the total amount issued. To date, the </w:t>
      </w:r>
      <w:r w:rsidR="008236E8">
        <w:t>U</w:t>
      </w:r>
      <w:r w:rsidRPr="007E52A8">
        <w:t>tility has not provided the documentation. Staff estimates the amount of overcollection to be approximately $281.</w:t>
      </w:r>
    </w:p>
    <w:p w:rsidR="00BA4529" w:rsidRDefault="007E52A8" w:rsidP="007E52A8">
      <w:pPr>
        <w:pStyle w:val="BodyText"/>
        <w:rPr>
          <w:vanish/>
          <w:specVanish/>
        </w:rPr>
      </w:pPr>
      <w:r w:rsidRPr="007E52A8">
        <w:t>Based on the above, staff recommends that t</w:t>
      </w:r>
      <w:r w:rsidRPr="007E52A8">
        <w:rPr>
          <w:color w:val="000000"/>
        </w:rPr>
        <w:t xml:space="preserve">he </w:t>
      </w:r>
      <w:r w:rsidR="008236E8">
        <w:rPr>
          <w:color w:val="000000"/>
        </w:rPr>
        <w:t>U</w:t>
      </w:r>
      <w:r w:rsidRPr="007E52A8">
        <w:rPr>
          <w:color w:val="000000"/>
        </w:rPr>
        <w:t xml:space="preserve">tility should be required to refund customers the amount of overcollected rate case expense. The refund should be made in accordance with Rule 25-30.360, F.A.C. The </w:t>
      </w:r>
      <w:r w:rsidR="008236E8">
        <w:rPr>
          <w:color w:val="000000"/>
        </w:rPr>
        <w:t>U</w:t>
      </w:r>
      <w:r w:rsidRPr="007E52A8">
        <w:rPr>
          <w:color w:val="000000"/>
        </w:rPr>
        <w:t>tility should be required to file monthly reports on the status of the refund by the twentieth of the following month pursuant to Rule 25-30.311(7) F.A.C.</w:t>
      </w:r>
      <w:r w:rsidR="00BA4529" w:rsidRPr="004C3641">
        <w:br w:type="page"/>
      </w:r>
      <w:r w:rsidR="00BA4529" w:rsidRPr="008236E8">
        <w:rPr>
          <w:rFonts w:ascii="Arial" w:hAnsi="Arial" w:cs="Arial"/>
          <w:b/>
          <w:i/>
        </w:rPr>
        <w:lastRenderedPageBreak/>
        <w:t xml:space="preserve">Issue </w:t>
      </w:r>
      <w:r w:rsidRPr="008236E8">
        <w:rPr>
          <w:rFonts w:ascii="Arial" w:hAnsi="Arial" w:cs="Arial"/>
          <w:b/>
          <w:i/>
        </w:rPr>
        <w:fldChar w:fldCharType="begin"/>
      </w:r>
      <w:r w:rsidRPr="008236E8">
        <w:rPr>
          <w:rFonts w:ascii="Arial" w:hAnsi="Arial" w:cs="Arial"/>
          <w:b/>
          <w:i/>
        </w:rPr>
        <w:instrText xml:space="preserve"> SEQ Issue \* MERGEFORMAT </w:instrText>
      </w:r>
      <w:r w:rsidRPr="008236E8">
        <w:rPr>
          <w:rFonts w:ascii="Arial" w:hAnsi="Arial" w:cs="Arial"/>
          <w:b/>
          <w:i/>
        </w:rPr>
        <w:fldChar w:fldCharType="separate"/>
      </w:r>
      <w:r w:rsidR="004E0887">
        <w:rPr>
          <w:rFonts w:ascii="Arial" w:hAnsi="Arial" w:cs="Arial"/>
          <w:b/>
          <w:i/>
          <w:noProof/>
        </w:rPr>
        <w:t>12</w:t>
      </w:r>
      <w:r w:rsidRPr="008236E8">
        <w:rPr>
          <w:rFonts w:ascii="Arial" w:hAnsi="Arial" w:cs="Arial"/>
          <w:b/>
          <w:i/>
          <w:noProof/>
        </w:rPr>
        <w:fldChar w:fldCharType="end"/>
      </w:r>
      <w:r w:rsidR="00BA4529" w:rsidRPr="008236E8">
        <w:rPr>
          <w:rFonts w:ascii="Arial" w:hAnsi="Arial" w:cs="Arial"/>
          <w:b/>
          <w:i/>
        </w:rPr>
        <w:t>:</w:t>
      </w:r>
      <w:r w:rsidR="00BA4529">
        <w:fldChar w:fldCharType="begin"/>
      </w:r>
      <w:r w:rsidR="00BA4529">
        <w:instrText xml:space="preserve"> TC "</w:instrText>
      </w:r>
      <w:bookmarkStart w:id="30" w:name="_Toc443485022"/>
      <w:r w:rsidR="00BA4529">
        <w:instrText xml:space="preserve">Issue </w:instrText>
      </w:r>
      <w:r w:rsidR="00BA4529">
        <w:fldChar w:fldCharType="begin"/>
      </w:r>
      <w:r w:rsidR="00BA4529">
        <w:instrText xml:space="preserve"> SEQ issue \c </w:instrText>
      </w:r>
      <w:r w:rsidR="00BA4529">
        <w:fldChar w:fldCharType="separate"/>
      </w:r>
      <w:r w:rsidR="004E0887">
        <w:rPr>
          <w:noProof/>
        </w:rPr>
        <w:instrText>12</w:instrText>
      </w:r>
      <w:r w:rsidR="00BA4529">
        <w:fldChar w:fldCharType="end"/>
      </w:r>
      <w:r w:rsidR="00BA4529">
        <w:instrText xml:space="preserve"> Initial Customer Deposits</w:instrText>
      </w:r>
      <w:bookmarkEnd w:id="30"/>
      <w:r w:rsidR="00BA4529">
        <w:instrText xml:space="preserve">" \l 1 </w:instrText>
      </w:r>
      <w:r w:rsidR="00BA4529">
        <w:fldChar w:fldCharType="end"/>
      </w:r>
      <w:r w:rsidR="00BA4529">
        <w:t> </w:t>
      </w:r>
    </w:p>
    <w:p w:rsidR="007E52A8" w:rsidRPr="007E52A8" w:rsidRDefault="007E52A8" w:rsidP="007E52A8">
      <w:pPr>
        <w:spacing w:after="120"/>
        <w:jc w:val="both"/>
      </w:pPr>
      <w:r w:rsidRPr="007E52A8">
        <w:t>What are the appropriate initial customer deposits for Alturas and in what manner should the utility’s noncompliance with Rule 25-30.311, F.A.C. be addressed?</w:t>
      </w:r>
    </w:p>
    <w:p w:rsidR="007E52A8" w:rsidRPr="007E52A8" w:rsidRDefault="007E52A8" w:rsidP="007E52A8">
      <w:pPr>
        <w:spacing w:after="240"/>
        <w:jc w:val="both"/>
        <w:outlineLvl w:val="1"/>
        <w:rPr>
          <w:rFonts w:eastAsia="MS PGothic"/>
          <w:bCs/>
          <w:iCs/>
          <w:vanish/>
          <w:szCs w:val="28"/>
        </w:rPr>
      </w:pPr>
      <w:r w:rsidRPr="007E52A8">
        <w:rPr>
          <w:rFonts w:ascii="Arial" w:eastAsia="MS PGothic" w:hAnsi="Arial" w:cs="Arial"/>
          <w:b/>
          <w:bCs/>
          <w:i/>
          <w:iCs/>
          <w:szCs w:val="28"/>
        </w:rPr>
        <w:t>Recommendation</w:t>
      </w:r>
      <w:r w:rsidRPr="007E52A8">
        <w:rPr>
          <w:rFonts w:eastAsia="MS PGothic"/>
          <w:bCs/>
          <w:iCs/>
          <w:szCs w:val="28"/>
        </w:rPr>
        <w:t>: </w:t>
      </w:r>
    </w:p>
    <w:p w:rsidR="007E52A8" w:rsidRPr="007E52A8" w:rsidRDefault="007E52A8" w:rsidP="007E52A8">
      <w:pPr>
        <w:spacing w:after="240"/>
        <w:jc w:val="both"/>
      </w:pPr>
      <w:r w:rsidRPr="007E52A8">
        <w:t xml:space="preserve"> The appropriate initial customer deposits should be $86 for the residential 5/8 inch x 3/4 inch meter size for water. The initial customer deposits for all other residential meter sizes and all general service meter sizes should be two times the average estimated bill for water. </w:t>
      </w:r>
      <w:r w:rsidRPr="007E52A8">
        <w:rPr>
          <w:color w:val="000000"/>
        </w:rPr>
        <w:t>The approved customer deposits should be effective for services rendered or connections made on or after the stamped approval date on the tariff sheets, pursuant to Rule 25-30.475, F.A.C. The Utility should be required to charge the approved charges until authorized to change them by the Commission in a subsequent proceeding.</w:t>
      </w:r>
      <w:r w:rsidRPr="007E52A8">
        <w:t xml:space="preserve"> </w:t>
      </w:r>
    </w:p>
    <w:p w:rsidR="007E52A8" w:rsidRPr="007E52A8" w:rsidRDefault="007E52A8" w:rsidP="007E52A8">
      <w:pPr>
        <w:spacing w:after="240"/>
        <w:jc w:val="both"/>
        <w:rPr>
          <w:color w:val="000000"/>
        </w:rPr>
      </w:pPr>
      <w:r w:rsidRPr="007E52A8">
        <w:rPr>
          <w:color w:val="000000"/>
        </w:rPr>
        <w:t xml:space="preserve">Staff recommends that the </w:t>
      </w:r>
      <w:r w:rsidR="008236E8">
        <w:rPr>
          <w:color w:val="000000"/>
        </w:rPr>
        <w:t>U</w:t>
      </w:r>
      <w:r w:rsidRPr="007E52A8">
        <w:rPr>
          <w:color w:val="000000"/>
        </w:rPr>
        <w:t xml:space="preserve">tility continue to work on its compliance with Rule 25-30.311 F.A.C. </w:t>
      </w:r>
      <w:r w:rsidR="00C46C01" w:rsidRPr="007E52A8">
        <w:rPr>
          <w:color w:val="000000"/>
        </w:rPr>
        <w:t xml:space="preserve">Alturas should be required to reconcile its customer deposit accounts and records within a reasonable time. </w:t>
      </w:r>
      <w:r w:rsidRPr="007E52A8">
        <w:rPr>
          <w:color w:val="000000"/>
        </w:rPr>
        <w:t xml:space="preserve">The </w:t>
      </w:r>
      <w:r w:rsidR="008236E8">
        <w:rPr>
          <w:color w:val="000000"/>
        </w:rPr>
        <w:t>U</w:t>
      </w:r>
      <w:r w:rsidRPr="007E52A8">
        <w:rPr>
          <w:color w:val="000000"/>
        </w:rPr>
        <w:t>tility should be required to provide monthly reports</w:t>
      </w:r>
      <w:r w:rsidRPr="00B100A9">
        <w:rPr>
          <w:color w:val="000000"/>
        </w:rPr>
        <w:t xml:space="preserve"> </w:t>
      </w:r>
      <w:r w:rsidR="00B100A9" w:rsidRPr="00B100A9">
        <w:rPr>
          <w:color w:val="000000"/>
        </w:rPr>
        <w:t>beginning March 31, 2016,</w:t>
      </w:r>
      <w:r w:rsidR="00B100A9">
        <w:rPr>
          <w:color w:val="000000"/>
        </w:rPr>
        <w:t xml:space="preserve"> </w:t>
      </w:r>
      <w:r w:rsidRPr="00B100A9">
        <w:rPr>
          <w:color w:val="000000"/>
        </w:rPr>
        <w:t>until it has satisfactorily refunded the appropriate amount of customer de</w:t>
      </w:r>
      <w:r w:rsidRPr="007E52A8">
        <w:rPr>
          <w:color w:val="000000"/>
        </w:rPr>
        <w:t xml:space="preserve">posits and applied the appropriate interest on customer deposits. Staff should be given administrative authority to determine when the </w:t>
      </w:r>
      <w:r w:rsidR="008236E8">
        <w:rPr>
          <w:color w:val="000000"/>
        </w:rPr>
        <w:t>U</w:t>
      </w:r>
      <w:r w:rsidRPr="007E52A8">
        <w:rPr>
          <w:color w:val="000000"/>
        </w:rPr>
        <w:t xml:space="preserve">tility is in compliance with Rule 25-30.311, F.A.C. Staff recommends that enforcement action is not warranted at this time. </w:t>
      </w:r>
      <w:r w:rsidRPr="007E52A8">
        <w:t>(Bruce)</w:t>
      </w:r>
    </w:p>
    <w:p w:rsidR="007E52A8" w:rsidRPr="007E52A8" w:rsidRDefault="007E52A8" w:rsidP="007E52A8">
      <w:pPr>
        <w:spacing w:after="240"/>
        <w:jc w:val="both"/>
        <w:outlineLvl w:val="1"/>
        <w:rPr>
          <w:rFonts w:eastAsia="MS PGothic"/>
          <w:bCs/>
          <w:iCs/>
          <w:vanish/>
          <w:szCs w:val="28"/>
        </w:rPr>
      </w:pPr>
      <w:r w:rsidRPr="007E52A8">
        <w:rPr>
          <w:rFonts w:ascii="Arial" w:eastAsia="MS PGothic" w:hAnsi="Arial" w:cs="Arial"/>
          <w:b/>
          <w:bCs/>
          <w:i/>
          <w:iCs/>
          <w:szCs w:val="28"/>
        </w:rPr>
        <w:t>Staff Analysis</w:t>
      </w:r>
      <w:r w:rsidRPr="007E52A8">
        <w:rPr>
          <w:rFonts w:eastAsia="MS PGothic"/>
          <w:bCs/>
          <w:iCs/>
          <w:szCs w:val="28"/>
        </w:rPr>
        <w:t>: </w:t>
      </w:r>
    </w:p>
    <w:p w:rsidR="007E52A8" w:rsidRPr="007E52A8" w:rsidRDefault="007E52A8" w:rsidP="007E52A8">
      <w:pPr>
        <w:spacing w:after="240"/>
        <w:jc w:val="both"/>
        <w:outlineLvl w:val="1"/>
      </w:pPr>
      <w:r w:rsidRPr="007E52A8">
        <w:t> </w:t>
      </w:r>
      <w:r w:rsidRPr="007E52A8">
        <w:rPr>
          <w:color w:val="000000"/>
        </w:rPr>
        <w:t>Rule 25-30.311, F.A.C., contains the criteria for collecting, administering, and refunding customer deposits. Customer deposits are designed to minimize the exposure of bad debt expense for the Utility and, ultimately, the general body of ratepayers. Historically, the Commission has set initial customer deposits equal to two times the average estimated bill.</w:t>
      </w:r>
      <w:r w:rsidRPr="007E52A8">
        <w:rPr>
          <w:color w:val="000000"/>
          <w:vertAlign w:val="superscript"/>
        </w:rPr>
        <w:footnoteReference w:id="20"/>
      </w:r>
      <w:r w:rsidRPr="007E52A8">
        <w:rPr>
          <w:color w:val="000000"/>
        </w:rPr>
        <w:t xml:space="preserve"> Currently, the Utility’s existing initial deposit for residential and general service customers is $65 for the 5/8</w:t>
      </w:r>
      <w:r w:rsidR="008236E8">
        <w:rPr>
          <w:color w:val="000000"/>
        </w:rPr>
        <w:t xml:space="preserve"> inch</w:t>
      </w:r>
      <w:r w:rsidRPr="007E52A8">
        <w:rPr>
          <w:color w:val="000000"/>
        </w:rPr>
        <w:t xml:space="preserve"> x </w:t>
      </w:r>
      <w:r w:rsidR="00C8156B" w:rsidRPr="007E52A8">
        <w:t xml:space="preserve">3/4 inch </w:t>
      </w:r>
      <w:r w:rsidRPr="007E52A8">
        <w:rPr>
          <w:color w:val="000000"/>
        </w:rPr>
        <w:t xml:space="preserve">meter size. The initial customer deposits for all other general service meter sizes are two times the average estimated bill. Based on staff’s recommended rates, </w:t>
      </w:r>
      <w:r w:rsidRPr="007E52A8">
        <w:t xml:space="preserve">the appropriate initial deposit for residential customers should be $86 for the 5/8 inch x 3/4 inch meter size to reflect a two month average customer bill and two times the average estimated bill for all other residential and general services meter sizes. </w:t>
      </w:r>
    </w:p>
    <w:p w:rsidR="007E52A8" w:rsidRPr="007E52A8" w:rsidRDefault="007E52A8" w:rsidP="007E52A8">
      <w:pPr>
        <w:spacing w:after="240"/>
        <w:jc w:val="both"/>
        <w:rPr>
          <w:color w:val="000000"/>
        </w:rPr>
      </w:pPr>
      <w:r w:rsidRPr="007E52A8">
        <w:rPr>
          <w:color w:val="000000"/>
        </w:rPr>
        <w:t xml:space="preserve">In response to staff’s request for information, staff discovered that the </w:t>
      </w:r>
      <w:r w:rsidR="008236E8">
        <w:rPr>
          <w:color w:val="000000"/>
        </w:rPr>
        <w:t>U</w:t>
      </w:r>
      <w:r w:rsidRPr="007E52A8">
        <w:rPr>
          <w:color w:val="000000"/>
        </w:rPr>
        <w:t xml:space="preserve">tility was in apparent violation of Rule 25-30.311, F.A.C. During staff’s review of the </w:t>
      </w:r>
      <w:r w:rsidR="008236E8">
        <w:rPr>
          <w:color w:val="000000"/>
        </w:rPr>
        <w:t>U</w:t>
      </w:r>
      <w:r w:rsidRPr="007E52A8">
        <w:rPr>
          <w:color w:val="000000"/>
        </w:rPr>
        <w:t xml:space="preserve">tility’s customer records, staff noted that the </w:t>
      </w:r>
      <w:r w:rsidR="008236E8">
        <w:rPr>
          <w:color w:val="000000"/>
        </w:rPr>
        <w:t>U</w:t>
      </w:r>
      <w:r w:rsidRPr="007E52A8">
        <w:rPr>
          <w:color w:val="000000"/>
        </w:rPr>
        <w:t xml:space="preserve">tility failed to properly record the amount of each deposit, failed to pay the appropriate amount of interest on customer deposits, and failed to refund residential customer deposits after 23 months of satisfactory payment. The </w:t>
      </w:r>
      <w:r w:rsidR="008236E8">
        <w:rPr>
          <w:color w:val="000000"/>
        </w:rPr>
        <w:t>U</w:t>
      </w:r>
      <w:r w:rsidRPr="007E52A8">
        <w:rPr>
          <w:color w:val="000000"/>
        </w:rPr>
        <w:t xml:space="preserve">tility is currently working on correcting these issues. On February 15, 2016, the </w:t>
      </w:r>
      <w:r w:rsidR="008236E8">
        <w:rPr>
          <w:color w:val="000000"/>
        </w:rPr>
        <w:t>U</w:t>
      </w:r>
      <w:r w:rsidRPr="007E52A8">
        <w:rPr>
          <w:color w:val="000000"/>
        </w:rPr>
        <w:t xml:space="preserve">tility provided a copy of its current Customer Deposit Report, which indicated that a few customers had received a credit for interest payments on their deposits. The </w:t>
      </w:r>
      <w:r w:rsidR="008236E8">
        <w:rPr>
          <w:color w:val="000000"/>
        </w:rPr>
        <w:t>U</w:t>
      </w:r>
      <w:r w:rsidRPr="007E52A8">
        <w:rPr>
          <w:color w:val="000000"/>
        </w:rPr>
        <w:t>tility has indicated it will refund customer deposits by the end of February 2016 to those customers who are entitled to a refund. Staff recommends that the utility continue to work on its compliance with Rule 25-30.311</w:t>
      </w:r>
      <w:r w:rsidR="00C46C01">
        <w:rPr>
          <w:color w:val="000000"/>
        </w:rPr>
        <w:t>,</w:t>
      </w:r>
      <w:r w:rsidRPr="007E52A8">
        <w:rPr>
          <w:color w:val="000000"/>
        </w:rPr>
        <w:t xml:space="preserve"> F.A.C. The </w:t>
      </w:r>
      <w:r w:rsidR="008236E8">
        <w:rPr>
          <w:color w:val="000000"/>
        </w:rPr>
        <w:t>U</w:t>
      </w:r>
      <w:r w:rsidRPr="007E52A8">
        <w:rPr>
          <w:color w:val="000000"/>
        </w:rPr>
        <w:t xml:space="preserve">tility should be required to provide monthly reports until it has satisfactorily refunded the appropriate amount of customer deposits and applied the appropriate interest on customer deposits. Staff should be given administrative authority to determine when the </w:t>
      </w:r>
      <w:r w:rsidR="00622E27">
        <w:rPr>
          <w:color w:val="000000"/>
        </w:rPr>
        <w:t>U</w:t>
      </w:r>
      <w:r w:rsidRPr="007E52A8">
        <w:rPr>
          <w:color w:val="000000"/>
        </w:rPr>
        <w:t xml:space="preserve">tility is in compliance with Rule 25-30.311, F.A.C. Staff </w:t>
      </w:r>
      <w:r w:rsidRPr="007E52A8">
        <w:rPr>
          <w:color w:val="000000"/>
        </w:rPr>
        <w:lastRenderedPageBreak/>
        <w:t xml:space="preserve">believes the </w:t>
      </w:r>
      <w:r w:rsidR="00622E27">
        <w:rPr>
          <w:color w:val="000000"/>
        </w:rPr>
        <w:t>U</w:t>
      </w:r>
      <w:r w:rsidRPr="007E52A8">
        <w:rPr>
          <w:color w:val="000000"/>
        </w:rPr>
        <w:t>tility is moving forward to make corrective actions to resolve the issues regarding the customer deposits. Therefore, staff recommends that enforcement action is not warranted at this time. However, staff believes Alturas should be put on notice that</w:t>
      </w:r>
      <w:r w:rsidR="00622E27">
        <w:rPr>
          <w:color w:val="000000"/>
        </w:rPr>
        <w:t xml:space="preserve"> </w:t>
      </w:r>
      <w:r w:rsidRPr="007E52A8">
        <w:rPr>
          <w:color w:val="000000"/>
        </w:rPr>
        <w:t xml:space="preserve">if the Utility does not resolve the customer deposit errors within a reasonable times and/or its deposit records are found to be out of compliance with Commission regulations in the future, the </w:t>
      </w:r>
      <w:r w:rsidR="00622E27">
        <w:rPr>
          <w:color w:val="000000"/>
        </w:rPr>
        <w:t>U</w:t>
      </w:r>
      <w:r w:rsidRPr="007E52A8">
        <w:rPr>
          <w:color w:val="000000"/>
        </w:rPr>
        <w:t>tility may be subject to a show cause proceeding by the Commission, including penalties.</w:t>
      </w:r>
    </w:p>
    <w:p w:rsidR="007E52A8" w:rsidRPr="007E52A8" w:rsidRDefault="007E52A8" w:rsidP="007E52A8">
      <w:pPr>
        <w:spacing w:after="240"/>
        <w:jc w:val="both"/>
        <w:rPr>
          <w:color w:val="000000"/>
        </w:rPr>
      </w:pPr>
      <w:r w:rsidRPr="007E52A8">
        <w:rPr>
          <w:color w:val="000000"/>
        </w:rPr>
        <w:t>Based on the above, staff recommends t</w:t>
      </w:r>
      <w:r w:rsidRPr="007E52A8">
        <w:t xml:space="preserve">he appropriate initial customer deposits should be $86 for the residential 5/8 inch x 3/4 inch meter size for water. The initial customer deposits for all other residential meter sizes and all general service meter sizes should be two times the average estimated bill for water. </w:t>
      </w:r>
      <w:r w:rsidRPr="007E52A8">
        <w:rPr>
          <w:color w:val="000000"/>
        </w:rPr>
        <w:t xml:space="preserve">The approved customer deposits should be effective for services rendered or connections made on or after the stamped approval date on the tariff sheets, pursuant to Rule 25-30.475, F.A.C. The Utility should be required to charge the approved charges until authorized to change them by the Commission in a subsequent proceeding. </w:t>
      </w:r>
    </w:p>
    <w:p w:rsidR="0081418B" w:rsidRPr="00C46C01" w:rsidRDefault="00C46C01" w:rsidP="007E52A8">
      <w:pPr>
        <w:pStyle w:val="IssueHeading"/>
        <w:rPr>
          <w:rFonts w:ascii="Times New Roman" w:hAnsi="Times New Roman" w:cs="Times New Roman"/>
          <w:b w:val="0"/>
          <w:i w:val="0"/>
        </w:rPr>
      </w:pPr>
      <w:r w:rsidRPr="00C46C01">
        <w:rPr>
          <w:rFonts w:ascii="Times New Roman" w:hAnsi="Times New Roman" w:cs="Times New Roman"/>
          <w:b w:val="0"/>
          <w:i w:val="0"/>
          <w:color w:val="000000"/>
        </w:rPr>
        <w:t>Staff recommends that the Utility continue to work on its compliance with Rule 25-30.311 F.A.C. Alturas should be required to reconcile its customer deposit accounts and records within a reasonable time. The</w:t>
      </w:r>
      <w:r>
        <w:rPr>
          <w:rFonts w:ascii="Times New Roman" w:hAnsi="Times New Roman" w:cs="Times New Roman"/>
          <w:b w:val="0"/>
          <w:i w:val="0"/>
          <w:color w:val="000000"/>
        </w:rPr>
        <w:t xml:space="preserve"> </w:t>
      </w:r>
      <w:r w:rsidRPr="00C46C01">
        <w:rPr>
          <w:rFonts w:ascii="Times New Roman" w:hAnsi="Times New Roman" w:cs="Times New Roman"/>
          <w:b w:val="0"/>
          <w:i w:val="0"/>
          <w:color w:val="000000"/>
        </w:rPr>
        <w:t xml:space="preserve">Utility should be required to provide monthly reports </w:t>
      </w:r>
      <w:r w:rsidR="00B100A9">
        <w:rPr>
          <w:rFonts w:ascii="Times New Roman" w:hAnsi="Times New Roman" w:cs="Times New Roman"/>
          <w:b w:val="0"/>
          <w:i w:val="0"/>
          <w:color w:val="000000"/>
        </w:rPr>
        <w:t xml:space="preserve">beginning March 31, 2016, </w:t>
      </w:r>
      <w:r w:rsidRPr="00C46C01">
        <w:rPr>
          <w:rFonts w:ascii="Times New Roman" w:hAnsi="Times New Roman" w:cs="Times New Roman"/>
          <w:b w:val="0"/>
          <w:i w:val="0"/>
          <w:color w:val="000000"/>
        </w:rPr>
        <w:t xml:space="preserve">until it has satisfactorily refunded the appropriate amount of customer deposits and applied the appropriate interest on customer deposits. Staff should be given administrative authority to determine when the Utility is in compliance with Rule 25-30.311, F.A.C. Staff recommends that enforcement action is not warranted at this time. </w:t>
      </w:r>
      <w:r w:rsidR="0081418B" w:rsidRPr="00C46C01">
        <w:rPr>
          <w:rFonts w:ascii="Times New Roman" w:hAnsi="Times New Roman" w:cs="Times New Roman"/>
          <w:b w:val="0"/>
          <w:i w:val="0"/>
          <w:color w:val="000000"/>
        </w:rPr>
        <w:t xml:space="preserve"> </w:t>
      </w:r>
    </w:p>
    <w:p w:rsidR="00BA4529" w:rsidRDefault="00BA4529">
      <w:pPr>
        <w:pStyle w:val="IssueHeading"/>
        <w:rPr>
          <w:vanish/>
          <w:specVanish/>
        </w:rPr>
      </w:pPr>
      <w:r w:rsidRPr="00C46C01">
        <w:rPr>
          <w:rFonts w:ascii="Times New Roman" w:hAnsi="Times New Roman" w:cs="Times New Roman"/>
          <w:b w:val="0"/>
          <w:i w:val="0"/>
        </w:rPr>
        <w:br w:type="page"/>
      </w:r>
      <w:r w:rsidRPr="004C3641">
        <w:lastRenderedPageBreak/>
        <w:t xml:space="preserve">Issue </w:t>
      </w:r>
      <w:r w:rsidR="00F852FE">
        <w:fldChar w:fldCharType="begin"/>
      </w:r>
      <w:r w:rsidR="00F852FE">
        <w:instrText xml:space="preserve"> SEQ Issue \* MERGEFORMAT </w:instrText>
      </w:r>
      <w:r w:rsidR="00F852FE">
        <w:fldChar w:fldCharType="separate"/>
      </w:r>
      <w:r w:rsidR="004E0887">
        <w:rPr>
          <w:noProof/>
        </w:rPr>
        <w:t>13</w:t>
      </w:r>
      <w:r w:rsidR="00F852FE">
        <w:rPr>
          <w:noProof/>
        </w:rPr>
        <w:fldChar w:fldCharType="end"/>
      </w:r>
      <w:r w:rsidRPr="004C3641">
        <w:t>:</w:t>
      </w:r>
      <w:r>
        <w:fldChar w:fldCharType="begin"/>
      </w:r>
      <w:r>
        <w:instrText xml:space="preserve"> TC "</w:instrText>
      </w:r>
      <w:bookmarkStart w:id="31" w:name="_Toc443485023"/>
      <w:r>
        <w:instrText xml:space="preserve">Issue </w:instrText>
      </w:r>
      <w:r>
        <w:fldChar w:fldCharType="begin"/>
      </w:r>
      <w:r>
        <w:instrText xml:space="preserve"> SEQ issue \c </w:instrText>
      </w:r>
      <w:r>
        <w:fldChar w:fldCharType="separate"/>
      </w:r>
      <w:r w:rsidR="004E0887">
        <w:rPr>
          <w:noProof/>
        </w:rPr>
        <w:instrText>13</w:instrText>
      </w:r>
      <w:r>
        <w:fldChar w:fldCharType="end"/>
      </w:r>
      <w:r>
        <w:instrText xml:space="preserve"> Temporary Rates</w:instrText>
      </w:r>
      <w:bookmarkEnd w:id="31"/>
      <w:r>
        <w:instrText xml:space="preserve">" \l 1 </w:instrText>
      </w:r>
      <w:r>
        <w:fldChar w:fldCharType="end"/>
      </w:r>
      <w:r>
        <w:t> </w:t>
      </w:r>
    </w:p>
    <w:p w:rsidR="008876BF" w:rsidRDefault="008876BF" w:rsidP="008876BF">
      <w:pPr>
        <w:pStyle w:val="BodyText"/>
      </w:pPr>
      <w:r w:rsidRPr="001677BB">
        <w:t>Should the recommended</w:t>
      </w:r>
      <w:r w:rsidRPr="004902A8">
        <w:t xml:space="preserve"> rates be approved for Alturas on a temporary basis, subject to refund, in the event of a protest filed by a party other than the Utility?</w:t>
      </w:r>
    </w:p>
    <w:p w:rsidR="008876BF" w:rsidRPr="004C3641" w:rsidRDefault="008876BF" w:rsidP="008876BF">
      <w:pPr>
        <w:pStyle w:val="IssueSubsectionHeading"/>
        <w:rPr>
          <w:vanish/>
          <w:specVanish/>
        </w:rPr>
      </w:pPr>
      <w:r w:rsidRPr="004C3641">
        <w:t>Recommendation: </w:t>
      </w:r>
    </w:p>
    <w:p w:rsidR="008876BF" w:rsidRDefault="008876BF" w:rsidP="008876BF">
      <w:pPr>
        <w:pStyle w:val="BodyText"/>
      </w:pPr>
      <w:r>
        <w:t> </w:t>
      </w:r>
      <w:r w:rsidRPr="00F04DBD">
        <w:t xml:space="preserve">Yes. Pursuant to Section 367.0814(7), F.S., the recommended rates should be approved for the </w:t>
      </w:r>
      <w:r>
        <w:t>Utility</w:t>
      </w:r>
      <w:r w:rsidRPr="00F04DBD">
        <w:t xml:space="preserve"> on a temporary basis, subject to refund, in the event of a protest filed by a party other than the </w:t>
      </w:r>
      <w:r>
        <w:t>Utility</w:t>
      </w:r>
      <w:r w:rsidRPr="00F04DBD">
        <w:t xml:space="preserve">. </w:t>
      </w:r>
      <w:r>
        <w:t xml:space="preserve">The Utility </w:t>
      </w:r>
      <w:r w:rsidRPr="00F04DBD">
        <w:t xml:space="preserve">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implementation of any temporary rates, the </w:t>
      </w:r>
      <w:r>
        <w:t>Utility</w:t>
      </w:r>
      <w:r w:rsidRPr="00F04DBD">
        <w:t xml:space="preserve"> should provide appropriate security. If the recommended rates are approved on a temporary basis, the rates collected by the </w:t>
      </w:r>
      <w:r>
        <w:t>Utility</w:t>
      </w:r>
      <w:r w:rsidRPr="00F04DBD">
        <w:t xml:space="preserve"> should be subject to the refund provisions discussed below in the staff analysis. In addition, after the increased rates are in effect, pursuant to Rule 25-30.360(6), F.A.C., the </w:t>
      </w:r>
      <w:r>
        <w:t>Utility</w:t>
      </w:r>
      <w:r w:rsidRPr="00F04DBD">
        <w:t xml:space="preserve"> should file reports with the Commission Clerk’s office no later than the </w:t>
      </w:r>
      <w:r w:rsidR="00A74818">
        <w:t>twentie</w:t>
      </w:r>
      <w:r w:rsidRPr="00F04DBD">
        <w:t>th of every month indicating the monthly and total amount of money subject to refund at the end of the preceding month. The report filed should also indicate the status of the security being used to guarantee repayment of any potential refund.</w:t>
      </w:r>
      <w:r w:rsidRPr="004902A8">
        <w:t xml:space="preserve"> (Golden, Vogel)</w:t>
      </w:r>
      <w:r>
        <w:t xml:space="preserve"> </w:t>
      </w:r>
    </w:p>
    <w:p w:rsidR="008876BF" w:rsidRPr="004C3641" w:rsidRDefault="008876BF" w:rsidP="008876BF">
      <w:pPr>
        <w:pStyle w:val="IssueSubsectionHeading"/>
        <w:rPr>
          <w:vanish/>
          <w:specVanish/>
        </w:rPr>
      </w:pPr>
      <w:r w:rsidRPr="004C3641">
        <w:t>Staff Analysis: </w:t>
      </w:r>
    </w:p>
    <w:p w:rsidR="008876BF" w:rsidRPr="00F04DBD" w:rsidRDefault="008876BF" w:rsidP="008876BF">
      <w:pPr>
        <w:pStyle w:val="BodyText"/>
      </w:pPr>
      <w:r>
        <w:t> </w:t>
      </w:r>
      <w:r w:rsidRPr="00F04DBD">
        <w:t xml:space="preserve"> This recommendation proposes an increase in rates. A timely protest might delay what may be a justified rate increase resulting in an unrecoverable loss of revenue to the </w:t>
      </w:r>
      <w:r>
        <w:t>Utility</w:t>
      </w:r>
      <w:r w:rsidRPr="00F04DBD">
        <w:t xml:space="preserve">. Therefore, pursuant to Section 367.0814(7), F.S., in the event of a protest filed by a party other than the </w:t>
      </w:r>
      <w:r>
        <w:t>Utility</w:t>
      </w:r>
      <w:r w:rsidRPr="00F04DBD">
        <w:t xml:space="preserve">, staff recommends that the recommended rates be approved as temporary rates. </w:t>
      </w:r>
      <w:r>
        <w:t xml:space="preserve">The Utility </w:t>
      </w:r>
      <w:r w:rsidRPr="00F04DBD">
        <w:t xml:space="preserve">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recommended rates collected by the </w:t>
      </w:r>
      <w:r>
        <w:t>Utility</w:t>
      </w:r>
      <w:r w:rsidRPr="00F04DBD">
        <w:t xml:space="preserve"> should be subject to the refund provisions discussed below.</w:t>
      </w:r>
    </w:p>
    <w:p w:rsidR="008876BF" w:rsidRPr="00F04DBD" w:rsidRDefault="008876BF" w:rsidP="008876BF">
      <w:pPr>
        <w:pStyle w:val="BodyText"/>
      </w:pPr>
      <w:r w:rsidRPr="00F04DBD">
        <w:t xml:space="preserve">The </w:t>
      </w:r>
      <w:r>
        <w:t>Utility</w:t>
      </w:r>
      <w:r w:rsidRPr="00F04DBD">
        <w:t xml:space="preserve"> should be authorized to collect the temporary rates upon staff’s approval of an appropriate security for the potential refund and the proposed customer notice. Security should be in the form of a bond or letter of credit in the amount of $</w:t>
      </w:r>
      <w:r w:rsidR="00946D10">
        <w:t>1,976</w:t>
      </w:r>
      <w:r w:rsidRPr="00F04DBD">
        <w:t xml:space="preserve">. Alternatively, the </w:t>
      </w:r>
      <w:r>
        <w:t>Utility</w:t>
      </w:r>
      <w:r w:rsidRPr="00F04DBD">
        <w:t xml:space="preserve"> could establish an escrow agreement with an independent financial institution.</w:t>
      </w:r>
    </w:p>
    <w:p w:rsidR="008876BF" w:rsidRPr="00F04DBD" w:rsidRDefault="008876BF" w:rsidP="008876BF">
      <w:pPr>
        <w:pStyle w:val="BodyText"/>
        <w:spacing w:after="0"/>
      </w:pPr>
      <w:r w:rsidRPr="00F04DBD">
        <w:t xml:space="preserve">If the </w:t>
      </w:r>
      <w:r>
        <w:t>Utility</w:t>
      </w:r>
      <w:r w:rsidRPr="00F04DBD">
        <w:t xml:space="preserve"> chooses a bond as security, the bond should contain wording to the effect that it will be terminated only under the following conditions:</w:t>
      </w:r>
    </w:p>
    <w:p w:rsidR="008876BF" w:rsidRDefault="008876BF" w:rsidP="008876BF">
      <w:pPr>
        <w:pStyle w:val="BodyText"/>
        <w:numPr>
          <w:ilvl w:val="0"/>
          <w:numId w:val="12"/>
        </w:numPr>
        <w:spacing w:after="0"/>
      </w:pPr>
      <w:r w:rsidRPr="00F04DBD">
        <w:t>The Commission approves the rate increase; or,</w:t>
      </w:r>
    </w:p>
    <w:p w:rsidR="008876BF" w:rsidRPr="00F04DBD" w:rsidRDefault="008876BF" w:rsidP="008876BF">
      <w:pPr>
        <w:pStyle w:val="BodyText"/>
        <w:numPr>
          <w:ilvl w:val="0"/>
          <w:numId w:val="12"/>
        </w:numPr>
      </w:pPr>
      <w:r w:rsidRPr="00F04DBD">
        <w:t>If the Commission denies the increase, the Utility shall refund the amount collected that is attributable to the increase.</w:t>
      </w:r>
    </w:p>
    <w:p w:rsidR="008876BF" w:rsidRPr="00F04DBD" w:rsidRDefault="008876BF" w:rsidP="008876BF">
      <w:pPr>
        <w:pStyle w:val="BodyText"/>
        <w:spacing w:after="0"/>
      </w:pPr>
      <w:r w:rsidRPr="00F04DBD">
        <w:t xml:space="preserve">If the </w:t>
      </w:r>
      <w:r>
        <w:t>Utility</w:t>
      </w:r>
      <w:r w:rsidRPr="00F04DBD">
        <w:t xml:space="preserve"> chooses a letter of credit as a security, it should contain the following conditions:</w:t>
      </w:r>
    </w:p>
    <w:p w:rsidR="008876BF" w:rsidRPr="00F04DBD" w:rsidRDefault="008876BF" w:rsidP="008876BF">
      <w:pPr>
        <w:pStyle w:val="BodyText"/>
        <w:numPr>
          <w:ilvl w:val="0"/>
          <w:numId w:val="13"/>
        </w:numPr>
        <w:spacing w:after="0"/>
      </w:pPr>
      <w:r w:rsidRPr="00F04DBD">
        <w:t>The letter of credit is irrevocable for the period it is in effect</w:t>
      </w:r>
      <w:r w:rsidR="00432271">
        <w:t>.</w:t>
      </w:r>
    </w:p>
    <w:p w:rsidR="008876BF" w:rsidRPr="00F04DBD" w:rsidRDefault="008876BF" w:rsidP="008876BF">
      <w:pPr>
        <w:pStyle w:val="BodyText"/>
        <w:numPr>
          <w:ilvl w:val="0"/>
          <w:numId w:val="13"/>
        </w:numPr>
      </w:pPr>
      <w:r w:rsidRPr="00F04DBD">
        <w:t>The letter of credit will be in effect until a final Commission order is rendered, either approving or denying the rate increase.</w:t>
      </w:r>
    </w:p>
    <w:p w:rsidR="008876BF" w:rsidRDefault="008876BF" w:rsidP="008876BF">
      <w:pPr>
        <w:pStyle w:val="BodyText"/>
        <w:spacing w:after="0"/>
      </w:pPr>
      <w:r>
        <w:lastRenderedPageBreak/>
        <w:t>If security is provided through an escrow agreement, the following conditions should be part of the agreement:</w:t>
      </w:r>
    </w:p>
    <w:p w:rsidR="008876BF" w:rsidRDefault="008876BF" w:rsidP="008876BF">
      <w:pPr>
        <w:pStyle w:val="BodyText"/>
        <w:spacing w:after="0"/>
        <w:ind w:left="1080" w:hanging="360"/>
      </w:pPr>
      <w:r>
        <w:t>1</w:t>
      </w:r>
      <w:r w:rsidR="006C11DE">
        <w:t>.</w:t>
      </w:r>
      <w:r>
        <w:tab/>
        <w:t>The Commission Clerk, or his or her designee, must be a signatory to the escrow agreement.</w:t>
      </w:r>
    </w:p>
    <w:p w:rsidR="008876BF" w:rsidRDefault="008876BF" w:rsidP="008876BF">
      <w:pPr>
        <w:pStyle w:val="BodyText"/>
        <w:spacing w:after="0"/>
        <w:ind w:left="1080" w:hanging="360"/>
      </w:pPr>
      <w:r>
        <w:t>2</w:t>
      </w:r>
      <w:r w:rsidR="006C11DE">
        <w:t>.</w:t>
      </w:r>
      <w:r>
        <w:tab/>
        <w:t>No monies in the escrow account may be withdrawn by the Utility without the prior written authorization of the Commission Clerk, or his or her designee.</w:t>
      </w:r>
    </w:p>
    <w:p w:rsidR="008876BF" w:rsidRDefault="008876BF" w:rsidP="008876BF">
      <w:pPr>
        <w:pStyle w:val="BodyText"/>
        <w:spacing w:after="0"/>
        <w:ind w:left="1080" w:hanging="360"/>
      </w:pPr>
      <w:r>
        <w:t>3</w:t>
      </w:r>
      <w:r w:rsidR="006C11DE">
        <w:t>.</w:t>
      </w:r>
      <w:r>
        <w:tab/>
        <w:t>The escrow account shall be an interest bearing account.</w:t>
      </w:r>
    </w:p>
    <w:p w:rsidR="008876BF" w:rsidRDefault="008876BF" w:rsidP="008876BF">
      <w:pPr>
        <w:pStyle w:val="BodyText"/>
        <w:spacing w:after="0"/>
        <w:ind w:left="1080" w:hanging="360"/>
      </w:pPr>
      <w:r>
        <w:t>4</w:t>
      </w:r>
      <w:r w:rsidR="006C11DE">
        <w:t>.</w:t>
      </w:r>
      <w:r>
        <w:tab/>
        <w:t>If a refund to the customers is required, all interest earned by the escrow account shall be distributed to the customers.</w:t>
      </w:r>
    </w:p>
    <w:p w:rsidR="008876BF" w:rsidRDefault="008876BF" w:rsidP="008876BF">
      <w:pPr>
        <w:pStyle w:val="BodyText"/>
        <w:spacing w:after="0"/>
        <w:ind w:left="1080" w:hanging="360"/>
      </w:pPr>
      <w:r>
        <w:t>5</w:t>
      </w:r>
      <w:r w:rsidR="006C11DE">
        <w:t>.</w:t>
      </w:r>
      <w:r>
        <w:tab/>
        <w:t>If a refund to the customers is not required, the interest earned by the escrow account shall revert to the Utility.</w:t>
      </w:r>
    </w:p>
    <w:p w:rsidR="008876BF" w:rsidRDefault="008876BF" w:rsidP="008876BF">
      <w:pPr>
        <w:pStyle w:val="BodyText"/>
        <w:spacing w:after="0"/>
        <w:ind w:left="1080" w:hanging="360"/>
      </w:pPr>
      <w:r>
        <w:t>6</w:t>
      </w:r>
      <w:r w:rsidR="006C11DE">
        <w:t>.</w:t>
      </w:r>
      <w:r>
        <w:tab/>
        <w:t>All information on the escrow account shall be available from the holder of the escrow account to a Commission representative at all times.</w:t>
      </w:r>
    </w:p>
    <w:p w:rsidR="008876BF" w:rsidRDefault="008876BF" w:rsidP="008876BF">
      <w:pPr>
        <w:pStyle w:val="BodyText"/>
        <w:spacing w:after="0"/>
        <w:ind w:left="1080" w:hanging="360"/>
      </w:pPr>
      <w:r>
        <w:t>7</w:t>
      </w:r>
      <w:r w:rsidR="006C11DE">
        <w:t>.</w:t>
      </w:r>
      <w:r>
        <w:tab/>
        <w:t>The amount of revenue subject to refund shall be deposited in the escrow account within seven days of receipt.</w:t>
      </w:r>
    </w:p>
    <w:p w:rsidR="008876BF" w:rsidRDefault="008876BF" w:rsidP="008876BF">
      <w:pPr>
        <w:pStyle w:val="BodyText"/>
        <w:spacing w:after="0"/>
        <w:ind w:left="1080" w:hanging="360"/>
      </w:pPr>
      <w:r>
        <w:t>8</w:t>
      </w:r>
      <w:r w:rsidR="006C11DE">
        <w:t>.</w:t>
      </w:r>
      <w:r>
        <w:tab/>
        <w:t>This escrow account is established by the direction of the Florida Public Service Commission for the purpose(s) set forth in its order requiring such account. Pursuant to Cosentino v. Elson, 263 So. 2d 253 (Fla. 3d DCA 1972), escrow accounts are not subject to garnishments.</w:t>
      </w:r>
    </w:p>
    <w:p w:rsidR="008876BF" w:rsidRDefault="008876BF" w:rsidP="008876BF">
      <w:pPr>
        <w:pStyle w:val="BodyText"/>
        <w:ind w:left="1080" w:hanging="360"/>
      </w:pPr>
      <w:r>
        <w:t>9</w:t>
      </w:r>
      <w:r w:rsidR="006C11DE">
        <w:t>.</w:t>
      </w:r>
      <w:r>
        <w:tab/>
        <w:t>The account must specify by whom and on whose behalf such monies were paid.</w:t>
      </w:r>
    </w:p>
    <w:p w:rsidR="008876BF" w:rsidRPr="00F04DBD" w:rsidRDefault="008876BF" w:rsidP="008876BF">
      <w:pPr>
        <w:pStyle w:val="BodyText"/>
      </w:pPr>
      <w:r w:rsidRPr="00F04DBD">
        <w:t xml:space="preserve">In no instance should the maintenance and administrative costs associated with the refund be borne by the customers. These costs are the responsibility of, and should be borne by, the </w:t>
      </w:r>
      <w:r>
        <w:t>Utility</w:t>
      </w:r>
      <w:r w:rsidRPr="00F04DBD">
        <w:t xml:space="preserve">. Irrespective of the form of security chosen by the </w:t>
      </w:r>
      <w:r>
        <w:t>Utility</w:t>
      </w:r>
      <w:r w:rsidRPr="00F04DBD">
        <w:t xml:space="preserve">, an account of all monies received as a result of the rate increase should be maintained by the </w:t>
      </w:r>
      <w:r>
        <w:t>Utility</w:t>
      </w:r>
      <w:r w:rsidRPr="00F04DBD">
        <w:t>. If a refund is ultimately required, it should be paid with interest calculated pursuant to Rule 25-30.360(4), F.A.C.</w:t>
      </w:r>
    </w:p>
    <w:p w:rsidR="00BA4529" w:rsidRDefault="008876BF" w:rsidP="008876BF">
      <w:pPr>
        <w:pStyle w:val="BodyText"/>
      </w:pPr>
      <w:r w:rsidRPr="00F04DBD">
        <w:t xml:space="preserve">The </w:t>
      </w:r>
      <w:r>
        <w:t>Utility</w:t>
      </w:r>
      <w:r w:rsidRPr="00F04DBD">
        <w:t xml:space="preserve"> should maintain a record of the amount of the bond, and the amount of revenues that are subject to refund. In addition, after the increased rates are in effect, pursuant to Rule 25-30.360(6), F.A.C., the </w:t>
      </w:r>
      <w:r>
        <w:t>Utility</w:t>
      </w:r>
      <w:r w:rsidRPr="00F04DBD">
        <w:t xml:space="preserve"> should file reports with the Commission Clerk’s office no later than the </w:t>
      </w:r>
      <w:r w:rsidR="00432271">
        <w:t>twentie</w:t>
      </w:r>
      <w:r w:rsidRPr="00F04DBD">
        <w:t>th of every month indicating the monthly and total amount of money subject to refund at the end of the preceding month. The report filed should also indicate the status of the security being used to guarantee repayment of any potential refund</w:t>
      </w:r>
      <w:r w:rsidR="00DA54CE">
        <w:t>.</w:t>
      </w:r>
    </w:p>
    <w:p w:rsidR="00BA4529" w:rsidRDefault="00BA4529">
      <w:pPr>
        <w:pStyle w:val="IssueHeading"/>
        <w:rPr>
          <w:vanish/>
          <w:specVanish/>
        </w:rPr>
      </w:pPr>
      <w:r w:rsidRPr="004C3641">
        <w:rPr>
          <w:b w:val="0"/>
          <w:i w:val="0"/>
        </w:rPr>
        <w:br w:type="page"/>
      </w:r>
      <w:r w:rsidRPr="004C3641">
        <w:lastRenderedPageBreak/>
        <w:t xml:space="preserve">Issue </w:t>
      </w:r>
      <w:r w:rsidR="00F852FE">
        <w:fldChar w:fldCharType="begin"/>
      </w:r>
      <w:r w:rsidR="00F852FE">
        <w:instrText xml:space="preserve"> SEQ Issue \* MERGEFORMAT </w:instrText>
      </w:r>
      <w:r w:rsidR="00F852FE">
        <w:fldChar w:fldCharType="separate"/>
      </w:r>
      <w:r w:rsidR="004E0887">
        <w:rPr>
          <w:noProof/>
        </w:rPr>
        <w:t>14</w:t>
      </w:r>
      <w:r w:rsidR="00F852FE">
        <w:rPr>
          <w:noProof/>
        </w:rPr>
        <w:fldChar w:fldCharType="end"/>
      </w:r>
      <w:r w:rsidRPr="004C3641">
        <w:t>:</w:t>
      </w:r>
      <w:r>
        <w:fldChar w:fldCharType="begin"/>
      </w:r>
      <w:r>
        <w:instrText xml:space="preserve"> TC "</w:instrText>
      </w:r>
      <w:bookmarkStart w:id="32" w:name="_Toc443485024"/>
      <w:r>
        <w:instrText xml:space="preserve">Issue </w:instrText>
      </w:r>
      <w:r>
        <w:fldChar w:fldCharType="begin"/>
      </w:r>
      <w:r>
        <w:instrText xml:space="preserve"> SEQ issue \c </w:instrText>
      </w:r>
      <w:r>
        <w:fldChar w:fldCharType="separate"/>
      </w:r>
      <w:r w:rsidR="004E0887">
        <w:rPr>
          <w:noProof/>
        </w:rPr>
        <w:instrText>14</w:instrText>
      </w:r>
      <w:r>
        <w:fldChar w:fldCharType="end"/>
      </w:r>
      <w:r>
        <w:instrText xml:space="preserve"> Proof of Adjustments</w:instrText>
      </w:r>
      <w:bookmarkEnd w:id="32"/>
      <w:r>
        <w:instrText xml:space="preserve">" \l 1 </w:instrText>
      </w:r>
      <w:r>
        <w:fldChar w:fldCharType="end"/>
      </w:r>
      <w:r>
        <w:t> </w:t>
      </w:r>
    </w:p>
    <w:p w:rsidR="00432271" w:rsidRDefault="00BA4529" w:rsidP="00432271">
      <w:pPr>
        <w:pStyle w:val="BodyText"/>
      </w:pPr>
      <w:r>
        <w:t> </w:t>
      </w:r>
      <w:r w:rsidR="00432271" w:rsidRPr="001677BB">
        <w:t>Should Alturas</w:t>
      </w:r>
      <w:r w:rsidR="00432271" w:rsidRPr="00F04DBD">
        <w:t xml:space="preserve"> be required to </w:t>
      </w:r>
      <w:r w:rsidR="00432271">
        <w:t>notify the Commission, in writing, that it has</w:t>
      </w:r>
      <w:r w:rsidR="00432271" w:rsidRPr="00F04DBD">
        <w:t xml:space="preserve"> adjusted its books</w:t>
      </w:r>
      <w:r w:rsidR="00432271">
        <w:t xml:space="preserve"> in accordance with the Commission’s decision</w:t>
      </w:r>
      <w:r w:rsidR="00432271" w:rsidRPr="00F04DBD">
        <w:t>?</w:t>
      </w:r>
    </w:p>
    <w:p w:rsidR="00432271" w:rsidRPr="004C3641" w:rsidRDefault="00432271" w:rsidP="00432271">
      <w:pPr>
        <w:pStyle w:val="IssueSubsectionHeading"/>
        <w:rPr>
          <w:vanish/>
          <w:specVanish/>
        </w:rPr>
      </w:pPr>
      <w:r w:rsidRPr="004C3641">
        <w:t>Recommendation: </w:t>
      </w:r>
    </w:p>
    <w:p w:rsidR="00432271" w:rsidRDefault="00432271" w:rsidP="00432271">
      <w:pPr>
        <w:pStyle w:val="BodyText"/>
      </w:pPr>
      <w:r>
        <w:t> </w:t>
      </w:r>
      <w:r w:rsidRPr="00F04DBD">
        <w:t xml:space="preserve">Yes. The </w:t>
      </w:r>
      <w:r>
        <w:t>Utility</w:t>
      </w:r>
      <w:r w:rsidRPr="00F04DBD">
        <w:t xml:space="preserve"> should be required to notify the Commission, in writing, that it has adjusted its books in accordance with the Commission</w:t>
      </w:r>
      <w:r w:rsidR="00A74818">
        <w:t>’</w:t>
      </w:r>
      <w:r w:rsidRPr="00F04DBD">
        <w:t xml:space="preserve">s decision. </w:t>
      </w:r>
      <w:r>
        <w:t xml:space="preserve">Alturas </w:t>
      </w:r>
      <w:r w:rsidRPr="00F04DBD">
        <w:t xml:space="preserve">should submit a letter within 90 days of the final order in this docket, confirming that the adjustments to all the applicable NARUC USOA </w:t>
      </w:r>
      <w:r>
        <w:t xml:space="preserve">primary </w:t>
      </w:r>
      <w:r w:rsidRPr="00F04DBD">
        <w:t xml:space="preserve">accounts </w:t>
      </w:r>
      <w:r>
        <w:t xml:space="preserve">as shown on Schedule No. 5 </w:t>
      </w:r>
      <w:r w:rsidRPr="00F04DBD">
        <w:t xml:space="preserve">have been made to the </w:t>
      </w:r>
      <w:r>
        <w:t>Utility</w:t>
      </w:r>
      <w:r w:rsidRPr="00F04DBD">
        <w:t>’s books and records.</w:t>
      </w:r>
      <w:r>
        <w:t xml:space="preserve"> </w:t>
      </w:r>
      <w:r w:rsidRPr="00F04DBD">
        <w:t xml:space="preserve">In the event the </w:t>
      </w:r>
      <w:r>
        <w:t>Utility</w:t>
      </w:r>
      <w:r w:rsidRPr="00F04DBD">
        <w:t xml:space="preserve"> needs additional time to complete the adjustments, notice should be provided within seven days prior to deadline. Upon providing good cause, staff should be given administrative authority to grant an extension of up to 60 days.</w:t>
      </w:r>
      <w:r>
        <w:t xml:space="preserve"> </w:t>
      </w:r>
      <w:r w:rsidRPr="00843119">
        <w:t xml:space="preserve">In addition, the </w:t>
      </w:r>
      <w:r>
        <w:t>Utility</w:t>
      </w:r>
      <w:r w:rsidRPr="00843119">
        <w:t xml:space="preserve"> should be required to maintain its books and records on a monthly basis in accordance with the NARUC USOA.</w:t>
      </w:r>
      <w:r w:rsidRPr="00127FDD">
        <w:t xml:space="preserve"> (Golden, Vogel)</w:t>
      </w:r>
    </w:p>
    <w:p w:rsidR="00432271" w:rsidRPr="004C3641" w:rsidRDefault="00432271" w:rsidP="00432271">
      <w:pPr>
        <w:pStyle w:val="IssueSubsectionHeading"/>
        <w:rPr>
          <w:vanish/>
          <w:specVanish/>
        </w:rPr>
      </w:pPr>
      <w:r w:rsidRPr="004C3641">
        <w:t>Staff Analysis: </w:t>
      </w:r>
    </w:p>
    <w:p w:rsidR="00432271" w:rsidRDefault="00432271" w:rsidP="00432271">
      <w:pPr>
        <w:autoSpaceDE w:val="0"/>
        <w:autoSpaceDN w:val="0"/>
        <w:adjustRightInd w:val="0"/>
        <w:spacing w:after="240"/>
        <w:jc w:val="both"/>
      </w:pPr>
      <w:r>
        <w:t> </w:t>
      </w:r>
      <w:r w:rsidRPr="00F04DBD">
        <w:t xml:space="preserve">The </w:t>
      </w:r>
      <w:r>
        <w:t>Utility</w:t>
      </w:r>
      <w:r w:rsidRPr="00F04DBD">
        <w:t xml:space="preserve"> should be required to notify the Commission, in writing that it has adjusted its books in accordance with the Commission's decision. </w:t>
      </w:r>
      <w:r>
        <w:t xml:space="preserve">Schedule No. 5 reflects the accumulated </w:t>
      </w:r>
      <w:r w:rsidRPr="00F04DBD">
        <w:t>plant</w:t>
      </w:r>
      <w:r>
        <w:t>, d</w:t>
      </w:r>
      <w:r w:rsidRPr="00F04DBD">
        <w:t>epreciation</w:t>
      </w:r>
      <w:r>
        <w:t xml:space="preserve">, CIAC, and amortization of CIAC balances as of December 31, 2014. Alturas </w:t>
      </w:r>
      <w:r w:rsidRPr="00F04DBD">
        <w:t xml:space="preserve">should submit a letter within 90 days of the final order in this docket, confirming that the adjustments to all the applicable NARUC USOA </w:t>
      </w:r>
      <w:r>
        <w:t xml:space="preserve">primary </w:t>
      </w:r>
      <w:r w:rsidRPr="00F04DBD">
        <w:t xml:space="preserve">accounts </w:t>
      </w:r>
      <w:r>
        <w:t xml:space="preserve">as shown on Schedule No. 5 </w:t>
      </w:r>
      <w:r w:rsidRPr="00F04DBD">
        <w:t xml:space="preserve">have been made to the </w:t>
      </w:r>
      <w:r>
        <w:t>Utility</w:t>
      </w:r>
      <w:r w:rsidRPr="00F04DBD">
        <w:t xml:space="preserve">’s books and records. In the event the </w:t>
      </w:r>
      <w:r>
        <w:t>Utility</w:t>
      </w:r>
      <w:r w:rsidRPr="00F04DBD">
        <w:t xml:space="preserve"> needs additional time to complete the adjustments, notice should be provided within seven days prior to deadline. Upon providing good cause, staff should be given administrative authority to grant an extension of up to 60 days.</w:t>
      </w:r>
    </w:p>
    <w:p w:rsidR="00432271" w:rsidRDefault="00432271" w:rsidP="00432271">
      <w:pPr>
        <w:pStyle w:val="BodyText"/>
      </w:pPr>
      <w:r w:rsidRPr="00843119">
        <w:t>In addition, as discussed in Issues 4 and 7, R</w:t>
      </w:r>
      <w:r w:rsidRPr="00072BD0">
        <w:t xml:space="preserve">ule 25-30.115, F.A.C., requires that water and wastewater utilities maintain their accounts and records in conformity with the 1996 NARUC USOA. The </w:t>
      </w:r>
      <w:r>
        <w:t>Utility</w:t>
      </w:r>
      <w:r w:rsidRPr="00072BD0">
        <w:t xml:space="preserve"> is not currently maintaining its books and records on a monthly basis as required. The lack of properly maintained books and records proved to be a significant impediment to the audit staff, substantially increasing the work required to process the audit for this docket, as well as the audit in the </w:t>
      </w:r>
      <w:r>
        <w:t>Sunrise</w:t>
      </w:r>
      <w:r w:rsidRPr="00072BD0">
        <w:t xml:space="preserve"> SARC docket. </w:t>
      </w:r>
      <w:r>
        <w:t xml:space="preserve">The lack of properly maintained books and records also proved to be a significant impediment to technical staff’s work on this docket as well. </w:t>
      </w:r>
      <w:r w:rsidRPr="00072BD0">
        <w:t>Further, staff believes the lack of frequent bookkeeping activities may hinder the Utility’s ability to detect and respond to cash flow concerns on a more regular basis. Therefore, staff recommends that the Utility be required to maintain its books and records on a monthly basis in accordance with the NARUC USOA</w:t>
      </w:r>
      <w:r>
        <w:t xml:space="preserve">. </w:t>
      </w:r>
    </w:p>
    <w:p w:rsidR="00BA4529" w:rsidRDefault="00432271" w:rsidP="00432271">
      <w:pPr>
        <w:pStyle w:val="BodyText"/>
      </w:pPr>
      <w:r>
        <w:t xml:space="preserve">Due to the Utility’s recent efforts to hire a contractual accountant to begin maintaining the books and records going forward, staff does not believe it is necessary to initiate a show cause proceeding at this time. However, staff believes the Utility should be put on notice that if the Utility’s books and records are found to be out of compliance with Commission regulations in the future, the Utility may be subject to a show cause </w:t>
      </w:r>
      <w:r w:rsidR="00047FE8">
        <w:t>proceeding by the Commission including penalties</w:t>
      </w:r>
      <w:r w:rsidR="000C6F60">
        <w:t>.</w:t>
      </w:r>
    </w:p>
    <w:p w:rsidR="00BA4529" w:rsidRDefault="00BA4529">
      <w:pPr>
        <w:pStyle w:val="IssueHeading"/>
        <w:rPr>
          <w:vanish/>
          <w:specVanish/>
        </w:rPr>
      </w:pPr>
      <w:r w:rsidRPr="004C3641">
        <w:rPr>
          <w:b w:val="0"/>
          <w:i w:val="0"/>
        </w:rPr>
        <w:br w:type="page"/>
      </w:r>
      <w:r w:rsidRPr="004C3641">
        <w:lastRenderedPageBreak/>
        <w:t xml:space="preserve">Issue </w:t>
      </w:r>
      <w:r w:rsidR="00F852FE">
        <w:fldChar w:fldCharType="begin"/>
      </w:r>
      <w:r w:rsidR="00F852FE">
        <w:instrText xml:space="preserve"> SEQ Issue \* MERGEFORMAT </w:instrText>
      </w:r>
      <w:r w:rsidR="00F852FE">
        <w:fldChar w:fldCharType="separate"/>
      </w:r>
      <w:r w:rsidR="004E0887">
        <w:rPr>
          <w:noProof/>
        </w:rPr>
        <w:t>15</w:t>
      </w:r>
      <w:r w:rsidR="00F852FE">
        <w:rPr>
          <w:noProof/>
        </w:rPr>
        <w:fldChar w:fldCharType="end"/>
      </w:r>
      <w:r w:rsidRPr="004C3641">
        <w:t>:</w:t>
      </w:r>
      <w:r>
        <w:fldChar w:fldCharType="begin"/>
      </w:r>
      <w:r>
        <w:instrText xml:space="preserve"> TC "</w:instrText>
      </w:r>
      <w:bookmarkStart w:id="33" w:name="_Toc443485025"/>
      <w:r>
        <w:instrText xml:space="preserve">Issue </w:instrText>
      </w:r>
      <w:r>
        <w:fldChar w:fldCharType="begin"/>
      </w:r>
      <w:r>
        <w:instrText xml:space="preserve"> SEQ issue \c </w:instrText>
      </w:r>
      <w:r>
        <w:fldChar w:fldCharType="separate"/>
      </w:r>
      <w:r w:rsidR="004E0887">
        <w:rPr>
          <w:noProof/>
        </w:rPr>
        <w:instrText>15</w:instrText>
      </w:r>
      <w:r>
        <w:fldChar w:fldCharType="end"/>
      </w:r>
      <w:r>
        <w:instrText xml:space="preserve"> Close Docket</w:instrText>
      </w:r>
      <w:bookmarkEnd w:id="33"/>
      <w:r>
        <w:instrText xml:space="preserve">" \l 1 </w:instrText>
      </w:r>
      <w:r>
        <w:fldChar w:fldCharType="end"/>
      </w:r>
      <w:r>
        <w:t> </w:t>
      </w:r>
    </w:p>
    <w:p w:rsidR="00BA4529" w:rsidRDefault="00BA4529">
      <w:pPr>
        <w:pStyle w:val="BodyText"/>
      </w:pPr>
      <w:r>
        <w:t> Should this docket be closed?</w:t>
      </w:r>
    </w:p>
    <w:p w:rsidR="00BA4529" w:rsidRPr="004C3641" w:rsidRDefault="00BA4529">
      <w:pPr>
        <w:pStyle w:val="IssueSubsectionHeading"/>
        <w:rPr>
          <w:vanish/>
          <w:specVanish/>
        </w:rPr>
      </w:pPr>
      <w:r w:rsidRPr="004C3641">
        <w:t>Recommendation: </w:t>
      </w:r>
    </w:p>
    <w:p w:rsidR="000C0137" w:rsidRPr="000C0137" w:rsidRDefault="00BA4529" w:rsidP="000C0137">
      <w:pPr>
        <w:jc w:val="both"/>
      </w:pPr>
      <w:r>
        <w:t> </w:t>
      </w:r>
      <w:r w:rsidR="000C0137">
        <w:t>No. If no person whose substantial interests are affected by the proposed agency action files a protest within 21 days of the issuance of the order, a consummating order will be issued. The docket should remain open for staff’s verification that the revised tariff sheets and customer notice have been filed by the Utility and approved by staff, and the Utility has provided staff with proof that the adjustments for all the applicable NARUC USOA primary accounts have been ma</w:t>
      </w:r>
      <w:r w:rsidR="000C0137" w:rsidRPr="000C0137">
        <w:t>de. Also, the docket should remain open to allow staff to verify that the Utility has adjusted its customer deposit records and all deposit amounts that may be owed to customers have been properly refunded and to verify the Utility has properly refunded the rate case expenses it over-collected. Once the above actions are completed this docket will be closed administratively. (Corbari)</w:t>
      </w:r>
    </w:p>
    <w:p w:rsidR="000C0137" w:rsidRPr="000C0137" w:rsidRDefault="000C0137" w:rsidP="000C0137">
      <w:pPr>
        <w:jc w:val="both"/>
      </w:pPr>
      <w:r w:rsidRPr="000C0137">
        <w:t xml:space="preserve"> </w:t>
      </w:r>
    </w:p>
    <w:p w:rsidR="000C0137" w:rsidRPr="000C0137" w:rsidRDefault="000C0137" w:rsidP="000C0137">
      <w:pPr>
        <w:pStyle w:val="IssueSubsectionHeading"/>
        <w:rPr>
          <w:vanish/>
          <w:specVanish/>
        </w:rPr>
      </w:pPr>
      <w:r w:rsidRPr="000C0137">
        <w:t>Staff Analysis: </w:t>
      </w:r>
    </w:p>
    <w:p w:rsidR="00A150D3" w:rsidRDefault="000C0137" w:rsidP="000C0137">
      <w:pPr>
        <w:jc w:val="both"/>
      </w:pPr>
      <w:r w:rsidRPr="000C0137">
        <w:t>If no person whose substantial interests are affected by the proposed agency action files a protest within 21 days of the issuance of the order, a consummating order will be issued. The docket should remain open for staff’s verification that the revised tariff sheets and customer notice have been filed by the Utility and approved by staff, and the Utility has provided staff with proof that the adjustments for all the applicable NARUC USOA primary accounts have been made. Also, the docket should remain open to allow staff to verify that the Utility has adjusted its customer deposit records and all deposit amounts that may be owed to customers have been properly refunded and to verify the Utility has properly refunded the rate case expenses it over-collected. Once the above actions are completed this docket will be closed administratively.</w:t>
      </w:r>
    </w:p>
    <w:p w:rsidR="00A150D3" w:rsidRDefault="00A150D3" w:rsidP="00A150D3">
      <w:pPr>
        <w:jc w:val="both"/>
        <w:rPr>
          <w:rFonts w:ascii="Calibri" w:hAnsi="Calibri"/>
          <w:sz w:val="22"/>
          <w:szCs w:val="22"/>
        </w:rPr>
      </w:pPr>
    </w:p>
    <w:p w:rsidR="00BA4529" w:rsidRDefault="00BA4529">
      <w:pPr>
        <w:pStyle w:val="BodyText"/>
      </w:pPr>
    </w:p>
    <w:p w:rsidR="00BA4529" w:rsidRDefault="00BA4529" w:rsidP="00E275D8">
      <w:pPr>
        <w:pStyle w:val="BodyText"/>
        <w:sectPr w:rsidR="00BA4529" w:rsidSect="0068481F">
          <w:pgSz w:w="12240" w:h="15840" w:code="1"/>
          <w:pgMar w:top="1584" w:right="1440" w:bottom="1440" w:left="1440" w:header="720" w:footer="720" w:gutter="0"/>
          <w:cols w:space="720"/>
          <w:formProt w:val="0"/>
          <w:docGrid w:linePitch="360"/>
        </w:sectPr>
      </w:pPr>
    </w:p>
    <w:p w:rsidR="00276AC3" w:rsidRDefault="00276AC3" w:rsidP="00E275D8">
      <w:pPr>
        <w:pStyle w:val="BodyText"/>
      </w:pPr>
    </w:p>
    <w:tbl>
      <w:tblPr>
        <w:tblW w:w="9376"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76"/>
        <w:gridCol w:w="3812"/>
        <w:gridCol w:w="238"/>
        <w:gridCol w:w="1491"/>
        <w:gridCol w:w="129"/>
        <w:gridCol w:w="736"/>
        <w:gridCol w:w="974"/>
        <w:gridCol w:w="1620"/>
      </w:tblGrid>
      <w:tr w:rsidR="00432271" w:rsidRPr="00F52F8B" w:rsidTr="00293B44">
        <w:trPr>
          <w:trHeight w:val="301"/>
          <w:jc w:val="center"/>
        </w:trPr>
        <w:tc>
          <w:tcPr>
            <w:tcW w:w="376" w:type="dxa"/>
            <w:shd w:val="clear" w:color="auto" w:fill="auto"/>
            <w:noWrap/>
            <w:vAlign w:val="bottom"/>
          </w:tcPr>
          <w:p w:rsidR="00432271" w:rsidRPr="00572F00" w:rsidRDefault="00432271" w:rsidP="00432271">
            <w:pPr>
              <w:rPr>
                <w:rFonts w:ascii="SWISS" w:hAnsi="SWISS" w:cs="Arial"/>
                <w:color w:val="000000"/>
                <w:sz w:val="20"/>
                <w:szCs w:val="20"/>
              </w:rPr>
            </w:pPr>
            <w:r w:rsidRPr="00572F00">
              <w:rPr>
                <w:rFonts w:ascii="SWISS" w:hAnsi="SWISS" w:cs="Arial"/>
                <w:color w:val="000000"/>
                <w:sz w:val="20"/>
                <w:szCs w:val="20"/>
              </w:rPr>
              <w:t> </w:t>
            </w:r>
          </w:p>
        </w:tc>
        <w:tc>
          <w:tcPr>
            <w:tcW w:w="5541" w:type="dxa"/>
            <w:gridSpan w:val="3"/>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b/>
                <w:bCs/>
                <w:color w:val="000000"/>
                <w:sz w:val="20"/>
                <w:szCs w:val="20"/>
              </w:rPr>
              <w:t>ALTURAS UTILITIES, L</w:t>
            </w:r>
            <w:r>
              <w:rPr>
                <w:rFonts w:ascii="SWISS" w:hAnsi="SWISS" w:cs="Arial"/>
                <w:b/>
                <w:bCs/>
                <w:color w:val="000000"/>
                <w:sz w:val="20"/>
                <w:szCs w:val="20"/>
              </w:rPr>
              <w:t>.</w:t>
            </w:r>
            <w:r w:rsidRPr="00F52F8B">
              <w:rPr>
                <w:rFonts w:ascii="SWISS" w:hAnsi="SWISS" w:cs="Arial"/>
                <w:b/>
                <w:bCs/>
                <w:color w:val="000000"/>
                <w:sz w:val="20"/>
                <w:szCs w:val="20"/>
              </w:rPr>
              <w:t>L</w:t>
            </w:r>
            <w:r>
              <w:rPr>
                <w:rFonts w:ascii="SWISS" w:hAnsi="SWISS" w:cs="Arial"/>
                <w:b/>
                <w:bCs/>
                <w:color w:val="000000"/>
                <w:sz w:val="20"/>
                <w:szCs w:val="20"/>
              </w:rPr>
              <w:t>.</w:t>
            </w:r>
            <w:r w:rsidRPr="00F52F8B">
              <w:rPr>
                <w:rFonts w:ascii="SWISS" w:hAnsi="SWISS" w:cs="Arial"/>
                <w:b/>
                <w:bCs/>
                <w:color w:val="000000"/>
                <w:sz w:val="20"/>
                <w:szCs w:val="20"/>
              </w:rPr>
              <w:t>C</w:t>
            </w:r>
            <w:r>
              <w:rPr>
                <w:rFonts w:ascii="SWISS" w:hAnsi="SWISS" w:cs="Arial"/>
                <w:b/>
                <w:bCs/>
                <w:color w:val="000000"/>
                <w:sz w:val="20"/>
                <w:szCs w:val="20"/>
              </w:rPr>
              <w:t>.</w:t>
            </w:r>
          </w:p>
        </w:tc>
        <w:tc>
          <w:tcPr>
            <w:tcW w:w="3459" w:type="dxa"/>
            <w:gridSpan w:val="4"/>
            <w:shd w:val="clear" w:color="auto" w:fill="auto"/>
            <w:noWrap/>
            <w:vAlign w:val="bottom"/>
          </w:tcPr>
          <w:p w:rsidR="00432271" w:rsidRPr="00F52F8B" w:rsidRDefault="00432271" w:rsidP="00432271">
            <w:pPr>
              <w:jc w:val="right"/>
              <w:rPr>
                <w:sz w:val="20"/>
                <w:szCs w:val="20"/>
              </w:rPr>
            </w:pPr>
            <w:r w:rsidRPr="00F52F8B">
              <w:rPr>
                <w:rFonts w:ascii="SWISS" w:hAnsi="SWISS" w:cs="Arial"/>
                <w:b/>
                <w:bCs/>
                <w:color w:val="000000"/>
                <w:sz w:val="20"/>
                <w:szCs w:val="20"/>
              </w:rPr>
              <w:t>SCHEDULE NO. 1-A</w:t>
            </w:r>
            <w:r w:rsidRPr="00F52F8B">
              <w:rPr>
                <w:sz w:val="20"/>
                <w:szCs w:val="20"/>
              </w:rPr>
              <w:fldChar w:fldCharType="begin"/>
            </w:r>
            <w:r w:rsidRPr="00F52F8B">
              <w:rPr>
                <w:sz w:val="20"/>
                <w:szCs w:val="20"/>
              </w:rPr>
              <w:instrText xml:space="preserve"> TC "</w:instrText>
            </w:r>
            <w:bookmarkStart w:id="34" w:name="_Toc399147316"/>
            <w:r w:rsidRPr="00F52F8B">
              <w:rPr>
                <w:sz w:val="20"/>
                <w:szCs w:val="20"/>
              </w:rPr>
              <w:tab/>
            </w:r>
            <w:bookmarkStart w:id="35" w:name="_Toc422220886"/>
            <w:bookmarkStart w:id="36" w:name="_Toc442961344"/>
            <w:bookmarkStart w:id="37" w:name="_Toc443485026"/>
            <w:r w:rsidRPr="00F52F8B">
              <w:rPr>
                <w:sz w:val="20"/>
                <w:szCs w:val="20"/>
              </w:rPr>
              <w:instrText>Schedule No. 1-A Water Rate Base</w:instrText>
            </w:r>
            <w:bookmarkEnd w:id="34"/>
            <w:bookmarkEnd w:id="35"/>
            <w:bookmarkEnd w:id="36"/>
            <w:bookmarkEnd w:id="37"/>
            <w:r w:rsidRPr="00F52F8B">
              <w:rPr>
                <w:sz w:val="20"/>
                <w:szCs w:val="20"/>
              </w:rPr>
              <w:instrText xml:space="preserve">”l 1 </w:instrText>
            </w:r>
            <w:r w:rsidRPr="00F52F8B">
              <w:rPr>
                <w:sz w:val="20"/>
                <w:szCs w:val="20"/>
              </w:rPr>
              <w:fldChar w:fldCharType="end"/>
            </w:r>
          </w:p>
        </w:tc>
      </w:tr>
      <w:tr w:rsidR="00432271" w:rsidRPr="00F52F8B" w:rsidTr="00293B44">
        <w:trPr>
          <w:trHeight w:val="301"/>
          <w:jc w:val="center"/>
        </w:trPr>
        <w:tc>
          <w:tcPr>
            <w:tcW w:w="376" w:type="dxa"/>
            <w:tcBorders>
              <w:bottom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3812" w:type="dxa"/>
            <w:tcBorders>
              <w:bottom w:val="nil"/>
            </w:tcBorders>
            <w:shd w:val="clear" w:color="auto" w:fill="auto"/>
            <w:noWrap/>
            <w:vAlign w:val="bottom"/>
          </w:tcPr>
          <w:p w:rsidR="00432271" w:rsidRPr="00F52F8B" w:rsidRDefault="00432271" w:rsidP="00432271">
            <w:pPr>
              <w:rPr>
                <w:rFonts w:ascii="SWISS" w:hAnsi="SWISS" w:cs="Arial"/>
                <w:b/>
                <w:bCs/>
                <w:color w:val="000000"/>
                <w:sz w:val="20"/>
                <w:szCs w:val="20"/>
              </w:rPr>
            </w:pPr>
            <w:r w:rsidRPr="00F52F8B">
              <w:rPr>
                <w:rFonts w:ascii="SWISS" w:hAnsi="SWISS" w:cs="Arial"/>
                <w:b/>
                <w:bCs/>
                <w:color w:val="000000"/>
                <w:sz w:val="20"/>
                <w:szCs w:val="20"/>
              </w:rPr>
              <w:t>TEST YEAR ENDED  12/31/14</w:t>
            </w:r>
          </w:p>
        </w:tc>
        <w:tc>
          <w:tcPr>
            <w:tcW w:w="2594" w:type="dxa"/>
            <w:gridSpan w:val="4"/>
            <w:tcBorders>
              <w:bottom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2594" w:type="dxa"/>
            <w:gridSpan w:val="2"/>
            <w:tcBorders>
              <w:bottom w:val="nil"/>
            </w:tcBorders>
            <w:shd w:val="clear" w:color="auto" w:fill="auto"/>
            <w:noWrap/>
            <w:vAlign w:val="bottom"/>
          </w:tcPr>
          <w:p w:rsidR="00432271" w:rsidRPr="00F52F8B" w:rsidRDefault="00432271" w:rsidP="00432271">
            <w:pPr>
              <w:jc w:val="right"/>
              <w:rPr>
                <w:rFonts w:ascii="SWISS" w:hAnsi="SWISS" w:cs="Arial"/>
                <w:b/>
                <w:bCs/>
                <w:color w:val="000000"/>
                <w:sz w:val="20"/>
                <w:szCs w:val="20"/>
              </w:rPr>
            </w:pPr>
            <w:r w:rsidRPr="00F52F8B">
              <w:rPr>
                <w:rFonts w:ascii="SWISS" w:hAnsi="SWISS" w:cs="Arial"/>
                <w:b/>
                <w:bCs/>
                <w:color w:val="000000"/>
                <w:sz w:val="20"/>
                <w:szCs w:val="20"/>
              </w:rPr>
              <w:t>DOCKET NO</w:t>
            </w:r>
            <w:r>
              <w:rPr>
                <w:rFonts w:ascii="SWISS" w:hAnsi="SWISS" w:cs="Arial"/>
                <w:b/>
                <w:bCs/>
                <w:color w:val="000000"/>
                <w:sz w:val="20"/>
                <w:szCs w:val="20"/>
              </w:rPr>
              <w:t xml:space="preserve">. </w:t>
            </w:r>
            <w:r w:rsidRPr="00F52F8B">
              <w:rPr>
                <w:rFonts w:ascii="SWISS" w:hAnsi="SWISS" w:cs="Arial"/>
                <w:b/>
                <w:bCs/>
                <w:color w:val="000000"/>
                <w:sz w:val="20"/>
                <w:szCs w:val="20"/>
              </w:rPr>
              <w:t>140219-WU</w:t>
            </w:r>
          </w:p>
        </w:tc>
      </w:tr>
      <w:tr w:rsidR="00432271" w:rsidRPr="00F52F8B" w:rsidTr="00293B44">
        <w:trPr>
          <w:trHeight w:val="301"/>
          <w:jc w:val="center"/>
        </w:trPr>
        <w:tc>
          <w:tcPr>
            <w:tcW w:w="376" w:type="dxa"/>
            <w:tcBorders>
              <w:top w:val="nil"/>
              <w:bottom w:val="single" w:sz="12" w:space="0" w:color="000000"/>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5670" w:type="dxa"/>
            <w:gridSpan w:val="4"/>
            <w:tcBorders>
              <w:top w:val="nil"/>
              <w:bottom w:val="single" w:sz="12" w:space="0" w:color="000000"/>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b/>
                <w:bCs/>
                <w:color w:val="000000"/>
                <w:sz w:val="20"/>
                <w:szCs w:val="20"/>
              </w:rPr>
              <w:t>SCHEDULE OF WATER RATE BASE</w:t>
            </w:r>
          </w:p>
        </w:tc>
        <w:tc>
          <w:tcPr>
            <w:tcW w:w="1710" w:type="dxa"/>
            <w:gridSpan w:val="2"/>
            <w:tcBorders>
              <w:top w:val="nil"/>
              <w:bottom w:val="single" w:sz="12" w:space="0" w:color="000000"/>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620" w:type="dxa"/>
            <w:tcBorders>
              <w:top w:val="nil"/>
              <w:bottom w:val="single" w:sz="12" w:space="0" w:color="000000"/>
            </w:tcBorders>
            <w:shd w:val="clear" w:color="auto" w:fill="auto"/>
            <w:noWrap/>
            <w:vAlign w:val="bottom"/>
          </w:tcPr>
          <w:p w:rsidR="00432271" w:rsidRPr="00F52F8B" w:rsidRDefault="00432271" w:rsidP="00432271">
            <w:pPr>
              <w:rPr>
                <w:rFonts w:ascii="SWISS" w:hAnsi="SWISS" w:cs="Arial"/>
                <w:color w:val="000000"/>
                <w:sz w:val="20"/>
                <w:szCs w:val="20"/>
              </w:rPr>
            </w:pPr>
          </w:p>
        </w:tc>
      </w:tr>
      <w:tr w:rsidR="00432271" w:rsidRPr="00F52F8B" w:rsidTr="00293B44">
        <w:trPr>
          <w:trHeight w:val="301"/>
          <w:jc w:val="center"/>
        </w:trPr>
        <w:tc>
          <w:tcPr>
            <w:tcW w:w="376" w:type="dxa"/>
            <w:tcBorders>
              <w:top w:val="single" w:sz="12" w:space="0" w:color="000000"/>
            </w:tcBorders>
            <w:shd w:val="clear" w:color="auto" w:fill="auto"/>
            <w:noWrap/>
            <w:vAlign w:val="bottom"/>
          </w:tcPr>
          <w:p w:rsidR="00432271" w:rsidRPr="00F52F8B" w:rsidRDefault="00432271" w:rsidP="00432271">
            <w:pPr>
              <w:rPr>
                <w:rFonts w:ascii="SWISS" w:hAnsi="SWISS" w:cs="Arial"/>
                <w:b/>
                <w:color w:val="000000"/>
                <w:sz w:val="20"/>
                <w:szCs w:val="20"/>
              </w:rPr>
            </w:pPr>
            <w:r w:rsidRPr="00F52F8B">
              <w:rPr>
                <w:rFonts w:ascii="SWISS" w:hAnsi="SWISS" w:cs="Arial"/>
                <w:b/>
                <w:color w:val="000000"/>
                <w:sz w:val="20"/>
                <w:szCs w:val="20"/>
              </w:rPr>
              <w:t> </w:t>
            </w:r>
          </w:p>
        </w:tc>
        <w:tc>
          <w:tcPr>
            <w:tcW w:w="4050" w:type="dxa"/>
            <w:gridSpan w:val="2"/>
            <w:tcBorders>
              <w:top w:val="single" w:sz="12" w:space="0" w:color="000000"/>
            </w:tcBorders>
            <w:shd w:val="clear" w:color="auto" w:fill="auto"/>
            <w:noWrap/>
            <w:vAlign w:val="bottom"/>
          </w:tcPr>
          <w:p w:rsidR="00432271" w:rsidRPr="00F52F8B" w:rsidRDefault="00432271" w:rsidP="00432271">
            <w:pPr>
              <w:rPr>
                <w:rFonts w:ascii="SWISS" w:hAnsi="SWISS" w:cs="Arial"/>
                <w:b/>
                <w:color w:val="000000"/>
                <w:sz w:val="20"/>
                <w:szCs w:val="20"/>
              </w:rPr>
            </w:pPr>
            <w:r w:rsidRPr="00F52F8B">
              <w:rPr>
                <w:rFonts w:ascii="SWISS" w:hAnsi="SWISS" w:cs="Arial"/>
                <w:b/>
                <w:color w:val="000000"/>
                <w:sz w:val="20"/>
                <w:szCs w:val="20"/>
              </w:rPr>
              <w:t> </w:t>
            </w:r>
          </w:p>
        </w:tc>
        <w:tc>
          <w:tcPr>
            <w:tcW w:w="1620" w:type="dxa"/>
            <w:gridSpan w:val="2"/>
            <w:tcBorders>
              <w:top w:val="single" w:sz="12" w:space="0" w:color="000000"/>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BALANCE</w:t>
            </w:r>
          </w:p>
        </w:tc>
        <w:tc>
          <w:tcPr>
            <w:tcW w:w="1710" w:type="dxa"/>
            <w:gridSpan w:val="2"/>
            <w:tcBorders>
              <w:top w:val="single" w:sz="12" w:space="0" w:color="000000"/>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STAFF</w:t>
            </w:r>
          </w:p>
        </w:tc>
        <w:tc>
          <w:tcPr>
            <w:tcW w:w="1620" w:type="dxa"/>
            <w:tcBorders>
              <w:top w:val="single" w:sz="12" w:space="0" w:color="000000"/>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BALANCE</w:t>
            </w:r>
          </w:p>
        </w:tc>
      </w:tr>
      <w:tr w:rsidR="00432271" w:rsidRPr="00F52F8B" w:rsidTr="00946D10">
        <w:trPr>
          <w:trHeight w:val="301"/>
          <w:jc w:val="center"/>
        </w:trPr>
        <w:tc>
          <w:tcPr>
            <w:tcW w:w="376" w:type="dxa"/>
            <w:tcBorders>
              <w:bottom w:val="nil"/>
            </w:tcBorders>
            <w:shd w:val="clear" w:color="auto" w:fill="auto"/>
            <w:noWrap/>
            <w:vAlign w:val="bottom"/>
          </w:tcPr>
          <w:p w:rsidR="00432271" w:rsidRPr="00F52F8B" w:rsidRDefault="00432271" w:rsidP="00432271">
            <w:pPr>
              <w:rPr>
                <w:rFonts w:ascii="SWISS" w:hAnsi="SWISS" w:cs="Arial"/>
                <w:b/>
                <w:color w:val="000000"/>
                <w:sz w:val="20"/>
                <w:szCs w:val="20"/>
              </w:rPr>
            </w:pPr>
            <w:r w:rsidRPr="00F52F8B">
              <w:rPr>
                <w:rFonts w:ascii="SWISS" w:hAnsi="SWISS" w:cs="Arial"/>
                <w:b/>
                <w:color w:val="000000"/>
                <w:sz w:val="20"/>
                <w:szCs w:val="20"/>
              </w:rPr>
              <w:t> </w:t>
            </w:r>
          </w:p>
        </w:tc>
        <w:tc>
          <w:tcPr>
            <w:tcW w:w="4050" w:type="dxa"/>
            <w:gridSpan w:val="2"/>
            <w:tcBorders>
              <w:bottom w:val="nil"/>
            </w:tcBorders>
            <w:shd w:val="clear" w:color="auto" w:fill="auto"/>
            <w:noWrap/>
            <w:vAlign w:val="bottom"/>
          </w:tcPr>
          <w:p w:rsidR="00432271" w:rsidRPr="00F52F8B" w:rsidRDefault="00432271" w:rsidP="00432271">
            <w:pPr>
              <w:rPr>
                <w:rFonts w:ascii="SWISS" w:hAnsi="SWISS" w:cs="Arial"/>
                <w:b/>
                <w:color w:val="000000"/>
              </w:rPr>
            </w:pPr>
          </w:p>
        </w:tc>
        <w:tc>
          <w:tcPr>
            <w:tcW w:w="1620" w:type="dxa"/>
            <w:gridSpan w:val="2"/>
            <w:tcBorders>
              <w:bottom w:val="nil"/>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PER</w:t>
            </w:r>
          </w:p>
        </w:tc>
        <w:tc>
          <w:tcPr>
            <w:tcW w:w="1710" w:type="dxa"/>
            <w:gridSpan w:val="2"/>
            <w:tcBorders>
              <w:bottom w:val="nil"/>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ADJUST.</w:t>
            </w:r>
          </w:p>
        </w:tc>
        <w:tc>
          <w:tcPr>
            <w:tcW w:w="1620" w:type="dxa"/>
            <w:tcBorders>
              <w:bottom w:val="nil"/>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PER</w:t>
            </w:r>
          </w:p>
        </w:tc>
      </w:tr>
      <w:tr w:rsidR="00432271" w:rsidRPr="00F52F8B" w:rsidTr="00946D10">
        <w:trPr>
          <w:trHeight w:val="301"/>
          <w:jc w:val="center"/>
        </w:trPr>
        <w:tc>
          <w:tcPr>
            <w:tcW w:w="376" w:type="dxa"/>
            <w:tcBorders>
              <w:top w:val="nil"/>
              <w:bottom w:val="single" w:sz="8" w:space="0" w:color="000000"/>
              <w:right w:val="nil"/>
            </w:tcBorders>
            <w:shd w:val="clear" w:color="auto" w:fill="auto"/>
            <w:noWrap/>
            <w:vAlign w:val="bottom"/>
          </w:tcPr>
          <w:p w:rsidR="00432271" w:rsidRPr="00F52F8B" w:rsidRDefault="00432271" w:rsidP="00432271">
            <w:pPr>
              <w:rPr>
                <w:rFonts w:ascii="SWISS" w:hAnsi="SWISS" w:cs="Arial"/>
                <w:b/>
                <w:color w:val="000000"/>
                <w:sz w:val="20"/>
                <w:szCs w:val="20"/>
              </w:rPr>
            </w:pPr>
            <w:r w:rsidRPr="00F52F8B">
              <w:rPr>
                <w:rFonts w:ascii="SWISS" w:hAnsi="SWISS" w:cs="Arial"/>
                <w:b/>
                <w:color w:val="000000"/>
                <w:sz w:val="20"/>
                <w:szCs w:val="20"/>
              </w:rPr>
              <w:t> </w:t>
            </w:r>
          </w:p>
        </w:tc>
        <w:tc>
          <w:tcPr>
            <w:tcW w:w="4050" w:type="dxa"/>
            <w:gridSpan w:val="2"/>
            <w:tcBorders>
              <w:top w:val="nil"/>
              <w:left w:val="nil"/>
              <w:bottom w:val="single" w:sz="12" w:space="0" w:color="000000"/>
            </w:tcBorders>
            <w:shd w:val="clear" w:color="auto" w:fill="auto"/>
            <w:noWrap/>
            <w:vAlign w:val="bottom"/>
          </w:tcPr>
          <w:p w:rsidR="00432271" w:rsidRPr="00F52F8B" w:rsidRDefault="00432271" w:rsidP="00432271">
            <w:pPr>
              <w:rPr>
                <w:rFonts w:ascii="SWISS" w:hAnsi="SWISS" w:cs="Arial"/>
                <w:b/>
                <w:bCs/>
                <w:color w:val="000000"/>
                <w:sz w:val="20"/>
                <w:szCs w:val="20"/>
              </w:rPr>
            </w:pPr>
            <w:r w:rsidRPr="00F52F8B">
              <w:rPr>
                <w:rFonts w:ascii="SWISS" w:hAnsi="SWISS" w:cs="Arial"/>
                <w:b/>
                <w:bCs/>
                <w:color w:val="000000"/>
                <w:sz w:val="20"/>
                <w:szCs w:val="20"/>
              </w:rPr>
              <w:t>DESCRIPTION</w:t>
            </w:r>
          </w:p>
        </w:tc>
        <w:tc>
          <w:tcPr>
            <w:tcW w:w="1620" w:type="dxa"/>
            <w:gridSpan w:val="2"/>
            <w:tcBorders>
              <w:top w:val="nil"/>
              <w:bottom w:val="single" w:sz="12" w:space="0" w:color="000000"/>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UTILITY</w:t>
            </w:r>
          </w:p>
        </w:tc>
        <w:tc>
          <w:tcPr>
            <w:tcW w:w="1710" w:type="dxa"/>
            <w:gridSpan w:val="2"/>
            <w:tcBorders>
              <w:top w:val="nil"/>
              <w:bottom w:val="single" w:sz="12" w:space="0" w:color="000000"/>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TO UTIL. BAL.</w:t>
            </w:r>
          </w:p>
        </w:tc>
        <w:tc>
          <w:tcPr>
            <w:tcW w:w="1620" w:type="dxa"/>
            <w:tcBorders>
              <w:top w:val="nil"/>
              <w:bottom w:val="single" w:sz="12" w:space="0" w:color="000000"/>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STAFF</w:t>
            </w:r>
          </w:p>
        </w:tc>
      </w:tr>
      <w:tr w:rsidR="00432271" w:rsidRPr="00F52F8B" w:rsidTr="00946D10">
        <w:trPr>
          <w:trHeight w:val="301"/>
          <w:jc w:val="center"/>
        </w:trPr>
        <w:tc>
          <w:tcPr>
            <w:tcW w:w="376" w:type="dxa"/>
            <w:tcBorders>
              <w:top w:val="single" w:sz="8" w:space="0" w:color="000000"/>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tcBorders>
              <w:top w:val="single" w:sz="12" w:space="0" w:color="000000"/>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620" w:type="dxa"/>
            <w:gridSpan w:val="2"/>
            <w:tcBorders>
              <w:top w:val="single" w:sz="12" w:space="0" w:color="000000"/>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710" w:type="dxa"/>
            <w:gridSpan w:val="2"/>
            <w:tcBorders>
              <w:top w:val="single" w:sz="12" w:space="0" w:color="000000"/>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620" w:type="dxa"/>
            <w:tcBorders>
              <w:top w:val="single" w:sz="12" w:space="0" w:color="000000"/>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r>
      <w:tr w:rsidR="00432271" w:rsidRPr="00F52F8B" w:rsidTr="00293B44">
        <w:trPr>
          <w:trHeight w:val="301"/>
          <w:jc w:val="center"/>
        </w:trPr>
        <w:tc>
          <w:tcPr>
            <w:tcW w:w="376" w:type="dxa"/>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1.</w:t>
            </w:r>
          </w:p>
        </w:tc>
        <w:tc>
          <w:tcPr>
            <w:tcW w:w="4050" w:type="dxa"/>
            <w:gridSpan w:val="2"/>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UTILITY PLANT IN SERVICE</w:t>
            </w:r>
          </w:p>
        </w:tc>
        <w:tc>
          <w:tcPr>
            <w:tcW w:w="1620" w:type="dxa"/>
            <w:gridSpan w:val="2"/>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 xml:space="preserve">$59,612 </w:t>
            </w:r>
          </w:p>
        </w:tc>
        <w:tc>
          <w:tcPr>
            <w:tcW w:w="1710" w:type="dxa"/>
            <w:gridSpan w:val="2"/>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$5,316</w:t>
            </w:r>
          </w:p>
        </w:tc>
        <w:tc>
          <w:tcPr>
            <w:tcW w:w="1620" w:type="dxa"/>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 xml:space="preserve">$64,928 </w:t>
            </w:r>
          </w:p>
        </w:tc>
      </w:tr>
      <w:tr w:rsidR="00432271" w:rsidRPr="00F52F8B" w:rsidTr="00293B44">
        <w:trPr>
          <w:trHeight w:val="301"/>
          <w:jc w:val="center"/>
        </w:trPr>
        <w:tc>
          <w:tcPr>
            <w:tcW w:w="376" w:type="dxa"/>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shd w:val="clear" w:color="auto" w:fill="auto"/>
            <w:noWrap/>
            <w:vAlign w:val="bottom"/>
          </w:tcPr>
          <w:p w:rsidR="00432271" w:rsidRPr="00F52F8B" w:rsidRDefault="00432271" w:rsidP="00432271">
            <w:pPr>
              <w:rPr>
                <w:rFonts w:ascii="SWISS" w:hAnsi="SWISS" w:cs="Arial"/>
                <w:color w:val="000000"/>
                <w:sz w:val="20"/>
                <w:szCs w:val="20"/>
              </w:rPr>
            </w:pPr>
          </w:p>
        </w:tc>
        <w:tc>
          <w:tcPr>
            <w:tcW w:w="1620" w:type="dxa"/>
            <w:gridSpan w:val="2"/>
            <w:shd w:val="clear" w:color="auto" w:fill="auto"/>
            <w:noWrap/>
            <w:vAlign w:val="bottom"/>
          </w:tcPr>
          <w:p w:rsidR="00432271" w:rsidRPr="00F52F8B" w:rsidRDefault="00432271" w:rsidP="00432271">
            <w:pPr>
              <w:jc w:val="right"/>
              <w:rPr>
                <w:rFonts w:ascii="SWISS" w:hAnsi="SWISS" w:cs="Arial"/>
                <w:color w:val="000000"/>
                <w:sz w:val="20"/>
                <w:szCs w:val="20"/>
              </w:rPr>
            </w:pPr>
          </w:p>
        </w:tc>
        <w:tc>
          <w:tcPr>
            <w:tcW w:w="1710" w:type="dxa"/>
            <w:gridSpan w:val="2"/>
            <w:shd w:val="clear" w:color="auto" w:fill="auto"/>
            <w:noWrap/>
            <w:vAlign w:val="bottom"/>
          </w:tcPr>
          <w:p w:rsidR="00432271" w:rsidRPr="00F52F8B" w:rsidRDefault="00432271" w:rsidP="00432271">
            <w:pPr>
              <w:jc w:val="right"/>
              <w:rPr>
                <w:rFonts w:ascii="SWISS" w:hAnsi="SWISS" w:cs="Arial"/>
                <w:color w:val="000000"/>
                <w:sz w:val="20"/>
                <w:szCs w:val="20"/>
              </w:rPr>
            </w:pPr>
          </w:p>
        </w:tc>
        <w:tc>
          <w:tcPr>
            <w:tcW w:w="1620" w:type="dxa"/>
            <w:shd w:val="clear" w:color="auto" w:fill="auto"/>
            <w:noWrap/>
            <w:vAlign w:val="bottom"/>
          </w:tcPr>
          <w:p w:rsidR="00432271" w:rsidRPr="00F52F8B" w:rsidRDefault="00432271" w:rsidP="00432271">
            <w:pPr>
              <w:jc w:val="right"/>
              <w:rPr>
                <w:rFonts w:ascii="SWISS" w:hAnsi="SWISS" w:cs="Arial"/>
                <w:color w:val="000000"/>
                <w:sz w:val="20"/>
                <w:szCs w:val="20"/>
              </w:rPr>
            </w:pPr>
          </w:p>
        </w:tc>
      </w:tr>
      <w:tr w:rsidR="00432271" w:rsidRPr="00F52F8B" w:rsidTr="00293B44">
        <w:trPr>
          <w:trHeight w:val="301"/>
          <w:jc w:val="center"/>
        </w:trPr>
        <w:tc>
          <w:tcPr>
            <w:tcW w:w="376" w:type="dxa"/>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2.</w:t>
            </w:r>
          </w:p>
        </w:tc>
        <w:tc>
          <w:tcPr>
            <w:tcW w:w="4050" w:type="dxa"/>
            <w:gridSpan w:val="2"/>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LAND &amp; LAND RIGHTS</w:t>
            </w:r>
          </w:p>
        </w:tc>
        <w:tc>
          <w:tcPr>
            <w:tcW w:w="1620" w:type="dxa"/>
            <w:gridSpan w:val="2"/>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 xml:space="preserve">500 </w:t>
            </w:r>
          </w:p>
        </w:tc>
        <w:tc>
          <w:tcPr>
            <w:tcW w:w="1710" w:type="dxa"/>
            <w:gridSpan w:val="2"/>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 xml:space="preserve">0 </w:t>
            </w:r>
          </w:p>
        </w:tc>
        <w:tc>
          <w:tcPr>
            <w:tcW w:w="1620" w:type="dxa"/>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 xml:space="preserve">500 </w:t>
            </w:r>
          </w:p>
        </w:tc>
      </w:tr>
      <w:tr w:rsidR="00432271" w:rsidRPr="00F52F8B" w:rsidTr="00293B44">
        <w:trPr>
          <w:trHeight w:val="301"/>
          <w:jc w:val="center"/>
        </w:trPr>
        <w:tc>
          <w:tcPr>
            <w:tcW w:w="376" w:type="dxa"/>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shd w:val="clear" w:color="auto" w:fill="auto"/>
            <w:noWrap/>
            <w:vAlign w:val="bottom"/>
          </w:tcPr>
          <w:p w:rsidR="00432271" w:rsidRPr="00F52F8B" w:rsidRDefault="00432271" w:rsidP="00432271">
            <w:pPr>
              <w:rPr>
                <w:rFonts w:ascii="SWISS" w:hAnsi="SWISS" w:cs="Arial"/>
                <w:color w:val="000000"/>
                <w:sz w:val="20"/>
                <w:szCs w:val="20"/>
              </w:rPr>
            </w:pPr>
          </w:p>
        </w:tc>
        <w:tc>
          <w:tcPr>
            <w:tcW w:w="1620" w:type="dxa"/>
            <w:gridSpan w:val="2"/>
            <w:shd w:val="clear" w:color="auto" w:fill="auto"/>
            <w:noWrap/>
            <w:vAlign w:val="bottom"/>
          </w:tcPr>
          <w:p w:rsidR="00432271" w:rsidRPr="00F52F8B" w:rsidRDefault="00432271" w:rsidP="00432271">
            <w:pPr>
              <w:jc w:val="right"/>
              <w:rPr>
                <w:rFonts w:ascii="SWISS" w:hAnsi="SWISS" w:cs="Arial"/>
                <w:color w:val="000000"/>
                <w:sz w:val="20"/>
                <w:szCs w:val="20"/>
              </w:rPr>
            </w:pPr>
          </w:p>
        </w:tc>
        <w:tc>
          <w:tcPr>
            <w:tcW w:w="1710" w:type="dxa"/>
            <w:gridSpan w:val="2"/>
            <w:shd w:val="clear" w:color="auto" w:fill="auto"/>
            <w:noWrap/>
            <w:vAlign w:val="bottom"/>
          </w:tcPr>
          <w:p w:rsidR="00432271" w:rsidRPr="00F52F8B" w:rsidRDefault="00432271" w:rsidP="00432271">
            <w:pPr>
              <w:jc w:val="right"/>
              <w:rPr>
                <w:rFonts w:ascii="SWISS" w:hAnsi="SWISS" w:cs="Arial"/>
                <w:color w:val="000000"/>
                <w:sz w:val="20"/>
                <w:szCs w:val="20"/>
              </w:rPr>
            </w:pPr>
          </w:p>
        </w:tc>
        <w:tc>
          <w:tcPr>
            <w:tcW w:w="1620" w:type="dxa"/>
            <w:shd w:val="clear" w:color="auto" w:fill="auto"/>
            <w:noWrap/>
            <w:vAlign w:val="bottom"/>
          </w:tcPr>
          <w:p w:rsidR="00432271" w:rsidRPr="00F52F8B" w:rsidRDefault="00432271" w:rsidP="00432271">
            <w:pPr>
              <w:jc w:val="right"/>
              <w:rPr>
                <w:rFonts w:ascii="SWISS" w:hAnsi="SWISS" w:cs="Arial"/>
                <w:color w:val="000000"/>
                <w:sz w:val="20"/>
                <w:szCs w:val="20"/>
              </w:rPr>
            </w:pPr>
          </w:p>
        </w:tc>
      </w:tr>
      <w:tr w:rsidR="00432271" w:rsidRPr="00F52F8B" w:rsidTr="00293B44">
        <w:trPr>
          <w:trHeight w:val="301"/>
          <w:jc w:val="center"/>
        </w:trPr>
        <w:tc>
          <w:tcPr>
            <w:tcW w:w="376" w:type="dxa"/>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3.</w:t>
            </w:r>
          </w:p>
        </w:tc>
        <w:tc>
          <w:tcPr>
            <w:tcW w:w="4050" w:type="dxa"/>
            <w:gridSpan w:val="2"/>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NON-USED AND USEFUL COMPONENTS</w:t>
            </w:r>
          </w:p>
        </w:tc>
        <w:tc>
          <w:tcPr>
            <w:tcW w:w="1620" w:type="dxa"/>
            <w:gridSpan w:val="2"/>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 xml:space="preserve">0 </w:t>
            </w:r>
          </w:p>
        </w:tc>
        <w:tc>
          <w:tcPr>
            <w:tcW w:w="1710" w:type="dxa"/>
            <w:gridSpan w:val="2"/>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 xml:space="preserve">0 </w:t>
            </w:r>
          </w:p>
        </w:tc>
        <w:tc>
          <w:tcPr>
            <w:tcW w:w="1620" w:type="dxa"/>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 xml:space="preserve">0 </w:t>
            </w:r>
          </w:p>
        </w:tc>
      </w:tr>
      <w:tr w:rsidR="00432271" w:rsidRPr="00F52F8B" w:rsidTr="00293B44">
        <w:trPr>
          <w:trHeight w:val="301"/>
          <w:jc w:val="center"/>
        </w:trPr>
        <w:tc>
          <w:tcPr>
            <w:tcW w:w="376" w:type="dxa"/>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shd w:val="clear" w:color="auto" w:fill="auto"/>
            <w:noWrap/>
            <w:vAlign w:val="bottom"/>
          </w:tcPr>
          <w:p w:rsidR="00432271" w:rsidRPr="00F52F8B" w:rsidRDefault="00432271" w:rsidP="00432271">
            <w:pPr>
              <w:rPr>
                <w:rFonts w:ascii="SWISS" w:hAnsi="SWISS" w:cs="Arial"/>
                <w:color w:val="000000"/>
                <w:sz w:val="20"/>
                <w:szCs w:val="20"/>
              </w:rPr>
            </w:pPr>
          </w:p>
        </w:tc>
        <w:tc>
          <w:tcPr>
            <w:tcW w:w="1620" w:type="dxa"/>
            <w:gridSpan w:val="2"/>
            <w:shd w:val="clear" w:color="auto" w:fill="auto"/>
            <w:noWrap/>
            <w:vAlign w:val="bottom"/>
          </w:tcPr>
          <w:p w:rsidR="00432271" w:rsidRPr="00F52F8B" w:rsidRDefault="00432271" w:rsidP="00432271">
            <w:pPr>
              <w:jc w:val="right"/>
              <w:rPr>
                <w:rFonts w:ascii="SWISS" w:hAnsi="SWISS" w:cs="Arial"/>
                <w:color w:val="000000"/>
                <w:sz w:val="20"/>
                <w:szCs w:val="20"/>
              </w:rPr>
            </w:pPr>
          </w:p>
        </w:tc>
        <w:tc>
          <w:tcPr>
            <w:tcW w:w="1710" w:type="dxa"/>
            <w:gridSpan w:val="2"/>
            <w:shd w:val="clear" w:color="auto" w:fill="auto"/>
            <w:noWrap/>
            <w:vAlign w:val="bottom"/>
          </w:tcPr>
          <w:p w:rsidR="00432271" w:rsidRPr="00F52F8B" w:rsidRDefault="00432271" w:rsidP="00432271">
            <w:pPr>
              <w:jc w:val="right"/>
              <w:rPr>
                <w:rFonts w:ascii="SWISS" w:hAnsi="SWISS" w:cs="Arial"/>
                <w:color w:val="000000"/>
                <w:sz w:val="20"/>
                <w:szCs w:val="20"/>
              </w:rPr>
            </w:pPr>
          </w:p>
        </w:tc>
        <w:tc>
          <w:tcPr>
            <w:tcW w:w="1620" w:type="dxa"/>
            <w:shd w:val="clear" w:color="auto" w:fill="auto"/>
            <w:noWrap/>
            <w:vAlign w:val="bottom"/>
          </w:tcPr>
          <w:p w:rsidR="00432271" w:rsidRPr="00F52F8B" w:rsidRDefault="00432271" w:rsidP="00432271">
            <w:pPr>
              <w:jc w:val="right"/>
              <w:rPr>
                <w:rFonts w:ascii="SWISS" w:hAnsi="SWISS" w:cs="Arial"/>
                <w:color w:val="000000"/>
                <w:sz w:val="20"/>
                <w:szCs w:val="20"/>
              </w:rPr>
            </w:pPr>
          </w:p>
        </w:tc>
      </w:tr>
      <w:tr w:rsidR="00432271" w:rsidRPr="00F52F8B" w:rsidTr="00293B44">
        <w:trPr>
          <w:trHeight w:val="301"/>
          <w:jc w:val="center"/>
        </w:trPr>
        <w:tc>
          <w:tcPr>
            <w:tcW w:w="376" w:type="dxa"/>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4.</w:t>
            </w:r>
          </w:p>
        </w:tc>
        <w:tc>
          <w:tcPr>
            <w:tcW w:w="4050" w:type="dxa"/>
            <w:gridSpan w:val="2"/>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CIAC</w:t>
            </w:r>
          </w:p>
        </w:tc>
        <w:tc>
          <w:tcPr>
            <w:tcW w:w="1620" w:type="dxa"/>
            <w:gridSpan w:val="2"/>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(18,637)</w:t>
            </w:r>
          </w:p>
        </w:tc>
        <w:tc>
          <w:tcPr>
            <w:tcW w:w="1710" w:type="dxa"/>
            <w:gridSpan w:val="2"/>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 xml:space="preserve">0 </w:t>
            </w:r>
          </w:p>
        </w:tc>
        <w:tc>
          <w:tcPr>
            <w:tcW w:w="1620" w:type="dxa"/>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(18,637)</w:t>
            </w:r>
          </w:p>
        </w:tc>
      </w:tr>
      <w:tr w:rsidR="00432271" w:rsidRPr="00F52F8B" w:rsidTr="00293B44">
        <w:trPr>
          <w:trHeight w:val="301"/>
          <w:jc w:val="center"/>
        </w:trPr>
        <w:tc>
          <w:tcPr>
            <w:tcW w:w="376" w:type="dxa"/>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shd w:val="clear" w:color="auto" w:fill="auto"/>
            <w:noWrap/>
            <w:vAlign w:val="bottom"/>
          </w:tcPr>
          <w:p w:rsidR="00432271" w:rsidRPr="00F52F8B" w:rsidRDefault="00432271" w:rsidP="00432271">
            <w:pPr>
              <w:rPr>
                <w:rFonts w:ascii="SWISS" w:hAnsi="SWISS" w:cs="Arial"/>
                <w:color w:val="000000"/>
                <w:sz w:val="20"/>
                <w:szCs w:val="20"/>
              </w:rPr>
            </w:pPr>
          </w:p>
        </w:tc>
        <w:tc>
          <w:tcPr>
            <w:tcW w:w="1620" w:type="dxa"/>
            <w:gridSpan w:val="2"/>
            <w:shd w:val="clear" w:color="auto" w:fill="auto"/>
            <w:noWrap/>
            <w:vAlign w:val="bottom"/>
          </w:tcPr>
          <w:p w:rsidR="00432271" w:rsidRPr="00F52F8B" w:rsidRDefault="00432271" w:rsidP="00432271">
            <w:pPr>
              <w:jc w:val="right"/>
              <w:rPr>
                <w:rFonts w:ascii="SWISS" w:hAnsi="SWISS" w:cs="Arial"/>
                <w:color w:val="000000"/>
                <w:sz w:val="20"/>
                <w:szCs w:val="20"/>
              </w:rPr>
            </w:pPr>
          </w:p>
        </w:tc>
        <w:tc>
          <w:tcPr>
            <w:tcW w:w="1710" w:type="dxa"/>
            <w:gridSpan w:val="2"/>
            <w:shd w:val="clear" w:color="auto" w:fill="auto"/>
            <w:noWrap/>
            <w:vAlign w:val="bottom"/>
          </w:tcPr>
          <w:p w:rsidR="00432271" w:rsidRPr="00F52F8B" w:rsidRDefault="00432271" w:rsidP="00432271">
            <w:pPr>
              <w:jc w:val="right"/>
              <w:rPr>
                <w:rFonts w:ascii="SWISS" w:hAnsi="SWISS" w:cs="Arial"/>
                <w:color w:val="000000"/>
                <w:sz w:val="20"/>
                <w:szCs w:val="20"/>
              </w:rPr>
            </w:pPr>
          </w:p>
        </w:tc>
        <w:tc>
          <w:tcPr>
            <w:tcW w:w="1620" w:type="dxa"/>
            <w:shd w:val="clear" w:color="auto" w:fill="auto"/>
            <w:noWrap/>
            <w:vAlign w:val="bottom"/>
          </w:tcPr>
          <w:p w:rsidR="00432271" w:rsidRPr="00F52F8B" w:rsidRDefault="00432271" w:rsidP="00432271">
            <w:pPr>
              <w:jc w:val="right"/>
              <w:rPr>
                <w:rFonts w:ascii="SWISS" w:hAnsi="SWISS" w:cs="Arial"/>
                <w:color w:val="000000"/>
                <w:sz w:val="20"/>
                <w:szCs w:val="20"/>
              </w:rPr>
            </w:pPr>
          </w:p>
        </w:tc>
      </w:tr>
      <w:tr w:rsidR="00432271" w:rsidRPr="00F52F8B" w:rsidTr="00293B44">
        <w:trPr>
          <w:trHeight w:val="313"/>
          <w:jc w:val="center"/>
        </w:trPr>
        <w:tc>
          <w:tcPr>
            <w:tcW w:w="376" w:type="dxa"/>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5.</w:t>
            </w:r>
          </w:p>
        </w:tc>
        <w:tc>
          <w:tcPr>
            <w:tcW w:w="4050" w:type="dxa"/>
            <w:gridSpan w:val="2"/>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ACCUMULATED DEPRECIATION</w:t>
            </w:r>
          </w:p>
        </w:tc>
        <w:tc>
          <w:tcPr>
            <w:tcW w:w="1620" w:type="dxa"/>
            <w:gridSpan w:val="2"/>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(34,230)</w:t>
            </w:r>
          </w:p>
        </w:tc>
        <w:tc>
          <w:tcPr>
            <w:tcW w:w="1710" w:type="dxa"/>
            <w:gridSpan w:val="2"/>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(2,607)</w:t>
            </w:r>
          </w:p>
        </w:tc>
        <w:tc>
          <w:tcPr>
            <w:tcW w:w="1620" w:type="dxa"/>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(36,837)</w:t>
            </w:r>
          </w:p>
        </w:tc>
      </w:tr>
      <w:tr w:rsidR="00432271" w:rsidRPr="00F52F8B" w:rsidTr="00293B44">
        <w:trPr>
          <w:trHeight w:val="313"/>
          <w:jc w:val="center"/>
        </w:trPr>
        <w:tc>
          <w:tcPr>
            <w:tcW w:w="376" w:type="dxa"/>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shd w:val="clear" w:color="auto" w:fill="auto"/>
            <w:noWrap/>
            <w:vAlign w:val="bottom"/>
          </w:tcPr>
          <w:p w:rsidR="00432271" w:rsidRPr="00F52F8B" w:rsidRDefault="00432271" w:rsidP="00432271">
            <w:pPr>
              <w:rPr>
                <w:rFonts w:ascii="SWISS" w:hAnsi="SWISS" w:cs="Arial"/>
                <w:color w:val="000000"/>
                <w:sz w:val="20"/>
                <w:szCs w:val="20"/>
              </w:rPr>
            </w:pPr>
          </w:p>
        </w:tc>
        <w:tc>
          <w:tcPr>
            <w:tcW w:w="1620" w:type="dxa"/>
            <w:gridSpan w:val="2"/>
            <w:shd w:val="clear" w:color="auto" w:fill="auto"/>
            <w:noWrap/>
            <w:vAlign w:val="bottom"/>
          </w:tcPr>
          <w:p w:rsidR="00432271" w:rsidRPr="00F52F8B" w:rsidRDefault="00432271" w:rsidP="00432271">
            <w:pPr>
              <w:jc w:val="right"/>
              <w:rPr>
                <w:rFonts w:ascii="SWISS" w:hAnsi="SWISS" w:cs="Arial"/>
                <w:color w:val="000000"/>
                <w:sz w:val="20"/>
                <w:szCs w:val="20"/>
              </w:rPr>
            </w:pPr>
          </w:p>
        </w:tc>
        <w:tc>
          <w:tcPr>
            <w:tcW w:w="1710" w:type="dxa"/>
            <w:gridSpan w:val="2"/>
            <w:shd w:val="clear" w:color="auto" w:fill="auto"/>
            <w:noWrap/>
            <w:vAlign w:val="bottom"/>
          </w:tcPr>
          <w:p w:rsidR="00432271" w:rsidRPr="00F52F8B" w:rsidRDefault="00432271" w:rsidP="00432271">
            <w:pPr>
              <w:jc w:val="right"/>
              <w:rPr>
                <w:rFonts w:ascii="SWISS" w:hAnsi="SWISS" w:cs="Arial"/>
                <w:color w:val="000000"/>
                <w:sz w:val="20"/>
                <w:szCs w:val="20"/>
              </w:rPr>
            </w:pPr>
          </w:p>
        </w:tc>
        <w:tc>
          <w:tcPr>
            <w:tcW w:w="1620" w:type="dxa"/>
            <w:shd w:val="clear" w:color="auto" w:fill="auto"/>
            <w:noWrap/>
            <w:vAlign w:val="bottom"/>
          </w:tcPr>
          <w:p w:rsidR="00432271" w:rsidRPr="00F52F8B" w:rsidRDefault="00432271" w:rsidP="00432271">
            <w:pPr>
              <w:jc w:val="right"/>
              <w:rPr>
                <w:rFonts w:ascii="SWISS" w:hAnsi="SWISS" w:cs="Arial"/>
                <w:color w:val="000000"/>
                <w:sz w:val="20"/>
                <w:szCs w:val="20"/>
              </w:rPr>
            </w:pPr>
          </w:p>
        </w:tc>
      </w:tr>
      <w:tr w:rsidR="00432271" w:rsidRPr="00F52F8B" w:rsidTr="00293B44">
        <w:trPr>
          <w:trHeight w:val="313"/>
          <w:jc w:val="center"/>
        </w:trPr>
        <w:tc>
          <w:tcPr>
            <w:tcW w:w="376" w:type="dxa"/>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6.</w:t>
            </w:r>
          </w:p>
        </w:tc>
        <w:tc>
          <w:tcPr>
            <w:tcW w:w="4050" w:type="dxa"/>
            <w:gridSpan w:val="2"/>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AMORTIZATION OF CIAC</w:t>
            </w:r>
          </w:p>
        </w:tc>
        <w:tc>
          <w:tcPr>
            <w:tcW w:w="1620" w:type="dxa"/>
            <w:gridSpan w:val="2"/>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18,637</w:t>
            </w:r>
          </w:p>
        </w:tc>
        <w:tc>
          <w:tcPr>
            <w:tcW w:w="1710" w:type="dxa"/>
            <w:gridSpan w:val="2"/>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 xml:space="preserve">0 </w:t>
            </w:r>
          </w:p>
        </w:tc>
        <w:tc>
          <w:tcPr>
            <w:tcW w:w="1620" w:type="dxa"/>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 xml:space="preserve">18,637 </w:t>
            </w:r>
          </w:p>
        </w:tc>
      </w:tr>
      <w:tr w:rsidR="00432271" w:rsidRPr="00F52F8B" w:rsidTr="00293B44">
        <w:trPr>
          <w:trHeight w:val="301"/>
          <w:jc w:val="center"/>
        </w:trPr>
        <w:tc>
          <w:tcPr>
            <w:tcW w:w="376" w:type="dxa"/>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shd w:val="clear" w:color="auto" w:fill="auto"/>
            <w:noWrap/>
            <w:vAlign w:val="bottom"/>
          </w:tcPr>
          <w:p w:rsidR="00432271" w:rsidRPr="00F52F8B" w:rsidRDefault="00432271" w:rsidP="00432271">
            <w:pPr>
              <w:rPr>
                <w:rFonts w:ascii="SWISS" w:hAnsi="SWISS" w:cs="Arial"/>
                <w:color w:val="000000"/>
                <w:sz w:val="20"/>
                <w:szCs w:val="20"/>
              </w:rPr>
            </w:pPr>
          </w:p>
        </w:tc>
        <w:tc>
          <w:tcPr>
            <w:tcW w:w="1620" w:type="dxa"/>
            <w:gridSpan w:val="2"/>
            <w:shd w:val="clear" w:color="auto" w:fill="auto"/>
            <w:noWrap/>
            <w:vAlign w:val="bottom"/>
          </w:tcPr>
          <w:p w:rsidR="00432271" w:rsidRPr="00F52F8B" w:rsidRDefault="00432271" w:rsidP="00432271">
            <w:pPr>
              <w:jc w:val="right"/>
              <w:rPr>
                <w:rFonts w:ascii="SWISS" w:hAnsi="SWISS" w:cs="Arial"/>
                <w:color w:val="000000"/>
                <w:sz w:val="20"/>
                <w:szCs w:val="20"/>
              </w:rPr>
            </w:pPr>
          </w:p>
        </w:tc>
        <w:tc>
          <w:tcPr>
            <w:tcW w:w="1710" w:type="dxa"/>
            <w:gridSpan w:val="2"/>
            <w:shd w:val="clear" w:color="auto" w:fill="auto"/>
            <w:noWrap/>
            <w:vAlign w:val="bottom"/>
          </w:tcPr>
          <w:p w:rsidR="00432271" w:rsidRPr="00F52F8B" w:rsidRDefault="00432271" w:rsidP="00432271">
            <w:pPr>
              <w:jc w:val="right"/>
              <w:rPr>
                <w:rFonts w:ascii="SWISS" w:hAnsi="SWISS" w:cs="Arial"/>
                <w:color w:val="000000"/>
                <w:sz w:val="20"/>
                <w:szCs w:val="20"/>
              </w:rPr>
            </w:pPr>
          </w:p>
        </w:tc>
        <w:tc>
          <w:tcPr>
            <w:tcW w:w="1620" w:type="dxa"/>
            <w:shd w:val="clear" w:color="auto" w:fill="auto"/>
            <w:noWrap/>
            <w:vAlign w:val="bottom"/>
          </w:tcPr>
          <w:p w:rsidR="00432271" w:rsidRPr="00F52F8B" w:rsidRDefault="00432271" w:rsidP="00432271">
            <w:pPr>
              <w:jc w:val="right"/>
              <w:rPr>
                <w:rFonts w:ascii="SWISS" w:hAnsi="SWISS" w:cs="Arial"/>
                <w:color w:val="000000"/>
                <w:sz w:val="20"/>
                <w:szCs w:val="20"/>
              </w:rPr>
            </w:pPr>
          </w:p>
        </w:tc>
      </w:tr>
      <w:tr w:rsidR="00432271" w:rsidRPr="00F52F8B" w:rsidTr="00293B44">
        <w:trPr>
          <w:trHeight w:val="301"/>
          <w:jc w:val="center"/>
        </w:trPr>
        <w:tc>
          <w:tcPr>
            <w:tcW w:w="376" w:type="dxa"/>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7.</w:t>
            </w:r>
          </w:p>
        </w:tc>
        <w:tc>
          <w:tcPr>
            <w:tcW w:w="4050" w:type="dxa"/>
            <w:gridSpan w:val="2"/>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WORKING CAPITAL ALLOWANCE</w:t>
            </w:r>
          </w:p>
        </w:tc>
        <w:tc>
          <w:tcPr>
            <w:tcW w:w="1620" w:type="dxa"/>
            <w:gridSpan w:val="2"/>
            <w:shd w:val="clear" w:color="auto" w:fill="auto"/>
            <w:noWrap/>
            <w:vAlign w:val="bottom"/>
          </w:tcPr>
          <w:p w:rsidR="00432271" w:rsidRPr="00F52F8B" w:rsidRDefault="00432271" w:rsidP="00432271">
            <w:pPr>
              <w:jc w:val="right"/>
              <w:rPr>
                <w:rFonts w:ascii="SWISS" w:hAnsi="SWISS" w:cs="Arial"/>
                <w:color w:val="000000"/>
                <w:sz w:val="20"/>
                <w:szCs w:val="20"/>
                <w:u w:val="single"/>
              </w:rPr>
            </w:pPr>
            <w:r w:rsidRPr="00F52F8B">
              <w:rPr>
                <w:rFonts w:ascii="SWISS" w:hAnsi="SWISS" w:cs="Arial"/>
                <w:color w:val="000000"/>
                <w:sz w:val="20"/>
                <w:szCs w:val="20"/>
                <w:u w:val="single"/>
              </w:rPr>
              <w:t xml:space="preserve">0 </w:t>
            </w:r>
          </w:p>
        </w:tc>
        <w:tc>
          <w:tcPr>
            <w:tcW w:w="1710" w:type="dxa"/>
            <w:gridSpan w:val="2"/>
            <w:shd w:val="clear" w:color="auto" w:fill="auto"/>
            <w:noWrap/>
            <w:vAlign w:val="bottom"/>
          </w:tcPr>
          <w:p w:rsidR="00432271" w:rsidRPr="00F52F8B" w:rsidRDefault="00B5535D" w:rsidP="00432271">
            <w:pPr>
              <w:jc w:val="right"/>
              <w:rPr>
                <w:rFonts w:ascii="SWISS" w:hAnsi="SWISS" w:cs="Arial"/>
                <w:color w:val="000000"/>
                <w:sz w:val="20"/>
                <w:szCs w:val="20"/>
                <w:u w:val="single"/>
              </w:rPr>
            </w:pPr>
            <w:r>
              <w:rPr>
                <w:rFonts w:ascii="SWISS" w:hAnsi="SWISS" w:cs="Arial"/>
                <w:color w:val="000000"/>
                <w:sz w:val="20"/>
                <w:szCs w:val="20"/>
                <w:u w:val="single"/>
              </w:rPr>
              <w:t>3,127</w:t>
            </w:r>
            <w:r w:rsidR="00432271" w:rsidRPr="00F52F8B">
              <w:rPr>
                <w:rFonts w:ascii="SWISS" w:hAnsi="SWISS" w:cs="Arial"/>
                <w:color w:val="000000"/>
                <w:sz w:val="20"/>
                <w:szCs w:val="20"/>
                <w:u w:val="single"/>
              </w:rPr>
              <w:t xml:space="preserve"> </w:t>
            </w:r>
          </w:p>
        </w:tc>
        <w:tc>
          <w:tcPr>
            <w:tcW w:w="1620" w:type="dxa"/>
            <w:shd w:val="clear" w:color="auto" w:fill="auto"/>
            <w:noWrap/>
            <w:vAlign w:val="bottom"/>
          </w:tcPr>
          <w:p w:rsidR="00432271" w:rsidRPr="00F52F8B" w:rsidRDefault="00B5535D" w:rsidP="00432271">
            <w:pPr>
              <w:jc w:val="right"/>
              <w:rPr>
                <w:rFonts w:ascii="SWISS" w:hAnsi="SWISS" w:cs="Arial"/>
                <w:color w:val="000000"/>
                <w:sz w:val="20"/>
                <w:szCs w:val="20"/>
                <w:u w:val="single"/>
              </w:rPr>
            </w:pPr>
            <w:r>
              <w:rPr>
                <w:rFonts w:ascii="SWISS" w:hAnsi="SWISS" w:cs="Arial"/>
                <w:color w:val="000000"/>
                <w:sz w:val="20"/>
                <w:szCs w:val="20"/>
                <w:u w:val="single"/>
              </w:rPr>
              <w:t>3,127</w:t>
            </w:r>
            <w:r w:rsidR="00432271" w:rsidRPr="00F52F8B">
              <w:rPr>
                <w:rFonts w:ascii="SWISS" w:hAnsi="SWISS" w:cs="Arial"/>
                <w:color w:val="000000"/>
                <w:sz w:val="20"/>
                <w:szCs w:val="20"/>
                <w:u w:val="single"/>
              </w:rPr>
              <w:t xml:space="preserve"> </w:t>
            </w:r>
          </w:p>
        </w:tc>
      </w:tr>
      <w:tr w:rsidR="00432271" w:rsidRPr="00F52F8B" w:rsidTr="00293B44">
        <w:trPr>
          <w:trHeight w:val="301"/>
          <w:jc w:val="center"/>
        </w:trPr>
        <w:tc>
          <w:tcPr>
            <w:tcW w:w="376" w:type="dxa"/>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shd w:val="clear" w:color="auto" w:fill="auto"/>
            <w:noWrap/>
            <w:vAlign w:val="bottom"/>
          </w:tcPr>
          <w:p w:rsidR="00432271" w:rsidRPr="00F52F8B" w:rsidRDefault="00432271" w:rsidP="00432271">
            <w:pPr>
              <w:rPr>
                <w:rFonts w:ascii="SWISS" w:hAnsi="SWISS" w:cs="Arial"/>
                <w:color w:val="000000"/>
                <w:sz w:val="20"/>
                <w:szCs w:val="20"/>
              </w:rPr>
            </w:pPr>
          </w:p>
        </w:tc>
        <w:tc>
          <w:tcPr>
            <w:tcW w:w="1620" w:type="dxa"/>
            <w:gridSpan w:val="2"/>
            <w:shd w:val="clear" w:color="auto" w:fill="auto"/>
            <w:noWrap/>
            <w:vAlign w:val="bottom"/>
          </w:tcPr>
          <w:p w:rsidR="00432271" w:rsidRPr="00F52F8B" w:rsidRDefault="00432271" w:rsidP="00432271">
            <w:pPr>
              <w:jc w:val="right"/>
              <w:rPr>
                <w:rFonts w:ascii="SWISS" w:hAnsi="SWISS" w:cs="Arial"/>
                <w:color w:val="000000"/>
                <w:sz w:val="20"/>
                <w:szCs w:val="20"/>
              </w:rPr>
            </w:pPr>
          </w:p>
        </w:tc>
        <w:tc>
          <w:tcPr>
            <w:tcW w:w="1710" w:type="dxa"/>
            <w:gridSpan w:val="2"/>
            <w:shd w:val="clear" w:color="auto" w:fill="auto"/>
            <w:noWrap/>
            <w:vAlign w:val="bottom"/>
          </w:tcPr>
          <w:p w:rsidR="00432271" w:rsidRPr="00F52F8B" w:rsidRDefault="00432271" w:rsidP="00432271">
            <w:pPr>
              <w:jc w:val="right"/>
              <w:rPr>
                <w:rFonts w:ascii="SWISS" w:hAnsi="SWISS" w:cs="Arial"/>
                <w:color w:val="000000"/>
                <w:sz w:val="20"/>
                <w:szCs w:val="20"/>
              </w:rPr>
            </w:pPr>
          </w:p>
        </w:tc>
        <w:tc>
          <w:tcPr>
            <w:tcW w:w="1620" w:type="dxa"/>
            <w:shd w:val="clear" w:color="auto" w:fill="auto"/>
            <w:noWrap/>
            <w:vAlign w:val="bottom"/>
          </w:tcPr>
          <w:p w:rsidR="00432271" w:rsidRPr="00F52F8B" w:rsidRDefault="00432271" w:rsidP="00432271">
            <w:pPr>
              <w:jc w:val="right"/>
              <w:rPr>
                <w:rFonts w:ascii="SWISS" w:hAnsi="SWISS" w:cs="Arial"/>
                <w:color w:val="000000"/>
                <w:sz w:val="20"/>
                <w:szCs w:val="20"/>
              </w:rPr>
            </w:pPr>
          </w:p>
        </w:tc>
      </w:tr>
      <w:tr w:rsidR="00432271" w:rsidRPr="00F52F8B" w:rsidTr="00293B44">
        <w:trPr>
          <w:trHeight w:val="301"/>
          <w:jc w:val="center"/>
        </w:trPr>
        <w:tc>
          <w:tcPr>
            <w:tcW w:w="376" w:type="dxa"/>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8.</w:t>
            </w:r>
          </w:p>
        </w:tc>
        <w:tc>
          <w:tcPr>
            <w:tcW w:w="4050" w:type="dxa"/>
            <w:gridSpan w:val="2"/>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WATER RATE BASE</w:t>
            </w:r>
          </w:p>
        </w:tc>
        <w:tc>
          <w:tcPr>
            <w:tcW w:w="1620" w:type="dxa"/>
            <w:gridSpan w:val="2"/>
            <w:shd w:val="clear" w:color="auto" w:fill="auto"/>
            <w:noWrap/>
            <w:vAlign w:val="bottom"/>
          </w:tcPr>
          <w:p w:rsidR="00432271" w:rsidRPr="00F52F8B" w:rsidRDefault="00432271" w:rsidP="00432271">
            <w:pPr>
              <w:jc w:val="right"/>
              <w:rPr>
                <w:rFonts w:ascii="SWISS" w:hAnsi="SWISS" w:cs="Arial"/>
                <w:color w:val="000000"/>
                <w:sz w:val="20"/>
                <w:szCs w:val="20"/>
                <w:u w:val="double"/>
              </w:rPr>
            </w:pPr>
            <w:r w:rsidRPr="00F52F8B">
              <w:rPr>
                <w:rFonts w:ascii="SWISS" w:hAnsi="SWISS" w:cs="Arial"/>
                <w:color w:val="000000"/>
                <w:sz w:val="20"/>
                <w:szCs w:val="20"/>
                <w:u w:val="double"/>
              </w:rPr>
              <w:t xml:space="preserve">$25,882 </w:t>
            </w:r>
          </w:p>
        </w:tc>
        <w:tc>
          <w:tcPr>
            <w:tcW w:w="1710" w:type="dxa"/>
            <w:gridSpan w:val="2"/>
            <w:shd w:val="clear" w:color="auto" w:fill="auto"/>
            <w:noWrap/>
            <w:vAlign w:val="bottom"/>
          </w:tcPr>
          <w:p w:rsidR="00432271" w:rsidRPr="00F52F8B" w:rsidRDefault="00432271" w:rsidP="00B5535D">
            <w:pPr>
              <w:jc w:val="right"/>
              <w:rPr>
                <w:rFonts w:ascii="SWISS" w:hAnsi="SWISS" w:cs="Arial"/>
                <w:color w:val="000000"/>
                <w:sz w:val="20"/>
                <w:szCs w:val="20"/>
                <w:u w:val="double"/>
              </w:rPr>
            </w:pPr>
            <w:r w:rsidRPr="00F52F8B">
              <w:rPr>
                <w:rFonts w:ascii="SWISS" w:hAnsi="SWISS" w:cs="Arial"/>
                <w:color w:val="000000"/>
                <w:sz w:val="20"/>
                <w:szCs w:val="20"/>
                <w:u w:val="double"/>
              </w:rPr>
              <w:t>$</w:t>
            </w:r>
            <w:r>
              <w:rPr>
                <w:rFonts w:ascii="SWISS" w:hAnsi="SWISS" w:cs="Arial"/>
                <w:color w:val="000000"/>
                <w:sz w:val="20"/>
                <w:szCs w:val="20"/>
                <w:u w:val="double"/>
              </w:rPr>
              <w:t>5</w:t>
            </w:r>
            <w:r w:rsidRPr="00F52F8B">
              <w:rPr>
                <w:rFonts w:ascii="SWISS" w:hAnsi="SWISS" w:cs="Arial"/>
                <w:color w:val="000000"/>
                <w:sz w:val="20"/>
                <w:szCs w:val="20"/>
                <w:u w:val="double"/>
              </w:rPr>
              <w:t>,</w:t>
            </w:r>
            <w:r w:rsidR="00B5535D">
              <w:rPr>
                <w:rFonts w:ascii="SWISS" w:hAnsi="SWISS" w:cs="Arial"/>
                <w:color w:val="000000"/>
                <w:sz w:val="20"/>
                <w:szCs w:val="20"/>
                <w:u w:val="double"/>
              </w:rPr>
              <w:t>836</w:t>
            </w:r>
          </w:p>
        </w:tc>
        <w:tc>
          <w:tcPr>
            <w:tcW w:w="1620" w:type="dxa"/>
            <w:shd w:val="clear" w:color="auto" w:fill="auto"/>
            <w:noWrap/>
            <w:vAlign w:val="bottom"/>
          </w:tcPr>
          <w:p w:rsidR="00432271" w:rsidRPr="00F52F8B" w:rsidRDefault="00432271" w:rsidP="00B5535D">
            <w:pPr>
              <w:jc w:val="right"/>
              <w:rPr>
                <w:rFonts w:ascii="SWISS" w:hAnsi="SWISS" w:cs="Arial"/>
                <w:color w:val="000000"/>
                <w:sz w:val="20"/>
                <w:szCs w:val="20"/>
                <w:u w:val="double"/>
              </w:rPr>
            </w:pPr>
            <w:r w:rsidRPr="00F52F8B">
              <w:rPr>
                <w:rFonts w:ascii="SWISS" w:hAnsi="SWISS" w:cs="Arial"/>
                <w:color w:val="000000"/>
                <w:sz w:val="20"/>
                <w:szCs w:val="20"/>
                <w:u w:val="double"/>
              </w:rPr>
              <w:t>$3</w:t>
            </w:r>
            <w:r>
              <w:rPr>
                <w:rFonts w:ascii="SWISS" w:hAnsi="SWISS" w:cs="Arial"/>
                <w:color w:val="000000"/>
                <w:sz w:val="20"/>
                <w:szCs w:val="20"/>
                <w:u w:val="double"/>
              </w:rPr>
              <w:t>1</w:t>
            </w:r>
            <w:r w:rsidRPr="00F52F8B">
              <w:rPr>
                <w:rFonts w:ascii="SWISS" w:hAnsi="SWISS" w:cs="Arial"/>
                <w:color w:val="000000"/>
                <w:sz w:val="20"/>
                <w:szCs w:val="20"/>
                <w:u w:val="double"/>
              </w:rPr>
              <w:t>,</w:t>
            </w:r>
            <w:r w:rsidR="00B5535D">
              <w:rPr>
                <w:rFonts w:ascii="SWISS" w:hAnsi="SWISS" w:cs="Arial"/>
                <w:color w:val="000000"/>
                <w:sz w:val="20"/>
                <w:szCs w:val="20"/>
                <w:u w:val="double"/>
              </w:rPr>
              <w:t>718</w:t>
            </w:r>
            <w:r w:rsidRPr="00F52F8B">
              <w:rPr>
                <w:rFonts w:ascii="SWISS" w:hAnsi="SWISS" w:cs="Arial"/>
                <w:color w:val="000000"/>
                <w:sz w:val="20"/>
                <w:szCs w:val="20"/>
                <w:u w:val="double"/>
              </w:rPr>
              <w:t xml:space="preserve"> </w:t>
            </w:r>
          </w:p>
        </w:tc>
      </w:tr>
      <w:tr w:rsidR="00432271" w:rsidRPr="00F52F8B" w:rsidTr="00293B44">
        <w:trPr>
          <w:trHeight w:val="301"/>
          <w:jc w:val="center"/>
        </w:trPr>
        <w:tc>
          <w:tcPr>
            <w:tcW w:w="376" w:type="dxa"/>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620" w:type="dxa"/>
            <w:gridSpan w:val="2"/>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710" w:type="dxa"/>
            <w:gridSpan w:val="2"/>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620" w:type="dxa"/>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r>
    </w:tbl>
    <w:p w:rsidR="00432271" w:rsidRDefault="00432271" w:rsidP="00E275D8">
      <w:pPr>
        <w:pStyle w:val="BodyText"/>
      </w:pPr>
    </w:p>
    <w:p w:rsidR="00432271" w:rsidRDefault="00432271" w:rsidP="00E275D8">
      <w:pPr>
        <w:pStyle w:val="BodyText"/>
        <w:sectPr w:rsidR="00432271" w:rsidSect="00F93614">
          <w:headerReference w:type="default" r:id="rId19"/>
          <w:pgSz w:w="12240" w:h="15840" w:code="1"/>
          <w:pgMar w:top="1584" w:right="1440" w:bottom="1440" w:left="1440" w:header="720" w:footer="720" w:gutter="0"/>
          <w:cols w:space="720"/>
          <w:formProt w:val="0"/>
          <w:docGrid w:linePitch="360"/>
        </w:sectPr>
      </w:pPr>
    </w:p>
    <w:p w:rsidR="00432271" w:rsidRDefault="00432271" w:rsidP="00E275D8">
      <w:pPr>
        <w:pStyle w:val="BodyText"/>
      </w:pPr>
    </w:p>
    <w:tbl>
      <w:tblPr>
        <w:tblW w:w="10079" w:type="dxa"/>
        <w:jc w:val="center"/>
        <w:tblLook w:val="0000" w:firstRow="0" w:lastRow="0" w:firstColumn="0" w:lastColumn="0" w:noHBand="0" w:noVBand="0"/>
      </w:tblPr>
      <w:tblGrid>
        <w:gridCol w:w="482"/>
        <w:gridCol w:w="6843"/>
        <w:gridCol w:w="2754"/>
      </w:tblGrid>
      <w:tr w:rsidR="00432271" w:rsidRPr="00F52F8B" w:rsidTr="00293B44">
        <w:trPr>
          <w:trHeight w:val="264"/>
          <w:jc w:val="center"/>
        </w:trPr>
        <w:tc>
          <w:tcPr>
            <w:tcW w:w="482" w:type="dxa"/>
            <w:tcBorders>
              <w:top w:val="single" w:sz="8" w:space="0" w:color="auto"/>
              <w:left w:val="single" w:sz="8" w:space="0" w:color="auto"/>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6843" w:type="dxa"/>
            <w:tcBorders>
              <w:top w:val="single" w:sz="8" w:space="0" w:color="auto"/>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b/>
                <w:bCs/>
                <w:color w:val="000000"/>
                <w:sz w:val="20"/>
                <w:szCs w:val="20"/>
              </w:rPr>
              <w:t>ALTURAS UTILITIES, L</w:t>
            </w:r>
            <w:r>
              <w:rPr>
                <w:rFonts w:ascii="SWISS" w:hAnsi="SWISS" w:cs="Arial"/>
                <w:b/>
                <w:bCs/>
                <w:color w:val="000000"/>
                <w:sz w:val="20"/>
                <w:szCs w:val="20"/>
              </w:rPr>
              <w:t>.</w:t>
            </w:r>
            <w:r w:rsidRPr="00F52F8B">
              <w:rPr>
                <w:rFonts w:ascii="SWISS" w:hAnsi="SWISS" w:cs="Arial"/>
                <w:b/>
                <w:bCs/>
                <w:color w:val="000000"/>
                <w:sz w:val="20"/>
                <w:szCs w:val="20"/>
              </w:rPr>
              <w:t>L</w:t>
            </w:r>
            <w:r>
              <w:rPr>
                <w:rFonts w:ascii="SWISS" w:hAnsi="SWISS" w:cs="Arial"/>
                <w:b/>
                <w:bCs/>
                <w:color w:val="000000"/>
                <w:sz w:val="20"/>
                <w:szCs w:val="20"/>
              </w:rPr>
              <w:t>.</w:t>
            </w:r>
            <w:r w:rsidRPr="00F52F8B">
              <w:rPr>
                <w:rFonts w:ascii="SWISS" w:hAnsi="SWISS" w:cs="Arial"/>
                <w:b/>
                <w:bCs/>
                <w:color w:val="000000"/>
                <w:sz w:val="20"/>
                <w:szCs w:val="20"/>
              </w:rPr>
              <w:t>C</w:t>
            </w:r>
            <w:r>
              <w:rPr>
                <w:rFonts w:ascii="SWISS" w:hAnsi="SWISS" w:cs="Arial"/>
                <w:b/>
                <w:bCs/>
                <w:color w:val="000000"/>
                <w:sz w:val="20"/>
                <w:szCs w:val="20"/>
              </w:rPr>
              <w:t>.</w:t>
            </w:r>
          </w:p>
        </w:tc>
        <w:tc>
          <w:tcPr>
            <w:tcW w:w="2754" w:type="dxa"/>
            <w:tcBorders>
              <w:top w:val="single" w:sz="8" w:space="0" w:color="auto"/>
              <w:left w:val="nil"/>
              <w:bottom w:val="nil"/>
              <w:right w:val="single" w:sz="8" w:space="0" w:color="auto"/>
            </w:tcBorders>
            <w:shd w:val="clear" w:color="auto" w:fill="auto"/>
            <w:noWrap/>
            <w:vAlign w:val="bottom"/>
          </w:tcPr>
          <w:p w:rsidR="00432271" w:rsidRPr="00F52F8B" w:rsidRDefault="00432271" w:rsidP="00DF395A">
            <w:pPr>
              <w:jc w:val="right"/>
              <w:rPr>
                <w:rFonts w:ascii="SWISS" w:hAnsi="SWISS" w:cs="Arial"/>
                <w:b/>
                <w:bCs/>
                <w:color w:val="000000"/>
                <w:sz w:val="20"/>
                <w:szCs w:val="20"/>
              </w:rPr>
            </w:pPr>
            <w:r w:rsidRPr="00F52F8B">
              <w:rPr>
                <w:rFonts w:ascii="SWISS" w:hAnsi="SWISS" w:cs="Arial"/>
                <w:b/>
                <w:bCs/>
                <w:color w:val="000000"/>
                <w:sz w:val="20"/>
                <w:szCs w:val="20"/>
              </w:rPr>
              <w:t>SCHEDULE NO. 1-B</w:t>
            </w:r>
            <w:r w:rsidRPr="00F52F8B">
              <w:rPr>
                <w:sz w:val="20"/>
                <w:szCs w:val="20"/>
              </w:rPr>
              <w:fldChar w:fldCharType="begin"/>
            </w:r>
            <w:r w:rsidRPr="00F52F8B">
              <w:rPr>
                <w:sz w:val="20"/>
                <w:szCs w:val="20"/>
              </w:rPr>
              <w:instrText xml:space="preserve"> TC "</w:instrText>
            </w:r>
            <w:bookmarkStart w:id="38" w:name="_Toc399147317"/>
            <w:r w:rsidRPr="00F52F8B">
              <w:rPr>
                <w:sz w:val="20"/>
                <w:szCs w:val="20"/>
              </w:rPr>
              <w:tab/>
            </w:r>
            <w:bookmarkStart w:id="39" w:name="_Toc422220887"/>
            <w:bookmarkStart w:id="40" w:name="_Toc442961345"/>
            <w:bookmarkStart w:id="41" w:name="_Toc443485027"/>
            <w:r w:rsidRPr="00F52F8B">
              <w:rPr>
                <w:sz w:val="20"/>
                <w:szCs w:val="20"/>
              </w:rPr>
              <w:instrText>Schedule No. 1-B Adjustments to Rate Base</w:instrText>
            </w:r>
            <w:bookmarkEnd w:id="38"/>
            <w:bookmarkEnd w:id="39"/>
            <w:bookmarkEnd w:id="40"/>
            <w:bookmarkEnd w:id="41"/>
            <w:r w:rsidRPr="00F52F8B">
              <w:rPr>
                <w:sz w:val="20"/>
                <w:szCs w:val="20"/>
              </w:rPr>
              <w:instrText xml:space="preserve">”\l 1 </w:instrText>
            </w:r>
            <w:r w:rsidRPr="00F52F8B">
              <w:rPr>
                <w:sz w:val="20"/>
                <w:szCs w:val="20"/>
              </w:rPr>
              <w:fldChar w:fldCharType="end"/>
            </w:r>
          </w:p>
        </w:tc>
      </w:tr>
      <w:tr w:rsidR="00432271" w:rsidRPr="00F52F8B" w:rsidTr="00293B44">
        <w:trPr>
          <w:trHeight w:val="264"/>
          <w:jc w:val="center"/>
        </w:trPr>
        <w:tc>
          <w:tcPr>
            <w:tcW w:w="482" w:type="dxa"/>
            <w:tcBorders>
              <w:top w:val="nil"/>
              <w:left w:val="single" w:sz="8" w:space="0" w:color="auto"/>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6843" w:type="dxa"/>
            <w:tcBorders>
              <w:top w:val="nil"/>
              <w:left w:val="nil"/>
              <w:right w:val="nil"/>
            </w:tcBorders>
            <w:shd w:val="clear" w:color="auto" w:fill="auto"/>
            <w:noWrap/>
            <w:vAlign w:val="bottom"/>
          </w:tcPr>
          <w:p w:rsidR="00432271" w:rsidRPr="00F52F8B" w:rsidRDefault="00432271" w:rsidP="00432271">
            <w:pPr>
              <w:rPr>
                <w:rFonts w:ascii="SWISS" w:hAnsi="SWISS" w:cs="Arial"/>
                <w:b/>
                <w:bCs/>
                <w:color w:val="000000"/>
                <w:sz w:val="20"/>
                <w:szCs w:val="20"/>
              </w:rPr>
            </w:pPr>
            <w:r w:rsidRPr="00F52F8B">
              <w:rPr>
                <w:rFonts w:ascii="SWISS" w:hAnsi="SWISS" w:cs="Arial"/>
                <w:b/>
                <w:bCs/>
                <w:color w:val="000000"/>
                <w:sz w:val="20"/>
                <w:szCs w:val="20"/>
              </w:rPr>
              <w:t>TEST YEAR ENDED  12/31/14</w:t>
            </w:r>
          </w:p>
        </w:tc>
        <w:tc>
          <w:tcPr>
            <w:tcW w:w="2754" w:type="dxa"/>
            <w:tcBorders>
              <w:top w:val="nil"/>
              <w:left w:val="nil"/>
              <w:right w:val="single" w:sz="8" w:space="0" w:color="auto"/>
            </w:tcBorders>
            <w:shd w:val="clear" w:color="auto" w:fill="auto"/>
            <w:noWrap/>
            <w:vAlign w:val="center"/>
          </w:tcPr>
          <w:p w:rsidR="00432271" w:rsidRPr="00F52F8B" w:rsidRDefault="00432271" w:rsidP="00DF395A">
            <w:pPr>
              <w:jc w:val="right"/>
              <w:rPr>
                <w:rFonts w:ascii="SWISS" w:hAnsi="SWISS" w:cs="Arial"/>
                <w:b/>
                <w:bCs/>
                <w:color w:val="000000"/>
                <w:sz w:val="20"/>
                <w:szCs w:val="20"/>
              </w:rPr>
            </w:pPr>
            <w:r w:rsidRPr="00F52F8B">
              <w:rPr>
                <w:rFonts w:ascii="SWISS" w:hAnsi="SWISS" w:cs="Arial"/>
                <w:b/>
                <w:bCs/>
                <w:color w:val="000000"/>
                <w:sz w:val="20"/>
                <w:szCs w:val="20"/>
              </w:rPr>
              <w:t xml:space="preserve">   DOCKET NO</w:t>
            </w:r>
            <w:r>
              <w:rPr>
                <w:rFonts w:ascii="SWISS" w:hAnsi="SWISS" w:cs="Arial"/>
                <w:b/>
                <w:bCs/>
                <w:color w:val="000000"/>
                <w:sz w:val="20"/>
                <w:szCs w:val="20"/>
              </w:rPr>
              <w:t xml:space="preserve">. </w:t>
            </w:r>
            <w:r w:rsidRPr="00F52F8B">
              <w:rPr>
                <w:rFonts w:ascii="SWISS" w:hAnsi="SWISS" w:cs="Arial"/>
                <w:b/>
                <w:bCs/>
                <w:color w:val="000000"/>
                <w:sz w:val="20"/>
                <w:szCs w:val="20"/>
              </w:rPr>
              <w:t>140219-WU</w:t>
            </w:r>
          </w:p>
        </w:tc>
      </w:tr>
      <w:tr w:rsidR="00432271" w:rsidRPr="00F52F8B" w:rsidTr="00293B44">
        <w:trPr>
          <w:trHeight w:val="264"/>
          <w:jc w:val="center"/>
        </w:trPr>
        <w:tc>
          <w:tcPr>
            <w:tcW w:w="482" w:type="dxa"/>
            <w:tcBorders>
              <w:top w:val="nil"/>
              <w:left w:val="single" w:sz="8" w:space="0" w:color="auto"/>
              <w:bottom w:val="single" w:sz="12" w:space="0" w:color="000000"/>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6843" w:type="dxa"/>
            <w:tcBorders>
              <w:top w:val="nil"/>
              <w:left w:val="nil"/>
              <w:bottom w:val="single" w:sz="12" w:space="0" w:color="000000"/>
              <w:right w:val="nil"/>
            </w:tcBorders>
            <w:shd w:val="clear" w:color="auto" w:fill="auto"/>
            <w:noWrap/>
            <w:vAlign w:val="bottom"/>
          </w:tcPr>
          <w:p w:rsidR="00432271" w:rsidRPr="00F52F8B" w:rsidRDefault="00432271" w:rsidP="00432271">
            <w:pPr>
              <w:rPr>
                <w:rFonts w:ascii="SWISS" w:hAnsi="SWISS" w:cs="Arial"/>
                <w:b/>
                <w:bCs/>
                <w:color w:val="000000"/>
                <w:sz w:val="20"/>
                <w:szCs w:val="20"/>
              </w:rPr>
            </w:pPr>
            <w:r w:rsidRPr="00F52F8B">
              <w:rPr>
                <w:rFonts w:ascii="SWISS" w:hAnsi="SWISS" w:cs="Arial"/>
                <w:b/>
                <w:bCs/>
                <w:color w:val="000000"/>
                <w:sz w:val="20"/>
                <w:szCs w:val="20"/>
              </w:rPr>
              <w:t>ADJUSTMENTS TO RATE BASE</w:t>
            </w:r>
          </w:p>
        </w:tc>
        <w:tc>
          <w:tcPr>
            <w:tcW w:w="2754" w:type="dxa"/>
            <w:tcBorders>
              <w:top w:val="nil"/>
              <w:left w:val="nil"/>
              <w:bottom w:val="single" w:sz="12" w:space="0" w:color="000000"/>
              <w:right w:val="single" w:sz="8" w:space="0" w:color="auto"/>
            </w:tcBorders>
            <w:shd w:val="clear" w:color="auto" w:fill="auto"/>
            <w:noWrap/>
            <w:vAlign w:val="bottom"/>
          </w:tcPr>
          <w:p w:rsidR="00432271" w:rsidRPr="00F52F8B" w:rsidRDefault="00432271" w:rsidP="00DF395A">
            <w:pPr>
              <w:jc w:val="right"/>
              <w:rPr>
                <w:rFonts w:ascii="SWISS" w:hAnsi="SWISS" w:cs="Arial"/>
                <w:b/>
                <w:bCs/>
                <w:color w:val="000000"/>
                <w:sz w:val="20"/>
                <w:szCs w:val="20"/>
              </w:rPr>
            </w:pPr>
          </w:p>
        </w:tc>
      </w:tr>
      <w:tr w:rsidR="00432271" w:rsidRPr="00F52F8B" w:rsidTr="00293B44">
        <w:trPr>
          <w:trHeight w:val="264"/>
          <w:jc w:val="center"/>
        </w:trPr>
        <w:tc>
          <w:tcPr>
            <w:tcW w:w="482" w:type="dxa"/>
            <w:tcBorders>
              <w:top w:val="single" w:sz="12" w:space="0" w:color="000000"/>
              <w:left w:val="single" w:sz="8" w:space="0" w:color="auto"/>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6843" w:type="dxa"/>
            <w:tcBorders>
              <w:top w:val="single" w:sz="12" w:space="0" w:color="000000"/>
              <w:left w:val="nil"/>
              <w:bottom w:val="nil"/>
              <w:right w:val="nil"/>
            </w:tcBorders>
            <w:shd w:val="clear" w:color="auto" w:fill="auto"/>
            <w:noWrap/>
            <w:vAlign w:val="bottom"/>
          </w:tcPr>
          <w:p w:rsidR="00432271" w:rsidRPr="00F52F8B" w:rsidRDefault="00432271" w:rsidP="00432271">
            <w:pPr>
              <w:rPr>
                <w:rFonts w:ascii="SWISS" w:hAnsi="SWISS" w:cs="Arial"/>
                <w:b/>
                <w:bCs/>
                <w:color w:val="000000"/>
                <w:sz w:val="20"/>
                <w:szCs w:val="20"/>
              </w:rPr>
            </w:pPr>
          </w:p>
        </w:tc>
        <w:tc>
          <w:tcPr>
            <w:tcW w:w="2754" w:type="dxa"/>
            <w:tcBorders>
              <w:top w:val="single" w:sz="12" w:space="0" w:color="000000"/>
              <w:left w:val="nil"/>
              <w:bottom w:val="nil"/>
              <w:right w:val="single" w:sz="8" w:space="0" w:color="auto"/>
            </w:tcBorders>
            <w:shd w:val="clear" w:color="auto" w:fill="auto"/>
            <w:noWrap/>
            <w:vAlign w:val="bottom"/>
          </w:tcPr>
          <w:p w:rsidR="00432271" w:rsidRPr="00F52F8B" w:rsidRDefault="00432271" w:rsidP="00432271">
            <w:pPr>
              <w:rPr>
                <w:rFonts w:ascii="SWISS" w:hAnsi="SWISS" w:cs="Arial"/>
                <w:b/>
                <w:bCs/>
                <w:color w:val="000000"/>
                <w:sz w:val="20"/>
                <w:szCs w:val="20"/>
              </w:rPr>
            </w:pPr>
          </w:p>
        </w:tc>
      </w:tr>
      <w:tr w:rsidR="00432271" w:rsidRPr="00F52F8B" w:rsidTr="00293B44">
        <w:trPr>
          <w:trHeight w:val="264"/>
          <w:jc w:val="center"/>
        </w:trPr>
        <w:tc>
          <w:tcPr>
            <w:tcW w:w="482"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68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b/>
                <w:bCs/>
                <w:color w:val="000000"/>
                <w:sz w:val="20"/>
                <w:szCs w:val="20"/>
                <w:u w:val="single"/>
              </w:rPr>
            </w:pPr>
            <w:r w:rsidRPr="00F52F8B">
              <w:rPr>
                <w:rFonts w:ascii="SWISS" w:hAnsi="SWISS" w:cs="Arial"/>
                <w:b/>
                <w:bCs/>
                <w:color w:val="000000"/>
                <w:sz w:val="20"/>
                <w:szCs w:val="20"/>
                <w:u w:val="single"/>
              </w:rPr>
              <w:t>UTILITY PLANT IN SERVICE</w:t>
            </w:r>
          </w:p>
        </w:tc>
        <w:tc>
          <w:tcPr>
            <w:tcW w:w="2754"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r>
      <w:tr w:rsidR="00432271" w:rsidRPr="00F52F8B" w:rsidTr="00293B44">
        <w:trPr>
          <w:trHeight w:val="264"/>
          <w:jc w:val="center"/>
        </w:trPr>
        <w:tc>
          <w:tcPr>
            <w:tcW w:w="482"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1.</w:t>
            </w:r>
          </w:p>
        </w:tc>
        <w:tc>
          <w:tcPr>
            <w:tcW w:w="68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To reflect appropriate amount of additions in 2010 and 2011 per audit.</w:t>
            </w:r>
          </w:p>
        </w:tc>
        <w:tc>
          <w:tcPr>
            <w:tcW w:w="2754"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$7,068 </w:t>
            </w:r>
          </w:p>
        </w:tc>
      </w:tr>
      <w:tr w:rsidR="00432271" w:rsidRPr="00F52F8B" w:rsidTr="00293B44">
        <w:trPr>
          <w:trHeight w:val="264"/>
          <w:jc w:val="center"/>
        </w:trPr>
        <w:tc>
          <w:tcPr>
            <w:tcW w:w="482"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2.</w:t>
            </w:r>
          </w:p>
        </w:tc>
        <w:tc>
          <w:tcPr>
            <w:tcW w:w="68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To reflect retirements associated with 2010 and 2011 plant additions.</w:t>
            </w:r>
          </w:p>
        </w:tc>
        <w:tc>
          <w:tcPr>
            <w:tcW w:w="2754"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u w:val="single"/>
              </w:rPr>
            </w:pPr>
            <w:r w:rsidRPr="00F52F8B">
              <w:rPr>
                <w:rFonts w:ascii="SWISS" w:hAnsi="SWISS" w:cs="Arial"/>
                <w:sz w:val="20"/>
                <w:szCs w:val="20"/>
                <w:u w:val="single"/>
              </w:rPr>
              <w:t xml:space="preserve">(1,752) </w:t>
            </w:r>
          </w:p>
        </w:tc>
      </w:tr>
      <w:tr w:rsidR="00432271" w:rsidRPr="00F52F8B" w:rsidTr="00293B44">
        <w:trPr>
          <w:trHeight w:val="264"/>
          <w:jc w:val="center"/>
        </w:trPr>
        <w:tc>
          <w:tcPr>
            <w:tcW w:w="482"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w:t>
            </w:r>
          </w:p>
        </w:tc>
        <w:tc>
          <w:tcPr>
            <w:tcW w:w="68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xml:space="preserve">     Total</w:t>
            </w:r>
          </w:p>
        </w:tc>
        <w:tc>
          <w:tcPr>
            <w:tcW w:w="2754"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u w:val="double"/>
              </w:rPr>
            </w:pPr>
            <w:r w:rsidRPr="00F52F8B">
              <w:rPr>
                <w:rFonts w:ascii="SWISS" w:hAnsi="SWISS" w:cs="Arial"/>
                <w:sz w:val="20"/>
                <w:szCs w:val="20"/>
                <w:u w:val="double"/>
              </w:rPr>
              <w:t xml:space="preserve">$5,316 </w:t>
            </w:r>
          </w:p>
        </w:tc>
      </w:tr>
      <w:tr w:rsidR="00432271" w:rsidRPr="00F52F8B" w:rsidTr="00293B44">
        <w:trPr>
          <w:trHeight w:val="264"/>
          <w:jc w:val="center"/>
        </w:trPr>
        <w:tc>
          <w:tcPr>
            <w:tcW w:w="482"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color w:val="000000"/>
                <w:sz w:val="20"/>
                <w:szCs w:val="20"/>
              </w:rPr>
            </w:pPr>
          </w:p>
        </w:tc>
        <w:tc>
          <w:tcPr>
            <w:tcW w:w="68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2754"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rPr>
            </w:pPr>
          </w:p>
        </w:tc>
      </w:tr>
      <w:tr w:rsidR="00432271" w:rsidRPr="00F52F8B" w:rsidTr="00293B44">
        <w:trPr>
          <w:trHeight w:val="264"/>
          <w:jc w:val="center"/>
        </w:trPr>
        <w:tc>
          <w:tcPr>
            <w:tcW w:w="482"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p>
        </w:tc>
        <w:tc>
          <w:tcPr>
            <w:tcW w:w="68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b/>
                <w:bCs/>
                <w:color w:val="000000"/>
                <w:sz w:val="20"/>
                <w:szCs w:val="20"/>
                <w:u w:val="single"/>
              </w:rPr>
            </w:pPr>
            <w:r w:rsidRPr="00F52F8B">
              <w:rPr>
                <w:rFonts w:ascii="SWISS" w:hAnsi="SWISS" w:cs="Arial"/>
                <w:b/>
                <w:bCs/>
                <w:color w:val="000000"/>
                <w:sz w:val="20"/>
                <w:szCs w:val="20"/>
                <w:u w:val="single"/>
              </w:rPr>
              <w:t>ACCUMULATED DEPRECIATION</w:t>
            </w:r>
          </w:p>
        </w:tc>
        <w:tc>
          <w:tcPr>
            <w:tcW w:w="2754"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r>
      <w:tr w:rsidR="00432271" w:rsidRPr="00F52F8B" w:rsidTr="00293B44">
        <w:trPr>
          <w:trHeight w:val="264"/>
          <w:jc w:val="center"/>
        </w:trPr>
        <w:tc>
          <w:tcPr>
            <w:tcW w:w="482"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1.</w:t>
            </w:r>
          </w:p>
        </w:tc>
        <w:tc>
          <w:tcPr>
            <w:tcW w:w="68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To reflect accumulated depreciation per Rule 25-30.140, F.A.C.</w:t>
            </w:r>
          </w:p>
        </w:tc>
        <w:tc>
          <w:tcPr>
            <w:tcW w:w="2754"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($5,623) </w:t>
            </w:r>
          </w:p>
        </w:tc>
      </w:tr>
      <w:tr w:rsidR="00432271" w:rsidRPr="00F52F8B" w:rsidTr="00293B44">
        <w:trPr>
          <w:trHeight w:val="264"/>
          <w:jc w:val="center"/>
        </w:trPr>
        <w:tc>
          <w:tcPr>
            <w:tcW w:w="482"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2.</w:t>
            </w:r>
          </w:p>
        </w:tc>
        <w:tc>
          <w:tcPr>
            <w:tcW w:w="68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xml:space="preserve">To reflect retirements associated with 2010 and 2011 plant additions. </w:t>
            </w:r>
          </w:p>
        </w:tc>
        <w:tc>
          <w:tcPr>
            <w:tcW w:w="2754"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2,204 </w:t>
            </w:r>
          </w:p>
        </w:tc>
      </w:tr>
      <w:tr w:rsidR="00432271" w:rsidRPr="00F52F8B" w:rsidTr="00293B44">
        <w:trPr>
          <w:trHeight w:val="264"/>
          <w:jc w:val="center"/>
        </w:trPr>
        <w:tc>
          <w:tcPr>
            <w:tcW w:w="482"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3.</w:t>
            </w:r>
          </w:p>
        </w:tc>
        <w:tc>
          <w:tcPr>
            <w:tcW w:w="68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To reflect an averaging adjustment.</w:t>
            </w:r>
          </w:p>
        </w:tc>
        <w:tc>
          <w:tcPr>
            <w:tcW w:w="2754"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u w:val="single"/>
              </w:rPr>
            </w:pPr>
            <w:r w:rsidRPr="00F52F8B">
              <w:rPr>
                <w:rFonts w:ascii="SWISS" w:hAnsi="SWISS" w:cs="Arial"/>
                <w:sz w:val="20"/>
                <w:szCs w:val="20"/>
                <w:u w:val="single"/>
              </w:rPr>
              <w:t xml:space="preserve">811 </w:t>
            </w:r>
          </w:p>
        </w:tc>
      </w:tr>
      <w:tr w:rsidR="00432271" w:rsidRPr="00F52F8B" w:rsidTr="00293B44">
        <w:trPr>
          <w:trHeight w:val="264"/>
          <w:jc w:val="center"/>
        </w:trPr>
        <w:tc>
          <w:tcPr>
            <w:tcW w:w="482"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b/>
                <w:sz w:val="20"/>
                <w:szCs w:val="20"/>
              </w:rPr>
            </w:pPr>
            <w:r w:rsidRPr="00F52F8B">
              <w:rPr>
                <w:rFonts w:ascii="SWISS" w:hAnsi="SWISS" w:cs="Arial"/>
                <w:b/>
                <w:sz w:val="20"/>
                <w:szCs w:val="20"/>
              </w:rPr>
              <w:t> </w:t>
            </w:r>
          </w:p>
        </w:tc>
        <w:tc>
          <w:tcPr>
            <w:tcW w:w="68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xml:space="preserve">     Total</w:t>
            </w:r>
          </w:p>
        </w:tc>
        <w:tc>
          <w:tcPr>
            <w:tcW w:w="2754"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u w:val="double"/>
              </w:rPr>
            </w:pPr>
            <w:r w:rsidRPr="00F52F8B">
              <w:rPr>
                <w:rFonts w:ascii="SWISS" w:hAnsi="SWISS" w:cs="Arial"/>
                <w:sz w:val="20"/>
                <w:szCs w:val="20"/>
                <w:u w:val="double"/>
              </w:rPr>
              <w:t xml:space="preserve">($2,607) </w:t>
            </w:r>
          </w:p>
        </w:tc>
      </w:tr>
      <w:tr w:rsidR="00432271" w:rsidRPr="00F52F8B" w:rsidTr="00293B44">
        <w:trPr>
          <w:trHeight w:val="264"/>
          <w:jc w:val="center"/>
        </w:trPr>
        <w:tc>
          <w:tcPr>
            <w:tcW w:w="482"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b/>
                <w:sz w:val="20"/>
                <w:szCs w:val="20"/>
              </w:rPr>
            </w:pPr>
          </w:p>
        </w:tc>
        <w:tc>
          <w:tcPr>
            <w:tcW w:w="68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2754"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w:t>
            </w:r>
          </w:p>
        </w:tc>
      </w:tr>
      <w:tr w:rsidR="00432271" w:rsidRPr="00F52F8B" w:rsidTr="00293B44">
        <w:trPr>
          <w:trHeight w:val="264"/>
          <w:jc w:val="center"/>
        </w:trPr>
        <w:tc>
          <w:tcPr>
            <w:tcW w:w="482" w:type="dxa"/>
            <w:tcBorders>
              <w:top w:val="nil"/>
              <w:left w:val="single" w:sz="8" w:space="0" w:color="auto"/>
              <w:right w:val="nil"/>
            </w:tcBorders>
            <w:shd w:val="clear" w:color="auto" w:fill="auto"/>
            <w:noWrap/>
            <w:vAlign w:val="bottom"/>
          </w:tcPr>
          <w:p w:rsidR="00432271" w:rsidRPr="00F52F8B" w:rsidRDefault="00432271" w:rsidP="00432271">
            <w:pPr>
              <w:rPr>
                <w:rFonts w:ascii="SWISS" w:hAnsi="SWISS" w:cs="Arial"/>
              </w:rPr>
            </w:pPr>
          </w:p>
        </w:tc>
        <w:tc>
          <w:tcPr>
            <w:tcW w:w="6843" w:type="dxa"/>
            <w:tcBorders>
              <w:top w:val="nil"/>
              <w:left w:val="nil"/>
              <w:right w:val="nil"/>
            </w:tcBorders>
            <w:shd w:val="clear" w:color="auto" w:fill="auto"/>
            <w:noWrap/>
            <w:vAlign w:val="bottom"/>
          </w:tcPr>
          <w:p w:rsidR="00432271" w:rsidRPr="00F52F8B" w:rsidRDefault="00432271" w:rsidP="00432271">
            <w:pPr>
              <w:rPr>
                <w:rFonts w:ascii="SWISS" w:hAnsi="SWISS" w:cs="Arial"/>
                <w:b/>
                <w:bCs/>
                <w:color w:val="000000"/>
                <w:sz w:val="20"/>
                <w:szCs w:val="20"/>
                <w:u w:val="single"/>
              </w:rPr>
            </w:pPr>
            <w:r w:rsidRPr="00F52F8B">
              <w:rPr>
                <w:rFonts w:ascii="SWISS" w:hAnsi="SWISS" w:cs="Arial"/>
                <w:b/>
                <w:bCs/>
                <w:color w:val="000000"/>
                <w:sz w:val="20"/>
                <w:szCs w:val="20"/>
                <w:u w:val="single"/>
              </w:rPr>
              <w:t>WORKING CAPITAL ALLOWANCE</w:t>
            </w:r>
          </w:p>
        </w:tc>
        <w:tc>
          <w:tcPr>
            <w:tcW w:w="2754" w:type="dxa"/>
            <w:tcBorders>
              <w:top w:val="nil"/>
              <w:left w:val="nil"/>
              <w:right w:val="single" w:sz="8" w:space="0" w:color="auto"/>
            </w:tcBorders>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 </w:t>
            </w:r>
          </w:p>
        </w:tc>
      </w:tr>
      <w:tr w:rsidR="00432271" w:rsidRPr="00F52F8B" w:rsidTr="00293B44">
        <w:trPr>
          <w:trHeight w:val="264"/>
          <w:jc w:val="center"/>
        </w:trPr>
        <w:tc>
          <w:tcPr>
            <w:tcW w:w="482" w:type="dxa"/>
            <w:tcBorders>
              <w:top w:val="nil"/>
              <w:left w:val="single" w:sz="8" w:space="0" w:color="auto"/>
              <w:right w:val="nil"/>
            </w:tcBorders>
            <w:shd w:val="clear" w:color="auto" w:fill="auto"/>
            <w:noWrap/>
            <w:vAlign w:val="bottom"/>
          </w:tcPr>
          <w:p w:rsidR="00432271" w:rsidRPr="00F52F8B" w:rsidRDefault="00432271" w:rsidP="00432271">
            <w:pPr>
              <w:rPr>
                <w:rFonts w:ascii="SWISS" w:hAnsi="SWISS" w:cs="Arial"/>
              </w:rPr>
            </w:pPr>
          </w:p>
        </w:tc>
        <w:tc>
          <w:tcPr>
            <w:tcW w:w="6843" w:type="dxa"/>
            <w:tcBorders>
              <w:top w:val="nil"/>
              <w:left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To reflect 1/8 of test year O&amp;M expenses.</w:t>
            </w:r>
          </w:p>
        </w:tc>
        <w:tc>
          <w:tcPr>
            <w:tcW w:w="2754" w:type="dxa"/>
            <w:tcBorders>
              <w:top w:val="nil"/>
              <w:left w:val="nil"/>
              <w:right w:val="single" w:sz="8" w:space="0" w:color="auto"/>
            </w:tcBorders>
            <w:shd w:val="clear" w:color="auto" w:fill="auto"/>
            <w:noWrap/>
            <w:vAlign w:val="bottom"/>
          </w:tcPr>
          <w:p w:rsidR="00432271" w:rsidRPr="00F52F8B" w:rsidRDefault="00432271" w:rsidP="00B5535D">
            <w:pPr>
              <w:jc w:val="right"/>
              <w:rPr>
                <w:rFonts w:ascii="SWISS" w:hAnsi="SWISS" w:cs="Arial"/>
                <w:color w:val="000000"/>
                <w:sz w:val="20"/>
                <w:szCs w:val="20"/>
                <w:u w:val="double"/>
              </w:rPr>
            </w:pPr>
            <w:r w:rsidRPr="00F52F8B">
              <w:rPr>
                <w:rFonts w:ascii="SWISS" w:hAnsi="SWISS" w:cs="Arial"/>
                <w:color w:val="000000"/>
                <w:sz w:val="20"/>
                <w:szCs w:val="20"/>
                <w:u w:val="double"/>
              </w:rPr>
              <w:t>$</w:t>
            </w:r>
            <w:r w:rsidR="00B5535D">
              <w:rPr>
                <w:rFonts w:ascii="SWISS" w:hAnsi="SWISS" w:cs="Arial"/>
                <w:color w:val="000000"/>
                <w:sz w:val="20"/>
                <w:szCs w:val="20"/>
                <w:u w:val="double"/>
              </w:rPr>
              <w:t>3,127</w:t>
            </w:r>
            <w:r w:rsidRPr="00F52F8B">
              <w:rPr>
                <w:rFonts w:ascii="SWISS" w:hAnsi="SWISS" w:cs="Arial"/>
                <w:color w:val="000000"/>
                <w:sz w:val="20"/>
                <w:szCs w:val="20"/>
                <w:u w:val="double"/>
              </w:rPr>
              <w:t xml:space="preserve"> </w:t>
            </w:r>
          </w:p>
        </w:tc>
      </w:tr>
      <w:tr w:rsidR="00432271" w:rsidRPr="00F52F8B" w:rsidTr="00293B44">
        <w:trPr>
          <w:trHeight w:val="264"/>
          <w:jc w:val="center"/>
        </w:trPr>
        <w:tc>
          <w:tcPr>
            <w:tcW w:w="482" w:type="dxa"/>
            <w:tcBorders>
              <w:top w:val="nil"/>
              <w:left w:val="single" w:sz="8" w:space="0" w:color="auto"/>
              <w:bottom w:val="single" w:sz="8" w:space="0" w:color="auto"/>
              <w:right w:val="nil"/>
            </w:tcBorders>
            <w:shd w:val="clear" w:color="auto" w:fill="auto"/>
            <w:noWrap/>
            <w:vAlign w:val="bottom"/>
          </w:tcPr>
          <w:p w:rsidR="00432271" w:rsidRPr="00F52F8B" w:rsidRDefault="00432271" w:rsidP="00432271">
            <w:pPr>
              <w:rPr>
                <w:rFonts w:ascii="SWISS" w:hAnsi="SWISS" w:cs="Arial"/>
              </w:rPr>
            </w:pPr>
          </w:p>
        </w:tc>
        <w:tc>
          <w:tcPr>
            <w:tcW w:w="6843" w:type="dxa"/>
            <w:tcBorders>
              <w:top w:val="nil"/>
              <w:left w:val="nil"/>
              <w:bottom w:val="single" w:sz="8" w:space="0" w:color="auto"/>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2754" w:type="dxa"/>
            <w:tcBorders>
              <w:top w:val="nil"/>
              <w:left w:val="nil"/>
              <w:bottom w:val="single" w:sz="8" w:space="0" w:color="auto"/>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u w:val="double"/>
              </w:rPr>
            </w:pPr>
          </w:p>
        </w:tc>
      </w:tr>
    </w:tbl>
    <w:p w:rsidR="00276AC3" w:rsidRDefault="00276AC3" w:rsidP="00E275D8">
      <w:pPr>
        <w:pStyle w:val="BodyText"/>
      </w:pPr>
    </w:p>
    <w:p w:rsidR="00432271" w:rsidRDefault="00432271" w:rsidP="00E275D8">
      <w:pPr>
        <w:pStyle w:val="BodyText"/>
        <w:sectPr w:rsidR="00432271" w:rsidSect="0068481F">
          <w:headerReference w:type="default" r:id="rId20"/>
          <w:pgSz w:w="12240" w:h="15840" w:code="1"/>
          <w:pgMar w:top="1584" w:right="1440" w:bottom="1440" w:left="1440" w:header="720" w:footer="720" w:gutter="0"/>
          <w:cols w:space="720"/>
          <w:formProt w:val="0"/>
          <w:docGrid w:linePitch="360"/>
        </w:sectPr>
      </w:pPr>
    </w:p>
    <w:tbl>
      <w:tblPr>
        <w:tblW w:w="13867" w:type="dxa"/>
        <w:jc w:val="center"/>
        <w:tblLook w:val="0000" w:firstRow="0" w:lastRow="0" w:firstColumn="0" w:lastColumn="0" w:noHBand="0" w:noVBand="0"/>
      </w:tblPr>
      <w:tblGrid>
        <w:gridCol w:w="483"/>
        <w:gridCol w:w="2855"/>
        <w:gridCol w:w="1124"/>
        <w:gridCol w:w="1213"/>
        <w:gridCol w:w="1755"/>
        <w:gridCol w:w="1256"/>
        <w:gridCol w:w="1283"/>
        <w:gridCol w:w="1255"/>
        <w:gridCol w:w="1183"/>
        <w:gridCol w:w="1460"/>
      </w:tblGrid>
      <w:tr w:rsidR="00432271" w:rsidRPr="00F52F8B" w:rsidTr="00930BAA">
        <w:trPr>
          <w:trHeight w:val="292"/>
          <w:jc w:val="center"/>
        </w:trPr>
        <w:tc>
          <w:tcPr>
            <w:tcW w:w="483" w:type="dxa"/>
            <w:tcBorders>
              <w:top w:val="single" w:sz="8" w:space="0" w:color="auto"/>
              <w:left w:val="single" w:sz="8" w:space="0" w:color="auto"/>
              <w:bottom w:val="nil"/>
              <w:right w:val="nil"/>
            </w:tcBorders>
            <w:shd w:val="clear" w:color="auto" w:fill="auto"/>
            <w:noWrap/>
            <w:vAlign w:val="bottom"/>
          </w:tcPr>
          <w:p w:rsidR="00432271" w:rsidRPr="000D2E84" w:rsidRDefault="00432271" w:rsidP="00432271">
            <w:pPr>
              <w:rPr>
                <w:rFonts w:ascii="SWISS" w:hAnsi="SWISS" w:cs="Arial"/>
                <w:color w:val="000000"/>
                <w:sz w:val="20"/>
                <w:szCs w:val="20"/>
              </w:rPr>
            </w:pPr>
            <w:r w:rsidRPr="000D2E84">
              <w:rPr>
                <w:rFonts w:ascii="SWISS" w:hAnsi="SWISS" w:cs="Arial"/>
                <w:color w:val="000000"/>
                <w:sz w:val="20"/>
                <w:szCs w:val="20"/>
              </w:rPr>
              <w:lastRenderedPageBreak/>
              <w:t> </w:t>
            </w:r>
          </w:p>
        </w:tc>
        <w:tc>
          <w:tcPr>
            <w:tcW w:w="9486" w:type="dxa"/>
            <w:gridSpan w:val="6"/>
            <w:tcBorders>
              <w:top w:val="single" w:sz="8" w:space="0" w:color="auto"/>
              <w:left w:val="nil"/>
              <w:bottom w:val="nil"/>
              <w:right w:val="nil"/>
            </w:tcBorders>
            <w:shd w:val="clear" w:color="auto" w:fill="auto"/>
            <w:noWrap/>
            <w:vAlign w:val="bottom"/>
          </w:tcPr>
          <w:p w:rsidR="00432271" w:rsidRPr="000D2E84" w:rsidRDefault="00432271" w:rsidP="00432271">
            <w:pPr>
              <w:rPr>
                <w:rFonts w:ascii="SWISS" w:hAnsi="SWISS" w:cs="Arial"/>
                <w:color w:val="000000"/>
                <w:sz w:val="20"/>
                <w:szCs w:val="20"/>
              </w:rPr>
            </w:pPr>
            <w:r w:rsidRPr="000D2E84">
              <w:rPr>
                <w:rFonts w:ascii="SWISS" w:hAnsi="SWISS" w:cs="Arial"/>
                <w:b/>
                <w:bCs/>
                <w:color w:val="000000"/>
                <w:sz w:val="20"/>
                <w:szCs w:val="20"/>
              </w:rPr>
              <w:t>ALTURAS UTILITIES, L.L.C.</w:t>
            </w:r>
          </w:p>
        </w:tc>
        <w:tc>
          <w:tcPr>
            <w:tcW w:w="1255" w:type="dxa"/>
            <w:tcBorders>
              <w:top w:val="single" w:sz="8" w:space="0" w:color="auto"/>
              <w:left w:val="nil"/>
              <w:bottom w:val="nil"/>
              <w:right w:val="nil"/>
            </w:tcBorders>
            <w:shd w:val="clear" w:color="auto" w:fill="auto"/>
            <w:noWrap/>
            <w:vAlign w:val="bottom"/>
          </w:tcPr>
          <w:p w:rsidR="00432271" w:rsidRPr="00F52F8B" w:rsidRDefault="00432271" w:rsidP="00432271">
            <w:pPr>
              <w:rPr>
                <w:rFonts w:ascii="SWISS" w:hAnsi="SWISS" w:cs="Arial"/>
              </w:rPr>
            </w:pPr>
            <w:r w:rsidRPr="00F52F8B">
              <w:rPr>
                <w:rFonts w:ascii="SWISS" w:hAnsi="SWISS" w:cs="Arial"/>
              </w:rPr>
              <w:t> </w:t>
            </w:r>
          </w:p>
        </w:tc>
        <w:tc>
          <w:tcPr>
            <w:tcW w:w="2643" w:type="dxa"/>
            <w:gridSpan w:val="2"/>
            <w:tcBorders>
              <w:top w:val="single" w:sz="8" w:space="0" w:color="auto"/>
              <w:left w:val="nil"/>
              <w:bottom w:val="nil"/>
              <w:right w:val="single" w:sz="8" w:space="0" w:color="auto"/>
            </w:tcBorders>
            <w:shd w:val="clear" w:color="auto" w:fill="auto"/>
            <w:noWrap/>
            <w:vAlign w:val="bottom"/>
          </w:tcPr>
          <w:p w:rsidR="00432271" w:rsidRPr="00F52F8B" w:rsidRDefault="00432271" w:rsidP="00DF395A">
            <w:pPr>
              <w:jc w:val="right"/>
              <w:rPr>
                <w:rFonts w:ascii="SWISS" w:hAnsi="SWISS" w:cs="Arial"/>
                <w:b/>
                <w:bCs/>
                <w:color w:val="000000"/>
                <w:sz w:val="20"/>
                <w:szCs w:val="20"/>
              </w:rPr>
            </w:pPr>
            <w:r w:rsidRPr="00F52F8B">
              <w:rPr>
                <w:rFonts w:ascii="SWISS" w:hAnsi="SWISS" w:cs="Arial"/>
                <w:b/>
                <w:bCs/>
                <w:color w:val="000000"/>
                <w:sz w:val="20"/>
                <w:szCs w:val="20"/>
              </w:rPr>
              <w:t xml:space="preserve">             SCHEDULE NO. 2</w:t>
            </w:r>
            <w:r w:rsidRPr="00F52F8B">
              <w:rPr>
                <w:sz w:val="20"/>
                <w:szCs w:val="20"/>
              </w:rPr>
              <w:fldChar w:fldCharType="begin"/>
            </w:r>
            <w:r w:rsidRPr="00F52F8B">
              <w:rPr>
                <w:sz w:val="20"/>
                <w:szCs w:val="20"/>
              </w:rPr>
              <w:instrText xml:space="preserve"> TC "</w:instrText>
            </w:r>
            <w:bookmarkStart w:id="42" w:name="_Toc399147318"/>
            <w:r w:rsidRPr="00F52F8B">
              <w:rPr>
                <w:sz w:val="20"/>
                <w:szCs w:val="20"/>
              </w:rPr>
              <w:tab/>
            </w:r>
            <w:bookmarkStart w:id="43" w:name="_Toc422220888"/>
            <w:bookmarkStart w:id="44" w:name="_Toc442961346"/>
            <w:bookmarkStart w:id="45" w:name="_Toc443485028"/>
            <w:r w:rsidRPr="00F52F8B">
              <w:rPr>
                <w:sz w:val="20"/>
                <w:szCs w:val="20"/>
              </w:rPr>
              <w:instrText>Schedule No. 2 Capital Structure</w:instrText>
            </w:r>
            <w:bookmarkEnd w:id="42"/>
            <w:bookmarkEnd w:id="43"/>
            <w:bookmarkEnd w:id="44"/>
            <w:bookmarkEnd w:id="45"/>
            <w:r w:rsidRPr="00F52F8B">
              <w:rPr>
                <w:sz w:val="20"/>
                <w:szCs w:val="20"/>
              </w:rPr>
              <w:instrText xml:space="preserve">”\l 1 </w:instrText>
            </w:r>
            <w:r w:rsidRPr="00F52F8B">
              <w:rPr>
                <w:sz w:val="20"/>
                <w:szCs w:val="20"/>
              </w:rPr>
              <w:fldChar w:fldCharType="end"/>
            </w:r>
          </w:p>
        </w:tc>
      </w:tr>
      <w:tr w:rsidR="00432271" w:rsidRPr="00F52F8B" w:rsidTr="00930BAA">
        <w:trPr>
          <w:trHeight w:val="292"/>
          <w:jc w:val="center"/>
        </w:trPr>
        <w:tc>
          <w:tcPr>
            <w:tcW w:w="483"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3979" w:type="dxa"/>
            <w:gridSpan w:val="2"/>
            <w:tcBorders>
              <w:top w:val="nil"/>
              <w:left w:val="nil"/>
              <w:bottom w:val="nil"/>
              <w:right w:val="nil"/>
            </w:tcBorders>
            <w:shd w:val="clear" w:color="auto" w:fill="auto"/>
            <w:noWrap/>
            <w:vAlign w:val="bottom"/>
          </w:tcPr>
          <w:p w:rsidR="00432271" w:rsidRPr="00F52F8B" w:rsidRDefault="00432271" w:rsidP="00432271">
            <w:pPr>
              <w:rPr>
                <w:rFonts w:ascii="SWISS" w:hAnsi="SWISS" w:cs="Arial"/>
                <w:b/>
                <w:bCs/>
                <w:color w:val="000000"/>
                <w:sz w:val="20"/>
                <w:szCs w:val="20"/>
              </w:rPr>
            </w:pPr>
            <w:r w:rsidRPr="00F52F8B">
              <w:rPr>
                <w:rFonts w:ascii="SWISS" w:hAnsi="SWISS" w:cs="Arial"/>
                <w:b/>
                <w:bCs/>
                <w:color w:val="000000"/>
                <w:sz w:val="20"/>
                <w:szCs w:val="20"/>
              </w:rPr>
              <w:t>TEST YEAR ENDED  12/31/14</w:t>
            </w:r>
          </w:p>
        </w:tc>
        <w:tc>
          <w:tcPr>
            <w:tcW w:w="121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755"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256"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28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255"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rPr>
            </w:pPr>
          </w:p>
        </w:tc>
        <w:tc>
          <w:tcPr>
            <w:tcW w:w="2643" w:type="dxa"/>
            <w:gridSpan w:val="2"/>
            <w:tcBorders>
              <w:top w:val="nil"/>
              <w:left w:val="nil"/>
              <w:bottom w:val="nil"/>
              <w:right w:val="single" w:sz="8" w:space="0" w:color="auto"/>
            </w:tcBorders>
            <w:shd w:val="clear" w:color="auto" w:fill="auto"/>
            <w:noWrap/>
            <w:vAlign w:val="bottom"/>
          </w:tcPr>
          <w:p w:rsidR="00432271" w:rsidRPr="00F52F8B" w:rsidRDefault="00432271" w:rsidP="00DF395A">
            <w:pPr>
              <w:jc w:val="right"/>
              <w:rPr>
                <w:rFonts w:ascii="SWISS" w:hAnsi="SWISS" w:cs="Arial"/>
                <w:b/>
                <w:bCs/>
                <w:color w:val="000000"/>
                <w:sz w:val="20"/>
                <w:szCs w:val="20"/>
              </w:rPr>
            </w:pPr>
            <w:r w:rsidRPr="00F52F8B">
              <w:rPr>
                <w:rFonts w:ascii="SWISS" w:hAnsi="SWISS" w:cs="Arial"/>
                <w:b/>
                <w:bCs/>
                <w:color w:val="000000"/>
                <w:sz w:val="20"/>
                <w:szCs w:val="20"/>
              </w:rPr>
              <w:t xml:space="preserve"> DOCKET NO. 140219-WU</w:t>
            </w:r>
          </w:p>
        </w:tc>
      </w:tr>
      <w:tr w:rsidR="00432271" w:rsidRPr="00F52F8B" w:rsidTr="00930BAA">
        <w:trPr>
          <w:trHeight w:val="303"/>
          <w:jc w:val="center"/>
        </w:trPr>
        <w:tc>
          <w:tcPr>
            <w:tcW w:w="483" w:type="dxa"/>
            <w:tcBorders>
              <w:top w:val="nil"/>
              <w:left w:val="single" w:sz="8" w:space="0" w:color="auto"/>
              <w:bottom w:val="single" w:sz="8" w:space="0" w:color="auto"/>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5192" w:type="dxa"/>
            <w:gridSpan w:val="3"/>
            <w:tcBorders>
              <w:top w:val="nil"/>
              <w:left w:val="nil"/>
              <w:bottom w:val="single" w:sz="8" w:space="0" w:color="auto"/>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b/>
                <w:bCs/>
                <w:color w:val="000000"/>
                <w:sz w:val="20"/>
                <w:szCs w:val="20"/>
              </w:rPr>
              <w:t>SCHEDULE OF CAPITAL STRUCTURE</w:t>
            </w:r>
          </w:p>
        </w:tc>
        <w:tc>
          <w:tcPr>
            <w:tcW w:w="1755" w:type="dxa"/>
            <w:tcBorders>
              <w:top w:val="nil"/>
              <w:left w:val="nil"/>
              <w:bottom w:val="single" w:sz="8" w:space="0" w:color="auto"/>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256" w:type="dxa"/>
            <w:tcBorders>
              <w:top w:val="nil"/>
              <w:left w:val="nil"/>
              <w:bottom w:val="single" w:sz="8" w:space="0" w:color="auto"/>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283" w:type="dxa"/>
            <w:tcBorders>
              <w:top w:val="nil"/>
              <w:left w:val="nil"/>
              <w:bottom w:val="single" w:sz="8" w:space="0" w:color="auto"/>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255" w:type="dxa"/>
            <w:tcBorders>
              <w:top w:val="nil"/>
              <w:left w:val="nil"/>
              <w:bottom w:val="single" w:sz="8" w:space="0" w:color="auto"/>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183" w:type="dxa"/>
            <w:tcBorders>
              <w:top w:val="nil"/>
              <w:left w:val="nil"/>
              <w:bottom w:val="single" w:sz="8" w:space="0" w:color="auto"/>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460" w:type="dxa"/>
            <w:tcBorders>
              <w:top w:val="nil"/>
              <w:left w:val="nil"/>
              <w:bottom w:val="single" w:sz="8" w:space="0" w:color="auto"/>
              <w:right w:val="single" w:sz="8" w:space="0" w:color="auto"/>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r>
      <w:tr w:rsidR="00432271" w:rsidRPr="00F52F8B" w:rsidTr="00930BAA">
        <w:trPr>
          <w:trHeight w:val="292"/>
          <w:jc w:val="center"/>
        </w:trPr>
        <w:tc>
          <w:tcPr>
            <w:tcW w:w="483" w:type="dxa"/>
            <w:tcBorders>
              <w:top w:val="single" w:sz="8" w:space="0" w:color="auto"/>
              <w:left w:val="single" w:sz="8" w:space="0" w:color="auto"/>
              <w:bottom w:val="nil"/>
              <w:right w:val="nil"/>
            </w:tcBorders>
            <w:shd w:val="clear" w:color="auto" w:fill="auto"/>
            <w:noWrap/>
            <w:vAlign w:val="bottom"/>
          </w:tcPr>
          <w:p w:rsidR="00432271" w:rsidRPr="00F52F8B" w:rsidRDefault="00432271" w:rsidP="00432271">
            <w:pPr>
              <w:jc w:val="cente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single" w:sz="8" w:space="0" w:color="auto"/>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124" w:type="dxa"/>
            <w:tcBorders>
              <w:top w:val="single" w:sz="8" w:space="0" w:color="auto"/>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213" w:type="dxa"/>
            <w:tcBorders>
              <w:top w:val="single" w:sz="8" w:space="0" w:color="auto"/>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755" w:type="dxa"/>
            <w:tcBorders>
              <w:top w:val="single" w:sz="8" w:space="0" w:color="auto"/>
              <w:left w:val="nil"/>
              <w:bottom w:val="nil"/>
              <w:right w:val="nil"/>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BALANCE</w:t>
            </w:r>
          </w:p>
        </w:tc>
        <w:tc>
          <w:tcPr>
            <w:tcW w:w="1256" w:type="dxa"/>
            <w:tcBorders>
              <w:top w:val="single" w:sz="8" w:space="0" w:color="auto"/>
              <w:left w:val="nil"/>
              <w:bottom w:val="nil"/>
              <w:right w:val="nil"/>
            </w:tcBorders>
            <w:shd w:val="clear" w:color="auto" w:fill="auto"/>
            <w:noWrap/>
            <w:vAlign w:val="bottom"/>
          </w:tcPr>
          <w:p w:rsidR="00432271" w:rsidRPr="00F52F8B" w:rsidRDefault="00432271" w:rsidP="00432271">
            <w:pPr>
              <w:jc w:val="center"/>
              <w:rPr>
                <w:rFonts w:ascii="SWISS" w:hAnsi="SWISS" w:cs="Arial"/>
                <w:color w:val="000000"/>
                <w:sz w:val="20"/>
                <w:szCs w:val="20"/>
              </w:rPr>
            </w:pPr>
            <w:r w:rsidRPr="00F52F8B">
              <w:rPr>
                <w:rFonts w:ascii="SWISS" w:hAnsi="SWISS" w:cs="Arial"/>
                <w:b/>
                <w:bCs/>
                <w:color w:val="000000"/>
                <w:sz w:val="20"/>
                <w:szCs w:val="20"/>
              </w:rPr>
              <w:t>PRO</w:t>
            </w:r>
          </w:p>
        </w:tc>
        <w:tc>
          <w:tcPr>
            <w:tcW w:w="1283" w:type="dxa"/>
            <w:tcBorders>
              <w:top w:val="single" w:sz="8" w:space="0" w:color="auto"/>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255" w:type="dxa"/>
            <w:tcBorders>
              <w:top w:val="single" w:sz="8" w:space="0" w:color="auto"/>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183" w:type="dxa"/>
            <w:tcBorders>
              <w:top w:val="single" w:sz="8" w:space="0" w:color="auto"/>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460" w:type="dxa"/>
            <w:tcBorders>
              <w:top w:val="single" w:sz="8" w:space="0" w:color="auto"/>
              <w:left w:val="nil"/>
              <w:bottom w:val="nil"/>
              <w:right w:val="single" w:sz="8" w:space="0" w:color="auto"/>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r>
      <w:tr w:rsidR="00432271" w:rsidRPr="00F52F8B" w:rsidTr="00930BAA">
        <w:trPr>
          <w:trHeight w:val="292"/>
          <w:jc w:val="center"/>
        </w:trPr>
        <w:tc>
          <w:tcPr>
            <w:tcW w:w="483"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b/>
                <w:bCs/>
                <w:color w:val="000000"/>
                <w:sz w:val="20"/>
                <w:szCs w:val="20"/>
              </w:rPr>
            </w:pPr>
          </w:p>
        </w:tc>
        <w:tc>
          <w:tcPr>
            <w:tcW w:w="1213" w:type="dxa"/>
            <w:tcBorders>
              <w:top w:val="nil"/>
              <w:left w:val="nil"/>
              <w:bottom w:val="nil"/>
              <w:right w:val="nil"/>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SPECIFIC</w:t>
            </w:r>
          </w:p>
        </w:tc>
        <w:tc>
          <w:tcPr>
            <w:tcW w:w="1755" w:type="dxa"/>
            <w:tcBorders>
              <w:top w:val="nil"/>
              <w:left w:val="nil"/>
              <w:bottom w:val="nil"/>
              <w:right w:val="nil"/>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BEFORE</w:t>
            </w:r>
          </w:p>
        </w:tc>
        <w:tc>
          <w:tcPr>
            <w:tcW w:w="1256" w:type="dxa"/>
            <w:tcBorders>
              <w:top w:val="nil"/>
              <w:left w:val="nil"/>
              <w:bottom w:val="nil"/>
              <w:right w:val="nil"/>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RATA</w:t>
            </w:r>
          </w:p>
        </w:tc>
        <w:tc>
          <w:tcPr>
            <w:tcW w:w="1283" w:type="dxa"/>
            <w:tcBorders>
              <w:top w:val="nil"/>
              <w:left w:val="nil"/>
              <w:bottom w:val="nil"/>
              <w:right w:val="nil"/>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BALANCE</w:t>
            </w:r>
          </w:p>
        </w:tc>
        <w:tc>
          <w:tcPr>
            <w:tcW w:w="1255" w:type="dxa"/>
            <w:tcBorders>
              <w:top w:val="nil"/>
              <w:left w:val="nil"/>
              <w:bottom w:val="nil"/>
              <w:right w:val="nil"/>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PERCENT</w:t>
            </w:r>
          </w:p>
        </w:tc>
        <w:tc>
          <w:tcPr>
            <w:tcW w:w="118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b/>
                <w:bCs/>
                <w:color w:val="000000"/>
                <w:sz w:val="20"/>
                <w:szCs w:val="20"/>
              </w:rPr>
            </w:pPr>
          </w:p>
        </w:tc>
        <w:tc>
          <w:tcPr>
            <w:tcW w:w="1460"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b/>
                <w:bCs/>
                <w:color w:val="000000"/>
                <w:sz w:val="20"/>
                <w:szCs w:val="20"/>
              </w:rPr>
            </w:pPr>
            <w:r w:rsidRPr="00F52F8B">
              <w:rPr>
                <w:rFonts w:ascii="SWISS" w:hAnsi="SWISS" w:cs="Arial"/>
                <w:b/>
                <w:bCs/>
                <w:color w:val="000000"/>
                <w:sz w:val="20"/>
                <w:szCs w:val="20"/>
              </w:rPr>
              <w:t> </w:t>
            </w:r>
          </w:p>
        </w:tc>
      </w:tr>
      <w:tr w:rsidR="00432271" w:rsidRPr="00F52F8B" w:rsidTr="00930BAA">
        <w:trPr>
          <w:trHeight w:val="292"/>
          <w:jc w:val="center"/>
        </w:trPr>
        <w:tc>
          <w:tcPr>
            <w:tcW w:w="483"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PER</w:t>
            </w:r>
          </w:p>
        </w:tc>
        <w:tc>
          <w:tcPr>
            <w:tcW w:w="1213" w:type="dxa"/>
            <w:tcBorders>
              <w:top w:val="nil"/>
              <w:left w:val="nil"/>
              <w:bottom w:val="nil"/>
              <w:right w:val="nil"/>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ADJUST-</w:t>
            </w:r>
          </w:p>
        </w:tc>
        <w:tc>
          <w:tcPr>
            <w:tcW w:w="1755" w:type="dxa"/>
            <w:tcBorders>
              <w:top w:val="nil"/>
              <w:left w:val="nil"/>
              <w:bottom w:val="nil"/>
              <w:right w:val="nil"/>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PRO RATA</w:t>
            </w:r>
          </w:p>
        </w:tc>
        <w:tc>
          <w:tcPr>
            <w:tcW w:w="1256" w:type="dxa"/>
            <w:tcBorders>
              <w:top w:val="nil"/>
              <w:left w:val="nil"/>
              <w:bottom w:val="nil"/>
              <w:right w:val="nil"/>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ADJUST-</w:t>
            </w:r>
          </w:p>
        </w:tc>
        <w:tc>
          <w:tcPr>
            <w:tcW w:w="1283" w:type="dxa"/>
            <w:tcBorders>
              <w:top w:val="nil"/>
              <w:left w:val="nil"/>
              <w:bottom w:val="nil"/>
              <w:right w:val="nil"/>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PER</w:t>
            </w:r>
          </w:p>
        </w:tc>
        <w:tc>
          <w:tcPr>
            <w:tcW w:w="1255" w:type="dxa"/>
            <w:tcBorders>
              <w:top w:val="nil"/>
              <w:left w:val="nil"/>
              <w:bottom w:val="nil"/>
              <w:right w:val="nil"/>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OF</w:t>
            </w:r>
          </w:p>
        </w:tc>
        <w:tc>
          <w:tcPr>
            <w:tcW w:w="118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b/>
                <w:bCs/>
                <w:color w:val="000000"/>
                <w:sz w:val="20"/>
                <w:szCs w:val="20"/>
              </w:rPr>
            </w:pPr>
          </w:p>
        </w:tc>
        <w:tc>
          <w:tcPr>
            <w:tcW w:w="1460" w:type="dxa"/>
            <w:tcBorders>
              <w:top w:val="nil"/>
              <w:left w:val="nil"/>
              <w:bottom w:val="nil"/>
              <w:right w:val="single" w:sz="8" w:space="0" w:color="auto"/>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WEIGHTED</w:t>
            </w:r>
          </w:p>
        </w:tc>
      </w:tr>
      <w:tr w:rsidR="00432271" w:rsidRPr="00F52F8B" w:rsidTr="00930BAA">
        <w:trPr>
          <w:trHeight w:val="303"/>
          <w:jc w:val="center"/>
        </w:trPr>
        <w:tc>
          <w:tcPr>
            <w:tcW w:w="483" w:type="dxa"/>
            <w:tcBorders>
              <w:top w:val="nil"/>
              <w:left w:val="single" w:sz="8" w:space="0" w:color="auto"/>
              <w:bottom w:val="single" w:sz="8" w:space="0" w:color="auto"/>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single" w:sz="8" w:space="0" w:color="auto"/>
              <w:right w:val="nil"/>
            </w:tcBorders>
            <w:shd w:val="clear" w:color="auto" w:fill="auto"/>
            <w:noWrap/>
            <w:vAlign w:val="bottom"/>
          </w:tcPr>
          <w:p w:rsidR="00432271" w:rsidRPr="00F52F8B" w:rsidRDefault="00432271" w:rsidP="00432271">
            <w:pPr>
              <w:rPr>
                <w:rFonts w:ascii="SWISS" w:hAnsi="SWISS" w:cs="Arial"/>
                <w:b/>
                <w:bCs/>
                <w:color w:val="000000"/>
                <w:sz w:val="20"/>
                <w:szCs w:val="20"/>
              </w:rPr>
            </w:pPr>
            <w:r w:rsidRPr="00F52F8B">
              <w:rPr>
                <w:rFonts w:ascii="SWISS" w:hAnsi="SWISS" w:cs="Arial"/>
                <w:b/>
                <w:bCs/>
                <w:color w:val="000000"/>
                <w:sz w:val="20"/>
                <w:szCs w:val="20"/>
              </w:rPr>
              <w:t>CAPITAL COMPONENT</w:t>
            </w:r>
          </w:p>
        </w:tc>
        <w:tc>
          <w:tcPr>
            <w:tcW w:w="1124" w:type="dxa"/>
            <w:tcBorders>
              <w:top w:val="nil"/>
              <w:left w:val="nil"/>
              <w:bottom w:val="single" w:sz="8" w:space="0" w:color="auto"/>
              <w:right w:val="nil"/>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UTILITY</w:t>
            </w:r>
          </w:p>
        </w:tc>
        <w:tc>
          <w:tcPr>
            <w:tcW w:w="1213" w:type="dxa"/>
            <w:tcBorders>
              <w:top w:val="nil"/>
              <w:left w:val="nil"/>
              <w:bottom w:val="single" w:sz="8" w:space="0" w:color="auto"/>
              <w:right w:val="nil"/>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MENTS</w:t>
            </w:r>
          </w:p>
        </w:tc>
        <w:tc>
          <w:tcPr>
            <w:tcW w:w="1755" w:type="dxa"/>
            <w:tcBorders>
              <w:top w:val="nil"/>
              <w:left w:val="nil"/>
              <w:bottom w:val="single" w:sz="8" w:space="0" w:color="auto"/>
              <w:right w:val="nil"/>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ADJUSTMENTS</w:t>
            </w:r>
          </w:p>
        </w:tc>
        <w:tc>
          <w:tcPr>
            <w:tcW w:w="1256" w:type="dxa"/>
            <w:tcBorders>
              <w:top w:val="nil"/>
              <w:left w:val="nil"/>
              <w:bottom w:val="single" w:sz="8" w:space="0" w:color="auto"/>
              <w:right w:val="nil"/>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MENTS</w:t>
            </w:r>
          </w:p>
        </w:tc>
        <w:tc>
          <w:tcPr>
            <w:tcW w:w="1283" w:type="dxa"/>
            <w:tcBorders>
              <w:top w:val="nil"/>
              <w:left w:val="nil"/>
              <w:bottom w:val="single" w:sz="8" w:space="0" w:color="auto"/>
              <w:right w:val="nil"/>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STAFF</w:t>
            </w:r>
          </w:p>
        </w:tc>
        <w:tc>
          <w:tcPr>
            <w:tcW w:w="1255" w:type="dxa"/>
            <w:tcBorders>
              <w:top w:val="nil"/>
              <w:left w:val="nil"/>
              <w:bottom w:val="single" w:sz="8" w:space="0" w:color="auto"/>
              <w:right w:val="nil"/>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TOTAL</w:t>
            </w:r>
          </w:p>
        </w:tc>
        <w:tc>
          <w:tcPr>
            <w:tcW w:w="1183" w:type="dxa"/>
            <w:tcBorders>
              <w:top w:val="nil"/>
              <w:left w:val="nil"/>
              <w:bottom w:val="single" w:sz="8" w:space="0" w:color="auto"/>
              <w:right w:val="nil"/>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COST</w:t>
            </w:r>
          </w:p>
        </w:tc>
        <w:tc>
          <w:tcPr>
            <w:tcW w:w="1460" w:type="dxa"/>
            <w:tcBorders>
              <w:top w:val="nil"/>
              <w:left w:val="nil"/>
              <w:bottom w:val="single" w:sz="8" w:space="0" w:color="auto"/>
              <w:right w:val="single" w:sz="8" w:space="0" w:color="auto"/>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COST</w:t>
            </w:r>
          </w:p>
        </w:tc>
      </w:tr>
      <w:tr w:rsidR="00432271" w:rsidRPr="00F52F8B" w:rsidTr="00930BAA">
        <w:trPr>
          <w:trHeight w:val="292"/>
          <w:jc w:val="center"/>
        </w:trPr>
        <w:tc>
          <w:tcPr>
            <w:tcW w:w="483"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21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755"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256"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28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255"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18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460"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r>
      <w:tr w:rsidR="00432271" w:rsidRPr="00F52F8B" w:rsidTr="00930BAA">
        <w:trPr>
          <w:trHeight w:val="292"/>
          <w:jc w:val="center"/>
        </w:trPr>
        <w:tc>
          <w:tcPr>
            <w:tcW w:w="483"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1.</w:t>
            </w:r>
          </w:p>
        </w:tc>
        <w:tc>
          <w:tcPr>
            <w:tcW w:w="2855"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COMMON STOCK</w:t>
            </w:r>
          </w:p>
        </w:tc>
        <w:tc>
          <w:tcPr>
            <w:tcW w:w="1124"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213"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755"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256"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28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255"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18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r>
      <w:tr w:rsidR="00432271" w:rsidRPr="00F52F8B" w:rsidTr="00930BAA">
        <w:trPr>
          <w:trHeight w:val="292"/>
          <w:jc w:val="center"/>
        </w:trPr>
        <w:tc>
          <w:tcPr>
            <w:tcW w:w="483"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2.</w:t>
            </w:r>
          </w:p>
        </w:tc>
        <w:tc>
          <w:tcPr>
            <w:tcW w:w="2855"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RETAINED EARNINGS</w:t>
            </w:r>
          </w:p>
        </w:tc>
        <w:tc>
          <w:tcPr>
            <w:tcW w:w="1124"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213"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755"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256"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28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255"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18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r>
      <w:tr w:rsidR="00432271" w:rsidRPr="00F52F8B" w:rsidTr="00930BAA">
        <w:trPr>
          <w:trHeight w:val="292"/>
          <w:jc w:val="center"/>
        </w:trPr>
        <w:tc>
          <w:tcPr>
            <w:tcW w:w="483"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3.</w:t>
            </w:r>
          </w:p>
        </w:tc>
        <w:tc>
          <w:tcPr>
            <w:tcW w:w="2855"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PAID IN CAPITAL</w:t>
            </w:r>
          </w:p>
        </w:tc>
        <w:tc>
          <w:tcPr>
            <w:tcW w:w="1124"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213"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755"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256"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28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255"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18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r>
      <w:tr w:rsidR="00432271" w:rsidRPr="00F52F8B" w:rsidTr="00930BAA">
        <w:trPr>
          <w:trHeight w:val="292"/>
          <w:jc w:val="center"/>
        </w:trPr>
        <w:tc>
          <w:tcPr>
            <w:tcW w:w="483"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4.</w:t>
            </w:r>
          </w:p>
        </w:tc>
        <w:tc>
          <w:tcPr>
            <w:tcW w:w="2855"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OTHER COMMON EQUITY</w:t>
            </w:r>
          </w:p>
        </w:tc>
        <w:tc>
          <w:tcPr>
            <w:tcW w:w="1124"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u w:val="single"/>
              </w:rPr>
            </w:pPr>
            <w:r w:rsidRPr="00F52F8B">
              <w:rPr>
                <w:rFonts w:ascii="SWISS" w:hAnsi="SWISS" w:cs="Arial"/>
                <w:sz w:val="20"/>
                <w:szCs w:val="20"/>
                <w:u w:val="single"/>
              </w:rPr>
              <w:t xml:space="preserve">0 </w:t>
            </w:r>
          </w:p>
        </w:tc>
        <w:tc>
          <w:tcPr>
            <w:tcW w:w="1213"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u w:val="single"/>
              </w:rPr>
            </w:pPr>
            <w:r w:rsidRPr="00F52F8B">
              <w:rPr>
                <w:rFonts w:ascii="SWISS" w:hAnsi="SWISS" w:cs="Arial"/>
                <w:sz w:val="20"/>
                <w:szCs w:val="20"/>
                <w:u w:val="single"/>
              </w:rPr>
              <w:t xml:space="preserve">45,000 </w:t>
            </w:r>
          </w:p>
        </w:tc>
        <w:tc>
          <w:tcPr>
            <w:tcW w:w="1755"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u w:val="single"/>
              </w:rPr>
            </w:pPr>
            <w:r w:rsidRPr="00F52F8B">
              <w:rPr>
                <w:rFonts w:ascii="SWISS" w:hAnsi="SWISS" w:cs="Arial"/>
                <w:sz w:val="20"/>
                <w:szCs w:val="20"/>
                <w:u w:val="single"/>
              </w:rPr>
              <w:t xml:space="preserve">45,000 </w:t>
            </w:r>
          </w:p>
        </w:tc>
        <w:tc>
          <w:tcPr>
            <w:tcW w:w="1256"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28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255"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18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r>
      <w:tr w:rsidR="00432271" w:rsidRPr="00F52F8B" w:rsidTr="00930BAA">
        <w:trPr>
          <w:trHeight w:val="292"/>
          <w:jc w:val="center"/>
        </w:trPr>
        <w:tc>
          <w:tcPr>
            <w:tcW w:w="483"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xml:space="preserve">  TOTAL COMMON EQUITY</w:t>
            </w:r>
          </w:p>
        </w:tc>
        <w:tc>
          <w:tcPr>
            <w:tcW w:w="1124"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213"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$45,000 </w:t>
            </w:r>
          </w:p>
        </w:tc>
        <w:tc>
          <w:tcPr>
            <w:tcW w:w="1755"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$45,000 </w:t>
            </w:r>
          </w:p>
        </w:tc>
        <w:tc>
          <w:tcPr>
            <w:tcW w:w="1256" w:type="dxa"/>
            <w:tcBorders>
              <w:top w:val="nil"/>
              <w:left w:val="nil"/>
              <w:bottom w:val="nil"/>
              <w:right w:val="nil"/>
            </w:tcBorders>
            <w:shd w:val="clear" w:color="auto" w:fill="auto"/>
            <w:noWrap/>
            <w:vAlign w:val="bottom"/>
          </w:tcPr>
          <w:p w:rsidR="00432271" w:rsidRPr="009D0D41" w:rsidRDefault="00432271" w:rsidP="00B5535D">
            <w:pPr>
              <w:jc w:val="right"/>
              <w:rPr>
                <w:rFonts w:ascii="SWISS" w:hAnsi="SWISS" w:cs="Arial"/>
                <w:sz w:val="20"/>
                <w:szCs w:val="20"/>
              </w:rPr>
            </w:pPr>
            <w:r w:rsidRPr="009D0D41">
              <w:rPr>
                <w:rFonts w:ascii="SWISS" w:hAnsi="SWISS" w:cs="Arial"/>
                <w:sz w:val="20"/>
                <w:szCs w:val="20"/>
              </w:rPr>
              <w:t>($14,</w:t>
            </w:r>
            <w:r w:rsidR="00B5535D">
              <w:rPr>
                <w:rFonts w:ascii="SWISS" w:hAnsi="SWISS" w:cs="Arial"/>
                <w:sz w:val="20"/>
                <w:szCs w:val="20"/>
              </w:rPr>
              <w:t>268</w:t>
            </w:r>
            <w:r w:rsidRPr="009D0D41">
              <w:rPr>
                <w:rFonts w:ascii="SWISS" w:hAnsi="SWISS" w:cs="Arial"/>
                <w:sz w:val="20"/>
                <w:szCs w:val="20"/>
              </w:rPr>
              <w:t>)</w:t>
            </w:r>
          </w:p>
        </w:tc>
        <w:tc>
          <w:tcPr>
            <w:tcW w:w="1283" w:type="dxa"/>
            <w:tcBorders>
              <w:top w:val="nil"/>
              <w:left w:val="nil"/>
              <w:bottom w:val="nil"/>
              <w:right w:val="nil"/>
            </w:tcBorders>
            <w:shd w:val="clear" w:color="auto" w:fill="auto"/>
            <w:noWrap/>
            <w:vAlign w:val="bottom"/>
          </w:tcPr>
          <w:p w:rsidR="00432271" w:rsidRPr="009D0D41" w:rsidRDefault="00432271" w:rsidP="00B5535D">
            <w:pPr>
              <w:jc w:val="right"/>
              <w:rPr>
                <w:rFonts w:ascii="SWISS" w:hAnsi="SWISS" w:cs="Arial"/>
                <w:sz w:val="20"/>
                <w:szCs w:val="20"/>
              </w:rPr>
            </w:pPr>
            <w:r w:rsidRPr="009D0D41">
              <w:rPr>
                <w:rFonts w:ascii="SWISS" w:hAnsi="SWISS" w:cs="Arial"/>
                <w:sz w:val="20"/>
                <w:szCs w:val="20"/>
              </w:rPr>
              <w:t>$30,</w:t>
            </w:r>
            <w:r w:rsidR="00B5535D">
              <w:rPr>
                <w:rFonts w:ascii="SWISS" w:hAnsi="SWISS" w:cs="Arial"/>
                <w:sz w:val="20"/>
                <w:szCs w:val="20"/>
              </w:rPr>
              <w:t>732</w:t>
            </w:r>
          </w:p>
        </w:tc>
        <w:tc>
          <w:tcPr>
            <w:tcW w:w="1255" w:type="dxa"/>
            <w:tcBorders>
              <w:top w:val="nil"/>
              <w:left w:val="nil"/>
              <w:bottom w:val="nil"/>
              <w:right w:val="nil"/>
            </w:tcBorders>
            <w:shd w:val="clear" w:color="auto" w:fill="auto"/>
            <w:noWrap/>
            <w:vAlign w:val="bottom"/>
          </w:tcPr>
          <w:p w:rsidR="00432271" w:rsidRPr="009D0D41" w:rsidRDefault="00432271" w:rsidP="00B5535D">
            <w:pPr>
              <w:jc w:val="right"/>
              <w:rPr>
                <w:rFonts w:ascii="SWISS" w:hAnsi="SWISS" w:cs="Arial"/>
                <w:sz w:val="20"/>
                <w:szCs w:val="20"/>
              </w:rPr>
            </w:pPr>
            <w:r w:rsidRPr="009D0D41">
              <w:rPr>
                <w:rFonts w:ascii="SWISS" w:hAnsi="SWISS" w:cs="Arial"/>
                <w:sz w:val="20"/>
                <w:szCs w:val="20"/>
              </w:rPr>
              <w:t>96.8</w:t>
            </w:r>
            <w:r w:rsidR="00B5535D">
              <w:rPr>
                <w:rFonts w:ascii="SWISS" w:hAnsi="SWISS" w:cs="Arial"/>
                <w:sz w:val="20"/>
                <w:szCs w:val="20"/>
              </w:rPr>
              <w:t>9</w:t>
            </w:r>
            <w:r w:rsidRPr="009D0D41">
              <w:rPr>
                <w:rFonts w:ascii="SWISS" w:hAnsi="SWISS" w:cs="Arial"/>
                <w:sz w:val="20"/>
                <w:szCs w:val="20"/>
              </w:rPr>
              <w:t>%</w:t>
            </w:r>
          </w:p>
        </w:tc>
        <w:tc>
          <w:tcPr>
            <w:tcW w:w="1183" w:type="dxa"/>
            <w:tcBorders>
              <w:top w:val="nil"/>
              <w:left w:val="nil"/>
              <w:bottom w:val="nil"/>
              <w:right w:val="nil"/>
            </w:tcBorders>
            <w:shd w:val="clear" w:color="auto" w:fill="auto"/>
            <w:noWrap/>
            <w:vAlign w:val="bottom"/>
          </w:tcPr>
          <w:p w:rsidR="00432271" w:rsidRPr="009D0D41" w:rsidRDefault="00432271" w:rsidP="00432271">
            <w:pPr>
              <w:jc w:val="right"/>
              <w:rPr>
                <w:rFonts w:ascii="SWISS" w:hAnsi="SWISS" w:cs="Arial"/>
                <w:sz w:val="20"/>
                <w:szCs w:val="20"/>
              </w:rPr>
            </w:pPr>
            <w:r w:rsidRPr="009D0D41">
              <w:rPr>
                <w:rFonts w:ascii="SWISS" w:hAnsi="SWISS" w:cs="Arial"/>
                <w:sz w:val="20"/>
                <w:szCs w:val="20"/>
              </w:rPr>
              <w:t>8.74%</w:t>
            </w:r>
          </w:p>
        </w:tc>
        <w:tc>
          <w:tcPr>
            <w:tcW w:w="1460" w:type="dxa"/>
            <w:tcBorders>
              <w:top w:val="nil"/>
              <w:left w:val="nil"/>
              <w:bottom w:val="nil"/>
              <w:right w:val="single" w:sz="8" w:space="0" w:color="auto"/>
            </w:tcBorders>
            <w:shd w:val="clear" w:color="auto" w:fill="auto"/>
            <w:noWrap/>
            <w:vAlign w:val="bottom"/>
          </w:tcPr>
          <w:p w:rsidR="00432271" w:rsidRPr="009D0D41" w:rsidRDefault="00432271" w:rsidP="00432271">
            <w:pPr>
              <w:jc w:val="right"/>
              <w:rPr>
                <w:rFonts w:ascii="SWISS" w:hAnsi="SWISS" w:cs="Arial"/>
                <w:sz w:val="20"/>
                <w:szCs w:val="20"/>
              </w:rPr>
            </w:pPr>
            <w:r w:rsidRPr="009D0D41">
              <w:rPr>
                <w:rFonts w:ascii="SWISS" w:hAnsi="SWISS" w:cs="Arial"/>
                <w:sz w:val="20"/>
                <w:szCs w:val="20"/>
              </w:rPr>
              <w:t>8.47%</w:t>
            </w:r>
          </w:p>
        </w:tc>
      </w:tr>
      <w:tr w:rsidR="00432271" w:rsidRPr="00F52F8B" w:rsidTr="00930BAA">
        <w:trPr>
          <w:trHeight w:val="292"/>
          <w:jc w:val="center"/>
        </w:trPr>
        <w:tc>
          <w:tcPr>
            <w:tcW w:w="483"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21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755"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256" w:type="dxa"/>
            <w:tcBorders>
              <w:top w:val="nil"/>
              <w:left w:val="nil"/>
              <w:bottom w:val="nil"/>
              <w:right w:val="nil"/>
            </w:tcBorders>
            <w:shd w:val="clear" w:color="auto" w:fill="auto"/>
            <w:noWrap/>
            <w:vAlign w:val="bottom"/>
          </w:tcPr>
          <w:p w:rsidR="00432271" w:rsidRPr="009D0D41" w:rsidRDefault="00432271" w:rsidP="00432271">
            <w:pPr>
              <w:rPr>
                <w:rFonts w:ascii="SWISS" w:hAnsi="SWISS" w:cs="Arial"/>
                <w:sz w:val="20"/>
                <w:szCs w:val="20"/>
              </w:rPr>
            </w:pPr>
          </w:p>
        </w:tc>
        <w:tc>
          <w:tcPr>
            <w:tcW w:w="1283" w:type="dxa"/>
            <w:tcBorders>
              <w:top w:val="nil"/>
              <w:left w:val="nil"/>
              <w:bottom w:val="nil"/>
              <w:right w:val="nil"/>
            </w:tcBorders>
            <w:shd w:val="clear" w:color="auto" w:fill="auto"/>
            <w:noWrap/>
            <w:vAlign w:val="bottom"/>
          </w:tcPr>
          <w:p w:rsidR="00432271" w:rsidRPr="009D0D41" w:rsidRDefault="00432271" w:rsidP="00432271">
            <w:pPr>
              <w:rPr>
                <w:rFonts w:ascii="SWISS" w:hAnsi="SWISS" w:cs="Arial"/>
                <w:sz w:val="20"/>
                <w:szCs w:val="20"/>
              </w:rPr>
            </w:pPr>
          </w:p>
        </w:tc>
        <w:tc>
          <w:tcPr>
            <w:tcW w:w="1255" w:type="dxa"/>
            <w:tcBorders>
              <w:top w:val="nil"/>
              <w:left w:val="nil"/>
              <w:bottom w:val="nil"/>
              <w:right w:val="nil"/>
            </w:tcBorders>
            <w:shd w:val="clear" w:color="auto" w:fill="auto"/>
            <w:noWrap/>
            <w:vAlign w:val="bottom"/>
          </w:tcPr>
          <w:p w:rsidR="00432271" w:rsidRPr="009D0D41" w:rsidRDefault="00432271" w:rsidP="00432271">
            <w:pPr>
              <w:rPr>
                <w:rFonts w:ascii="SWISS" w:hAnsi="SWISS" w:cs="Arial"/>
                <w:sz w:val="20"/>
                <w:szCs w:val="20"/>
              </w:rPr>
            </w:pPr>
          </w:p>
        </w:tc>
        <w:tc>
          <w:tcPr>
            <w:tcW w:w="1183" w:type="dxa"/>
            <w:tcBorders>
              <w:top w:val="nil"/>
              <w:left w:val="nil"/>
              <w:bottom w:val="nil"/>
              <w:right w:val="nil"/>
            </w:tcBorders>
            <w:shd w:val="clear" w:color="auto" w:fill="auto"/>
            <w:noWrap/>
            <w:vAlign w:val="bottom"/>
          </w:tcPr>
          <w:p w:rsidR="00432271" w:rsidRPr="009D0D41" w:rsidRDefault="00432271" w:rsidP="00432271">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432271" w:rsidRPr="009D0D41" w:rsidRDefault="00432271" w:rsidP="00432271">
            <w:pPr>
              <w:rPr>
                <w:rFonts w:ascii="SWISS" w:hAnsi="SWISS" w:cs="Arial"/>
                <w:sz w:val="20"/>
                <w:szCs w:val="20"/>
              </w:rPr>
            </w:pPr>
            <w:r w:rsidRPr="009D0D41">
              <w:rPr>
                <w:rFonts w:ascii="SWISS" w:hAnsi="SWISS" w:cs="Arial"/>
                <w:sz w:val="20"/>
                <w:szCs w:val="20"/>
              </w:rPr>
              <w:t> </w:t>
            </w:r>
          </w:p>
        </w:tc>
      </w:tr>
      <w:tr w:rsidR="00432271" w:rsidRPr="00F52F8B" w:rsidTr="00930BAA">
        <w:trPr>
          <w:trHeight w:val="292"/>
          <w:jc w:val="center"/>
        </w:trPr>
        <w:tc>
          <w:tcPr>
            <w:tcW w:w="483"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5.</w:t>
            </w:r>
          </w:p>
        </w:tc>
        <w:tc>
          <w:tcPr>
            <w:tcW w:w="2855"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xml:space="preserve">LONG TERM DEBT </w:t>
            </w:r>
          </w:p>
        </w:tc>
        <w:tc>
          <w:tcPr>
            <w:tcW w:w="1124"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213"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755"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256" w:type="dxa"/>
            <w:tcBorders>
              <w:top w:val="nil"/>
              <w:left w:val="nil"/>
              <w:bottom w:val="nil"/>
              <w:right w:val="nil"/>
            </w:tcBorders>
            <w:shd w:val="clear" w:color="auto" w:fill="auto"/>
            <w:noWrap/>
            <w:vAlign w:val="bottom"/>
          </w:tcPr>
          <w:p w:rsidR="00432271" w:rsidRPr="009D0D41" w:rsidRDefault="00432271" w:rsidP="00432271">
            <w:pPr>
              <w:jc w:val="right"/>
              <w:rPr>
                <w:rFonts w:ascii="SWISS" w:hAnsi="SWISS" w:cs="Arial"/>
                <w:sz w:val="20"/>
                <w:szCs w:val="20"/>
              </w:rPr>
            </w:pPr>
            <w:r w:rsidRPr="009D0D41">
              <w:rPr>
                <w:rFonts w:ascii="SWISS" w:hAnsi="SWISS" w:cs="Arial"/>
                <w:sz w:val="20"/>
                <w:szCs w:val="20"/>
              </w:rPr>
              <w:t>$0</w:t>
            </w:r>
          </w:p>
        </w:tc>
        <w:tc>
          <w:tcPr>
            <w:tcW w:w="1283" w:type="dxa"/>
            <w:tcBorders>
              <w:top w:val="nil"/>
              <w:left w:val="nil"/>
              <w:bottom w:val="nil"/>
              <w:right w:val="nil"/>
            </w:tcBorders>
            <w:shd w:val="clear" w:color="auto" w:fill="auto"/>
            <w:noWrap/>
            <w:vAlign w:val="bottom"/>
          </w:tcPr>
          <w:p w:rsidR="00432271" w:rsidRPr="009D0D41" w:rsidRDefault="00432271" w:rsidP="00432271">
            <w:pPr>
              <w:jc w:val="right"/>
              <w:rPr>
                <w:rFonts w:ascii="SWISS" w:hAnsi="SWISS" w:cs="Arial"/>
                <w:sz w:val="20"/>
                <w:szCs w:val="20"/>
              </w:rPr>
            </w:pPr>
            <w:r w:rsidRPr="009D0D41">
              <w:rPr>
                <w:rFonts w:ascii="SWISS" w:hAnsi="SWISS" w:cs="Arial"/>
                <w:sz w:val="20"/>
                <w:szCs w:val="20"/>
              </w:rPr>
              <w:t xml:space="preserve">$0 </w:t>
            </w:r>
          </w:p>
        </w:tc>
        <w:tc>
          <w:tcPr>
            <w:tcW w:w="1255" w:type="dxa"/>
            <w:tcBorders>
              <w:top w:val="nil"/>
              <w:left w:val="nil"/>
              <w:bottom w:val="nil"/>
              <w:right w:val="nil"/>
            </w:tcBorders>
            <w:shd w:val="clear" w:color="auto" w:fill="auto"/>
            <w:noWrap/>
            <w:vAlign w:val="bottom"/>
          </w:tcPr>
          <w:p w:rsidR="00432271" w:rsidRPr="009D0D41" w:rsidRDefault="00432271" w:rsidP="00432271">
            <w:pPr>
              <w:jc w:val="right"/>
              <w:rPr>
                <w:rFonts w:ascii="SWISS" w:hAnsi="SWISS" w:cs="Arial"/>
                <w:sz w:val="20"/>
                <w:szCs w:val="20"/>
              </w:rPr>
            </w:pPr>
            <w:r w:rsidRPr="009D0D41">
              <w:rPr>
                <w:rFonts w:ascii="SWISS" w:hAnsi="SWISS" w:cs="Arial"/>
                <w:sz w:val="20"/>
                <w:szCs w:val="20"/>
              </w:rPr>
              <w:t>0.00%</w:t>
            </w:r>
          </w:p>
        </w:tc>
        <w:tc>
          <w:tcPr>
            <w:tcW w:w="1183" w:type="dxa"/>
            <w:tcBorders>
              <w:top w:val="nil"/>
              <w:left w:val="nil"/>
              <w:bottom w:val="nil"/>
              <w:right w:val="nil"/>
            </w:tcBorders>
            <w:shd w:val="clear" w:color="auto" w:fill="auto"/>
            <w:noWrap/>
            <w:vAlign w:val="bottom"/>
          </w:tcPr>
          <w:p w:rsidR="00432271" w:rsidRPr="009D0D41" w:rsidRDefault="00432271" w:rsidP="00432271">
            <w:pPr>
              <w:jc w:val="right"/>
              <w:rPr>
                <w:rFonts w:ascii="SWISS" w:hAnsi="SWISS" w:cs="Arial"/>
                <w:sz w:val="20"/>
                <w:szCs w:val="20"/>
              </w:rPr>
            </w:pPr>
            <w:r w:rsidRPr="009D0D41">
              <w:rPr>
                <w:rFonts w:ascii="SWISS" w:hAnsi="SWISS" w:cs="Arial"/>
                <w:sz w:val="20"/>
                <w:szCs w:val="20"/>
              </w:rPr>
              <w:t>0.00%</w:t>
            </w:r>
          </w:p>
        </w:tc>
        <w:tc>
          <w:tcPr>
            <w:tcW w:w="1460" w:type="dxa"/>
            <w:tcBorders>
              <w:top w:val="nil"/>
              <w:left w:val="nil"/>
              <w:bottom w:val="nil"/>
              <w:right w:val="single" w:sz="8" w:space="0" w:color="auto"/>
            </w:tcBorders>
            <w:shd w:val="clear" w:color="auto" w:fill="auto"/>
            <w:noWrap/>
            <w:vAlign w:val="bottom"/>
          </w:tcPr>
          <w:p w:rsidR="00432271" w:rsidRPr="009D0D41" w:rsidRDefault="00432271" w:rsidP="00432271">
            <w:pPr>
              <w:jc w:val="right"/>
              <w:rPr>
                <w:rFonts w:ascii="SWISS" w:hAnsi="SWISS" w:cs="Arial"/>
                <w:sz w:val="20"/>
                <w:szCs w:val="20"/>
              </w:rPr>
            </w:pPr>
            <w:r w:rsidRPr="009D0D41">
              <w:rPr>
                <w:rFonts w:ascii="SWISS" w:hAnsi="SWISS" w:cs="Arial"/>
                <w:sz w:val="20"/>
                <w:szCs w:val="20"/>
              </w:rPr>
              <w:t>0.00%</w:t>
            </w:r>
          </w:p>
        </w:tc>
      </w:tr>
      <w:tr w:rsidR="00432271" w:rsidRPr="00F52F8B" w:rsidTr="00930BAA">
        <w:trPr>
          <w:trHeight w:val="292"/>
          <w:jc w:val="center"/>
        </w:trPr>
        <w:tc>
          <w:tcPr>
            <w:tcW w:w="483"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6.</w:t>
            </w:r>
          </w:p>
        </w:tc>
        <w:tc>
          <w:tcPr>
            <w:tcW w:w="2855"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SHORT-TERM DEBT</w:t>
            </w:r>
          </w:p>
        </w:tc>
        <w:tc>
          <w:tcPr>
            <w:tcW w:w="1124"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213"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755"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256" w:type="dxa"/>
            <w:tcBorders>
              <w:top w:val="nil"/>
              <w:left w:val="nil"/>
              <w:bottom w:val="nil"/>
              <w:right w:val="nil"/>
            </w:tcBorders>
            <w:shd w:val="clear" w:color="auto" w:fill="auto"/>
            <w:noWrap/>
            <w:vAlign w:val="bottom"/>
          </w:tcPr>
          <w:p w:rsidR="00432271" w:rsidRPr="009D0D41" w:rsidRDefault="00432271" w:rsidP="00432271">
            <w:pPr>
              <w:jc w:val="right"/>
              <w:rPr>
                <w:rFonts w:ascii="SWISS" w:hAnsi="SWISS" w:cs="Arial"/>
                <w:sz w:val="20"/>
                <w:szCs w:val="20"/>
              </w:rPr>
            </w:pPr>
            <w:r w:rsidRPr="009D0D41">
              <w:rPr>
                <w:rFonts w:ascii="SWISS" w:hAnsi="SWISS" w:cs="Arial"/>
                <w:sz w:val="20"/>
                <w:szCs w:val="20"/>
              </w:rPr>
              <w:t xml:space="preserve">0 </w:t>
            </w:r>
          </w:p>
        </w:tc>
        <w:tc>
          <w:tcPr>
            <w:tcW w:w="1283" w:type="dxa"/>
            <w:tcBorders>
              <w:top w:val="nil"/>
              <w:left w:val="nil"/>
              <w:bottom w:val="nil"/>
              <w:right w:val="nil"/>
            </w:tcBorders>
            <w:shd w:val="clear" w:color="auto" w:fill="auto"/>
            <w:noWrap/>
            <w:vAlign w:val="bottom"/>
          </w:tcPr>
          <w:p w:rsidR="00432271" w:rsidRPr="009D0D41" w:rsidRDefault="00432271" w:rsidP="00432271">
            <w:pPr>
              <w:jc w:val="right"/>
              <w:rPr>
                <w:rFonts w:ascii="SWISS" w:hAnsi="SWISS" w:cs="Arial"/>
                <w:sz w:val="20"/>
                <w:szCs w:val="20"/>
              </w:rPr>
            </w:pPr>
            <w:r w:rsidRPr="009D0D41">
              <w:rPr>
                <w:rFonts w:ascii="SWISS" w:hAnsi="SWISS" w:cs="Arial"/>
                <w:sz w:val="20"/>
                <w:szCs w:val="20"/>
              </w:rPr>
              <w:t xml:space="preserve">0 </w:t>
            </w:r>
          </w:p>
        </w:tc>
        <w:tc>
          <w:tcPr>
            <w:tcW w:w="1255" w:type="dxa"/>
            <w:tcBorders>
              <w:top w:val="nil"/>
              <w:left w:val="nil"/>
              <w:bottom w:val="nil"/>
              <w:right w:val="nil"/>
            </w:tcBorders>
            <w:shd w:val="clear" w:color="auto" w:fill="auto"/>
            <w:noWrap/>
            <w:vAlign w:val="bottom"/>
          </w:tcPr>
          <w:p w:rsidR="00432271" w:rsidRPr="009D0D41" w:rsidRDefault="00432271" w:rsidP="00432271">
            <w:pPr>
              <w:jc w:val="right"/>
              <w:rPr>
                <w:rFonts w:ascii="SWISS" w:hAnsi="SWISS" w:cs="Arial"/>
                <w:sz w:val="20"/>
                <w:szCs w:val="20"/>
              </w:rPr>
            </w:pPr>
            <w:r w:rsidRPr="009D0D41">
              <w:rPr>
                <w:rFonts w:ascii="SWISS" w:hAnsi="SWISS" w:cs="Arial"/>
                <w:sz w:val="20"/>
                <w:szCs w:val="20"/>
              </w:rPr>
              <w:t>0.00%</w:t>
            </w:r>
          </w:p>
        </w:tc>
        <w:tc>
          <w:tcPr>
            <w:tcW w:w="1183" w:type="dxa"/>
            <w:tcBorders>
              <w:top w:val="nil"/>
              <w:left w:val="nil"/>
              <w:bottom w:val="nil"/>
              <w:right w:val="nil"/>
            </w:tcBorders>
            <w:shd w:val="clear" w:color="auto" w:fill="auto"/>
            <w:noWrap/>
            <w:vAlign w:val="bottom"/>
          </w:tcPr>
          <w:p w:rsidR="00432271" w:rsidRPr="009D0D41" w:rsidRDefault="00432271" w:rsidP="00432271">
            <w:pPr>
              <w:jc w:val="right"/>
              <w:rPr>
                <w:rFonts w:ascii="SWISS" w:hAnsi="SWISS" w:cs="Arial"/>
                <w:sz w:val="20"/>
                <w:szCs w:val="20"/>
              </w:rPr>
            </w:pPr>
            <w:r w:rsidRPr="009D0D41">
              <w:rPr>
                <w:rFonts w:ascii="SWISS" w:hAnsi="SWISS" w:cs="Arial"/>
                <w:sz w:val="20"/>
                <w:szCs w:val="20"/>
              </w:rPr>
              <w:t>0.00%</w:t>
            </w:r>
          </w:p>
        </w:tc>
        <w:tc>
          <w:tcPr>
            <w:tcW w:w="1460" w:type="dxa"/>
            <w:tcBorders>
              <w:top w:val="nil"/>
              <w:left w:val="nil"/>
              <w:bottom w:val="nil"/>
              <w:right w:val="single" w:sz="8" w:space="0" w:color="auto"/>
            </w:tcBorders>
            <w:shd w:val="clear" w:color="auto" w:fill="auto"/>
            <w:noWrap/>
            <w:vAlign w:val="bottom"/>
          </w:tcPr>
          <w:p w:rsidR="00432271" w:rsidRPr="009D0D41" w:rsidRDefault="00432271" w:rsidP="00432271">
            <w:pPr>
              <w:jc w:val="right"/>
              <w:rPr>
                <w:rFonts w:ascii="SWISS" w:hAnsi="SWISS" w:cs="Arial"/>
                <w:sz w:val="20"/>
                <w:szCs w:val="20"/>
              </w:rPr>
            </w:pPr>
            <w:r w:rsidRPr="009D0D41">
              <w:rPr>
                <w:rFonts w:ascii="SWISS" w:hAnsi="SWISS" w:cs="Arial"/>
                <w:sz w:val="20"/>
                <w:szCs w:val="20"/>
              </w:rPr>
              <w:t>0.00%</w:t>
            </w:r>
          </w:p>
        </w:tc>
      </w:tr>
      <w:tr w:rsidR="00432271" w:rsidRPr="00F52F8B" w:rsidTr="00930BAA">
        <w:trPr>
          <w:trHeight w:val="292"/>
          <w:jc w:val="center"/>
        </w:trPr>
        <w:tc>
          <w:tcPr>
            <w:tcW w:w="483"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7.</w:t>
            </w:r>
          </w:p>
        </w:tc>
        <w:tc>
          <w:tcPr>
            <w:tcW w:w="2855"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PREFERRED STOCK</w:t>
            </w:r>
          </w:p>
        </w:tc>
        <w:tc>
          <w:tcPr>
            <w:tcW w:w="1124"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u w:val="single"/>
              </w:rPr>
            </w:pPr>
            <w:r w:rsidRPr="00F52F8B">
              <w:rPr>
                <w:rFonts w:ascii="SWISS" w:hAnsi="SWISS" w:cs="Arial"/>
                <w:sz w:val="20"/>
                <w:szCs w:val="20"/>
                <w:u w:val="single"/>
              </w:rPr>
              <w:t xml:space="preserve">0 </w:t>
            </w:r>
          </w:p>
        </w:tc>
        <w:tc>
          <w:tcPr>
            <w:tcW w:w="1213"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u w:val="single"/>
              </w:rPr>
            </w:pPr>
            <w:r w:rsidRPr="00F52F8B">
              <w:rPr>
                <w:rFonts w:ascii="SWISS" w:hAnsi="SWISS" w:cs="Arial"/>
                <w:sz w:val="20"/>
                <w:szCs w:val="20"/>
                <w:u w:val="single"/>
              </w:rPr>
              <w:t xml:space="preserve">0 </w:t>
            </w:r>
          </w:p>
        </w:tc>
        <w:tc>
          <w:tcPr>
            <w:tcW w:w="1755"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u w:val="single"/>
              </w:rPr>
            </w:pPr>
            <w:r w:rsidRPr="00F52F8B">
              <w:rPr>
                <w:rFonts w:ascii="SWISS" w:hAnsi="SWISS" w:cs="Arial"/>
                <w:sz w:val="20"/>
                <w:szCs w:val="20"/>
                <w:u w:val="single"/>
              </w:rPr>
              <w:t xml:space="preserve">0 </w:t>
            </w:r>
          </w:p>
        </w:tc>
        <w:tc>
          <w:tcPr>
            <w:tcW w:w="1256" w:type="dxa"/>
            <w:tcBorders>
              <w:top w:val="nil"/>
              <w:left w:val="nil"/>
              <w:bottom w:val="nil"/>
              <w:right w:val="nil"/>
            </w:tcBorders>
            <w:shd w:val="clear" w:color="auto" w:fill="auto"/>
            <w:noWrap/>
            <w:vAlign w:val="bottom"/>
          </w:tcPr>
          <w:p w:rsidR="00432271" w:rsidRPr="009D0D41" w:rsidRDefault="00432271" w:rsidP="00432271">
            <w:pPr>
              <w:jc w:val="right"/>
              <w:rPr>
                <w:rFonts w:ascii="SWISS" w:hAnsi="SWISS" w:cs="Arial"/>
                <w:sz w:val="20"/>
                <w:szCs w:val="20"/>
                <w:u w:val="single"/>
              </w:rPr>
            </w:pPr>
            <w:r w:rsidRPr="009D0D41">
              <w:rPr>
                <w:rFonts w:ascii="SWISS" w:hAnsi="SWISS" w:cs="Arial"/>
                <w:sz w:val="20"/>
                <w:szCs w:val="20"/>
                <w:u w:val="single"/>
              </w:rPr>
              <w:t xml:space="preserve">0 </w:t>
            </w:r>
          </w:p>
        </w:tc>
        <w:tc>
          <w:tcPr>
            <w:tcW w:w="1283" w:type="dxa"/>
            <w:tcBorders>
              <w:top w:val="nil"/>
              <w:left w:val="nil"/>
              <w:bottom w:val="nil"/>
              <w:right w:val="nil"/>
            </w:tcBorders>
            <w:shd w:val="clear" w:color="auto" w:fill="auto"/>
            <w:noWrap/>
            <w:vAlign w:val="bottom"/>
          </w:tcPr>
          <w:p w:rsidR="00432271" w:rsidRPr="009D0D41" w:rsidRDefault="00432271" w:rsidP="00432271">
            <w:pPr>
              <w:jc w:val="right"/>
              <w:rPr>
                <w:rFonts w:ascii="SWISS" w:hAnsi="SWISS" w:cs="Arial"/>
                <w:sz w:val="20"/>
                <w:szCs w:val="20"/>
                <w:u w:val="single"/>
              </w:rPr>
            </w:pPr>
            <w:r w:rsidRPr="009D0D41">
              <w:rPr>
                <w:rFonts w:ascii="SWISS" w:hAnsi="SWISS" w:cs="Arial"/>
                <w:sz w:val="20"/>
                <w:szCs w:val="20"/>
                <w:u w:val="single"/>
              </w:rPr>
              <w:t xml:space="preserve">0 </w:t>
            </w:r>
          </w:p>
        </w:tc>
        <w:tc>
          <w:tcPr>
            <w:tcW w:w="1255" w:type="dxa"/>
            <w:tcBorders>
              <w:top w:val="nil"/>
              <w:left w:val="nil"/>
              <w:bottom w:val="nil"/>
              <w:right w:val="nil"/>
            </w:tcBorders>
            <w:shd w:val="clear" w:color="auto" w:fill="auto"/>
            <w:noWrap/>
            <w:vAlign w:val="bottom"/>
          </w:tcPr>
          <w:p w:rsidR="00432271" w:rsidRPr="009D0D41" w:rsidRDefault="00432271" w:rsidP="00432271">
            <w:pPr>
              <w:jc w:val="right"/>
              <w:rPr>
                <w:rFonts w:ascii="SWISS" w:hAnsi="SWISS" w:cs="Arial"/>
                <w:sz w:val="20"/>
                <w:szCs w:val="20"/>
                <w:u w:val="single"/>
              </w:rPr>
            </w:pPr>
            <w:r w:rsidRPr="009D0D41">
              <w:rPr>
                <w:rFonts w:ascii="SWISS" w:hAnsi="SWISS" w:cs="Arial"/>
                <w:sz w:val="20"/>
                <w:szCs w:val="20"/>
                <w:u w:val="single"/>
              </w:rPr>
              <w:t>0.00%</w:t>
            </w:r>
          </w:p>
        </w:tc>
        <w:tc>
          <w:tcPr>
            <w:tcW w:w="1183" w:type="dxa"/>
            <w:tcBorders>
              <w:top w:val="nil"/>
              <w:left w:val="nil"/>
              <w:bottom w:val="nil"/>
              <w:right w:val="nil"/>
            </w:tcBorders>
            <w:shd w:val="clear" w:color="auto" w:fill="auto"/>
            <w:noWrap/>
            <w:vAlign w:val="bottom"/>
          </w:tcPr>
          <w:p w:rsidR="00432271" w:rsidRPr="009D0D41" w:rsidRDefault="00432271" w:rsidP="00432271">
            <w:pPr>
              <w:jc w:val="right"/>
              <w:rPr>
                <w:rFonts w:ascii="SWISS" w:hAnsi="SWISS" w:cs="Arial"/>
                <w:sz w:val="20"/>
                <w:szCs w:val="20"/>
              </w:rPr>
            </w:pPr>
            <w:r w:rsidRPr="009D0D41">
              <w:rPr>
                <w:rFonts w:ascii="SWISS" w:hAnsi="SWISS" w:cs="Arial"/>
                <w:sz w:val="20"/>
                <w:szCs w:val="20"/>
              </w:rPr>
              <w:t>0.00%</w:t>
            </w:r>
          </w:p>
        </w:tc>
        <w:tc>
          <w:tcPr>
            <w:tcW w:w="1460" w:type="dxa"/>
            <w:tcBorders>
              <w:top w:val="nil"/>
              <w:left w:val="nil"/>
              <w:bottom w:val="nil"/>
              <w:right w:val="single" w:sz="8" w:space="0" w:color="auto"/>
            </w:tcBorders>
            <w:shd w:val="clear" w:color="auto" w:fill="auto"/>
            <w:noWrap/>
            <w:vAlign w:val="bottom"/>
          </w:tcPr>
          <w:p w:rsidR="00432271" w:rsidRPr="009D0D41" w:rsidRDefault="00432271" w:rsidP="00432271">
            <w:pPr>
              <w:jc w:val="right"/>
              <w:rPr>
                <w:rFonts w:ascii="SWISS" w:hAnsi="SWISS" w:cs="Arial"/>
                <w:sz w:val="20"/>
                <w:szCs w:val="20"/>
              </w:rPr>
            </w:pPr>
            <w:r w:rsidRPr="009D0D41">
              <w:rPr>
                <w:rFonts w:ascii="SWISS" w:hAnsi="SWISS" w:cs="Arial"/>
                <w:sz w:val="20"/>
                <w:szCs w:val="20"/>
              </w:rPr>
              <w:t>0.00%</w:t>
            </w:r>
          </w:p>
        </w:tc>
      </w:tr>
      <w:tr w:rsidR="00432271" w:rsidRPr="00F52F8B" w:rsidTr="00930BAA">
        <w:trPr>
          <w:trHeight w:val="292"/>
          <w:jc w:val="center"/>
        </w:trPr>
        <w:tc>
          <w:tcPr>
            <w:tcW w:w="483"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TOTAL DEBT</w:t>
            </w:r>
          </w:p>
        </w:tc>
        <w:tc>
          <w:tcPr>
            <w:tcW w:w="1124"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213"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755"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256" w:type="dxa"/>
            <w:tcBorders>
              <w:top w:val="nil"/>
              <w:left w:val="nil"/>
              <w:bottom w:val="nil"/>
              <w:right w:val="nil"/>
            </w:tcBorders>
            <w:shd w:val="clear" w:color="auto" w:fill="auto"/>
            <w:noWrap/>
            <w:vAlign w:val="bottom"/>
          </w:tcPr>
          <w:p w:rsidR="00432271" w:rsidRPr="009D0D41" w:rsidRDefault="00432271" w:rsidP="00432271">
            <w:pPr>
              <w:jc w:val="right"/>
              <w:rPr>
                <w:rFonts w:ascii="SWISS" w:hAnsi="SWISS" w:cs="Arial"/>
                <w:sz w:val="20"/>
                <w:szCs w:val="20"/>
              </w:rPr>
            </w:pPr>
            <w:r w:rsidRPr="009D0D41">
              <w:rPr>
                <w:rFonts w:ascii="SWISS" w:hAnsi="SWISS" w:cs="Arial"/>
                <w:sz w:val="20"/>
                <w:szCs w:val="20"/>
              </w:rPr>
              <w:t>$0</w:t>
            </w:r>
          </w:p>
        </w:tc>
        <w:tc>
          <w:tcPr>
            <w:tcW w:w="1283" w:type="dxa"/>
            <w:tcBorders>
              <w:top w:val="nil"/>
              <w:left w:val="nil"/>
              <w:bottom w:val="nil"/>
              <w:right w:val="nil"/>
            </w:tcBorders>
            <w:shd w:val="clear" w:color="auto" w:fill="auto"/>
            <w:noWrap/>
            <w:vAlign w:val="bottom"/>
          </w:tcPr>
          <w:p w:rsidR="00432271" w:rsidRPr="009D0D41" w:rsidRDefault="00432271" w:rsidP="00432271">
            <w:pPr>
              <w:jc w:val="right"/>
              <w:rPr>
                <w:rFonts w:ascii="SWISS" w:hAnsi="SWISS" w:cs="Arial"/>
                <w:sz w:val="20"/>
                <w:szCs w:val="20"/>
              </w:rPr>
            </w:pPr>
            <w:r w:rsidRPr="009D0D41">
              <w:rPr>
                <w:rFonts w:ascii="SWISS" w:hAnsi="SWISS" w:cs="Arial"/>
                <w:sz w:val="20"/>
                <w:szCs w:val="20"/>
              </w:rPr>
              <w:t xml:space="preserve">$0 </w:t>
            </w:r>
          </w:p>
        </w:tc>
        <w:tc>
          <w:tcPr>
            <w:tcW w:w="1255" w:type="dxa"/>
            <w:tcBorders>
              <w:top w:val="nil"/>
              <w:left w:val="nil"/>
              <w:bottom w:val="nil"/>
              <w:right w:val="nil"/>
            </w:tcBorders>
            <w:shd w:val="clear" w:color="auto" w:fill="auto"/>
            <w:noWrap/>
            <w:vAlign w:val="bottom"/>
          </w:tcPr>
          <w:p w:rsidR="00432271" w:rsidRPr="009D0D41" w:rsidRDefault="00432271" w:rsidP="00432271">
            <w:pPr>
              <w:jc w:val="right"/>
              <w:rPr>
                <w:rFonts w:ascii="SWISS" w:hAnsi="SWISS" w:cs="Arial"/>
                <w:sz w:val="20"/>
                <w:szCs w:val="20"/>
              </w:rPr>
            </w:pPr>
            <w:r w:rsidRPr="009D0D41">
              <w:rPr>
                <w:rFonts w:ascii="SWISS" w:hAnsi="SWISS" w:cs="Arial"/>
                <w:sz w:val="20"/>
                <w:szCs w:val="20"/>
              </w:rPr>
              <w:t>0.00%</w:t>
            </w:r>
          </w:p>
        </w:tc>
        <w:tc>
          <w:tcPr>
            <w:tcW w:w="1183" w:type="dxa"/>
            <w:tcBorders>
              <w:top w:val="nil"/>
              <w:left w:val="nil"/>
              <w:bottom w:val="nil"/>
              <w:right w:val="nil"/>
            </w:tcBorders>
            <w:shd w:val="clear" w:color="auto" w:fill="auto"/>
            <w:noWrap/>
            <w:vAlign w:val="bottom"/>
          </w:tcPr>
          <w:p w:rsidR="00432271" w:rsidRPr="009D0D41" w:rsidRDefault="00432271" w:rsidP="00432271">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432271" w:rsidRPr="009D0D41" w:rsidRDefault="00432271" w:rsidP="00432271">
            <w:pPr>
              <w:rPr>
                <w:rFonts w:ascii="SWISS" w:hAnsi="SWISS" w:cs="Arial"/>
                <w:sz w:val="20"/>
                <w:szCs w:val="20"/>
              </w:rPr>
            </w:pPr>
            <w:r w:rsidRPr="009D0D41">
              <w:rPr>
                <w:rFonts w:ascii="SWISS" w:hAnsi="SWISS" w:cs="Arial"/>
                <w:sz w:val="20"/>
                <w:szCs w:val="20"/>
              </w:rPr>
              <w:t> </w:t>
            </w:r>
          </w:p>
        </w:tc>
      </w:tr>
      <w:tr w:rsidR="00432271" w:rsidRPr="00F52F8B" w:rsidTr="00930BAA">
        <w:trPr>
          <w:trHeight w:val="292"/>
          <w:jc w:val="center"/>
        </w:trPr>
        <w:tc>
          <w:tcPr>
            <w:tcW w:w="483"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rPr>
            </w:pPr>
          </w:p>
        </w:tc>
        <w:tc>
          <w:tcPr>
            <w:tcW w:w="1124"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21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755"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256" w:type="dxa"/>
            <w:tcBorders>
              <w:top w:val="nil"/>
              <w:left w:val="nil"/>
              <w:bottom w:val="nil"/>
              <w:right w:val="nil"/>
            </w:tcBorders>
            <w:shd w:val="clear" w:color="auto" w:fill="auto"/>
            <w:noWrap/>
            <w:vAlign w:val="bottom"/>
          </w:tcPr>
          <w:p w:rsidR="00432271" w:rsidRPr="009D0D41" w:rsidRDefault="00432271" w:rsidP="00432271">
            <w:pPr>
              <w:rPr>
                <w:rFonts w:ascii="SWISS" w:hAnsi="SWISS" w:cs="Arial"/>
                <w:sz w:val="20"/>
                <w:szCs w:val="20"/>
              </w:rPr>
            </w:pPr>
          </w:p>
        </w:tc>
        <w:tc>
          <w:tcPr>
            <w:tcW w:w="1283" w:type="dxa"/>
            <w:tcBorders>
              <w:top w:val="nil"/>
              <w:left w:val="nil"/>
              <w:bottom w:val="nil"/>
              <w:right w:val="nil"/>
            </w:tcBorders>
            <w:shd w:val="clear" w:color="auto" w:fill="auto"/>
            <w:noWrap/>
            <w:vAlign w:val="bottom"/>
          </w:tcPr>
          <w:p w:rsidR="00432271" w:rsidRPr="009D0D41" w:rsidRDefault="00432271" w:rsidP="00432271">
            <w:pPr>
              <w:rPr>
                <w:rFonts w:ascii="SWISS" w:hAnsi="SWISS" w:cs="Arial"/>
                <w:sz w:val="20"/>
                <w:szCs w:val="20"/>
              </w:rPr>
            </w:pPr>
          </w:p>
        </w:tc>
        <w:tc>
          <w:tcPr>
            <w:tcW w:w="1255" w:type="dxa"/>
            <w:tcBorders>
              <w:top w:val="nil"/>
              <w:left w:val="nil"/>
              <w:bottom w:val="nil"/>
              <w:right w:val="nil"/>
            </w:tcBorders>
            <w:shd w:val="clear" w:color="auto" w:fill="auto"/>
            <w:noWrap/>
            <w:vAlign w:val="bottom"/>
          </w:tcPr>
          <w:p w:rsidR="00432271" w:rsidRPr="009D0D41" w:rsidRDefault="00432271" w:rsidP="00432271">
            <w:pPr>
              <w:rPr>
                <w:rFonts w:ascii="SWISS" w:hAnsi="SWISS" w:cs="Arial"/>
                <w:sz w:val="20"/>
                <w:szCs w:val="20"/>
              </w:rPr>
            </w:pPr>
          </w:p>
        </w:tc>
        <w:tc>
          <w:tcPr>
            <w:tcW w:w="1183" w:type="dxa"/>
            <w:tcBorders>
              <w:top w:val="nil"/>
              <w:left w:val="nil"/>
              <w:bottom w:val="nil"/>
              <w:right w:val="nil"/>
            </w:tcBorders>
            <w:shd w:val="clear" w:color="auto" w:fill="auto"/>
            <w:noWrap/>
            <w:vAlign w:val="bottom"/>
          </w:tcPr>
          <w:p w:rsidR="00432271" w:rsidRPr="009D0D41" w:rsidRDefault="00432271" w:rsidP="00432271">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432271" w:rsidRPr="009D0D41" w:rsidRDefault="00432271" w:rsidP="00432271">
            <w:pPr>
              <w:rPr>
                <w:rFonts w:ascii="SWISS" w:hAnsi="SWISS" w:cs="Arial"/>
                <w:sz w:val="20"/>
                <w:szCs w:val="20"/>
              </w:rPr>
            </w:pPr>
            <w:r w:rsidRPr="009D0D41">
              <w:rPr>
                <w:rFonts w:ascii="SWISS" w:hAnsi="SWISS" w:cs="Arial"/>
                <w:sz w:val="20"/>
                <w:szCs w:val="20"/>
              </w:rPr>
              <w:t> </w:t>
            </w:r>
          </w:p>
        </w:tc>
      </w:tr>
      <w:tr w:rsidR="00432271" w:rsidRPr="00F52F8B" w:rsidTr="00930BAA">
        <w:trPr>
          <w:trHeight w:val="292"/>
          <w:jc w:val="center"/>
        </w:trPr>
        <w:tc>
          <w:tcPr>
            <w:tcW w:w="483"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8.</w:t>
            </w:r>
          </w:p>
        </w:tc>
        <w:tc>
          <w:tcPr>
            <w:tcW w:w="2855"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CUSTOMER DEPOSITS</w:t>
            </w:r>
          </w:p>
        </w:tc>
        <w:tc>
          <w:tcPr>
            <w:tcW w:w="1124"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u w:val="single"/>
              </w:rPr>
            </w:pPr>
            <w:r w:rsidRPr="00F52F8B">
              <w:rPr>
                <w:rFonts w:ascii="SWISS" w:hAnsi="SWISS" w:cs="Arial"/>
                <w:sz w:val="20"/>
                <w:szCs w:val="20"/>
                <w:u w:val="single"/>
              </w:rPr>
              <w:t xml:space="preserve">$0 </w:t>
            </w:r>
          </w:p>
        </w:tc>
        <w:tc>
          <w:tcPr>
            <w:tcW w:w="1213" w:type="dxa"/>
            <w:tcBorders>
              <w:top w:val="nil"/>
              <w:left w:val="nil"/>
              <w:bottom w:val="nil"/>
              <w:right w:val="nil"/>
            </w:tcBorders>
            <w:shd w:val="clear" w:color="auto" w:fill="auto"/>
            <w:noWrap/>
            <w:vAlign w:val="bottom"/>
          </w:tcPr>
          <w:p w:rsidR="00432271" w:rsidRPr="009D0D41" w:rsidRDefault="00432271" w:rsidP="00432271">
            <w:pPr>
              <w:jc w:val="right"/>
              <w:rPr>
                <w:rFonts w:ascii="SWISS" w:hAnsi="SWISS" w:cs="Arial"/>
                <w:sz w:val="20"/>
                <w:szCs w:val="20"/>
                <w:u w:val="single"/>
              </w:rPr>
            </w:pPr>
            <w:r w:rsidRPr="009D0D41">
              <w:rPr>
                <w:rFonts w:ascii="SWISS" w:hAnsi="SWISS" w:cs="Arial"/>
                <w:sz w:val="20"/>
                <w:szCs w:val="20"/>
                <w:u w:val="single"/>
              </w:rPr>
              <w:t xml:space="preserve">$986 </w:t>
            </w:r>
          </w:p>
        </w:tc>
        <w:tc>
          <w:tcPr>
            <w:tcW w:w="1755" w:type="dxa"/>
            <w:tcBorders>
              <w:top w:val="nil"/>
              <w:left w:val="nil"/>
              <w:bottom w:val="nil"/>
              <w:right w:val="nil"/>
            </w:tcBorders>
            <w:shd w:val="clear" w:color="auto" w:fill="auto"/>
            <w:noWrap/>
            <w:vAlign w:val="bottom"/>
          </w:tcPr>
          <w:p w:rsidR="00432271" w:rsidRPr="009D0D41" w:rsidRDefault="00432271" w:rsidP="00432271">
            <w:pPr>
              <w:jc w:val="right"/>
              <w:rPr>
                <w:rFonts w:ascii="SWISS" w:hAnsi="SWISS" w:cs="Arial"/>
                <w:sz w:val="20"/>
                <w:szCs w:val="20"/>
                <w:u w:val="single"/>
              </w:rPr>
            </w:pPr>
            <w:r w:rsidRPr="009D0D41">
              <w:rPr>
                <w:rFonts w:ascii="SWISS" w:hAnsi="SWISS" w:cs="Arial"/>
                <w:sz w:val="20"/>
                <w:szCs w:val="20"/>
                <w:u w:val="single"/>
              </w:rPr>
              <w:t xml:space="preserve">$986 </w:t>
            </w:r>
          </w:p>
        </w:tc>
        <w:tc>
          <w:tcPr>
            <w:tcW w:w="1256" w:type="dxa"/>
            <w:tcBorders>
              <w:top w:val="nil"/>
              <w:left w:val="nil"/>
              <w:bottom w:val="nil"/>
              <w:right w:val="nil"/>
            </w:tcBorders>
            <w:shd w:val="clear" w:color="auto" w:fill="auto"/>
            <w:noWrap/>
            <w:vAlign w:val="bottom"/>
          </w:tcPr>
          <w:p w:rsidR="00432271" w:rsidRPr="009D0D41" w:rsidRDefault="00432271" w:rsidP="00432271">
            <w:pPr>
              <w:jc w:val="right"/>
              <w:rPr>
                <w:rFonts w:ascii="SWISS" w:hAnsi="SWISS" w:cs="Arial"/>
                <w:sz w:val="20"/>
                <w:szCs w:val="20"/>
                <w:u w:val="single"/>
              </w:rPr>
            </w:pPr>
            <w:r w:rsidRPr="009D0D41">
              <w:rPr>
                <w:rFonts w:ascii="SWISS" w:hAnsi="SWISS" w:cs="Arial"/>
                <w:sz w:val="20"/>
                <w:szCs w:val="20"/>
                <w:u w:val="single"/>
              </w:rPr>
              <w:t xml:space="preserve">$0 </w:t>
            </w:r>
          </w:p>
        </w:tc>
        <w:tc>
          <w:tcPr>
            <w:tcW w:w="1283" w:type="dxa"/>
            <w:tcBorders>
              <w:top w:val="nil"/>
              <w:left w:val="nil"/>
              <w:bottom w:val="nil"/>
              <w:right w:val="nil"/>
            </w:tcBorders>
            <w:shd w:val="clear" w:color="auto" w:fill="auto"/>
            <w:noWrap/>
            <w:vAlign w:val="bottom"/>
          </w:tcPr>
          <w:p w:rsidR="00432271" w:rsidRPr="009D0D41" w:rsidRDefault="00432271" w:rsidP="00432271">
            <w:pPr>
              <w:jc w:val="right"/>
              <w:rPr>
                <w:rFonts w:ascii="SWISS" w:hAnsi="SWISS" w:cs="Arial"/>
                <w:sz w:val="20"/>
                <w:szCs w:val="20"/>
                <w:u w:val="single"/>
              </w:rPr>
            </w:pPr>
            <w:r w:rsidRPr="009D0D41">
              <w:rPr>
                <w:rFonts w:ascii="SWISS" w:hAnsi="SWISS" w:cs="Arial"/>
                <w:sz w:val="20"/>
                <w:szCs w:val="20"/>
                <w:u w:val="single"/>
              </w:rPr>
              <w:t xml:space="preserve">$986 </w:t>
            </w:r>
          </w:p>
        </w:tc>
        <w:tc>
          <w:tcPr>
            <w:tcW w:w="1255" w:type="dxa"/>
            <w:tcBorders>
              <w:top w:val="nil"/>
              <w:left w:val="nil"/>
              <w:bottom w:val="nil"/>
              <w:right w:val="nil"/>
            </w:tcBorders>
            <w:shd w:val="clear" w:color="auto" w:fill="auto"/>
            <w:noWrap/>
            <w:vAlign w:val="bottom"/>
          </w:tcPr>
          <w:p w:rsidR="00432271" w:rsidRPr="009D0D41" w:rsidRDefault="00432271" w:rsidP="00B5535D">
            <w:pPr>
              <w:jc w:val="right"/>
              <w:rPr>
                <w:rFonts w:ascii="SWISS" w:hAnsi="SWISS" w:cs="Arial"/>
                <w:sz w:val="20"/>
                <w:szCs w:val="20"/>
                <w:u w:val="single"/>
              </w:rPr>
            </w:pPr>
            <w:r w:rsidRPr="009D0D41">
              <w:rPr>
                <w:rFonts w:ascii="SWISS" w:hAnsi="SWISS" w:cs="Arial"/>
                <w:sz w:val="20"/>
                <w:szCs w:val="20"/>
                <w:u w:val="single"/>
              </w:rPr>
              <w:t>3.1</w:t>
            </w:r>
            <w:r w:rsidR="00B5535D">
              <w:rPr>
                <w:rFonts w:ascii="SWISS" w:hAnsi="SWISS" w:cs="Arial"/>
                <w:sz w:val="20"/>
                <w:szCs w:val="20"/>
                <w:u w:val="single"/>
              </w:rPr>
              <w:t>1</w:t>
            </w:r>
            <w:r w:rsidRPr="009D0D41">
              <w:rPr>
                <w:rFonts w:ascii="SWISS" w:hAnsi="SWISS" w:cs="Arial"/>
                <w:sz w:val="20"/>
                <w:szCs w:val="20"/>
                <w:u w:val="single"/>
              </w:rPr>
              <w:t>%</w:t>
            </w:r>
          </w:p>
        </w:tc>
        <w:tc>
          <w:tcPr>
            <w:tcW w:w="1183" w:type="dxa"/>
            <w:tcBorders>
              <w:top w:val="nil"/>
              <w:left w:val="nil"/>
              <w:bottom w:val="nil"/>
              <w:right w:val="nil"/>
            </w:tcBorders>
            <w:shd w:val="clear" w:color="auto" w:fill="auto"/>
            <w:noWrap/>
            <w:vAlign w:val="bottom"/>
          </w:tcPr>
          <w:p w:rsidR="00432271" w:rsidRPr="009D0D41" w:rsidRDefault="00432271" w:rsidP="00432271">
            <w:pPr>
              <w:jc w:val="right"/>
              <w:rPr>
                <w:rFonts w:ascii="SWISS" w:hAnsi="SWISS" w:cs="Arial"/>
                <w:sz w:val="20"/>
                <w:szCs w:val="20"/>
              </w:rPr>
            </w:pPr>
            <w:r w:rsidRPr="009D0D41">
              <w:rPr>
                <w:rFonts w:ascii="SWISS" w:hAnsi="SWISS" w:cs="Arial"/>
                <w:sz w:val="20"/>
                <w:szCs w:val="20"/>
              </w:rPr>
              <w:t>2.00%</w:t>
            </w:r>
          </w:p>
        </w:tc>
        <w:tc>
          <w:tcPr>
            <w:tcW w:w="1460" w:type="dxa"/>
            <w:tcBorders>
              <w:top w:val="nil"/>
              <w:left w:val="nil"/>
              <w:bottom w:val="nil"/>
              <w:right w:val="single" w:sz="8" w:space="0" w:color="auto"/>
            </w:tcBorders>
            <w:shd w:val="clear" w:color="auto" w:fill="auto"/>
            <w:noWrap/>
            <w:vAlign w:val="bottom"/>
          </w:tcPr>
          <w:p w:rsidR="00432271" w:rsidRPr="009D0D41" w:rsidRDefault="00432271" w:rsidP="00432271">
            <w:pPr>
              <w:jc w:val="right"/>
              <w:rPr>
                <w:rFonts w:ascii="SWISS" w:hAnsi="SWISS" w:cs="Arial"/>
                <w:sz w:val="20"/>
                <w:szCs w:val="20"/>
                <w:u w:val="single"/>
              </w:rPr>
            </w:pPr>
            <w:r w:rsidRPr="009D0D41">
              <w:rPr>
                <w:rFonts w:ascii="SWISS" w:hAnsi="SWISS" w:cs="Arial"/>
                <w:sz w:val="20"/>
                <w:szCs w:val="20"/>
                <w:u w:val="single"/>
              </w:rPr>
              <w:t>0.06%</w:t>
            </w:r>
          </w:p>
        </w:tc>
      </w:tr>
      <w:tr w:rsidR="00432271" w:rsidRPr="00F52F8B" w:rsidTr="00930BAA">
        <w:trPr>
          <w:trHeight w:val="292"/>
          <w:jc w:val="center"/>
        </w:trPr>
        <w:tc>
          <w:tcPr>
            <w:tcW w:w="483"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213" w:type="dxa"/>
            <w:tcBorders>
              <w:top w:val="nil"/>
              <w:left w:val="nil"/>
              <w:bottom w:val="nil"/>
              <w:right w:val="nil"/>
            </w:tcBorders>
            <w:shd w:val="clear" w:color="auto" w:fill="auto"/>
            <w:noWrap/>
            <w:vAlign w:val="bottom"/>
          </w:tcPr>
          <w:p w:rsidR="00432271" w:rsidRPr="009D0D41" w:rsidRDefault="00432271" w:rsidP="00432271">
            <w:pPr>
              <w:rPr>
                <w:rFonts w:ascii="SWISS" w:hAnsi="SWISS" w:cs="Arial"/>
                <w:sz w:val="20"/>
                <w:szCs w:val="20"/>
              </w:rPr>
            </w:pPr>
          </w:p>
        </w:tc>
        <w:tc>
          <w:tcPr>
            <w:tcW w:w="1755" w:type="dxa"/>
            <w:tcBorders>
              <w:top w:val="nil"/>
              <w:left w:val="nil"/>
              <w:bottom w:val="nil"/>
              <w:right w:val="nil"/>
            </w:tcBorders>
            <w:shd w:val="clear" w:color="auto" w:fill="auto"/>
            <w:noWrap/>
            <w:vAlign w:val="bottom"/>
          </w:tcPr>
          <w:p w:rsidR="00432271" w:rsidRPr="009D0D41" w:rsidRDefault="00432271" w:rsidP="00432271">
            <w:pPr>
              <w:rPr>
                <w:rFonts w:ascii="SWISS" w:hAnsi="SWISS" w:cs="Arial"/>
                <w:sz w:val="20"/>
                <w:szCs w:val="20"/>
              </w:rPr>
            </w:pPr>
          </w:p>
        </w:tc>
        <w:tc>
          <w:tcPr>
            <w:tcW w:w="1256" w:type="dxa"/>
            <w:tcBorders>
              <w:top w:val="nil"/>
              <w:left w:val="nil"/>
              <w:bottom w:val="nil"/>
              <w:right w:val="nil"/>
            </w:tcBorders>
            <w:shd w:val="clear" w:color="auto" w:fill="auto"/>
            <w:noWrap/>
            <w:vAlign w:val="bottom"/>
          </w:tcPr>
          <w:p w:rsidR="00432271" w:rsidRPr="009D0D41" w:rsidRDefault="00432271" w:rsidP="00432271">
            <w:pPr>
              <w:rPr>
                <w:rFonts w:ascii="SWISS" w:hAnsi="SWISS" w:cs="Arial"/>
                <w:sz w:val="20"/>
                <w:szCs w:val="20"/>
              </w:rPr>
            </w:pPr>
          </w:p>
        </w:tc>
        <w:tc>
          <w:tcPr>
            <w:tcW w:w="1283" w:type="dxa"/>
            <w:tcBorders>
              <w:top w:val="nil"/>
              <w:left w:val="nil"/>
              <w:bottom w:val="nil"/>
              <w:right w:val="nil"/>
            </w:tcBorders>
            <w:shd w:val="clear" w:color="auto" w:fill="auto"/>
            <w:noWrap/>
            <w:vAlign w:val="bottom"/>
          </w:tcPr>
          <w:p w:rsidR="00432271" w:rsidRPr="009D0D41" w:rsidRDefault="00432271" w:rsidP="00432271">
            <w:pPr>
              <w:rPr>
                <w:rFonts w:ascii="SWISS" w:hAnsi="SWISS" w:cs="Arial"/>
                <w:sz w:val="20"/>
                <w:szCs w:val="20"/>
              </w:rPr>
            </w:pPr>
          </w:p>
        </w:tc>
        <w:tc>
          <w:tcPr>
            <w:tcW w:w="1255" w:type="dxa"/>
            <w:tcBorders>
              <w:top w:val="nil"/>
              <w:left w:val="nil"/>
              <w:bottom w:val="nil"/>
              <w:right w:val="nil"/>
            </w:tcBorders>
            <w:shd w:val="clear" w:color="auto" w:fill="auto"/>
            <w:noWrap/>
            <w:vAlign w:val="bottom"/>
          </w:tcPr>
          <w:p w:rsidR="00432271" w:rsidRPr="009D0D41" w:rsidRDefault="00432271" w:rsidP="00432271">
            <w:pPr>
              <w:rPr>
                <w:rFonts w:ascii="SWISS" w:hAnsi="SWISS" w:cs="Arial"/>
                <w:sz w:val="20"/>
                <w:szCs w:val="20"/>
              </w:rPr>
            </w:pPr>
          </w:p>
        </w:tc>
        <w:tc>
          <w:tcPr>
            <w:tcW w:w="1183" w:type="dxa"/>
            <w:tcBorders>
              <w:top w:val="nil"/>
              <w:left w:val="nil"/>
              <w:bottom w:val="nil"/>
              <w:right w:val="nil"/>
            </w:tcBorders>
            <w:shd w:val="clear" w:color="auto" w:fill="auto"/>
            <w:noWrap/>
            <w:vAlign w:val="bottom"/>
          </w:tcPr>
          <w:p w:rsidR="00432271" w:rsidRPr="009D0D41" w:rsidRDefault="00432271" w:rsidP="00432271">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432271" w:rsidRPr="009D0D41" w:rsidRDefault="00432271" w:rsidP="00432271">
            <w:pPr>
              <w:rPr>
                <w:rFonts w:ascii="SWISS" w:hAnsi="SWISS" w:cs="Arial"/>
                <w:sz w:val="20"/>
                <w:szCs w:val="20"/>
              </w:rPr>
            </w:pPr>
            <w:r w:rsidRPr="009D0D41">
              <w:rPr>
                <w:rFonts w:ascii="SWISS" w:hAnsi="SWISS" w:cs="Arial"/>
                <w:sz w:val="20"/>
                <w:szCs w:val="20"/>
              </w:rPr>
              <w:t> </w:t>
            </w:r>
          </w:p>
        </w:tc>
      </w:tr>
      <w:tr w:rsidR="00432271" w:rsidRPr="00F52F8B" w:rsidTr="00930BAA">
        <w:trPr>
          <w:trHeight w:val="292"/>
          <w:jc w:val="center"/>
        </w:trPr>
        <w:tc>
          <w:tcPr>
            <w:tcW w:w="483"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9.</w:t>
            </w:r>
          </w:p>
        </w:tc>
        <w:tc>
          <w:tcPr>
            <w:tcW w:w="2855"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TOTAL</w:t>
            </w:r>
          </w:p>
        </w:tc>
        <w:tc>
          <w:tcPr>
            <w:tcW w:w="1124"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u w:val="double"/>
              </w:rPr>
            </w:pPr>
            <w:r w:rsidRPr="00F52F8B">
              <w:rPr>
                <w:rFonts w:ascii="SWISS" w:hAnsi="SWISS" w:cs="Arial"/>
                <w:sz w:val="20"/>
                <w:szCs w:val="20"/>
                <w:u w:val="double"/>
              </w:rPr>
              <w:t xml:space="preserve">$0 </w:t>
            </w:r>
          </w:p>
        </w:tc>
        <w:tc>
          <w:tcPr>
            <w:tcW w:w="1213" w:type="dxa"/>
            <w:tcBorders>
              <w:top w:val="nil"/>
              <w:left w:val="nil"/>
              <w:bottom w:val="nil"/>
              <w:right w:val="nil"/>
            </w:tcBorders>
            <w:shd w:val="clear" w:color="auto" w:fill="auto"/>
            <w:noWrap/>
            <w:vAlign w:val="bottom"/>
          </w:tcPr>
          <w:p w:rsidR="00432271" w:rsidRPr="009D0D41" w:rsidRDefault="00432271" w:rsidP="00432271">
            <w:pPr>
              <w:jc w:val="right"/>
              <w:rPr>
                <w:rFonts w:ascii="SWISS" w:hAnsi="SWISS" w:cs="Arial"/>
                <w:sz w:val="20"/>
                <w:szCs w:val="20"/>
                <w:u w:val="double"/>
              </w:rPr>
            </w:pPr>
            <w:r w:rsidRPr="009D0D41">
              <w:rPr>
                <w:rFonts w:ascii="SWISS" w:hAnsi="SWISS" w:cs="Arial"/>
                <w:sz w:val="20"/>
                <w:szCs w:val="20"/>
                <w:u w:val="double"/>
              </w:rPr>
              <w:t xml:space="preserve">$45,986 </w:t>
            </w:r>
          </w:p>
        </w:tc>
        <w:tc>
          <w:tcPr>
            <w:tcW w:w="1755" w:type="dxa"/>
            <w:tcBorders>
              <w:top w:val="nil"/>
              <w:left w:val="nil"/>
              <w:bottom w:val="nil"/>
              <w:right w:val="nil"/>
            </w:tcBorders>
            <w:shd w:val="clear" w:color="auto" w:fill="auto"/>
            <w:noWrap/>
            <w:vAlign w:val="bottom"/>
          </w:tcPr>
          <w:p w:rsidR="00432271" w:rsidRPr="009D0D41" w:rsidRDefault="00432271" w:rsidP="00432271">
            <w:pPr>
              <w:jc w:val="right"/>
              <w:rPr>
                <w:rFonts w:ascii="SWISS" w:hAnsi="SWISS" w:cs="Arial"/>
                <w:sz w:val="20"/>
                <w:szCs w:val="20"/>
                <w:u w:val="double"/>
              </w:rPr>
            </w:pPr>
            <w:r w:rsidRPr="009D0D41">
              <w:rPr>
                <w:rFonts w:ascii="SWISS" w:hAnsi="SWISS" w:cs="Arial"/>
                <w:sz w:val="20"/>
                <w:szCs w:val="20"/>
                <w:u w:val="double"/>
              </w:rPr>
              <w:t xml:space="preserve">$45,986 </w:t>
            </w:r>
          </w:p>
        </w:tc>
        <w:tc>
          <w:tcPr>
            <w:tcW w:w="1256" w:type="dxa"/>
            <w:tcBorders>
              <w:top w:val="nil"/>
              <w:left w:val="nil"/>
              <w:bottom w:val="nil"/>
              <w:right w:val="nil"/>
            </w:tcBorders>
            <w:shd w:val="clear" w:color="auto" w:fill="auto"/>
            <w:noWrap/>
            <w:vAlign w:val="bottom"/>
          </w:tcPr>
          <w:p w:rsidR="00432271" w:rsidRPr="009D0D41" w:rsidRDefault="00432271" w:rsidP="00B5535D">
            <w:pPr>
              <w:jc w:val="right"/>
              <w:rPr>
                <w:rFonts w:ascii="SWISS" w:hAnsi="SWISS" w:cs="Arial"/>
                <w:sz w:val="20"/>
                <w:szCs w:val="20"/>
                <w:u w:val="double"/>
              </w:rPr>
            </w:pPr>
            <w:r w:rsidRPr="009D0D41">
              <w:rPr>
                <w:rFonts w:ascii="SWISS" w:hAnsi="SWISS" w:cs="Arial"/>
                <w:sz w:val="20"/>
                <w:szCs w:val="20"/>
                <w:u w:val="double"/>
              </w:rPr>
              <w:t>($14,</w:t>
            </w:r>
            <w:r w:rsidR="00B5535D">
              <w:rPr>
                <w:rFonts w:ascii="SWISS" w:hAnsi="SWISS" w:cs="Arial"/>
                <w:sz w:val="20"/>
                <w:szCs w:val="20"/>
                <w:u w:val="double"/>
              </w:rPr>
              <w:t>268</w:t>
            </w:r>
            <w:r w:rsidRPr="009D0D41">
              <w:rPr>
                <w:rFonts w:ascii="SWISS" w:hAnsi="SWISS" w:cs="Arial"/>
                <w:sz w:val="20"/>
                <w:szCs w:val="20"/>
                <w:u w:val="double"/>
              </w:rPr>
              <w:t>)</w:t>
            </w:r>
          </w:p>
        </w:tc>
        <w:tc>
          <w:tcPr>
            <w:tcW w:w="1283" w:type="dxa"/>
            <w:tcBorders>
              <w:top w:val="nil"/>
              <w:left w:val="nil"/>
              <w:bottom w:val="nil"/>
              <w:right w:val="nil"/>
            </w:tcBorders>
            <w:shd w:val="clear" w:color="auto" w:fill="auto"/>
            <w:noWrap/>
            <w:vAlign w:val="bottom"/>
          </w:tcPr>
          <w:p w:rsidR="00432271" w:rsidRPr="009D0D41" w:rsidRDefault="00432271" w:rsidP="00B5535D">
            <w:pPr>
              <w:jc w:val="right"/>
              <w:rPr>
                <w:rFonts w:ascii="SWISS" w:hAnsi="SWISS" w:cs="Arial"/>
                <w:sz w:val="20"/>
                <w:szCs w:val="20"/>
                <w:u w:val="double"/>
              </w:rPr>
            </w:pPr>
            <w:r w:rsidRPr="009D0D41">
              <w:rPr>
                <w:rFonts w:ascii="SWISS" w:hAnsi="SWISS" w:cs="Arial"/>
                <w:sz w:val="20"/>
                <w:szCs w:val="20"/>
                <w:u w:val="double"/>
              </w:rPr>
              <w:t>$31,</w:t>
            </w:r>
            <w:r w:rsidR="00B5535D">
              <w:rPr>
                <w:rFonts w:ascii="SWISS" w:hAnsi="SWISS" w:cs="Arial"/>
                <w:sz w:val="20"/>
                <w:szCs w:val="20"/>
                <w:u w:val="double"/>
              </w:rPr>
              <w:t>718</w:t>
            </w:r>
          </w:p>
        </w:tc>
        <w:tc>
          <w:tcPr>
            <w:tcW w:w="1255" w:type="dxa"/>
            <w:tcBorders>
              <w:top w:val="nil"/>
              <w:left w:val="nil"/>
              <w:bottom w:val="nil"/>
              <w:right w:val="nil"/>
            </w:tcBorders>
            <w:shd w:val="clear" w:color="auto" w:fill="auto"/>
            <w:noWrap/>
            <w:vAlign w:val="bottom"/>
          </w:tcPr>
          <w:p w:rsidR="00432271" w:rsidRPr="009D0D41" w:rsidRDefault="00432271" w:rsidP="00432271">
            <w:pPr>
              <w:jc w:val="right"/>
              <w:rPr>
                <w:rFonts w:ascii="SWISS" w:hAnsi="SWISS" w:cs="Arial"/>
                <w:sz w:val="20"/>
                <w:szCs w:val="20"/>
                <w:u w:val="double"/>
              </w:rPr>
            </w:pPr>
            <w:r w:rsidRPr="009D0D41">
              <w:rPr>
                <w:rFonts w:ascii="SWISS" w:hAnsi="SWISS" w:cs="Arial"/>
                <w:sz w:val="20"/>
                <w:szCs w:val="20"/>
                <w:u w:val="double"/>
              </w:rPr>
              <w:t>100.00%</w:t>
            </w:r>
          </w:p>
        </w:tc>
        <w:tc>
          <w:tcPr>
            <w:tcW w:w="1183" w:type="dxa"/>
            <w:tcBorders>
              <w:top w:val="nil"/>
              <w:left w:val="nil"/>
              <w:bottom w:val="nil"/>
              <w:right w:val="nil"/>
            </w:tcBorders>
            <w:shd w:val="clear" w:color="auto" w:fill="auto"/>
            <w:noWrap/>
            <w:vAlign w:val="bottom"/>
          </w:tcPr>
          <w:p w:rsidR="00432271" w:rsidRPr="009D0D41" w:rsidRDefault="00432271" w:rsidP="00432271">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432271" w:rsidRPr="009D0D41" w:rsidRDefault="00432271" w:rsidP="00432271">
            <w:pPr>
              <w:jc w:val="right"/>
              <w:rPr>
                <w:rFonts w:ascii="SWISS" w:hAnsi="SWISS" w:cs="Arial"/>
                <w:sz w:val="20"/>
                <w:szCs w:val="20"/>
                <w:u w:val="double"/>
              </w:rPr>
            </w:pPr>
            <w:r w:rsidRPr="009D0D41">
              <w:rPr>
                <w:rFonts w:ascii="SWISS" w:hAnsi="SWISS" w:cs="Arial"/>
                <w:sz w:val="20"/>
                <w:szCs w:val="20"/>
                <w:u w:val="double"/>
              </w:rPr>
              <w:t>8.53%</w:t>
            </w:r>
          </w:p>
        </w:tc>
      </w:tr>
      <w:tr w:rsidR="00432271" w:rsidRPr="00F52F8B" w:rsidTr="00930BAA">
        <w:trPr>
          <w:trHeight w:val="292"/>
          <w:jc w:val="center"/>
        </w:trPr>
        <w:tc>
          <w:tcPr>
            <w:tcW w:w="483"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213" w:type="dxa"/>
            <w:tcBorders>
              <w:top w:val="nil"/>
              <w:left w:val="nil"/>
              <w:bottom w:val="nil"/>
              <w:right w:val="nil"/>
            </w:tcBorders>
            <w:shd w:val="clear" w:color="auto" w:fill="auto"/>
            <w:noWrap/>
            <w:vAlign w:val="bottom"/>
          </w:tcPr>
          <w:p w:rsidR="00432271" w:rsidRPr="009D0D41" w:rsidRDefault="00432271" w:rsidP="00432271">
            <w:pPr>
              <w:rPr>
                <w:rFonts w:ascii="SWISS" w:hAnsi="SWISS" w:cs="Arial"/>
                <w:sz w:val="20"/>
                <w:szCs w:val="20"/>
              </w:rPr>
            </w:pPr>
          </w:p>
        </w:tc>
        <w:tc>
          <w:tcPr>
            <w:tcW w:w="1755" w:type="dxa"/>
            <w:tcBorders>
              <w:top w:val="nil"/>
              <w:left w:val="nil"/>
              <w:bottom w:val="nil"/>
              <w:right w:val="nil"/>
            </w:tcBorders>
            <w:shd w:val="clear" w:color="auto" w:fill="auto"/>
            <w:noWrap/>
            <w:vAlign w:val="bottom"/>
          </w:tcPr>
          <w:p w:rsidR="00432271" w:rsidRPr="009D0D41" w:rsidRDefault="00432271" w:rsidP="00432271">
            <w:pPr>
              <w:rPr>
                <w:rFonts w:ascii="SWISS" w:hAnsi="SWISS" w:cs="Arial"/>
                <w:sz w:val="20"/>
                <w:szCs w:val="20"/>
              </w:rPr>
            </w:pPr>
          </w:p>
        </w:tc>
        <w:tc>
          <w:tcPr>
            <w:tcW w:w="1256" w:type="dxa"/>
            <w:tcBorders>
              <w:top w:val="nil"/>
              <w:left w:val="nil"/>
              <w:bottom w:val="nil"/>
              <w:right w:val="nil"/>
            </w:tcBorders>
            <w:shd w:val="clear" w:color="auto" w:fill="auto"/>
            <w:noWrap/>
            <w:vAlign w:val="bottom"/>
          </w:tcPr>
          <w:p w:rsidR="00432271" w:rsidRPr="009D0D41" w:rsidRDefault="00432271" w:rsidP="00432271">
            <w:pPr>
              <w:rPr>
                <w:rFonts w:ascii="SWISS" w:hAnsi="SWISS" w:cs="Arial"/>
                <w:sz w:val="20"/>
                <w:szCs w:val="20"/>
              </w:rPr>
            </w:pPr>
          </w:p>
        </w:tc>
        <w:tc>
          <w:tcPr>
            <w:tcW w:w="1283" w:type="dxa"/>
            <w:tcBorders>
              <w:top w:val="nil"/>
              <w:left w:val="nil"/>
              <w:bottom w:val="nil"/>
              <w:right w:val="nil"/>
            </w:tcBorders>
            <w:shd w:val="clear" w:color="auto" w:fill="auto"/>
            <w:noWrap/>
            <w:vAlign w:val="bottom"/>
          </w:tcPr>
          <w:p w:rsidR="00432271" w:rsidRPr="009D0D41" w:rsidRDefault="00432271" w:rsidP="00432271">
            <w:pPr>
              <w:rPr>
                <w:rFonts w:ascii="SWISS" w:hAnsi="SWISS" w:cs="Arial"/>
                <w:sz w:val="20"/>
                <w:szCs w:val="20"/>
              </w:rPr>
            </w:pPr>
          </w:p>
        </w:tc>
        <w:tc>
          <w:tcPr>
            <w:tcW w:w="1255" w:type="dxa"/>
            <w:tcBorders>
              <w:top w:val="nil"/>
              <w:left w:val="nil"/>
              <w:bottom w:val="nil"/>
              <w:right w:val="nil"/>
            </w:tcBorders>
            <w:shd w:val="clear" w:color="auto" w:fill="auto"/>
            <w:noWrap/>
            <w:vAlign w:val="bottom"/>
          </w:tcPr>
          <w:p w:rsidR="00432271" w:rsidRPr="009D0D41" w:rsidRDefault="00432271" w:rsidP="00432271">
            <w:pPr>
              <w:rPr>
                <w:rFonts w:ascii="SWISS" w:hAnsi="SWISS" w:cs="Arial"/>
                <w:sz w:val="20"/>
                <w:szCs w:val="20"/>
              </w:rPr>
            </w:pPr>
          </w:p>
        </w:tc>
        <w:tc>
          <w:tcPr>
            <w:tcW w:w="1183" w:type="dxa"/>
            <w:tcBorders>
              <w:top w:val="nil"/>
              <w:left w:val="nil"/>
              <w:bottom w:val="nil"/>
              <w:right w:val="nil"/>
            </w:tcBorders>
            <w:shd w:val="clear" w:color="auto" w:fill="auto"/>
            <w:noWrap/>
            <w:vAlign w:val="bottom"/>
          </w:tcPr>
          <w:p w:rsidR="00432271" w:rsidRPr="009D0D41" w:rsidRDefault="00432271" w:rsidP="00432271">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432271" w:rsidRPr="009D0D41" w:rsidRDefault="00432271" w:rsidP="00432271">
            <w:pPr>
              <w:rPr>
                <w:rFonts w:ascii="SWISS" w:hAnsi="SWISS" w:cs="Arial"/>
                <w:sz w:val="20"/>
                <w:szCs w:val="20"/>
              </w:rPr>
            </w:pPr>
            <w:r w:rsidRPr="009D0D41">
              <w:rPr>
                <w:rFonts w:ascii="SWISS" w:hAnsi="SWISS" w:cs="Arial"/>
                <w:sz w:val="20"/>
                <w:szCs w:val="20"/>
              </w:rPr>
              <w:t> </w:t>
            </w:r>
          </w:p>
        </w:tc>
      </w:tr>
      <w:tr w:rsidR="00432271" w:rsidRPr="00F52F8B" w:rsidTr="00930BAA">
        <w:trPr>
          <w:trHeight w:val="292"/>
          <w:jc w:val="center"/>
        </w:trPr>
        <w:tc>
          <w:tcPr>
            <w:tcW w:w="483"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21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4294" w:type="dxa"/>
            <w:gridSpan w:val="3"/>
            <w:tcBorders>
              <w:top w:val="nil"/>
              <w:left w:val="nil"/>
              <w:bottom w:val="nil"/>
              <w:right w:val="nil"/>
            </w:tcBorders>
            <w:shd w:val="clear" w:color="auto" w:fill="auto"/>
            <w:noWrap/>
            <w:vAlign w:val="bottom"/>
          </w:tcPr>
          <w:p w:rsidR="00432271" w:rsidRPr="009D0D41" w:rsidRDefault="00432271" w:rsidP="00432271">
            <w:pPr>
              <w:rPr>
                <w:rFonts w:ascii="SWISS" w:hAnsi="SWISS" w:cs="Arial"/>
                <w:b/>
                <w:bCs/>
                <w:color w:val="000000"/>
                <w:sz w:val="20"/>
                <w:szCs w:val="20"/>
              </w:rPr>
            </w:pPr>
            <w:r w:rsidRPr="009D0D41">
              <w:rPr>
                <w:rFonts w:ascii="SWISS" w:hAnsi="SWISS" w:cs="Arial"/>
                <w:b/>
                <w:bCs/>
                <w:color w:val="000000"/>
                <w:sz w:val="20"/>
                <w:szCs w:val="20"/>
              </w:rPr>
              <w:t>RANGE OF REASONABLENESS</w:t>
            </w:r>
          </w:p>
        </w:tc>
        <w:tc>
          <w:tcPr>
            <w:tcW w:w="1255" w:type="dxa"/>
            <w:tcBorders>
              <w:top w:val="nil"/>
              <w:left w:val="nil"/>
              <w:bottom w:val="nil"/>
              <w:right w:val="nil"/>
            </w:tcBorders>
            <w:shd w:val="clear" w:color="auto" w:fill="auto"/>
            <w:noWrap/>
            <w:vAlign w:val="bottom"/>
          </w:tcPr>
          <w:p w:rsidR="00432271" w:rsidRPr="009D0D41" w:rsidRDefault="00432271" w:rsidP="00432271">
            <w:pPr>
              <w:jc w:val="center"/>
              <w:rPr>
                <w:rFonts w:ascii="SWISS" w:hAnsi="SWISS" w:cs="Arial"/>
                <w:b/>
                <w:bCs/>
                <w:color w:val="000000"/>
                <w:sz w:val="20"/>
                <w:szCs w:val="20"/>
                <w:u w:val="single"/>
              </w:rPr>
            </w:pPr>
            <w:r w:rsidRPr="009D0D41">
              <w:rPr>
                <w:rFonts w:ascii="SWISS" w:hAnsi="SWISS" w:cs="Arial"/>
                <w:b/>
                <w:bCs/>
                <w:color w:val="000000"/>
                <w:sz w:val="20"/>
                <w:szCs w:val="20"/>
                <w:u w:val="single"/>
              </w:rPr>
              <w:t>LOW</w:t>
            </w:r>
          </w:p>
        </w:tc>
        <w:tc>
          <w:tcPr>
            <w:tcW w:w="1183" w:type="dxa"/>
            <w:tcBorders>
              <w:top w:val="nil"/>
              <w:left w:val="nil"/>
              <w:bottom w:val="nil"/>
              <w:right w:val="nil"/>
            </w:tcBorders>
            <w:shd w:val="clear" w:color="auto" w:fill="auto"/>
            <w:noWrap/>
            <w:vAlign w:val="bottom"/>
          </w:tcPr>
          <w:p w:rsidR="00432271" w:rsidRPr="009D0D41" w:rsidRDefault="00432271" w:rsidP="00432271">
            <w:pPr>
              <w:jc w:val="center"/>
              <w:rPr>
                <w:rFonts w:ascii="SWISS" w:hAnsi="SWISS" w:cs="Arial"/>
                <w:b/>
                <w:bCs/>
                <w:color w:val="000000"/>
                <w:sz w:val="20"/>
                <w:szCs w:val="20"/>
                <w:u w:val="single"/>
              </w:rPr>
            </w:pPr>
            <w:r w:rsidRPr="009D0D41">
              <w:rPr>
                <w:rFonts w:ascii="SWISS" w:hAnsi="SWISS" w:cs="Arial"/>
                <w:b/>
                <w:bCs/>
                <w:color w:val="000000"/>
                <w:sz w:val="20"/>
                <w:szCs w:val="20"/>
                <w:u w:val="single"/>
              </w:rPr>
              <w:t>HIGH</w:t>
            </w:r>
          </w:p>
        </w:tc>
        <w:tc>
          <w:tcPr>
            <w:tcW w:w="1460" w:type="dxa"/>
            <w:tcBorders>
              <w:top w:val="nil"/>
              <w:left w:val="nil"/>
              <w:bottom w:val="nil"/>
              <w:right w:val="single" w:sz="8" w:space="0" w:color="auto"/>
            </w:tcBorders>
            <w:shd w:val="clear" w:color="auto" w:fill="auto"/>
            <w:noWrap/>
            <w:vAlign w:val="bottom"/>
          </w:tcPr>
          <w:p w:rsidR="00432271" w:rsidRPr="009D0D41" w:rsidRDefault="00432271" w:rsidP="00432271">
            <w:pPr>
              <w:rPr>
                <w:rFonts w:ascii="SWISS" w:hAnsi="SWISS" w:cs="Arial"/>
                <w:color w:val="000000"/>
                <w:sz w:val="20"/>
                <w:szCs w:val="20"/>
              </w:rPr>
            </w:pPr>
            <w:r w:rsidRPr="009D0D41">
              <w:rPr>
                <w:rFonts w:ascii="SWISS" w:hAnsi="SWISS" w:cs="Arial"/>
                <w:color w:val="000000"/>
                <w:sz w:val="20"/>
                <w:szCs w:val="20"/>
              </w:rPr>
              <w:t> </w:t>
            </w:r>
          </w:p>
        </w:tc>
      </w:tr>
      <w:tr w:rsidR="00432271" w:rsidRPr="00F52F8B" w:rsidTr="00930BAA">
        <w:trPr>
          <w:trHeight w:val="292"/>
          <w:jc w:val="center"/>
        </w:trPr>
        <w:tc>
          <w:tcPr>
            <w:tcW w:w="483"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21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3011" w:type="dxa"/>
            <w:gridSpan w:val="2"/>
            <w:tcBorders>
              <w:top w:val="nil"/>
              <w:left w:val="nil"/>
              <w:bottom w:val="nil"/>
              <w:right w:val="nil"/>
            </w:tcBorders>
            <w:shd w:val="clear" w:color="auto" w:fill="auto"/>
            <w:noWrap/>
            <w:vAlign w:val="bottom"/>
          </w:tcPr>
          <w:p w:rsidR="00432271" w:rsidRPr="009D0D41" w:rsidRDefault="00432271" w:rsidP="00432271">
            <w:pPr>
              <w:rPr>
                <w:rFonts w:ascii="SWISS" w:hAnsi="SWISS" w:cs="Arial"/>
                <w:color w:val="000000"/>
                <w:sz w:val="20"/>
                <w:szCs w:val="20"/>
              </w:rPr>
            </w:pPr>
            <w:r w:rsidRPr="009D0D41">
              <w:rPr>
                <w:rFonts w:ascii="SWISS" w:hAnsi="SWISS" w:cs="Arial"/>
                <w:color w:val="000000"/>
                <w:sz w:val="20"/>
                <w:szCs w:val="20"/>
              </w:rPr>
              <w:t xml:space="preserve">    RETURN ON EQUITY</w:t>
            </w:r>
          </w:p>
        </w:tc>
        <w:tc>
          <w:tcPr>
            <w:tcW w:w="1283" w:type="dxa"/>
            <w:tcBorders>
              <w:top w:val="nil"/>
              <w:left w:val="nil"/>
              <w:bottom w:val="nil"/>
              <w:right w:val="nil"/>
            </w:tcBorders>
            <w:shd w:val="clear" w:color="auto" w:fill="auto"/>
            <w:noWrap/>
            <w:vAlign w:val="bottom"/>
          </w:tcPr>
          <w:p w:rsidR="00432271" w:rsidRPr="009D0D41" w:rsidRDefault="00432271" w:rsidP="00432271">
            <w:pPr>
              <w:rPr>
                <w:rFonts w:ascii="SWISS" w:hAnsi="SWISS" w:cs="Arial"/>
                <w:color w:val="000000"/>
                <w:sz w:val="20"/>
                <w:szCs w:val="20"/>
              </w:rPr>
            </w:pPr>
          </w:p>
        </w:tc>
        <w:tc>
          <w:tcPr>
            <w:tcW w:w="1255" w:type="dxa"/>
            <w:tcBorders>
              <w:top w:val="nil"/>
              <w:left w:val="nil"/>
              <w:bottom w:val="nil"/>
              <w:right w:val="nil"/>
            </w:tcBorders>
            <w:shd w:val="clear" w:color="auto" w:fill="auto"/>
            <w:noWrap/>
            <w:vAlign w:val="bottom"/>
          </w:tcPr>
          <w:p w:rsidR="00432271" w:rsidRPr="009D0D41" w:rsidRDefault="00432271" w:rsidP="00432271">
            <w:pPr>
              <w:jc w:val="right"/>
              <w:rPr>
                <w:rFonts w:ascii="SWISS" w:hAnsi="SWISS" w:cs="Arial"/>
                <w:color w:val="000000"/>
                <w:sz w:val="20"/>
                <w:szCs w:val="20"/>
                <w:u w:val="double"/>
              </w:rPr>
            </w:pPr>
            <w:r w:rsidRPr="009D0D41">
              <w:rPr>
                <w:rFonts w:ascii="SWISS" w:hAnsi="SWISS" w:cs="Arial"/>
                <w:color w:val="000000"/>
                <w:sz w:val="20"/>
                <w:szCs w:val="20"/>
                <w:u w:val="double"/>
              </w:rPr>
              <w:t>7.74%</w:t>
            </w:r>
          </w:p>
        </w:tc>
        <w:tc>
          <w:tcPr>
            <w:tcW w:w="1183" w:type="dxa"/>
            <w:tcBorders>
              <w:top w:val="nil"/>
              <w:left w:val="nil"/>
              <w:bottom w:val="nil"/>
              <w:right w:val="nil"/>
            </w:tcBorders>
            <w:shd w:val="clear" w:color="auto" w:fill="auto"/>
            <w:noWrap/>
            <w:vAlign w:val="bottom"/>
          </w:tcPr>
          <w:p w:rsidR="00432271" w:rsidRPr="009D0D41" w:rsidRDefault="00432271" w:rsidP="00432271">
            <w:pPr>
              <w:jc w:val="right"/>
              <w:rPr>
                <w:rFonts w:ascii="SWISS" w:hAnsi="SWISS" w:cs="Arial"/>
                <w:color w:val="000000"/>
                <w:sz w:val="20"/>
                <w:szCs w:val="20"/>
                <w:u w:val="double"/>
              </w:rPr>
            </w:pPr>
            <w:r w:rsidRPr="009D0D41">
              <w:rPr>
                <w:rFonts w:ascii="SWISS" w:hAnsi="SWISS" w:cs="Arial"/>
                <w:color w:val="000000"/>
                <w:sz w:val="20"/>
                <w:szCs w:val="20"/>
                <w:u w:val="double"/>
              </w:rPr>
              <w:t>9.74%</w:t>
            </w:r>
          </w:p>
        </w:tc>
        <w:tc>
          <w:tcPr>
            <w:tcW w:w="1460" w:type="dxa"/>
            <w:tcBorders>
              <w:top w:val="nil"/>
              <w:left w:val="nil"/>
              <w:bottom w:val="nil"/>
              <w:right w:val="single" w:sz="8" w:space="0" w:color="auto"/>
            </w:tcBorders>
            <w:shd w:val="clear" w:color="auto" w:fill="auto"/>
            <w:noWrap/>
            <w:vAlign w:val="bottom"/>
          </w:tcPr>
          <w:p w:rsidR="00432271" w:rsidRPr="009D0D41" w:rsidRDefault="00432271" w:rsidP="00432271">
            <w:pPr>
              <w:rPr>
                <w:rFonts w:ascii="SWISS" w:hAnsi="SWISS" w:cs="Arial"/>
                <w:color w:val="000000"/>
                <w:sz w:val="20"/>
                <w:szCs w:val="20"/>
              </w:rPr>
            </w:pPr>
            <w:r w:rsidRPr="009D0D41">
              <w:rPr>
                <w:rFonts w:ascii="SWISS" w:hAnsi="SWISS" w:cs="Arial"/>
                <w:color w:val="000000"/>
                <w:sz w:val="20"/>
                <w:szCs w:val="20"/>
              </w:rPr>
              <w:t> </w:t>
            </w:r>
          </w:p>
        </w:tc>
      </w:tr>
      <w:tr w:rsidR="00432271" w:rsidRPr="00F52F8B" w:rsidTr="00930BAA">
        <w:trPr>
          <w:trHeight w:val="292"/>
          <w:jc w:val="center"/>
        </w:trPr>
        <w:tc>
          <w:tcPr>
            <w:tcW w:w="483"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21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4294" w:type="dxa"/>
            <w:gridSpan w:val="3"/>
            <w:tcBorders>
              <w:top w:val="nil"/>
              <w:left w:val="nil"/>
              <w:bottom w:val="nil"/>
              <w:right w:val="nil"/>
            </w:tcBorders>
            <w:shd w:val="clear" w:color="auto" w:fill="auto"/>
            <w:noWrap/>
            <w:vAlign w:val="bottom"/>
          </w:tcPr>
          <w:p w:rsidR="00432271" w:rsidRPr="009D0D41" w:rsidRDefault="00432271" w:rsidP="00432271">
            <w:pPr>
              <w:rPr>
                <w:rFonts w:ascii="SWISS" w:hAnsi="SWISS" w:cs="Arial"/>
                <w:color w:val="000000"/>
                <w:sz w:val="20"/>
                <w:szCs w:val="20"/>
              </w:rPr>
            </w:pPr>
            <w:r w:rsidRPr="009D0D41">
              <w:rPr>
                <w:rFonts w:ascii="SWISS" w:hAnsi="SWISS" w:cs="Arial"/>
                <w:color w:val="000000"/>
                <w:sz w:val="20"/>
                <w:szCs w:val="20"/>
              </w:rPr>
              <w:t xml:space="preserve">    OVERALL RATE OF RETURN</w:t>
            </w:r>
          </w:p>
        </w:tc>
        <w:tc>
          <w:tcPr>
            <w:tcW w:w="1255" w:type="dxa"/>
            <w:tcBorders>
              <w:top w:val="nil"/>
              <w:left w:val="nil"/>
              <w:bottom w:val="nil"/>
              <w:right w:val="nil"/>
            </w:tcBorders>
            <w:shd w:val="clear" w:color="auto" w:fill="auto"/>
            <w:noWrap/>
            <w:vAlign w:val="bottom"/>
          </w:tcPr>
          <w:p w:rsidR="00432271" w:rsidRPr="009D0D41" w:rsidRDefault="00432271" w:rsidP="00432271">
            <w:pPr>
              <w:jc w:val="right"/>
              <w:rPr>
                <w:rFonts w:ascii="SWISS" w:hAnsi="SWISS" w:cs="Arial"/>
                <w:color w:val="000000"/>
                <w:sz w:val="20"/>
                <w:szCs w:val="20"/>
                <w:u w:val="double"/>
              </w:rPr>
            </w:pPr>
            <w:r w:rsidRPr="009D0D41">
              <w:rPr>
                <w:rFonts w:ascii="SWISS" w:hAnsi="SWISS" w:cs="Arial"/>
                <w:color w:val="000000"/>
                <w:sz w:val="20"/>
                <w:szCs w:val="20"/>
                <w:u w:val="double"/>
              </w:rPr>
              <w:t>7.56%</w:t>
            </w:r>
          </w:p>
        </w:tc>
        <w:tc>
          <w:tcPr>
            <w:tcW w:w="1183" w:type="dxa"/>
            <w:tcBorders>
              <w:top w:val="nil"/>
              <w:left w:val="nil"/>
              <w:bottom w:val="nil"/>
              <w:right w:val="nil"/>
            </w:tcBorders>
            <w:shd w:val="clear" w:color="auto" w:fill="auto"/>
            <w:noWrap/>
            <w:vAlign w:val="bottom"/>
          </w:tcPr>
          <w:p w:rsidR="00432271" w:rsidRPr="009D0D41" w:rsidRDefault="00432271" w:rsidP="00432271">
            <w:pPr>
              <w:jc w:val="right"/>
              <w:rPr>
                <w:rFonts w:ascii="SWISS" w:hAnsi="SWISS" w:cs="Arial"/>
                <w:color w:val="000000"/>
                <w:sz w:val="20"/>
                <w:szCs w:val="20"/>
                <w:u w:val="double"/>
              </w:rPr>
            </w:pPr>
            <w:r w:rsidRPr="009D0D41">
              <w:rPr>
                <w:rFonts w:ascii="SWISS" w:hAnsi="SWISS" w:cs="Arial"/>
                <w:color w:val="000000"/>
                <w:sz w:val="20"/>
                <w:szCs w:val="20"/>
                <w:u w:val="double"/>
              </w:rPr>
              <w:t>9.50%</w:t>
            </w:r>
          </w:p>
        </w:tc>
        <w:tc>
          <w:tcPr>
            <w:tcW w:w="1460" w:type="dxa"/>
            <w:tcBorders>
              <w:top w:val="nil"/>
              <w:left w:val="nil"/>
              <w:bottom w:val="nil"/>
              <w:right w:val="single" w:sz="8" w:space="0" w:color="auto"/>
            </w:tcBorders>
            <w:shd w:val="clear" w:color="auto" w:fill="auto"/>
            <w:noWrap/>
            <w:vAlign w:val="bottom"/>
          </w:tcPr>
          <w:p w:rsidR="00432271" w:rsidRPr="009D0D41" w:rsidRDefault="00432271" w:rsidP="00432271">
            <w:pPr>
              <w:rPr>
                <w:rFonts w:ascii="SWISS" w:hAnsi="SWISS" w:cs="Arial"/>
                <w:color w:val="000000"/>
                <w:sz w:val="20"/>
                <w:szCs w:val="20"/>
              </w:rPr>
            </w:pPr>
            <w:r w:rsidRPr="009D0D41">
              <w:rPr>
                <w:rFonts w:ascii="SWISS" w:hAnsi="SWISS" w:cs="Arial"/>
                <w:color w:val="000000"/>
                <w:sz w:val="20"/>
                <w:szCs w:val="20"/>
              </w:rPr>
              <w:t> </w:t>
            </w:r>
          </w:p>
        </w:tc>
      </w:tr>
      <w:tr w:rsidR="00432271" w:rsidRPr="00F52F8B" w:rsidTr="00930BAA">
        <w:trPr>
          <w:trHeight w:val="303"/>
          <w:jc w:val="center"/>
        </w:trPr>
        <w:tc>
          <w:tcPr>
            <w:tcW w:w="483" w:type="dxa"/>
            <w:tcBorders>
              <w:top w:val="nil"/>
              <w:left w:val="single" w:sz="8" w:space="0" w:color="auto"/>
              <w:bottom w:val="single" w:sz="8" w:space="0" w:color="auto"/>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single" w:sz="8" w:space="0" w:color="auto"/>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124" w:type="dxa"/>
            <w:tcBorders>
              <w:top w:val="nil"/>
              <w:left w:val="nil"/>
              <w:bottom w:val="single" w:sz="8" w:space="0" w:color="auto"/>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213" w:type="dxa"/>
            <w:tcBorders>
              <w:top w:val="nil"/>
              <w:left w:val="nil"/>
              <w:bottom w:val="single" w:sz="8" w:space="0" w:color="auto"/>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755" w:type="dxa"/>
            <w:tcBorders>
              <w:top w:val="nil"/>
              <w:left w:val="nil"/>
              <w:bottom w:val="single" w:sz="8" w:space="0" w:color="auto"/>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256" w:type="dxa"/>
            <w:tcBorders>
              <w:top w:val="nil"/>
              <w:left w:val="nil"/>
              <w:bottom w:val="single" w:sz="8" w:space="0" w:color="auto"/>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283" w:type="dxa"/>
            <w:tcBorders>
              <w:top w:val="nil"/>
              <w:left w:val="nil"/>
              <w:bottom w:val="single" w:sz="8" w:space="0" w:color="auto"/>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255" w:type="dxa"/>
            <w:tcBorders>
              <w:top w:val="nil"/>
              <w:left w:val="nil"/>
              <w:bottom w:val="single" w:sz="8" w:space="0" w:color="auto"/>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183" w:type="dxa"/>
            <w:tcBorders>
              <w:top w:val="nil"/>
              <w:left w:val="nil"/>
              <w:bottom w:val="single" w:sz="8" w:space="0" w:color="auto"/>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460" w:type="dxa"/>
            <w:tcBorders>
              <w:top w:val="nil"/>
              <w:left w:val="nil"/>
              <w:bottom w:val="single" w:sz="8" w:space="0" w:color="auto"/>
              <w:right w:val="single" w:sz="8" w:space="0" w:color="auto"/>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r>
    </w:tbl>
    <w:p w:rsidR="00432271" w:rsidRDefault="00432271" w:rsidP="00E275D8">
      <w:pPr>
        <w:pStyle w:val="BodyText"/>
        <w:sectPr w:rsidR="00432271" w:rsidSect="0055662A">
          <w:headerReference w:type="default" r:id="rId21"/>
          <w:footerReference w:type="default" r:id="rId22"/>
          <w:pgSz w:w="15840" w:h="12240" w:orient="landscape" w:code="1"/>
          <w:pgMar w:top="1440" w:right="1584" w:bottom="1440" w:left="1440" w:header="720" w:footer="720" w:gutter="0"/>
          <w:cols w:space="720"/>
          <w:formProt w:val="0"/>
          <w:docGrid w:linePitch="360"/>
        </w:sectPr>
      </w:pPr>
    </w:p>
    <w:tbl>
      <w:tblPr>
        <w:tblW w:w="13620" w:type="dxa"/>
        <w:jc w:val="center"/>
        <w:tblCellMar>
          <w:left w:w="0" w:type="dxa"/>
          <w:right w:w="0" w:type="dxa"/>
        </w:tblCellMar>
        <w:tblLook w:val="0000" w:firstRow="0" w:lastRow="0" w:firstColumn="0" w:lastColumn="0" w:noHBand="0" w:noVBand="0"/>
      </w:tblPr>
      <w:tblGrid>
        <w:gridCol w:w="742"/>
        <w:gridCol w:w="3625"/>
        <w:gridCol w:w="1873"/>
        <w:gridCol w:w="1873"/>
        <w:gridCol w:w="1873"/>
        <w:gridCol w:w="1873"/>
        <w:gridCol w:w="1873"/>
      </w:tblGrid>
      <w:tr w:rsidR="00432271" w:rsidRPr="00F52F8B" w:rsidTr="00930BAA">
        <w:trPr>
          <w:trHeight w:val="294"/>
          <w:jc w:val="center"/>
        </w:trPr>
        <w:tc>
          <w:tcPr>
            <w:tcW w:w="726" w:type="dxa"/>
            <w:tcBorders>
              <w:top w:val="single" w:sz="8" w:space="0" w:color="auto"/>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lastRenderedPageBreak/>
              <w:br w:type="page"/>
            </w:r>
            <w:r w:rsidRPr="00F52F8B">
              <w:rPr>
                <w:rFonts w:ascii="SWISS" w:hAnsi="SWISS" w:cs="Arial"/>
                <w:sz w:val="20"/>
                <w:szCs w:val="20"/>
              </w:rPr>
              <w:t> </w:t>
            </w:r>
          </w:p>
        </w:tc>
        <w:tc>
          <w:tcPr>
            <w:tcW w:w="5466" w:type="dxa"/>
            <w:gridSpan w:val="2"/>
            <w:tcBorders>
              <w:top w:val="single" w:sz="8" w:space="0" w:color="auto"/>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b/>
                <w:bCs/>
                <w:sz w:val="20"/>
                <w:szCs w:val="20"/>
              </w:rPr>
              <w:t>ALTURAS UTILITIES, L</w:t>
            </w:r>
            <w:r>
              <w:rPr>
                <w:rFonts w:ascii="SWISS" w:hAnsi="SWISS" w:cs="Arial"/>
                <w:b/>
                <w:bCs/>
                <w:sz w:val="20"/>
                <w:szCs w:val="20"/>
              </w:rPr>
              <w:t>.</w:t>
            </w:r>
            <w:r w:rsidRPr="00F52F8B">
              <w:rPr>
                <w:rFonts w:ascii="SWISS" w:hAnsi="SWISS" w:cs="Arial"/>
                <w:b/>
                <w:bCs/>
                <w:sz w:val="20"/>
                <w:szCs w:val="20"/>
              </w:rPr>
              <w:t>L</w:t>
            </w:r>
            <w:r>
              <w:rPr>
                <w:rFonts w:ascii="SWISS" w:hAnsi="SWISS" w:cs="Arial"/>
                <w:b/>
                <w:bCs/>
                <w:sz w:val="20"/>
                <w:szCs w:val="20"/>
              </w:rPr>
              <w:t>.</w:t>
            </w:r>
            <w:r w:rsidRPr="00F52F8B">
              <w:rPr>
                <w:rFonts w:ascii="SWISS" w:hAnsi="SWISS" w:cs="Arial"/>
                <w:b/>
                <w:bCs/>
                <w:sz w:val="20"/>
                <w:szCs w:val="20"/>
              </w:rPr>
              <w:t>C</w:t>
            </w:r>
            <w:r>
              <w:rPr>
                <w:rFonts w:ascii="SWISS" w:hAnsi="SWISS" w:cs="Arial"/>
                <w:b/>
                <w:bCs/>
                <w:sz w:val="20"/>
                <w:szCs w:val="20"/>
              </w:rPr>
              <w:t>.</w:t>
            </w:r>
          </w:p>
        </w:tc>
        <w:tc>
          <w:tcPr>
            <w:tcW w:w="1857" w:type="dxa"/>
            <w:tcBorders>
              <w:top w:val="single" w:sz="8" w:space="0" w:color="auto"/>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c>
          <w:tcPr>
            <w:tcW w:w="1857" w:type="dxa"/>
            <w:tcBorders>
              <w:top w:val="single" w:sz="8" w:space="0" w:color="auto"/>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c>
          <w:tcPr>
            <w:tcW w:w="3714" w:type="dxa"/>
            <w:gridSpan w:val="2"/>
            <w:tcBorders>
              <w:top w:val="single" w:sz="8" w:space="0" w:color="auto"/>
              <w:left w:val="nil"/>
              <w:bottom w:val="nil"/>
              <w:right w:val="single" w:sz="8" w:space="0" w:color="auto"/>
            </w:tcBorders>
            <w:shd w:val="clear" w:color="auto" w:fill="auto"/>
            <w:noWrap/>
            <w:vAlign w:val="bottom"/>
          </w:tcPr>
          <w:p w:rsidR="00432271" w:rsidRPr="00F52F8B" w:rsidRDefault="00432271" w:rsidP="00DF395A">
            <w:pPr>
              <w:jc w:val="right"/>
              <w:rPr>
                <w:rFonts w:ascii="SWISS" w:hAnsi="SWISS" w:cs="Arial"/>
                <w:b/>
                <w:bCs/>
                <w:sz w:val="20"/>
                <w:szCs w:val="20"/>
              </w:rPr>
            </w:pPr>
            <w:r w:rsidRPr="00F52F8B">
              <w:rPr>
                <w:rFonts w:ascii="SWISS" w:hAnsi="SWISS" w:cs="Arial"/>
                <w:b/>
                <w:bCs/>
                <w:sz w:val="20"/>
                <w:szCs w:val="20"/>
              </w:rPr>
              <w:t xml:space="preserve">                             SCHEDULE NO. 3-A</w:t>
            </w:r>
            <w:r w:rsidRPr="00F52F8B">
              <w:rPr>
                <w:sz w:val="20"/>
                <w:szCs w:val="20"/>
              </w:rPr>
              <w:fldChar w:fldCharType="begin"/>
            </w:r>
            <w:r w:rsidRPr="00F52F8B">
              <w:rPr>
                <w:sz w:val="20"/>
                <w:szCs w:val="20"/>
              </w:rPr>
              <w:instrText xml:space="preserve"> TC "</w:instrText>
            </w:r>
            <w:bookmarkStart w:id="46" w:name="_Toc399147319"/>
            <w:r w:rsidRPr="00F52F8B">
              <w:rPr>
                <w:sz w:val="20"/>
                <w:szCs w:val="20"/>
              </w:rPr>
              <w:tab/>
            </w:r>
            <w:bookmarkStart w:id="47" w:name="_Toc422220889"/>
            <w:bookmarkStart w:id="48" w:name="_Toc442961347"/>
            <w:bookmarkStart w:id="49" w:name="_Toc443485029"/>
            <w:r w:rsidRPr="00F52F8B">
              <w:rPr>
                <w:sz w:val="20"/>
                <w:szCs w:val="20"/>
              </w:rPr>
              <w:instrText>Schedule No. 3-A  Water Operating Income</w:instrText>
            </w:r>
            <w:bookmarkEnd w:id="46"/>
            <w:bookmarkEnd w:id="47"/>
            <w:bookmarkEnd w:id="48"/>
            <w:bookmarkEnd w:id="49"/>
            <w:r w:rsidRPr="00F52F8B">
              <w:rPr>
                <w:sz w:val="20"/>
                <w:szCs w:val="20"/>
              </w:rPr>
              <w:instrText xml:space="preserve">”\l 1 </w:instrText>
            </w:r>
            <w:r w:rsidRPr="00F52F8B">
              <w:rPr>
                <w:sz w:val="20"/>
                <w:szCs w:val="20"/>
              </w:rPr>
              <w:fldChar w:fldCharType="end"/>
            </w:r>
          </w:p>
        </w:tc>
      </w:tr>
      <w:tr w:rsidR="00432271" w:rsidRPr="00F52F8B" w:rsidTr="00930BAA">
        <w:trPr>
          <w:trHeight w:val="294"/>
          <w:jc w:val="center"/>
        </w:trPr>
        <w:tc>
          <w:tcPr>
            <w:tcW w:w="726" w:type="dxa"/>
            <w:tcBorders>
              <w:top w:val="nil"/>
              <w:left w:val="single" w:sz="8" w:space="0" w:color="auto"/>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3609" w:type="dxa"/>
            <w:tcBorders>
              <w:top w:val="nil"/>
              <w:left w:val="nil"/>
              <w:right w:val="nil"/>
            </w:tcBorders>
            <w:shd w:val="clear" w:color="auto" w:fill="auto"/>
            <w:noWrap/>
            <w:vAlign w:val="bottom"/>
          </w:tcPr>
          <w:p w:rsidR="00432271" w:rsidRPr="00F52F8B" w:rsidRDefault="00432271" w:rsidP="00432271">
            <w:pPr>
              <w:rPr>
                <w:rFonts w:ascii="SWISS" w:hAnsi="SWISS" w:cs="Arial"/>
                <w:b/>
                <w:bCs/>
                <w:color w:val="000000"/>
                <w:sz w:val="20"/>
                <w:szCs w:val="20"/>
              </w:rPr>
            </w:pPr>
            <w:r w:rsidRPr="00F52F8B">
              <w:rPr>
                <w:rFonts w:ascii="SWISS" w:hAnsi="SWISS" w:cs="Arial"/>
                <w:b/>
                <w:bCs/>
                <w:color w:val="000000"/>
                <w:sz w:val="20"/>
                <w:szCs w:val="20"/>
              </w:rPr>
              <w:t>TEST YEAR ENDED  12/31/14</w:t>
            </w:r>
          </w:p>
        </w:tc>
        <w:tc>
          <w:tcPr>
            <w:tcW w:w="1857" w:type="dxa"/>
            <w:tcBorders>
              <w:top w:val="nil"/>
              <w:left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857" w:type="dxa"/>
            <w:tcBorders>
              <w:top w:val="nil"/>
              <w:left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857" w:type="dxa"/>
            <w:tcBorders>
              <w:top w:val="nil"/>
              <w:left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3714" w:type="dxa"/>
            <w:gridSpan w:val="2"/>
            <w:tcBorders>
              <w:top w:val="nil"/>
              <w:left w:val="nil"/>
              <w:right w:val="single" w:sz="8" w:space="0" w:color="auto"/>
            </w:tcBorders>
            <w:shd w:val="clear" w:color="auto" w:fill="auto"/>
            <w:noWrap/>
            <w:vAlign w:val="bottom"/>
          </w:tcPr>
          <w:p w:rsidR="00432271" w:rsidRPr="00F52F8B" w:rsidRDefault="00432271" w:rsidP="00DF395A">
            <w:pPr>
              <w:jc w:val="right"/>
              <w:rPr>
                <w:rFonts w:ascii="SWISS" w:hAnsi="SWISS" w:cs="Arial"/>
                <w:b/>
                <w:bCs/>
                <w:color w:val="000000"/>
                <w:sz w:val="20"/>
                <w:szCs w:val="20"/>
              </w:rPr>
            </w:pPr>
            <w:r w:rsidRPr="00F52F8B">
              <w:rPr>
                <w:rFonts w:ascii="SWISS" w:hAnsi="SWISS" w:cs="Arial"/>
                <w:b/>
                <w:bCs/>
                <w:color w:val="000000"/>
                <w:sz w:val="20"/>
                <w:szCs w:val="20"/>
              </w:rPr>
              <w:t xml:space="preserve">                      DOCKET NO. 140219-WU</w:t>
            </w:r>
          </w:p>
        </w:tc>
      </w:tr>
      <w:tr w:rsidR="00432271" w:rsidRPr="00F52F8B" w:rsidTr="00A53F56">
        <w:trPr>
          <w:trHeight w:val="306"/>
          <w:jc w:val="center"/>
        </w:trPr>
        <w:tc>
          <w:tcPr>
            <w:tcW w:w="726" w:type="dxa"/>
            <w:tcBorders>
              <w:top w:val="nil"/>
              <w:left w:val="single" w:sz="8" w:space="0" w:color="auto"/>
              <w:bottom w:val="single" w:sz="8" w:space="0" w:color="auto"/>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7323" w:type="dxa"/>
            <w:gridSpan w:val="3"/>
            <w:tcBorders>
              <w:top w:val="nil"/>
              <w:left w:val="nil"/>
              <w:bottom w:val="single" w:sz="8" w:space="0" w:color="auto"/>
              <w:right w:val="nil"/>
            </w:tcBorders>
            <w:shd w:val="clear" w:color="auto" w:fill="auto"/>
            <w:noWrap/>
            <w:vAlign w:val="bottom"/>
          </w:tcPr>
          <w:p w:rsidR="00432271" w:rsidRPr="00F52F8B" w:rsidRDefault="00432271" w:rsidP="00432271">
            <w:pPr>
              <w:rPr>
                <w:rFonts w:ascii="SWISS" w:hAnsi="SWISS" w:cs="Arial"/>
                <w:b/>
                <w:bCs/>
                <w:color w:val="000000"/>
                <w:sz w:val="20"/>
                <w:szCs w:val="20"/>
              </w:rPr>
            </w:pPr>
            <w:r w:rsidRPr="00F52F8B">
              <w:rPr>
                <w:rFonts w:ascii="SWISS" w:hAnsi="SWISS" w:cs="Arial"/>
                <w:b/>
                <w:bCs/>
                <w:color w:val="000000"/>
                <w:sz w:val="20"/>
                <w:szCs w:val="20"/>
              </w:rPr>
              <w:t>SCHEDULE OF WATER OPERATING INCOME</w:t>
            </w:r>
          </w:p>
        </w:tc>
        <w:tc>
          <w:tcPr>
            <w:tcW w:w="1857" w:type="dxa"/>
            <w:tcBorders>
              <w:top w:val="nil"/>
              <w:left w:val="nil"/>
              <w:bottom w:val="single" w:sz="8" w:space="0" w:color="auto"/>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857" w:type="dxa"/>
            <w:tcBorders>
              <w:top w:val="nil"/>
              <w:left w:val="nil"/>
              <w:bottom w:val="single" w:sz="8" w:space="0" w:color="auto"/>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857" w:type="dxa"/>
            <w:tcBorders>
              <w:top w:val="nil"/>
              <w:left w:val="nil"/>
              <w:bottom w:val="single" w:sz="8" w:space="0" w:color="auto"/>
              <w:right w:val="single" w:sz="8" w:space="0" w:color="auto"/>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r>
      <w:tr w:rsidR="00432271" w:rsidRPr="00F52F8B" w:rsidTr="00A53F56">
        <w:trPr>
          <w:trHeight w:val="294"/>
          <w:jc w:val="center"/>
        </w:trPr>
        <w:tc>
          <w:tcPr>
            <w:tcW w:w="726" w:type="dxa"/>
            <w:tcBorders>
              <w:top w:val="single" w:sz="8" w:space="0" w:color="auto"/>
              <w:left w:val="single" w:sz="8" w:space="0" w:color="auto"/>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3609" w:type="dxa"/>
            <w:tcBorders>
              <w:top w:val="single" w:sz="8" w:space="0" w:color="auto"/>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857" w:type="dxa"/>
            <w:tcBorders>
              <w:top w:val="single" w:sz="8" w:space="0" w:color="auto"/>
            </w:tcBorders>
            <w:shd w:val="clear" w:color="auto" w:fill="auto"/>
            <w:noWrap/>
            <w:vAlign w:val="bottom"/>
          </w:tcPr>
          <w:p w:rsidR="00432271" w:rsidRPr="00F52F8B" w:rsidRDefault="00432271" w:rsidP="00432271">
            <w:pPr>
              <w:rPr>
                <w:rFonts w:ascii="SWISS" w:hAnsi="SWISS" w:cs="Arial"/>
                <w:b/>
                <w:bCs/>
                <w:color w:val="000000"/>
                <w:sz w:val="20"/>
                <w:szCs w:val="20"/>
              </w:rPr>
            </w:pPr>
            <w:r w:rsidRPr="00F52F8B">
              <w:rPr>
                <w:rFonts w:ascii="SWISS" w:hAnsi="SWISS" w:cs="Arial"/>
                <w:b/>
                <w:bCs/>
                <w:color w:val="000000"/>
                <w:sz w:val="20"/>
                <w:szCs w:val="20"/>
              </w:rPr>
              <w:t> </w:t>
            </w:r>
          </w:p>
        </w:tc>
        <w:tc>
          <w:tcPr>
            <w:tcW w:w="1857" w:type="dxa"/>
            <w:tcBorders>
              <w:top w:val="single" w:sz="8" w:space="0" w:color="auto"/>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 </w:t>
            </w:r>
          </w:p>
        </w:tc>
        <w:tc>
          <w:tcPr>
            <w:tcW w:w="1857" w:type="dxa"/>
            <w:tcBorders>
              <w:top w:val="single" w:sz="8" w:space="0" w:color="auto"/>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STAFF</w:t>
            </w:r>
          </w:p>
        </w:tc>
        <w:tc>
          <w:tcPr>
            <w:tcW w:w="1857" w:type="dxa"/>
            <w:tcBorders>
              <w:top w:val="single" w:sz="8" w:space="0" w:color="auto"/>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ADJUST.</w:t>
            </w:r>
          </w:p>
        </w:tc>
        <w:tc>
          <w:tcPr>
            <w:tcW w:w="1857" w:type="dxa"/>
            <w:tcBorders>
              <w:top w:val="single" w:sz="8" w:space="0" w:color="auto"/>
              <w:right w:val="single" w:sz="8" w:space="0" w:color="auto"/>
            </w:tcBorders>
            <w:shd w:val="clear" w:color="auto" w:fill="auto"/>
            <w:noWrap/>
            <w:vAlign w:val="bottom"/>
          </w:tcPr>
          <w:p w:rsidR="00432271" w:rsidRPr="00F52F8B" w:rsidRDefault="00432271" w:rsidP="00432271">
            <w:pPr>
              <w:rPr>
                <w:rFonts w:ascii="SWISS" w:hAnsi="SWISS" w:cs="Arial"/>
                <w:b/>
                <w:bCs/>
                <w:color w:val="000000"/>
                <w:sz w:val="20"/>
                <w:szCs w:val="20"/>
              </w:rPr>
            </w:pPr>
            <w:r w:rsidRPr="00F52F8B">
              <w:rPr>
                <w:rFonts w:ascii="SWISS" w:hAnsi="SWISS" w:cs="Arial"/>
                <w:b/>
                <w:bCs/>
                <w:color w:val="000000"/>
                <w:sz w:val="20"/>
                <w:szCs w:val="20"/>
              </w:rPr>
              <w:t> </w:t>
            </w:r>
          </w:p>
        </w:tc>
      </w:tr>
      <w:tr w:rsidR="00432271" w:rsidRPr="00F52F8B" w:rsidTr="00A53F56">
        <w:trPr>
          <w:trHeight w:val="294"/>
          <w:jc w:val="center"/>
        </w:trPr>
        <w:tc>
          <w:tcPr>
            <w:tcW w:w="726" w:type="dxa"/>
            <w:tcBorders>
              <w:left w:val="single" w:sz="8" w:space="0" w:color="auto"/>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3609" w:type="dxa"/>
            <w:shd w:val="clear" w:color="auto" w:fill="auto"/>
            <w:noWrap/>
            <w:vAlign w:val="bottom"/>
          </w:tcPr>
          <w:p w:rsidR="00432271" w:rsidRPr="00F52F8B" w:rsidRDefault="00432271" w:rsidP="00432271">
            <w:pPr>
              <w:rPr>
                <w:rFonts w:ascii="SWISS" w:hAnsi="SWISS" w:cs="Arial"/>
                <w:color w:val="000000"/>
                <w:sz w:val="20"/>
                <w:szCs w:val="20"/>
              </w:rPr>
            </w:pPr>
          </w:p>
        </w:tc>
        <w:tc>
          <w:tcPr>
            <w:tcW w:w="1857" w:type="dxa"/>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TEST YEAR</w:t>
            </w:r>
          </w:p>
        </w:tc>
        <w:tc>
          <w:tcPr>
            <w:tcW w:w="1857" w:type="dxa"/>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 xml:space="preserve">STAFF </w:t>
            </w:r>
          </w:p>
        </w:tc>
        <w:tc>
          <w:tcPr>
            <w:tcW w:w="1857" w:type="dxa"/>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ADJUSTED</w:t>
            </w:r>
          </w:p>
        </w:tc>
        <w:tc>
          <w:tcPr>
            <w:tcW w:w="1857" w:type="dxa"/>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FOR</w:t>
            </w:r>
          </w:p>
        </w:tc>
        <w:tc>
          <w:tcPr>
            <w:tcW w:w="1857" w:type="dxa"/>
            <w:tcBorders>
              <w:right w:val="single" w:sz="8" w:space="0" w:color="auto"/>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REVENUE</w:t>
            </w:r>
          </w:p>
        </w:tc>
      </w:tr>
      <w:tr w:rsidR="00432271" w:rsidRPr="00F52F8B" w:rsidTr="00A53F56">
        <w:trPr>
          <w:trHeight w:val="306"/>
          <w:jc w:val="center"/>
        </w:trPr>
        <w:tc>
          <w:tcPr>
            <w:tcW w:w="726" w:type="dxa"/>
            <w:tcBorders>
              <w:left w:val="single" w:sz="8" w:space="0" w:color="auto"/>
              <w:bottom w:val="single" w:sz="8" w:space="0" w:color="auto"/>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3609" w:type="dxa"/>
            <w:tcBorders>
              <w:bottom w:val="single" w:sz="8" w:space="0" w:color="auto"/>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857" w:type="dxa"/>
            <w:tcBorders>
              <w:bottom w:val="single" w:sz="8" w:space="0" w:color="auto"/>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PER UTILITY</w:t>
            </w:r>
          </w:p>
        </w:tc>
        <w:tc>
          <w:tcPr>
            <w:tcW w:w="1857" w:type="dxa"/>
            <w:tcBorders>
              <w:bottom w:val="single" w:sz="8" w:space="0" w:color="auto"/>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ADJUSTMENTS</w:t>
            </w:r>
          </w:p>
        </w:tc>
        <w:tc>
          <w:tcPr>
            <w:tcW w:w="1857" w:type="dxa"/>
            <w:tcBorders>
              <w:bottom w:val="single" w:sz="8" w:space="0" w:color="auto"/>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TEST YEAR</w:t>
            </w:r>
          </w:p>
        </w:tc>
        <w:tc>
          <w:tcPr>
            <w:tcW w:w="1857" w:type="dxa"/>
            <w:tcBorders>
              <w:bottom w:val="single" w:sz="8" w:space="0" w:color="auto"/>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INCREASE</w:t>
            </w:r>
          </w:p>
        </w:tc>
        <w:tc>
          <w:tcPr>
            <w:tcW w:w="1857" w:type="dxa"/>
            <w:tcBorders>
              <w:bottom w:val="single" w:sz="8" w:space="0" w:color="auto"/>
              <w:right w:val="single" w:sz="8" w:space="0" w:color="auto"/>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REQUIREMENT</w:t>
            </w:r>
          </w:p>
        </w:tc>
      </w:tr>
      <w:tr w:rsidR="00432271" w:rsidRPr="00F52F8B" w:rsidTr="00A53F56">
        <w:trPr>
          <w:trHeight w:val="294"/>
          <w:jc w:val="center"/>
        </w:trPr>
        <w:tc>
          <w:tcPr>
            <w:tcW w:w="726" w:type="dxa"/>
            <w:tcBorders>
              <w:top w:val="single" w:sz="8" w:space="0" w:color="auto"/>
              <w:left w:val="single" w:sz="8" w:space="0" w:color="auto"/>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3609" w:type="dxa"/>
            <w:tcBorders>
              <w:top w:val="single" w:sz="8" w:space="0" w:color="auto"/>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857" w:type="dxa"/>
            <w:tcBorders>
              <w:top w:val="single" w:sz="8" w:space="0" w:color="auto"/>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857" w:type="dxa"/>
            <w:tcBorders>
              <w:top w:val="single" w:sz="8" w:space="0" w:color="auto"/>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857" w:type="dxa"/>
            <w:tcBorders>
              <w:top w:val="single" w:sz="8" w:space="0" w:color="auto"/>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857" w:type="dxa"/>
            <w:tcBorders>
              <w:top w:val="single" w:sz="8" w:space="0" w:color="auto"/>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857" w:type="dxa"/>
            <w:tcBorders>
              <w:top w:val="single" w:sz="8" w:space="0" w:color="auto"/>
              <w:left w:val="nil"/>
              <w:bottom w:val="nil"/>
              <w:right w:val="single" w:sz="8" w:space="0" w:color="auto"/>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r>
      <w:tr w:rsidR="00432271" w:rsidRPr="00F52F8B" w:rsidTr="00930BAA">
        <w:trPr>
          <w:trHeight w:val="294"/>
          <w:jc w:val="center"/>
        </w:trPr>
        <w:tc>
          <w:tcPr>
            <w:tcW w:w="726" w:type="dxa"/>
            <w:tcBorders>
              <w:top w:val="nil"/>
              <w:left w:val="single" w:sz="8" w:space="0" w:color="auto"/>
              <w:bottom w:val="nil"/>
              <w:right w:val="nil"/>
            </w:tcBorders>
            <w:shd w:val="clear" w:color="auto" w:fill="auto"/>
            <w:noWrap/>
            <w:vAlign w:val="bottom"/>
          </w:tcPr>
          <w:p w:rsidR="00432271" w:rsidRPr="00F52F8B" w:rsidRDefault="00432271" w:rsidP="00432271">
            <w:pPr>
              <w:jc w:val="center"/>
              <w:rPr>
                <w:rFonts w:ascii="SWISS" w:hAnsi="SWISS" w:cs="Arial"/>
                <w:color w:val="000000"/>
                <w:sz w:val="20"/>
                <w:szCs w:val="20"/>
              </w:rPr>
            </w:pPr>
            <w:r w:rsidRPr="00F52F8B">
              <w:rPr>
                <w:rFonts w:ascii="SWISS" w:hAnsi="SWISS" w:cs="Arial"/>
                <w:color w:val="000000"/>
                <w:sz w:val="20"/>
                <w:szCs w:val="20"/>
              </w:rPr>
              <w:t xml:space="preserve">  1.</w:t>
            </w:r>
          </w:p>
        </w:tc>
        <w:tc>
          <w:tcPr>
            <w:tcW w:w="3609"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b/>
                <w:bCs/>
                <w:color w:val="000000"/>
                <w:sz w:val="20"/>
                <w:szCs w:val="20"/>
              </w:rPr>
            </w:pPr>
            <w:r w:rsidRPr="00F52F8B">
              <w:rPr>
                <w:rFonts w:ascii="SWISS" w:hAnsi="SWISS" w:cs="Arial"/>
                <w:b/>
                <w:bCs/>
                <w:color w:val="000000"/>
                <w:sz w:val="20"/>
                <w:szCs w:val="20"/>
              </w:rPr>
              <w:t xml:space="preserve">OPERATING REVENUES               </w:t>
            </w:r>
          </w:p>
        </w:tc>
        <w:tc>
          <w:tcPr>
            <w:tcW w:w="1857"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u w:val="single"/>
              </w:rPr>
            </w:pPr>
            <w:r w:rsidRPr="00F52F8B">
              <w:rPr>
                <w:rFonts w:ascii="SWISS" w:hAnsi="SWISS" w:cs="Arial"/>
                <w:sz w:val="20"/>
                <w:szCs w:val="20"/>
                <w:u w:val="single"/>
              </w:rPr>
              <w:t>$2</w:t>
            </w:r>
            <w:r>
              <w:rPr>
                <w:rFonts w:ascii="SWISS" w:hAnsi="SWISS" w:cs="Arial"/>
                <w:sz w:val="20"/>
                <w:szCs w:val="20"/>
                <w:u w:val="single"/>
              </w:rPr>
              <w:t>8</w:t>
            </w:r>
            <w:r w:rsidRPr="00F52F8B">
              <w:rPr>
                <w:rFonts w:ascii="SWISS" w:hAnsi="SWISS" w:cs="Arial"/>
                <w:sz w:val="20"/>
                <w:szCs w:val="20"/>
                <w:u w:val="single"/>
              </w:rPr>
              <w:t>,1</w:t>
            </w:r>
            <w:r>
              <w:rPr>
                <w:rFonts w:ascii="SWISS" w:hAnsi="SWISS" w:cs="Arial"/>
                <w:sz w:val="20"/>
                <w:szCs w:val="20"/>
                <w:u w:val="single"/>
              </w:rPr>
              <w:t>77</w:t>
            </w:r>
          </w:p>
        </w:tc>
        <w:tc>
          <w:tcPr>
            <w:tcW w:w="1857"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u w:val="single"/>
              </w:rPr>
            </w:pPr>
            <w:r>
              <w:rPr>
                <w:rFonts w:ascii="SWISS" w:hAnsi="SWISS" w:cs="Arial"/>
                <w:sz w:val="20"/>
                <w:szCs w:val="20"/>
                <w:u w:val="single"/>
              </w:rPr>
              <w:t>(</w:t>
            </w:r>
            <w:r w:rsidRPr="00F52F8B">
              <w:rPr>
                <w:rFonts w:ascii="SWISS" w:hAnsi="SWISS" w:cs="Arial"/>
                <w:sz w:val="20"/>
                <w:szCs w:val="20"/>
                <w:u w:val="single"/>
              </w:rPr>
              <w:t>$</w:t>
            </w:r>
            <w:r>
              <w:rPr>
                <w:rFonts w:ascii="SWISS" w:hAnsi="SWISS" w:cs="Arial"/>
                <w:sz w:val="20"/>
                <w:szCs w:val="20"/>
                <w:u w:val="single"/>
              </w:rPr>
              <w:t>34)</w:t>
            </w:r>
          </w:p>
        </w:tc>
        <w:tc>
          <w:tcPr>
            <w:tcW w:w="1857"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u w:val="single"/>
              </w:rPr>
            </w:pPr>
            <w:r w:rsidRPr="00F52F8B">
              <w:rPr>
                <w:rFonts w:ascii="SWISS" w:hAnsi="SWISS" w:cs="Arial"/>
                <w:sz w:val="20"/>
                <w:szCs w:val="20"/>
                <w:u w:val="single"/>
              </w:rPr>
              <w:t>$28,143</w:t>
            </w:r>
          </w:p>
        </w:tc>
        <w:tc>
          <w:tcPr>
            <w:tcW w:w="1857" w:type="dxa"/>
            <w:tcBorders>
              <w:top w:val="nil"/>
              <w:left w:val="nil"/>
              <w:bottom w:val="nil"/>
              <w:right w:val="nil"/>
            </w:tcBorders>
            <w:shd w:val="clear" w:color="auto" w:fill="auto"/>
            <w:noWrap/>
            <w:vAlign w:val="bottom"/>
          </w:tcPr>
          <w:p w:rsidR="00432271" w:rsidRPr="00F52F8B" w:rsidRDefault="00432271" w:rsidP="00B5535D">
            <w:pPr>
              <w:jc w:val="right"/>
              <w:rPr>
                <w:rFonts w:ascii="SWISS" w:hAnsi="SWISS" w:cs="Arial"/>
                <w:sz w:val="20"/>
                <w:szCs w:val="20"/>
                <w:u w:val="single"/>
              </w:rPr>
            </w:pPr>
            <w:r w:rsidRPr="00F52F8B">
              <w:rPr>
                <w:rFonts w:ascii="SWISS" w:hAnsi="SWISS" w:cs="Arial"/>
                <w:sz w:val="20"/>
                <w:szCs w:val="20"/>
                <w:u w:val="single"/>
              </w:rPr>
              <w:t>$</w:t>
            </w:r>
            <w:r w:rsidR="00B5535D">
              <w:rPr>
                <w:rFonts w:ascii="SWISS" w:hAnsi="SWISS" w:cs="Arial"/>
                <w:sz w:val="20"/>
                <w:szCs w:val="20"/>
                <w:u w:val="single"/>
              </w:rPr>
              <w:t>2,958</w:t>
            </w:r>
            <w:r w:rsidRPr="00F52F8B">
              <w:rPr>
                <w:rFonts w:ascii="SWISS" w:hAnsi="SWISS" w:cs="Arial"/>
                <w:sz w:val="20"/>
                <w:szCs w:val="20"/>
                <w:u w:val="single"/>
              </w:rPr>
              <w:t xml:space="preserve"> </w:t>
            </w:r>
          </w:p>
        </w:tc>
        <w:tc>
          <w:tcPr>
            <w:tcW w:w="1857" w:type="dxa"/>
            <w:tcBorders>
              <w:top w:val="nil"/>
              <w:left w:val="nil"/>
              <w:bottom w:val="nil"/>
              <w:right w:val="single" w:sz="8" w:space="0" w:color="auto"/>
            </w:tcBorders>
            <w:shd w:val="clear" w:color="auto" w:fill="auto"/>
            <w:noWrap/>
            <w:vAlign w:val="bottom"/>
          </w:tcPr>
          <w:p w:rsidR="00432271" w:rsidRPr="00F52F8B" w:rsidRDefault="00432271" w:rsidP="00B5535D">
            <w:pPr>
              <w:jc w:val="right"/>
              <w:rPr>
                <w:rFonts w:ascii="SWISS" w:hAnsi="SWISS" w:cs="Arial"/>
                <w:sz w:val="20"/>
                <w:szCs w:val="20"/>
                <w:u w:val="single"/>
              </w:rPr>
            </w:pPr>
            <w:r w:rsidRPr="00F52F8B">
              <w:rPr>
                <w:rFonts w:ascii="SWISS" w:hAnsi="SWISS" w:cs="Arial"/>
                <w:sz w:val="20"/>
                <w:szCs w:val="20"/>
                <w:u w:val="single"/>
              </w:rPr>
              <w:t>$</w:t>
            </w:r>
            <w:r w:rsidR="00B5535D">
              <w:rPr>
                <w:rFonts w:ascii="SWISS" w:hAnsi="SWISS" w:cs="Arial"/>
                <w:sz w:val="20"/>
                <w:szCs w:val="20"/>
                <w:u w:val="single"/>
              </w:rPr>
              <w:t>31,101</w:t>
            </w:r>
          </w:p>
        </w:tc>
      </w:tr>
      <w:tr w:rsidR="00432271" w:rsidRPr="00F52F8B" w:rsidTr="00930BAA">
        <w:trPr>
          <w:trHeight w:val="294"/>
          <w:jc w:val="center"/>
        </w:trPr>
        <w:tc>
          <w:tcPr>
            <w:tcW w:w="726" w:type="dxa"/>
            <w:tcBorders>
              <w:top w:val="nil"/>
              <w:left w:val="single" w:sz="8" w:space="0" w:color="auto"/>
              <w:bottom w:val="nil"/>
              <w:right w:val="nil"/>
            </w:tcBorders>
            <w:shd w:val="clear" w:color="auto" w:fill="auto"/>
            <w:noWrap/>
            <w:vAlign w:val="bottom"/>
          </w:tcPr>
          <w:p w:rsidR="00432271" w:rsidRPr="00F52F8B" w:rsidRDefault="00432271" w:rsidP="00432271">
            <w:pPr>
              <w:jc w:val="center"/>
              <w:rPr>
                <w:rFonts w:ascii="SWISS" w:hAnsi="SWISS" w:cs="Arial"/>
                <w:color w:val="000000"/>
                <w:sz w:val="20"/>
                <w:szCs w:val="20"/>
              </w:rPr>
            </w:pPr>
          </w:p>
        </w:tc>
        <w:tc>
          <w:tcPr>
            <w:tcW w:w="3609"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432271" w:rsidRPr="00F52F8B" w:rsidRDefault="00B5535D" w:rsidP="00432271">
            <w:pPr>
              <w:jc w:val="right"/>
              <w:rPr>
                <w:rFonts w:ascii="SWISS" w:hAnsi="SWISS" w:cs="Arial"/>
                <w:sz w:val="20"/>
                <w:szCs w:val="20"/>
              </w:rPr>
            </w:pPr>
            <w:r>
              <w:rPr>
                <w:rFonts w:ascii="SWISS" w:hAnsi="SWISS" w:cs="Arial"/>
                <w:sz w:val="20"/>
                <w:szCs w:val="20"/>
              </w:rPr>
              <w:t>10.51</w:t>
            </w:r>
            <w:r w:rsidR="00432271" w:rsidRPr="00F52F8B">
              <w:rPr>
                <w:rFonts w:ascii="SWISS" w:hAnsi="SWISS" w:cs="Arial"/>
                <w:sz w:val="20"/>
                <w:szCs w:val="20"/>
              </w:rPr>
              <w:t>%</w:t>
            </w:r>
          </w:p>
        </w:tc>
        <w:tc>
          <w:tcPr>
            <w:tcW w:w="1857"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r>
      <w:tr w:rsidR="00432271" w:rsidRPr="00F52F8B" w:rsidTr="00930BAA">
        <w:trPr>
          <w:trHeight w:val="294"/>
          <w:jc w:val="center"/>
        </w:trPr>
        <w:tc>
          <w:tcPr>
            <w:tcW w:w="726" w:type="dxa"/>
            <w:tcBorders>
              <w:top w:val="nil"/>
              <w:left w:val="single" w:sz="8" w:space="0" w:color="auto"/>
              <w:bottom w:val="nil"/>
              <w:right w:val="nil"/>
            </w:tcBorders>
            <w:shd w:val="clear" w:color="auto" w:fill="auto"/>
            <w:noWrap/>
            <w:vAlign w:val="bottom"/>
          </w:tcPr>
          <w:p w:rsidR="00432271" w:rsidRPr="00F52F8B" w:rsidRDefault="00432271" w:rsidP="00432271">
            <w:pPr>
              <w:jc w:val="center"/>
              <w:rPr>
                <w:rFonts w:ascii="SWISS" w:hAnsi="SWISS" w:cs="Arial"/>
                <w:color w:val="000000"/>
                <w:sz w:val="20"/>
                <w:szCs w:val="20"/>
              </w:rPr>
            </w:pPr>
          </w:p>
        </w:tc>
        <w:tc>
          <w:tcPr>
            <w:tcW w:w="3609"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b/>
                <w:bCs/>
                <w:color w:val="000000"/>
                <w:sz w:val="20"/>
                <w:szCs w:val="20"/>
              </w:rPr>
            </w:pPr>
            <w:r w:rsidRPr="00F52F8B">
              <w:rPr>
                <w:rFonts w:ascii="SWISS" w:hAnsi="SWISS" w:cs="Arial"/>
                <w:b/>
                <w:bCs/>
                <w:color w:val="000000"/>
                <w:sz w:val="20"/>
                <w:szCs w:val="20"/>
              </w:rPr>
              <w:t>OPERATING EXPENSES:</w:t>
            </w: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r>
      <w:tr w:rsidR="00432271" w:rsidRPr="00F52F8B" w:rsidTr="00930BAA">
        <w:trPr>
          <w:trHeight w:val="294"/>
          <w:jc w:val="center"/>
        </w:trPr>
        <w:tc>
          <w:tcPr>
            <w:tcW w:w="726" w:type="dxa"/>
            <w:tcBorders>
              <w:top w:val="nil"/>
              <w:left w:val="single" w:sz="8" w:space="0" w:color="auto"/>
              <w:bottom w:val="nil"/>
              <w:right w:val="nil"/>
            </w:tcBorders>
            <w:shd w:val="clear" w:color="auto" w:fill="auto"/>
            <w:noWrap/>
            <w:vAlign w:val="bottom"/>
          </w:tcPr>
          <w:p w:rsidR="00432271" w:rsidRPr="00F52F8B" w:rsidRDefault="00432271" w:rsidP="00432271">
            <w:pPr>
              <w:jc w:val="center"/>
              <w:rPr>
                <w:rFonts w:ascii="SWISS" w:hAnsi="SWISS" w:cs="Arial"/>
                <w:color w:val="000000"/>
                <w:sz w:val="20"/>
                <w:szCs w:val="20"/>
              </w:rPr>
            </w:pPr>
            <w:r w:rsidRPr="00F52F8B">
              <w:rPr>
                <w:rFonts w:ascii="SWISS" w:hAnsi="SWISS" w:cs="Arial"/>
                <w:color w:val="000000"/>
                <w:sz w:val="20"/>
                <w:szCs w:val="20"/>
              </w:rPr>
              <w:t xml:space="preserve">  2.</w:t>
            </w:r>
          </w:p>
        </w:tc>
        <w:tc>
          <w:tcPr>
            <w:tcW w:w="3609"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xml:space="preserve">  OPERATION &amp; MAINTENANCE</w:t>
            </w:r>
          </w:p>
        </w:tc>
        <w:tc>
          <w:tcPr>
            <w:tcW w:w="1857"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$30,954 </w:t>
            </w:r>
          </w:p>
        </w:tc>
        <w:tc>
          <w:tcPr>
            <w:tcW w:w="1857" w:type="dxa"/>
            <w:tcBorders>
              <w:top w:val="nil"/>
              <w:left w:val="nil"/>
              <w:bottom w:val="nil"/>
              <w:right w:val="nil"/>
            </w:tcBorders>
            <w:shd w:val="clear" w:color="auto" w:fill="auto"/>
            <w:noWrap/>
            <w:vAlign w:val="bottom"/>
          </w:tcPr>
          <w:p w:rsidR="00432271" w:rsidRPr="00F52F8B" w:rsidRDefault="00432271" w:rsidP="00B5535D">
            <w:pPr>
              <w:jc w:val="right"/>
              <w:rPr>
                <w:rFonts w:ascii="SWISS" w:hAnsi="SWISS" w:cs="Arial"/>
                <w:sz w:val="20"/>
                <w:szCs w:val="20"/>
              </w:rPr>
            </w:pPr>
            <w:r>
              <w:rPr>
                <w:rFonts w:ascii="SWISS" w:hAnsi="SWISS" w:cs="Arial"/>
                <w:sz w:val="20"/>
                <w:szCs w:val="20"/>
              </w:rPr>
              <w:t>(</w:t>
            </w:r>
            <w:r w:rsidRPr="00F52F8B">
              <w:rPr>
                <w:rFonts w:ascii="SWISS" w:hAnsi="SWISS" w:cs="Arial"/>
                <w:sz w:val="20"/>
                <w:szCs w:val="20"/>
              </w:rPr>
              <w:t>$</w:t>
            </w:r>
            <w:r w:rsidR="00B5535D">
              <w:rPr>
                <w:rFonts w:ascii="SWISS" w:hAnsi="SWISS" w:cs="Arial"/>
                <w:sz w:val="20"/>
                <w:szCs w:val="20"/>
              </w:rPr>
              <w:t>5,939</w:t>
            </w:r>
            <w:r>
              <w:rPr>
                <w:rFonts w:ascii="SWISS" w:hAnsi="SWISS" w:cs="Arial"/>
                <w:sz w:val="20"/>
                <w:szCs w:val="20"/>
              </w:rPr>
              <w:t>)</w:t>
            </w:r>
            <w:r w:rsidRPr="00F52F8B">
              <w:rPr>
                <w:rFonts w:ascii="SWISS" w:hAnsi="SWISS" w:cs="Arial"/>
                <w:sz w:val="20"/>
                <w:szCs w:val="20"/>
              </w:rPr>
              <w:t xml:space="preserve"> </w:t>
            </w:r>
          </w:p>
        </w:tc>
        <w:tc>
          <w:tcPr>
            <w:tcW w:w="1857" w:type="dxa"/>
            <w:tcBorders>
              <w:top w:val="nil"/>
              <w:left w:val="nil"/>
              <w:bottom w:val="nil"/>
              <w:right w:val="nil"/>
            </w:tcBorders>
            <w:shd w:val="clear" w:color="auto" w:fill="auto"/>
            <w:noWrap/>
            <w:vAlign w:val="bottom"/>
          </w:tcPr>
          <w:p w:rsidR="00432271" w:rsidRPr="00F52F8B" w:rsidRDefault="00432271" w:rsidP="00B5535D">
            <w:pPr>
              <w:jc w:val="right"/>
              <w:rPr>
                <w:rFonts w:ascii="SWISS" w:hAnsi="SWISS" w:cs="Arial"/>
                <w:sz w:val="20"/>
                <w:szCs w:val="20"/>
              </w:rPr>
            </w:pPr>
            <w:r w:rsidRPr="00F52F8B">
              <w:rPr>
                <w:rFonts w:ascii="SWISS" w:hAnsi="SWISS" w:cs="Arial"/>
                <w:sz w:val="20"/>
                <w:szCs w:val="20"/>
              </w:rPr>
              <w:t>$</w:t>
            </w:r>
            <w:r>
              <w:rPr>
                <w:rFonts w:ascii="SWISS" w:hAnsi="SWISS" w:cs="Arial"/>
                <w:sz w:val="20"/>
                <w:szCs w:val="20"/>
              </w:rPr>
              <w:t>2</w:t>
            </w:r>
            <w:r w:rsidR="00B5535D">
              <w:rPr>
                <w:rFonts w:ascii="SWISS" w:hAnsi="SWISS" w:cs="Arial"/>
                <w:sz w:val="20"/>
                <w:szCs w:val="20"/>
              </w:rPr>
              <w:t>5,015</w:t>
            </w:r>
            <w:r w:rsidRPr="00F52F8B">
              <w:rPr>
                <w:rFonts w:ascii="SWISS" w:hAnsi="SWISS" w:cs="Arial"/>
                <w:sz w:val="20"/>
                <w:szCs w:val="20"/>
              </w:rPr>
              <w:t xml:space="preserve"> </w:t>
            </w:r>
          </w:p>
        </w:tc>
        <w:tc>
          <w:tcPr>
            <w:tcW w:w="1857"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857" w:type="dxa"/>
            <w:tcBorders>
              <w:top w:val="nil"/>
              <w:left w:val="nil"/>
              <w:bottom w:val="nil"/>
              <w:right w:val="single" w:sz="8" w:space="0" w:color="auto"/>
            </w:tcBorders>
            <w:shd w:val="clear" w:color="auto" w:fill="auto"/>
            <w:noWrap/>
            <w:vAlign w:val="bottom"/>
          </w:tcPr>
          <w:p w:rsidR="00432271" w:rsidRPr="00F52F8B" w:rsidRDefault="00B5535D" w:rsidP="00432271">
            <w:pPr>
              <w:jc w:val="right"/>
              <w:rPr>
                <w:rFonts w:ascii="SWISS" w:hAnsi="SWISS" w:cs="Arial"/>
                <w:sz w:val="20"/>
                <w:szCs w:val="20"/>
              </w:rPr>
            </w:pPr>
            <w:r w:rsidRPr="00F52F8B">
              <w:rPr>
                <w:rFonts w:ascii="SWISS" w:hAnsi="SWISS" w:cs="Arial"/>
                <w:sz w:val="20"/>
                <w:szCs w:val="20"/>
              </w:rPr>
              <w:t>$</w:t>
            </w:r>
            <w:r>
              <w:rPr>
                <w:rFonts w:ascii="SWISS" w:hAnsi="SWISS" w:cs="Arial"/>
                <w:sz w:val="20"/>
                <w:szCs w:val="20"/>
              </w:rPr>
              <w:t>25,015</w:t>
            </w:r>
            <w:r w:rsidR="00432271" w:rsidRPr="00F52F8B">
              <w:rPr>
                <w:rFonts w:ascii="SWISS" w:hAnsi="SWISS" w:cs="Arial"/>
                <w:sz w:val="20"/>
                <w:szCs w:val="20"/>
              </w:rPr>
              <w:t xml:space="preserve"> </w:t>
            </w:r>
          </w:p>
        </w:tc>
      </w:tr>
      <w:tr w:rsidR="00432271" w:rsidRPr="00F52F8B" w:rsidTr="00930BAA">
        <w:trPr>
          <w:trHeight w:val="306"/>
          <w:jc w:val="center"/>
        </w:trPr>
        <w:tc>
          <w:tcPr>
            <w:tcW w:w="726" w:type="dxa"/>
            <w:tcBorders>
              <w:top w:val="nil"/>
              <w:left w:val="single" w:sz="8" w:space="0" w:color="auto"/>
              <w:bottom w:val="nil"/>
              <w:right w:val="nil"/>
            </w:tcBorders>
            <w:shd w:val="clear" w:color="auto" w:fill="auto"/>
            <w:noWrap/>
            <w:vAlign w:val="bottom"/>
          </w:tcPr>
          <w:p w:rsidR="00432271" w:rsidRPr="00F52F8B" w:rsidRDefault="00432271" w:rsidP="00432271">
            <w:pPr>
              <w:jc w:val="center"/>
              <w:rPr>
                <w:rFonts w:ascii="SWISS" w:hAnsi="SWISS" w:cs="Arial"/>
                <w:color w:val="000000"/>
                <w:sz w:val="20"/>
                <w:szCs w:val="20"/>
              </w:rPr>
            </w:pPr>
          </w:p>
        </w:tc>
        <w:tc>
          <w:tcPr>
            <w:tcW w:w="3609"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r>
      <w:tr w:rsidR="00432271" w:rsidRPr="00F52F8B" w:rsidTr="00930BAA">
        <w:trPr>
          <w:trHeight w:val="306"/>
          <w:jc w:val="center"/>
        </w:trPr>
        <w:tc>
          <w:tcPr>
            <w:tcW w:w="726" w:type="dxa"/>
            <w:tcBorders>
              <w:top w:val="nil"/>
              <w:left w:val="single" w:sz="8" w:space="0" w:color="auto"/>
              <w:bottom w:val="nil"/>
              <w:right w:val="nil"/>
            </w:tcBorders>
            <w:shd w:val="clear" w:color="auto" w:fill="auto"/>
            <w:noWrap/>
            <w:vAlign w:val="bottom"/>
          </w:tcPr>
          <w:p w:rsidR="00432271" w:rsidRPr="00F52F8B" w:rsidRDefault="00432271" w:rsidP="00432271">
            <w:pPr>
              <w:jc w:val="center"/>
              <w:rPr>
                <w:rFonts w:ascii="SWISS" w:hAnsi="SWISS" w:cs="Arial"/>
                <w:color w:val="000000"/>
                <w:sz w:val="20"/>
                <w:szCs w:val="20"/>
              </w:rPr>
            </w:pPr>
            <w:r w:rsidRPr="00F52F8B">
              <w:rPr>
                <w:rFonts w:ascii="SWISS" w:hAnsi="SWISS" w:cs="Arial"/>
                <w:color w:val="000000"/>
                <w:sz w:val="20"/>
                <w:szCs w:val="20"/>
              </w:rPr>
              <w:t xml:space="preserve">  3.</w:t>
            </w:r>
          </w:p>
        </w:tc>
        <w:tc>
          <w:tcPr>
            <w:tcW w:w="3609"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xml:space="preserve">  DEPRECIATION (NET)</w:t>
            </w:r>
          </w:p>
        </w:tc>
        <w:tc>
          <w:tcPr>
            <w:tcW w:w="1857"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0</w:t>
            </w:r>
          </w:p>
        </w:tc>
        <w:tc>
          <w:tcPr>
            <w:tcW w:w="1857"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1,624 </w:t>
            </w:r>
          </w:p>
        </w:tc>
        <w:tc>
          <w:tcPr>
            <w:tcW w:w="1857"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1,624 </w:t>
            </w:r>
          </w:p>
        </w:tc>
        <w:tc>
          <w:tcPr>
            <w:tcW w:w="1857"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857"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1,624</w:t>
            </w:r>
          </w:p>
        </w:tc>
      </w:tr>
      <w:tr w:rsidR="00432271" w:rsidRPr="00F52F8B" w:rsidTr="00930BAA">
        <w:trPr>
          <w:trHeight w:val="294"/>
          <w:jc w:val="center"/>
        </w:trPr>
        <w:tc>
          <w:tcPr>
            <w:tcW w:w="726" w:type="dxa"/>
            <w:tcBorders>
              <w:top w:val="nil"/>
              <w:left w:val="single" w:sz="8" w:space="0" w:color="auto"/>
              <w:bottom w:val="nil"/>
              <w:right w:val="nil"/>
            </w:tcBorders>
            <w:shd w:val="clear" w:color="auto" w:fill="auto"/>
            <w:noWrap/>
            <w:vAlign w:val="bottom"/>
          </w:tcPr>
          <w:p w:rsidR="00432271" w:rsidRPr="00F52F8B" w:rsidRDefault="00432271" w:rsidP="00432271">
            <w:pPr>
              <w:jc w:val="center"/>
              <w:rPr>
                <w:rFonts w:ascii="SWISS" w:hAnsi="SWISS" w:cs="Arial"/>
                <w:color w:val="000000"/>
                <w:sz w:val="20"/>
                <w:szCs w:val="20"/>
              </w:rPr>
            </w:pPr>
          </w:p>
        </w:tc>
        <w:tc>
          <w:tcPr>
            <w:tcW w:w="3609"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r>
      <w:tr w:rsidR="00432271" w:rsidRPr="00F52F8B" w:rsidTr="00930BAA">
        <w:trPr>
          <w:trHeight w:val="294"/>
          <w:jc w:val="center"/>
        </w:trPr>
        <w:tc>
          <w:tcPr>
            <w:tcW w:w="726" w:type="dxa"/>
            <w:tcBorders>
              <w:top w:val="nil"/>
              <w:left w:val="single" w:sz="8" w:space="0" w:color="auto"/>
              <w:bottom w:val="nil"/>
              <w:right w:val="nil"/>
            </w:tcBorders>
            <w:shd w:val="clear" w:color="auto" w:fill="auto"/>
            <w:noWrap/>
            <w:vAlign w:val="bottom"/>
          </w:tcPr>
          <w:p w:rsidR="00432271" w:rsidRPr="00F52F8B" w:rsidRDefault="00432271" w:rsidP="00432271">
            <w:pPr>
              <w:jc w:val="center"/>
              <w:rPr>
                <w:rFonts w:ascii="SWISS" w:hAnsi="SWISS" w:cs="Arial"/>
                <w:color w:val="000000"/>
                <w:sz w:val="20"/>
                <w:szCs w:val="20"/>
              </w:rPr>
            </w:pPr>
            <w:r w:rsidRPr="00F52F8B">
              <w:rPr>
                <w:rFonts w:ascii="SWISS" w:hAnsi="SWISS" w:cs="Arial"/>
                <w:color w:val="000000"/>
                <w:sz w:val="20"/>
                <w:szCs w:val="20"/>
              </w:rPr>
              <w:t xml:space="preserve">  4.</w:t>
            </w:r>
          </w:p>
        </w:tc>
        <w:tc>
          <w:tcPr>
            <w:tcW w:w="3609"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xml:space="preserve">  TAXES OTHER THAN INCOME</w:t>
            </w:r>
          </w:p>
        </w:tc>
        <w:tc>
          <w:tcPr>
            <w:tcW w:w="1857"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3,280</w:t>
            </w:r>
          </w:p>
        </w:tc>
        <w:tc>
          <w:tcPr>
            <w:tcW w:w="1857"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(1,6</w:t>
            </w:r>
            <w:r>
              <w:rPr>
                <w:rFonts w:ascii="SWISS" w:hAnsi="SWISS" w:cs="Arial"/>
                <w:sz w:val="20"/>
                <w:szCs w:val="20"/>
              </w:rPr>
              <w:t>57</w:t>
            </w:r>
            <w:r w:rsidRPr="00F52F8B">
              <w:rPr>
                <w:rFonts w:ascii="SWISS" w:hAnsi="SWISS" w:cs="Arial"/>
                <w:sz w:val="20"/>
                <w:szCs w:val="20"/>
              </w:rPr>
              <w:t xml:space="preserve">)   </w:t>
            </w:r>
          </w:p>
        </w:tc>
        <w:tc>
          <w:tcPr>
            <w:tcW w:w="1857"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1,6</w:t>
            </w:r>
            <w:r>
              <w:rPr>
                <w:rFonts w:ascii="SWISS" w:hAnsi="SWISS" w:cs="Arial"/>
                <w:sz w:val="20"/>
                <w:szCs w:val="20"/>
              </w:rPr>
              <w:t>23</w:t>
            </w:r>
            <w:r w:rsidRPr="00F52F8B">
              <w:rPr>
                <w:rFonts w:ascii="SWISS" w:hAnsi="SWISS" w:cs="Arial"/>
                <w:sz w:val="20"/>
                <w:szCs w:val="20"/>
              </w:rPr>
              <w:t xml:space="preserve"> </w:t>
            </w:r>
          </w:p>
        </w:tc>
        <w:tc>
          <w:tcPr>
            <w:tcW w:w="1857" w:type="dxa"/>
            <w:tcBorders>
              <w:top w:val="nil"/>
              <w:left w:val="nil"/>
              <w:bottom w:val="nil"/>
              <w:right w:val="nil"/>
            </w:tcBorders>
            <w:shd w:val="clear" w:color="auto" w:fill="auto"/>
            <w:noWrap/>
            <w:vAlign w:val="bottom"/>
          </w:tcPr>
          <w:p w:rsidR="00432271" w:rsidRPr="00F52F8B" w:rsidRDefault="00B5535D" w:rsidP="00432271">
            <w:pPr>
              <w:jc w:val="right"/>
              <w:rPr>
                <w:rFonts w:ascii="SWISS" w:hAnsi="SWISS" w:cs="Arial"/>
                <w:sz w:val="20"/>
                <w:szCs w:val="20"/>
              </w:rPr>
            </w:pPr>
            <w:r>
              <w:rPr>
                <w:rFonts w:ascii="SWISS" w:hAnsi="SWISS" w:cs="Arial"/>
                <w:sz w:val="20"/>
                <w:szCs w:val="20"/>
              </w:rPr>
              <w:t>133</w:t>
            </w:r>
            <w:r w:rsidR="00432271" w:rsidRPr="00F52F8B">
              <w:rPr>
                <w:rFonts w:ascii="SWISS" w:hAnsi="SWISS" w:cs="Arial"/>
                <w:sz w:val="20"/>
                <w:szCs w:val="20"/>
              </w:rPr>
              <w:t xml:space="preserve"> </w:t>
            </w:r>
          </w:p>
        </w:tc>
        <w:tc>
          <w:tcPr>
            <w:tcW w:w="1857" w:type="dxa"/>
            <w:tcBorders>
              <w:top w:val="nil"/>
              <w:left w:val="nil"/>
              <w:bottom w:val="nil"/>
              <w:right w:val="single" w:sz="8" w:space="0" w:color="auto"/>
            </w:tcBorders>
            <w:shd w:val="clear" w:color="auto" w:fill="auto"/>
            <w:noWrap/>
            <w:vAlign w:val="bottom"/>
          </w:tcPr>
          <w:p w:rsidR="00432271" w:rsidRPr="00F52F8B" w:rsidRDefault="00432271" w:rsidP="00B5535D">
            <w:pPr>
              <w:jc w:val="right"/>
              <w:rPr>
                <w:rFonts w:ascii="SWISS" w:hAnsi="SWISS" w:cs="Arial"/>
                <w:sz w:val="20"/>
                <w:szCs w:val="20"/>
              </w:rPr>
            </w:pPr>
            <w:r>
              <w:rPr>
                <w:rFonts w:ascii="SWISS" w:hAnsi="SWISS" w:cs="Arial"/>
                <w:sz w:val="20"/>
                <w:szCs w:val="20"/>
              </w:rPr>
              <w:t>1</w:t>
            </w:r>
            <w:r w:rsidRPr="00F52F8B">
              <w:rPr>
                <w:rFonts w:ascii="SWISS" w:hAnsi="SWISS" w:cs="Arial"/>
                <w:sz w:val="20"/>
                <w:szCs w:val="20"/>
              </w:rPr>
              <w:t>,</w:t>
            </w:r>
            <w:r w:rsidR="00B5535D">
              <w:rPr>
                <w:rFonts w:ascii="SWISS" w:hAnsi="SWISS" w:cs="Arial"/>
                <w:sz w:val="20"/>
                <w:szCs w:val="20"/>
              </w:rPr>
              <w:t>757</w:t>
            </w:r>
          </w:p>
        </w:tc>
      </w:tr>
      <w:tr w:rsidR="00432271" w:rsidRPr="00F52F8B" w:rsidTr="00930BAA">
        <w:trPr>
          <w:trHeight w:val="294"/>
          <w:jc w:val="center"/>
        </w:trPr>
        <w:tc>
          <w:tcPr>
            <w:tcW w:w="726" w:type="dxa"/>
            <w:tcBorders>
              <w:top w:val="nil"/>
              <w:left w:val="single" w:sz="8" w:space="0" w:color="auto"/>
              <w:bottom w:val="nil"/>
              <w:right w:val="nil"/>
            </w:tcBorders>
            <w:shd w:val="clear" w:color="auto" w:fill="auto"/>
            <w:noWrap/>
            <w:vAlign w:val="bottom"/>
          </w:tcPr>
          <w:p w:rsidR="00432271" w:rsidRPr="00F52F8B" w:rsidRDefault="00432271" w:rsidP="00432271">
            <w:pPr>
              <w:jc w:val="center"/>
              <w:rPr>
                <w:rFonts w:ascii="SWISS" w:hAnsi="SWISS" w:cs="Arial"/>
                <w:color w:val="000000"/>
                <w:sz w:val="20"/>
                <w:szCs w:val="20"/>
              </w:rPr>
            </w:pPr>
          </w:p>
        </w:tc>
        <w:tc>
          <w:tcPr>
            <w:tcW w:w="3609"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r>
      <w:tr w:rsidR="00432271" w:rsidRPr="00F52F8B" w:rsidTr="00930BAA">
        <w:trPr>
          <w:trHeight w:val="294"/>
          <w:jc w:val="center"/>
        </w:trPr>
        <w:tc>
          <w:tcPr>
            <w:tcW w:w="726" w:type="dxa"/>
            <w:tcBorders>
              <w:top w:val="nil"/>
              <w:left w:val="single" w:sz="8" w:space="0" w:color="auto"/>
              <w:bottom w:val="nil"/>
              <w:right w:val="nil"/>
            </w:tcBorders>
            <w:shd w:val="clear" w:color="auto" w:fill="auto"/>
            <w:noWrap/>
            <w:vAlign w:val="bottom"/>
          </w:tcPr>
          <w:p w:rsidR="00432271" w:rsidRPr="00F52F8B" w:rsidRDefault="00432271" w:rsidP="00432271">
            <w:pPr>
              <w:jc w:val="center"/>
              <w:rPr>
                <w:rFonts w:ascii="SWISS" w:hAnsi="SWISS" w:cs="Arial"/>
                <w:color w:val="000000"/>
                <w:sz w:val="20"/>
                <w:szCs w:val="20"/>
              </w:rPr>
            </w:pPr>
            <w:r w:rsidRPr="00F52F8B">
              <w:rPr>
                <w:rFonts w:ascii="SWISS" w:hAnsi="SWISS" w:cs="Arial"/>
                <w:color w:val="000000"/>
                <w:sz w:val="20"/>
                <w:szCs w:val="20"/>
              </w:rPr>
              <w:t xml:space="preserve">  5.</w:t>
            </w:r>
          </w:p>
        </w:tc>
        <w:tc>
          <w:tcPr>
            <w:tcW w:w="3609"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xml:space="preserve">  INCOME TAXES</w:t>
            </w:r>
          </w:p>
        </w:tc>
        <w:tc>
          <w:tcPr>
            <w:tcW w:w="1857"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u w:val="single"/>
              </w:rPr>
            </w:pPr>
            <w:r w:rsidRPr="00F52F8B">
              <w:rPr>
                <w:rFonts w:ascii="SWISS" w:hAnsi="SWISS" w:cs="Arial"/>
                <w:sz w:val="20"/>
                <w:szCs w:val="20"/>
                <w:u w:val="single"/>
              </w:rPr>
              <w:t>0</w:t>
            </w:r>
          </w:p>
        </w:tc>
        <w:tc>
          <w:tcPr>
            <w:tcW w:w="1857"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u w:val="single"/>
              </w:rPr>
            </w:pPr>
            <w:r w:rsidRPr="00F52F8B">
              <w:rPr>
                <w:rFonts w:ascii="SWISS" w:hAnsi="SWISS" w:cs="Arial"/>
                <w:sz w:val="20"/>
                <w:szCs w:val="20"/>
                <w:u w:val="single"/>
              </w:rPr>
              <w:t>0</w:t>
            </w:r>
          </w:p>
        </w:tc>
        <w:tc>
          <w:tcPr>
            <w:tcW w:w="1857"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u w:val="single"/>
              </w:rPr>
            </w:pPr>
            <w:r w:rsidRPr="00F52F8B">
              <w:rPr>
                <w:rFonts w:ascii="SWISS" w:hAnsi="SWISS" w:cs="Arial"/>
                <w:sz w:val="20"/>
                <w:szCs w:val="20"/>
                <w:u w:val="single"/>
              </w:rPr>
              <w:t>0</w:t>
            </w:r>
          </w:p>
        </w:tc>
        <w:tc>
          <w:tcPr>
            <w:tcW w:w="1857"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u w:val="single"/>
              </w:rPr>
            </w:pPr>
            <w:r w:rsidRPr="00F52F8B">
              <w:rPr>
                <w:rFonts w:ascii="SWISS" w:hAnsi="SWISS" w:cs="Arial"/>
                <w:sz w:val="20"/>
                <w:szCs w:val="20"/>
                <w:u w:val="single"/>
              </w:rPr>
              <w:t xml:space="preserve">0 </w:t>
            </w:r>
          </w:p>
        </w:tc>
        <w:tc>
          <w:tcPr>
            <w:tcW w:w="1857"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u w:val="single"/>
              </w:rPr>
            </w:pPr>
            <w:r w:rsidRPr="00F52F8B">
              <w:rPr>
                <w:rFonts w:ascii="SWISS" w:hAnsi="SWISS" w:cs="Arial"/>
                <w:sz w:val="20"/>
                <w:szCs w:val="20"/>
                <w:u w:val="single"/>
              </w:rPr>
              <w:t xml:space="preserve">0 </w:t>
            </w:r>
          </w:p>
        </w:tc>
      </w:tr>
      <w:tr w:rsidR="00432271" w:rsidRPr="00F52F8B" w:rsidTr="00930BAA">
        <w:trPr>
          <w:trHeight w:val="294"/>
          <w:jc w:val="center"/>
        </w:trPr>
        <w:tc>
          <w:tcPr>
            <w:tcW w:w="726" w:type="dxa"/>
            <w:tcBorders>
              <w:top w:val="nil"/>
              <w:left w:val="single" w:sz="8" w:space="0" w:color="auto"/>
              <w:bottom w:val="nil"/>
              <w:right w:val="nil"/>
            </w:tcBorders>
            <w:shd w:val="clear" w:color="auto" w:fill="auto"/>
            <w:noWrap/>
            <w:vAlign w:val="bottom"/>
          </w:tcPr>
          <w:p w:rsidR="00432271" w:rsidRPr="00F52F8B" w:rsidRDefault="00432271" w:rsidP="00432271">
            <w:pPr>
              <w:jc w:val="center"/>
              <w:rPr>
                <w:rFonts w:ascii="SWISS" w:hAnsi="SWISS" w:cs="Arial"/>
                <w:color w:val="000000"/>
                <w:sz w:val="20"/>
                <w:szCs w:val="20"/>
              </w:rPr>
            </w:pPr>
          </w:p>
        </w:tc>
        <w:tc>
          <w:tcPr>
            <w:tcW w:w="3609"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r>
      <w:tr w:rsidR="00432271" w:rsidRPr="00F52F8B" w:rsidTr="00930BAA">
        <w:trPr>
          <w:trHeight w:val="294"/>
          <w:jc w:val="center"/>
        </w:trPr>
        <w:tc>
          <w:tcPr>
            <w:tcW w:w="726" w:type="dxa"/>
            <w:tcBorders>
              <w:top w:val="nil"/>
              <w:left w:val="single" w:sz="8" w:space="0" w:color="auto"/>
              <w:bottom w:val="nil"/>
              <w:right w:val="nil"/>
            </w:tcBorders>
            <w:shd w:val="clear" w:color="auto" w:fill="auto"/>
            <w:noWrap/>
            <w:vAlign w:val="bottom"/>
          </w:tcPr>
          <w:p w:rsidR="00432271" w:rsidRPr="00F52F8B" w:rsidRDefault="00432271" w:rsidP="00432271">
            <w:pPr>
              <w:jc w:val="center"/>
              <w:rPr>
                <w:rFonts w:ascii="SWISS" w:hAnsi="SWISS" w:cs="Arial"/>
                <w:color w:val="000000"/>
                <w:sz w:val="20"/>
                <w:szCs w:val="20"/>
              </w:rPr>
            </w:pPr>
            <w:r w:rsidRPr="00F52F8B">
              <w:rPr>
                <w:rFonts w:ascii="SWISS" w:hAnsi="SWISS" w:cs="Arial"/>
                <w:color w:val="000000"/>
                <w:sz w:val="20"/>
                <w:szCs w:val="20"/>
              </w:rPr>
              <w:t xml:space="preserve">  6.</w:t>
            </w:r>
          </w:p>
        </w:tc>
        <w:tc>
          <w:tcPr>
            <w:tcW w:w="3609"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b/>
                <w:bCs/>
                <w:color w:val="000000"/>
                <w:sz w:val="20"/>
                <w:szCs w:val="20"/>
              </w:rPr>
            </w:pPr>
            <w:r w:rsidRPr="00F52F8B">
              <w:rPr>
                <w:rFonts w:ascii="SWISS" w:hAnsi="SWISS" w:cs="Arial"/>
                <w:b/>
                <w:bCs/>
                <w:color w:val="000000"/>
                <w:sz w:val="20"/>
                <w:szCs w:val="20"/>
              </w:rPr>
              <w:t xml:space="preserve">TOTAL OPERATING EXPENSES    </w:t>
            </w:r>
          </w:p>
        </w:tc>
        <w:tc>
          <w:tcPr>
            <w:tcW w:w="1857"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u w:val="single"/>
              </w:rPr>
            </w:pPr>
            <w:r w:rsidRPr="00F52F8B">
              <w:rPr>
                <w:rFonts w:ascii="SWISS" w:hAnsi="SWISS" w:cs="Arial"/>
                <w:sz w:val="20"/>
                <w:szCs w:val="20"/>
                <w:u w:val="single"/>
              </w:rPr>
              <w:t>$34,234</w:t>
            </w:r>
          </w:p>
        </w:tc>
        <w:tc>
          <w:tcPr>
            <w:tcW w:w="1857" w:type="dxa"/>
            <w:tcBorders>
              <w:top w:val="nil"/>
              <w:left w:val="nil"/>
              <w:bottom w:val="nil"/>
              <w:right w:val="nil"/>
            </w:tcBorders>
            <w:shd w:val="clear" w:color="auto" w:fill="auto"/>
            <w:noWrap/>
            <w:vAlign w:val="bottom"/>
          </w:tcPr>
          <w:p w:rsidR="00432271" w:rsidRPr="00F52F8B" w:rsidRDefault="00432271" w:rsidP="00B5535D">
            <w:pPr>
              <w:jc w:val="right"/>
              <w:rPr>
                <w:rFonts w:ascii="SWISS" w:hAnsi="SWISS" w:cs="Arial"/>
                <w:sz w:val="20"/>
                <w:szCs w:val="20"/>
                <w:u w:val="single"/>
              </w:rPr>
            </w:pPr>
            <w:r>
              <w:rPr>
                <w:rFonts w:ascii="SWISS" w:hAnsi="SWISS" w:cs="Arial"/>
                <w:sz w:val="20"/>
                <w:szCs w:val="20"/>
                <w:u w:val="single"/>
              </w:rPr>
              <w:t>(</w:t>
            </w:r>
            <w:r w:rsidRPr="00F52F8B">
              <w:rPr>
                <w:rFonts w:ascii="SWISS" w:hAnsi="SWISS" w:cs="Arial"/>
                <w:sz w:val="20"/>
                <w:szCs w:val="20"/>
                <w:u w:val="single"/>
              </w:rPr>
              <w:t>$</w:t>
            </w:r>
            <w:r w:rsidR="00B5535D">
              <w:rPr>
                <w:rFonts w:ascii="SWISS" w:hAnsi="SWISS" w:cs="Arial"/>
                <w:sz w:val="20"/>
                <w:szCs w:val="20"/>
                <w:u w:val="single"/>
              </w:rPr>
              <w:t>5,972</w:t>
            </w:r>
            <w:r>
              <w:rPr>
                <w:rFonts w:ascii="SWISS" w:hAnsi="SWISS" w:cs="Arial"/>
                <w:sz w:val="20"/>
                <w:szCs w:val="20"/>
                <w:u w:val="single"/>
              </w:rPr>
              <w:t>)</w:t>
            </w:r>
            <w:r w:rsidRPr="00F52F8B">
              <w:rPr>
                <w:rFonts w:ascii="SWISS" w:hAnsi="SWISS" w:cs="Arial"/>
                <w:sz w:val="20"/>
                <w:szCs w:val="20"/>
                <w:u w:val="single"/>
              </w:rPr>
              <w:t xml:space="preserve">  </w:t>
            </w:r>
          </w:p>
        </w:tc>
        <w:tc>
          <w:tcPr>
            <w:tcW w:w="1857" w:type="dxa"/>
            <w:tcBorders>
              <w:top w:val="nil"/>
              <w:left w:val="nil"/>
              <w:bottom w:val="nil"/>
              <w:right w:val="nil"/>
            </w:tcBorders>
            <w:shd w:val="clear" w:color="auto" w:fill="auto"/>
            <w:noWrap/>
            <w:vAlign w:val="bottom"/>
          </w:tcPr>
          <w:p w:rsidR="00432271" w:rsidRPr="00F52F8B" w:rsidRDefault="00432271" w:rsidP="00B5535D">
            <w:pPr>
              <w:jc w:val="right"/>
              <w:rPr>
                <w:rFonts w:ascii="SWISS" w:hAnsi="SWISS" w:cs="Arial"/>
                <w:sz w:val="20"/>
                <w:szCs w:val="20"/>
                <w:u w:val="single"/>
              </w:rPr>
            </w:pPr>
            <w:r w:rsidRPr="00F52F8B">
              <w:rPr>
                <w:rFonts w:ascii="SWISS" w:hAnsi="SWISS" w:cs="Arial"/>
                <w:sz w:val="20"/>
                <w:szCs w:val="20"/>
                <w:u w:val="single"/>
              </w:rPr>
              <w:t>$</w:t>
            </w:r>
            <w:r>
              <w:rPr>
                <w:rFonts w:ascii="SWISS" w:hAnsi="SWISS" w:cs="Arial"/>
                <w:sz w:val="20"/>
                <w:szCs w:val="20"/>
                <w:u w:val="single"/>
              </w:rPr>
              <w:t>2</w:t>
            </w:r>
            <w:r w:rsidR="00B5535D">
              <w:rPr>
                <w:rFonts w:ascii="SWISS" w:hAnsi="SWISS" w:cs="Arial"/>
                <w:sz w:val="20"/>
                <w:szCs w:val="20"/>
                <w:u w:val="single"/>
              </w:rPr>
              <w:t>8,262</w:t>
            </w:r>
          </w:p>
        </w:tc>
        <w:tc>
          <w:tcPr>
            <w:tcW w:w="1857" w:type="dxa"/>
            <w:tcBorders>
              <w:top w:val="nil"/>
              <w:left w:val="nil"/>
              <w:bottom w:val="nil"/>
              <w:right w:val="nil"/>
            </w:tcBorders>
            <w:shd w:val="clear" w:color="auto" w:fill="auto"/>
            <w:noWrap/>
            <w:vAlign w:val="bottom"/>
          </w:tcPr>
          <w:p w:rsidR="00432271" w:rsidRPr="00F52F8B" w:rsidRDefault="00432271" w:rsidP="00B5535D">
            <w:pPr>
              <w:jc w:val="right"/>
              <w:rPr>
                <w:rFonts w:ascii="SWISS" w:hAnsi="SWISS" w:cs="Arial"/>
                <w:sz w:val="20"/>
                <w:szCs w:val="20"/>
                <w:u w:val="single"/>
              </w:rPr>
            </w:pPr>
            <w:r w:rsidRPr="00F52F8B">
              <w:rPr>
                <w:rFonts w:ascii="SWISS" w:hAnsi="SWISS" w:cs="Arial"/>
                <w:sz w:val="20"/>
                <w:szCs w:val="20"/>
                <w:u w:val="single"/>
              </w:rPr>
              <w:t>$</w:t>
            </w:r>
            <w:r w:rsidR="00B5535D">
              <w:rPr>
                <w:rFonts w:ascii="SWISS" w:hAnsi="SWISS" w:cs="Arial"/>
                <w:sz w:val="20"/>
                <w:szCs w:val="20"/>
                <w:u w:val="single"/>
              </w:rPr>
              <w:t>133</w:t>
            </w:r>
            <w:r w:rsidRPr="00F52F8B">
              <w:rPr>
                <w:rFonts w:ascii="SWISS" w:hAnsi="SWISS" w:cs="Arial"/>
                <w:sz w:val="20"/>
                <w:szCs w:val="20"/>
                <w:u w:val="single"/>
              </w:rPr>
              <w:t xml:space="preserve"> </w:t>
            </w:r>
          </w:p>
        </w:tc>
        <w:tc>
          <w:tcPr>
            <w:tcW w:w="1857" w:type="dxa"/>
            <w:tcBorders>
              <w:top w:val="nil"/>
              <w:left w:val="nil"/>
              <w:bottom w:val="nil"/>
              <w:right w:val="single" w:sz="8" w:space="0" w:color="auto"/>
            </w:tcBorders>
            <w:shd w:val="clear" w:color="auto" w:fill="auto"/>
            <w:noWrap/>
            <w:vAlign w:val="bottom"/>
          </w:tcPr>
          <w:p w:rsidR="00432271" w:rsidRPr="00F52F8B" w:rsidRDefault="00432271" w:rsidP="00B5535D">
            <w:pPr>
              <w:jc w:val="right"/>
              <w:rPr>
                <w:rFonts w:ascii="SWISS" w:hAnsi="SWISS" w:cs="Arial"/>
                <w:sz w:val="20"/>
                <w:szCs w:val="20"/>
                <w:u w:val="single"/>
              </w:rPr>
            </w:pPr>
            <w:r w:rsidRPr="00F52F8B">
              <w:rPr>
                <w:rFonts w:ascii="SWISS" w:hAnsi="SWISS" w:cs="Arial"/>
                <w:sz w:val="20"/>
                <w:szCs w:val="20"/>
                <w:u w:val="single"/>
              </w:rPr>
              <w:t>$</w:t>
            </w:r>
            <w:r>
              <w:rPr>
                <w:rFonts w:ascii="SWISS" w:hAnsi="SWISS" w:cs="Arial"/>
                <w:sz w:val="20"/>
                <w:szCs w:val="20"/>
                <w:u w:val="single"/>
              </w:rPr>
              <w:t>2</w:t>
            </w:r>
            <w:r w:rsidR="00B5535D">
              <w:rPr>
                <w:rFonts w:ascii="SWISS" w:hAnsi="SWISS" w:cs="Arial"/>
                <w:sz w:val="20"/>
                <w:szCs w:val="20"/>
                <w:u w:val="single"/>
              </w:rPr>
              <w:t>8,395</w:t>
            </w:r>
          </w:p>
        </w:tc>
      </w:tr>
      <w:tr w:rsidR="00432271" w:rsidRPr="00F52F8B" w:rsidTr="00930BAA">
        <w:trPr>
          <w:trHeight w:val="294"/>
          <w:jc w:val="center"/>
        </w:trPr>
        <w:tc>
          <w:tcPr>
            <w:tcW w:w="726" w:type="dxa"/>
            <w:tcBorders>
              <w:top w:val="nil"/>
              <w:left w:val="single" w:sz="8" w:space="0" w:color="auto"/>
              <w:bottom w:val="nil"/>
              <w:right w:val="nil"/>
            </w:tcBorders>
            <w:shd w:val="clear" w:color="auto" w:fill="auto"/>
            <w:noWrap/>
            <w:vAlign w:val="bottom"/>
          </w:tcPr>
          <w:p w:rsidR="00432271" w:rsidRPr="00F52F8B" w:rsidRDefault="00432271" w:rsidP="00432271">
            <w:pPr>
              <w:jc w:val="center"/>
              <w:rPr>
                <w:rFonts w:ascii="SWISS" w:hAnsi="SWISS" w:cs="Arial"/>
                <w:color w:val="000000"/>
                <w:sz w:val="20"/>
                <w:szCs w:val="20"/>
              </w:rPr>
            </w:pPr>
          </w:p>
        </w:tc>
        <w:tc>
          <w:tcPr>
            <w:tcW w:w="3609"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r>
      <w:tr w:rsidR="00432271" w:rsidRPr="00F52F8B" w:rsidTr="00930BAA">
        <w:trPr>
          <w:trHeight w:val="294"/>
          <w:jc w:val="center"/>
        </w:trPr>
        <w:tc>
          <w:tcPr>
            <w:tcW w:w="726" w:type="dxa"/>
            <w:tcBorders>
              <w:top w:val="nil"/>
              <w:left w:val="single" w:sz="8" w:space="0" w:color="auto"/>
              <w:bottom w:val="nil"/>
              <w:right w:val="nil"/>
            </w:tcBorders>
            <w:shd w:val="clear" w:color="auto" w:fill="auto"/>
            <w:noWrap/>
            <w:vAlign w:val="bottom"/>
          </w:tcPr>
          <w:p w:rsidR="00432271" w:rsidRPr="00F52F8B" w:rsidRDefault="00432271" w:rsidP="00432271">
            <w:pPr>
              <w:jc w:val="center"/>
              <w:rPr>
                <w:rFonts w:ascii="SWISS" w:hAnsi="SWISS" w:cs="Arial"/>
                <w:color w:val="000000"/>
                <w:sz w:val="20"/>
                <w:szCs w:val="20"/>
              </w:rPr>
            </w:pPr>
            <w:r w:rsidRPr="00F52F8B">
              <w:rPr>
                <w:rFonts w:ascii="SWISS" w:hAnsi="SWISS" w:cs="Arial"/>
                <w:color w:val="000000"/>
                <w:sz w:val="20"/>
                <w:szCs w:val="20"/>
              </w:rPr>
              <w:t xml:space="preserve">  7.</w:t>
            </w:r>
          </w:p>
        </w:tc>
        <w:tc>
          <w:tcPr>
            <w:tcW w:w="3609"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b/>
                <w:bCs/>
                <w:color w:val="000000"/>
                <w:sz w:val="20"/>
                <w:szCs w:val="20"/>
              </w:rPr>
            </w:pPr>
            <w:r w:rsidRPr="00F52F8B">
              <w:rPr>
                <w:rFonts w:ascii="SWISS" w:hAnsi="SWISS" w:cs="Arial"/>
                <w:b/>
                <w:bCs/>
                <w:color w:val="000000"/>
                <w:sz w:val="20"/>
                <w:szCs w:val="20"/>
              </w:rPr>
              <w:t xml:space="preserve">OPERATING INCOME/(LOSS)        </w:t>
            </w:r>
          </w:p>
        </w:tc>
        <w:tc>
          <w:tcPr>
            <w:tcW w:w="1857"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u w:val="double"/>
              </w:rPr>
            </w:pPr>
            <w:r w:rsidRPr="00F52F8B">
              <w:rPr>
                <w:rFonts w:ascii="SWISS" w:hAnsi="SWISS" w:cs="Arial"/>
                <w:sz w:val="20"/>
                <w:szCs w:val="20"/>
                <w:u w:val="double"/>
              </w:rPr>
              <w:t>($</w:t>
            </w:r>
            <w:r>
              <w:rPr>
                <w:rFonts w:ascii="SWISS" w:hAnsi="SWISS" w:cs="Arial"/>
                <w:sz w:val="20"/>
                <w:szCs w:val="20"/>
                <w:u w:val="double"/>
              </w:rPr>
              <w:t>6</w:t>
            </w:r>
            <w:r w:rsidRPr="00F52F8B">
              <w:rPr>
                <w:rFonts w:ascii="SWISS" w:hAnsi="SWISS" w:cs="Arial"/>
                <w:sz w:val="20"/>
                <w:szCs w:val="20"/>
                <w:u w:val="double"/>
              </w:rPr>
              <w:t>,</w:t>
            </w:r>
            <w:r>
              <w:rPr>
                <w:rFonts w:ascii="SWISS" w:hAnsi="SWISS" w:cs="Arial"/>
                <w:sz w:val="20"/>
                <w:szCs w:val="20"/>
                <w:u w:val="double"/>
              </w:rPr>
              <w:t>057</w:t>
            </w:r>
            <w:r w:rsidRPr="00F52F8B">
              <w:rPr>
                <w:rFonts w:ascii="SWISS" w:hAnsi="SWISS" w:cs="Arial"/>
                <w:sz w:val="20"/>
                <w:szCs w:val="20"/>
                <w:u w:val="double"/>
              </w:rPr>
              <w:t xml:space="preserve">) </w:t>
            </w: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u w:val="double"/>
              </w:rPr>
            </w:pPr>
          </w:p>
        </w:tc>
        <w:tc>
          <w:tcPr>
            <w:tcW w:w="1857" w:type="dxa"/>
            <w:tcBorders>
              <w:top w:val="nil"/>
              <w:left w:val="nil"/>
              <w:bottom w:val="nil"/>
              <w:right w:val="nil"/>
            </w:tcBorders>
            <w:shd w:val="clear" w:color="auto" w:fill="auto"/>
            <w:noWrap/>
            <w:vAlign w:val="bottom"/>
          </w:tcPr>
          <w:p w:rsidR="00432271" w:rsidRPr="00F52F8B" w:rsidRDefault="00B5535D" w:rsidP="00432271">
            <w:pPr>
              <w:jc w:val="right"/>
              <w:rPr>
                <w:rFonts w:ascii="SWISS" w:hAnsi="SWISS" w:cs="Arial"/>
                <w:sz w:val="20"/>
                <w:szCs w:val="20"/>
                <w:u w:val="double"/>
              </w:rPr>
            </w:pPr>
            <w:r>
              <w:rPr>
                <w:rFonts w:ascii="SWISS" w:hAnsi="SWISS" w:cs="Arial"/>
                <w:sz w:val="20"/>
                <w:szCs w:val="20"/>
                <w:u w:val="double"/>
              </w:rPr>
              <w:t>($119)</w:t>
            </w: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u w:val="double"/>
              </w:rPr>
            </w:pPr>
          </w:p>
        </w:tc>
        <w:tc>
          <w:tcPr>
            <w:tcW w:w="1857" w:type="dxa"/>
            <w:tcBorders>
              <w:top w:val="nil"/>
              <w:left w:val="nil"/>
              <w:bottom w:val="nil"/>
              <w:right w:val="single" w:sz="8" w:space="0" w:color="auto"/>
            </w:tcBorders>
            <w:shd w:val="clear" w:color="auto" w:fill="auto"/>
            <w:noWrap/>
            <w:vAlign w:val="bottom"/>
          </w:tcPr>
          <w:p w:rsidR="00432271" w:rsidRPr="00F52F8B" w:rsidRDefault="00432271" w:rsidP="00B5535D">
            <w:pPr>
              <w:jc w:val="right"/>
              <w:rPr>
                <w:rFonts w:ascii="SWISS" w:hAnsi="SWISS" w:cs="Arial"/>
                <w:sz w:val="20"/>
                <w:szCs w:val="20"/>
                <w:u w:val="double"/>
              </w:rPr>
            </w:pPr>
            <w:r w:rsidRPr="00F52F8B">
              <w:rPr>
                <w:rFonts w:ascii="SWISS" w:hAnsi="SWISS" w:cs="Arial"/>
                <w:sz w:val="20"/>
                <w:szCs w:val="20"/>
                <w:u w:val="double"/>
              </w:rPr>
              <w:t>$2,</w:t>
            </w:r>
            <w:r w:rsidR="00B5535D">
              <w:rPr>
                <w:rFonts w:ascii="SWISS" w:hAnsi="SWISS" w:cs="Arial"/>
                <w:sz w:val="20"/>
                <w:szCs w:val="20"/>
                <w:u w:val="double"/>
              </w:rPr>
              <w:t>706</w:t>
            </w:r>
            <w:r w:rsidRPr="00F52F8B">
              <w:rPr>
                <w:rFonts w:ascii="SWISS" w:hAnsi="SWISS" w:cs="Arial"/>
                <w:sz w:val="20"/>
                <w:szCs w:val="20"/>
                <w:u w:val="double"/>
              </w:rPr>
              <w:t xml:space="preserve"> </w:t>
            </w:r>
          </w:p>
        </w:tc>
      </w:tr>
      <w:tr w:rsidR="00432271" w:rsidRPr="00F52F8B" w:rsidTr="00930BAA">
        <w:trPr>
          <w:trHeight w:val="294"/>
          <w:jc w:val="center"/>
        </w:trPr>
        <w:tc>
          <w:tcPr>
            <w:tcW w:w="726" w:type="dxa"/>
            <w:tcBorders>
              <w:top w:val="nil"/>
              <w:left w:val="single" w:sz="8" w:space="0" w:color="auto"/>
              <w:bottom w:val="nil"/>
              <w:right w:val="nil"/>
            </w:tcBorders>
            <w:shd w:val="clear" w:color="auto" w:fill="auto"/>
            <w:noWrap/>
            <w:vAlign w:val="bottom"/>
          </w:tcPr>
          <w:p w:rsidR="00432271" w:rsidRPr="00F52F8B" w:rsidRDefault="00432271" w:rsidP="00432271">
            <w:pPr>
              <w:jc w:val="center"/>
              <w:rPr>
                <w:rFonts w:ascii="SWISS" w:hAnsi="SWISS" w:cs="Arial"/>
                <w:color w:val="000000"/>
                <w:sz w:val="20"/>
                <w:szCs w:val="20"/>
              </w:rPr>
            </w:pPr>
          </w:p>
        </w:tc>
        <w:tc>
          <w:tcPr>
            <w:tcW w:w="3609"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r>
      <w:tr w:rsidR="00432271" w:rsidRPr="00F52F8B" w:rsidTr="00930BAA">
        <w:trPr>
          <w:trHeight w:val="294"/>
          <w:jc w:val="center"/>
        </w:trPr>
        <w:tc>
          <w:tcPr>
            <w:tcW w:w="726" w:type="dxa"/>
            <w:tcBorders>
              <w:top w:val="nil"/>
              <w:left w:val="single" w:sz="8" w:space="0" w:color="auto"/>
              <w:bottom w:val="nil"/>
              <w:right w:val="nil"/>
            </w:tcBorders>
            <w:shd w:val="clear" w:color="auto" w:fill="auto"/>
            <w:noWrap/>
            <w:vAlign w:val="bottom"/>
          </w:tcPr>
          <w:p w:rsidR="00432271" w:rsidRPr="00F52F8B" w:rsidRDefault="00432271" w:rsidP="00432271">
            <w:pPr>
              <w:jc w:val="center"/>
              <w:rPr>
                <w:rFonts w:ascii="SWISS" w:hAnsi="SWISS" w:cs="Arial"/>
                <w:color w:val="000000"/>
                <w:sz w:val="20"/>
                <w:szCs w:val="20"/>
              </w:rPr>
            </w:pPr>
            <w:r w:rsidRPr="00F52F8B">
              <w:rPr>
                <w:rFonts w:ascii="SWISS" w:hAnsi="SWISS" w:cs="Arial"/>
                <w:color w:val="000000"/>
                <w:sz w:val="20"/>
                <w:szCs w:val="20"/>
              </w:rPr>
              <w:t xml:space="preserve">  8.</w:t>
            </w:r>
          </w:p>
        </w:tc>
        <w:tc>
          <w:tcPr>
            <w:tcW w:w="3609"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b/>
                <w:bCs/>
                <w:color w:val="000000"/>
                <w:sz w:val="20"/>
                <w:szCs w:val="20"/>
              </w:rPr>
            </w:pPr>
            <w:r w:rsidRPr="00F52F8B">
              <w:rPr>
                <w:rFonts w:ascii="SWISS" w:hAnsi="SWISS" w:cs="Arial"/>
                <w:b/>
                <w:bCs/>
                <w:color w:val="000000"/>
                <w:sz w:val="20"/>
                <w:szCs w:val="20"/>
              </w:rPr>
              <w:t xml:space="preserve">WATER RATE BASE           </w:t>
            </w:r>
          </w:p>
        </w:tc>
        <w:tc>
          <w:tcPr>
            <w:tcW w:w="1857"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u w:val="double"/>
              </w:rPr>
            </w:pPr>
            <w:r w:rsidRPr="00F52F8B">
              <w:rPr>
                <w:rFonts w:ascii="SWISS" w:hAnsi="SWISS" w:cs="Arial"/>
                <w:sz w:val="20"/>
                <w:szCs w:val="20"/>
                <w:u w:val="double"/>
              </w:rPr>
              <w:t xml:space="preserve">$25,882 </w:t>
            </w: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u w:val="double"/>
              </w:rPr>
            </w:pPr>
          </w:p>
        </w:tc>
        <w:tc>
          <w:tcPr>
            <w:tcW w:w="1857" w:type="dxa"/>
            <w:tcBorders>
              <w:top w:val="nil"/>
              <w:left w:val="nil"/>
              <w:bottom w:val="nil"/>
              <w:right w:val="nil"/>
            </w:tcBorders>
            <w:shd w:val="clear" w:color="auto" w:fill="auto"/>
            <w:noWrap/>
            <w:vAlign w:val="bottom"/>
          </w:tcPr>
          <w:p w:rsidR="00432271" w:rsidRPr="00F52F8B" w:rsidRDefault="00432271" w:rsidP="00B5535D">
            <w:pPr>
              <w:jc w:val="right"/>
              <w:rPr>
                <w:rFonts w:ascii="SWISS" w:hAnsi="SWISS" w:cs="Arial"/>
                <w:sz w:val="20"/>
                <w:szCs w:val="20"/>
                <w:u w:val="double"/>
              </w:rPr>
            </w:pPr>
            <w:r w:rsidRPr="00F52F8B">
              <w:rPr>
                <w:rFonts w:ascii="SWISS" w:hAnsi="SWISS" w:cs="Arial"/>
                <w:sz w:val="20"/>
                <w:szCs w:val="20"/>
                <w:u w:val="double"/>
              </w:rPr>
              <w:t>$3</w:t>
            </w:r>
            <w:r>
              <w:rPr>
                <w:rFonts w:ascii="SWISS" w:hAnsi="SWISS" w:cs="Arial"/>
                <w:sz w:val="20"/>
                <w:szCs w:val="20"/>
                <w:u w:val="double"/>
              </w:rPr>
              <w:t>1</w:t>
            </w:r>
            <w:r w:rsidRPr="00F52F8B">
              <w:rPr>
                <w:rFonts w:ascii="SWISS" w:hAnsi="SWISS" w:cs="Arial"/>
                <w:sz w:val="20"/>
                <w:szCs w:val="20"/>
                <w:u w:val="double"/>
              </w:rPr>
              <w:t>,</w:t>
            </w:r>
            <w:r w:rsidR="00B5535D">
              <w:rPr>
                <w:rFonts w:ascii="SWISS" w:hAnsi="SWISS" w:cs="Arial"/>
                <w:sz w:val="20"/>
                <w:szCs w:val="20"/>
                <w:u w:val="double"/>
              </w:rPr>
              <w:t>718</w:t>
            </w:r>
            <w:r w:rsidRPr="00F52F8B">
              <w:rPr>
                <w:rFonts w:ascii="SWISS" w:hAnsi="SWISS" w:cs="Arial"/>
                <w:sz w:val="20"/>
                <w:szCs w:val="20"/>
                <w:u w:val="double"/>
              </w:rPr>
              <w:t xml:space="preserve"> </w:t>
            </w: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u w:val="double"/>
              </w:rPr>
            </w:pPr>
          </w:p>
        </w:tc>
        <w:tc>
          <w:tcPr>
            <w:tcW w:w="1857" w:type="dxa"/>
            <w:tcBorders>
              <w:top w:val="nil"/>
              <w:left w:val="nil"/>
              <w:bottom w:val="nil"/>
              <w:right w:val="single" w:sz="8" w:space="0" w:color="auto"/>
            </w:tcBorders>
            <w:shd w:val="clear" w:color="auto" w:fill="auto"/>
            <w:noWrap/>
            <w:vAlign w:val="bottom"/>
          </w:tcPr>
          <w:p w:rsidR="00432271" w:rsidRPr="00F52F8B" w:rsidRDefault="00432271" w:rsidP="00B5535D">
            <w:pPr>
              <w:jc w:val="right"/>
              <w:rPr>
                <w:rFonts w:ascii="SWISS" w:hAnsi="SWISS" w:cs="Arial"/>
                <w:sz w:val="20"/>
                <w:szCs w:val="20"/>
                <w:u w:val="double"/>
              </w:rPr>
            </w:pPr>
            <w:r w:rsidRPr="00F52F8B">
              <w:rPr>
                <w:rFonts w:ascii="SWISS" w:hAnsi="SWISS" w:cs="Arial"/>
                <w:sz w:val="20"/>
                <w:szCs w:val="20"/>
                <w:u w:val="double"/>
              </w:rPr>
              <w:t>$3</w:t>
            </w:r>
            <w:r>
              <w:rPr>
                <w:rFonts w:ascii="SWISS" w:hAnsi="SWISS" w:cs="Arial"/>
                <w:sz w:val="20"/>
                <w:szCs w:val="20"/>
                <w:u w:val="double"/>
              </w:rPr>
              <w:t>1</w:t>
            </w:r>
            <w:r w:rsidRPr="00F52F8B">
              <w:rPr>
                <w:rFonts w:ascii="SWISS" w:hAnsi="SWISS" w:cs="Arial"/>
                <w:sz w:val="20"/>
                <w:szCs w:val="20"/>
                <w:u w:val="double"/>
              </w:rPr>
              <w:t>,</w:t>
            </w:r>
            <w:r w:rsidR="00B5535D">
              <w:rPr>
                <w:rFonts w:ascii="SWISS" w:hAnsi="SWISS" w:cs="Arial"/>
                <w:sz w:val="20"/>
                <w:szCs w:val="20"/>
                <w:u w:val="double"/>
              </w:rPr>
              <w:t>718</w:t>
            </w:r>
          </w:p>
        </w:tc>
      </w:tr>
      <w:tr w:rsidR="00432271" w:rsidRPr="00F52F8B" w:rsidTr="00930BAA">
        <w:trPr>
          <w:trHeight w:val="294"/>
          <w:jc w:val="center"/>
        </w:trPr>
        <w:tc>
          <w:tcPr>
            <w:tcW w:w="726" w:type="dxa"/>
            <w:tcBorders>
              <w:top w:val="nil"/>
              <w:left w:val="single" w:sz="8" w:space="0" w:color="auto"/>
              <w:bottom w:val="nil"/>
              <w:right w:val="nil"/>
            </w:tcBorders>
            <w:shd w:val="clear" w:color="auto" w:fill="auto"/>
            <w:noWrap/>
            <w:vAlign w:val="bottom"/>
          </w:tcPr>
          <w:p w:rsidR="00432271" w:rsidRPr="00F52F8B" w:rsidRDefault="00432271" w:rsidP="00432271">
            <w:pPr>
              <w:jc w:val="center"/>
              <w:rPr>
                <w:rFonts w:ascii="SWISS" w:hAnsi="SWISS" w:cs="Arial"/>
                <w:color w:val="000000"/>
                <w:sz w:val="20"/>
                <w:szCs w:val="20"/>
              </w:rPr>
            </w:pPr>
          </w:p>
        </w:tc>
        <w:tc>
          <w:tcPr>
            <w:tcW w:w="3609"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1857"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r>
      <w:tr w:rsidR="00432271" w:rsidRPr="00F52F8B" w:rsidTr="00930BAA">
        <w:trPr>
          <w:trHeight w:val="294"/>
          <w:jc w:val="center"/>
        </w:trPr>
        <w:tc>
          <w:tcPr>
            <w:tcW w:w="726" w:type="dxa"/>
            <w:tcBorders>
              <w:top w:val="nil"/>
              <w:left w:val="single" w:sz="8" w:space="0" w:color="auto"/>
              <w:bottom w:val="nil"/>
              <w:right w:val="nil"/>
            </w:tcBorders>
            <w:shd w:val="clear" w:color="auto" w:fill="auto"/>
            <w:noWrap/>
            <w:vAlign w:val="bottom"/>
          </w:tcPr>
          <w:p w:rsidR="00432271" w:rsidRPr="00F52F8B" w:rsidRDefault="00432271" w:rsidP="00432271">
            <w:pPr>
              <w:jc w:val="center"/>
              <w:rPr>
                <w:rFonts w:ascii="SWISS" w:hAnsi="SWISS" w:cs="Arial"/>
                <w:color w:val="000000"/>
                <w:sz w:val="20"/>
                <w:szCs w:val="20"/>
              </w:rPr>
            </w:pPr>
            <w:r w:rsidRPr="00F52F8B">
              <w:rPr>
                <w:rFonts w:ascii="SWISS" w:hAnsi="SWISS" w:cs="Arial"/>
                <w:color w:val="000000"/>
                <w:sz w:val="20"/>
                <w:szCs w:val="20"/>
              </w:rPr>
              <w:t xml:space="preserve">  9.</w:t>
            </w:r>
          </w:p>
        </w:tc>
        <w:tc>
          <w:tcPr>
            <w:tcW w:w="3609"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b/>
                <w:bCs/>
                <w:color w:val="000000"/>
                <w:sz w:val="20"/>
                <w:szCs w:val="20"/>
              </w:rPr>
            </w:pPr>
            <w:r w:rsidRPr="00F52F8B">
              <w:rPr>
                <w:rFonts w:ascii="SWISS" w:hAnsi="SWISS" w:cs="Arial"/>
                <w:b/>
                <w:bCs/>
                <w:color w:val="000000"/>
                <w:sz w:val="20"/>
                <w:szCs w:val="20"/>
              </w:rPr>
              <w:t>RATE OF RETURN</w:t>
            </w: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u w:val="double"/>
              </w:rPr>
            </w:pPr>
            <w:r w:rsidRPr="00780DB4">
              <w:rPr>
                <w:rFonts w:ascii="SWISS" w:hAnsi="SWISS" w:cs="Arial"/>
                <w:sz w:val="20"/>
                <w:szCs w:val="20"/>
              </w:rPr>
              <w:t xml:space="preserve">                      </w:t>
            </w:r>
            <w:r w:rsidRPr="00F52F8B">
              <w:rPr>
                <w:rFonts w:ascii="SWISS" w:hAnsi="SWISS" w:cs="Arial"/>
                <w:sz w:val="20"/>
                <w:szCs w:val="20"/>
                <w:u w:val="double"/>
              </w:rPr>
              <w:t>(</w:t>
            </w:r>
            <w:r>
              <w:rPr>
                <w:rFonts w:ascii="SWISS" w:hAnsi="SWISS" w:cs="Arial"/>
                <w:sz w:val="20"/>
                <w:szCs w:val="20"/>
                <w:u w:val="double"/>
              </w:rPr>
              <w:t>23</w:t>
            </w:r>
            <w:r w:rsidRPr="00F52F8B">
              <w:rPr>
                <w:rFonts w:ascii="SWISS" w:hAnsi="SWISS" w:cs="Arial"/>
                <w:sz w:val="20"/>
                <w:szCs w:val="20"/>
                <w:u w:val="double"/>
              </w:rPr>
              <w:t>.</w:t>
            </w:r>
            <w:r>
              <w:rPr>
                <w:rFonts w:ascii="SWISS" w:hAnsi="SWISS" w:cs="Arial"/>
                <w:sz w:val="20"/>
                <w:szCs w:val="20"/>
                <w:u w:val="double"/>
              </w:rPr>
              <w:t>40</w:t>
            </w:r>
            <w:r w:rsidRPr="00F52F8B">
              <w:rPr>
                <w:rFonts w:ascii="SWISS" w:hAnsi="SWISS" w:cs="Arial"/>
                <w:sz w:val="20"/>
                <w:szCs w:val="20"/>
                <w:u w:val="double"/>
              </w:rPr>
              <w:t>%</w:t>
            </w:r>
            <w:r>
              <w:rPr>
                <w:rFonts w:ascii="SWISS" w:hAnsi="SWISS" w:cs="Arial"/>
                <w:sz w:val="20"/>
                <w:szCs w:val="20"/>
                <w:u w:val="double"/>
              </w:rPr>
              <w:t>)</w:t>
            </w: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u w:val="double"/>
              </w:rPr>
            </w:pPr>
          </w:p>
        </w:tc>
        <w:tc>
          <w:tcPr>
            <w:tcW w:w="1857" w:type="dxa"/>
            <w:tcBorders>
              <w:top w:val="nil"/>
              <w:left w:val="nil"/>
              <w:bottom w:val="nil"/>
              <w:right w:val="nil"/>
            </w:tcBorders>
            <w:shd w:val="clear" w:color="auto" w:fill="auto"/>
            <w:noWrap/>
            <w:vAlign w:val="bottom"/>
          </w:tcPr>
          <w:p w:rsidR="00432271" w:rsidRPr="00F52F8B" w:rsidRDefault="00B5535D" w:rsidP="00432271">
            <w:pPr>
              <w:jc w:val="right"/>
              <w:rPr>
                <w:rFonts w:ascii="SWISS" w:hAnsi="SWISS" w:cs="Arial"/>
                <w:sz w:val="20"/>
                <w:szCs w:val="20"/>
                <w:u w:val="double"/>
              </w:rPr>
            </w:pPr>
            <w:r>
              <w:rPr>
                <w:rFonts w:ascii="SWISS" w:hAnsi="SWISS" w:cs="Arial"/>
                <w:sz w:val="20"/>
                <w:szCs w:val="20"/>
                <w:u w:val="double"/>
              </w:rPr>
              <w:t>(0.38</w:t>
            </w:r>
            <w:r w:rsidR="00432271" w:rsidRPr="00F52F8B">
              <w:rPr>
                <w:rFonts w:ascii="SWISS" w:hAnsi="SWISS" w:cs="Arial"/>
                <w:sz w:val="20"/>
                <w:szCs w:val="20"/>
                <w:u w:val="double"/>
              </w:rPr>
              <w:t>%</w:t>
            </w:r>
            <w:r>
              <w:rPr>
                <w:rFonts w:ascii="SWISS" w:hAnsi="SWISS" w:cs="Arial"/>
                <w:sz w:val="20"/>
                <w:szCs w:val="20"/>
                <w:u w:val="double"/>
              </w:rPr>
              <w:t>)</w:t>
            </w:r>
          </w:p>
        </w:tc>
        <w:tc>
          <w:tcPr>
            <w:tcW w:w="1857"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u w:val="double"/>
              </w:rPr>
            </w:pPr>
          </w:p>
        </w:tc>
        <w:tc>
          <w:tcPr>
            <w:tcW w:w="1857"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u w:val="double"/>
              </w:rPr>
            </w:pPr>
            <w:r w:rsidRPr="00F52F8B">
              <w:rPr>
                <w:rFonts w:ascii="SWISS" w:hAnsi="SWISS" w:cs="Arial"/>
                <w:sz w:val="20"/>
                <w:szCs w:val="20"/>
                <w:u w:val="double"/>
              </w:rPr>
              <w:t>8.</w:t>
            </w:r>
            <w:r>
              <w:rPr>
                <w:rFonts w:ascii="SWISS" w:hAnsi="SWISS" w:cs="Arial"/>
                <w:sz w:val="20"/>
                <w:szCs w:val="20"/>
                <w:u w:val="double"/>
              </w:rPr>
              <w:t>53</w:t>
            </w:r>
            <w:r w:rsidRPr="00F52F8B">
              <w:rPr>
                <w:rFonts w:ascii="SWISS" w:hAnsi="SWISS" w:cs="Arial"/>
                <w:sz w:val="20"/>
                <w:szCs w:val="20"/>
                <w:u w:val="double"/>
              </w:rPr>
              <w:t>%</w:t>
            </w:r>
          </w:p>
        </w:tc>
      </w:tr>
      <w:tr w:rsidR="00432271" w:rsidRPr="00F52F8B" w:rsidTr="00930BAA">
        <w:trPr>
          <w:trHeight w:val="306"/>
          <w:jc w:val="center"/>
        </w:trPr>
        <w:tc>
          <w:tcPr>
            <w:tcW w:w="726" w:type="dxa"/>
            <w:tcBorders>
              <w:top w:val="nil"/>
              <w:left w:val="single" w:sz="8" w:space="0" w:color="auto"/>
              <w:bottom w:val="single" w:sz="8" w:space="0" w:color="auto"/>
              <w:right w:val="nil"/>
            </w:tcBorders>
            <w:shd w:val="clear" w:color="auto" w:fill="auto"/>
            <w:noWrap/>
            <w:vAlign w:val="bottom"/>
          </w:tcPr>
          <w:p w:rsidR="00432271" w:rsidRPr="00F52F8B" w:rsidRDefault="00432271" w:rsidP="00432271">
            <w:pPr>
              <w:jc w:val="center"/>
              <w:rPr>
                <w:rFonts w:ascii="SWISS" w:hAnsi="SWISS" w:cs="Arial"/>
                <w:color w:val="000000"/>
                <w:sz w:val="20"/>
                <w:szCs w:val="20"/>
              </w:rPr>
            </w:pPr>
          </w:p>
        </w:tc>
        <w:tc>
          <w:tcPr>
            <w:tcW w:w="3609" w:type="dxa"/>
            <w:tcBorders>
              <w:top w:val="nil"/>
              <w:left w:val="nil"/>
              <w:bottom w:val="single" w:sz="8" w:space="0" w:color="auto"/>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857" w:type="dxa"/>
            <w:tcBorders>
              <w:top w:val="nil"/>
              <w:left w:val="nil"/>
              <w:bottom w:val="single" w:sz="8" w:space="0" w:color="auto"/>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857" w:type="dxa"/>
            <w:tcBorders>
              <w:top w:val="nil"/>
              <w:left w:val="nil"/>
              <w:bottom w:val="single" w:sz="8" w:space="0" w:color="auto"/>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857" w:type="dxa"/>
            <w:tcBorders>
              <w:top w:val="nil"/>
              <w:left w:val="nil"/>
              <w:bottom w:val="single" w:sz="8" w:space="0" w:color="auto"/>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857" w:type="dxa"/>
            <w:tcBorders>
              <w:top w:val="nil"/>
              <w:left w:val="nil"/>
              <w:bottom w:val="single" w:sz="8" w:space="0" w:color="auto"/>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857" w:type="dxa"/>
            <w:tcBorders>
              <w:top w:val="nil"/>
              <w:left w:val="nil"/>
              <w:bottom w:val="single" w:sz="8" w:space="0" w:color="auto"/>
              <w:right w:val="single" w:sz="8" w:space="0" w:color="auto"/>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r>
    </w:tbl>
    <w:p w:rsidR="00432271" w:rsidRDefault="00432271" w:rsidP="00E275D8">
      <w:pPr>
        <w:pStyle w:val="BodyText"/>
        <w:sectPr w:rsidR="00432271" w:rsidSect="00432271">
          <w:headerReference w:type="default" r:id="rId23"/>
          <w:pgSz w:w="15840" w:h="12240" w:orient="landscape" w:code="1"/>
          <w:pgMar w:top="1440" w:right="1584" w:bottom="1440" w:left="1440" w:header="720" w:footer="720" w:gutter="0"/>
          <w:cols w:space="720"/>
          <w:formProt w:val="0"/>
          <w:docGrid w:linePitch="360"/>
        </w:sectPr>
      </w:pPr>
    </w:p>
    <w:tbl>
      <w:tblPr>
        <w:tblpPr w:leftFromText="180" w:rightFromText="180" w:vertAnchor="text" w:tblpXSpec="center" w:tblpY="23"/>
        <w:tblW w:w="9934" w:type="dxa"/>
        <w:tblCellMar>
          <w:left w:w="0" w:type="dxa"/>
          <w:right w:w="0" w:type="dxa"/>
        </w:tblCellMar>
        <w:tblLook w:val="0000" w:firstRow="0" w:lastRow="0" w:firstColumn="0" w:lastColumn="0" w:noHBand="0" w:noVBand="0"/>
      </w:tblPr>
      <w:tblGrid>
        <w:gridCol w:w="1222"/>
        <w:gridCol w:w="7759"/>
        <w:gridCol w:w="1001"/>
      </w:tblGrid>
      <w:tr w:rsidR="00432271" w:rsidRPr="00F52F8B" w:rsidTr="0098003B">
        <w:trPr>
          <w:trHeight w:val="53"/>
        </w:trPr>
        <w:tc>
          <w:tcPr>
            <w:tcW w:w="1206" w:type="dxa"/>
            <w:tcBorders>
              <w:top w:val="single" w:sz="8" w:space="0" w:color="auto"/>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lastRenderedPageBreak/>
              <w:t> </w:t>
            </w:r>
          </w:p>
        </w:tc>
        <w:tc>
          <w:tcPr>
            <w:tcW w:w="8728" w:type="dxa"/>
            <w:gridSpan w:val="2"/>
            <w:tcBorders>
              <w:top w:val="single" w:sz="8" w:space="0" w:color="auto"/>
              <w:left w:val="nil"/>
              <w:bottom w:val="nil"/>
              <w:right w:val="single" w:sz="8" w:space="0" w:color="auto"/>
            </w:tcBorders>
            <w:shd w:val="clear" w:color="auto" w:fill="auto"/>
            <w:noWrap/>
            <w:vAlign w:val="bottom"/>
          </w:tcPr>
          <w:p w:rsidR="00432271" w:rsidRPr="00F52F8B" w:rsidRDefault="00432271" w:rsidP="00DF395A">
            <w:pPr>
              <w:jc w:val="both"/>
              <w:rPr>
                <w:rFonts w:ascii="SWISS" w:hAnsi="SWISS" w:cs="Arial"/>
                <w:b/>
                <w:bCs/>
                <w:color w:val="000000"/>
                <w:sz w:val="20"/>
                <w:szCs w:val="20"/>
              </w:rPr>
            </w:pPr>
            <w:r w:rsidRPr="00F52F8B">
              <w:rPr>
                <w:rFonts w:ascii="SWISS" w:hAnsi="SWISS" w:cs="Arial"/>
                <w:b/>
                <w:bCs/>
                <w:color w:val="000000"/>
                <w:sz w:val="20"/>
                <w:szCs w:val="20"/>
              </w:rPr>
              <w:t>ALTURAS UTILITIES, L</w:t>
            </w:r>
            <w:r>
              <w:rPr>
                <w:rFonts w:ascii="SWISS" w:hAnsi="SWISS" w:cs="Arial"/>
                <w:b/>
                <w:bCs/>
                <w:color w:val="000000"/>
                <w:sz w:val="20"/>
                <w:szCs w:val="20"/>
              </w:rPr>
              <w:t>.</w:t>
            </w:r>
            <w:r w:rsidRPr="00F52F8B">
              <w:rPr>
                <w:rFonts w:ascii="SWISS" w:hAnsi="SWISS" w:cs="Arial"/>
                <w:b/>
                <w:bCs/>
                <w:color w:val="000000"/>
                <w:sz w:val="20"/>
                <w:szCs w:val="20"/>
              </w:rPr>
              <w:t>L</w:t>
            </w:r>
            <w:r>
              <w:rPr>
                <w:rFonts w:ascii="SWISS" w:hAnsi="SWISS" w:cs="Arial"/>
                <w:b/>
                <w:bCs/>
                <w:color w:val="000000"/>
                <w:sz w:val="20"/>
                <w:szCs w:val="20"/>
              </w:rPr>
              <w:t>.C</w:t>
            </w:r>
            <w:r w:rsidR="0081418B">
              <w:rPr>
                <w:rFonts w:ascii="SWISS" w:hAnsi="SWISS" w:cs="Arial"/>
                <w:b/>
                <w:bCs/>
                <w:color w:val="000000"/>
                <w:sz w:val="20"/>
                <w:szCs w:val="20"/>
              </w:rPr>
              <w:t xml:space="preserve">. </w:t>
            </w:r>
            <w:r w:rsidRPr="00F52F8B">
              <w:rPr>
                <w:rFonts w:ascii="SWISS" w:hAnsi="SWISS" w:cs="Arial"/>
                <w:b/>
                <w:bCs/>
                <w:color w:val="000000"/>
                <w:sz w:val="20"/>
                <w:szCs w:val="20"/>
              </w:rPr>
              <w:t xml:space="preserve">                                                                </w:t>
            </w:r>
            <w:r>
              <w:rPr>
                <w:rFonts w:ascii="SWISS" w:hAnsi="SWISS" w:cs="Arial"/>
                <w:b/>
                <w:bCs/>
                <w:color w:val="000000"/>
                <w:sz w:val="20"/>
                <w:szCs w:val="20"/>
              </w:rPr>
              <w:t xml:space="preserve"> </w:t>
            </w:r>
            <w:r w:rsidRPr="00F52F8B">
              <w:rPr>
                <w:rFonts w:ascii="SWISS" w:hAnsi="SWISS" w:cs="Arial"/>
                <w:b/>
                <w:bCs/>
                <w:color w:val="000000"/>
                <w:sz w:val="20"/>
                <w:szCs w:val="20"/>
              </w:rPr>
              <w:t xml:space="preserve">     </w:t>
            </w:r>
            <w:r>
              <w:rPr>
                <w:rFonts w:ascii="SWISS" w:hAnsi="SWISS" w:cs="Arial"/>
                <w:b/>
                <w:bCs/>
                <w:color w:val="000000"/>
                <w:sz w:val="20"/>
                <w:szCs w:val="20"/>
              </w:rPr>
              <w:t xml:space="preserve"> </w:t>
            </w:r>
            <w:r w:rsidRPr="00F52F8B">
              <w:rPr>
                <w:rFonts w:ascii="SWISS" w:hAnsi="SWISS" w:cs="Arial"/>
                <w:b/>
                <w:bCs/>
                <w:color w:val="000000"/>
                <w:sz w:val="20"/>
                <w:szCs w:val="20"/>
              </w:rPr>
              <w:t xml:space="preserve">      </w:t>
            </w:r>
            <w:r w:rsidR="00DF395A">
              <w:rPr>
                <w:rFonts w:ascii="SWISS" w:hAnsi="SWISS" w:cs="Arial"/>
                <w:b/>
                <w:bCs/>
                <w:color w:val="000000"/>
                <w:sz w:val="20"/>
                <w:szCs w:val="20"/>
              </w:rPr>
              <w:t xml:space="preserve">  </w:t>
            </w:r>
            <w:r w:rsidRPr="00F52F8B">
              <w:rPr>
                <w:rFonts w:ascii="SWISS" w:hAnsi="SWISS" w:cs="Arial"/>
                <w:b/>
                <w:bCs/>
                <w:color w:val="000000"/>
                <w:sz w:val="20"/>
                <w:szCs w:val="20"/>
              </w:rPr>
              <w:t>SCHEDULE NO. 3-B</w:t>
            </w:r>
            <w:r w:rsidRPr="00F52F8B">
              <w:rPr>
                <w:sz w:val="20"/>
                <w:szCs w:val="20"/>
              </w:rPr>
              <w:fldChar w:fldCharType="begin"/>
            </w:r>
            <w:r w:rsidRPr="00F52F8B">
              <w:rPr>
                <w:sz w:val="20"/>
                <w:szCs w:val="20"/>
              </w:rPr>
              <w:instrText xml:space="preserve"> TC "</w:instrText>
            </w:r>
            <w:bookmarkStart w:id="50" w:name="_Toc399147320"/>
            <w:r w:rsidRPr="00F52F8B">
              <w:rPr>
                <w:sz w:val="20"/>
                <w:szCs w:val="20"/>
              </w:rPr>
              <w:tab/>
            </w:r>
            <w:bookmarkStart w:id="51" w:name="_Toc422220890"/>
            <w:bookmarkStart w:id="52" w:name="_Toc442961348"/>
            <w:bookmarkStart w:id="53" w:name="_Toc443485030"/>
            <w:r w:rsidRPr="00F52F8B">
              <w:rPr>
                <w:sz w:val="20"/>
                <w:szCs w:val="20"/>
              </w:rPr>
              <w:instrText>Schedule No. 3-B  Adjustments to NOI</w:instrText>
            </w:r>
            <w:bookmarkEnd w:id="50"/>
            <w:bookmarkEnd w:id="51"/>
            <w:bookmarkEnd w:id="52"/>
            <w:bookmarkEnd w:id="53"/>
            <w:r w:rsidRPr="00F52F8B">
              <w:rPr>
                <w:sz w:val="20"/>
                <w:szCs w:val="20"/>
              </w:rPr>
              <w:instrText xml:space="preserve">”\l 1 </w:instrText>
            </w:r>
            <w:r w:rsidRPr="00F52F8B">
              <w:rPr>
                <w:sz w:val="20"/>
                <w:szCs w:val="20"/>
              </w:rPr>
              <w:fldChar w:fldCharType="end"/>
            </w: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w:t>
            </w:r>
          </w:p>
        </w:tc>
        <w:tc>
          <w:tcPr>
            <w:tcW w:w="8728" w:type="dxa"/>
            <w:gridSpan w:val="2"/>
            <w:tcBorders>
              <w:top w:val="nil"/>
              <w:left w:val="nil"/>
              <w:bottom w:val="nil"/>
              <w:right w:val="single" w:sz="8" w:space="0" w:color="auto"/>
            </w:tcBorders>
            <w:shd w:val="clear" w:color="auto" w:fill="auto"/>
            <w:noWrap/>
            <w:vAlign w:val="bottom"/>
          </w:tcPr>
          <w:p w:rsidR="00432271" w:rsidRPr="00F52F8B" w:rsidRDefault="00432271" w:rsidP="00DF395A">
            <w:pPr>
              <w:ind w:left="-11"/>
              <w:jc w:val="both"/>
              <w:rPr>
                <w:rFonts w:ascii="SWISS" w:hAnsi="SWISS" w:cs="Arial"/>
                <w:b/>
                <w:bCs/>
                <w:color w:val="000000"/>
                <w:sz w:val="20"/>
                <w:szCs w:val="20"/>
              </w:rPr>
            </w:pPr>
            <w:r w:rsidRPr="00F52F8B">
              <w:rPr>
                <w:rFonts w:ascii="SWISS" w:hAnsi="SWISS" w:cs="Arial"/>
                <w:b/>
                <w:bCs/>
                <w:color w:val="000000"/>
                <w:sz w:val="20"/>
                <w:szCs w:val="20"/>
              </w:rPr>
              <w:t xml:space="preserve">TEST YEAR ENDED 12/31/14                                                                  </w:t>
            </w:r>
            <w:r>
              <w:rPr>
                <w:rFonts w:ascii="SWISS" w:hAnsi="SWISS" w:cs="Arial"/>
                <w:b/>
                <w:bCs/>
                <w:color w:val="000000"/>
                <w:sz w:val="20"/>
                <w:szCs w:val="20"/>
              </w:rPr>
              <w:t xml:space="preserve">    </w:t>
            </w:r>
            <w:r w:rsidRPr="00F52F8B">
              <w:rPr>
                <w:rFonts w:ascii="SWISS" w:hAnsi="SWISS" w:cs="Arial"/>
                <w:b/>
                <w:bCs/>
                <w:color w:val="000000"/>
                <w:sz w:val="20"/>
                <w:szCs w:val="20"/>
              </w:rPr>
              <w:t xml:space="preserve">  DOCKET NO. 140219-WU</w:t>
            </w:r>
          </w:p>
        </w:tc>
      </w:tr>
      <w:tr w:rsidR="00432271" w:rsidRPr="00F52F8B" w:rsidTr="0098003B">
        <w:trPr>
          <w:trHeight w:val="56"/>
        </w:trPr>
        <w:tc>
          <w:tcPr>
            <w:tcW w:w="1206" w:type="dxa"/>
            <w:tcBorders>
              <w:top w:val="nil"/>
              <w:left w:val="single" w:sz="8" w:space="0" w:color="auto"/>
              <w:bottom w:val="single" w:sz="8" w:space="0" w:color="auto"/>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w:t>
            </w:r>
          </w:p>
        </w:tc>
        <w:tc>
          <w:tcPr>
            <w:tcW w:w="8728" w:type="dxa"/>
            <w:gridSpan w:val="2"/>
            <w:tcBorders>
              <w:top w:val="nil"/>
              <w:left w:val="nil"/>
              <w:bottom w:val="single" w:sz="8" w:space="0" w:color="auto"/>
              <w:right w:val="single" w:sz="8" w:space="0" w:color="auto"/>
            </w:tcBorders>
            <w:shd w:val="clear" w:color="auto" w:fill="auto"/>
            <w:noWrap/>
            <w:vAlign w:val="bottom"/>
          </w:tcPr>
          <w:p w:rsidR="00432271" w:rsidRPr="00F52F8B" w:rsidRDefault="00432271" w:rsidP="00DF395A">
            <w:pPr>
              <w:jc w:val="both"/>
              <w:rPr>
                <w:rFonts w:ascii="SWISS" w:hAnsi="SWISS" w:cs="Arial"/>
                <w:b/>
                <w:bCs/>
                <w:color w:val="000000"/>
                <w:sz w:val="20"/>
                <w:szCs w:val="20"/>
              </w:rPr>
            </w:pPr>
            <w:r w:rsidRPr="00F52F8B">
              <w:rPr>
                <w:rFonts w:ascii="SWISS" w:hAnsi="SWISS" w:cs="Arial"/>
                <w:b/>
                <w:bCs/>
                <w:sz w:val="20"/>
                <w:szCs w:val="20"/>
              </w:rPr>
              <w:t xml:space="preserve">ADJUSTMENTS TO OPERATING INCOME          </w:t>
            </w:r>
            <w:r>
              <w:rPr>
                <w:rFonts w:ascii="SWISS" w:hAnsi="SWISS" w:cs="Arial"/>
                <w:b/>
                <w:bCs/>
                <w:sz w:val="20"/>
                <w:szCs w:val="20"/>
              </w:rPr>
              <w:t xml:space="preserve">                                  </w:t>
            </w:r>
            <w:r w:rsidRPr="00F52F8B">
              <w:rPr>
                <w:rFonts w:ascii="SWISS" w:hAnsi="SWISS" w:cs="Arial"/>
                <w:b/>
                <w:bCs/>
                <w:sz w:val="20"/>
                <w:szCs w:val="20"/>
              </w:rPr>
              <w:t xml:space="preserve">        </w:t>
            </w:r>
            <w:r>
              <w:rPr>
                <w:rFonts w:ascii="SWISS" w:hAnsi="SWISS" w:cs="Arial"/>
                <w:b/>
                <w:bCs/>
                <w:sz w:val="20"/>
                <w:szCs w:val="20"/>
              </w:rPr>
              <w:t xml:space="preserve">                     </w:t>
            </w:r>
            <w:r w:rsidRPr="00F52F8B">
              <w:rPr>
                <w:rFonts w:ascii="SWISS" w:hAnsi="SWISS" w:cs="Arial"/>
                <w:b/>
                <w:bCs/>
                <w:color w:val="000000"/>
                <w:sz w:val="20"/>
                <w:szCs w:val="20"/>
              </w:rPr>
              <w:t>Page 1 of 2</w:t>
            </w: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w:t>
            </w: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b/>
                <w:bCs/>
                <w:color w:val="000000"/>
                <w:sz w:val="20"/>
                <w:szCs w:val="20"/>
                <w:u w:val="single"/>
              </w:rPr>
            </w:pP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b/>
                <w:bCs/>
                <w:sz w:val="20"/>
                <w:szCs w:val="20"/>
              </w:rPr>
            </w:pP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color w:val="000000"/>
                <w:sz w:val="20"/>
                <w:szCs w:val="20"/>
              </w:rPr>
            </w:pP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ind w:left="10"/>
              <w:jc w:val="right"/>
              <w:rPr>
                <w:rFonts w:ascii="SWISS" w:hAnsi="SWISS" w:cs="Arial"/>
                <w:sz w:val="20"/>
                <w:szCs w:val="20"/>
              </w:rPr>
            </w:pP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b/>
                <w:bCs/>
                <w:sz w:val="20"/>
                <w:szCs w:val="20"/>
              </w:rPr>
            </w:pPr>
            <w:r w:rsidRPr="00F52F8B">
              <w:rPr>
                <w:rFonts w:ascii="SWISS" w:hAnsi="SWISS" w:cs="Arial"/>
                <w:b/>
                <w:bCs/>
                <w:sz w:val="20"/>
                <w:szCs w:val="20"/>
              </w:rPr>
              <w:t>OPERATING REVENUES</w:t>
            </w: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ind w:left="331"/>
              <w:rPr>
                <w:rFonts w:ascii="SWISS" w:hAnsi="SWISS" w:cs="Arial"/>
                <w:sz w:val="20"/>
                <w:szCs w:val="20"/>
              </w:rPr>
            </w:pP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rPr>
            </w:pP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ind w:left="331"/>
              <w:rPr>
                <w:rFonts w:ascii="SWISS" w:hAnsi="SWISS" w:cs="Arial"/>
                <w:sz w:val="20"/>
                <w:szCs w:val="20"/>
              </w:rPr>
            </w:pPr>
            <w:r>
              <w:rPr>
                <w:rFonts w:ascii="SWISS" w:hAnsi="SWISS" w:cs="Arial"/>
                <w:sz w:val="20"/>
                <w:szCs w:val="20"/>
              </w:rPr>
              <w:t xml:space="preserve">        </w:t>
            </w:r>
            <w:r w:rsidRPr="00F52F8B">
              <w:rPr>
                <w:rFonts w:ascii="SWISS" w:hAnsi="SWISS" w:cs="Arial"/>
                <w:sz w:val="20"/>
                <w:szCs w:val="20"/>
              </w:rPr>
              <w:t xml:space="preserve">  1.</w:t>
            </w: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To reflect the appropriate test year revenues.</w:t>
            </w: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rPr>
            </w:pPr>
            <w:r>
              <w:rPr>
                <w:rFonts w:ascii="SWISS" w:hAnsi="SWISS" w:cs="Arial"/>
                <w:sz w:val="20"/>
                <w:szCs w:val="20"/>
              </w:rPr>
              <w:t>(</w:t>
            </w:r>
            <w:r w:rsidRPr="00F52F8B">
              <w:rPr>
                <w:rFonts w:ascii="SWISS" w:hAnsi="SWISS" w:cs="Arial"/>
                <w:sz w:val="20"/>
                <w:szCs w:val="20"/>
              </w:rPr>
              <w:t>$18</w:t>
            </w:r>
            <w:r>
              <w:rPr>
                <w:rFonts w:ascii="SWISS" w:hAnsi="SWISS" w:cs="Arial"/>
                <w:sz w:val="20"/>
                <w:szCs w:val="20"/>
              </w:rPr>
              <w:t>4)</w:t>
            </w: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tabs>
                <w:tab w:val="left" w:pos="745"/>
              </w:tabs>
              <w:ind w:left="331"/>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w:t>
            </w:r>
            <w:r w:rsidRPr="00F52F8B">
              <w:rPr>
                <w:rFonts w:ascii="SWISS" w:hAnsi="SWISS" w:cs="Arial"/>
                <w:sz w:val="20"/>
                <w:szCs w:val="20"/>
              </w:rPr>
              <w:t xml:space="preserve"> 2.</w:t>
            </w: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To reflect the appropriate test year miscellaneous service revenues.</w:t>
            </w: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u w:val="single"/>
              </w:rPr>
            </w:pPr>
            <w:r w:rsidRPr="00F52F8B">
              <w:rPr>
                <w:rFonts w:ascii="SWISS" w:hAnsi="SWISS" w:cs="Arial"/>
                <w:sz w:val="20"/>
                <w:szCs w:val="20"/>
                <w:u w:val="single"/>
              </w:rPr>
              <w:t xml:space="preserve">150 </w:t>
            </w: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ind w:left="331"/>
              <w:jc w:val="right"/>
              <w:rPr>
                <w:rFonts w:ascii="SWISS" w:hAnsi="SWISS" w:cs="Arial"/>
                <w:sz w:val="20"/>
                <w:szCs w:val="20"/>
              </w:rPr>
            </w:pP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xml:space="preserve">       Subtotal</w:t>
            </w: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u w:val="double"/>
              </w:rPr>
            </w:pPr>
            <w:r>
              <w:rPr>
                <w:rFonts w:ascii="SWISS" w:hAnsi="SWISS" w:cs="Arial"/>
                <w:sz w:val="20"/>
                <w:szCs w:val="20"/>
                <w:u w:val="double"/>
              </w:rPr>
              <w:t>(</w:t>
            </w:r>
            <w:r w:rsidRPr="00F52F8B">
              <w:rPr>
                <w:rFonts w:ascii="SWISS" w:hAnsi="SWISS" w:cs="Arial"/>
                <w:sz w:val="20"/>
                <w:szCs w:val="20"/>
                <w:u w:val="double"/>
              </w:rPr>
              <w:t>$</w:t>
            </w:r>
            <w:r>
              <w:rPr>
                <w:rFonts w:ascii="SWISS" w:hAnsi="SWISS" w:cs="Arial"/>
                <w:sz w:val="20"/>
                <w:szCs w:val="20"/>
                <w:u w:val="double"/>
              </w:rPr>
              <w:t>34)</w:t>
            </w: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b/>
                <w:bCs/>
                <w:sz w:val="20"/>
                <w:szCs w:val="20"/>
              </w:rPr>
            </w:pP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w:t>
            </w: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b/>
                <w:bCs/>
                <w:sz w:val="20"/>
                <w:szCs w:val="20"/>
              </w:rPr>
            </w:pPr>
            <w:r w:rsidRPr="00F52F8B">
              <w:rPr>
                <w:rFonts w:ascii="SWISS" w:hAnsi="SWISS" w:cs="Arial"/>
                <w:b/>
                <w:bCs/>
                <w:sz w:val="20"/>
                <w:szCs w:val="20"/>
              </w:rPr>
              <w:t>OPERATION AND MAINTENANCE EXPENSES</w:t>
            </w: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w:t>
            </w: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w:t>
            </w:r>
            <w:r w:rsidRPr="00F52F8B">
              <w:rPr>
                <w:rFonts w:ascii="SWISS" w:hAnsi="SWISS" w:cs="Arial"/>
                <w:sz w:val="20"/>
                <w:szCs w:val="20"/>
              </w:rPr>
              <w:t xml:space="preserve"> 1.</w:t>
            </w: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Salaries and Wages - Officers (603)</w:t>
            </w: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r>
      <w:tr w:rsidR="00432271" w:rsidRPr="00F52F8B" w:rsidTr="0098003B">
        <w:trPr>
          <w:trHeight w:val="56"/>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xml:space="preserve">         </w:t>
            </w:r>
          </w:p>
        </w:tc>
        <w:tc>
          <w:tcPr>
            <w:tcW w:w="7743" w:type="dxa"/>
            <w:tcBorders>
              <w:top w:val="nil"/>
              <w:left w:val="nil"/>
              <w:bottom w:val="nil"/>
              <w:right w:val="nil"/>
            </w:tcBorders>
            <w:shd w:val="clear" w:color="auto" w:fill="auto"/>
            <w:noWrap/>
            <w:vAlign w:val="bottom"/>
          </w:tcPr>
          <w:p w:rsidR="00432271" w:rsidRDefault="00432271" w:rsidP="00432271">
            <w:pPr>
              <w:rPr>
                <w:rFonts w:ascii="SWISS" w:hAnsi="SWISS" w:cs="Arial"/>
                <w:sz w:val="20"/>
                <w:szCs w:val="20"/>
              </w:rPr>
            </w:pPr>
            <w:r>
              <w:rPr>
                <w:rFonts w:ascii="SWISS" w:hAnsi="SWISS" w:cs="Arial"/>
                <w:sz w:val="20"/>
                <w:szCs w:val="20"/>
              </w:rPr>
              <w:t>a. To reflect appropriate allocation of administration officer/owner's salary.</w:t>
            </w:r>
          </w:p>
        </w:tc>
        <w:tc>
          <w:tcPr>
            <w:tcW w:w="985" w:type="dxa"/>
            <w:tcBorders>
              <w:top w:val="nil"/>
              <w:left w:val="nil"/>
              <w:bottom w:val="nil"/>
              <w:right w:val="single" w:sz="8" w:space="0" w:color="auto"/>
            </w:tcBorders>
            <w:shd w:val="clear" w:color="auto" w:fill="auto"/>
            <w:noWrap/>
            <w:vAlign w:val="bottom"/>
          </w:tcPr>
          <w:p w:rsidR="00432271" w:rsidRDefault="00432271" w:rsidP="00432271">
            <w:pPr>
              <w:jc w:val="right"/>
              <w:rPr>
                <w:rFonts w:ascii="SWISS" w:hAnsi="SWISS" w:cs="Arial"/>
                <w:sz w:val="20"/>
                <w:szCs w:val="20"/>
              </w:rPr>
            </w:pPr>
            <w:r>
              <w:rPr>
                <w:rFonts w:ascii="SWISS" w:hAnsi="SWISS" w:cs="Arial"/>
                <w:sz w:val="20"/>
                <w:szCs w:val="20"/>
              </w:rPr>
              <w:t>$2,640</w:t>
            </w:r>
          </w:p>
        </w:tc>
      </w:tr>
      <w:tr w:rsidR="00432271" w:rsidRPr="00F52F8B" w:rsidTr="0098003B">
        <w:trPr>
          <w:trHeight w:val="56"/>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432271" w:rsidRDefault="0098003B" w:rsidP="00432271">
            <w:pPr>
              <w:rPr>
                <w:rFonts w:ascii="SWISS" w:hAnsi="SWISS" w:cs="Arial"/>
                <w:sz w:val="20"/>
                <w:szCs w:val="20"/>
              </w:rPr>
            </w:pPr>
            <w:r>
              <w:rPr>
                <w:rFonts w:ascii="SWISS" w:hAnsi="SWISS" w:cs="Arial"/>
                <w:sz w:val="20"/>
                <w:szCs w:val="20"/>
              </w:rPr>
              <w:t>b</w:t>
            </w:r>
            <w:r w:rsidR="00432271">
              <w:rPr>
                <w:rFonts w:ascii="SWISS" w:hAnsi="SWISS" w:cs="Arial"/>
                <w:sz w:val="20"/>
                <w:szCs w:val="20"/>
              </w:rPr>
              <w:t>. To reflect appropriate allocation of president's salary.</w:t>
            </w:r>
          </w:p>
        </w:tc>
        <w:tc>
          <w:tcPr>
            <w:tcW w:w="985" w:type="dxa"/>
            <w:tcBorders>
              <w:top w:val="nil"/>
              <w:left w:val="nil"/>
              <w:bottom w:val="nil"/>
              <w:right w:val="single" w:sz="8" w:space="0" w:color="auto"/>
            </w:tcBorders>
            <w:shd w:val="clear" w:color="auto" w:fill="auto"/>
            <w:noWrap/>
            <w:vAlign w:val="bottom"/>
          </w:tcPr>
          <w:p w:rsidR="00432271" w:rsidRDefault="00432271" w:rsidP="00432271">
            <w:pPr>
              <w:jc w:val="right"/>
              <w:rPr>
                <w:rFonts w:ascii="SWISS" w:hAnsi="SWISS" w:cs="Arial"/>
                <w:sz w:val="20"/>
                <w:szCs w:val="20"/>
              </w:rPr>
            </w:pPr>
            <w:r>
              <w:rPr>
                <w:rFonts w:ascii="SWISS" w:hAnsi="SWISS" w:cs="Arial"/>
                <w:sz w:val="20"/>
                <w:szCs w:val="20"/>
              </w:rPr>
              <w:t xml:space="preserve">        165</w:t>
            </w:r>
          </w:p>
        </w:tc>
      </w:tr>
      <w:tr w:rsidR="00432271" w:rsidRPr="00F52F8B" w:rsidTr="0098003B">
        <w:trPr>
          <w:trHeight w:val="56"/>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xml:space="preserve">        </w:t>
            </w:r>
          </w:p>
        </w:tc>
        <w:tc>
          <w:tcPr>
            <w:tcW w:w="7743" w:type="dxa"/>
            <w:tcBorders>
              <w:top w:val="nil"/>
              <w:left w:val="nil"/>
              <w:bottom w:val="nil"/>
              <w:right w:val="nil"/>
            </w:tcBorders>
            <w:shd w:val="clear" w:color="auto" w:fill="auto"/>
            <w:noWrap/>
            <w:vAlign w:val="bottom"/>
          </w:tcPr>
          <w:p w:rsidR="00432271" w:rsidRDefault="0098003B" w:rsidP="00432271">
            <w:pPr>
              <w:rPr>
                <w:rFonts w:ascii="SWISS" w:hAnsi="SWISS" w:cs="Arial"/>
                <w:sz w:val="20"/>
                <w:szCs w:val="20"/>
              </w:rPr>
            </w:pPr>
            <w:r>
              <w:rPr>
                <w:rFonts w:ascii="SWISS" w:hAnsi="SWISS" w:cs="Arial"/>
                <w:sz w:val="20"/>
                <w:szCs w:val="20"/>
              </w:rPr>
              <w:t>c</w:t>
            </w:r>
            <w:r w:rsidR="00432271">
              <w:rPr>
                <w:rFonts w:ascii="SWISS" w:hAnsi="SWISS" w:cs="Arial"/>
                <w:sz w:val="20"/>
                <w:szCs w:val="20"/>
              </w:rPr>
              <w:t>. To reflect reduction in officers' salaries due to quality of service penalty.</w:t>
            </w:r>
          </w:p>
        </w:tc>
        <w:tc>
          <w:tcPr>
            <w:tcW w:w="985" w:type="dxa"/>
            <w:tcBorders>
              <w:top w:val="nil"/>
              <w:left w:val="nil"/>
              <w:bottom w:val="nil"/>
              <w:right w:val="single" w:sz="8" w:space="0" w:color="auto"/>
            </w:tcBorders>
            <w:shd w:val="clear" w:color="auto" w:fill="auto"/>
            <w:noWrap/>
            <w:vAlign w:val="bottom"/>
          </w:tcPr>
          <w:p w:rsidR="00432271" w:rsidRDefault="00432271" w:rsidP="0098003B">
            <w:pPr>
              <w:jc w:val="right"/>
              <w:rPr>
                <w:rFonts w:ascii="SWISS" w:hAnsi="SWISS" w:cs="Arial"/>
                <w:sz w:val="20"/>
                <w:szCs w:val="20"/>
                <w:u w:val="single"/>
              </w:rPr>
            </w:pPr>
            <w:r>
              <w:rPr>
                <w:rFonts w:ascii="SWISS" w:hAnsi="SWISS" w:cs="Arial"/>
                <w:sz w:val="20"/>
                <w:szCs w:val="20"/>
                <w:u w:val="single"/>
              </w:rPr>
              <w:t>(</w:t>
            </w:r>
            <w:r w:rsidR="0098003B">
              <w:rPr>
                <w:rFonts w:ascii="SWISS" w:hAnsi="SWISS" w:cs="Arial"/>
                <w:sz w:val="20"/>
                <w:szCs w:val="20"/>
                <w:u w:val="single"/>
              </w:rPr>
              <w:t>7</w:t>
            </w:r>
            <w:r>
              <w:rPr>
                <w:rFonts w:ascii="SWISS" w:hAnsi="SWISS" w:cs="Arial"/>
                <w:sz w:val="20"/>
                <w:szCs w:val="20"/>
                <w:u w:val="single"/>
              </w:rPr>
              <w:t>01)</w:t>
            </w:r>
          </w:p>
        </w:tc>
      </w:tr>
      <w:tr w:rsidR="00432271" w:rsidRPr="00F52F8B" w:rsidTr="0098003B">
        <w:trPr>
          <w:trHeight w:val="56"/>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985" w:type="dxa"/>
            <w:tcBorders>
              <w:top w:val="nil"/>
              <w:left w:val="nil"/>
              <w:bottom w:val="nil"/>
              <w:right w:val="single" w:sz="8" w:space="0" w:color="auto"/>
            </w:tcBorders>
            <w:shd w:val="clear" w:color="auto" w:fill="auto"/>
            <w:noWrap/>
            <w:vAlign w:val="bottom"/>
          </w:tcPr>
          <w:p w:rsidR="00432271" w:rsidRPr="003219A2" w:rsidRDefault="00432271" w:rsidP="0098003B">
            <w:pPr>
              <w:jc w:val="right"/>
              <w:rPr>
                <w:rFonts w:ascii="SWISS" w:hAnsi="SWISS" w:cs="Arial"/>
                <w:sz w:val="20"/>
                <w:szCs w:val="20"/>
                <w:u w:val="double"/>
              </w:rPr>
            </w:pPr>
            <w:r w:rsidRPr="003219A2">
              <w:rPr>
                <w:rFonts w:ascii="SWISS" w:hAnsi="SWISS" w:cs="Arial"/>
                <w:sz w:val="20"/>
                <w:szCs w:val="20"/>
                <w:u w:val="double"/>
              </w:rPr>
              <w:t>$</w:t>
            </w:r>
            <w:r w:rsidR="0098003B">
              <w:rPr>
                <w:rFonts w:ascii="SWISS" w:hAnsi="SWISS" w:cs="Arial"/>
                <w:sz w:val="20"/>
                <w:szCs w:val="20"/>
                <w:u w:val="double"/>
              </w:rPr>
              <w:t>2,104</w:t>
            </w: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w:t>
            </w:r>
            <w:r w:rsidRPr="00F52F8B">
              <w:rPr>
                <w:rFonts w:ascii="SWISS" w:hAnsi="SWISS" w:cs="Arial"/>
                <w:sz w:val="20"/>
                <w:szCs w:val="20"/>
              </w:rPr>
              <w:t xml:space="preserve">  2.</w:t>
            </w: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Purchased Power (615)</w:t>
            </w: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xml:space="preserve">         </w:t>
            </w: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a.</w:t>
            </w:r>
            <w:r>
              <w:rPr>
                <w:rFonts w:ascii="SWISS" w:hAnsi="SWISS" w:cs="Arial"/>
                <w:sz w:val="20"/>
                <w:szCs w:val="20"/>
              </w:rPr>
              <w:t xml:space="preserve"> </w:t>
            </w:r>
            <w:r w:rsidRPr="00F52F8B">
              <w:rPr>
                <w:rFonts w:ascii="SWISS" w:hAnsi="SWISS" w:cs="Arial"/>
                <w:sz w:val="20"/>
                <w:szCs w:val="20"/>
              </w:rPr>
              <w:t>To reflect appropriate purchased power expense and removal of late fees..</w:t>
            </w: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color w:val="000000"/>
                <w:sz w:val="20"/>
                <w:szCs w:val="20"/>
              </w:rPr>
            </w:pPr>
            <w:r w:rsidRPr="00F52F8B">
              <w:rPr>
                <w:rFonts w:ascii="SWISS" w:hAnsi="SWISS" w:cs="Arial"/>
                <w:color w:val="000000"/>
                <w:sz w:val="20"/>
                <w:szCs w:val="20"/>
              </w:rPr>
              <w:t>($104)</w:t>
            </w:r>
          </w:p>
        </w:tc>
      </w:tr>
      <w:tr w:rsidR="00432271" w:rsidRPr="00F52F8B" w:rsidTr="0098003B">
        <w:trPr>
          <w:trHeight w:val="53"/>
        </w:trPr>
        <w:tc>
          <w:tcPr>
            <w:tcW w:w="1206" w:type="dxa"/>
            <w:tcBorders>
              <w:top w:val="nil"/>
              <w:left w:val="single" w:sz="8" w:space="0" w:color="auto"/>
              <w:right w:val="nil"/>
            </w:tcBorders>
            <w:shd w:val="clear" w:color="auto" w:fill="auto"/>
            <w:noWrap/>
            <w:vAlign w:val="bottom"/>
          </w:tcPr>
          <w:p w:rsidR="00432271" w:rsidRPr="00F52F8B" w:rsidRDefault="00432271" w:rsidP="00432271">
            <w:pPr>
              <w:rPr>
                <w:rFonts w:ascii="SWISS" w:hAnsi="SWISS" w:cs="Arial"/>
                <w:sz w:val="20"/>
                <w:szCs w:val="20"/>
              </w:rPr>
            </w:pPr>
          </w:p>
        </w:tc>
        <w:tc>
          <w:tcPr>
            <w:tcW w:w="7743" w:type="dxa"/>
            <w:tcBorders>
              <w:top w:val="nil"/>
              <w:left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b. To reflect 32% excessive unaccounted for water adjustment.</w:t>
            </w:r>
          </w:p>
        </w:tc>
        <w:tc>
          <w:tcPr>
            <w:tcW w:w="985" w:type="dxa"/>
            <w:tcBorders>
              <w:top w:val="nil"/>
              <w:left w:val="nil"/>
              <w:right w:val="single" w:sz="8" w:space="0" w:color="auto"/>
            </w:tcBorders>
            <w:shd w:val="clear" w:color="auto" w:fill="auto"/>
            <w:noWrap/>
            <w:vAlign w:val="bottom"/>
          </w:tcPr>
          <w:p w:rsidR="00432271" w:rsidRPr="00F52F8B" w:rsidRDefault="00432271" w:rsidP="00432271">
            <w:pPr>
              <w:jc w:val="right"/>
              <w:rPr>
                <w:rFonts w:ascii="SWISS" w:hAnsi="SWISS" w:cs="Arial"/>
                <w:color w:val="000000"/>
                <w:sz w:val="20"/>
                <w:szCs w:val="20"/>
                <w:u w:val="single"/>
              </w:rPr>
            </w:pPr>
            <w:r w:rsidRPr="00F52F8B">
              <w:rPr>
                <w:rFonts w:ascii="SWISS" w:hAnsi="SWISS" w:cs="Arial"/>
                <w:color w:val="000000"/>
                <w:sz w:val="20"/>
                <w:szCs w:val="20"/>
                <w:u w:val="single"/>
              </w:rPr>
              <w:t>(460)</w:t>
            </w:r>
          </w:p>
        </w:tc>
      </w:tr>
      <w:tr w:rsidR="00432271" w:rsidRPr="00F52F8B" w:rsidTr="0098003B">
        <w:trPr>
          <w:trHeight w:val="53"/>
        </w:trPr>
        <w:tc>
          <w:tcPr>
            <w:tcW w:w="1206" w:type="dxa"/>
            <w:tcBorders>
              <w:top w:val="nil"/>
              <w:left w:val="single" w:sz="8" w:space="0" w:color="auto"/>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c>
          <w:tcPr>
            <w:tcW w:w="7743" w:type="dxa"/>
            <w:tcBorders>
              <w:top w:val="nil"/>
              <w:left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xml:space="preserve">       Subtotal</w:t>
            </w:r>
          </w:p>
        </w:tc>
        <w:tc>
          <w:tcPr>
            <w:tcW w:w="985" w:type="dxa"/>
            <w:tcBorders>
              <w:top w:val="nil"/>
              <w:left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u w:val="double"/>
              </w:rPr>
            </w:pPr>
            <w:r w:rsidRPr="00F52F8B">
              <w:rPr>
                <w:rFonts w:ascii="SWISS" w:hAnsi="SWISS" w:cs="Arial"/>
                <w:sz w:val="20"/>
                <w:szCs w:val="20"/>
                <w:u w:val="double"/>
              </w:rPr>
              <w:t>($564)</w:t>
            </w:r>
          </w:p>
        </w:tc>
      </w:tr>
      <w:tr w:rsidR="00432271" w:rsidRPr="00F52F8B" w:rsidTr="0098003B">
        <w:trPr>
          <w:trHeight w:val="53"/>
        </w:trPr>
        <w:tc>
          <w:tcPr>
            <w:tcW w:w="1206" w:type="dxa"/>
            <w:tcBorders>
              <w:top w:val="nil"/>
              <w:left w:val="single" w:sz="8" w:space="0" w:color="auto"/>
              <w:right w:val="nil"/>
            </w:tcBorders>
            <w:shd w:val="clear" w:color="auto" w:fill="auto"/>
            <w:noWrap/>
            <w:vAlign w:val="bottom"/>
          </w:tcPr>
          <w:p w:rsidR="00432271" w:rsidRPr="00F52F8B" w:rsidRDefault="00432271" w:rsidP="00432271">
            <w:pPr>
              <w:rPr>
                <w:rFonts w:ascii="SWISS" w:hAnsi="SWISS" w:cs="Arial"/>
                <w:sz w:val="20"/>
                <w:szCs w:val="20"/>
              </w:rPr>
            </w:pPr>
          </w:p>
        </w:tc>
        <w:tc>
          <w:tcPr>
            <w:tcW w:w="7743" w:type="dxa"/>
            <w:tcBorders>
              <w:top w:val="nil"/>
              <w:left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985" w:type="dxa"/>
            <w:tcBorders>
              <w:top w:val="nil"/>
              <w:left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p>
        </w:tc>
      </w:tr>
      <w:tr w:rsidR="00432271" w:rsidRPr="00F52F8B" w:rsidTr="0098003B">
        <w:trPr>
          <w:trHeight w:val="53"/>
        </w:trPr>
        <w:tc>
          <w:tcPr>
            <w:tcW w:w="1206" w:type="dxa"/>
            <w:tcBorders>
              <w:top w:val="nil"/>
              <w:left w:val="single" w:sz="8" w:space="0" w:color="auto"/>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w:t>
            </w:r>
            <w:r w:rsidRPr="00F52F8B">
              <w:rPr>
                <w:rFonts w:ascii="SWISS" w:hAnsi="SWISS" w:cs="Arial"/>
                <w:sz w:val="20"/>
                <w:szCs w:val="20"/>
              </w:rPr>
              <w:t xml:space="preserve">  3.</w:t>
            </w:r>
          </w:p>
        </w:tc>
        <w:tc>
          <w:tcPr>
            <w:tcW w:w="7743" w:type="dxa"/>
            <w:tcBorders>
              <w:top w:val="nil"/>
              <w:left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Chemicals (618)</w:t>
            </w:r>
          </w:p>
        </w:tc>
        <w:tc>
          <w:tcPr>
            <w:tcW w:w="985" w:type="dxa"/>
            <w:tcBorders>
              <w:top w:val="nil"/>
              <w:left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p>
        </w:tc>
      </w:tr>
      <w:tr w:rsidR="00432271" w:rsidRPr="00F52F8B" w:rsidTr="0098003B">
        <w:trPr>
          <w:trHeight w:val="53"/>
        </w:trPr>
        <w:tc>
          <w:tcPr>
            <w:tcW w:w="1206" w:type="dxa"/>
            <w:tcBorders>
              <w:top w:val="nil"/>
              <w:left w:val="single" w:sz="8" w:space="0" w:color="auto"/>
              <w:right w:val="nil"/>
            </w:tcBorders>
            <w:shd w:val="clear" w:color="auto" w:fill="auto"/>
            <w:noWrap/>
            <w:vAlign w:val="bottom"/>
          </w:tcPr>
          <w:p w:rsidR="00432271" w:rsidRPr="00F52F8B" w:rsidRDefault="00432271" w:rsidP="00432271">
            <w:pPr>
              <w:rPr>
                <w:rFonts w:ascii="SWISS" w:hAnsi="SWISS" w:cs="Arial"/>
                <w:sz w:val="20"/>
                <w:szCs w:val="20"/>
              </w:rPr>
            </w:pPr>
          </w:p>
        </w:tc>
        <w:tc>
          <w:tcPr>
            <w:tcW w:w="7743" w:type="dxa"/>
            <w:tcBorders>
              <w:top w:val="nil"/>
              <w:left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To reflect 32% excessive unaccounted for water adjustment</w:t>
            </w:r>
          </w:p>
        </w:tc>
        <w:tc>
          <w:tcPr>
            <w:tcW w:w="985" w:type="dxa"/>
            <w:tcBorders>
              <w:top w:val="nil"/>
              <w:left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u w:val="double"/>
              </w:rPr>
            </w:pPr>
            <w:r w:rsidRPr="00F52F8B">
              <w:rPr>
                <w:rFonts w:ascii="SWISS" w:hAnsi="SWISS" w:cs="Arial"/>
                <w:sz w:val="20"/>
                <w:szCs w:val="20"/>
                <w:u w:val="double"/>
              </w:rPr>
              <w:t>($247)</w:t>
            </w:r>
          </w:p>
        </w:tc>
      </w:tr>
      <w:tr w:rsidR="00432271" w:rsidRPr="00F52F8B" w:rsidTr="0098003B">
        <w:trPr>
          <w:trHeight w:val="53"/>
        </w:trPr>
        <w:tc>
          <w:tcPr>
            <w:tcW w:w="1206" w:type="dxa"/>
            <w:tcBorders>
              <w:top w:val="nil"/>
              <w:left w:val="single" w:sz="8" w:space="0" w:color="auto"/>
              <w:right w:val="nil"/>
            </w:tcBorders>
            <w:shd w:val="clear" w:color="auto" w:fill="auto"/>
            <w:noWrap/>
            <w:vAlign w:val="bottom"/>
          </w:tcPr>
          <w:p w:rsidR="00432271" w:rsidRPr="00F52F8B" w:rsidRDefault="00432271" w:rsidP="00432271">
            <w:pPr>
              <w:rPr>
                <w:rFonts w:ascii="SWISS" w:hAnsi="SWISS" w:cs="Arial"/>
                <w:sz w:val="20"/>
                <w:szCs w:val="20"/>
              </w:rPr>
            </w:pPr>
          </w:p>
        </w:tc>
        <w:tc>
          <w:tcPr>
            <w:tcW w:w="7743" w:type="dxa"/>
            <w:tcBorders>
              <w:top w:val="nil"/>
              <w:left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985" w:type="dxa"/>
            <w:tcBorders>
              <w:top w:val="nil"/>
              <w:left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p>
        </w:tc>
      </w:tr>
      <w:tr w:rsidR="00432271" w:rsidRPr="00F52F8B" w:rsidTr="0098003B">
        <w:trPr>
          <w:trHeight w:val="53"/>
        </w:trPr>
        <w:tc>
          <w:tcPr>
            <w:tcW w:w="1206" w:type="dxa"/>
            <w:tcBorders>
              <w:top w:val="nil"/>
              <w:left w:val="single" w:sz="8" w:space="0" w:color="auto"/>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w:t>
            </w:r>
            <w:r w:rsidRPr="00F52F8B">
              <w:rPr>
                <w:rFonts w:ascii="SWISS" w:hAnsi="SWISS" w:cs="Arial"/>
                <w:sz w:val="20"/>
                <w:szCs w:val="20"/>
              </w:rPr>
              <w:t xml:space="preserve"> 4.</w:t>
            </w:r>
          </w:p>
        </w:tc>
        <w:tc>
          <w:tcPr>
            <w:tcW w:w="7743" w:type="dxa"/>
            <w:tcBorders>
              <w:top w:val="nil"/>
              <w:left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Contractual Services - Billing (630)</w:t>
            </w:r>
          </w:p>
        </w:tc>
        <w:tc>
          <w:tcPr>
            <w:tcW w:w="985" w:type="dxa"/>
            <w:tcBorders>
              <w:top w:val="nil"/>
              <w:left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r>
      <w:tr w:rsidR="00432271" w:rsidRPr="00F52F8B" w:rsidTr="0098003B">
        <w:trPr>
          <w:trHeight w:val="53"/>
        </w:trPr>
        <w:tc>
          <w:tcPr>
            <w:tcW w:w="1206" w:type="dxa"/>
            <w:tcBorders>
              <w:top w:val="nil"/>
              <w:left w:val="single" w:sz="8" w:space="0" w:color="auto"/>
              <w:right w:val="nil"/>
            </w:tcBorders>
            <w:shd w:val="clear" w:color="auto" w:fill="auto"/>
            <w:noWrap/>
            <w:vAlign w:val="bottom"/>
          </w:tcPr>
          <w:p w:rsidR="00432271" w:rsidRPr="00F52F8B" w:rsidRDefault="00432271" w:rsidP="00432271">
            <w:pPr>
              <w:rPr>
                <w:rFonts w:ascii="SWISS" w:hAnsi="SWISS" w:cs="Arial"/>
                <w:sz w:val="20"/>
                <w:szCs w:val="20"/>
              </w:rPr>
            </w:pPr>
          </w:p>
        </w:tc>
        <w:tc>
          <w:tcPr>
            <w:tcW w:w="7743" w:type="dxa"/>
            <w:tcBorders>
              <w:top w:val="nil"/>
              <w:left w:val="nil"/>
              <w:right w:val="nil"/>
            </w:tcBorders>
            <w:shd w:val="clear" w:color="auto" w:fill="auto"/>
            <w:noWrap/>
            <w:vAlign w:val="bottom"/>
          </w:tcPr>
          <w:p w:rsidR="00432271" w:rsidRPr="00F52F8B" w:rsidRDefault="00432271" w:rsidP="0098003B">
            <w:pPr>
              <w:rPr>
                <w:rFonts w:ascii="SWISS" w:hAnsi="SWISS" w:cs="Arial"/>
                <w:sz w:val="20"/>
                <w:szCs w:val="20"/>
              </w:rPr>
            </w:pPr>
            <w:r w:rsidRPr="00F52F8B">
              <w:rPr>
                <w:rFonts w:ascii="SWISS" w:hAnsi="SWISS" w:cs="Arial"/>
                <w:sz w:val="20"/>
                <w:szCs w:val="20"/>
              </w:rPr>
              <w:t xml:space="preserve">To reflect </w:t>
            </w:r>
            <w:r w:rsidR="0098003B">
              <w:rPr>
                <w:rFonts w:ascii="SWISS" w:hAnsi="SWISS" w:cs="Arial"/>
                <w:sz w:val="20"/>
                <w:szCs w:val="20"/>
              </w:rPr>
              <w:t xml:space="preserve">pro forma </w:t>
            </w:r>
            <w:r>
              <w:rPr>
                <w:rFonts w:ascii="SWISS" w:hAnsi="SWISS" w:cs="Arial"/>
                <w:sz w:val="20"/>
                <w:szCs w:val="20"/>
              </w:rPr>
              <w:t xml:space="preserve">contractual </w:t>
            </w:r>
            <w:r w:rsidRPr="00F52F8B">
              <w:rPr>
                <w:rFonts w:ascii="SWISS" w:hAnsi="SWISS" w:cs="Arial"/>
                <w:sz w:val="20"/>
                <w:szCs w:val="20"/>
              </w:rPr>
              <w:t xml:space="preserve">billing </w:t>
            </w:r>
            <w:r>
              <w:rPr>
                <w:rFonts w:ascii="SWISS" w:hAnsi="SWISS" w:cs="Arial"/>
                <w:sz w:val="20"/>
                <w:szCs w:val="20"/>
              </w:rPr>
              <w:t xml:space="preserve">assistant </w:t>
            </w:r>
            <w:r w:rsidRPr="00F52F8B">
              <w:rPr>
                <w:rFonts w:ascii="SWISS" w:hAnsi="SWISS" w:cs="Arial"/>
                <w:sz w:val="20"/>
                <w:szCs w:val="20"/>
              </w:rPr>
              <w:t>expense.</w:t>
            </w:r>
          </w:p>
        </w:tc>
        <w:tc>
          <w:tcPr>
            <w:tcW w:w="985" w:type="dxa"/>
            <w:tcBorders>
              <w:top w:val="nil"/>
              <w:left w:val="nil"/>
              <w:right w:val="single" w:sz="8" w:space="0" w:color="auto"/>
            </w:tcBorders>
            <w:shd w:val="clear" w:color="auto" w:fill="auto"/>
            <w:noWrap/>
            <w:vAlign w:val="bottom"/>
          </w:tcPr>
          <w:p w:rsidR="00432271" w:rsidRPr="00F52F8B" w:rsidRDefault="00432271" w:rsidP="0098003B">
            <w:pPr>
              <w:jc w:val="right"/>
              <w:rPr>
                <w:rFonts w:ascii="SWISS" w:hAnsi="SWISS" w:cs="Arial"/>
                <w:sz w:val="20"/>
                <w:szCs w:val="20"/>
                <w:u w:val="double"/>
              </w:rPr>
            </w:pPr>
            <w:r w:rsidRPr="00F52F8B">
              <w:rPr>
                <w:rFonts w:ascii="SWISS" w:hAnsi="SWISS" w:cs="Arial"/>
                <w:sz w:val="20"/>
                <w:szCs w:val="20"/>
                <w:u w:val="double"/>
              </w:rPr>
              <w:t>($1,</w:t>
            </w:r>
            <w:r w:rsidR="0098003B">
              <w:rPr>
                <w:rFonts w:ascii="SWISS" w:hAnsi="SWISS" w:cs="Arial"/>
                <w:sz w:val="20"/>
                <w:szCs w:val="20"/>
                <w:u w:val="double"/>
              </w:rPr>
              <w:t>333</w:t>
            </w:r>
            <w:r w:rsidRPr="00F52F8B">
              <w:rPr>
                <w:rFonts w:ascii="SWISS" w:hAnsi="SWISS" w:cs="Arial"/>
                <w:sz w:val="20"/>
                <w:szCs w:val="20"/>
                <w:u w:val="double"/>
              </w:rPr>
              <w:t>)</w:t>
            </w: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rPr>
            </w:pP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w:t>
            </w:r>
            <w:r w:rsidRPr="00F52F8B">
              <w:rPr>
                <w:rFonts w:ascii="SWISS" w:hAnsi="SWISS" w:cs="Arial"/>
                <w:sz w:val="20"/>
                <w:szCs w:val="20"/>
              </w:rPr>
              <w:t xml:space="preserve"> </w:t>
            </w:r>
            <w:r>
              <w:rPr>
                <w:rFonts w:ascii="SWISS" w:hAnsi="SWISS" w:cs="Arial"/>
                <w:sz w:val="20"/>
                <w:szCs w:val="20"/>
              </w:rPr>
              <w:t>5</w:t>
            </w:r>
            <w:r w:rsidRPr="00F52F8B">
              <w:rPr>
                <w:rFonts w:ascii="SWISS" w:hAnsi="SWISS" w:cs="Arial"/>
                <w:sz w:val="20"/>
                <w:szCs w:val="20"/>
              </w:rPr>
              <w:t>.</w:t>
            </w: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xml:space="preserve">Contractual Services - </w:t>
            </w:r>
            <w:r>
              <w:rPr>
                <w:rFonts w:ascii="SWISS" w:hAnsi="SWISS" w:cs="Arial"/>
                <w:sz w:val="20"/>
                <w:szCs w:val="20"/>
              </w:rPr>
              <w:t>Professional</w:t>
            </w:r>
            <w:r w:rsidRPr="00F52F8B">
              <w:rPr>
                <w:rFonts w:ascii="SWISS" w:hAnsi="SWISS" w:cs="Arial"/>
                <w:sz w:val="20"/>
                <w:szCs w:val="20"/>
              </w:rPr>
              <w:t xml:space="preserve"> (63</w:t>
            </w:r>
            <w:r>
              <w:rPr>
                <w:rFonts w:ascii="SWISS" w:hAnsi="SWISS" w:cs="Arial"/>
                <w:sz w:val="20"/>
                <w:szCs w:val="20"/>
              </w:rPr>
              <w:t>1</w:t>
            </w:r>
            <w:r w:rsidRPr="00F52F8B">
              <w:rPr>
                <w:rFonts w:ascii="SWISS" w:hAnsi="SWISS" w:cs="Arial"/>
                <w:sz w:val="20"/>
                <w:szCs w:val="20"/>
              </w:rPr>
              <w:t>)</w:t>
            </w: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xml:space="preserve">To reflect </w:t>
            </w:r>
            <w:r>
              <w:rPr>
                <w:rFonts w:ascii="SWISS" w:hAnsi="SWISS" w:cs="Arial"/>
                <w:sz w:val="20"/>
                <w:szCs w:val="20"/>
              </w:rPr>
              <w:t xml:space="preserve">pro forma contractual </w:t>
            </w:r>
            <w:r w:rsidRPr="00F52F8B">
              <w:rPr>
                <w:rFonts w:ascii="SWISS" w:hAnsi="SWISS" w:cs="Arial"/>
                <w:sz w:val="20"/>
                <w:szCs w:val="20"/>
              </w:rPr>
              <w:t>b</w:t>
            </w:r>
            <w:r>
              <w:rPr>
                <w:rFonts w:ascii="SWISS" w:hAnsi="SWISS" w:cs="Arial"/>
                <w:sz w:val="20"/>
                <w:szCs w:val="20"/>
              </w:rPr>
              <w:t xml:space="preserve">ookkeeping </w:t>
            </w:r>
            <w:r w:rsidRPr="00F52F8B">
              <w:rPr>
                <w:rFonts w:ascii="SWISS" w:hAnsi="SWISS" w:cs="Arial"/>
                <w:sz w:val="20"/>
                <w:szCs w:val="20"/>
              </w:rPr>
              <w:t>expense.</w:t>
            </w: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u w:val="double"/>
              </w:rPr>
            </w:pPr>
            <w:r w:rsidRPr="00F52F8B">
              <w:rPr>
                <w:rFonts w:ascii="SWISS" w:hAnsi="SWISS" w:cs="Arial"/>
                <w:sz w:val="20"/>
                <w:szCs w:val="20"/>
                <w:u w:val="double"/>
              </w:rPr>
              <w:t>$</w:t>
            </w:r>
            <w:r>
              <w:rPr>
                <w:rFonts w:ascii="SWISS" w:hAnsi="SWISS" w:cs="Arial"/>
                <w:sz w:val="20"/>
                <w:szCs w:val="20"/>
                <w:u w:val="double"/>
              </w:rPr>
              <w:t>1</w:t>
            </w:r>
            <w:r w:rsidRPr="00F52F8B">
              <w:rPr>
                <w:rFonts w:ascii="SWISS" w:hAnsi="SWISS" w:cs="Arial"/>
                <w:sz w:val="20"/>
                <w:szCs w:val="20"/>
                <w:u w:val="double"/>
              </w:rPr>
              <w:t>,</w:t>
            </w:r>
            <w:r>
              <w:rPr>
                <w:rFonts w:ascii="SWISS" w:hAnsi="SWISS" w:cs="Arial"/>
                <w:sz w:val="20"/>
                <w:szCs w:val="20"/>
                <w:u w:val="double"/>
              </w:rPr>
              <w:t>250</w:t>
            </w: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rPr>
            </w:pP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6</w:t>
            </w:r>
            <w:r w:rsidRPr="00F52F8B">
              <w:rPr>
                <w:rFonts w:ascii="SWISS" w:hAnsi="SWISS" w:cs="Arial"/>
                <w:sz w:val="20"/>
                <w:szCs w:val="20"/>
              </w:rPr>
              <w:t>.</w:t>
            </w: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Contractual Services - Testing (635)</w:t>
            </w: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rPr>
            </w:pP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a. To reflect appropriate annual testing expense.</w:t>
            </w: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w:t>
            </w:r>
            <w:r>
              <w:rPr>
                <w:rFonts w:ascii="SWISS" w:hAnsi="SWISS" w:cs="Arial"/>
                <w:sz w:val="20"/>
                <w:szCs w:val="20"/>
              </w:rPr>
              <w:t>1</w:t>
            </w:r>
            <w:r w:rsidRPr="00F52F8B">
              <w:rPr>
                <w:rFonts w:ascii="SWISS" w:hAnsi="SWISS" w:cs="Arial"/>
                <w:sz w:val="20"/>
                <w:szCs w:val="20"/>
              </w:rPr>
              <w:t>,</w:t>
            </w:r>
            <w:r>
              <w:rPr>
                <w:rFonts w:ascii="SWISS" w:hAnsi="SWISS" w:cs="Arial"/>
                <w:sz w:val="20"/>
                <w:szCs w:val="20"/>
              </w:rPr>
              <w:t>465</w:t>
            </w:r>
            <w:r w:rsidRPr="00F52F8B">
              <w:rPr>
                <w:rFonts w:ascii="SWISS" w:hAnsi="SWISS" w:cs="Arial"/>
                <w:sz w:val="20"/>
                <w:szCs w:val="20"/>
              </w:rPr>
              <w:t xml:space="preserve"> </w:t>
            </w: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7743" w:type="dxa"/>
            <w:tcBorders>
              <w:top w:val="nil"/>
              <w:left w:val="nil"/>
              <w:bottom w:val="nil"/>
              <w:right w:val="nil"/>
            </w:tcBorders>
            <w:shd w:val="clear" w:color="auto" w:fill="auto"/>
            <w:noWrap/>
            <w:vAlign w:val="center"/>
          </w:tcPr>
          <w:p w:rsidR="00432271" w:rsidRPr="00F52F8B" w:rsidRDefault="00432271" w:rsidP="00432271">
            <w:pPr>
              <w:rPr>
                <w:rFonts w:ascii="SWISS" w:hAnsi="SWISS" w:cs="Arial"/>
                <w:sz w:val="20"/>
                <w:szCs w:val="20"/>
              </w:rPr>
            </w:pPr>
            <w:r>
              <w:rPr>
                <w:rFonts w:ascii="SWISS" w:hAnsi="SWISS" w:cs="Arial"/>
                <w:sz w:val="20"/>
                <w:szCs w:val="20"/>
              </w:rPr>
              <w:t>b. To reflect pro forma 3-year amortization of triennial water tests.</w:t>
            </w:r>
          </w:p>
        </w:tc>
        <w:tc>
          <w:tcPr>
            <w:tcW w:w="985" w:type="dxa"/>
            <w:tcBorders>
              <w:top w:val="nil"/>
              <w:left w:val="nil"/>
              <w:bottom w:val="nil"/>
              <w:right w:val="single" w:sz="8" w:space="0" w:color="auto"/>
            </w:tcBorders>
            <w:shd w:val="clear" w:color="auto" w:fill="auto"/>
            <w:noWrap/>
            <w:vAlign w:val="bottom"/>
          </w:tcPr>
          <w:p w:rsidR="00432271" w:rsidRPr="000A4CEA" w:rsidRDefault="00432271" w:rsidP="00432271">
            <w:pPr>
              <w:jc w:val="right"/>
              <w:rPr>
                <w:rFonts w:ascii="SWISS" w:hAnsi="SWISS" w:cs="Arial"/>
                <w:sz w:val="20"/>
                <w:szCs w:val="20"/>
              </w:rPr>
            </w:pPr>
            <w:r w:rsidRPr="000A4CEA">
              <w:rPr>
                <w:rFonts w:ascii="SWISS" w:hAnsi="SWISS" w:cs="Arial"/>
                <w:sz w:val="20"/>
                <w:szCs w:val="20"/>
              </w:rPr>
              <w:t>1,</w:t>
            </w:r>
            <w:r>
              <w:rPr>
                <w:rFonts w:ascii="SWISS" w:hAnsi="SWISS" w:cs="Arial"/>
                <w:sz w:val="20"/>
                <w:szCs w:val="20"/>
              </w:rPr>
              <w:t>103</w:t>
            </w: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xml:space="preserve">       </w:t>
            </w:r>
          </w:p>
        </w:tc>
        <w:tc>
          <w:tcPr>
            <w:tcW w:w="7743" w:type="dxa"/>
            <w:tcBorders>
              <w:top w:val="nil"/>
              <w:left w:val="nil"/>
              <w:bottom w:val="nil"/>
              <w:right w:val="nil"/>
            </w:tcBorders>
            <w:shd w:val="clear" w:color="auto" w:fill="auto"/>
            <w:noWrap/>
            <w:vAlign w:val="center"/>
          </w:tcPr>
          <w:p w:rsidR="00432271" w:rsidRPr="00F52F8B" w:rsidRDefault="00432271" w:rsidP="00432271">
            <w:pPr>
              <w:rPr>
                <w:rFonts w:ascii="SWISS" w:hAnsi="SWISS" w:cs="Arial"/>
                <w:sz w:val="20"/>
                <w:szCs w:val="20"/>
              </w:rPr>
            </w:pPr>
            <w:r>
              <w:rPr>
                <w:rFonts w:ascii="SWISS" w:hAnsi="SWISS" w:cs="Arial"/>
                <w:sz w:val="20"/>
                <w:szCs w:val="20"/>
              </w:rPr>
              <w:t>c</w:t>
            </w:r>
            <w:r w:rsidRPr="00F52F8B">
              <w:rPr>
                <w:rFonts w:ascii="SWISS" w:hAnsi="SWISS" w:cs="Arial"/>
                <w:sz w:val="20"/>
                <w:szCs w:val="20"/>
              </w:rPr>
              <w:t xml:space="preserve">. To reflect pro forma </w:t>
            </w:r>
            <w:r>
              <w:rPr>
                <w:rFonts w:ascii="SWISS" w:hAnsi="SWISS" w:cs="Arial"/>
                <w:sz w:val="20"/>
                <w:szCs w:val="20"/>
              </w:rPr>
              <w:t>5</w:t>
            </w:r>
            <w:r w:rsidRPr="00F52F8B">
              <w:rPr>
                <w:rFonts w:ascii="SWISS" w:hAnsi="SWISS" w:cs="Arial"/>
                <w:sz w:val="20"/>
                <w:szCs w:val="20"/>
              </w:rPr>
              <w:t xml:space="preserve">-year amortization of </w:t>
            </w:r>
            <w:r>
              <w:rPr>
                <w:rFonts w:ascii="SWISS" w:hAnsi="SWISS" w:cs="Arial"/>
                <w:sz w:val="20"/>
                <w:szCs w:val="20"/>
              </w:rPr>
              <w:t>DEP-required additional tests.</w:t>
            </w: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u w:val="single"/>
              </w:rPr>
            </w:pPr>
            <w:r>
              <w:rPr>
                <w:rFonts w:ascii="SWISS" w:hAnsi="SWISS" w:cs="Arial"/>
                <w:sz w:val="20"/>
                <w:szCs w:val="20"/>
                <w:u w:val="single"/>
              </w:rPr>
              <w:t>380</w:t>
            </w:r>
            <w:r w:rsidRPr="00F52F8B">
              <w:rPr>
                <w:rFonts w:ascii="SWISS" w:hAnsi="SWISS" w:cs="Arial"/>
                <w:sz w:val="20"/>
                <w:szCs w:val="20"/>
                <w:u w:val="single"/>
              </w:rPr>
              <w:t xml:space="preserve"> </w:t>
            </w: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xml:space="preserve">       Subtotal</w:t>
            </w: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u w:val="double"/>
              </w:rPr>
            </w:pPr>
            <w:r w:rsidRPr="00F52F8B">
              <w:rPr>
                <w:rFonts w:ascii="SWISS" w:hAnsi="SWISS" w:cs="Arial"/>
                <w:sz w:val="20"/>
                <w:szCs w:val="20"/>
                <w:u w:val="double"/>
              </w:rPr>
              <w:t>$</w:t>
            </w:r>
            <w:r>
              <w:rPr>
                <w:rFonts w:ascii="SWISS" w:hAnsi="SWISS" w:cs="Arial"/>
                <w:sz w:val="20"/>
                <w:szCs w:val="20"/>
                <w:u w:val="double"/>
              </w:rPr>
              <w:t>2</w:t>
            </w:r>
            <w:r w:rsidRPr="00F52F8B">
              <w:rPr>
                <w:rFonts w:ascii="SWISS" w:hAnsi="SWISS" w:cs="Arial"/>
                <w:sz w:val="20"/>
                <w:szCs w:val="20"/>
                <w:u w:val="double"/>
              </w:rPr>
              <w:t>,</w:t>
            </w:r>
            <w:r>
              <w:rPr>
                <w:rFonts w:ascii="SWISS" w:hAnsi="SWISS" w:cs="Arial"/>
                <w:sz w:val="20"/>
                <w:szCs w:val="20"/>
                <w:u w:val="double"/>
              </w:rPr>
              <w:t>948</w:t>
            </w:r>
            <w:r w:rsidRPr="00F52F8B">
              <w:rPr>
                <w:rFonts w:ascii="SWISS" w:hAnsi="SWISS" w:cs="Arial"/>
                <w:sz w:val="20"/>
                <w:szCs w:val="20"/>
                <w:u w:val="double"/>
              </w:rPr>
              <w:t xml:space="preserve"> </w:t>
            </w: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rPr>
            </w:pP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jc w:val="center"/>
              <w:rPr>
                <w:rFonts w:ascii="SWISS" w:hAnsi="SWISS" w:cs="Arial"/>
                <w:sz w:val="20"/>
                <w:szCs w:val="20"/>
              </w:rPr>
            </w:pPr>
            <w:r>
              <w:rPr>
                <w:rFonts w:ascii="SWISS" w:hAnsi="SWISS" w:cs="Arial"/>
                <w:sz w:val="20"/>
                <w:szCs w:val="20"/>
              </w:rPr>
              <w:t xml:space="preserve">             7</w:t>
            </w:r>
            <w:r w:rsidRPr="00F52F8B">
              <w:rPr>
                <w:rFonts w:ascii="SWISS" w:hAnsi="SWISS" w:cs="Arial"/>
                <w:sz w:val="20"/>
                <w:szCs w:val="20"/>
              </w:rPr>
              <w:t>.</w:t>
            </w: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Contractual Services - Other (636)</w:t>
            </w: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xml:space="preserve">a. To reflect </w:t>
            </w:r>
            <w:r>
              <w:rPr>
                <w:rFonts w:ascii="SWISS" w:hAnsi="SWISS" w:cs="Arial"/>
                <w:sz w:val="20"/>
                <w:szCs w:val="20"/>
              </w:rPr>
              <w:t xml:space="preserve">appropriate contractual </w:t>
            </w:r>
            <w:r w:rsidRPr="00F52F8B">
              <w:rPr>
                <w:rFonts w:ascii="SWISS" w:hAnsi="SWISS" w:cs="Arial"/>
                <w:sz w:val="20"/>
                <w:szCs w:val="20"/>
              </w:rPr>
              <w:t>office manager expense.</w:t>
            </w: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rPr>
            </w:pPr>
            <w:r>
              <w:rPr>
                <w:rFonts w:ascii="SWISS" w:hAnsi="SWISS" w:cs="Arial"/>
                <w:sz w:val="20"/>
                <w:szCs w:val="20"/>
              </w:rPr>
              <w:t>(</w:t>
            </w:r>
            <w:r w:rsidRPr="00F52F8B">
              <w:rPr>
                <w:rFonts w:ascii="SWISS" w:hAnsi="SWISS" w:cs="Arial"/>
                <w:sz w:val="20"/>
                <w:szCs w:val="20"/>
              </w:rPr>
              <w:t>$</w:t>
            </w:r>
            <w:r>
              <w:rPr>
                <w:rFonts w:ascii="SWISS" w:hAnsi="SWISS" w:cs="Arial"/>
                <w:sz w:val="20"/>
                <w:szCs w:val="20"/>
              </w:rPr>
              <w:t>3</w:t>
            </w:r>
            <w:r w:rsidRPr="00F52F8B">
              <w:rPr>
                <w:rFonts w:ascii="SWISS" w:hAnsi="SWISS" w:cs="Arial"/>
                <w:sz w:val="20"/>
                <w:szCs w:val="20"/>
              </w:rPr>
              <w:t>,</w:t>
            </w:r>
            <w:r>
              <w:rPr>
                <w:rFonts w:ascii="SWISS" w:hAnsi="SWISS" w:cs="Arial"/>
                <w:sz w:val="20"/>
                <w:szCs w:val="20"/>
              </w:rPr>
              <w:t>680)</w:t>
            </w: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xml:space="preserve">b. To reflect appropriate </w:t>
            </w:r>
            <w:r>
              <w:rPr>
                <w:rFonts w:ascii="SWISS" w:hAnsi="SWISS" w:cs="Arial"/>
                <w:sz w:val="20"/>
                <w:szCs w:val="20"/>
              </w:rPr>
              <w:t xml:space="preserve">test year contractual </w:t>
            </w:r>
            <w:r w:rsidRPr="00F52F8B">
              <w:rPr>
                <w:rFonts w:ascii="SWISS" w:hAnsi="SWISS" w:cs="Arial"/>
                <w:sz w:val="20"/>
                <w:szCs w:val="20"/>
              </w:rPr>
              <w:t>operator expense.</w:t>
            </w: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rPr>
            </w:pPr>
            <w:r>
              <w:rPr>
                <w:rFonts w:ascii="SWISS" w:hAnsi="SWISS" w:cs="Arial"/>
                <w:sz w:val="20"/>
                <w:szCs w:val="20"/>
              </w:rPr>
              <w:t>(2,567)</w:t>
            </w: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xml:space="preserve">c. To reflect appropriate </w:t>
            </w:r>
            <w:r>
              <w:rPr>
                <w:rFonts w:ascii="SWISS" w:hAnsi="SWISS" w:cs="Arial"/>
                <w:sz w:val="20"/>
                <w:szCs w:val="20"/>
              </w:rPr>
              <w:t xml:space="preserve">test year </w:t>
            </w:r>
            <w:r w:rsidRPr="00F52F8B">
              <w:rPr>
                <w:rFonts w:ascii="SWISS" w:hAnsi="SWISS" w:cs="Arial"/>
                <w:sz w:val="20"/>
                <w:szCs w:val="20"/>
              </w:rPr>
              <w:t>maintenance expense.</w:t>
            </w: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w:t>
            </w:r>
            <w:r>
              <w:rPr>
                <w:rFonts w:ascii="SWISS" w:hAnsi="SWISS" w:cs="Arial"/>
                <w:sz w:val="20"/>
                <w:szCs w:val="20"/>
              </w:rPr>
              <w:t>5</w:t>
            </w:r>
            <w:r w:rsidRPr="00F52F8B">
              <w:rPr>
                <w:rFonts w:ascii="SWISS" w:hAnsi="SWISS" w:cs="Arial"/>
                <w:sz w:val="20"/>
                <w:szCs w:val="20"/>
              </w:rPr>
              <w:t>,</w:t>
            </w:r>
            <w:r>
              <w:rPr>
                <w:rFonts w:ascii="SWISS" w:hAnsi="SWISS" w:cs="Arial"/>
                <w:sz w:val="20"/>
                <w:szCs w:val="20"/>
              </w:rPr>
              <w:t>721</w:t>
            </w:r>
            <w:r w:rsidRPr="00F52F8B">
              <w:rPr>
                <w:rFonts w:ascii="SWISS" w:hAnsi="SWISS" w:cs="Arial"/>
                <w:sz w:val="20"/>
                <w:szCs w:val="20"/>
              </w:rPr>
              <w:t>)</w:t>
            </w: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7743" w:type="dxa"/>
            <w:tcBorders>
              <w:top w:val="nil"/>
              <w:left w:val="nil"/>
              <w:bottom w:val="nil"/>
              <w:right w:val="nil"/>
            </w:tcBorders>
            <w:shd w:val="clear" w:color="auto" w:fill="auto"/>
            <w:noWrap/>
            <w:vAlign w:val="center"/>
          </w:tcPr>
          <w:p w:rsidR="00432271" w:rsidRPr="00F52F8B" w:rsidRDefault="00432271" w:rsidP="00432271">
            <w:pPr>
              <w:rPr>
                <w:rFonts w:ascii="SWISS" w:hAnsi="SWISS" w:cs="Arial"/>
                <w:sz w:val="20"/>
                <w:szCs w:val="20"/>
              </w:rPr>
            </w:pPr>
            <w:r>
              <w:rPr>
                <w:rFonts w:ascii="SWISS" w:hAnsi="SWISS" w:cs="Arial"/>
                <w:sz w:val="20"/>
                <w:szCs w:val="20"/>
              </w:rPr>
              <w:t>d. To reclassify meter checking expense from Alturas to Sunrise.</w:t>
            </w: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rPr>
            </w:pPr>
            <w:r>
              <w:rPr>
                <w:rFonts w:ascii="SWISS" w:hAnsi="SWISS" w:cs="Arial"/>
                <w:sz w:val="20"/>
                <w:szCs w:val="20"/>
              </w:rPr>
              <w:t>(159)</w:t>
            </w: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7743" w:type="dxa"/>
            <w:tcBorders>
              <w:top w:val="nil"/>
              <w:left w:val="nil"/>
              <w:bottom w:val="nil"/>
              <w:right w:val="nil"/>
            </w:tcBorders>
            <w:shd w:val="clear" w:color="auto" w:fill="auto"/>
            <w:noWrap/>
            <w:vAlign w:val="center"/>
          </w:tcPr>
          <w:p w:rsidR="00432271" w:rsidRDefault="00432271" w:rsidP="00432271">
            <w:pPr>
              <w:rPr>
                <w:rFonts w:ascii="SWISS" w:hAnsi="SWISS" w:cs="Arial"/>
                <w:sz w:val="20"/>
                <w:szCs w:val="20"/>
              </w:rPr>
            </w:pPr>
            <w:r>
              <w:rPr>
                <w:rFonts w:ascii="SWISS" w:hAnsi="SWISS" w:cs="Arial"/>
                <w:sz w:val="20"/>
                <w:szCs w:val="20"/>
              </w:rPr>
              <w:t>e. To reflect pro forma contractual utility service technician expense.</w:t>
            </w:r>
          </w:p>
        </w:tc>
        <w:tc>
          <w:tcPr>
            <w:tcW w:w="985" w:type="dxa"/>
            <w:tcBorders>
              <w:top w:val="nil"/>
              <w:left w:val="nil"/>
              <w:bottom w:val="nil"/>
              <w:right w:val="single" w:sz="8" w:space="0" w:color="auto"/>
            </w:tcBorders>
            <w:shd w:val="clear" w:color="auto" w:fill="auto"/>
            <w:noWrap/>
            <w:vAlign w:val="bottom"/>
          </w:tcPr>
          <w:p w:rsidR="00432271" w:rsidRPr="009067E3" w:rsidRDefault="00432271" w:rsidP="00432271">
            <w:pPr>
              <w:jc w:val="right"/>
              <w:rPr>
                <w:rFonts w:ascii="SWISS" w:hAnsi="SWISS" w:cs="Arial"/>
                <w:sz w:val="20"/>
                <w:szCs w:val="20"/>
                <w:u w:val="single"/>
              </w:rPr>
            </w:pPr>
            <w:r w:rsidRPr="009067E3">
              <w:rPr>
                <w:rFonts w:ascii="SWISS" w:hAnsi="SWISS" w:cs="Arial"/>
                <w:sz w:val="20"/>
                <w:szCs w:val="20"/>
                <w:u w:val="single"/>
              </w:rPr>
              <w:t>2,860</w:t>
            </w: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xml:space="preserve">       Subtotal</w:t>
            </w: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u w:val="double"/>
              </w:rPr>
            </w:pPr>
            <w:r w:rsidRPr="00F52F8B">
              <w:rPr>
                <w:rFonts w:ascii="SWISS" w:hAnsi="SWISS" w:cs="Arial"/>
                <w:sz w:val="20"/>
                <w:szCs w:val="20"/>
                <w:u w:val="double"/>
              </w:rPr>
              <w:t>($</w:t>
            </w:r>
            <w:r>
              <w:rPr>
                <w:rFonts w:ascii="SWISS" w:hAnsi="SWISS" w:cs="Arial"/>
                <w:sz w:val="20"/>
                <w:szCs w:val="20"/>
                <w:u w:val="double"/>
              </w:rPr>
              <w:t>9</w:t>
            </w:r>
            <w:r w:rsidRPr="00F52F8B">
              <w:rPr>
                <w:rFonts w:ascii="SWISS" w:hAnsi="SWISS" w:cs="Arial"/>
                <w:sz w:val="20"/>
                <w:szCs w:val="20"/>
                <w:u w:val="double"/>
              </w:rPr>
              <w:t>,</w:t>
            </w:r>
            <w:r>
              <w:rPr>
                <w:rFonts w:ascii="SWISS" w:hAnsi="SWISS" w:cs="Arial"/>
                <w:sz w:val="20"/>
                <w:szCs w:val="20"/>
                <w:u w:val="double"/>
              </w:rPr>
              <w:t>267</w:t>
            </w:r>
            <w:r w:rsidRPr="00F52F8B">
              <w:rPr>
                <w:rFonts w:ascii="SWISS" w:hAnsi="SWISS" w:cs="Arial"/>
                <w:sz w:val="20"/>
                <w:szCs w:val="20"/>
                <w:u w:val="double"/>
              </w:rPr>
              <w:t>)</w:t>
            </w: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rPr>
            </w:pP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8</w:t>
            </w:r>
            <w:r w:rsidRPr="00F52F8B">
              <w:rPr>
                <w:rFonts w:ascii="SWISS" w:hAnsi="SWISS" w:cs="Arial"/>
                <w:sz w:val="20"/>
                <w:szCs w:val="20"/>
              </w:rPr>
              <w:t>.</w:t>
            </w: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Transportation Expense (650)</w:t>
            </w: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To re</w:t>
            </w:r>
            <w:r>
              <w:rPr>
                <w:rFonts w:ascii="SWISS" w:hAnsi="SWISS" w:cs="Arial"/>
                <w:sz w:val="20"/>
                <w:szCs w:val="20"/>
              </w:rPr>
              <w:t>flect pro forma transportation expense.</w:t>
            </w: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98003B">
            <w:pPr>
              <w:jc w:val="right"/>
              <w:rPr>
                <w:rFonts w:ascii="SWISS" w:hAnsi="SWISS" w:cs="Arial"/>
                <w:sz w:val="20"/>
                <w:szCs w:val="20"/>
                <w:u w:val="double"/>
              </w:rPr>
            </w:pPr>
            <w:r w:rsidRPr="00F52F8B">
              <w:rPr>
                <w:rFonts w:ascii="SWISS" w:hAnsi="SWISS" w:cs="Arial"/>
                <w:sz w:val="20"/>
                <w:szCs w:val="20"/>
                <w:u w:val="double"/>
              </w:rPr>
              <w:t>($1,</w:t>
            </w:r>
            <w:r w:rsidR="0098003B">
              <w:rPr>
                <w:rFonts w:ascii="SWISS" w:hAnsi="SWISS" w:cs="Arial"/>
                <w:sz w:val="20"/>
                <w:szCs w:val="20"/>
                <w:u w:val="double"/>
              </w:rPr>
              <w:t>035</w:t>
            </w:r>
            <w:r w:rsidRPr="00F52F8B">
              <w:rPr>
                <w:rFonts w:ascii="SWISS" w:hAnsi="SWISS" w:cs="Arial"/>
                <w:sz w:val="20"/>
                <w:szCs w:val="20"/>
                <w:u w:val="double"/>
              </w:rPr>
              <w:t>)</w:t>
            </w: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rPr>
            </w:pP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9</w:t>
            </w:r>
            <w:r w:rsidRPr="00F52F8B">
              <w:rPr>
                <w:rFonts w:ascii="SWISS" w:hAnsi="SWISS" w:cs="Arial"/>
                <w:sz w:val="20"/>
                <w:szCs w:val="20"/>
              </w:rPr>
              <w:t>.</w:t>
            </w: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Insurance Expense (655)</w:t>
            </w: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r>
      <w:tr w:rsidR="00432271" w:rsidRPr="00F52F8B" w:rsidTr="0098003B">
        <w:trPr>
          <w:trHeight w:val="53"/>
        </w:trPr>
        <w:tc>
          <w:tcPr>
            <w:tcW w:w="1206"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7743"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To reflect appropriate insurance expense.</w:t>
            </w:r>
          </w:p>
        </w:tc>
        <w:tc>
          <w:tcPr>
            <w:tcW w:w="985"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u w:val="double"/>
              </w:rPr>
            </w:pPr>
            <w:r w:rsidRPr="00F52F8B">
              <w:rPr>
                <w:rFonts w:ascii="SWISS" w:hAnsi="SWISS" w:cs="Arial"/>
                <w:sz w:val="20"/>
                <w:szCs w:val="20"/>
                <w:u w:val="double"/>
              </w:rPr>
              <w:t>$31</w:t>
            </w:r>
          </w:p>
        </w:tc>
      </w:tr>
      <w:tr w:rsidR="00432271" w:rsidRPr="00F52F8B" w:rsidTr="0098003B">
        <w:trPr>
          <w:trHeight w:val="53"/>
        </w:trPr>
        <w:tc>
          <w:tcPr>
            <w:tcW w:w="1206" w:type="dxa"/>
            <w:tcBorders>
              <w:top w:val="nil"/>
              <w:left w:val="single" w:sz="8" w:space="0" w:color="auto"/>
              <w:bottom w:val="single" w:sz="8" w:space="0" w:color="auto"/>
              <w:right w:val="nil"/>
            </w:tcBorders>
            <w:shd w:val="clear" w:color="auto" w:fill="auto"/>
            <w:noWrap/>
            <w:vAlign w:val="bottom"/>
          </w:tcPr>
          <w:p w:rsidR="00432271" w:rsidRPr="00F52F8B" w:rsidRDefault="00432271" w:rsidP="00432271">
            <w:pPr>
              <w:rPr>
                <w:rFonts w:ascii="SWISS" w:hAnsi="SWISS" w:cs="Arial"/>
                <w:sz w:val="20"/>
                <w:szCs w:val="20"/>
              </w:rPr>
            </w:pPr>
          </w:p>
        </w:tc>
        <w:tc>
          <w:tcPr>
            <w:tcW w:w="7743" w:type="dxa"/>
            <w:tcBorders>
              <w:top w:val="nil"/>
              <w:left w:val="nil"/>
              <w:bottom w:val="single" w:sz="8" w:space="0" w:color="auto"/>
              <w:right w:val="nil"/>
            </w:tcBorders>
            <w:shd w:val="clear" w:color="auto" w:fill="auto"/>
            <w:noWrap/>
            <w:vAlign w:val="bottom"/>
          </w:tcPr>
          <w:p w:rsidR="00432271" w:rsidRPr="00F52F8B" w:rsidRDefault="00432271" w:rsidP="00432271">
            <w:pPr>
              <w:rPr>
                <w:rFonts w:ascii="SWISS" w:hAnsi="SWISS" w:cs="Arial"/>
              </w:rPr>
            </w:pPr>
          </w:p>
        </w:tc>
        <w:tc>
          <w:tcPr>
            <w:tcW w:w="985" w:type="dxa"/>
            <w:tcBorders>
              <w:top w:val="nil"/>
              <w:left w:val="nil"/>
              <w:bottom w:val="single" w:sz="8" w:space="0" w:color="auto"/>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p>
        </w:tc>
      </w:tr>
    </w:tbl>
    <w:p w:rsidR="00432271" w:rsidRDefault="00432271" w:rsidP="00E275D8">
      <w:pPr>
        <w:pStyle w:val="BodyText"/>
        <w:sectPr w:rsidR="00432271" w:rsidSect="00432271">
          <w:headerReference w:type="default" r:id="rId24"/>
          <w:footerReference w:type="default" r:id="rId25"/>
          <w:pgSz w:w="12240" w:h="15840" w:code="1"/>
          <w:pgMar w:top="1584" w:right="1440" w:bottom="1440" w:left="1440" w:header="720" w:footer="720" w:gutter="0"/>
          <w:cols w:space="720"/>
          <w:formProt w:val="0"/>
          <w:docGrid w:linePitch="360"/>
        </w:sectPr>
      </w:pPr>
    </w:p>
    <w:p w:rsidR="00432271" w:rsidRDefault="00432271" w:rsidP="00E275D8">
      <w:pPr>
        <w:pStyle w:val="BodyText"/>
      </w:pPr>
    </w:p>
    <w:tbl>
      <w:tblPr>
        <w:tblW w:w="9864" w:type="dxa"/>
        <w:jc w:val="center"/>
        <w:tblInd w:w="10" w:type="dxa"/>
        <w:tblCellMar>
          <w:left w:w="0" w:type="dxa"/>
          <w:right w:w="0" w:type="dxa"/>
        </w:tblCellMar>
        <w:tblLook w:val="0000" w:firstRow="0" w:lastRow="0" w:firstColumn="0" w:lastColumn="0" w:noHBand="0" w:noVBand="0"/>
      </w:tblPr>
      <w:tblGrid>
        <w:gridCol w:w="1378"/>
        <w:gridCol w:w="7576"/>
        <w:gridCol w:w="958"/>
      </w:tblGrid>
      <w:tr w:rsidR="00432271" w:rsidRPr="00F52F8B" w:rsidTr="00432271">
        <w:trPr>
          <w:trHeight w:val="58"/>
          <w:jc w:val="center"/>
        </w:trPr>
        <w:tc>
          <w:tcPr>
            <w:tcW w:w="1362" w:type="dxa"/>
            <w:tcBorders>
              <w:top w:val="single" w:sz="8" w:space="0" w:color="auto"/>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w:t>
            </w:r>
          </w:p>
        </w:tc>
        <w:tc>
          <w:tcPr>
            <w:tcW w:w="8502" w:type="dxa"/>
            <w:gridSpan w:val="2"/>
            <w:tcBorders>
              <w:top w:val="single" w:sz="8" w:space="0" w:color="auto"/>
              <w:left w:val="nil"/>
              <w:bottom w:val="nil"/>
              <w:right w:val="single" w:sz="8" w:space="0" w:color="auto"/>
            </w:tcBorders>
            <w:shd w:val="clear" w:color="auto" w:fill="auto"/>
            <w:noWrap/>
            <w:vAlign w:val="bottom"/>
          </w:tcPr>
          <w:p w:rsidR="00432271" w:rsidRPr="00F52F8B" w:rsidRDefault="00432271" w:rsidP="00432271">
            <w:pPr>
              <w:rPr>
                <w:rFonts w:ascii="SWISS" w:hAnsi="SWISS" w:cs="Arial"/>
                <w:b/>
                <w:bCs/>
                <w:color w:val="000000"/>
                <w:sz w:val="20"/>
                <w:szCs w:val="20"/>
              </w:rPr>
            </w:pPr>
            <w:r w:rsidRPr="00F52F8B">
              <w:rPr>
                <w:rFonts w:ascii="SWISS" w:hAnsi="SWISS" w:cs="Arial"/>
                <w:b/>
                <w:bCs/>
                <w:color w:val="000000"/>
                <w:sz w:val="20"/>
                <w:szCs w:val="20"/>
              </w:rPr>
              <w:t>ALTURAS UTILITIES, L</w:t>
            </w:r>
            <w:r>
              <w:rPr>
                <w:rFonts w:ascii="SWISS" w:hAnsi="SWISS" w:cs="Arial"/>
                <w:b/>
                <w:bCs/>
                <w:color w:val="000000"/>
                <w:sz w:val="20"/>
                <w:szCs w:val="20"/>
              </w:rPr>
              <w:t>.</w:t>
            </w:r>
            <w:r w:rsidRPr="00F52F8B">
              <w:rPr>
                <w:rFonts w:ascii="SWISS" w:hAnsi="SWISS" w:cs="Arial"/>
                <w:b/>
                <w:bCs/>
                <w:color w:val="000000"/>
                <w:sz w:val="20"/>
                <w:szCs w:val="20"/>
              </w:rPr>
              <w:t>L</w:t>
            </w:r>
            <w:r>
              <w:rPr>
                <w:rFonts w:ascii="SWISS" w:hAnsi="SWISS" w:cs="Arial"/>
                <w:b/>
                <w:bCs/>
                <w:color w:val="000000"/>
                <w:sz w:val="20"/>
                <w:szCs w:val="20"/>
              </w:rPr>
              <w:t>.C</w:t>
            </w:r>
            <w:r w:rsidR="0081418B">
              <w:rPr>
                <w:rFonts w:ascii="SWISS" w:hAnsi="SWISS" w:cs="Arial"/>
                <w:b/>
                <w:bCs/>
                <w:color w:val="000000"/>
                <w:sz w:val="20"/>
                <w:szCs w:val="20"/>
              </w:rPr>
              <w:t xml:space="preserve">. </w:t>
            </w:r>
            <w:r w:rsidRPr="00F52F8B">
              <w:rPr>
                <w:rFonts w:ascii="SWISS" w:hAnsi="SWISS" w:cs="Arial"/>
                <w:b/>
                <w:bCs/>
                <w:color w:val="000000"/>
                <w:sz w:val="20"/>
                <w:szCs w:val="20"/>
              </w:rPr>
              <w:t xml:space="preserve">                                                                      </w:t>
            </w:r>
            <w:r>
              <w:rPr>
                <w:rFonts w:ascii="SWISS" w:hAnsi="SWISS" w:cs="Arial"/>
                <w:b/>
                <w:bCs/>
                <w:color w:val="000000"/>
                <w:sz w:val="20"/>
                <w:szCs w:val="20"/>
              </w:rPr>
              <w:t xml:space="preserve">  </w:t>
            </w:r>
            <w:r w:rsidRPr="00F52F8B">
              <w:rPr>
                <w:rFonts w:ascii="SWISS" w:hAnsi="SWISS" w:cs="Arial"/>
                <w:b/>
                <w:bCs/>
                <w:color w:val="000000"/>
                <w:sz w:val="20"/>
                <w:szCs w:val="20"/>
              </w:rPr>
              <w:t xml:space="preserve">  </w:t>
            </w:r>
            <w:r w:rsidR="00DF395A">
              <w:rPr>
                <w:rFonts w:ascii="SWISS" w:hAnsi="SWISS" w:cs="Arial"/>
                <w:b/>
                <w:bCs/>
                <w:color w:val="000000"/>
                <w:sz w:val="20"/>
                <w:szCs w:val="20"/>
              </w:rPr>
              <w:t xml:space="preserve">  </w:t>
            </w:r>
            <w:r w:rsidRPr="00F52F8B">
              <w:rPr>
                <w:rFonts w:ascii="SWISS" w:hAnsi="SWISS" w:cs="Arial"/>
                <w:b/>
                <w:bCs/>
                <w:color w:val="000000"/>
                <w:sz w:val="20"/>
                <w:szCs w:val="20"/>
              </w:rPr>
              <w:t>SCHEDULE NO. 3-</w:t>
            </w:r>
            <w:r>
              <w:rPr>
                <w:rFonts w:ascii="SWISS" w:hAnsi="SWISS" w:cs="Arial"/>
                <w:b/>
                <w:bCs/>
                <w:color w:val="000000"/>
                <w:sz w:val="20"/>
                <w:szCs w:val="20"/>
              </w:rPr>
              <w:t>B</w:t>
            </w:r>
            <w:r w:rsidRPr="00F52F8B">
              <w:rPr>
                <w:rFonts w:ascii="SWISS" w:hAnsi="SWISS" w:cs="Arial"/>
                <w:b/>
                <w:bCs/>
                <w:color w:val="000000"/>
                <w:sz w:val="20"/>
                <w:szCs w:val="20"/>
              </w:rPr>
              <w:t xml:space="preserve"> </w:t>
            </w:r>
          </w:p>
        </w:tc>
      </w:tr>
      <w:tr w:rsidR="00432271" w:rsidRPr="00F52F8B" w:rsidTr="00432271">
        <w:trPr>
          <w:trHeight w:val="58"/>
          <w:jc w:val="center"/>
        </w:trPr>
        <w:tc>
          <w:tcPr>
            <w:tcW w:w="1362"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w:t>
            </w:r>
          </w:p>
        </w:tc>
        <w:tc>
          <w:tcPr>
            <w:tcW w:w="8502" w:type="dxa"/>
            <w:gridSpan w:val="2"/>
            <w:tcBorders>
              <w:top w:val="nil"/>
              <w:left w:val="nil"/>
              <w:bottom w:val="nil"/>
              <w:right w:val="single" w:sz="8" w:space="0" w:color="auto"/>
            </w:tcBorders>
            <w:shd w:val="clear" w:color="auto" w:fill="auto"/>
            <w:noWrap/>
            <w:vAlign w:val="bottom"/>
          </w:tcPr>
          <w:p w:rsidR="00432271" w:rsidRPr="00F52F8B" w:rsidRDefault="00432271" w:rsidP="00432271">
            <w:pPr>
              <w:ind w:left="-11"/>
              <w:rPr>
                <w:rFonts w:ascii="SWISS" w:hAnsi="SWISS" w:cs="Arial"/>
                <w:b/>
                <w:bCs/>
                <w:color w:val="000000"/>
                <w:sz w:val="20"/>
                <w:szCs w:val="20"/>
              </w:rPr>
            </w:pPr>
            <w:r w:rsidRPr="00F52F8B">
              <w:rPr>
                <w:rFonts w:ascii="SWISS" w:hAnsi="SWISS" w:cs="Arial"/>
                <w:b/>
                <w:bCs/>
                <w:color w:val="000000"/>
                <w:sz w:val="20"/>
                <w:szCs w:val="20"/>
              </w:rPr>
              <w:t xml:space="preserve">TEST YEAR ENDED 12/31/14                                                                 </w:t>
            </w:r>
            <w:r>
              <w:rPr>
                <w:rFonts w:ascii="SWISS" w:hAnsi="SWISS" w:cs="Arial"/>
                <w:b/>
                <w:bCs/>
                <w:color w:val="000000"/>
                <w:sz w:val="20"/>
                <w:szCs w:val="20"/>
              </w:rPr>
              <w:t xml:space="preserve"> </w:t>
            </w:r>
            <w:r w:rsidRPr="00F52F8B">
              <w:rPr>
                <w:rFonts w:ascii="SWISS" w:hAnsi="SWISS" w:cs="Arial"/>
                <w:b/>
                <w:bCs/>
                <w:color w:val="000000"/>
                <w:sz w:val="20"/>
                <w:szCs w:val="20"/>
              </w:rPr>
              <w:t xml:space="preserve">   DOCKET NO. 140219-WU</w:t>
            </w:r>
          </w:p>
        </w:tc>
      </w:tr>
      <w:tr w:rsidR="00432271" w:rsidRPr="00F52F8B" w:rsidTr="00432271">
        <w:trPr>
          <w:trHeight w:val="61"/>
          <w:jc w:val="center"/>
        </w:trPr>
        <w:tc>
          <w:tcPr>
            <w:tcW w:w="1362" w:type="dxa"/>
            <w:tcBorders>
              <w:top w:val="nil"/>
              <w:left w:val="single" w:sz="8" w:space="0" w:color="auto"/>
              <w:bottom w:val="single" w:sz="8" w:space="0" w:color="auto"/>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w:t>
            </w:r>
          </w:p>
        </w:tc>
        <w:tc>
          <w:tcPr>
            <w:tcW w:w="8502" w:type="dxa"/>
            <w:gridSpan w:val="2"/>
            <w:tcBorders>
              <w:top w:val="nil"/>
              <w:left w:val="nil"/>
              <w:bottom w:val="single" w:sz="8" w:space="0" w:color="auto"/>
              <w:right w:val="single" w:sz="8" w:space="0" w:color="auto"/>
            </w:tcBorders>
            <w:shd w:val="clear" w:color="auto" w:fill="auto"/>
            <w:noWrap/>
            <w:vAlign w:val="bottom"/>
          </w:tcPr>
          <w:p w:rsidR="00432271" w:rsidRPr="00F52F8B" w:rsidRDefault="00432271" w:rsidP="00432271">
            <w:pPr>
              <w:rPr>
                <w:rFonts w:ascii="SWISS" w:hAnsi="SWISS" w:cs="Arial"/>
                <w:b/>
                <w:bCs/>
                <w:color w:val="000000"/>
                <w:sz w:val="20"/>
                <w:szCs w:val="20"/>
              </w:rPr>
            </w:pPr>
            <w:r w:rsidRPr="00F52F8B">
              <w:rPr>
                <w:rFonts w:ascii="SWISS" w:hAnsi="SWISS" w:cs="Arial"/>
                <w:b/>
                <w:bCs/>
                <w:sz w:val="20"/>
                <w:szCs w:val="20"/>
              </w:rPr>
              <w:t xml:space="preserve">ADJUSTMENTS TO OPERATING INCOME                                                 </w:t>
            </w:r>
            <w:r>
              <w:rPr>
                <w:rFonts w:ascii="SWISS" w:hAnsi="SWISS" w:cs="Arial"/>
                <w:b/>
                <w:bCs/>
                <w:sz w:val="20"/>
                <w:szCs w:val="20"/>
              </w:rPr>
              <w:t xml:space="preserve">                    </w:t>
            </w:r>
            <w:r w:rsidRPr="00F52F8B">
              <w:rPr>
                <w:rFonts w:ascii="SWISS" w:hAnsi="SWISS" w:cs="Arial"/>
                <w:b/>
                <w:bCs/>
                <w:color w:val="000000"/>
                <w:sz w:val="20"/>
                <w:szCs w:val="20"/>
              </w:rPr>
              <w:t>Page 2 of 2</w:t>
            </w:r>
          </w:p>
        </w:tc>
      </w:tr>
      <w:tr w:rsidR="00432271" w:rsidRPr="00F52F8B" w:rsidTr="00432271">
        <w:trPr>
          <w:trHeight w:val="58"/>
          <w:jc w:val="center"/>
        </w:trPr>
        <w:tc>
          <w:tcPr>
            <w:tcW w:w="1362"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Pr>
                <w:rFonts w:ascii="SWISS" w:hAnsi="SWISS" w:cs="Arial"/>
                <w:sz w:val="20"/>
                <w:szCs w:val="20"/>
              </w:rPr>
              <w:t xml:space="preserve"> </w:t>
            </w:r>
          </w:p>
        </w:tc>
        <w:tc>
          <w:tcPr>
            <w:tcW w:w="7560"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942"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b/>
                <w:bCs/>
                <w:color w:val="000000"/>
                <w:sz w:val="20"/>
                <w:szCs w:val="20"/>
                <w:u w:val="single"/>
              </w:rPr>
            </w:pPr>
          </w:p>
        </w:tc>
      </w:tr>
      <w:tr w:rsidR="00432271" w:rsidRPr="00F52F8B" w:rsidTr="00432271">
        <w:trPr>
          <w:trHeight w:val="58"/>
          <w:jc w:val="center"/>
        </w:trPr>
        <w:tc>
          <w:tcPr>
            <w:tcW w:w="1362"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p>
        </w:tc>
        <w:tc>
          <w:tcPr>
            <w:tcW w:w="7560"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b/>
                <w:bCs/>
                <w:sz w:val="20"/>
                <w:szCs w:val="20"/>
              </w:rPr>
            </w:pPr>
          </w:p>
        </w:tc>
        <w:tc>
          <w:tcPr>
            <w:tcW w:w="942"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color w:val="000000"/>
                <w:sz w:val="20"/>
                <w:szCs w:val="20"/>
              </w:rPr>
            </w:pPr>
          </w:p>
        </w:tc>
      </w:tr>
      <w:tr w:rsidR="00432271" w:rsidRPr="00F52F8B" w:rsidTr="00432271">
        <w:trPr>
          <w:trHeight w:val="58"/>
          <w:jc w:val="center"/>
        </w:trPr>
        <w:tc>
          <w:tcPr>
            <w:tcW w:w="1362"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w:t>
            </w:r>
          </w:p>
        </w:tc>
        <w:tc>
          <w:tcPr>
            <w:tcW w:w="7560"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b/>
                <w:bCs/>
                <w:sz w:val="20"/>
                <w:szCs w:val="20"/>
              </w:rPr>
            </w:pPr>
            <w:r w:rsidRPr="00F52F8B">
              <w:rPr>
                <w:rFonts w:ascii="SWISS" w:hAnsi="SWISS" w:cs="Arial"/>
                <w:b/>
                <w:bCs/>
                <w:sz w:val="20"/>
                <w:szCs w:val="20"/>
              </w:rPr>
              <w:t>OPERATION AND MAINTENANCE EXPENSES (CONTINUED)</w:t>
            </w:r>
          </w:p>
        </w:tc>
        <w:tc>
          <w:tcPr>
            <w:tcW w:w="942"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r>
      <w:tr w:rsidR="00432271" w:rsidRPr="00F52F8B" w:rsidTr="00432271">
        <w:trPr>
          <w:trHeight w:val="58"/>
          <w:jc w:val="center"/>
        </w:trPr>
        <w:tc>
          <w:tcPr>
            <w:tcW w:w="1362" w:type="dxa"/>
            <w:tcBorders>
              <w:top w:val="nil"/>
              <w:left w:val="single" w:sz="8" w:space="0" w:color="auto"/>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w:t>
            </w:r>
          </w:p>
        </w:tc>
        <w:tc>
          <w:tcPr>
            <w:tcW w:w="7560"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color w:val="000000"/>
                <w:sz w:val="20"/>
                <w:szCs w:val="20"/>
              </w:rPr>
            </w:pPr>
          </w:p>
        </w:tc>
        <w:tc>
          <w:tcPr>
            <w:tcW w:w="942"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r>
      <w:tr w:rsidR="00432271" w:rsidRPr="00F52F8B" w:rsidTr="00432271">
        <w:trPr>
          <w:trHeight w:val="58"/>
          <w:jc w:val="center"/>
        </w:trPr>
        <w:tc>
          <w:tcPr>
            <w:tcW w:w="1362"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w:t>
            </w:r>
            <w:r w:rsidRPr="00F52F8B">
              <w:rPr>
                <w:rFonts w:ascii="SWISS" w:hAnsi="SWISS" w:cs="Arial"/>
                <w:sz w:val="20"/>
                <w:szCs w:val="20"/>
              </w:rPr>
              <w:t xml:space="preserve"> 1</w:t>
            </w:r>
            <w:r>
              <w:rPr>
                <w:rFonts w:ascii="SWISS" w:hAnsi="SWISS" w:cs="Arial"/>
                <w:sz w:val="20"/>
                <w:szCs w:val="20"/>
              </w:rPr>
              <w:t>0</w:t>
            </w:r>
            <w:r w:rsidRPr="00F52F8B">
              <w:rPr>
                <w:rFonts w:ascii="SWISS" w:hAnsi="SWISS" w:cs="Arial"/>
                <w:sz w:val="20"/>
                <w:szCs w:val="20"/>
              </w:rPr>
              <w:t>.</w:t>
            </w:r>
          </w:p>
        </w:tc>
        <w:tc>
          <w:tcPr>
            <w:tcW w:w="7560"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r>
              <w:rPr>
                <w:rFonts w:ascii="SWISS" w:hAnsi="SWISS" w:cs="Arial"/>
                <w:sz w:val="20"/>
                <w:szCs w:val="20"/>
              </w:rPr>
              <w:t>Regulatory Commission Expense (665)</w:t>
            </w:r>
          </w:p>
        </w:tc>
        <w:tc>
          <w:tcPr>
            <w:tcW w:w="942"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r>
      <w:tr w:rsidR="00432271" w:rsidRPr="00F52F8B" w:rsidTr="00432271">
        <w:trPr>
          <w:trHeight w:val="61"/>
          <w:jc w:val="center"/>
        </w:trPr>
        <w:tc>
          <w:tcPr>
            <w:tcW w:w="1362"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xml:space="preserve">         </w:t>
            </w:r>
          </w:p>
        </w:tc>
        <w:tc>
          <w:tcPr>
            <w:tcW w:w="7560"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xml:space="preserve">To reflect </w:t>
            </w:r>
            <w:r>
              <w:rPr>
                <w:rFonts w:ascii="SWISS" w:hAnsi="SWISS" w:cs="Arial"/>
                <w:sz w:val="20"/>
                <w:szCs w:val="20"/>
              </w:rPr>
              <w:t>4-year amortization of rate case expense ($2,119/4)</w:t>
            </w:r>
          </w:p>
        </w:tc>
        <w:tc>
          <w:tcPr>
            <w:tcW w:w="942"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u w:val="double"/>
              </w:rPr>
            </w:pPr>
            <w:r w:rsidRPr="00F52F8B">
              <w:rPr>
                <w:rFonts w:ascii="SWISS" w:hAnsi="SWISS" w:cs="Arial"/>
                <w:sz w:val="20"/>
                <w:szCs w:val="20"/>
                <w:u w:val="double"/>
              </w:rPr>
              <w:t>$</w:t>
            </w:r>
            <w:r>
              <w:rPr>
                <w:rFonts w:ascii="SWISS" w:hAnsi="SWISS" w:cs="Arial"/>
                <w:sz w:val="20"/>
                <w:szCs w:val="20"/>
                <w:u w:val="double"/>
              </w:rPr>
              <w:t>530</w:t>
            </w:r>
          </w:p>
        </w:tc>
      </w:tr>
      <w:tr w:rsidR="00432271" w:rsidRPr="00F52F8B" w:rsidTr="00432271">
        <w:trPr>
          <w:trHeight w:val="61"/>
          <w:jc w:val="center"/>
        </w:trPr>
        <w:tc>
          <w:tcPr>
            <w:tcW w:w="1362"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7560"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942"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u w:val="single"/>
              </w:rPr>
            </w:pPr>
          </w:p>
        </w:tc>
      </w:tr>
      <w:tr w:rsidR="00432271" w:rsidRPr="00F52F8B" w:rsidTr="00432271">
        <w:trPr>
          <w:trHeight w:val="58"/>
          <w:jc w:val="center"/>
        </w:trPr>
        <w:tc>
          <w:tcPr>
            <w:tcW w:w="1362"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w:t>
            </w:r>
            <w:r w:rsidRPr="00F52F8B">
              <w:rPr>
                <w:rFonts w:ascii="SWISS" w:hAnsi="SWISS" w:cs="Arial"/>
                <w:sz w:val="20"/>
                <w:szCs w:val="20"/>
              </w:rPr>
              <w:t xml:space="preserve"> 1</w:t>
            </w:r>
            <w:r>
              <w:rPr>
                <w:rFonts w:ascii="SWISS" w:hAnsi="SWISS" w:cs="Arial"/>
                <w:sz w:val="20"/>
                <w:szCs w:val="20"/>
              </w:rPr>
              <w:t>1</w:t>
            </w:r>
            <w:r w:rsidRPr="00F52F8B">
              <w:rPr>
                <w:rFonts w:ascii="SWISS" w:hAnsi="SWISS" w:cs="Arial"/>
                <w:sz w:val="20"/>
                <w:szCs w:val="20"/>
              </w:rPr>
              <w:t>.</w:t>
            </w:r>
          </w:p>
        </w:tc>
        <w:tc>
          <w:tcPr>
            <w:tcW w:w="7560"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Bad Debt Expense (670)</w:t>
            </w:r>
          </w:p>
        </w:tc>
        <w:tc>
          <w:tcPr>
            <w:tcW w:w="942"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r>
      <w:tr w:rsidR="00432271" w:rsidRPr="00F52F8B" w:rsidTr="00432271">
        <w:trPr>
          <w:trHeight w:val="61"/>
          <w:jc w:val="center"/>
        </w:trPr>
        <w:tc>
          <w:tcPr>
            <w:tcW w:w="1362"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xml:space="preserve">         </w:t>
            </w:r>
          </w:p>
        </w:tc>
        <w:tc>
          <w:tcPr>
            <w:tcW w:w="7560"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To reflect appropriate bad debt expense.</w:t>
            </w:r>
          </w:p>
        </w:tc>
        <w:tc>
          <w:tcPr>
            <w:tcW w:w="942"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u w:val="double"/>
              </w:rPr>
            </w:pPr>
            <w:r>
              <w:rPr>
                <w:rFonts w:ascii="SWISS" w:hAnsi="SWISS" w:cs="Arial"/>
                <w:sz w:val="20"/>
                <w:szCs w:val="20"/>
                <w:u w:val="double"/>
              </w:rPr>
              <w:t>(</w:t>
            </w:r>
            <w:r w:rsidRPr="00F52F8B">
              <w:rPr>
                <w:rFonts w:ascii="SWISS" w:hAnsi="SWISS" w:cs="Arial"/>
                <w:sz w:val="20"/>
                <w:szCs w:val="20"/>
                <w:u w:val="double"/>
              </w:rPr>
              <w:t>$</w:t>
            </w:r>
            <w:r>
              <w:rPr>
                <w:rFonts w:ascii="SWISS" w:hAnsi="SWISS" w:cs="Arial"/>
                <w:sz w:val="20"/>
                <w:szCs w:val="20"/>
                <w:u w:val="double"/>
              </w:rPr>
              <w:t>292)</w:t>
            </w:r>
          </w:p>
        </w:tc>
      </w:tr>
      <w:tr w:rsidR="00432271" w:rsidRPr="00F52F8B" w:rsidTr="00432271">
        <w:trPr>
          <w:trHeight w:val="61"/>
          <w:jc w:val="center"/>
        </w:trPr>
        <w:tc>
          <w:tcPr>
            <w:tcW w:w="1362"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7560"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942"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u w:val="single"/>
              </w:rPr>
            </w:pPr>
          </w:p>
        </w:tc>
      </w:tr>
      <w:tr w:rsidR="00432271" w:rsidRPr="00F52F8B" w:rsidTr="00432271">
        <w:trPr>
          <w:trHeight w:val="58"/>
          <w:jc w:val="center"/>
        </w:trPr>
        <w:tc>
          <w:tcPr>
            <w:tcW w:w="1362"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w:t>
            </w:r>
            <w:r w:rsidRPr="00F52F8B">
              <w:rPr>
                <w:rFonts w:ascii="SWISS" w:hAnsi="SWISS" w:cs="Arial"/>
                <w:sz w:val="20"/>
                <w:szCs w:val="20"/>
              </w:rPr>
              <w:t>1</w:t>
            </w:r>
            <w:r>
              <w:rPr>
                <w:rFonts w:ascii="SWISS" w:hAnsi="SWISS" w:cs="Arial"/>
                <w:sz w:val="20"/>
                <w:szCs w:val="20"/>
              </w:rPr>
              <w:t>2</w:t>
            </w:r>
            <w:r w:rsidRPr="00F52F8B">
              <w:rPr>
                <w:rFonts w:ascii="SWISS" w:hAnsi="SWISS" w:cs="Arial"/>
                <w:sz w:val="20"/>
                <w:szCs w:val="20"/>
              </w:rPr>
              <w:t>.</w:t>
            </w:r>
          </w:p>
        </w:tc>
        <w:tc>
          <w:tcPr>
            <w:tcW w:w="7560"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Miscellaneous Expense (675)</w:t>
            </w:r>
          </w:p>
        </w:tc>
        <w:tc>
          <w:tcPr>
            <w:tcW w:w="942"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r>
      <w:tr w:rsidR="00432271" w:rsidRPr="00F52F8B" w:rsidTr="00432271">
        <w:trPr>
          <w:trHeight w:val="58"/>
          <w:jc w:val="center"/>
        </w:trPr>
        <w:tc>
          <w:tcPr>
            <w:tcW w:w="1362"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xml:space="preserve">         </w:t>
            </w:r>
          </w:p>
        </w:tc>
        <w:tc>
          <w:tcPr>
            <w:tcW w:w="7560"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a. To reflect appropriate test year miscellaneous expense.</w:t>
            </w:r>
          </w:p>
        </w:tc>
        <w:tc>
          <w:tcPr>
            <w:tcW w:w="942"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color w:val="000000"/>
                <w:sz w:val="20"/>
                <w:szCs w:val="20"/>
              </w:rPr>
            </w:pPr>
            <w:r>
              <w:rPr>
                <w:rFonts w:ascii="SWISS" w:hAnsi="SWISS" w:cs="Arial"/>
                <w:color w:val="000000"/>
                <w:sz w:val="20"/>
                <w:szCs w:val="20"/>
              </w:rPr>
              <w:t>(</w:t>
            </w:r>
            <w:r w:rsidRPr="00F52F8B">
              <w:rPr>
                <w:rFonts w:ascii="SWISS" w:hAnsi="SWISS" w:cs="Arial"/>
                <w:color w:val="000000"/>
                <w:sz w:val="20"/>
                <w:szCs w:val="20"/>
              </w:rPr>
              <w:t>$</w:t>
            </w:r>
            <w:r>
              <w:rPr>
                <w:rFonts w:ascii="SWISS" w:hAnsi="SWISS" w:cs="Arial"/>
                <w:color w:val="000000"/>
                <w:sz w:val="20"/>
                <w:szCs w:val="20"/>
              </w:rPr>
              <w:t>260)</w:t>
            </w:r>
          </w:p>
        </w:tc>
      </w:tr>
      <w:tr w:rsidR="00432271" w:rsidRPr="00F52F8B" w:rsidTr="00432271">
        <w:trPr>
          <w:trHeight w:val="58"/>
          <w:jc w:val="center"/>
        </w:trPr>
        <w:tc>
          <w:tcPr>
            <w:tcW w:w="1362" w:type="dxa"/>
            <w:tcBorders>
              <w:top w:val="nil"/>
              <w:left w:val="single" w:sz="8" w:space="0" w:color="auto"/>
              <w:right w:val="nil"/>
            </w:tcBorders>
            <w:shd w:val="clear" w:color="auto" w:fill="auto"/>
            <w:noWrap/>
            <w:vAlign w:val="bottom"/>
          </w:tcPr>
          <w:p w:rsidR="00432271" w:rsidRPr="00F52F8B" w:rsidRDefault="00432271" w:rsidP="00432271">
            <w:pPr>
              <w:rPr>
                <w:rFonts w:ascii="SWISS" w:hAnsi="SWISS" w:cs="Arial"/>
                <w:sz w:val="20"/>
                <w:szCs w:val="20"/>
              </w:rPr>
            </w:pPr>
          </w:p>
        </w:tc>
        <w:tc>
          <w:tcPr>
            <w:tcW w:w="7560" w:type="dxa"/>
            <w:tcBorders>
              <w:top w:val="nil"/>
              <w:left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b. To reflect</w:t>
            </w:r>
            <w:r>
              <w:rPr>
                <w:rFonts w:ascii="SWISS" w:hAnsi="SWISS" w:cs="Arial"/>
                <w:sz w:val="20"/>
                <w:szCs w:val="20"/>
              </w:rPr>
              <w:t xml:space="preserve"> 5-year amortization of non-recurring miscellaneous operator expense</w:t>
            </w:r>
            <w:r w:rsidRPr="00F52F8B">
              <w:rPr>
                <w:rFonts w:ascii="SWISS" w:hAnsi="SWISS" w:cs="Arial"/>
                <w:sz w:val="20"/>
                <w:szCs w:val="20"/>
              </w:rPr>
              <w:t>.</w:t>
            </w:r>
          </w:p>
        </w:tc>
        <w:tc>
          <w:tcPr>
            <w:tcW w:w="942" w:type="dxa"/>
            <w:tcBorders>
              <w:top w:val="nil"/>
              <w:left w:val="nil"/>
              <w:right w:val="single" w:sz="8" w:space="0" w:color="auto"/>
            </w:tcBorders>
            <w:shd w:val="clear" w:color="auto" w:fill="auto"/>
            <w:noWrap/>
            <w:vAlign w:val="bottom"/>
          </w:tcPr>
          <w:p w:rsidR="00432271" w:rsidRPr="00F52F8B" w:rsidRDefault="00432271" w:rsidP="00432271">
            <w:pPr>
              <w:jc w:val="right"/>
              <w:rPr>
                <w:rFonts w:ascii="SWISS" w:hAnsi="SWISS" w:cs="Arial"/>
                <w:color w:val="000000"/>
                <w:sz w:val="20"/>
                <w:szCs w:val="20"/>
              </w:rPr>
            </w:pPr>
            <w:r>
              <w:rPr>
                <w:rFonts w:ascii="SWISS" w:hAnsi="SWISS" w:cs="Arial"/>
                <w:color w:val="000000"/>
                <w:sz w:val="20"/>
                <w:szCs w:val="20"/>
              </w:rPr>
              <w:t>33</w:t>
            </w:r>
          </w:p>
        </w:tc>
      </w:tr>
      <w:tr w:rsidR="00432271" w:rsidRPr="00F52F8B" w:rsidTr="00432271">
        <w:trPr>
          <w:trHeight w:val="58"/>
          <w:jc w:val="center"/>
        </w:trPr>
        <w:tc>
          <w:tcPr>
            <w:tcW w:w="1362" w:type="dxa"/>
            <w:tcBorders>
              <w:top w:val="nil"/>
              <w:left w:val="single" w:sz="8" w:space="0" w:color="auto"/>
              <w:right w:val="nil"/>
            </w:tcBorders>
            <w:shd w:val="clear" w:color="auto" w:fill="auto"/>
            <w:noWrap/>
            <w:vAlign w:val="bottom"/>
          </w:tcPr>
          <w:p w:rsidR="00432271" w:rsidRPr="00F52F8B" w:rsidRDefault="00432271" w:rsidP="00432271">
            <w:pPr>
              <w:rPr>
                <w:rFonts w:ascii="SWISS" w:hAnsi="SWISS" w:cs="Arial"/>
                <w:sz w:val="20"/>
                <w:szCs w:val="20"/>
              </w:rPr>
            </w:pPr>
          </w:p>
        </w:tc>
        <w:tc>
          <w:tcPr>
            <w:tcW w:w="7560" w:type="dxa"/>
            <w:tcBorders>
              <w:top w:val="nil"/>
              <w:left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c. To reflect pro forma annual FRWA membership dues.</w:t>
            </w:r>
          </w:p>
        </w:tc>
        <w:tc>
          <w:tcPr>
            <w:tcW w:w="942" w:type="dxa"/>
            <w:tcBorders>
              <w:top w:val="nil"/>
              <w:left w:val="nil"/>
              <w:right w:val="single" w:sz="8" w:space="0" w:color="auto"/>
            </w:tcBorders>
            <w:shd w:val="clear" w:color="auto" w:fill="auto"/>
            <w:noWrap/>
            <w:vAlign w:val="bottom"/>
          </w:tcPr>
          <w:p w:rsidR="00432271" w:rsidRPr="00805960" w:rsidRDefault="00432271" w:rsidP="00432271">
            <w:pPr>
              <w:jc w:val="right"/>
              <w:rPr>
                <w:rFonts w:ascii="SWISS" w:hAnsi="SWISS" w:cs="Arial"/>
                <w:color w:val="000000"/>
                <w:sz w:val="20"/>
                <w:szCs w:val="20"/>
              </w:rPr>
            </w:pPr>
            <w:r>
              <w:rPr>
                <w:rFonts w:ascii="SWISS" w:hAnsi="SWISS" w:cs="Arial"/>
                <w:color w:val="000000"/>
                <w:sz w:val="20"/>
                <w:szCs w:val="20"/>
              </w:rPr>
              <w:t>163</w:t>
            </w:r>
          </w:p>
        </w:tc>
      </w:tr>
      <w:tr w:rsidR="00432271" w:rsidRPr="00F52F8B" w:rsidTr="00432271">
        <w:trPr>
          <w:trHeight w:val="58"/>
          <w:jc w:val="center"/>
        </w:trPr>
        <w:tc>
          <w:tcPr>
            <w:tcW w:w="1362" w:type="dxa"/>
            <w:tcBorders>
              <w:top w:val="nil"/>
              <w:left w:val="single" w:sz="8" w:space="0" w:color="auto"/>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c>
          <w:tcPr>
            <w:tcW w:w="7560" w:type="dxa"/>
            <w:tcBorders>
              <w:top w:val="nil"/>
              <w:left w:val="nil"/>
              <w:right w:val="nil"/>
            </w:tcBorders>
            <w:shd w:val="clear" w:color="auto" w:fill="auto"/>
            <w:noWrap/>
            <w:vAlign w:val="bottom"/>
          </w:tcPr>
          <w:p w:rsidR="00432271" w:rsidRPr="00F52F8B" w:rsidRDefault="00432271" w:rsidP="00432271">
            <w:pPr>
              <w:rPr>
                <w:rFonts w:ascii="SWISS" w:hAnsi="SWISS" w:cs="Arial"/>
                <w:sz w:val="20"/>
                <w:szCs w:val="20"/>
              </w:rPr>
            </w:pPr>
            <w:r>
              <w:rPr>
                <w:rFonts w:ascii="SWISS" w:hAnsi="SWISS" w:cs="Arial"/>
                <w:sz w:val="20"/>
                <w:szCs w:val="20"/>
              </w:rPr>
              <w:t>d. To reflect pro forma 5-year amort. of software update, additional license, and training.</w:t>
            </w:r>
          </w:p>
        </w:tc>
        <w:tc>
          <w:tcPr>
            <w:tcW w:w="942" w:type="dxa"/>
            <w:tcBorders>
              <w:top w:val="nil"/>
              <w:left w:val="nil"/>
              <w:right w:val="single" w:sz="8" w:space="0" w:color="auto"/>
            </w:tcBorders>
            <w:shd w:val="clear" w:color="auto" w:fill="auto"/>
            <w:noWrap/>
            <w:vAlign w:val="bottom"/>
          </w:tcPr>
          <w:p w:rsidR="00432271" w:rsidRPr="00805960" w:rsidRDefault="00432271" w:rsidP="00432271">
            <w:pPr>
              <w:jc w:val="right"/>
              <w:rPr>
                <w:rFonts w:ascii="SWISS" w:hAnsi="SWISS" w:cs="Arial"/>
                <w:color w:val="000000"/>
                <w:sz w:val="20"/>
                <w:szCs w:val="20"/>
              </w:rPr>
            </w:pPr>
            <w:r>
              <w:rPr>
                <w:rFonts w:ascii="SWISS" w:hAnsi="SWISS" w:cs="Arial"/>
                <w:color w:val="000000"/>
                <w:sz w:val="20"/>
                <w:szCs w:val="20"/>
              </w:rPr>
              <w:t>30</w:t>
            </w:r>
          </w:p>
        </w:tc>
      </w:tr>
      <w:tr w:rsidR="00432271" w:rsidRPr="00F52F8B" w:rsidTr="00432271">
        <w:trPr>
          <w:trHeight w:val="58"/>
          <w:jc w:val="center"/>
        </w:trPr>
        <w:tc>
          <w:tcPr>
            <w:tcW w:w="1362" w:type="dxa"/>
            <w:tcBorders>
              <w:top w:val="nil"/>
              <w:left w:val="single" w:sz="8" w:space="0" w:color="auto"/>
              <w:right w:val="nil"/>
            </w:tcBorders>
            <w:shd w:val="clear" w:color="auto" w:fill="auto"/>
            <w:noWrap/>
            <w:vAlign w:val="bottom"/>
          </w:tcPr>
          <w:p w:rsidR="00432271" w:rsidRPr="00F52F8B" w:rsidRDefault="00432271" w:rsidP="00432271">
            <w:pPr>
              <w:rPr>
                <w:rFonts w:ascii="SWISS" w:hAnsi="SWISS" w:cs="Arial"/>
                <w:sz w:val="20"/>
                <w:szCs w:val="20"/>
              </w:rPr>
            </w:pPr>
          </w:p>
        </w:tc>
        <w:tc>
          <w:tcPr>
            <w:tcW w:w="7560" w:type="dxa"/>
            <w:tcBorders>
              <w:top w:val="nil"/>
              <w:left w:val="nil"/>
              <w:right w:val="nil"/>
            </w:tcBorders>
            <w:shd w:val="clear" w:color="auto" w:fill="auto"/>
            <w:noWrap/>
            <w:vAlign w:val="bottom"/>
          </w:tcPr>
          <w:p w:rsidR="00432271" w:rsidRPr="00F52F8B" w:rsidRDefault="00432271" w:rsidP="00432271">
            <w:pPr>
              <w:rPr>
                <w:rFonts w:ascii="SWISS" w:hAnsi="SWISS" w:cs="Arial"/>
                <w:sz w:val="20"/>
                <w:szCs w:val="20"/>
              </w:rPr>
            </w:pPr>
            <w:r>
              <w:rPr>
                <w:rFonts w:ascii="SWISS" w:hAnsi="SWISS" w:cs="Arial"/>
                <w:sz w:val="20"/>
                <w:szCs w:val="20"/>
              </w:rPr>
              <w:t>e</w:t>
            </w:r>
            <w:r w:rsidRPr="00F52F8B">
              <w:rPr>
                <w:rFonts w:ascii="SWISS" w:hAnsi="SWISS" w:cs="Arial"/>
                <w:sz w:val="20"/>
                <w:szCs w:val="20"/>
              </w:rPr>
              <w:t>. To reflect pro forma</w:t>
            </w:r>
            <w:r>
              <w:rPr>
                <w:rFonts w:ascii="SWISS" w:hAnsi="SWISS" w:cs="Arial"/>
                <w:sz w:val="20"/>
                <w:szCs w:val="20"/>
              </w:rPr>
              <w:t xml:space="preserve"> 5-year amortization of electronic bank deposit machine</w:t>
            </w:r>
            <w:r w:rsidRPr="00F52F8B">
              <w:rPr>
                <w:rFonts w:ascii="SWISS" w:hAnsi="SWISS" w:cs="Arial"/>
                <w:sz w:val="20"/>
                <w:szCs w:val="20"/>
              </w:rPr>
              <w:t>.</w:t>
            </w:r>
          </w:p>
        </w:tc>
        <w:tc>
          <w:tcPr>
            <w:tcW w:w="942" w:type="dxa"/>
            <w:tcBorders>
              <w:top w:val="nil"/>
              <w:left w:val="nil"/>
              <w:right w:val="single" w:sz="8" w:space="0" w:color="auto"/>
            </w:tcBorders>
            <w:shd w:val="clear" w:color="auto" w:fill="auto"/>
            <w:noWrap/>
            <w:vAlign w:val="bottom"/>
          </w:tcPr>
          <w:p w:rsidR="00432271" w:rsidRPr="00F52F8B" w:rsidRDefault="00432271" w:rsidP="00432271">
            <w:pPr>
              <w:jc w:val="right"/>
              <w:rPr>
                <w:rFonts w:ascii="SWISS" w:hAnsi="SWISS" w:cs="Arial"/>
                <w:color w:val="000000"/>
                <w:sz w:val="20"/>
                <w:szCs w:val="20"/>
                <w:u w:val="single"/>
              </w:rPr>
            </w:pPr>
            <w:r>
              <w:rPr>
                <w:rFonts w:ascii="SWISS" w:hAnsi="SWISS" w:cs="Arial"/>
                <w:color w:val="000000"/>
                <w:sz w:val="20"/>
                <w:szCs w:val="20"/>
                <w:u w:val="single"/>
              </w:rPr>
              <w:t>17</w:t>
            </w:r>
          </w:p>
        </w:tc>
      </w:tr>
      <w:tr w:rsidR="00432271" w:rsidRPr="00F52F8B" w:rsidTr="00432271">
        <w:trPr>
          <w:trHeight w:val="58"/>
          <w:jc w:val="center"/>
        </w:trPr>
        <w:tc>
          <w:tcPr>
            <w:tcW w:w="1362" w:type="dxa"/>
            <w:tcBorders>
              <w:top w:val="nil"/>
              <w:left w:val="single" w:sz="8" w:space="0" w:color="auto"/>
              <w:right w:val="nil"/>
            </w:tcBorders>
            <w:shd w:val="clear" w:color="auto" w:fill="auto"/>
            <w:noWrap/>
            <w:vAlign w:val="bottom"/>
          </w:tcPr>
          <w:p w:rsidR="00432271" w:rsidRPr="00F52F8B" w:rsidRDefault="00432271" w:rsidP="00432271">
            <w:pPr>
              <w:rPr>
                <w:rFonts w:ascii="SWISS" w:hAnsi="SWISS" w:cs="Arial"/>
                <w:sz w:val="20"/>
                <w:szCs w:val="20"/>
              </w:rPr>
            </w:pPr>
          </w:p>
        </w:tc>
        <w:tc>
          <w:tcPr>
            <w:tcW w:w="7560" w:type="dxa"/>
            <w:tcBorders>
              <w:top w:val="nil"/>
              <w:left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xml:space="preserve">       Subtotal</w:t>
            </w:r>
          </w:p>
        </w:tc>
        <w:tc>
          <w:tcPr>
            <w:tcW w:w="942" w:type="dxa"/>
            <w:tcBorders>
              <w:top w:val="nil"/>
              <w:left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u w:val="double"/>
              </w:rPr>
            </w:pPr>
            <w:r>
              <w:rPr>
                <w:rFonts w:ascii="SWISS" w:hAnsi="SWISS" w:cs="Arial"/>
                <w:sz w:val="20"/>
                <w:szCs w:val="20"/>
                <w:u w:val="double"/>
              </w:rPr>
              <w:t>(</w:t>
            </w:r>
            <w:r w:rsidRPr="00F52F8B">
              <w:rPr>
                <w:rFonts w:ascii="SWISS" w:hAnsi="SWISS" w:cs="Arial"/>
                <w:sz w:val="20"/>
                <w:szCs w:val="20"/>
                <w:u w:val="double"/>
              </w:rPr>
              <w:t>$</w:t>
            </w:r>
            <w:r>
              <w:rPr>
                <w:rFonts w:ascii="SWISS" w:hAnsi="SWISS" w:cs="Arial"/>
                <w:sz w:val="20"/>
                <w:szCs w:val="20"/>
                <w:u w:val="double"/>
              </w:rPr>
              <w:t>64)</w:t>
            </w:r>
          </w:p>
        </w:tc>
      </w:tr>
      <w:tr w:rsidR="00432271" w:rsidRPr="00F52F8B" w:rsidTr="00432271">
        <w:trPr>
          <w:trHeight w:val="58"/>
          <w:jc w:val="center"/>
        </w:trPr>
        <w:tc>
          <w:tcPr>
            <w:tcW w:w="1362" w:type="dxa"/>
            <w:tcBorders>
              <w:top w:val="nil"/>
              <w:left w:val="single" w:sz="8" w:space="0" w:color="auto"/>
              <w:right w:val="nil"/>
            </w:tcBorders>
            <w:shd w:val="clear" w:color="auto" w:fill="auto"/>
            <w:noWrap/>
            <w:vAlign w:val="bottom"/>
          </w:tcPr>
          <w:p w:rsidR="00432271" w:rsidRPr="00F52F8B" w:rsidRDefault="00432271" w:rsidP="00432271">
            <w:pPr>
              <w:rPr>
                <w:rFonts w:ascii="SWISS" w:hAnsi="SWISS" w:cs="Arial"/>
                <w:sz w:val="20"/>
                <w:szCs w:val="20"/>
              </w:rPr>
            </w:pPr>
          </w:p>
        </w:tc>
        <w:tc>
          <w:tcPr>
            <w:tcW w:w="7560" w:type="dxa"/>
            <w:tcBorders>
              <w:top w:val="nil"/>
              <w:left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942" w:type="dxa"/>
            <w:tcBorders>
              <w:top w:val="nil"/>
              <w:left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p>
        </w:tc>
      </w:tr>
      <w:tr w:rsidR="00432271" w:rsidRPr="00F52F8B" w:rsidTr="00432271">
        <w:trPr>
          <w:trHeight w:val="58"/>
          <w:jc w:val="center"/>
        </w:trPr>
        <w:tc>
          <w:tcPr>
            <w:tcW w:w="1362" w:type="dxa"/>
            <w:tcBorders>
              <w:top w:val="nil"/>
              <w:left w:val="single" w:sz="8" w:space="0" w:color="auto"/>
              <w:right w:val="nil"/>
            </w:tcBorders>
            <w:shd w:val="clear" w:color="auto" w:fill="auto"/>
            <w:noWrap/>
            <w:vAlign w:val="bottom"/>
          </w:tcPr>
          <w:p w:rsidR="00432271" w:rsidRPr="00F52F8B" w:rsidRDefault="00432271" w:rsidP="00432271">
            <w:pPr>
              <w:rPr>
                <w:rFonts w:ascii="SWISS" w:hAnsi="SWISS" w:cs="Arial"/>
                <w:sz w:val="20"/>
                <w:szCs w:val="20"/>
              </w:rPr>
            </w:pPr>
          </w:p>
        </w:tc>
        <w:tc>
          <w:tcPr>
            <w:tcW w:w="7560" w:type="dxa"/>
            <w:tcBorders>
              <w:top w:val="nil"/>
              <w:left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942" w:type="dxa"/>
            <w:tcBorders>
              <w:top w:val="nil"/>
              <w:left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p>
        </w:tc>
      </w:tr>
      <w:tr w:rsidR="00432271" w:rsidRPr="00F52F8B" w:rsidTr="00432271">
        <w:trPr>
          <w:trHeight w:val="58"/>
          <w:jc w:val="center"/>
        </w:trPr>
        <w:tc>
          <w:tcPr>
            <w:tcW w:w="1362" w:type="dxa"/>
            <w:tcBorders>
              <w:top w:val="nil"/>
              <w:left w:val="single" w:sz="8" w:space="0" w:color="auto"/>
              <w:right w:val="nil"/>
            </w:tcBorders>
            <w:shd w:val="clear" w:color="auto" w:fill="auto"/>
            <w:noWrap/>
            <w:vAlign w:val="bottom"/>
          </w:tcPr>
          <w:p w:rsidR="00432271" w:rsidRPr="00F52F8B" w:rsidRDefault="00432271" w:rsidP="00432271">
            <w:pPr>
              <w:jc w:val="right"/>
              <w:rPr>
                <w:rFonts w:ascii="SWISS" w:hAnsi="SWISS" w:cs="Arial"/>
                <w:sz w:val="20"/>
                <w:szCs w:val="20"/>
              </w:rPr>
            </w:pPr>
          </w:p>
        </w:tc>
        <w:tc>
          <w:tcPr>
            <w:tcW w:w="7560" w:type="dxa"/>
            <w:tcBorders>
              <w:top w:val="nil"/>
              <w:left w:val="nil"/>
              <w:right w:val="nil"/>
            </w:tcBorders>
            <w:shd w:val="clear" w:color="auto" w:fill="auto"/>
            <w:noWrap/>
            <w:vAlign w:val="bottom"/>
          </w:tcPr>
          <w:p w:rsidR="00432271" w:rsidRPr="00F52F8B" w:rsidRDefault="00432271" w:rsidP="00432271">
            <w:pPr>
              <w:rPr>
                <w:rFonts w:ascii="SWISS" w:hAnsi="SWISS" w:cs="Arial"/>
                <w:b/>
                <w:bCs/>
                <w:color w:val="000000"/>
                <w:sz w:val="20"/>
                <w:szCs w:val="20"/>
              </w:rPr>
            </w:pPr>
            <w:r w:rsidRPr="00F52F8B">
              <w:rPr>
                <w:rFonts w:ascii="SWISS" w:hAnsi="SWISS" w:cs="Arial"/>
                <w:b/>
                <w:bCs/>
                <w:color w:val="000000"/>
                <w:sz w:val="20"/>
                <w:szCs w:val="20"/>
              </w:rPr>
              <w:t>TOTAL OPERATION &amp; MAINTENANCE ADJUSTMENTS</w:t>
            </w:r>
          </w:p>
        </w:tc>
        <w:tc>
          <w:tcPr>
            <w:tcW w:w="942" w:type="dxa"/>
            <w:tcBorders>
              <w:top w:val="nil"/>
              <w:left w:val="nil"/>
              <w:right w:val="single" w:sz="8" w:space="0" w:color="auto"/>
            </w:tcBorders>
            <w:shd w:val="clear" w:color="auto" w:fill="auto"/>
            <w:noWrap/>
            <w:vAlign w:val="bottom"/>
          </w:tcPr>
          <w:p w:rsidR="00432271" w:rsidRPr="00F52F8B" w:rsidRDefault="00432271" w:rsidP="0098003B">
            <w:pPr>
              <w:jc w:val="right"/>
              <w:rPr>
                <w:rFonts w:ascii="SWISS" w:hAnsi="SWISS" w:cs="Arial"/>
                <w:sz w:val="20"/>
                <w:szCs w:val="20"/>
                <w:u w:val="double"/>
              </w:rPr>
            </w:pPr>
            <w:r>
              <w:rPr>
                <w:rFonts w:ascii="SWISS" w:hAnsi="SWISS" w:cs="Arial"/>
                <w:sz w:val="20"/>
                <w:szCs w:val="20"/>
                <w:u w:val="double"/>
              </w:rPr>
              <w:t>(</w:t>
            </w:r>
            <w:r w:rsidRPr="00F52F8B">
              <w:rPr>
                <w:rFonts w:ascii="SWISS" w:hAnsi="SWISS" w:cs="Arial"/>
                <w:sz w:val="20"/>
                <w:szCs w:val="20"/>
                <w:u w:val="double"/>
              </w:rPr>
              <w:t>$</w:t>
            </w:r>
            <w:r w:rsidR="0098003B">
              <w:rPr>
                <w:rFonts w:ascii="SWISS" w:hAnsi="SWISS" w:cs="Arial"/>
                <w:sz w:val="20"/>
                <w:szCs w:val="20"/>
                <w:u w:val="double"/>
              </w:rPr>
              <w:t>5,939</w:t>
            </w:r>
            <w:r>
              <w:rPr>
                <w:rFonts w:ascii="SWISS" w:hAnsi="SWISS" w:cs="Arial"/>
                <w:sz w:val="20"/>
                <w:szCs w:val="20"/>
                <w:u w:val="double"/>
              </w:rPr>
              <w:t>)</w:t>
            </w:r>
            <w:r w:rsidRPr="00F52F8B">
              <w:rPr>
                <w:rFonts w:ascii="SWISS" w:hAnsi="SWISS" w:cs="Arial"/>
                <w:sz w:val="20"/>
                <w:szCs w:val="20"/>
                <w:u w:val="double"/>
              </w:rPr>
              <w:t xml:space="preserve"> </w:t>
            </w:r>
          </w:p>
        </w:tc>
      </w:tr>
      <w:tr w:rsidR="00432271" w:rsidRPr="00F52F8B" w:rsidTr="00432271">
        <w:trPr>
          <w:trHeight w:val="58"/>
          <w:jc w:val="center"/>
        </w:trPr>
        <w:tc>
          <w:tcPr>
            <w:tcW w:w="1362" w:type="dxa"/>
            <w:tcBorders>
              <w:top w:val="nil"/>
              <w:left w:val="single" w:sz="8" w:space="0" w:color="auto"/>
              <w:right w:val="nil"/>
            </w:tcBorders>
            <w:shd w:val="clear" w:color="auto" w:fill="auto"/>
            <w:noWrap/>
            <w:vAlign w:val="bottom"/>
          </w:tcPr>
          <w:p w:rsidR="00432271" w:rsidRPr="00F52F8B" w:rsidRDefault="00432271" w:rsidP="00432271">
            <w:pPr>
              <w:jc w:val="right"/>
              <w:rPr>
                <w:rFonts w:ascii="SWISS" w:hAnsi="SWISS" w:cs="Arial"/>
                <w:sz w:val="20"/>
                <w:szCs w:val="20"/>
              </w:rPr>
            </w:pPr>
          </w:p>
        </w:tc>
        <w:tc>
          <w:tcPr>
            <w:tcW w:w="7560" w:type="dxa"/>
            <w:tcBorders>
              <w:top w:val="nil"/>
              <w:left w:val="nil"/>
              <w:right w:val="nil"/>
            </w:tcBorders>
            <w:shd w:val="clear" w:color="auto" w:fill="auto"/>
            <w:noWrap/>
            <w:vAlign w:val="bottom"/>
          </w:tcPr>
          <w:p w:rsidR="00432271" w:rsidRPr="00F52F8B" w:rsidRDefault="00432271" w:rsidP="00432271">
            <w:pPr>
              <w:rPr>
                <w:rFonts w:ascii="SWISS" w:hAnsi="SWISS" w:cs="Arial"/>
              </w:rPr>
            </w:pPr>
          </w:p>
        </w:tc>
        <w:tc>
          <w:tcPr>
            <w:tcW w:w="942" w:type="dxa"/>
            <w:tcBorders>
              <w:top w:val="nil"/>
              <w:left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p>
        </w:tc>
      </w:tr>
      <w:tr w:rsidR="00432271" w:rsidRPr="00F52F8B" w:rsidTr="00432271">
        <w:trPr>
          <w:trHeight w:val="58"/>
          <w:jc w:val="center"/>
        </w:trPr>
        <w:tc>
          <w:tcPr>
            <w:tcW w:w="1362" w:type="dxa"/>
            <w:tcBorders>
              <w:top w:val="nil"/>
              <w:left w:val="single" w:sz="8" w:space="0" w:color="auto"/>
              <w:right w:val="nil"/>
            </w:tcBorders>
            <w:shd w:val="clear" w:color="auto" w:fill="auto"/>
            <w:noWrap/>
            <w:vAlign w:val="bottom"/>
          </w:tcPr>
          <w:p w:rsidR="00432271" w:rsidRPr="00F52F8B" w:rsidRDefault="00432271" w:rsidP="00432271">
            <w:pPr>
              <w:jc w:val="right"/>
              <w:rPr>
                <w:rFonts w:ascii="SWISS" w:hAnsi="SWISS" w:cs="Arial"/>
                <w:sz w:val="20"/>
                <w:szCs w:val="20"/>
              </w:rPr>
            </w:pPr>
          </w:p>
        </w:tc>
        <w:tc>
          <w:tcPr>
            <w:tcW w:w="7560" w:type="dxa"/>
            <w:tcBorders>
              <w:top w:val="nil"/>
              <w:left w:val="nil"/>
              <w:right w:val="nil"/>
            </w:tcBorders>
            <w:shd w:val="clear" w:color="auto" w:fill="auto"/>
            <w:noWrap/>
            <w:vAlign w:val="bottom"/>
          </w:tcPr>
          <w:p w:rsidR="00432271" w:rsidRPr="00F52F8B" w:rsidRDefault="00432271" w:rsidP="00432271">
            <w:pPr>
              <w:rPr>
                <w:rFonts w:ascii="SWISS" w:hAnsi="SWISS" w:cs="Arial"/>
              </w:rPr>
            </w:pPr>
          </w:p>
        </w:tc>
        <w:tc>
          <w:tcPr>
            <w:tcW w:w="942" w:type="dxa"/>
            <w:tcBorders>
              <w:top w:val="nil"/>
              <w:left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r>
      <w:tr w:rsidR="00432271" w:rsidRPr="00F52F8B" w:rsidTr="00432271">
        <w:trPr>
          <w:trHeight w:val="58"/>
          <w:jc w:val="center"/>
        </w:trPr>
        <w:tc>
          <w:tcPr>
            <w:tcW w:w="1362" w:type="dxa"/>
            <w:tcBorders>
              <w:top w:val="nil"/>
              <w:left w:val="single" w:sz="8" w:space="0" w:color="auto"/>
              <w:right w:val="nil"/>
            </w:tcBorders>
            <w:shd w:val="clear" w:color="auto" w:fill="auto"/>
            <w:noWrap/>
            <w:vAlign w:val="bottom"/>
          </w:tcPr>
          <w:p w:rsidR="00432271" w:rsidRPr="00F52F8B" w:rsidRDefault="00432271" w:rsidP="00432271">
            <w:pPr>
              <w:jc w:val="right"/>
              <w:rPr>
                <w:rFonts w:ascii="SWISS" w:hAnsi="SWISS" w:cs="Arial"/>
                <w:sz w:val="20"/>
                <w:szCs w:val="20"/>
              </w:rPr>
            </w:pPr>
          </w:p>
        </w:tc>
        <w:tc>
          <w:tcPr>
            <w:tcW w:w="7560" w:type="dxa"/>
            <w:tcBorders>
              <w:top w:val="nil"/>
              <w:left w:val="nil"/>
              <w:right w:val="nil"/>
            </w:tcBorders>
            <w:shd w:val="clear" w:color="auto" w:fill="auto"/>
            <w:noWrap/>
            <w:vAlign w:val="bottom"/>
          </w:tcPr>
          <w:p w:rsidR="00432271" w:rsidRPr="00F52F8B" w:rsidRDefault="00432271" w:rsidP="00432271">
            <w:pPr>
              <w:rPr>
                <w:rFonts w:ascii="SWISS" w:hAnsi="SWISS" w:cs="Arial"/>
                <w:b/>
                <w:bCs/>
                <w:sz w:val="20"/>
                <w:szCs w:val="20"/>
              </w:rPr>
            </w:pPr>
            <w:r w:rsidRPr="00F52F8B">
              <w:rPr>
                <w:rFonts w:ascii="SWISS" w:hAnsi="SWISS" w:cs="Arial"/>
                <w:b/>
                <w:bCs/>
                <w:sz w:val="20"/>
                <w:szCs w:val="20"/>
              </w:rPr>
              <w:t>DEPRECIATION EXPENSE</w:t>
            </w:r>
          </w:p>
        </w:tc>
        <w:tc>
          <w:tcPr>
            <w:tcW w:w="942" w:type="dxa"/>
            <w:tcBorders>
              <w:top w:val="nil"/>
              <w:left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r>
      <w:tr w:rsidR="00432271" w:rsidRPr="00F52F8B" w:rsidTr="00432271">
        <w:trPr>
          <w:trHeight w:val="58"/>
          <w:jc w:val="center"/>
        </w:trPr>
        <w:tc>
          <w:tcPr>
            <w:tcW w:w="1362" w:type="dxa"/>
            <w:tcBorders>
              <w:top w:val="nil"/>
              <w:left w:val="single" w:sz="8" w:space="0" w:color="auto"/>
              <w:bottom w:val="nil"/>
              <w:right w:val="nil"/>
            </w:tcBorders>
            <w:shd w:val="clear" w:color="auto" w:fill="auto"/>
            <w:noWrap/>
            <w:vAlign w:val="bottom"/>
          </w:tcPr>
          <w:p w:rsidR="00432271" w:rsidRPr="00F52F8B" w:rsidRDefault="00432271" w:rsidP="00432271">
            <w:pPr>
              <w:ind w:left="331"/>
              <w:rPr>
                <w:rFonts w:ascii="SWISS" w:hAnsi="SWISS" w:cs="Arial"/>
                <w:sz w:val="20"/>
                <w:szCs w:val="20"/>
              </w:rPr>
            </w:pPr>
          </w:p>
        </w:tc>
        <w:tc>
          <w:tcPr>
            <w:tcW w:w="7560"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To reflect test year depreciation calculated per Rule 25-30.140, F.A.C.</w:t>
            </w:r>
          </w:p>
        </w:tc>
        <w:tc>
          <w:tcPr>
            <w:tcW w:w="942"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u w:val="double"/>
              </w:rPr>
            </w:pPr>
            <w:r w:rsidRPr="00F52F8B">
              <w:rPr>
                <w:rFonts w:ascii="SWISS" w:hAnsi="SWISS" w:cs="Arial"/>
                <w:sz w:val="20"/>
                <w:szCs w:val="20"/>
                <w:u w:val="double"/>
              </w:rPr>
              <w:t xml:space="preserve">$1,624 </w:t>
            </w:r>
          </w:p>
        </w:tc>
      </w:tr>
      <w:tr w:rsidR="00432271" w:rsidRPr="00F52F8B" w:rsidTr="00432271">
        <w:trPr>
          <w:trHeight w:val="58"/>
          <w:jc w:val="center"/>
        </w:trPr>
        <w:tc>
          <w:tcPr>
            <w:tcW w:w="1362"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7560"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942"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rPr>
            </w:pPr>
          </w:p>
        </w:tc>
      </w:tr>
      <w:tr w:rsidR="00432271" w:rsidRPr="00F52F8B" w:rsidTr="00432271">
        <w:trPr>
          <w:trHeight w:val="58"/>
          <w:jc w:val="center"/>
        </w:trPr>
        <w:tc>
          <w:tcPr>
            <w:tcW w:w="1362"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7560"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942"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rPr>
            </w:pPr>
          </w:p>
        </w:tc>
      </w:tr>
      <w:tr w:rsidR="00432271" w:rsidRPr="00F52F8B" w:rsidTr="00432271">
        <w:trPr>
          <w:trHeight w:val="58"/>
          <w:jc w:val="center"/>
        </w:trPr>
        <w:tc>
          <w:tcPr>
            <w:tcW w:w="1362"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7560"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b/>
                <w:bCs/>
                <w:sz w:val="20"/>
                <w:szCs w:val="20"/>
              </w:rPr>
            </w:pPr>
            <w:r w:rsidRPr="00F52F8B">
              <w:rPr>
                <w:rFonts w:ascii="SWISS" w:hAnsi="SWISS" w:cs="Arial"/>
                <w:b/>
                <w:bCs/>
                <w:sz w:val="20"/>
                <w:szCs w:val="20"/>
              </w:rPr>
              <w:t>TAXES OTHER THAN INCOME</w:t>
            </w:r>
          </w:p>
        </w:tc>
        <w:tc>
          <w:tcPr>
            <w:tcW w:w="942"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r>
      <w:tr w:rsidR="00432271" w:rsidRPr="00F52F8B" w:rsidTr="00432271">
        <w:trPr>
          <w:trHeight w:val="58"/>
          <w:jc w:val="center"/>
        </w:trPr>
        <w:tc>
          <w:tcPr>
            <w:tcW w:w="1362" w:type="dxa"/>
            <w:tcBorders>
              <w:top w:val="nil"/>
              <w:left w:val="single" w:sz="8" w:space="0" w:color="auto"/>
              <w:bottom w:val="nil"/>
              <w:right w:val="nil"/>
            </w:tcBorders>
            <w:shd w:val="clear" w:color="auto" w:fill="auto"/>
            <w:noWrap/>
            <w:vAlign w:val="bottom"/>
          </w:tcPr>
          <w:p w:rsidR="00432271" w:rsidRPr="00F52F8B" w:rsidRDefault="00432271" w:rsidP="00432271">
            <w:pPr>
              <w:ind w:left="331"/>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w:t>
            </w:r>
            <w:r w:rsidRPr="00F52F8B">
              <w:rPr>
                <w:rFonts w:ascii="SWISS" w:hAnsi="SWISS" w:cs="Arial"/>
                <w:sz w:val="20"/>
                <w:szCs w:val="20"/>
              </w:rPr>
              <w:t xml:space="preserve">  1.</w:t>
            </w:r>
          </w:p>
        </w:tc>
        <w:tc>
          <w:tcPr>
            <w:tcW w:w="7560"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To reflect appropriate test year RAFs.</w:t>
            </w:r>
          </w:p>
        </w:tc>
        <w:tc>
          <w:tcPr>
            <w:tcW w:w="942"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$90</w:t>
            </w:r>
          </w:p>
        </w:tc>
      </w:tr>
      <w:tr w:rsidR="00432271" w:rsidRPr="00F52F8B" w:rsidTr="00432271">
        <w:trPr>
          <w:trHeight w:val="58"/>
          <w:jc w:val="center"/>
        </w:trPr>
        <w:tc>
          <w:tcPr>
            <w:tcW w:w="1362" w:type="dxa"/>
            <w:tcBorders>
              <w:top w:val="nil"/>
              <w:left w:val="single" w:sz="8" w:space="0" w:color="auto"/>
              <w:bottom w:val="nil"/>
              <w:right w:val="nil"/>
            </w:tcBorders>
            <w:shd w:val="clear" w:color="auto" w:fill="auto"/>
            <w:noWrap/>
            <w:vAlign w:val="bottom"/>
          </w:tcPr>
          <w:p w:rsidR="00432271" w:rsidRPr="00F52F8B" w:rsidRDefault="00432271" w:rsidP="00432271">
            <w:pPr>
              <w:tabs>
                <w:tab w:val="left" w:pos="745"/>
              </w:tabs>
              <w:ind w:left="331"/>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w:t>
            </w:r>
            <w:r w:rsidRPr="00F52F8B">
              <w:rPr>
                <w:rFonts w:ascii="SWISS" w:hAnsi="SWISS" w:cs="Arial"/>
                <w:sz w:val="20"/>
                <w:szCs w:val="20"/>
              </w:rPr>
              <w:t xml:space="preserve">  2.</w:t>
            </w:r>
          </w:p>
        </w:tc>
        <w:tc>
          <w:tcPr>
            <w:tcW w:w="7560"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To reflect appropriate test year utility property taxes.</w:t>
            </w:r>
          </w:p>
        </w:tc>
        <w:tc>
          <w:tcPr>
            <w:tcW w:w="942"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u w:val="single"/>
              </w:rPr>
            </w:pPr>
            <w:r w:rsidRPr="00F52F8B">
              <w:rPr>
                <w:rFonts w:ascii="SWISS" w:hAnsi="SWISS" w:cs="Arial"/>
                <w:sz w:val="20"/>
                <w:szCs w:val="20"/>
                <w:u w:val="single"/>
              </w:rPr>
              <w:t>(1,7</w:t>
            </w:r>
            <w:r>
              <w:rPr>
                <w:rFonts w:ascii="SWISS" w:hAnsi="SWISS" w:cs="Arial"/>
                <w:sz w:val="20"/>
                <w:szCs w:val="20"/>
                <w:u w:val="single"/>
              </w:rPr>
              <w:t>47</w:t>
            </w:r>
            <w:r w:rsidRPr="00F52F8B">
              <w:rPr>
                <w:rFonts w:ascii="SWISS" w:hAnsi="SWISS" w:cs="Arial"/>
                <w:sz w:val="20"/>
                <w:szCs w:val="20"/>
                <w:u w:val="single"/>
              </w:rPr>
              <w:t xml:space="preserve">) </w:t>
            </w:r>
          </w:p>
        </w:tc>
      </w:tr>
      <w:tr w:rsidR="00432271" w:rsidRPr="00F52F8B" w:rsidTr="00432271">
        <w:trPr>
          <w:trHeight w:val="58"/>
          <w:jc w:val="center"/>
        </w:trPr>
        <w:tc>
          <w:tcPr>
            <w:tcW w:w="1362"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7560"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xml:space="preserve">  Total</w:t>
            </w:r>
          </w:p>
        </w:tc>
        <w:tc>
          <w:tcPr>
            <w:tcW w:w="942"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u w:val="double"/>
              </w:rPr>
            </w:pPr>
            <w:r w:rsidRPr="00F52F8B">
              <w:rPr>
                <w:rFonts w:ascii="SWISS" w:hAnsi="SWISS" w:cs="Arial"/>
                <w:sz w:val="20"/>
                <w:szCs w:val="20"/>
                <w:u w:val="double"/>
              </w:rPr>
              <w:t>($1,6</w:t>
            </w:r>
            <w:r>
              <w:rPr>
                <w:rFonts w:ascii="SWISS" w:hAnsi="SWISS" w:cs="Arial"/>
                <w:sz w:val="20"/>
                <w:szCs w:val="20"/>
                <w:u w:val="double"/>
              </w:rPr>
              <w:t>57</w:t>
            </w:r>
            <w:r w:rsidRPr="00F52F8B">
              <w:rPr>
                <w:rFonts w:ascii="SWISS" w:hAnsi="SWISS" w:cs="Arial"/>
                <w:sz w:val="20"/>
                <w:szCs w:val="20"/>
                <w:u w:val="double"/>
              </w:rPr>
              <w:t>)</w:t>
            </w:r>
          </w:p>
        </w:tc>
      </w:tr>
      <w:tr w:rsidR="00432271" w:rsidRPr="00F52F8B" w:rsidTr="00432271">
        <w:trPr>
          <w:trHeight w:val="58"/>
          <w:jc w:val="center"/>
        </w:trPr>
        <w:tc>
          <w:tcPr>
            <w:tcW w:w="1362"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7560"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sz w:val="20"/>
                <w:szCs w:val="20"/>
              </w:rPr>
            </w:pPr>
          </w:p>
        </w:tc>
        <w:tc>
          <w:tcPr>
            <w:tcW w:w="942" w:type="dxa"/>
            <w:tcBorders>
              <w:top w:val="nil"/>
              <w:left w:val="nil"/>
              <w:bottom w:val="nil"/>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p>
        </w:tc>
      </w:tr>
      <w:tr w:rsidR="00432271" w:rsidRPr="00F52F8B" w:rsidTr="00432271">
        <w:trPr>
          <w:trHeight w:val="58"/>
          <w:jc w:val="center"/>
        </w:trPr>
        <w:tc>
          <w:tcPr>
            <w:tcW w:w="1362" w:type="dxa"/>
            <w:tcBorders>
              <w:top w:val="nil"/>
              <w:left w:val="single" w:sz="8" w:space="0" w:color="auto"/>
              <w:bottom w:val="single" w:sz="8" w:space="0" w:color="auto"/>
              <w:right w:val="nil"/>
            </w:tcBorders>
            <w:shd w:val="clear" w:color="auto" w:fill="auto"/>
            <w:noWrap/>
            <w:vAlign w:val="bottom"/>
          </w:tcPr>
          <w:p w:rsidR="00432271" w:rsidRPr="00F52F8B" w:rsidRDefault="00432271" w:rsidP="00432271">
            <w:pPr>
              <w:rPr>
                <w:rFonts w:ascii="SWISS" w:hAnsi="SWISS" w:cs="Arial"/>
                <w:sz w:val="20"/>
                <w:szCs w:val="20"/>
              </w:rPr>
            </w:pPr>
          </w:p>
        </w:tc>
        <w:tc>
          <w:tcPr>
            <w:tcW w:w="7560" w:type="dxa"/>
            <w:tcBorders>
              <w:top w:val="nil"/>
              <w:left w:val="nil"/>
              <w:bottom w:val="single" w:sz="8" w:space="0" w:color="auto"/>
              <w:right w:val="nil"/>
            </w:tcBorders>
            <w:shd w:val="clear" w:color="auto" w:fill="auto"/>
            <w:noWrap/>
            <w:vAlign w:val="bottom"/>
          </w:tcPr>
          <w:p w:rsidR="00432271" w:rsidRPr="00F52F8B" w:rsidRDefault="00432271" w:rsidP="00432271">
            <w:pPr>
              <w:rPr>
                <w:rFonts w:ascii="SWISS" w:hAnsi="SWISS" w:cs="Arial"/>
              </w:rPr>
            </w:pPr>
          </w:p>
        </w:tc>
        <w:tc>
          <w:tcPr>
            <w:tcW w:w="942" w:type="dxa"/>
            <w:tcBorders>
              <w:top w:val="nil"/>
              <w:left w:val="nil"/>
              <w:bottom w:val="single" w:sz="8" w:space="0" w:color="auto"/>
              <w:right w:val="single" w:sz="8" w:space="0" w:color="auto"/>
            </w:tcBorders>
            <w:shd w:val="clear" w:color="auto" w:fill="auto"/>
            <w:noWrap/>
            <w:vAlign w:val="bottom"/>
          </w:tcPr>
          <w:p w:rsidR="00432271" w:rsidRPr="00F52F8B" w:rsidRDefault="00432271" w:rsidP="00432271">
            <w:pPr>
              <w:rPr>
                <w:rFonts w:ascii="SWISS" w:hAnsi="SWISS" w:cs="Arial"/>
                <w:sz w:val="20"/>
                <w:szCs w:val="20"/>
              </w:rPr>
            </w:pPr>
          </w:p>
        </w:tc>
      </w:tr>
    </w:tbl>
    <w:p w:rsidR="00432271" w:rsidRDefault="00432271" w:rsidP="00E275D8">
      <w:pPr>
        <w:pStyle w:val="BodyText"/>
        <w:sectPr w:rsidR="00432271" w:rsidSect="00432271">
          <w:headerReference w:type="default" r:id="rId26"/>
          <w:footerReference w:type="default" r:id="rId27"/>
          <w:pgSz w:w="12240" w:h="15840" w:code="1"/>
          <w:pgMar w:top="1584" w:right="1440" w:bottom="1440" w:left="1440" w:header="720" w:footer="720" w:gutter="0"/>
          <w:cols w:space="720"/>
          <w:formProt w:val="0"/>
          <w:docGrid w:linePitch="360"/>
        </w:sectPr>
      </w:pPr>
    </w:p>
    <w:p w:rsidR="00986743" w:rsidRDefault="00986743" w:rsidP="00E275D8">
      <w:pPr>
        <w:pStyle w:val="BodyText"/>
      </w:pPr>
    </w:p>
    <w:tbl>
      <w:tblPr>
        <w:tblW w:w="9237" w:type="dxa"/>
        <w:jc w:val="center"/>
        <w:tblLook w:val="0000" w:firstRow="0" w:lastRow="0" w:firstColumn="0" w:lastColumn="0" w:noHBand="0" w:noVBand="0"/>
      </w:tblPr>
      <w:tblGrid>
        <w:gridCol w:w="4917"/>
        <w:gridCol w:w="1440"/>
        <w:gridCol w:w="1440"/>
        <w:gridCol w:w="1440"/>
      </w:tblGrid>
      <w:tr w:rsidR="00432271" w:rsidRPr="00F52F8B" w:rsidTr="00930BAA">
        <w:trPr>
          <w:trHeight w:val="300"/>
          <w:jc w:val="center"/>
        </w:trPr>
        <w:tc>
          <w:tcPr>
            <w:tcW w:w="4917" w:type="dxa"/>
            <w:tcBorders>
              <w:top w:val="single" w:sz="8" w:space="0" w:color="auto"/>
              <w:left w:val="single" w:sz="8" w:space="0" w:color="auto"/>
              <w:bottom w:val="nil"/>
              <w:right w:val="nil"/>
            </w:tcBorders>
            <w:shd w:val="clear" w:color="auto" w:fill="auto"/>
            <w:noWrap/>
            <w:vAlign w:val="bottom"/>
          </w:tcPr>
          <w:p w:rsidR="00432271" w:rsidRPr="00F52F8B" w:rsidRDefault="00432271" w:rsidP="00432271">
            <w:pPr>
              <w:rPr>
                <w:rFonts w:ascii="SWISS" w:hAnsi="SWISS" w:cs="Arial"/>
                <w:b/>
                <w:bCs/>
                <w:color w:val="000000"/>
                <w:sz w:val="20"/>
                <w:szCs w:val="20"/>
              </w:rPr>
            </w:pPr>
            <w:r w:rsidRPr="00F52F8B">
              <w:rPr>
                <w:rFonts w:ascii="SWISS" w:hAnsi="SWISS" w:cs="Arial"/>
                <w:b/>
                <w:bCs/>
                <w:color w:val="000000"/>
                <w:sz w:val="20"/>
                <w:szCs w:val="20"/>
              </w:rPr>
              <w:t>ALTURAS UTILITIES, L</w:t>
            </w:r>
            <w:r>
              <w:rPr>
                <w:rFonts w:ascii="SWISS" w:hAnsi="SWISS" w:cs="Arial"/>
                <w:b/>
                <w:bCs/>
                <w:color w:val="000000"/>
                <w:sz w:val="20"/>
                <w:szCs w:val="20"/>
              </w:rPr>
              <w:t>.</w:t>
            </w:r>
            <w:r w:rsidRPr="00F52F8B">
              <w:rPr>
                <w:rFonts w:ascii="SWISS" w:hAnsi="SWISS" w:cs="Arial"/>
                <w:b/>
                <w:bCs/>
                <w:color w:val="000000"/>
                <w:sz w:val="20"/>
                <w:szCs w:val="20"/>
              </w:rPr>
              <w:t>L</w:t>
            </w:r>
            <w:r>
              <w:rPr>
                <w:rFonts w:ascii="SWISS" w:hAnsi="SWISS" w:cs="Arial"/>
                <w:b/>
                <w:bCs/>
                <w:color w:val="000000"/>
                <w:sz w:val="20"/>
                <w:szCs w:val="20"/>
              </w:rPr>
              <w:t>.</w:t>
            </w:r>
            <w:r w:rsidRPr="00F52F8B">
              <w:rPr>
                <w:rFonts w:ascii="SWISS" w:hAnsi="SWISS" w:cs="Arial"/>
                <w:b/>
                <w:bCs/>
                <w:color w:val="000000"/>
                <w:sz w:val="20"/>
                <w:szCs w:val="20"/>
              </w:rPr>
              <w:t>C</w:t>
            </w:r>
            <w:r>
              <w:rPr>
                <w:rFonts w:ascii="SWISS" w:hAnsi="SWISS" w:cs="Arial"/>
                <w:b/>
                <w:bCs/>
                <w:color w:val="000000"/>
                <w:sz w:val="20"/>
                <w:szCs w:val="20"/>
              </w:rPr>
              <w:t>.</w:t>
            </w:r>
          </w:p>
        </w:tc>
        <w:tc>
          <w:tcPr>
            <w:tcW w:w="1440" w:type="dxa"/>
            <w:tcBorders>
              <w:top w:val="single" w:sz="8" w:space="0" w:color="auto"/>
              <w:left w:val="nil"/>
              <w:bottom w:val="nil"/>
              <w:right w:val="nil"/>
            </w:tcBorders>
            <w:shd w:val="clear" w:color="auto" w:fill="auto"/>
            <w:noWrap/>
            <w:vAlign w:val="bottom"/>
          </w:tcPr>
          <w:p w:rsidR="00432271" w:rsidRPr="00F52F8B" w:rsidRDefault="00432271" w:rsidP="00432271">
            <w:pPr>
              <w:rPr>
                <w:rFonts w:ascii="SWISS" w:hAnsi="SWISS" w:cs="Arial"/>
                <w:b/>
                <w:bCs/>
                <w:color w:val="000000"/>
                <w:sz w:val="20"/>
                <w:szCs w:val="20"/>
              </w:rPr>
            </w:pPr>
            <w:r w:rsidRPr="00F52F8B">
              <w:rPr>
                <w:rFonts w:ascii="SWISS" w:hAnsi="SWISS" w:cs="Arial"/>
                <w:b/>
                <w:bCs/>
                <w:color w:val="000000"/>
                <w:sz w:val="20"/>
                <w:szCs w:val="20"/>
              </w:rPr>
              <w:t> </w:t>
            </w:r>
          </w:p>
        </w:tc>
        <w:tc>
          <w:tcPr>
            <w:tcW w:w="2880" w:type="dxa"/>
            <w:gridSpan w:val="2"/>
            <w:tcBorders>
              <w:top w:val="single" w:sz="8" w:space="0" w:color="auto"/>
              <w:left w:val="nil"/>
              <w:bottom w:val="nil"/>
              <w:right w:val="single" w:sz="8" w:space="0" w:color="000000"/>
            </w:tcBorders>
            <w:shd w:val="clear" w:color="auto" w:fill="auto"/>
            <w:noWrap/>
            <w:vAlign w:val="bottom"/>
          </w:tcPr>
          <w:p w:rsidR="00432271" w:rsidRPr="00F52F8B" w:rsidRDefault="00432271" w:rsidP="00432271">
            <w:pPr>
              <w:jc w:val="right"/>
              <w:rPr>
                <w:rFonts w:ascii="SWISS" w:hAnsi="SWISS" w:cs="Arial"/>
                <w:b/>
                <w:bCs/>
                <w:color w:val="000000"/>
                <w:sz w:val="20"/>
                <w:szCs w:val="20"/>
              </w:rPr>
            </w:pPr>
            <w:r w:rsidRPr="00F52F8B">
              <w:rPr>
                <w:rFonts w:ascii="SWISS" w:hAnsi="SWISS" w:cs="Arial"/>
                <w:b/>
                <w:bCs/>
                <w:color w:val="000000"/>
                <w:sz w:val="20"/>
                <w:szCs w:val="20"/>
              </w:rPr>
              <w:t>SCHEDULE NO. 3-C</w:t>
            </w:r>
            <w:r w:rsidRPr="00F52F8B">
              <w:rPr>
                <w:sz w:val="20"/>
                <w:szCs w:val="20"/>
              </w:rPr>
              <w:fldChar w:fldCharType="begin"/>
            </w:r>
            <w:r w:rsidRPr="00F52F8B">
              <w:rPr>
                <w:sz w:val="20"/>
                <w:szCs w:val="20"/>
              </w:rPr>
              <w:instrText xml:space="preserve"> TC "</w:instrText>
            </w:r>
            <w:bookmarkStart w:id="54" w:name="_Toc294182207"/>
            <w:bookmarkStart w:id="55" w:name="_Toc295141631"/>
            <w:bookmarkStart w:id="56" w:name="_Toc327190753"/>
            <w:bookmarkStart w:id="57" w:name="_Toc333928466"/>
            <w:bookmarkStart w:id="58" w:name="_Toc339025191"/>
            <w:bookmarkStart w:id="59" w:name="_Toc353290013"/>
            <w:bookmarkStart w:id="60" w:name="_Toc358798425"/>
            <w:bookmarkStart w:id="61" w:name="_Toc381963580"/>
            <w:bookmarkStart w:id="62" w:name="_Toc389554435"/>
            <w:bookmarkStart w:id="63" w:name="_Toc391560264"/>
            <w:bookmarkStart w:id="64" w:name="_Toc398535520"/>
            <w:bookmarkStart w:id="65" w:name="_Toc399147321"/>
            <w:r w:rsidRPr="00F52F8B">
              <w:rPr>
                <w:sz w:val="20"/>
                <w:szCs w:val="20"/>
              </w:rPr>
              <w:tab/>
            </w:r>
            <w:bookmarkStart w:id="66" w:name="_Toc422220891"/>
            <w:bookmarkStart w:id="67" w:name="_Toc442961349"/>
            <w:bookmarkStart w:id="68" w:name="_Toc443485031"/>
            <w:r w:rsidRPr="00F52F8B">
              <w:rPr>
                <w:sz w:val="20"/>
                <w:szCs w:val="20"/>
              </w:rPr>
              <w:instrText>Schedule No. 3-C  Water O&amp;M Expense</w:instrTex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F52F8B">
              <w:rPr>
                <w:sz w:val="20"/>
                <w:szCs w:val="20"/>
              </w:rPr>
              <w:instrText xml:space="preserve">”\l 1 </w:instrText>
            </w:r>
            <w:r w:rsidRPr="00F52F8B">
              <w:rPr>
                <w:sz w:val="20"/>
                <w:szCs w:val="20"/>
              </w:rPr>
              <w:fldChar w:fldCharType="end"/>
            </w:r>
          </w:p>
        </w:tc>
      </w:tr>
      <w:tr w:rsidR="00432271" w:rsidRPr="00F52F8B" w:rsidTr="00930BAA">
        <w:trPr>
          <w:trHeight w:val="300"/>
          <w:jc w:val="center"/>
        </w:trPr>
        <w:tc>
          <w:tcPr>
            <w:tcW w:w="4917"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b/>
                <w:bCs/>
                <w:color w:val="000000"/>
                <w:sz w:val="20"/>
                <w:szCs w:val="20"/>
              </w:rPr>
            </w:pPr>
            <w:r w:rsidRPr="00F52F8B">
              <w:rPr>
                <w:rFonts w:ascii="SWISS" w:hAnsi="SWISS" w:cs="Arial"/>
                <w:b/>
                <w:bCs/>
                <w:color w:val="000000"/>
                <w:sz w:val="20"/>
                <w:szCs w:val="20"/>
              </w:rPr>
              <w:t>TEST YEAR ENDED  12/31/14</w:t>
            </w:r>
          </w:p>
        </w:tc>
        <w:tc>
          <w:tcPr>
            <w:tcW w:w="1440" w:type="dxa"/>
            <w:tcBorders>
              <w:top w:val="nil"/>
              <w:left w:val="nil"/>
              <w:bottom w:val="nil"/>
              <w:right w:val="nil"/>
            </w:tcBorders>
            <w:shd w:val="clear" w:color="auto" w:fill="auto"/>
            <w:noWrap/>
            <w:vAlign w:val="bottom"/>
          </w:tcPr>
          <w:p w:rsidR="00432271" w:rsidRPr="00F52F8B" w:rsidRDefault="00432271" w:rsidP="00432271">
            <w:pPr>
              <w:rPr>
                <w:rFonts w:ascii="SWISS" w:hAnsi="SWISS" w:cs="Arial"/>
                <w:b/>
                <w:bCs/>
                <w:color w:val="000000"/>
                <w:sz w:val="20"/>
                <w:szCs w:val="20"/>
              </w:rPr>
            </w:pPr>
          </w:p>
        </w:tc>
        <w:tc>
          <w:tcPr>
            <w:tcW w:w="2880" w:type="dxa"/>
            <w:gridSpan w:val="2"/>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b/>
                <w:bCs/>
                <w:color w:val="000000"/>
                <w:sz w:val="20"/>
                <w:szCs w:val="20"/>
              </w:rPr>
            </w:pPr>
            <w:r w:rsidRPr="00F52F8B">
              <w:rPr>
                <w:rFonts w:ascii="SWISS" w:hAnsi="SWISS" w:cs="Arial"/>
                <w:b/>
                <w:bCs/>
                <w:color w:val="000000"/>
                <w:sz w:val="20"/>
                <w:szCs w:val="20"/>
              </w:rPr>
              <w:t>DOCKET NO. 140219-WU</w:t>
            </w:r>
          </w:p>
        </w:tc>
      </w:tr>
      <w:tr w:rsidR="00432271" w:rsidRPr="00F52F8B" w:rsidTr="00A53F56">
        <w:trPr>
          <w:trHeight w:val="312"/>
          <w:jc w:val="center"/>
        </w:trPr>
        <w:tc>
          <w:tcPr>
            <w:tcW w:w="9237" w:type="dxa"/>
            <w:gridSpan w:val="4"/>
            <w:tcBorders>
              <w:top w:val="nil"/>
              <w:left w:val="single" w:sz="8" w:space="0" w:color="auto"/>
              <w:bottom w:val="single" w:sz="8" w:space="0" w:color="auto"/>
              <w:right w:val="single" w:sz="8" w:space="0" w:color="auto"/>
            </w:tcBorders>
            <w:shd w:val="clear" w:color="auto" w:fill="auto"/>
            <w:noWrap/>
            <w:vAlign w:val="bottom"/>
          </w:tcPr>
          <w:p w:rsidR="00432271" w:rsidRPr="00F52F8B" w:rsidRDefault="00432271" w:rsidP="00432271">
            <w:pPr>
              <w:rPr>
                <w:rFonts w:ascii="SWISS" w:hAnsi="SWISS" w:cs="Arial"/>
                <w:b/>
                <w:bCs/>
                <w:color w:val="000000"/>
                <w:sz w:val="20"/>
                <w:szCs w:val="20"/>
              </w:rPr>
            </w:pPr>
            <w:r w:rsidRPr="00F52F8B">
              <w:rPr>
                <w:rFonts w:ascii="SWISS" w:hAnsi="SWISS" w:cs="Arial"/>
                <w:b/>
                <w:bCs/>
                <w:color w:val="000000"/>
                <w:sz w:val="20"/>
                <w:szCs w:val="20"/>
              </w:rPr>
              <w:t>ANALYSIS OF WATER OPERATION AND MAINTENANCE EXPENSE </w:t>
            </w:r>
          </w:p>
        </w:tc>
      </w:tr>
      <w:tr w:rsidR="00432271" w:rsidRPr="00F52F8B" w:rsidTr="00A53F56">
        <w:trPr>
          <w:trHeight w:val="300"/>
          <w:jc w:val="center"/>
        </w:trPr>
        <w:tc>
          <w:tcPr>
            <w:tcW w:w="4917" w:type="dxa"/>
            <w:tcBorders>
              <w:top w:val="single" w:sz="8" w:space="0" w:color="auto"/>
              <w:left w:val="single" w:sz="8" w:space="0" w:color="auto"/>
            </w:tcBorders>
            <w:shd w:val="clear" w:color="auto" w:fill="auto"/>
            <w:noWrap/>
            <w:vAlign w:val="bottom"/>
          </w:tcPr>
          <w:p w:rsidR="00432271" w:rsidRPr="00F52F8B" w:rsidRDefault="00432271" w:rsidP="00432271">
            <w:pPr>
              <w:rPr>
                <w:rFonts w:ascii="SWISS" w:hAnsi="SWISS" w:cs="Arial"/>
                <w:b/>
                <w:bCs/>
                <w:color w:val="000000"/>
                <w:sz w:val="20"/>
                <w:szCs w:val="20"/>
              </w:rPr>
            </w:pPr>
            <w:r w:rsidRPr="00F52F8B">
              <w:rPr>
                <w:rFonts w:ascii="SWISS" w:hAnsi="SWISS" w:cs="Arial"/>
                <w:b/>
                <w:bCs/>
                <w:color w:val="000000"/>
                <w:sz w:val="20"/>
                <w:szCs w:val="20"/>
              </w:rPr>
              <w:t> </w:t>
            </w:r>
          </w:p>
        </w:tc>
        <w:tc>
          <w:tcPr>
            <w:tcW w:w="1440" w:type="dxa"/>
            <w:tcBorders>
              <w:top w:val="single" w:sz="8" w:space="0" w:color="auto"/>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TOTAL</w:t>
            </w:r>
          </w:p>
        </w:tc>
        <w:tc>
          <w:tcPr>
            <w:tcW w:w="1440" w:type="dxa"/>
            <w:tcBorders>
              <w:top w:val="single" w:sz="8" w:space="0" w:color="auto"/>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STAFF</w:t>
            </w:r>
          </w:p>
        </w:tc>
        <w:tc>
          <w:tcPr>
            <w:tcW w:w="1440" w:type="dxa"/>
            <w:tcBorders>
              <w:top w:val="single" w:sz="8" w:space="0" w:color="auto"/>
              <w:right w:val="single" w:sz="8" w:space="0" w:color="auto"/>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TOTAL</w:t>
            </w:r>
          </w:p>
        </w:tc>
      </w:tr>
      <w:tr w:rsidR="00432271" w:rsidRPr="00F52F8B" w:rsidTr="00A53F56">
        <w:trPr>
          <w:trHeight w:val="300"/>
          <w:jc w:val="center"/>
        </w:trPr>
        <w:tc>
          <w:tcPr>
            <w:tcW w:w="4917" w:type="dxa"/>
            <w:tcBorders>
              <w:left w:val="single" w:sz="8" w:space="0" w:color="auto"/>
            </w:tcBorders>
            <w:shd w:val="clear" w:color="auto" w:fill="auto"/>
            <w:noWrap/>
            <w:vAlign w:val="bottom"/>
          </w:tcPr>
          <w:p w:rsidR="00432271" w:rsidRPr="00F52F8B" w:rsidRDefault="00432271" w:rsidP="00432271">
            <w:pPr>
              <w:rPr>
                <w:rFonts w:ascii="SWISS" w:hAnsi="SWISS" w:cs="Arial"/>
                <w:b/>
                <w:bCs/>
                <w:color w:val="000000"/>
                <w:sz w:val="20"/>
                <w:szCs w:val="20"/>
              </w:rPr>
            </w:pPr>
            <w:r w:rsidRPr="00F52F8B">
              <w:rPr>
                <w:rFonts w:ascii="SWISS" w:hAnsi="SWISS" w:cs="Arial"/>
                <w:b/>
                <w:bCs/>
                <w:color w:val="000000"/>
                <w:sz w:val="20"/>
                <w:szCs w:val="20"/>
              </w:rPr>
              <w:t> </w:t>
            </w:r>
          </w:p>
        </w:tc>
        <w:tc>
          <w:tcPr>
            <w:tcW w:w="1440" w:type="dxa"/>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PER</w:t>
            </w:r>
          </w:p>
        </w:tc>
        <w:tc>
          <w:tcPr>
            <w:tcW w:w="1440" w:type="dxa"/>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ADJUST-</w:t>
            </w:r>
          </w:p>
        </w:tc>
        <w:tc>
          <w:tcPr>
            <w:tcW w:w="1440" w:type="dxa"/>
            <w:tcBorders>
              <w:right w:val="single" w:sz="8" w:space="0" w:color="auto"/>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PER</w:t>
            </w:r>
          </w:p>
        </w:tc>
      </w:tr>
      <w:tr w:rsidR="00432271" w:rsidRPr="00F52F8B" w:rsidTr="00A53F56">
        <w:trPr>
          <w:trHeight w:val="312"/>
          <w:jc w:val="center"/>
        </w:trPr>
        <w:tc>
          <w:tcPr>
            <w:tcW w:w="4917" w:type="dxa"/>
            <w:tcBorders>
              <w:left w:val="single" w:sz="8" w:space="0" w:color="auto"/>
              <w:bottom w:val="single" w:sz="8" w:space="0" w:color="auto"/>
            </w:tcBorders>
            <w:shd w:val="clear" w:color="auto" w:fill="auto"/>
            <w:noWrap/>
            <w:vAlign w:val="bottom"/>
          </w:tcPr>
          <w:p w:rsidR="00432271" w:rsidRPr="00F52F8B" w:rsidRDefault="00432271" w:rsidP="00432271">
            <w:pPr>
              <w:rPr>
                <w:rFonts w:ascii="SWISS" w:hAnsi="SWISS" w:cs="Arial"/>
                <w:b/>
                <w:bCs/>
                <w:color w:val="000000"/>
                <w:sz w:val="20"/>
                <w:szCs w:val="20"/>
              </w:rPr>
            </w:pPr>
            <w:r w:rsidRPr="00F52F8B">
              <w:rPr>
                <w:rFonts w:ascii="SWISS" w:hAnsi="SWISS" w:cs="Arial"/>
                <w:b/>
                <w:bCs/>
                <w:color w:val="000000"/>
                <w:sz w:val="20"/>
                <w:szCs w:val="20"/>
              </w:rPr>
              <w:t> </w:t>
            </w:r>
          </w:p>
        </w:tc>
        <w:tc>
          <w:tcPr>
            <w:tcW w:w="1440" w:type="dxa"/>
            <w:tcBorders>
              <w:bottom w:val="single" w:sz="8" w:space="0" w:color="auto"/>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UTILITY</w:t>
            </w:r>
          </w:p>
        </w:tc>
        <w:tc>
          <w:tcPr>
            <w:tcW w:w="1440" w:type="dxa"/>
            <w:tcBorders>
              <w:bottom w:val="single" w:sz="8" w:space="0" w:color="auto"/>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MENTS</w:t>
            </w:r>
          </w:p>
        </w:tc>
        <w:tc>
          <w:tcPr>
            <w:tcW w:w="1440" w:type="dxa"/>
            <w:tcBorders>
              <w:bottom w:val="single" w:sz="8" w:space="0" w:color="auto"/>
              <w:right w:val="single" w:sz="8" w:space="0" w:color="auto"/>
            </w:tcBorders>
            <w:shd w:val="clear" w:color="auto" w:fill="auto"/>
            <w:noWrap/>
            <w:vAlign w:val="bottom"/>
          </w:tcPr>
          <w:p w:rsidR="00432271" w:rsidRPr="00F52F8B" w:rsidRDefault="00432271" w:rsidP="00432271">
            <w:pPr>
              <w:jc w:val="center"/>
              <w:rPr>
                <w:rFonts w:ascii="SWISS" w:hAnsi="SWISS" w:cs="Arial"/>
                <w:b/>
                <w:bCs/>
                <w:color w:val="000000"/>
                <w:sz w:val="20"/>
                <w:szCs w:val="20"/>
              </w:rPr>
            </w:pPr>
            <w:r w:rsidRPr="00F52F8B">
              <w:rPr>
                <w:rFonts w:ascii="SWISS" w:hAnsi="SWISS" w:cs="Arial"/>
                <w:b/>
                <w:bCs/>
                <w:color w:val="000000"/>
                <w:sz w:val="20"/>
                <w:szCs w:val="20"/>
              </w:rPr>
              <w:t>STAFF</w:t>
            </w:r>
          </w:p>
        </w:tc>
      </w:tr>
      <w:tr w:rsidR="00432271" w:rsidRPr="00F52F8B" w:rsidTr="00A53F56">
        <w:trPr>
          <w:trHeight w:val="300"/>
          <w:jc w:val="center"/>
        </w:trPr>
        <w:tc>
          <w:tcPr>
            <w:tcW w:w="4917" w:type="dxa"/>
            <w:tcBorders>
              <w:top w:val="single" w:sz="8" w:space="0" w:color="auto"/>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(601) SALARIES AND WAGES - EMPLOYEES</w:t>
            </w:r>
          </w:p>
        </w:tc>
        <w:tc>
          <w:tcPr>
            <w:tcW w:w="1440" w:type="dxa"/>
            <w:tcBorders>
              <w:top w:val="single" w:sz="8" w:space="0" w:color="auto"/>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single" w:sz="8" w:space="0" w:color="auto"/>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single" w:sz="8" w:space="0" w:color="auto"/>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r>
      <w:tr w:rsidR="00432271" w:rsidRPr="00F52F8B" w:rsidTr="00930BAA">
        <w:trPr>
          <w:trHeight w:val="300"/>
          <w:jc w:val="center"/>
        </w:trPr>
        <w:tc>
          <w:tcPr>
            <w:tcW w:w="4917"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(603) SALARIES AND WAGES - OFFICERS</w:t>
            </w: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432271" w:rsidRPr="00F52F8B" w:rsidRDefault="0098003B" w:rsidP="00432271">
            <w:pPr>
              <w:jc w:val="right"/>
              <w:rPr>
                <w:rFonts w:ascii="SWISS" w:hAnsi="SWISS" w:cs="Arial"/>
                <w:sz w:val="20"/>
                <w:szCs w:val="20"/>
              </w:rPr>
            </w:pPr>
            <w:r>
              <w:rPr>
                <w:rFonts w:ascii="SWISS" w:hAnsi="SWISS" w:cs="Arial"/>
                <w:sz w:val="20"/>
                <w:szCs w:val="20"/>
              </w:rPr>
              <w:t>2,104</w:t>
            </w:r>
            <w:r w:rsidR="00432271">
              <w:rPr>
                <w:rFonts w:ascii="SWISS" w:hAnsi="SWISS" w:cs="Arial"/>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432271" w:rsidRPr="00F52F8B" w:rsidRDefault="0098003B" w:rsidP="00432271">
            <w:pPr>
              <w:jc w:val="right"/>
              <w:rPr>
                <w:rFonts w:ascii="SWISS" w:hAnsi="SWISS" w:cs="Arial"/>
                <w:sz w:val="20"/>
                <w:szCs w:val="20"/>
              </w:rPr>
            </w:pPr>
            <w:r>
              <w:rPr>
                <w:rFonts w:ascii="SWISS" w:hAnsi="SWISS" w:cs="Arial"/>
                <w:sz w:val="20"/>
                <w:szCs w:val="20"/>
              </w:rPr>
              <w:t xml:space="preserve">2,104 </w:t>
            </w:r>
            <w:r w:rsidR="00432271" w:rsidRPr="00F52F8B">
              <w:rPr>
                <w:rFonts w:ascii="SWISS" w:hAnsi="SWISS" w:cs="Arial"/>
                <w:sz w:val="20"/>
                <w:szCs w:val="20"/>
              </w:rPr>
              <w:t xml:space="preserve"> </w:t>
            </w:r>
          </w:p>
        </w:tc>
      </w:tr>
      <w:tr w:rsidR="00432271" w:rsidRPr="00F52F8B" w:rsidTr="00930BAA">
        <w:trPr>
          <w:trHeight w:val="300"/>
          <w:jc w:val="center"/>
        </w:trPr>
        <w:tc>
          <w:tcPr>
            <w:tcW w:w="4917"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(604) EMPLOYEE PENSIONS AND BENEFITS</w:t>
            </w: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r>
      <w:tr w:rsidR="00432271" w:rsidRPr="00F52F8B" w:rsidTr="00930BAA">
        <w:trPr>
          <w:trHeight w:val="300"/>
          <w:jc w:val="center"/>
        </w:trPr>
        <w:tc>
          <w:tcPr>
            <w:tcW w:w="4917"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(610) PURCHASED WATER</w:t>
            </w: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r>
      <w:tr w:rsidR="00432271" w:rsidRPr="00F52F8B" w:rsidTr="00930BAA">
        <w:trPr>
          <w:trHeight w:val="300"/>
          <w:jc w:val="center"/>
        </w:trPr>
        <w:tc>
          <w:tcPr>
            <w:tcW w:w="4917"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(615) PURCHASED POWER</w:t>
            </w: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1,542 </w:t>
            </w: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(564)</w:t>
            </w:r>
          </w:p>
        </w:tc>
        <w:tc>
          <w:tcPr>
            <w:tcW w:w="1440"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978 </w:t>
            </w:r>
          </w:p>
        </w:tc>
      </w:tr>
      <w:tr w:rsidR="00432271" w:rsidRPr="00F52F8B" w:rsidTr="00930BAA">
        <w:trPr>
          <w:trHeight w:val="300"/>
          <w:jc w:val="center"/>
        </w:trPr>
        <w:tc>
          <w:tcPr>
            <w:tcW w:w="4917"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(616) FUEL FOR POWER PRODUCTION</w:t>
            </w: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r>
      <w:tr w:rsidR="00432271" w:rsidRPr="00F52F8B" w:rsidTr="00930BAA">
        <w:trPr>
          <w:trHeight w:val="300"/>
          <w:jc w:val="center"/>
        </w:trPr>
        <w:tc>
          <w:tcPr>
            <w:tcW w:w="4917"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(618) CHEMICALS</w:t>
            </w: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772 </w:t>
            </w: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(247) </w:t>
            </w:r>
          </w:p>
        </w:tc>
        <w:tc>
          <w:tcPr>
            <w:tcW w:w="1440"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525 </w:t>
            </w:r>
          </w:p>
        </w:tc>
      </w:tr>
      <w:tr w:rsidR="00432271" w:rsidRPr="00F52F8B" w:rsidTr="00930BAA">
        <w:trPr>
          <w:trHeight w:val="300"/>
          <w:jc w:val="center"/>
        </w:trPr>
        <w:tc>
          <w:tcPr>
            <w:tcW w:w="4917"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(620) MATERIALS AND SUPPLIES</w:t>
            </w: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0</w:t>
            </w:r>
          </w:p>
        </w:tc>
        <w:tc>
          <w:tcPr>
            <w:tcW w:w="1440"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r>
      <w:tr w:rsidR="00432271" w:rsidRPr="00F52F8B" w:rsidTr="00930BAA">
        <w:trPr>
          <w:trHeight w:val="300"/>
          <w:jc w:val="center"/>
        </w:trPr>
        <w:tc>
          <w:tcPr>
            <w:tcW w:w="4917"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(630) CONTRACTUAL SERVICES - BILLING</w:t>
            </w: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3,169 </w:t>
            </w:r>
          </w:p>
        </w:tc>
        <w:tc>
          <w:tcPr>
            <w:tcW w:w="1440" w:type="dxa"/>
            <w:tcBorders>
              <w:top w:val="nil"/>
              <w:left w:val="nil"/>
              <w:bottom w:val="nil"/>
              <w:right w:val="nil"/>
            </w:tcBorders>
            <w:shd w:val="clear" w:color="auto" w:fill="auto"/>
            <w:noWrap/>
            <w:vAlign w:val="bottom"/>
          </w:tcPr>
          <w:p w:rsidR="00432271" w:rsidRPr="00F52F8B" w:rsidRDefault="00432271" w:rsidP="0098003B">
            <w:pPr>
              <w:jc w:val="right"/>
              <w:rPr>
                <w:rFonts w:ascii="SWISS" w:hAnsi="SWISS" w:cs="Arial"/>
                <w:sz w:val="20"/>
                <w:szCs w:val="20"/>
              </w:rPr>
            </w:pPr>
            <w:r w:rsidRPr="00F52F8B">
              <w:rPr>
                <w:rFonts w:ascii="SWISS" w:hAnsi="SWISS" w:cs="Arial"/>
                <w:sz w:val="20"/>
                <w:szCs w:val="20"/>
              </w:rPr>
              <w:t>(1,</w:t>
            </w:r>
            <w:r w:rsidR="0098003B">
              <w:rPr>
                <w:rFonts w:ascii="SWISS" w:hAnsi="SWISS" w:cs="Arial"/>
                <w:sz w:val="20"/>
                <w:szCs w:val="20"/>
              </w:rPr>
              <w:t>333</w:t>
            </w:r>
            <w:r w:rsidRPr="00F52F8B">
              <w:rPr>
                <w:rFonts w:ascii="SWISS" w:hAnsi="SWISS" w:cs="Arial"/>
                <w:sz w:val="20"/>
                <w:szCs w:val="20"/>
              </w:rPr>
              <w:t>)</w:t>
            </w:r>
          </w:p>
        </w:tc>
        <w:tc>
          <w:tcPr>
            <w:tcW w:w="1440" w:type="dxa"/>
            <w:tcBorders>
              <w:top w:val="nil"/>
              <w:left w:val="nil"/>
              <w:bottom w:val="nil"/>
              <w:right w:val="single" w:sz="8" w:space="0" w:color="auto"/>
            </w:tcBorders>
            <w:shd w:val="clear" w:color="auto" w:fill="auto"/>
            <w:noWrap/>
            <w:vAlign w:val="bottom"/>
          </w:tcPr>
          <w:p w:rsidR="00432271" w:rsidRPr="00F52F8B" w:rsidRDefault="00432271" w:rsidP="0098003B">
            <w:pPr>
              <w:jc w:val="right"/>
              <w:rPr>
                <w:rFonts w:ascii="SWISS" w:hAnsi="SWISS" w:cs="Arial"/>
                <w:sz w:val="20"/>
                <w:szCs w:val="20"/>
              </w:rPr>
            </w:pPr>
            <w:r w:rsidRPr="00F52F8B">
              <w:rPr>
                <w:rFonts w:ascii="SWISS" w:hAnsi="SWISS" w:cs="Arial"/>
                <w:sz w:val="20"/>
                <w:szCs w:val="20"/>
              </w:rPr>
              <w:t>1,</w:t>
            </w:r>
            <w:r w:rsidR="0098003B">
              <w:rPr>
                <w:rFonts w:ascii="SWISS" w:hAnsi="SWISS" w:cs="Arial"/>
                <w:sz w:val="20"/>
                <w:szCs w:val="20"/>
              </w:rPr>
              <w:t>836</w:t>
            </w:r>
            <w:r w:rsidRPr="00F52F8B">
              <w:rPr>
                <w:rFonts w:ascii="SWISS" w:hAnsi="SWISS" w:cs="Arial"/>
                <w:sz w:val="20"/>
                <w:szCs w:val="20"/>
              </w:rPr>
              <w:t xml:space="preserve"> </w:t>
            </w:r>
          </w:p>
        </w:tc>
      </w:tr>
      <w:tr w:rsidR="00432271" w:rsidRPr="00F52F8B" w:rsidTr="00930BAA">
        <w:trPr>
          <w:trHeight w:val="300"/>
          <w:jc w:val="center"/>
        </w:trPr>
        <w:tc>
          <w:tcPr>
            <w:tcW w:w="4917"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(631) CONTRACTUAL SERVICES - PROFESSIONAL</w:t>
            </w: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400 </w:t>
            </w: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Pr>
                <w:rFonts w:ascii="SWISS" w:hAnsi="SWISS" w:cs="Arial"/>
                <w:sz w:val="20"/>
                <w:szCs w:val="20"/>
              </w:rPr>
              <w:t>1,250</w:t>
            </w:r>
            <w:r w:rsidRPr="00F52F8B">
              <w:rPr>
                <w:rFonts w:ascii="SWISS" w:hAnsi="SWISS" w:cs="Arial"/>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rPr>
            </w:pPr>
            <w:r>
              <w:rPr>
                <w:rFonts w:ascii="SWISS" w:hAnsi="SWISS" w:cs="Arial"/>
                <w:sz w:val="20"/>
                <w:szCs w:val="20"/>
              </w:rPr>
              <w:t>1,650</w:t>
            </w:r>
            <w:r w:rsidRPr="00F52F8B">
              <w:rPr>
                <w:rFonts w:ascii="SWISS" w:hAnsi="SWISS" w:cs="Arial"/>
                <w:sz w:val="20"/>
                <w:szCs w:val="20"/>
              </w:rPr>
              <w:t xml:space="preserve"> </w:t>
            </w:r>
          </w:p>
        </w:tc>
      </w:tr>
      <w:tr w:rsidR="00432271" w:rsidRPr="00F52F8B" w:rsidTr="00930BAA">
        <w:trPr>
          <w:trHeight w:val="300"/>
          <w:jc w:val="center"/>
        </w:trPr>
        <w:tc>
          <w:tcPr>
            <w:tcW w:w="4917"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(635) CONTRACTUAL SERVICES - TESTING</w:t>
            </w: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2,</w:t>
            </w:r>
            <w:r>
              <w:rPr>
                <w:rFonts w:ascii="SWISS" w:hAnsi="SWISS" w:cs="Arial"/>
                <w:sz w:val="20"/>
                <w:szCs w:val="20"/>
              </w:rPr>
              <w:t>948</w:t>
            </w:r>
          </w:p>
        </w:tc>
        <w:tc>
          <w:tcPr>
            <w:tcW w:w="1440"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2,</w:t>
            </w:r>
            <w:r>
              <w:rPr>
                <w:rFonts w:ascii="SWISS" w:hAnsi="SWISS" w:cs="Arial"/>
                <w:sz w:val="20"/>
                <w:szCs w:val="20"/>
              </w:rPr>
              <w:t>948</w:t>
            </w:r>
            <w:r w:rsidRPr="00F52F8B">
              <w:rPr>
                <w:rFonts w:ascii="SWISS" w:hAnsi="SWISS" w:cs="Arial"/>
                <w:sz w:val="20"/>
                <w:szCs w:val="20"/>
              </w:rPr>
              <w:t xml:space="preserve"> </w:t>
            </w:r>
          </w:p>
        </w:tc>
      </w:tr>
      <w:tr w:rsidR="00432271" w:rsidRPr="00F52F8B" w:rsidTr="00930BAA">
        <w:trPr>
          <w:trHeight w:val="300"/>
          <w:jc w:val="center"/>
        </w:trPr>
        <w:tc>
          <w:tcPr>
            <w:tcW w:w="4917"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(636) CONTRACTUAL SERVICES - OTHER</w:t>
            </w: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19,545 </w:t>
            </w: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w:t>
            </w:r>
            <w:r>
              <w:rPr>
                <w:rFonts w:ascii="SWISS" w:hAnsi="SWISS" w:cs="Arial"/>
                <w:sz w:val="20"/>
                <w:szCs w:val="20"/>
              </w:rPr>
              <w:t>9</w:t>
            </w:r>
            <w:r w:rsidRPr="00F52F8B">
              <w:rPr>
                <w:rFonts w:ascii="SWISS" w:hAnsi="SWISS" w:cs="Arial"/>
                <w:sz w:val="20"/>
                <w:szCs w:val="20"/>
              </w:rPr>
              <w:t>,</w:t>
            </w:r>
            <w:r>
              <w:rPr>
                <w:rFonts w:ascii="SWISS" w:hAnsi="SWISS" w:cs="Arial"/>
                <w:sz w:val="20"/>
                <w:szCs w:val="20"/>
              </w:rPr>
              <w:t>267</w:t>
            </w:r>
            <w:r w:rsidRPr="00F52F8B">
              <w:rPr>
                <w:rFonts w:ascii="SWISS" w:hAnsi="SWISS" w:cs="Arial"/>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1</w:t>
            </w:r>
            <w:r>
              <w:rPr>
                <w:rFonts w:ascii="SWISS" w:hAnsi="SWISS" w:cs="Arial"/>
                <w:sz w:val="20"/>
                <w:szCs w:val="20"/>
              </w:rPr>
              <w:t>0</w:t>
            </w:r>
            <w:r w:rsidRPr="00F52F8B">
              <w:rPr>
                <w:rFonts w:ascii="SWISS" w:hAnsi="SWISS" w:cs="Arial"/>
                <w:sz w:val="20"/>
                <w:szCs w:val="20"/>
              </w:rPr>
              <w:t>,</w:t>
            </w:r>
            <w:r>
              <w:rPr>
                <w:rFonts w:ascii="SWISS" w:hAnsi="SWISS" w:cs="Arial"/>
                <w:sz w:val="20"/>
                <w:szCs w:val="20"/>
              </w:rPr>
              <w:t>278</w:t>
            </w:r>
            <w:r w:rsidRPr="00F52F8B">
              <w:rPr>
                <w:rFonts w:ascii="SWISS" w:hAnsi="SWISS" w:cs="Arial"/>
                <w:sz w:val="20"/>
                <w:szCs w:val="20"/>
              </w:rPr>
              <w:t xml:space="preserve"> </w:t>
            </w:r>
          </w:p>
        </w:tc>
      </w:tr>
      <w:tr w:rsidR="00432271" w:rsidRPr="00F52F8B" w:rsidTr="00930BAA">
        <w:trPr>
          <w:trHeight w:val="300"/>
          <w:jc w:val="center"/>
        </w:trPr>
        <w:tc>
          <w:tcPr>
            <w:tcW w:w="4917"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(640) RENTS</w:t>
            </w: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r>
      <w:tr w:rsidR="00432271" w:rsidRPr="00F52F8B" w:rsidTr="00930BAA">
        <w:trPr>
          <w:trHeight w:val="300"/>
          <w:jc w:val="center"/>
        </w:trPr>
        <w:tc>
          <w:tcPr>
            <w:tcW w:w="4917"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(650) TRANSPORTATION EXPENSE</w:t>
            </w: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1,233 </w:t>
            </w:r>
          </w:p>
        </w:tc>
        <w:tc>
          <w:tcPr>
            <w:tcW w:w="1440" w:type="dxa"/>
            <w:tcBorders>
              <w:top w:val="nil"/>
              <w:left w:val="nil"/>
              <w:bottom w:val="nil"/>
              <w:right w:val="nil"/>
            </w:tcBorders>
            <w:shd w:val="clear" w:color="auto" w:fill="auto"/>
            <w:noWrap/>
            <w:vAlign w:val="bottom"/>
          </w:tcPr>
          <w:p w:rsidR="00432271" w:rsidRPr="00F52F8B" w:rsidRDefault="00432271" w:rsidP="0098003B">
            <w:pPr>
              <w:jc w:val="right"/>
              <w:rPr>
                <w:rFonts w:ascii="SWISS" w:hAnsi="SWISS" w:cs="Arial"/>
                <w:sz w:val="20"/>
                <w:szCs w:val="20"/>
              </w:rPr>
            </w:pPr>
            <w:r w:rsidRPr="00F52F8B">
              <w:rPr>
                <w:rFonts w:ascii="SWISS" w:hAnsi="SWISS" w:cs="Arial"/>
                <w:sz w:val="20"/>
                <w:szCs w:val="20"/>
              </w:rPr>
              <w:t>(1,</w:t>
            </w:r>
            <w:r w:rsidR="0098003B">
              <w:rPr>
                <w:rFonts w:ascii="SWISS" w:hAnsi="SWISS" w:cs="Arial"/>
                <w:sz w:val="20"/>
                <w:szCs w:val="20"/>
              </w:rPr>
              <w:t>035</w:t>
            </w:r>
            <w:r w:rsidRPr="00F52F8B">
              <w:rPr>
                <w:rFonts w:ascii="SWISS" w:hAnsi="SWISS" w:cs="Arial"/>
                <w:sz w:val="20"/>
                <w:szCs w:val="20"/>
              </w:rPr>
              <w:t>)</w:t>
            </w:r>
          </w:p>
        </w:tc>
        <w:tc>
          <w:tcPr>
            <w:tcW w:w="1440" w:type="dxa"/>
            <w:tcBorders>
              <w:top w:val="nil"/>
              <w:left w:val="nil"/>
              <w:bottom w:val="nil"/>
              <w:right w:val="single" w:sz="8" w:space="0" w:color="auto"/>
            </w:tcBorders>
            <w:shd w:val="clear" w:color="auto" w:fill="auto"/>
            <w:noWrap/>
            <w:vAlign w:val="bottom"/>
          </w:tcPr>
          <w:p w:rsidR="00432271" w:rsidRPr="00F52F8B" w:rsidRDefault="00432271" w:rsidP="0098003B">
            <w:pPr>
              <w:jc w:val="right"/>
              <w:rPr>
                <w:rFonts w:ascii="SWISS" w:hAnsi="SWISS" w:cs="Arial"/>
                <w:sz w:val="20"/>
                <w:szCs w:val="20"/>
              </w:rPr>
            </w:pPr>
            <w:r>
              <w:rPr>
                <w:rFonts w:ascii="SWISS" w:hAnsi="SWISS" w:cs="Arial"/>
                <w:sz w:val="20"/>
                <w:szCs w:val="20"/>
              </w:rPr>
              <w:t>1</w:t>
            </w:r>
            <w:r w:rsidR="0098003B">
              <w:rPr>
                <w:rFonts w:ascii="SWISS" w:hAnsi="SWISS" w:cs="Arial"/>
                <w:sz w:val="20"/>
                <w:szCs w:val="20"/>
              </w:rPr>
              <w:t>98</w:t>
            </w:r>
            <w:r w:rsidRPr="00F52F8B">
              <w:rPr>
                <w:rFonts w:ascii="SWISS" w:hAnsi="SWISS" w:cs="Arial"/>
                <w:sz w:val="20"/>
                <w:szCs w:val="20"/>
              </w:rPr>
              <w:t xml:space="preserve"> </w:t>
            </w:r>
          </w:p>
        </w:tc>
      </w:tr>
      <w:tr w:rsidR="00432271" w:rsidRPr="00F52F8B" w:rsidTr="00930BAA">
        <w:trPr>
          <w:trHeight w:val="300"/>
          <w:jc w:val="center"/>
        </w:trPr>
        <w:tc>
          <w:tcPr>
            <w:tcW w:w="4917"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(655) INSURANCE EXPENSE</w:t>
            </w: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1,576 </w:t>
            </w: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31 </w:t>
            </w:r>
          </w:p>
        </w:tc>
        <w:tc>
          <w:tcPr>
            <w:tcW w:w="1440"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1,607 </w:t>
            </w:r>
          </w:p>
        </w:tc>
      </w:tr>
      <w:tr w:rsidR="00432271" w:rsidRPr="00F52F8B" w:rsidTr="00930BAA">
        <w:trPr>
          <w:trHeight w:val="300"/>
          <w:jc w:val="center"/>
        </w:trPr>
        <w:tc>
          <w:tcPr>
            <w:tcW w:w="4917"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(665) REGULATORY COMMISSION EXPENSE</w:t>
            </w: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Pr>
                <w:rFonts w:ascii="SWISS" w:hAnsi="SWISS" w:cs="Arial"/>
                <w:sz w:val="20"/>
                <w:szCs w:val="20"/>
              </w:rPr>
              <w:t>530</w:t>
            </w:r>
            <w:r w:rsidRPr="00F52F8B">
              <w:rPr>
                <w:rFonts w:ascii="SWISS" w:hAnsi="SWISS" w:cs="Arial"/>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rPr>
            </w:pPr>
            <w:r>
              <w:rPr>
                <w:rFonts w:ascii="SWISS" w:hAnsi="SWISS" w:cs="Arial"/>
                <w:sz w:val="20"/>
                <w:szCs w:val="20"/>
              </w:rPr>
              <w:t>530</w:t>
            </w:r>
            <w:r w:rsidRPr="00F52F8B">
              <w:rPr>
                <w:rFonts w:ascii="SWISS" w:hAnsi="SWISS" w:cs="Arial"/>
                <w:sz w:val="20"/>
                <w:szCs w:val="20"/>
              </w:rPr>
              <w:t xml:space="preserve"> </w:t>
            </w:r>
          </w:p>
        </w:tc>
      </w:tr>
      <w:tr w:rsidR="00432271" w:rsidRPr="00F52F8B" w:rsidTr="00930BAA">
        <w:trPr>
          <w:trHeight w:val="300"/>
          <w:jc w:val="center"/>
        </w:trPr>
        <w:tc>
          <w:tcPr>
            <w:tcW w:w="4917"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(670) BAD DEBT EXPENSE</w:t>
            </w: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sidRPr="00F52F8B">
              <w:rPr>
                <w:rFonts w:ascii="SWISS" w:hAnsi="SWISS" w:cs="Arial"/>
                <w:sz w:val="20"/>
                <w:szCs w:val="20"/>
              </w:rPr>
              <w:t xml:space="preserve">516 </w:t>
            </w: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rPr>
            </w:pPr>
            <w:r>
              <w:rPr>
                <w:rFonts w:ascii="SWISS" w:hAnsi="SWISS" w:cs="Arial"/>
                <w:sz w:val="20"/>
                <w:szCs w:val="20"/>
              </w:rPr>
              <w:t>(292)</w:t>
            </w:r>
            <w:r w:rsidRPr="00F52F8B">
              <w:rPr>
                <w:rFonts w:ascii="SWISS" w:hAnsi="SWISS" w:cs="Arial"/>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rPr>
            </w:pPr>
            <w:r>
              <w:rPr>
                <w:rFonts w:ascii="SWISS" w:hAnsi="SWISS" w:cs="Arial"/>
                <w:sz w:val="20"/>
                <w:szCs w:val="20"/>
              </w:rPr>
              <w:t>224</w:t>
            </w:r>
            <w:r w:rsidRPr="00F52F8B">
              <w:rPr>
                <w:rFonts w:ascii="SWISS" w:hAnsi="SWISS" w:cs="Arial"/>
                <w:sz w:val="20"/>
                <w:szCs w:val="20"/>
              </w:rPr>
              <w:t xml:space="preserve"> </w:t>
            </w:r>
          </w:p>
        </w:tc>
      </w:tr>
      <w:tr w:rsidR="00432271" w:rsidRPr="00F52F8B" w:rsidTr="00930BAA">
        <w:trPr>
          <w:trHeight w:val="300"/>
          <w:jc w:val="center"/>
        </w:trPr>
        <w:tc>
          <w:tcPr>
            <w:tcW w:w="4917"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(675) MISCELLANEOUS EXPENSE</w:t>
            </w: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u w:val="single"/>
              </w:rPr>
            </w:pPr>
            <w:r w:rsidRPr="00F52F8B">
              <w:rPr>
                <w:rFonts w:ascii="SWISS" w:hAnsi="SWISS" w:cs="Arial"/>
                <w:sz w:val="20"/>
                <w:szCs w:val="20"/>
                <w:u w:val="single"/>
              </w:rPr>
              <w:t xml:space="preserve">2,201 </w:t>
            </w: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u w:val="single"/>
              </w:rPr>
            </w:pPr>
            <w:r>
              <w:rPr>
                <w:rFonts w:ascii="SWISS" w:hAnsi="SWISS" w:cs="Arial"/>
                <w:sz w:val="20"/>
                <w:szCs w:val="20"/>
                <w:u w:val="single"/>
              </w:rPr>
              <w:t>(64)</w:t>
            </w:r>
          </w:p>
        </w:tc>
        <w:tc>
          <w:tcPr>
            <w:tcW w:w="1440"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u w:val="single"/>
              </w:rPr>
            </w:pPr>
            <w:r>
              <w:rPr>
                <w:rFonts w:ascii="SWISS" w:hAnsi="SWISS" w:cs="Arial"/>
                <w:sz w:val="20"/>
                <w:szCs w:val="20"/>
                <w:u w:val="single"/>
              </w:rPr>
              <w:t>2</w:t>
            </w:r>
            <w:r w:rsidRPr="00F52F8B">
              <w:rPr>
                <w:rFonts w:ascii="SWISS" w:hAnsi="SWISS" w:cs="Arial"/>
                <w:sz w:val="20"/>
                <w:szCs w:val="20"/>
                <w:u w:val="single"/>
              </w:rPr>
              <w:t>,</w:t>
            </w:r>
            <w:r>
              <w:rPr>
                <w:rFonts w:ascii="SWISS" w:hAnsi="SWISS" w:cs="Arial"/>
                <w:sz w:val="20"/>
                <w:szCs w:val="20"/>
                <w:u w:val="single"/>
              </w:rPr>
              <w:t>137</w:t>
            </w:r>
            <w:r w:rsidRPr="00F52F8B">
              <w:rPr>
                <w:rFonts w:ascii="SWISS" w:hAnsi="SWISS" w:cs="Arial"/>
                <w:sz w:val="20"/>
                <w:szCs w:val="20"/>
                <w:u w:val="single"/>
              </w:rPr>
              <w:t xml:space="preserve"> </w:t>
            </w:r>
          </w:p>
        </w:tc>
      </w:tr>
      <w:tr w:rsidR="00432271" w:rsidRPr="00F52F8B" w:rsidTr="00930BAA">
        <w:trPr>
          <w:trHeight w:val="300"/>
          <w:jc w:val="center"/>
        </w:trPr>
        <w:tc>
          <w:tcPr>
            <w:tcW w:w="4917"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u w:val="single"/>
              </w:rPr>
            </w:pP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u w:val="single"/>
              </w:rPr>
            </w:pPr>
          </w:p>
        </w:tc>
        <w:tc>
          <w:tcPr>
            <w:tcW w:w="1440" w:type="dxa"/>
            <w:tcBorders>
              <w:top w:val="nil"/>
              <w:left w:val="nil"/>
              <w:bottom w:val="nil"/>
              <w:right w:val="single" w:sz="8" w:space="0" w:color="auto"/>
            </w:tcBorders>
            <w:shd w:val="clear" w:color="auto" w:fill="auto"/>
            <w:noWrap/>
            <w:vAlign w:val="bottom"/>
          </w:tcPr>
          <w:p w:rsidR="00432271" w:rsidRPr="00F52F8B" w:rsidRDefault="00432271" w:rsidP="00432271">
            <w:pPr>
              <w:jc w:val="right"/>
              <w:rPr>
                <w:rFonts w:ascii="SWISS" w:hAnsi="SWISS" w:cs="Arial"/>
                <w:sz w:val="20"/>
                <w:szCs w:val="20"/>
                <w:u w:val="single"/>
              </w:rPr>
            </w:pPr>
          </w:p>
        </w:tc>
      </w:tr>
      <w:tr w:rsidR="00432271" w:rsidRPr="00F52F8B" w:rsidTr="00930BAA">
        <w:trPr>
          <w:trHeight w:val="300"/>
          <w:jc w:val="center"/>
        </w:trPr>
        <w:tc>
          <w:tcPr>
            <w:tcW w:w="4917" w:type="dxa"/>
            <w:tcBorders>
              <w:top w:val="nil"/>
              <w:left w:val="single" w:sz="8" w:space="0" w:color="auto"/>
              <w:bottom w:val="nil"/>
              <w:right w:val="nil"/>
            </w:tcBorders>
            <w:shd w:val="clear" w:color="auto" w:fill="auto"/>
            <w:noWrap/>
            <w:vAlign w:val="bottom"/>
          </w:tcPr>
          <w:p w:rsidR="00432271" w:rsidRPr="00F52F8B" w:rsidRDefault="00432271" w:rsidP="00432271">
            <w:pPr>
              <w:rPr>
                <w:rFonts w:ascii="SWISS" w:hAnsi="SWISS" w:cs="Arial"/>
                <w:sz w:val="20"/>
                <w:szCs w:val="20"/>
              </w:rPr>
            </w:pPr>
            <w:r w:rsidRPr="00F52F8B">
              <w:rPr>
                <w:rFonts w:ascii="SWISS" w:hAnsi="SWISS" w:cs="Arial"/>
                <w:sz w:val="20"/>
                <w:szCs w:val="20"/>
              </w:rPr>
              <w:t> </w:t>
            </w:r>
          </w:p>
        </w:tc>
        <w:tc>
          <w:tcPr>
            <w:tcW w:w="1440" w:type="dxa"/>
            <w:tcBorders>
              <w:top w:val="nil"/>
              <w:left w:val="nil"/>
              <w:bottom w:val="nil"/>
              <w:right w:val="nil"/>
            </w:tcBorders>
            <w:shd w:val="clear" w:color="auto" w:fill="auto"/>
            <w:noWrap/>
            <w:vAlign w:val="bottom"/>
          </w:tcPr>
          <w:p w:rsidR="00432271" w:rsidRPr="00F52F8B" w:rsidRDefault="00432271" w:rsidP="00432271">
            <w:pPr>
              <w:jc w:val="right"/>
              <w:rPr>
                <w:rFonts w:ascii="SWISS" w:hAnsi="SWISS" w:cs="Arial"/>
                <w:sz w:val="20"/>
                <w:szCs w:val="20"/>
                <w:u w:val="double"/>
              </w:rPr>
            </w:pPr>
            <w:r w:rsidRPr="00F52F8B">
              <w:rPr>
                <w:rFonts w:ascii="SWISS" w:hAnsi="SWISS" w:cs="Arial"/>
                <w:sz w:val="20"/>
                <w:szCs w:val="20"/>
                <w:u w:val="double"/>
              </w:rPr>
              <w:t xml:space="preserve">$30,954 </w:t>
            </w:r>
          </w:p>
        </w:tc>
        <w:tc>
          <w:tcPr>
            <w:tcW w:w="1440" w:type="dxa"/>
            <w:tcBorders>
              <w:top w:val="nil"/>
              <w:left w:val="nil"/>
              <w:bottom w:val="nil"/>
              <w:right w:val="nil"/>
            </w:tcBorders>
            <w:shd w:val="clear" w:color="auto" w:fill="auto"/>
            <w:noWrap/>
            <w:vAlign w:val="bottom"/>
          </w:tcPr>
          <w:p w:rsidR="00432271" w:rsidRPr="00F52F8B" w:rsidRDefault="00432271" w:rsidP="0098003B">
            <w:pPr>
              <w:jc w:val="right"/>
              <w:rPr>
                <w:rFonts w:ascii="SWISS" w:hAnsi="SWISS" w:cs="Arial"/>
                <w:sz w:val="20"/>
                <w:szCs w:val="20"/>
                <w:u w:val="double"/>
              </w:rPr>
            </w:pPr>
            <w:r>
              <w:rPr>
                <w:rFonts w:ascii="SWISS" w:hAnsi="SWISS" w:cs="Arial"/>
                <w:sz w:val="20"/>
                <w:szCs w:val="20"/>
                <w:u w:val="double"/>
              </w:rPr>
              <w:t>(</w:t>
            </w:r>
            <w:r w:rsidRPr="00F52F8B">
              <w:rPr>
                <w:rFonts w:ascii="SWISS" w:hAnsi="SWISS" w:cs="Arial"/>
                <w:sz w:val="20"/>
                <w:szCs w:val="20"/>
                <w:u w:val="double"/>
              </w:rPr>
              <w:t>$</w:t>
            </w:r>
            <w:r w:rsidR="0098003B">
              <w:rPr>
                <w:rFonts w:ascii="SWISS" w:hAnsi="SWISS" w:cs="Arial"/>
                <w:sz w:val="20"/>
                <w:szCs w:val="20"/>
                <w:u w:val="double"/>
              </w:rPr>
              <w:t>5,939</w:t>
            </w:r>
            <w:r>
              <w:rPr>
                <w:rFonts w:ascii="SWISS" w:hAnsi="SWISS" w:cs="Arial"/>
                <w:sz w:val="20"/>
                <w:szCs w:val="20"/>
                <w:u w:val="double"/>
              </w:rPr>
              <w:t>)</w:t>
            </w:r>
          </w:p>
        </w:tc>
        <w:tc>
          <w:tcPr>
            <w:tcW w:w="1440" w:type="dxa"/>
            <w:tcBorders>
              <w:top w:val="nil"/>
              <w:left w:val="nil"/>
              <w:bottom w:val="nil"/>
              <w:right w:val="single" w:sz="8" w:space="0" w:color="auto"/>
            </w:tcBorders>
            <w:shd w:val="clear" w:color="auto" w:fill="auto"/>
            <w:noWrap/>
            <w:vAlign w:val="bottom"/>
          </w:tcPr>
          <w:p w:rsidR="00432271" w:rsidRPr="00F52F8B" w:rsidRDefault="00432271" w:rsidP="0098003B">
            <w:pPr>
              <w:jc w:val="right"/>
              <w:rPr>
                <w:rFonts w:ascii="SWISS" w:hAnsi="SWISS" w:cs="Arial"/>
                <w:sz w:val="20"/>
                <w:szCs w:val="20"/>
                <w:u w:val="double"/>
              </w:rPr>
            </w:pPr>
            <w:r w:rsidRPr="00F52F8B">
              <w:rPr>
                <w:rFonts w:ascii="SWISS" w:hAnsi="SWISS" w:cs="Arial"/>
                <w:sz w:val="20"/>
                <w:szCs w:val="20"/>
                <w:u w:val="double"/>
              </w:rPr>
              <w:t>$</w:t>
            </w:r>
            <w:r>
              <w:rPr>
                <w:rFonts w:ascii="SWISS" w:hAnsi="SWISS" w:cs="Arial"/>
                <w:sz w:val="20"/>
                <w:szCs w:val="20"/>
                <w:u w:val="double"/>
              </w:rPr>
              <w:t>2</w:t>
            </w:r>
            <w:r w:rsidR="0098003B">
              <w:rPr>
                <w:rFonts w:ascii="SWISS" w:hAnsi="SWISS" w:cs="Arial"/>
                <w:sz w:val="20"/>
                <w:szCs w:val="20"/>
                <w:u w:val="double"/>
              </w:rPr>
              <w:t>5,015</w:t>
            </w:r>
            <w:r w:rsidRPr="00F52F8B">
              <w:rPr>
                <w:rFonts w:ascii="SWISS" w:hAnsi="SWISS" w:cs="Arial"/>
                <w:sz w:val="20"/>
                <w:szCs w:val="20"/>
                <w:u w:val="double"/>
              </w:rPr>
              <w:t xml:space="preserve"> </w:t>
            </w:r>
          </w:p>
        </w:tc>
      </w:tr>
      <w:tr w:rsidR="00432271" w:rsidRPr="00F52F8B" w:rsidTr="00930BAA">
        <w:trPr>
          <w:trHeight w:val="312"/>
          <w:jc w:val="center"/>
        </w:trPr>
        <w:tc>
          <w:tcPr>
            <w:tcW w:w="4917" w:type="dxa"/>
            <w:tcBorders>
              <w:top w:val="nil"/>
              <w:left w:val="single" w:sz="8" w:space="0" w:color="auto"/>
              <w:bottom w:val="single" w:sz="8" w:space="0" w:color="auto"/>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440" w:type="dxa"/>
            <w:tcBorders>
              <w:top w:val="nil"/>
              <w:left w:val="nil"/>
              <w:bottom w:val="single" w:sz="8" w:space="0" w:color="auto"/>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440" w:type="dxa"/>
            <w:tcBorders>
              <w:top w:val="nil"/>
              <w:left w:val="nil"/>
              <w:bottom w:val="single" w:sz="8" w:space="0" w:color="auto"/>
              <w:right w:val="nil"/>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tcPr>
          <w:p w:rsidR="00432271" w:rsidRPr="00F52F8B" w:rsidRDefault="00432271" w:rsidP="00432271">
            <w:pPr>
              <w:rPr>
                <w:rFonts w:ascii="SWISS" w:hAnsi="SWISS" w:cs="Arial"/>
                <w:color w:val="000000"/>
                <w:sz w:val="20"/>
                <w:szCs w:val="20"/>
              </w:rPr>
            </w:pPr>
            <w:r w:rsidRPr="00F52F8B">
              <w:rPr>
                <w:rFonts w:ascii="SWISS" w:hAnsi="SWISS" w:cs="Arial"/>
                <w:color w:val="000000"/>
                <w:sz w:val="20"/>
                <w:szCs w:val="20"/>
              </w:rPr>
              <w:t> </w:t>
            </w:r>
          </w:p>
        </w:tc>
      </w:tr>
    </w:tbl>
    <w:p w:rsidR="00432271" w:rsidRDefault="00432271" w:rsidP="00E275D8">
      <w:pPr>
        <w:pStyle w:val="BodyText"/>
        <w:sectPr w:rsidR="00432271" w:rsidSect="00432271">
          <w:headerReference w:type="default" r:id="rId28"/>
          <w:footerReference w:type="default" r:id="rId29"/>
          <w:pgSz w:w="12240" w:h="15840" w:code="1"/>
          <w:pgMar w:top="1584" w:right="1440" w:bottom="1440" w:left="1440" w:header="720" w:footer="720" w:gutter="0"/>
          <w:cols w:space="720"/>
          <w:formProt w:val="0"/>
          <w:docGrid w:linePitch="360"/>
        </w:sectPr>
      </w:pPr>
    </w:p>
    <w:p w:rsidR="00FD1BC8" w:rsidRDefault="00FD1BC8" w:rsidP="00E275D8">
      <w:pPr>
        <w:pStyle w:val="BodyText"/>
        <w:rPr>
          <w:sz w:val="20"/>
          <w:szCs w:val="20"/>
        </w:rPr>
      </w:pPr>
    </w:p>
    <w:tbl>
      <w:tblPr>
        <w:tblW w:w="10804" w:type="dxa"/>
        <w:jc w:val="center"/>
        <w:tblLayout w:type="fixed"/>
        <w:tblLook w:val="04A0" w:firstRow="1" w:lastRow="0" w:firstColumn="1" w:lastColumn="0" w:noHBand="0" w:noVBand="1"/>
      </w:tblPr>
      <w:tblGrid>
        <w:gridCol w:w="5042"/>
        <w:gridCol w:w="1980"/>
        <w:gridCol w:w="551"/>
        <w:gridCol w:w="1339"/>
        <w:gridCol w:w="1892"/>
      </w:tblGrid>
      <w:tr w:rsidR="007E52A8" w:rsidTr="007E52A8">
        <w:trPr>
          <w:trHeight w:val="315"/>
          <w:jc w:val="center"/>
        </w:trPr>
        <w:tc>
          <w:tcPr>
            <w:tcW w:w="5042" w:type="dxa"/>
            <w:tcBorders>
              <w:top w:val="single" w:sz="8" w:space="0" w:color="000000"/>
              <w:left w:val="single" w:sz="8" w:space="0" w:color="000000"/>
              <w:bottom w:val="nil"/>
              <w:right w:val="nil"/>
            </w:tcBorders>
            <w:shd w:val="clear" w:color="auto" w:fill="auto"/>
            <w:noWrap/>
            <w:vAlign w:val="bottom"/>
            <w:hideMark/>
          </w:tcPr>
          <w:p w:rsidR="007E52A8" w:rsidRDefault="007E52A8" w:rsidP="008236E8">
            <w:pPr>
              <w:rPr>
                <w:rFonts w:ascii="SWISS" w:hAnsi="SWISS"/>
                <w:b/>
                <w:bCs/>
                <w:color w:val="000000"/>
                <w:sz w:val="20"/>
                <w:szCs w:val="20"/>
              </w:rPr>
            </w:pPr>
            <w:r>
              <w:rPr>
                <w:rFonts w:ascii="SWISS" w:hAnsi="SWISS"/>
                <w:b/>
                <w:bCs/>
                <w:color w:val="000000"/>
                <w:sz w:val="20"/>
                <w:szCs w:val="20"/>
              </w:rPr>
              <w:t>ALTURAS UTILITIES, LLC.</w:t>
            </w:r>
          </w:p>
        </w:tc>
        <w:tc>
          <w:tcPr>
            <w:tcW w:w="2531" w:type="dxa"/>
            <w:gridSpan w:val="2"/>
            <w:tcBorders>
              <w:top w:val="single" w:sz="8" w:space="0" w:color="000000"/>
              <w:left w:val="nil"/>
              <w:bottom w:val="nil"/>
              <w:right w:val="nil"/>
            </w:tcBorders>
            <w:shd w:val="clear" w:color="auto" w:fill="auto"/>
            <w:noWrap/>
            <w:vAlign w:val="bottom"/>
            <w:hideMark/>
          </w:tcPr>
          <w:p w:rsidR="007E52A8" w:rsidRDefault="007E52A8" w:rsidP="008236E8">
            <w:pPr>
              <w:rPr>
                <w:rFonts w:ascii="SWISS" w:hAnsi="SWISS"/>
                <w:b/>
                <w:bCs/>
                <w:color w:val="000000"/>
                <w:sz w:val="20"/>
                <w:szCs w:val="20"/>
              </w:rPr>
            </w:pPr>
            <w:r>
              <w:rPr>
                <w:rFonts w:ascii="SWISS" w:hAnsi="SWISS"/>
                <w:b/>
                <w:bCs/>
                <w:color w:val="000000"/>
                <w:sz w:val="20"/>
                <w:szCs w:val="20"/>
              </w:rPr>
              <w:t> </w:t>
            </w:r>
          </w:p>
        </w:tc>
        <w:tc>
          <w:tcPr>
            <w:tcW w:w="3231" w:type="dxa"/>
            <w:gridSpan w:val="2"/>
            <w:tcBorders>
              <w:top w:val="single" w:sz="8" w:space="0" w:color="000000"/>
              <w:left w:val="nil"/>
              <w:bottom w:val="nil"/>
              <w:right w:val="single" w:sz="8" w:space="0" w:color="000000"/>
            </w:tcBorders>
            <w:shd w:val="clear" w:color="auto" w:fill="auto"/>
            <w:noWrap/>
            <w:vAlign w:val="bottom"/>
            <w:hideMark/>
          </w:tcPr>
          <w:p w:rsidR="007E52A8" w:rsidRDefault="007E52A8" w:rsidP="008236E8">
            <w:pPr>
              <w:rPr>
                <w:rFonts w:ascii="SWISS" w:hAnsi="SWISS"/>
                <w:b/>
                <w:bCs/>
                <w:color w:val="000000"/>
                <w:sz w:val="20"/>
                <w:szCs w:val="20"/>
              </w:rPr>
            </w:pPr>
            <w:r>
              <w:rPr>
                <w:rFonts w:ascii="SWISS" w:hAnsi="SWISS"/>
                <w:b/>
                <w:bCs/>
                <w:color w:val="000000"/>
                <w:sz w:val="20"/>
                <w:szCs w:val="20"/>
              </w:rPr>
              <w:t> </w:t>
            </w:r>
          </w:p>
          <w:p w:rsidR="007E52A8" w:rsidRDefault="007E52A8" w:rsidP="008236E8">
            <w:pPr>
              <w:jc w:val="right"/>
              <w:rPr>
                <w:rFonts w:ascii="SWISS" w:hAnsi="SWISS"/>
                <w:b/>
                <w:bCs/>
                <w:color w:val="000000"/>
                <w:sz w:val="20"/>
                <w:szCs w:val="20"/>
              </w:rPr>
            </w:pPr>
            <w:r>
              <w:rPr>
                <w:rFonts w:ascii="SWISS" w:hAnsi="SWISS"/>
                <w:b/>
                <w:bCs/>
                <w:color w:val="000000"/>
                <w:sz w:val="20"/>
                <w:szCs w:val="20"/>
              </w:rPr>
              <w:t>SCHEDULE NO. 4</w:t>
            </w:r>
          </w:p>
        </w:tc>
      </w:tr>
      <w:tr w:rsidR="007E52A8" w:rsidTr="007E52A8">
        <w:trPr>
          <w:trHeight w:val="315"/>
          <w:jc w:val="center"/>
        </w:trPr>
        <w:tc>
          <w:tcPr>
            <w:tcW w:w="5042" w:type="dxa"/>
            <w:tcBorders>
              <w:top w:val="nil"/>
              <w:left w:val="single" w:sz="8" w:space="0" w:color="000000"/>
              <w:bottom w:val="nil"/>
              <w:right w:val="nil"/>
            </w:tcBorders>
            <w:shd w:val="clear" w:color="auto" w:fill="auto"/>
            <w:noWrap/>
            <w:vAlign w:val="bottom"/>
            <w:hideMark/>
          </w:tcPr>
          <w:p w:rsidR="007E52A8" w:rsidRDefault="007E52A8" w:rsidP="002C4316">
            <w:pPr>
              <w:rPr>
                <w:rFonts w:ascii="SWISS" w:hAnsi="SWISS"/>
                <w:b/>
                <w:bCs/>
                <w:color w:val="000000"/>
                <w:sz w:val="20"/>
                <w:szCs w:val="20"/>
              </w:rPr>
            </w:pPr>
            <w:r>
              <w:rPr>
                <w:rFonts w:ascii="SWISS" w:hAnsi="SWISS"/>
                <w:b/>
                <w:bCs/>
                <w:color w:val="000000"/>
                <w:sz w:val="20"/>
                <w:szCs w:val="20"/>
              </w:rPr>
              <w:t xml:space="preserve">TEST YEAR ENDED </w:t>
            </w:r>
            <w:r w:rsidR="002C4316">
              <w:rPr>
                <w:rFonts w:ascii="SWISS" w:hAnsi="SWISS"/>
                <w:b/>
                <w:bCs/>
                <w:color w:val="000000"/>
                <w:sz w:val="20"/>
                <w:szCs w:val="20"/>
              </w:rPr>
              <w:t>12/31/14</w:t>
            </w:r>
          </w:p>
        </w:tc>
        <w:tc>
          <w:tcPr>
            <w:tcW w:w="1980" w:type="dxa"/>
            <w:tcBorders>
              <w:top w:val="nil"/>
              <w:left w:val="nil"/>
              <w:bottom w:val="nil"/>
              <w:right w:val="nil"/>
            </w:tcBorders>
            <w:shd w:val="clear" w:color="auto" w:fill="auto"/>
            <w:noWrap/>
            <w:vAlign w:val="bottom"/>
            <w:hideMark/>
          </w:tcPr>
          <w:p w:rsidR="007E52A8" w:rsidRDefault="007E52A8" w:rsidP="008236E8">
            <w:pPr>
              <w:rPr>
                <w:rFonts w:ascii="SWISS" w:hAnsi="SWISS"/>
                <w:b/>
                <w:bCs/>
                <w:color w:val="000000"/>
                <w:sz w:val="20"/>
                <w:szCs w:val="20"/>
              </w:rPr>
            </w:pPr>
          </w:p>
        </w:tc>
        <w:tc>
          <w:tcPr>
            <w:tcW w:w="3782" w:type="dxa"/>
            <w:gridSpan w:val="3"/>
            <w:tcBorders>
              <w:top w:val="nil"/>
              <w:left w:val="nil"/>
              <w:bottom w:val="nil"/>
              <w:right w:val="single" w:sz="8" w:space="0" w:color="000000"/>
            </w:tcBorders>
            <w:shd w:val="clear" w:color="auto" w:fill="auto"/>
            <w:noWrap/>
            <w:vAlign w:val="bottom"/>
            <w:hideMark/>
          </w:tcPr>
          <w:p w:rsidR="007E52A8" w:rsidRDefault="007E52A8" w:rsidP="008236E8">
            <w:pPr>
              <w:jc w:val="right"/>
              <w:rPr>
                <w:rFonts w:ascii="SWISS" w:hAnsi="SWISS"/>
                <w:b/>
                <w:bCs/>
                <w:color w:val="000000"/>
                <w:sz w:val="20"/>
                <w:szCs w:val="20"/>
              </w:rPr>
            </w:pPr>
            <w:r>
              <w:rPr>
                <w:rFonts w:ascii="SWISS" w:hAnsi="SWISS"/>
                <w:b/>
                <w:bCs/>
                <w:color w:val="000000"/>
                <w:sz w:val="20"/>
                <w:szCs w:val="20"/>
              </w:rPr>
              <w:t>DOCKET NO. 140219-WU</w:t>
            </w:r>
          </w:p>
        </w:tc>
      </w:tr>
      <w:tr w:rsidR="007E52A8" w:rsidTr="007E52A8">
        <w:trPr>
          <w:trHeight w:val="330"/>
          <w:jc w:val="center"/>
        </w:trPr>
        <w:tc>
          <w:tcPr>
            <w:tcW w:w="5042" w:type="dxa"/>
            <w:tcBorders>
              <w:top w:val="nil"/>
              <w:left w:val="single" w:sz="8" w:space="0" w:color="000000"/>
              <w:bottom w:val="single" w:sz="8" w:space="0" w:color="000000"/>
              <w:right w:val="nil"/>
            </w:tcBorders>
            <w:shd w:val="clear" w:color="auto" w:fill="auto"/>
            <w:noWrap/>
            <w:vAlign w:val="bottom"/>
            <w:hideMark/>
          </w:tcPr>
          <w:p w:rsidR="007E52A8" w:rsidRDefault="007E52A8" w:rsidP="008236E8">
            <w:pPr>
              <w:rPr>
                <w:rFonts w:ascii="SWISS" w:hAnsi="SWISS"/>
                <w:b/>
                <w:bCs/>
                <w:color w:val="000000"/>
                <w:sz w:val="20"/>
                <w:szCs w:val="20"/>
              </w:rPr>
            </w:pPr>
            <w:r>
              <w:rPr>
                <w:rFonts w:ascii="SWISS" w:hAnsi="SWISS"/>
                <w:b/>
                <w:bCs/>
                <w:color w:val="000000"/>
                <w:sz w:val="20"/>
                <w:szCs w:val="20"/>
              </w:rPr>
              <w:t>MONTHLY WATER RATES</w:t>
            </w:r>
          </w:p>
        </w:tc>
        <w:tc>
          <w:tcPr>
            <w:tcW w:w="1980" w:type="dxa"/>
            <w:tcBorders>
              <w:top w:val="nil"/>
              <w:left w:val="nil"/>
              <w:bottom w:val="single" w:sz="8" w:space="0" w:color="000000"/>
              <w:right w:val="nil"/>
            </w:tcBorders>
            <w:shd w:val="clear" w:color="auto" w:fill="auto"/>
            <w:noWrap/>
            <w:vAlign w:val="bottom"/>
            <w:hideMark/>
          </w:tcPr>
          <w:p w:rsidR="007E52A8" w:rsidRDefault="007E52A8" w:rsidP="008236E8">
            <w:pPr>
              <w:rPr>
                <w:rFonts w:ascii="SWISS" w:hAnsi="SWISS"/>
                <w:b/>
                <w:bCs/>
                <w:sz w:val="20"/>
                <w:szCs w:val="20"/>
              </w:rPr>
            </w:pPr>
          </w:p>
        </w:tc>
        <w:tc>
          <w:tcPr>
            <w:tcW w:w="1890" w:type="dxa"/>
            <w:gridSpan w:val="2"/>
            <w:tcBorders>
              <w:top w:val="nil"/>
              <w:left w:val="nil"/>
              <w:bottom w:val="single" w:sz="8" w:space="0" w:color="000000"/>
              <w:right w:val="nil"/>
            </w:tcBorders>
            <w:shd w:val="clear" w:color="auto" w:fill="auto"/>
            <w:noWrap/>
            <w:vAlign w:val="bottom"/>
            <w:hideMark/>
          </w:tcPr>
          <w:p w:rsidR="007E52A8" w:rsidRDefault="007E52A8" w:rsidP="008236E8">
            <w:pPr>
              <w:rPr>
                <w:rFonts w:ascii="SWISS" w:hAnsi="SWISS"/>
                <w:b/>
                <w:bCs/>
                <w:sz w:val="20"/>
                <w:szCs w:val="20"/>
              </w:rPr>
            </w:pPr>
          </w:p>
        </w:tc>
        <w:tc>
          <w:tcPr>
            <w:tcW w:w="1892" w:type="dxa"/>
            <w:tcBorders>
              <w:top w:val="nil"/>
              <w:left w:val="nil"/>
              <w:bottom w:val="single" w:sz="8" w:space="0" w:color="000000"/>
              <w:right w:val="single" w:sz="8" w:space="0" w:color="000000"/>
            </w:tcBorders>
            <w:shd w:val="clear" w:color="auto" w:fill="auto"/>
            <w:noWrap/>
            <w:vAlign w:val="bottom"/>
            <w:hideMark/>
          </w:tcPr>
          <w:p w:rsidR="007E52A8" w:rsidRDefault="007E52A8" w:rsidP="008236E8">
            <w:pPr>
              <w:rPr>
                <w:rFonts w:ascii="SWISS" w:hAnsi="SWISS"/>
                <w:b/>
                <w:bCs/>
                <w:sz w:val="20"/>
                <w:szCs w:val="20"/>
              </w:rPr>
            </w:pPr>
            <w:r>
              <w:rPr>
                <w:rFonts w:ascii="SWISS" w:hAnsi="SWISS"/>
                <w:b/>
                <w:bCs/>
                <w:sz w:val="20"/>
                <w:szCs w:val="20"/>
              </w:rPr>
              <w:t> </w:t>
            </w:r>
          </w:p>
        </w:tc>
      </w:tr>
      <w:tr w:rsidR="007E52A8" w:rsidTr="007E52A8">
        <w:trPr>
          <w:trHeight w:val="315"/>
          <w:jc w:val="center"/>
        </w:trPr>
        <w:tc>
          <w:tcPr>
            <w:tcW w:w="5042" w:type="dxa"/>
            <w:tcBorders>
              <w:top w:val="single" w:sz="8" w:space="0" w:color="000000"/>
              <w:left w:val="single" w:sz="8" w:space="0" w:color="000000"/>
              <w:bottom w:val="nil"/>
              <w:right w:val="nil"/>
            </w:tcBorders>
            <w:shd w:val="clear" w:color="000000" w:fill="auto"/>
            <w:noWrap/>
            <w:vAlign w:val="bottom"/>
            <w:hideMark/>
          </w:tcPr>
          <w:p w:rsidR="007E52A8" w:rsidRDefault="007E52A8" w:rsidP="008236E8">
            <w:pPr>
              <w:rPr>
                <w:rFonts w:ascii="SWISS" w:hAnsi="SWISS"/>
                <w:b/>
                <w:bCs/>
                <w:sz w:val="20"/>
                <w:szCs w:val="20"/>
              </w:rPr>
            </w:pPr>
            <w:r>
              <w:rPr>
                <w:rFonts w:ascii="SWISS" w:hAnsi="SWISS"/>
                <w:b/>
                <w:bCs/>
                <w:sz w:val="20"/>
                <w:szCs w:val="20"/>
              </w:rPr>
              <w:t> </w:t>
            </w:r>
          </w:p>
        </w:tc>
        <w:tc>
          <w:tcPr>
            <w:tcW w:w="1980" w:type="dxa"/>
            <w:tcBorders>
              <w:top w:val="single" w:sz="8" w:space="0" w:color="000000"/>
              <w:left w:val="nil"/>
              <w:bottom w:val="nil"/>
              <w:right w:val="nil"/>
            </w:tcBorders>
            <w:shd w:val="clear" w:color="000000" w:fill="auto"/>
            <w:noWrap/>
            <w:vAlign w:val="bottom"/>
            <w:hideMark/>
          </w:tcPr>
          <w:p w:rsidR="007E52A8" w:rsidRDefault="007E52A8" w:rsidP="008236E8">
            <w:pPr>
              <w:rPr>
                <w:rFonts w:ascii="Arial" w:hAnsi="Arial" w:cs="Arial"/>
                <w:sz w:val="20"/>
                <w:szCs w:val="20"/>
              </w:rPr>
            </w:pPr>
            <w:r>
              <w:rPr>
                <w:rFonts w:ascii="Arial" w:hAnsi="Arial" w:cs="Arial"/>
                <w:sz w:val="20"/>
                <w:szCs w:val="20"/>
              </w:rPr>
              <w:t> </w:t>
            </w:r>
          </w:p>
        </w:tc>
        <w:tc>
          <w:tcPr>
            <w:tcW w:w="1890" w:type="dxa"/>
            <w:gridSpan w:val="2"/>
            <w:tcBorders>
              <w:top w:val="single" w:sz="8" w:space="0" w:color="000000"/>
              <w:left w:val="nil"/>
              <w:bottom w:val="nil"/>
              <w:right w:val="nil"/>
            </w:tcBorders>
            <w:shd w:val="clear" w:color="000000" w:fill="auto"/>
            <w:noWrap/>
            <w:vAlign w:val="bottom"/>
            <w:hideMark/>
          </w:tcPr>
          <w:p w:rsidR="007E52A8" w:rsidRDefault="007E52A8" w:rsidP="008236E8">
            <w:pPr>
              <w:jc w:val="center"/>
              <w:rPr>
                <w:rFonts w:ascii="SWISS" w:hAnsi="SWISS"/>
                <w:b/>
                <w:bCs/>
                <w:color w:val="000000"/>
                <w:sz w:val="20"/>
                <w:szCs w:val="20"/>
              </w:rPr>
            </w:pPr>
            <w:r>
              <w:rPr>
                <w:rFonts w:ascii="SWISS" w:hAnsi="SWISS"/>
                <w:b/>
                <w:bCs/>
                <w:color w:val="000000"/>
                <w:sz w:val="20"/>
                <w:szCs w:val="20"/>
              </w:rPr>
              <w:t> </w:t>
            </w:r>
          </w:p>
        </w:tc>
        <w:tc>
          <w:tcPr>
            <w:tcW w:w="1892" w:type="dxa"/>
            <w:tcBorders>
              <w:top w:val="single" w:sz="8" w:space="0" w:color="000000"/>
              <w:left w:val="nil"/>
              <w:bottom w:val="nil"/>
              <w:right w:val="single" w:sz="8" w:space="0" w:color="000000"/>
            </w:tcBorders>
            <w:shd w:val="clear" w:color="000000" w:fill="auto"/>
            <w:noWrap/>
            <w:vAlign w:val="bottom"/>
            <w:hideMark/>
          </w:tcPr>
          <w:p w:rsidR="007E52A8" w:rsidRDefault="007E52A8" w:rsidP="008236E8">
            <w:pPr>
              <w:rPr>
                <w:rFonts w:ascii="Arial" w:hAnsi="Arial" w:cs="Arial"/>
                <w:sz w:val="20"/>
                <w:szCs w:val="20"/>
              </w:rPr>
            </w:pPr>
            <w:r>
              <w:rPr>
                <w:rFonts w:ascii="Arial" w:hAnsi="Arial" w:cs="Arial"/>
                <w:sz w:val="20"/>
                <w:szCs w:val="20"/>
              </w:rPr>
              <w:t> </w:t>
            </w:r>
          </w:p>
        </w:tc>
      </w:tr>
      <w:tr w:rsidR="007E52A8" w:rsidTr="007E52A8">
        <w:trPr>
          <w:trHeight w:val="315"/>
          <w:jc w:val="center"/>
        </w:trPr>
        <w:tc>
          <w:tcPr>
            <w:tcW w:w="5042" w:type="dxa"/>
            <w:tcBorders>
              <w:top w:val="nil"/>
              <w:left w:val="single" w:sz="8" w:space="0" w:color="000000"/>
              <w:bottom w:val="nil"/>
              <w:right w:val="nil"/>
            </w:tcBorders>
            <w:shd w:val="clear" w:color="000000" w:fill="auto"/>
            <w:noWrap/>
            <w:vAlign w:val="bottom"/>
            <w:hideMark/>
          </w:tcPr>
          <w:p w:rsidR="007E52A8" w:rsidRDefault="007E52A8" w:rsidP="008236E8">
            <w:pPr>
              <w:rPr>
                <w:rFonts w:ascii="SWISS" w:hAnsi="SWISS"/>
                <w:b/>
                <w:bCs/>
                <w:sz w:val="20"/>
                <w:szCs w:val="20"/>
              </w:rPr>
            </w:pPr>
            <w:r>
              <w:rPr>
                <w:rFonts w:ascii="SWISS" w:hAnsi="SWISS"/>
                <w:b/>
                <w:bCs/>
                <w:sz w:val="20"/>
                <w:szCs w:val="20"/>
              </w:rPr>
              <w:t> </w:t>
            </w:r>
          </w:p>
        </w:tc>
        <w:tc>
          <w:tcPr>
            <w:tcW w:w="1980" w:type="dxa"/>
            <w:tcBorders>
              <w:top w:val="nil"/>
              <w:left w:val="nil"/>
              <w:bottom w:val="nil"/>
              <w:right w:val="nil"/>
            </w:tcBorders>
            <w:shd w:val="clear" w:color="000000" w:fill="auto"/>
            <w:noWrap/>
            <w:vAlign w:val="bottom"/>
            <w:hideMark/>
          </w:tcPr>
          <w:p w:rsidR="007E52A8" w:rsidRDefault="007E52A8" w:rsidP="008236E8">
            <w:pPr>
              <w:jc w:val="center"/>
              <w:rPr>
                <w:rFonts w:ascii="SWISS" w:hAnsi="SWISS"/>
                <w:b/>
                <w:bCs/>
                <w:color w:val="000000"/>
                <w:sz w:val="20"/>
                <w:szCs w:val="20"/>
              </w:rPr>
            </w:pPr>
            <w:r>
              <w:rPr>
                <w:rFonts w:ascii="SWISS" w:hAnsi="SWISS"/>
                <w:b/>
                <w:bCs/>
                <w:color w:val="000000"/>
                <w:sz w:val="20"/>
                <w:szCs w:val="20"/>
              </w:rPr>
              <w:t>UTILITY</w:t>
            </w:r>
          </w:p>
        </w:tc>
        <w:tc>
          <w:tcPr>
            <w:tcW w:w="1890" w:type="dxa"/>
            <w:gridSpan w:val="2"/>
            <w:tcBorders>
              <w:top w:val="nil"/>
              <w:left w:val="nil"/>
              <w:bottom w:val="nil"/>
              <w:right w:val="nil"/>
            </w:tcBorders>
            <w:shd w:val="clear" w:color="000000" w:fill="auto"/>
            <w:noWrap/>
            <w:vAlign w:val="bottom"/>
            <w:hideMark/>
          </w:tcPr>
          <w:p w:rsidR="007E52A8" w:rsidRDefault="007E52A8" w:rsidP="008236E8">
            <w:pPr>
              <w:jc w:val="center"/>
              <w:rPr>
                <w:rFonts w:ascii="SWISS" w:hAnsi="SWISS"/>
                <w:b/>
                <w:bCs/>
                <w:color w:val="000000"/>
                <w:sz w:val="20"/>
                <w:szCs w:val="20"/>
              </w:rPr>
            </w:pPr>
            <w:r>
              <w:rPr>
                <w:rFonts w:ascii="SWISS" w:hAnsi="SWISS"/>
                <w:b/>
                <w:bCs/>
                <w:color w:val="000000"/>
                <w:sz w:val="20"/>
                <w:szCs w:val="20"/>
              </w:rPr>
              <w:t>STAFF</w:t>
            </w:r>
          </w:p>
        </w:tc>
        <w:tc>
          <w:tcPr>
            <w:tcW w:w="1892" w:type="dxa"/>
            <w:tcBorders>
              <w:top w:val="nil"/>
              <w:left w:val="nil"/>
              <w:bottom w:val="nil"/>
              <w:right w:val="single" w:sz="8" w:space="0" w:color="000000"/>
            </w:tcBorders>
            <w:shd w:val="clear" w:color="000000" w:fill="auto"/>
            <w:noWrap/>
            <w:vAlign w:val="bottom"/>
            <w:hideMark/>
          </w:tcPr>
          <w:p w:rsidR="007E52A8" w:rsidRDefault="007E52A8" w:rsidP="008236E8">
            <w:pPr>
              <w:jc w:val="center"/>
              <w:rPr>
                <w:rFonts w:ascii="SWISS" w:hAnsi="SWISS"/>
                <w:b/>
                <w:bCs/>
                <w:color w:val="000000"/>
                <w:sz w:val="20"/>
                <w:szCs w:val="20"/>
              </w:rPr>
            </w:pPr>
            <w:r>
              <w:rPr>
                <w:rFonts w:ascii="SWISS" w:hAnsi="SWISS"/>
                <w:b/>
                <w:bCs/>
                <w:color w:val="000000"/>
                <w:sz w:val="20"/>
                <w:szCs w:val="20"/>
              </w:rPr>
              <w:t>4 YEAR</w:t>
            </w:r>
          </w:p>
        </w:tc>
      </w:tr>
      <w:tr w:rsidR="007E52A8" w:rsidTr="007E52A8">
        <w:trPr>
          <w:trHeight w:val="315"/>
          <w:jc w:val="center"/>
        </w:trPr>
        <w:tc>
          <w:tcPr>
            <w:tcW w:w="5042" w:type="dxa"/>
            <w:tcBorders>
              <w:top w:val="nil"/>
              <w:left w:val="single" w:sz="8" w:space="0" w:color="000000"/>
              <w:bottom w:val="nil"/>
              <w:right w:val="nil"/>
            </w:tcBorders>
            <w:shd w:val="clear" w:color="000000" w:fill="auto"/>
            <w:noWrap/>
            <w:vAlign w:val="bottom"/>
            <w:hideMark/>
          </w:tcPr>
          <w:p w:rsidR="007E52A8" w:rsidRDefault="007E52A8" w:rsidP="008236E8">
            <w:pPr>
              <w:rPr>
                <w:rFonts w:ascii="SWISS" w:hAnsi="SWISS"/>
                <w:b/>
                <w:bCs/>
                <w:sz w:val="20"/>
                <w:szCs w:val="20"/>
                <w:u w:val="single"/>
              </w:rPr>
            </w:pPr>
          </w:p>
        </w:tc>
        <w:tc>
          <w:tcPr>
            <w:tcW w:w="1980" w:type="dxa"/>
            <w:tcBorders>
              <w:top w:val="nil"/>
              <w:left w:val="nil"/>
              <w:bottom w:val="nil"/>
              <w:right w:val="nil"/>
            </w:tcBorders>
            <w:shd w:val="clear" w:color="000000" w:fill="auto"/>
            <w:noWrap/>
            <w:vAlign w:val="bottom"/>
            <w:hideMark/>
          </w:tcPr>
          <w:p w:rsidR="007E52A8" w:rsidRDefault="007E52A8" w:rsidP="008236E8">
            <w:pPr>
              <w:jc w:val="center"/>
              <w:rPr>
                <w:rFonts w:ascii="SWISS" w:hAnsi="SWISS"/>
                <w:b/>
                <w:bCs/>
                <w:color w:val="000000"/>
                <w:sz w:val="20"/>
                <w:szCs w:val="20"/>
              </w:rPr>
            </w:pPr>
            <w:r>
              <w:rPr>
                <w:rFonts w:ascii="SWISS" w:hAnsi="SWISS"/>
                <w:b/>
                <w:bCs/>
                <w:color w:val="000000"/>
                <w:sz w:val="20"/>
                <w:szCs w:val="20"/>
              </w:rPr>
              <w:t>CURRENT</w:t>
            </w:r>
          </w:p>
        </w:tc>
        <w:tc>
          <w:tcPr>
            <w:tcW w:w="1890" w:type="dxa"/>
            <w:gridSpan w:val="2"/>
            <w:tcBorders>
              <w:top w:val="nil"/>
              <w:left w:val="nil"/>
              <w:bottom w:val="nil"/>
              <w:right w:val="nil"/>
            </w:tcBorders>
            <w:shd w:val="clear" w:color="000000" w:fill="auto"/>
            <w:noWrap/>
            <w:vAlign w:val="bottom"/>
            <w:hideMark/>
          </w:tcPr>
          <w:p w:rsidR="007E52A8" w:rsidRDefault="007E52A8" w:rsidP="008236E8">
            <w:pPr>
              <w:jc w:val="center"/>
              <w:rPr>
                <w:rFonts w:ascii="SWISS" w:hAnsi="SWISS"/>
                <w:b/>
                <w:bCs/>
                <w:color w:val="000000"/>
                <w:sz w:val="20"/>
                <w:szCs w:val="20"/>
              </w:rPr>
            </w:pPr>
            <w:r>
              <w:rPr>
                <w:rFonts w:ascii="SWISS" w:hAnsi="SWISS"/>
                <w:b/>
                <w:bCs/>
                <w:color w:val="000000"/>
                <w:sz w:val="20"/>
                <w:szCs w:val="20"/>
              </w:rPr>
              <w:t>RECOMMENDED</w:t>
            </w:r>
          </w:p>
        </w:tc>
        <w:tc>
          <w:tcPr>
            <w:tcW w:w="1892" w:type="dxa"/>
            <w:tcBorders>
              <w:top w:val="nil"/>
              <w:left w:val="nil"/>
              <w:bottom w:val="nil"/>
              <w:right w:val="single" w:sz="8" w:space="0" w:color="000000"/>
            </w:tcBorders>
            <w:shd w:val="clear" w:color="000000" w:fill="auto"/>
            <w:noWrap/>
            <w:vAlign w:val="bottom"/>
            <w:hideMark/>
          </w:tcPr>
          <w:p w:rsidR="007E52A8" w:rsidRDefault="007E52A8" w:rsidP="008236E8">
            <w:pPr>
              <w:jc w:val="center"/>
              <w:rPr>
                <w:rFonts w:ascii="SWISS" w:hAnsi="SWISS"/>
                <w:b/>
                <w:bCs/>
                <w:color w:val="000000"/>
                <w:sz w:val="20"/>
                <w:szCs w:val="20"/>
              </w:rPr>
            </w:pPr>
            <w:r>
              <w:rPr>
                <w:rFonts w:ascii="SWISS" w:hAnsi="SWISS"/>
                <w:b/>
                <w:bCs/>
                <w:color w:val="000000"/>
                <w:sz w:val="20"/>
                <w:szCs w:val="20"/>
              </w:rPr>
              <w:t>RATE</w:t>
            </w:r>
          </w:p>
        </w:tc>
      </w:tr>
      <w:tr w:rsidR="007E52A8" w:rsidTr="007E52A8">
        <w:trPr>
          <w:trHeight w:val="330"/>
          <w:jc w:val="center"/>
        </w:trPr>
        <w:tc>
          <w:tcPr>
            <w:tcW w:w="5042" w:type="dxa"/>
            <w:tcBorders>
              <w:top w:val="nil"/>
              <w:left w:val="single" w:sz="8" w:space="0" w:color="000000"/>
              <w:bottom w:val="single" w:sz="8" w:space="0" w:color="000000"/>
              <w:right w:val="nil"/>
            </w:tcBorders>
            <w:shd w:val="clear" w:color="000000" w:fill="auto"/>
            <w:noWrap/>
            <w:vAlign w:val="bottom"/>
            <w:hideMark/>
          </w:tcPr>
          <w:p w:rsidR="007E52A8" w:rsidRDefault="007E52A8" w:rsidP="008236E8">
            <w:pPr>
              <w:rPr>
                <w:rFonts w:ascii="SWISS" w:hAnsi="SWISS"/>
                <w:b/>
                <w:bCs/>
                <w:sz w:val="20"/>
                <w:szCs w:val="20"/>
                <w:u w:val="single"/>
              </w:rPr>
            </w:pPr>
          </w:p>
        </w:tc>
        <w:tc>
          <w:tcPr>
            <w:tcW w:w="1980" w:type="dxa"/>
            <w:tcBorders>
              <w:top w:val="nil"/>
              <w:left w:val="nil"/>
              <w:bottom w:val="single" w:sz="8" w:space="0" w:color="000000"/>
              <w:right w:val="nil"/>
            </w:tcBorders>
            <w:shd w:val="clear" w:color="000000" w:fill="auto"/>
            <w:noWrap/>
            <w:vAlign w:val="bottom"/>
            <w:hideMark/>
          </w:tcPr>
          <w:p w:rsidR="007E52A8" w:rsidRDefault="007E52A8" w:rsidP="008236E8">
            <w:pPr>
              <w:jc w:val="center"/>
              <w:rPr>
                <w:rFonts w:ascii="SWISS" w:hAnsi="SWISS"/>
                <w:b/>
                <w:bCs/>
                <w:color w:val="000000"/>
                <w:sz w:val="20"/>
                <w:szCs w:val="20"/>
              </w:rPr>
            </w:pPr>
            <w:r>
              <w:rPr>
                <w:rFonts w:ascii="SWISS" w:hAnsi="SWISS"/>
                <w:b/>
                <w:bCs/>
                <w:color w:val="000000"/>
                <w:sz w:val="20"/>
                <w:szCs w:val="20"/>
              </w:rPr>
              <w:t xml:space="preserve">RATES </w:t>
            </w:r>
          </w:p>
        </w:tc>
        <w:tc>
          <w:tcPr>
            <w:tcW w:w="1890" w:type="dxa"/>
            <w:gridSpan w:val="2"/>
            <w:tcBorders>
              <w:top w:val="nil"/>
              <w:left w:val="nil"/>
              <w:bottom w:val="single" w:sz="8" w:space="0" w:color="000000"/>
              <w:right w:val="nil"/>
            </w:tcBorders>
            <w:shd w:val="clear" w:color="000000" w:fill="auto"/>
            <w:noWrap/>
            <w:vAlign w:val="bottom"/>
            <w:hideMark/>
          </w:tcPr>
          <w:p w:rsidR="007E52A8" w:rsidRDefault="007E52A8" w:rsidP="008236E8">
            <w:pPr>
              <w:jc w:val="center"/>
              <w:rPr>
                <w:rFonts w:ascii="SWISS" w:hAnsi="SWISS"/>
                <w:b/>
                <w:bCs/>
                <w:color w:val="000000"/>
                <w:sz w:val="20"/>
                <w:szCs w:val="20"/>
              </w:rPr>
            </w:pPr>
            <w:r>
              <w:rPr>
                <w:rFonts w:ascii="SWISS" w:hAnsi="SWISS"/>
                <w:b/>
                <w:bCs/>
                <w:color w:val="000000"/>
                <w:sz w:val="20"/>
                <w:szCs w:val="20"/>
              </w:rPr>
              <w:t>RATES</w:t>
            </w:r>
          </w:p>
        </w:tc>
        <w:tc>
          <w:tcPr>
            <w:tcW w:w="1892" w:type="dxa"/>
            <w:tcBorders>
              <w:top w:val="nil"/>
              <w:left w:val="nil"/>
              <w:bottom w:val="single" w:sz="8" w:space="0" w:color="000000"/>
              <w:right w:val="single" w:sz="8" w:space="0" w:color="000000"/>
            </w:tcBorders>
            <w:shd w:val="clear" w:color="000000" w:fill="auto"/>
            <w:noWrap/>
            <w:vAlign w:val="bottom"/>
            <w:hideMark/>
          </w:tcPr>
          <w:p w:rsidR="007E52A8" w:rsidRDefault="007E52A8" w:rsidP="008236E8">
            <w:pPr>
              <w:jc w:val="center"/>
              <w:rPr>
                <w:rFonts w:ascii="SWISS" w:hAnsi="SWISS"/>
                <w:b/>
                <w:bCs/>
                <w:color w:val="000000"/>
                <w:sz w:val="20"/>
                <w:szCs w:val="20"/>
              </w:rPr>
            </w:pPr>
            <w:r>
              <w:rPr>
                <w:rFonts w:ascii="SWISS" w:hAnsi="SWISS"/>
                <w:b/>
                <w:bCs/>
                <w:color w:val="000000"/>
                <w:sz w:val="20"/>
                <w:szCs w:val="20"/>
              </w:rPr>
              <w:t>REDUCTION</w:t>
            </w:r>
          </w:p>
        </w:tc>
      </w:tr>
      <w:tr w:rsidR="007E52A8" w:rsidTr="007E52A8">
        <w:trPr>
          <w:trHeight w:val="315"/>
          <w:jc w:val="center"/>
        </w:trPr>
        <w:tc>
          <w:tcPr>
            <w:tcW w:w="5042" w:type="dxa"/>
            <w:tcBorders>
              <w:top w:val="nil"/>
              <w:left w:val="single" w:sz="8" w:space="0" w:color="000000"/>
              <w:bottom w:val="nil"/>
              <w:right w:val="nil"/>
            </w:tcBorders>
            <w:shd w:val="clear" w:color="auto" w:fill="auto"/>
            <w:noWrap/>
            <w:vAlign w:val="bottom"/>
            <w:hideMark/>
          </w:tcPr>
          <w:p w:rsidR="007E52A8" w:rsidRDefault="007E52A8" w:rsidP="008236E8">
            <w:pPr>
              <w:rPr>
                <w:rFonts w:ascii="SWISS" w:hAnsi="SWISS"/>
                <w:sz w:val="20"/>
                <w:szCs w:val="20"/>
              </w:rPr>
            </w:pPr>
          </w:p>
        </w:tc>
        <w:tc>
          <w:tcPr>
            <w:tcW w:w="1980" w:type="dxa"/>
            <w:tcBorders>
              <w:top w:val="nil"/>
              <w:left w:val="nil"/>
              <w:bottom w:val="nil"/>
              <w:right w:val="nil"/>
            </w:tcBorders>
            <w:shd w:val="clear" w:color="auto" w:fill="auto"/>
            <w:noWrap/>
            <w:vAlign w:val="bottom"/>
            <w:hideMark/>
          </w:tcPr>
          <w:p w:rsidR="007E52A8" w:rsidRDefault="007E52A8" w:rsidP="008236E8">
            <w:pPr>
              <w:jc w:val="right"/>
              <w:rPr>
                <w:rFonts w:ascii="SWISS" w:hAnsi="SWISS"/>
                <w:color w:val="000000"/>
                <w:sz w:val="20"/>
                <w:szCs w:val="20"/>
              </w:rPr>
            </w:pPr>
          </w:p>
        </w:tc>
        <w:tc>
          <w:tcPr>
            <w:tcW w:w="1890" w:type="dxa"/>
            <w:gridSpan w:val="2"/>
            <w:tcBorders>
              <w:top w:val="nil"/>
              <w:left w:val="nil"/>
              <w:bottom w:val="nil"/>
              <w:right w:val="nil"/>
            </w:tcBorders>
            <w:shd w:val="clear" w:color="auto" w:fill="auto"/>
            <w:noWrap/>
            <w:vAlign w:val="bottom"/>
            <w:hideMark/>
          </w:tcPr>
          <w:p w:rsidR="007E52A8" w:rsidRDefault="007E52A8" w:rsidP="008236E8">
            <w:pPr>
              <w:rPr>
                <w:rFonts w:ascii="SWISS" w:hAnsi="SWISS"/>
                <w:color w:val="000000"/>
                <w:sz w:val="20"/>
                <w:szCs w:val="20"/>
              </w:rPr>
            </w:pPr>
          </w:p>
        </w:tc>
        <w:tc>
          <w:tcPr>
            <w:tcW w:w="1892" w:type="dxa"/>
            <w:tcBorders>
              <w:top w:val="nil"/>
              <w:left w:val="nil"/>
              <w:bottom w:val="nil"/>
              <w:right w:val="single" w:sz="8" w:space="0" w:color="000000"/>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 </w:t>
            </w:r>
          </w:p>
        </w:tc>
      </w:tr>
      <w:tr w:rsidR="007E52A8" w:rsidTr="007E52A8">
        <w:trPr>
          <w:trHeight w:val="300"/>
          <w:jc w:val="center"/>
        </w:trPr>
        <w:tc>
          <w:tcPr>
            <w:tcW w:w="5042" w:type="dxa"/>
            <w:tcBorders>
              <w:top w:val="nil"/>
              <w:left w:val="single" w:sz="8" w:space="0" w:color="000000"/>
              <w:bottom w:val="nil"/>
              <w:right w:val="nil"/>
            </w:tcBorders>
            <w:shd w:val="clear" w:color="auto" w:fill="auto"/>
            <w:noWrap/>
            <w:vAlign w:val="bottom"/>
            <w:hideMark/>
          </w:tcPr>
          <w:p w:rsidR="007E52A8" w:rsidRDefault="007E52A8" w:rsidP="008236E8">
            <w:pPr>
              <w:rPr>
                <w:rFonts w:ascii="SWISS" w:hAnsi="SWISS"/>
                <w:b/>
                <w:bCs/>
                <w:sz w:val="20"/>
                <w:szCs w:val="20"/>
                <w:u w:val="single"/>
              </w:rPr>
            </w:pPr>
            <w:r>
              <w:rPr>
                <w:rFonts w:ascii="SWISS" w:hAnsi="SWISS"/>
                <w:b/>
                <w:bCs/>
                <w:sz w:val="20"/>
                <w:szCs w:val="20"/>
                <w:u w:val="single"/>
              </w:rPr>
              <w:t>Residential and General Service</w:t>
            </w:r>
          </w:p>
        </w:tc>
        <w:tc>
          <w:tcPr>
            <w:tcW w:w="1980" w:type="dxa"/>
            <w:tcBorders>
              <w:top w:val="nil"/>
              <w:left w:val="nil"/>
              <w:bottom w:val="nil"/>
              <w:right w:val="nil"/>
            </w:tcBorders>
            <w:shd w:val="clear" w:color="auto" w:fill="auto"/>
            <w:noWrap/>
            <w:vAlign w:val="bottom"/>
            <w:hideMark/>
          </w:tcPr>
          <w:p w:rsidR="007E52A8" w:rsidRDefault="007E52A8" w:rsidP="008236E8">
            <w:pPr>
              <w:rPr>
                <w:rFonts w:ascii="SWISS" w:hAnsi="SWISS"/>
                <w:color w:val="000000"/>
                <w:sz w:val="20"/>
                <w:szCs w:val="20"/>
              </w:rPr>
            </w:pPr>
          </w:p>
        </w:tc>
        <w:tc>
          <w:tcPr>
            <w:tcW w:w="1890" w:type="dxa"/>
            <w:gridSpan w:val="2"/>
            <w:tcBorders>
              <w:top w:val="nil"/>
              <w:left w:val="nil"/>
              <w:bottom w:val="nil"/>
              <w:right w:val="nil"/>
            </w:tcBorders>
            <w:shd w:val="clear" w:color="auto" w:fill="auto"/>
            <w:noWrap/>
            <w:vAlign w:val="bottom"/>
            <w:hideMark/>
          </w:tcPr>
          <w:p w:rsidR="007E52A8" w:rsidRDefault="007E52A8" w:rsidP="008236E8">
            <w:pPr>
              <w:rPr>
                <w:rFonts w:ascii="SWISS" w:hAnsi="SWISS"/>
                <w:color w:val="000000"/>
                <w:sz w:val="20"/>
                <w:szCs w:val="20"/>
              </w:rPr>
            </w:pPr>
          </w:p>
        </w:tc>
        <w:tc>
          <w:tcPr>
            <w:tcW w:w="1892" w:type="dxa"/>
            <w:tcBorders>
              <w:top w:val="nil"/>
              <w:left w:val="nil"/>
              <w:bottom w:val="nil"/>
              <w:right w:val="single" w:sz="8" w:space="0" w:color="000000"/>
            </w:tcBorders>
            <w:shd w:val="clear" w:color="auto" w:fill="auto"/>
            <w:noWrap/>
            <w:vAlign w:val="bottom"/>
            <w:hideMark/>
          </w:tcPr>
          <w:p w:rsidR="007E52A8" w:rsidRDefault="007E52A8" w:rsidP="008236E8">
            <w:pPr>
              <w:rPr>
                <w:rFonts w:ascii="SWISS" w:hAnsi="SWISS"/>
                <w:color w:val="000000"/>
                <w:sz w:val="20"/>
                <w:szCs w:val="20"/>
              </w:rPr>
            </w:pPr>
            <w:r>
              <w:rPr>
                <w:rFonts w:ascii="SWISS" w:hAnsi="SWISS"/>
                <w:color w:val="000000"/>
                <w:sz w:val="20"/>
                <w:szCs w:val="20"/>
              </w:rPr>
              <w:t> </w:t>
            </w:r>
          </w:p>
        </w:tc>
      </w:tr>
      <w:tr w:rsidR="007E52A8" w:rsidTr="007E52A8">
        <w:trPr>
          <w:trHeight w:val="300"/>
          <w:jc w:val="center"/>
        </w:trPr>
        <w:tc>
          <w:tcPr>
            <w:tcW w:w="5042" w:type="dxa"/>
            <w:tcBorders>
              <w:top w:val="nil"/>
              <w:left w:val="single" w:sz="8" w:space="0" w:color="000000"/>
              <w:bottom w:val="nil"/>
              <w:right w:val="nil"/>
            </w:tcBorders>
            <w:shd w:val="clear" w:color="auto" w:fill="auto"/>
            <w:noWrap/>
            <w:vAlign w:val="bottom"/>
            <w:hideMark/>
          </w:tcPr>
          <w:p w:rsidR="007E52A8" w:rsidRDefault="007E52A8" w:rsidP="008236E8">
            <w:pPr>
              <w:rPr>
                <w:rFonts w:ascii="SWISS" w:hAnsi="SWISS"/>
                <w:sz w:val="20"/>
                <w:szCs w:val="20"/>
              </w:rPr>
            </w:pPr>
            <w:r>
              <w:rPr>
                <w:rFonts w:ascii="SWISS" w:hAnsi="SWISS"/>
                <w:sz w:val="20"/>
                <w:szCs w:val="20"/>
              </w:rPr>
              <w:t>Base Facility Charge by Meter Size</w:t>
            </w:r>
          </w:p>
        </w:tc>
        <w:tc>
          <w:tcPr>
            <w:tcW w:w="1980" w:type="dxa"/>
            <w:tcBorders>
              <w:top w:val="nil"/>
              <w:left w:val="nil"/>
              <w:bottom w:val="nil"/>
              <w:right w:val="nil"/>
            </w:tcBorders>
            <w:shd w:val="clear" w:color="auto" w:fill="auto"/>
            <w:noWrap/>
            <w:vAlign w:val="bottom"/>
            <w:hideMark/>
          </w:tcPr>
          <w:p w:rsidR="007E52A8" w:rsidRDefault="007E52A8" w:rsidP="008236E8">
            <w:pPr>
              <w:rPr>
                <w:rFonts w:ascii="SWISS" w:hAnsi="SWISS"/>
                <w:color w:val="000000"/>
                <w:sz w:val="20"/>
                <w:szCs w:val="20"/>
              </w:rPr>
            </w:pPr>
          </w:p>
        </w:tc>
        <w:tc>
          <w:tcPr>
            <w:tcW w:w="1890" w:type="dxa"/>
            <w:gridSpan w:val="2"/>
            <w:tcBorders>
              <w:top w:val="nil"/>
              <w:left w:val="nil"/>
              <w:bottom w:val="nil"/>
              <w:right w:val="nil"/>
            </w:tcBorders>
            <w:shd w:val="clear" w:color="auto" w:fill="auto"/>
            <w:noWrap/>
            <w:vAlign w:val="bottom"/>
            <w:hideMark/>
          </w:tcPr>
          <w:p w:rsidR="007E52A8" w:rsidRDefault="007E52A8" w:rsidP="008236E8">
            <w:pPr>
              <w:rPr>
                <w:rFonts w:ascii="SWISS" w:hAnsi="SWISS"/>
                <w:color w:val="000000"/>
                <w:sz w:val="20"/>
                <w:szCs w:val="20"/>
              </w:rPr>
            </w:pPr>
          </w:p>
        </w:tc>
        <w:tc>
          <w:tcPr>
            <w:tcW w:w="1892" w:type="dxa"/>
            <w:tcBorders>
              <w:top w:val="nil"/>
              <w:left w:val="nil"/>
              <w:bottom w:val="nil"/>
              <w:right w:val="single" w:sz="8" w:space="0" w:color="000000"/>
            </w:tcBorders>
            <w:shd w:val="clear" w:color="auto" w:fill="auto"/>
            <w:noWrap/>
            <w:vAlign w:val="bottom"/>
            <w:hideMark/>
          </w:tcPr>
          <w:p w:rsidR="007E52A8" w:rsidRDefault="007E52A8" w:rsidP="008236E8">
            <w:pPr>
              <w:rPr>
                <w:rFonts w:ascii="SWISS" w:hAnsi="SWISS"/>
                <w:color w:val="000000"/>
                <w:sz w:val="20"/>
                <w:szCs w:val="20"/>
              </w:rPr>
            </w:pPr>
            <w:r>
              <w:rPr>
                <w:rFonts w:ascii="SWISS" w:hAnsi="SWISS"/>
                <w:color w:val="000000"/>
                <w:sz w:val="20"/>
                <w:szCs w:val="20"/>
              </w:rPr>
              <w:t> </w:t>
            </w:r>
          </w:p>
        </w:tc>
      </w:tr>
      <w:tr w:rsidR="007E52A8" w:rsidTr="007E52A8">
        <w:trPr>
          <w:trHeight w:val="300"/>
          <w:jc w:val="center"/>
        </w:trPr>
        <w:tc>
          <w:tcPr>
            <w:tcW w:w="5042" w:type="dxa"/>
            <w:tcBorders>
              <w:top w:val="nil"/>
              <w:left w:val="single" w:sz="8" w:space="0" w:color="000000"/>
              <w:bottom w:val="nil"/>
              <w:right w:val="nil"/>
            </w:tcBorders>
            <w:shd w:val="clear" w:color="auto" w:fill="auto"/>
            <w:noWrap/>
            <w:vAlign w:val="bottom"/>
            <w:hideMark/>
          </w:tcPr>
          <w:p w:rsidR="007E52A8" w:rsidRDefault="007E52A8" w:rsidP="008236E8">
            <w:pPr>
              <w:rPr>
                <w:rFonts w:ascii="SWISS" w:hAnsi="SWISS"/>
                <w:color w:val="000000"/>
                <w:sz w:val="20"/>
                <w:szCs w:val="20"/>
              </w:rPr>
            </w:pPr>
            <w:r>
              <w:rPr>
                <w:rFonts w:ascii="SWISS" w:hAnsi="SWISS"/>
                <w:color w:val="000000"/>
                <w:sz w:val="20"/>
                <w:szCs w:val="20"/>
              </w:rPr>
              <w:t>5/8"X3/4"</w:t>
            </w:r>
          </w:p>
        </w:tc>
        <w:tc>
          <w:tcPr>
            <w:tcW w:w="1980" w:type="dxa"/>
            <w:tcBorders>
              <w:top w:val="nil"/>
              <w:left w:val="nil"/>
              <w:bottom w:val="nil"/>
              <w:right w:val="nil"/>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$11.28</w:t>
            </w:r>
          </w:p>
        </w:tc>
        <w:tc>
          <w:tcPr>
            <w:tcW w:w="1890" w:type="dxa"/>
            <w:gridSpan w:val="2"/>
            <w:tcBorders>
              <w:top w:val="nil"/>
              <w:left w:val="nil"/>
              <w:bottom w:val="nil"/>
              <w:right w:val="nil"/>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$12.47</w:t>
            </w:r>
          </w:p>
        </w:tc>
        <w:tc>
          <w:tcPr>
            <w:tcW w:w="1892" w:type="dxa"/>
            <w:tcBorders>
              <w:top w:val="nil"/>
              <w:left w:val="nil"/>
              <w:bottom w:val="nil"/>
              <w:right w:val="single" w:sz="8" w:space="0" w:color="000000"/>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$0.23</w:t>
            </w:r>
          </w:p>
        </w:tc>
      </w:tr>
      <w:tr w:rsidR="007E52A8" w:rsidTr="007E52A8">
        <w:trPr>
          <w:trHeight w:val="300"/>
          <w:jc w:val="center"/>
        </w:trPr>
        <w:tc>
          <w:tcPr>
            <w:tcW w:w="5042" w:type="dxa"/>
            <w:tcBorders>
              <w:top w:val="nil"/>
              <w:left w:val="single" w:sz="8" w:space="0" w:color="000000"/>
              <w:bottom w:val="nil"/>
              <w:right w:val="nil"/>
            </w:tcBorders>
            <w:shd w:val="clear" w:color="auto" w:fill="auto"/>
            <w:noWrap/>
            <w:vAlign w:val="bottom"/>
            <w:hideMark/>
          </w:tcPr>
          <w:p w:rsidR="007E52A8" w:rsidRDefault="007E52A8" w:rsidP="008236E8">
            <w:pPr>
              <w:rPr>
                <w:rFonts w:ascii="SWISS" w:hAnsi="SWISS"/>
                <w:color w:val="000000"/>
                <w:sz w:val="20"/>
                <w:szCs w:val="20"/>
              </w:rPr>
            </w:pPr>
            <w:r>
              <w:rPr>
                <w:rFonts w:ascii="SWISS" w:hAnsi="SWISS"/>
                <w:color w:val="000000"/>
                <w:sz w:val="20"/>
                <w:szCs w:val="20"/>
              </w:rPr>
              <w:t>3/4"</w:t>
            </w:r>
          </w:p>
        </w:tc>
        <w:tc>
          <w:tcPr>
            <w:tcW w:w="1980" w:type="dxa"/>
            <w:tcBorders>
              <w:top w:val="nil"/>
              <w:left w:val="nil"/>
              <w:bottom w:val="nil"/>
              <w:right w:val="nil"/>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$16.92</w:t>
            </w:r>
          </w:p>
        </w:tc>
        <w:tc>
          <w:tcPr>
            <w:tcW w:w="1890" w:type="dxa"/>
            <w:gridSpan w:val="2"/>
            <w:tcBorders>
              <w:top w:val="nil"/>
              <w:left w:val="nil"/>
              <w:bottom w:val="nil"/>
              <w:right w:val="nil"/>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$18.71</w:t>
            </w:r>
          </w:p>
        </w:tc>
        <w:tc>
          <w:tcPr>
            <w:tcW w:w="1892" w:type="dxa"/>
            <w:tcBorders>
              <w:top w:val="nil"/>
              <w:left w:val="nil"/>
              <w:bottom w:val="nil"/>
              <w:right w:val="single" w:sz="8" w:space="0" w:color="000000"/>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$0.34</w:t>
            </w:r>
          </w:p>
        </w:tc>
      </w:tr>
      <w:tr w:rsidR="007E52A8" w:rsidTr="007E52A8">
        <w:trPr>
          <w:trHeight w:val="300"/>
          <w:jc w:val="center"/>
        </w:trPr>
        <w:tc>
          <w:tcPr>
            <w:tcW w:w="5042" w:type="dxa"/>
            <w:tcBorders>
              <w:top w:val="nil"/>
              <w:left w:val="single" w:sz="8" w:space="0" w:color="000000"/>
              <w:bottom w:val="nil"/>
              <w:right w:val="nil"/>
            </w:tcBorders>
            <w:shd w:val="clear" w:color="auto" w:fill="auto"/>
            <w:noWrap/>
            <w:vAlign w:val="bottom"/>
            <w:hideMark/>
          </w:tcPr>
          <w:p w:rsidR="007E52A8" w:rsidRDefault="007E52A8" w:rsidP="008236E8">
            <w:pPr>
              <w:rPr>
                <w:rFonts w:ascii="SWISS" w:hAnsi="SWISS"/>
                <w:color w:val="000000"/>
                <w:sz w:val="20"/>
                <w:szCs w:val="20"/>
              </w:rPr>
            </w:pPr>
            <w:r>
              <w:rPr>
                <w:rFonts w:ascii="SWISS" w:hAnsi="SWISS"/>
                <w:color w:val="000000"/>
                <w:sz w:val="20"/>
                <w:szCs w:val="20"/>
              </w:rPr>
              <w:t>1"</w:t>
            </w:r>
          </w:p>
        </w:tc>
        <w:tc>
          <w:tcPr>
            <w:tcW w:w="1980" w:type="dxa"/>
            <w:tcBorders>
              <w:top w:val="nil"/>
              <w:left w:val="nil"/>
              <w:bottom w:val="nil"/>
              <w:right w:val="nil"/>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$28.19</w:t>
            </w:r>
          </w:p>
        </w:tc>
        <w:tc>
          <w:tcPr>
            <w:tcW w:w="1890" w:type="dxa"/>
            <w:gridSpan w:val="2"/>
            <w:tcBorders>
              <w:top w:val="nil"/>
              <w:left w:val="nil"/>
              <w:bottom w:val="nil"/>
              <w:right w:val="nil"/>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$31.18</w:t>
            </w:r>
          </w:p>
        </w:tc>
        <w:tc>
          <w:tcPr>
            <w:tcW w:w="1892" w:type="dxa"/>
            <w:tcBorders>
              <w:top w:val="nil"/>
              <w:left w:val="nil"/>
              <w:bottom w:val="nil"/>
              <w:right w:val="single" w:sz="8" w:space="0" w:color="000000"/>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$0.56</w:t>
            </w:r>
          </w:p>
        </w:tc>
      </w:tr>
      <w:tr w:rsidR="007E52A8" w:rsidTr="007E52A8">
        <w:trPr>
          <w:trHeight w:val="300"/>
          <w:jc w:val="center"/>
        </w:trPr>
        <w:tc>
          <w:tcPr>
            <w:tcW w:w="5042" w:type="dxa"/>
            <w:tcBorders>
              <w:top w:val="nil"/>
              <w:left w:val="single" w:sz="8" w:space="0" w:color="000000"/>
              <w:bottom w:val="nil"/>
              <w:right w:val="nil"/>
            </w:tcBorders>
            <w:shd w:val="clear" w:color="auto" w:fill="auto"/>
            <w:noWrap/>
            <w:vAlign w:val="bottom"/>
            <w:hideMark/>
          </w:tcPr>
          <w:p w:rsidR="007E52A8" w:rsidRDefault="007E52A8" w:rsidP="008236E8">
            <w:pPr>
              <w:rPr>
                <w:rFonts w:ascii="SWISS" w:hAnsi="SWISS"/>
                <w:color w:val="000000"/>
                <w:sz w:val="20"/>
                <w:szCs w:val="20"/>
              </w:rPr>
            </w:pPr>
            <w:r>
              <w:rPr>
                <w:rFonts w:ascii="SWISS" w:hAnsi="SWISS"/>
                <w:color w:val="000000"/>
                <w:sz w:val="20"/>
                <w:szCs w:val="20"/>
              </w:rPr>
              <w:t>1-1/2"</w:t>
            </w:r>
          </w:p>
        </w:tc>
        <w:tc>
          <w:tcPr>
            <w:tcW w:w="1980" w:type="dxa"/>
            <w:tcBorders>
              <w:top w:val="nil"/>
              <w:left w:val="nil"/>
              <w:bottom w:val="nil"/>
              <w:right w:val="nil"/>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$56.40</w:t>
            </w:r>
          </w:p>
        </w:tc>
        <w:tc>
          <w:tcPr>
            <w:tcW w:w="1890" w:type="dxa"/>
            <w:gridSpan w:val="2"/>
            <w:tcBorders>
              <w:top w:val="nil"/>
              <w:left w:val="nil"/>
              <w:bottom w:val="nil"/>
              <w:right w:val="nil"/>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$62.35</w:t>
            </w:r>
          </w:p>
        </w:tc>
        <w:tc>
          <w:tcPr>
            <w:tcW w:w="1892" w:type="dxa"/>
            <w:tcBorders>
              <w:top w:val="nil"/>
              <w:left w:val="nil"/>
              <w:bottom w:val="nil"/>
              <w:right w:val="single" w:sz="8" w:space="0" w:color="000000"/>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$1.13</w:t>
            </w:r>
          </w:p>
        </w:tc>
      </w:tr>
      <w:tr w:rsidR="007E52A8" w:rsidTr="007E52A8">
        <w:trPr>
          <w:trHeight w:val="300"/>
          <w:jc w:val="center"/>
        </w:trPr>
        <w:tc>
          <w:tcPr>
            <w:tcW w:w="5042" w:type="dxa"/>
            <w:tcBorders>
              <w:top w:val="nil"/>
              <w:left w:val="single" w:sz="8" w:space="0" w:color="000000"/>
              <w:bottom w:val="nil"/>
              <w:right w:val="nil"/>
            </w:tcBorders>
            <w:shd w:val="clear" w:color="auto" w:fill="auto"/>
            <w:noWrap/>
            <w:vAlign w:val="bottom"/>
            <w:hideMark/>
          </w:tcPr>
          <w:p w:rsidR="007E52A8" w:rsidRDefault="007E52A8" w:rsidP="008236E8">
            <w:pPr>
              <w:rPr>
                <w:rFonts w:ascii="SWISS" w:hAnsi="SWISS"/>
                <w:color w:val="000000"/>
                <w:sz w:val="20"/>
                <w:szCs w:val="20"/>
              </w:rPr>
            </w:pPr>
            <w:r>
              <w:rPr>
                <w:rFonts w:ascii="SWISS" w:hAnsi="SWISS"/>
                <w:color w:val="000000"/>
                <w:sz w:val="20"/>
                <w:szCs w:val="20"/>
              </w:rPr>
              <w:t>2"</w:t>
            </w:r>
          </w:p>
        </w:tc>
        <w:tc>
          <w:tcPr>
            <w:tcW w:w="1980" w:type="dxa"/>
            <w:tcBorders>
              <w:top w:val="nil"/>
              <w:left w:val="nil"/>
              <w:bottom w:val="nil"/>
              <w:right w:val="nil"/>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$90.23</w:t>
            </w:r>
          </w:p>
        </w:tc>
        <w:tc>
          <w:tcPr>
            <w:tcW w:w="1890" w:type="dxa"/>
            <w:gridSpan w:val="2"/>
            <w:tcBorders>
              <w:top w:val="nil"/>
              <w:left w:val="nil"/>
              <w:bottom w:val="nil"/>
              <w:right w:val="nil"/>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$99.76</w:t>
            </w:r>
          </w:p>
        </w:tc>
        <w:tc>
          <w:tcPr>
            <w:tcW w:w="1892" w:type="dxa"/>
            <w:tcBorders>
              <w:top w:val="nil"/>
              <w:left w:val="nil"/>
              <w:bottom w:val="nil"/>
              <w:right w:val="single" w:sz="8" w:space="0" w:color="000000"/>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$1.81</w:t>
            </w:r>
          </w:p>
        </w:tc>
      </w:tr>
      <w:tr w:rsidR="007E52A8" w:rsidTr="007E52A8">
        <w:trPr>
          <w:trHeight w:val="300"/>
          <w:jc w:val="center"/>
        </w:trPr>
        <w:tc>
          <w:tcPr>
            <w:tcW w:w="5042" w:type="dxa"/>
            <w:tcBorders>
              <w:top w:val="nil"/>
              <w:left w:val="single" w:sz="8" w:space="0" w:color="000000"/>
              <w:bottom w:val="nil"/>
              <w:right w:val="nil"/>
            </w:tcBorders>
            <w:shd w:val="clear" w:color="auto" w:fill="auto"/>
            <w:noWrap/>
            <w:vAlign w:val="bottom"/>
            <w:hideMark/>
          </w:tcPr>
          <w:p w:rsidR="007E52A8" w:rsidRDefault="007E52A8" w:rsidP="008236E8">
            <w:pPr>
              <w:rPr>
                <w:rFonts w:ascii="SWISS" w:hAnsi="SWISS"/>
                <w:color w:val="000000"/>
                <w:sz w:val="20"/>
                <w:szCs w:val="20"/>
              </w:rPr>
            </w:pPr>
            <w:r>
              <w:rPr>
                <w:rFonts w:ascii="SWISS" w:hAnsi="SWISS"/>
                <w:color w:val="000000"/>
                <w:sz w:val="20"/>
                <w:szCs w:val="20"/>
              </w:rPr>
              <w:t>3"</w:t>
            </w:r>
          </w:p>
        </w:tc>
        <w:tc>
          <w:tcPr>
            <w:tcW w:w="1980" w:type="dxa"/>
            <w:tcBorders>
              <w:top w:val="nil"/>
              <w:left w:val="nil"/>
              <w:bottom w:val="nil"/>
              <w:right w:val="nil"/>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$180.46</w:t>
            </w:r>
          </w:p>
        </w:tc>
        <w:tc>
          <w:tcPr>
            <w:tcW w:w="1890" w:type="dxa"/>
            <w:gridSpan w:val="2"/>
            <w:tcBorders>
              <w:top w:val="nil"/>
              <w:left w:val="nil"/>
              <w:bottom w:val="nil"/>
              <w:right w:val="nil"/>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$199.52</w:t>
            </w:r>
          </w:p>
        </w:tc>
        <w:tc>
          <w:tcPr>
            <w:tcW w:w="1892" w:type="dxa"/>
            <w:tcBorders>
              <w:top w:val="nil"/>
              <w:left w:val="nil"/>
              <w:bottom w:val="nil"/>
              <w:right w:val="single" w:sz="8" w:space="0" w:color="000000"/>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$3.61</w:t>
            </w:r>
          </w:p>
        </w:tc>
      </w:tr>
      <w:tr w:rsidR="007E52A8" w:rsidTr="007E52A8">
        <w:trPr>
          <w:trHeight w:val="300"/>
          <w:jc w:val="center"/>
        </w:trPr>
        <w:tc>
          <w:tcPr>
            <w:tcW w:w="5042" w:type="dxa"/>
            <w:tcBorders>
              <w:top w:val="nil"/>
              <w:left w:val="single" w:sz="8" w:space="0" w:color="000000"/>
              <w:bottom w:val="nil"/>
              <w:right w:val="nil"/>
            </w:tcBorders>
            <w:shd w:val="clear" w:color="auto" w:fill="auto"/>
            <w:noWrap/>
            <w:vAlign w:val="bottom"/>
            <w:hideMark/>
          </w:tcPr>
          <w:p w:rsidR="007E52A8" w:rsidRDefault="007E52A8" w:rsidP="008236E8">
            <w:pPr>
              <w:rPr>
                <w:rFonts w:ascii="SWISS" w:hAnsi="SWISS"/>
                <w:color w:val="000000"/>
                <w:sz w:val="20"/>
                <w:szCs w:val="20"/>
              </w:rPr>
            </w:pPr>
            <w:r>
              <w:rPr>
                <w:rFonts w:ascii="SWISS" w:hAnsi="SWISS"/>
                <w:color w:val="000000"/>
                <w:sz w:val="20"/>
                <w:szCs w:val="20"/>
              </w:rPr>
              <w:t>4"</w:t>
            </w:r>
          </w:p>
        </w:tc>
        <w:tc>
          <w:tcPr>
            <w:tcW w:w="1980" w:type="dxa"/>
            <w:tcBorders>
              <w:top w:val="nil"/>
              <w:left w:val="nil"/>
              <w:bottom w:val="nil"/>
              <w:right w:val="nil"/>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$281.97</w:t>
            </w:r>
          </w:p>
        </w:tc>
        <w:tc>
          <w:tcPr>
            <w:tcW w:w="1890" w:type="dxa"/>
            <w:gridSpan w:val="2"/>
            <w:tcBorders>
              <w:top w:val="nil"/>
              <w:left w:val="nil"/>
              <w:bottom w:val="nil"/>
              <w:right w:val="nil"/>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$311.75</w:t>
            </w:r>
          </w:p>
        </w:tc>
        <w:tc>
          <w:tcPr>
            <w:tcW w:w="1892" w:type="dxa"/>
            <w:tcBorders>
              <w:top w:val="nil"/>
              <w:left w:val="nil"/>
              <w:bottom w:val="nil"/>
              <w:right w:val="single" w:sz="8" w:space="0" w:color="000000"/>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$5.64</w:t>
            </w:r>
          </w:p>
        </w:tc>
      </w:tr>
      <w:tr w:rsidR="007E52A8" w:rsidTr="007E52A8">
        <w:trPr>
          <w:trHeight w:val="300"/>
          <w:jc w:val="center"/>
        </w:trPr>
        <w:tc>
          <w:tcPr>
            <w:tcW w:w="5042" w:type="dxa"/>
            <w:tcBorders>
              <w:top w:val="nil"/>
              <w:left w:val="single" w:sz="8" w:space="0" w:color="000000"/>
              <w:bottom w:val="nil"/>
              <w:right w:val="nil"/>
            </w:tcBorders>
            <w:shd w:val="clear" w:color="auto" w:fill="auto"/>
            <w:noWrap/>
            <w:vAlign w:val="bottom"/>
            <w:hideMark/>
          </w:tcPr>
          <w:p w:rsidR="007E52A8" w:rsidRDefault="007E52A8" w:rsidP="008236E8">
            <w:pPr>
              <w:rPr>
                <w:rFonts w:ascii="SWISS" w:hAnsi="SWISS"/>
                <w:color w:val="000000"/>
                <w:sz w:val="20"/>
                <w:szCs w:val="20"/>
              </w:rPr>
            </w:pPr>
            <w:r>
              <w:rPr>
                <w:rFonts w:ascii="SWISS" w:hAnsi="SWISS"/>
                <w:color w:val="000000"/>
                <w:sz w:val="20"/>
                <w:szCs w:val="20"/>
              </w:rPr>
              <w:t>6"</w:t>
            </w:r>
          </w:p>
        </w:tc>
        <w:tc>
          <w:tcPr>
            <w:tcW w:w="1980" w:type="dxa"/>
            <w:tcBorders>
              <w:top w:val="nil"/>
              <w:left w:val="nil"/>
              <w:bottom w:val="nil"/>
              <w:right w:val="nil"/>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$563.95</w:t>
            </w:r>
          </w:p>
        </w:tc>
        <w:tc>
          <w:tcPr>
            <w:tcW w:w="1890" w:type="dxa"/>
            <w:gridSpan w:val="2"/>
            <w:tcBorders>
              <w:top w:val="nil"/>
              <w:left w:val="nil"/>
              <w:bottom w:val="nil"/>
              <w:right w:val="nil"/>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$623.50</w:t>
            </w:r>
          </w:p>
        </w:tc>
        <w:tc>
          <w:tcPr>
            <w:tcW w:w="1892" w:type="dxa"/>
            <w:tcBorders>
              <w:top w:val="nil"/>
              <w:left w:val="nil"/>
              <w:bottom w:val="nil"/>
              <w:right w:val="single" w:sz="8" w:space="0" w:color="000000"/>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$11.29</w:t>
            </w:r>
          </w:p>
        </w:tc>
      </w:tr>
      <w:tr w:rsidR="007E52A8" w:rsidTr="007E52A8">
        <w:trPr>
          <w:trHeight w:val="300"/>
          <w:jc w:val="center"/>
        </w:trPr>
        <w:tc>
          <w:tcPr>
            <w:tcW w:w="5042" w:type="dxa"/>
            <w:tcBorders>
              <w:top w:val="nil"/>
              <w:left w:val="single" w:sz="8" w:space="0" w:color="000000"/>
              <w:bottom w:val="nil"/>
              <w:right w:val="nil"/>
            </w:tcBorders>
            <w:shd w:val="clear" w:color="auto" w:fill="auto"/>
            <w:noWrap/>
            <w:vAlign w:val="bottom"/>
            <w:hideMark/>
          </w:tcPr>
          <w:p w:rsidR="007E52A8" w:rsidRDefault="007E52A8" w:rsidP="008236E8">
            <w:pPr>
              <w:rPr>
                <w:rFonts w:ascii="SWISS" w:hAnsi="SWISS"/>
                <w:color w:val="000000"/>
                <w:sz w:val="20"/>
                <w:szCs w:val="20"/>
              </w:rPr>
            </w:pPr>
          </w:p>
        </w:tc>
        <w:tc>
          <w:tcPr>
            <w:tcW w:w="1980" w:type="dxa"/>
            <w:tcBorders>
              <w:top w:val="nil"/>
              <w:left w:val="nil"/>
              <w:bottom w:val="nil"/>
              <w:right w:val="nil"/>
            </w:tcBorders>
            <w:shd w:val="clear" w:color="auto" w:fill="auto"/>
            <w:noWrap/>
            <w:vAlign w:val="bottom"/>
            <w:hideMark/>
          </w:tcPr>
          <w:p w:rsidR="007E52A8" w:rsidRDefault="007E52A8" w:rsidP="008236E8">
            <w:pPr>
              <w:jc w:val="right"/>
              <w:rPr>
                <w:rFonts w:ascii="SWISS" w:hAnsi="SWISS"/>
                <w:color w:val="000000"/>
                <w:sz w:val="20"/>
                <w:szCs w:val="20"/>
              </w:rPr>
            </w:pPr>
          </w:p>
        </w:tc>
        <w:tc>
          <w:tcPr>
            <w:tcW w:w="1890" w:type="dxa"/>
            <w:gridSpan w:val="2"/>
            <w:tcBorders>
              <w:top w:val="nil"/>
              <w:left w:val="nil"/>
              <w:bottom w:val="nil"/>
              <w:right w:val="nil"/>
            </w:tcBorders>
            <w:shd w:val="clear" w:color="auto" w:fill="auto"/>
            <w:noWrap/>
            <w:vAlign w:val="bottom"/>
            <w:hideMark/>
          </w:tcPr>
          <w:p w:rsidR="007E52A8" w:rsidRDefault="007E52A8" w:rsidP="008236E8">
            <w:pPr>
              <w:jc w:val="right"/>
              <w:rPr>
                <w:rFonts w:ascii="SWISS" w:hAnsi="SWISS"/>
                <w:color w:val="000000"/>
                <w:sz w:val="20"/>
                <w:szCs w:val="20"/>
              </w:rPr>
            </w:pPr>
          </w:p>
        </w:tc>
        <w:tc>
          <w:tcPr>
            <w:tcW w:w="1892" w:type="dxa"/>
            <w:tcBorders>
              <w:top w:val="nil"/>
              <w:left w:val="nil"/>
              <w:bottom w:val="nil"/>
              <w:right w:val="single" w:sz="8" w:space="0" w:color="000000"/>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 </w:t>
            </w:r>
          </w:p>
        </w:tc>
      </w:tr>
      <w:tr w:rsidR="007E52A8" w:rsidTr="007E52A8">
        <w:trPr>
          <w:trHeight w:val="300"/>
          <w:jc w:val="center"/>
        </w:trPr>
        <w:tc>
          <w:tcPr>
            <w:tcW w:w="5042" w:type="dxa"/>
            <w:tcBorders>
              <w:top w:val="nil"/>
              <w:left w:val="single" w:sz="8" w:space="0" w:color="000000"/>
              <w:bottom w:val="nil"/>
              <w:right w:val="nil"/>
            </w:tcBorders>
            <w:shd w:val="clear" w:color="auto" w:fill="auto"/>
            <w:noWrap/>
            <w:vAlign w:val="bottom"/>
            <w:hideMark/>
          </w:tcPr>
          <w:p w:rsidR="007E52A8" w:rsidRDefault="007E52A8" w:rsidP="008236E8">
            <w:pPr>
              <w:rPr>
                <w:rFonts w:ascii="SWISS" w:hAnsi="SWISS"/>
                <w:color w:val="000000"/>
                <w:sz w:val="20"/>
                <w:szCs w:val="20"/>
              </w:rPr>
            </w:pPr>
            <w:r>
              <w:rPr>
                <w:rFonts w:ascii="SWISS" w:hAnsi="SWISS"/>
                <w:color w:val="000000"/>
                <w:sz w:val="20"/>
                <w:szCs w:val="20"/>
              </w:rPr>
              <w:t>Charge per 1,000 gallons - Residential and General Service</w:t>
            </w:r>
          </w:p>
        </w:tc>
        <w:tc>
          <w:tcPr>
            <w:tcW w:w="1980" w:type="dxa"/>
            <w:tcBorders>
              <w:top w:val="nil"/>
              <w:left w:val="nil"/>
              <w:bottom w:val="nil"/>
              <w:right w:val="nil"/>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$5.09</w:t>
            </w:r>
          </w:p>
        </w:tc>
        <w:tc>
          <w:tcPr>
            <w:tcW w:w="1890" w:type="dxa"/>
            <w:gridSpan w:val="2"/>
            <w:tcBorders>
              <w:top w:val="nil"/>
              <w:left w:val="nil"/>
              <w:bottom w:val="nil"/>
              <w:right w:val="nil"/>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$5.63</w:t>
            </w:r>
          </w:p>
        </w:tc>
        <w:tc>
          <w:tcPr>
            <w:tcW w:w="1892" w:type="dxa"/>
            <w:tcBorders>
              <w:top w:val="nil"/>
              <w:left w:val="nil"/>
              <w:bottom w:val="nil"/>
              <w:right w:val="single" w:sz="8" w:space="0" w:color="000000"/>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$0.10</w:t>
            </w:r>
          </w:p>
        </w:tc>
      </w:tr>
      <w:tr w:rsidR="007E52A8" w:rsidTr="007E52A8">
        <w:trPr>
          <w:trHeight w:val="300"/>
          <w:jc w:val="center"/>
        </w:trPr>
        <w:tc>
          <w:tcPr>
            <w:tcW w:w="5042" w:type="dxa"/>
            <w:tcBorders>
              <w:top w:val="nil"/>
              <w:left w:val="single" w:sz="8" w:space="0" w:color="000000"/>
              <w:bottom w:val="nil"/>
              <w:right w:val="nil"/>
            </w:tcBorders>
            <w:shd w:val="clear" w:color="auto" w:fill="auto"/>
            <w:noWrap/>
            <w:vAlign w:val="bottom"/>
            <w:hideMark/>
          </w:tcPr>
          <w:p w:rsidR="007E52A8" w:rsidRDefault="007E52A8" w:rsidP="008236E8">
            <w:pPr>
              <w:rPr>
                <w:rFonts w:ascii="SWISS" w:hAnsi="SWISS"/>
                <w:color w:val="000000"/>
                <w:sz w:val="20"/>
                <w:szCs w:val="20"/>
              </w:rPr>
            </w:pPr>
          </w:p>
        </w:tc>
        <w:tc>
          <w:tcPr>
            <w:tcW w:w="1980" w:type="dxa"/>
            <w:tcBorders>
              <w:top w:val="nil"/>
              <w:left w:val="nil"/>
              <w:bottom w:val="nil"/>
              <w:right w:val="nil"/>
            </w:tcBorders>
            <w:shd w:val="clear" w:color="auto" w:fill="auto"/>
            <w:noWrap/>
            <w:vAlign w:val="bottom"/>
            <w:hideMark/>
          </w:tcPr>
          <w:p w:rsidR="007E52A8" w:rsidRDefault="007E52A8" w:rsidP="008236E8">
            <w:pPr>
              <w:jc w:val="right"/>
              <w:rPr>
                <w:rFonts w:ascii="SWISS" w:hAnsi="SWISS"/>
                <w:color w:val="000000"/>
                <w:sz w:val="20"/>
                <w:szCs w:val="20"/>
              </w:rPr>
            </w:pPr>
          </w:p>
        </w:tc>
        <w:tc>
          <w:tcPr>
            <w:tcW w:w="1890" w:type="dxa"/>
            <w:gridSpan w:val="2"/>
            <w:tcBorders>
              <w:top w:val="nil"/>
              <w:left w:val="nil"/>
              <w:bottom w:val="nil"/>
              <w:right w:val="nil"/>
            </w:tcBorders>
            <w:shd w:val="clear" w:color="auto" w:fill="auto"/>
            <w:noWrap/>
            <w:vAlign w:val="bottom"/>
            <w:hideMark/>
          </w:tcPr>
          <w:p w:rsidR="007E52A8" w:rsidRDefault="007E52A8" w:rsidP="008236E8">
            <w:pPr>
              <w:jc w:val="right"/>
              <w:rPr>
                <w:rFonts w:ascii="SWISS" w:hAnsi="SWISS"/>
                <w:color w:val="000000"/>
                <w:sz w:val="20"/>
                <w:szCs w:val="20"/>
              </w:rPr>
            </w:pPr>
          </w:p>
        </w:tc>
        <w:tc>
          <w:tcPr>
            <w:tcW w:w="1892" w:type="dxa"/>
            <w:tcBorders>
              <w:top w:val="nil"/>
              <w:left w:val="nil"/>
              <w:bottom w:val="nil"/>
              <w:right w:val="single" w:sz="8" w:space="0" w:color="000000"/>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 </w:t>
            </w:r>
          </w:p>
        </w:tc>
      </w:tr>
      <w:tr w:rsidR="007E52A8" w:rsidTr="007E52A8">
        <w:trPr>
          <w:trHeight w:val="300"/>
          <w:jc w:val="center"/>
        </w:trPr>
        <w:tc>
          <w:tcPr>
            <w:tcW w:w="7022" w:type="dxa"/>
            <w:gridSpan w:val="2"/>
            <w:tcBorders>
              <w:top w:val="nil"/>
              <w:left w:val="single" w:sz="8" w:space="0" w:color="000000"/>
              <w:bottom w:val="nil"/>
              <w:right w:val="nil"/>
            </w:tcBorders>
            <w:shd w:val="clear" w:color="auto" w:fill="auto"/>
            <w:noWrap/>
            <w:vAlign w:val="bottom"/>
            <w:hideMark/>
          </w:tcPr>
          <w:p w:rsidR="007E52A8" w:rsidRDefault="007E52A8" w:rsidP="008236E8">
            <w:pPr>
              <w:rPr>
                <w:rFonts w:ascii="SWISS" w:hAnsi="SWISS"/>
                <w:color w:val="000000"/>
                <w:sz w:val="20"/>
                <w:szCs w:val="20"/>
              </w:rPr>
            </w:pPr>
            <w:r>
              <w:rPr>
                <w:rFonts w:ascii="SWISS" w:hAnsi="SWISS"/>
                <w:b/>
                <w:bCs/>
                <w:color w:val="000000"/>
                <w:sz w:val="20"/>
                <w:szCs w:val="20"/>
                <w:u w:val="single"/>
              </w:rPr>
              <w:t>Typical Residential 5/8" x 3/4" Meter Bill Comparison</w:t>
            </w:r>
          </w:p>
        </w:tc>
        <w:tc>
          <w:tcPr>
            <w:tcW w:w="1890" w:type="dxa"/>
            <w:gridSpan w:val="2"/>
            <w:tcBorders>
              <w:top w:val="nil"/>
              <w:left w:val="nil"/>
              <w:bottom w:val="nil"/>
              <w:right w:val="nil"/>
            </w:tcBorders>
            <w:shd w:val="clear" w:color="auto" w:fill="auto"/>
            <w:noWrap/>
            <w:vAlign w:val="bottom"/>
            <w:hideMark/>
          </w:tcPr>
          <w:p w:rsidR="007E52A8" w:rsidRDefault="007E52A8" w:rsidP="008236E8">
            <w:pPr>
              <w:jc w:val="right"/>
              <w:rPr>
                <w:rFonts w:ascii="SWISS" w:hAnsi="SWISS"/>
                <w:color w:val="000000"/>
                <w:sz w:val="20"/>
                <w:szCs w:val="20"/>
              </w:rPr>
            </w:pPr>
          </w:p>
        </w:tc>
        <w:tc>
          <w:tcPr>
            <w:tcW w:w="1892" w:type="dxa"/>
            <w:tcBorders>
              <w:top w:val="nil"/>
              <w:left w:val="nil"/>
              <w:bottom w:val="nil"/>
              <w:right w:val="single" w:sz="8" w:space="0" w:color="000000"/>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 </w:t>
            </w:r>
          </w:p>
        </w:tc>
      </w:tr>
      <w:tr w:rsidR="007E52A8" w:rsidTr="007E52A8">
        <w:trPr>
          <w:trHeight w:val="300"/>
          <w:jc w:val="center"/>
        </w:trPr>
        <w:tc>
          <w:tcPr>
            <w:tcW w:w="5042" w:type="dxa"/>
            <w:tcBorders>
              <w:top w:val="nil"/>
              <w:left w:val="single" w:sz="8" w:space="0" w:color="000000"/>
              <w:bottom w:val="nil"/>
              <w:right w:val="nil"/>
            </w:tcBorders>
            <w:shd w:val="clear" w:color="auto" w:fill="auto"/>
            <w:noWrap/>
            <w:vAlign w:val="bottom"/>
            <w:hideMark/>
          </w:tcPr>
          <w:p w:rsidR="007E52A8" w:rsidRDefault="007E52A8" w:rsidP="008236E8">
            <w:pPr>
              <w:rPr>
                <w:rFonts w:ascii="SWISS" w:hAnsi="SWISS"/>
                <w:color w:val="000000"/>
                <w:sz w:val="20"/>
                <w:szCs w:val="20"/>
              </w:rPr>
            </w:pPr>
            <w:r>
              <w:rPr>
                <w:rFonts w:ascii="SWISS" w:hAnsi="SWISS"/>
                <w:color w:val="000000"/>
                <w:sz w:val="20"/>
                <w:szCs w:val="20"/>
              </w:rPr>
              <w:t>3,000 Gallons</w:t>
            </w:r>
          </w:p>
        </w:tc>
        <w:tc>
          <w:tcPr>
            <w:tcW w:w="1980" w:type="dxa"/>
            <w:tcBorders>
              <w:top w:val="nil"/>
              <w:left w:val="nil"/>
              <w:bottom w:val="nil"/>
              <w:right w:val="nil"/>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 xml:space="preserve">$26.55 </w:t>
            </w:r>
          </w:p>
        </w:tc>
        <w:tc>
          <w:tcPr>
            <w:tcW w:w="1890" w:type="dxa"/>
            <w:gridSpan w:val="2"/>
            <w:tcBorders>
              <w:top w:val="nil"/>
              <w:left w:val="nil"/>
              <w:bottom w:val="nil"/>
              <w:right w:val="nil"/>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 xml:space="preserve">$29.36 </w:t>
            </w:r>
          </w:p>
        </w:tc>
        <w:tc>
          <w:tcPr>
            <w:tcW w:w="1892" w:type="dxa"/>
            <w:tcBorders>
              <w:top w:val="nil"/>
              <w:left w:val="nil"/>
              <w:bottom w:val="nil"/>
              <w:right w:val="single" w:sz="8" w:space="0" w:color="000000"/>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 </w:t>
            </w:r>
          </w:p>
        </w:tc>
      </w:tr>
      <w:tr w:rsidR="007E52A8" w:rsidTr="007E52A8">
        <w:trPr>
          <w:trHeight w:val="300"/>
          <w:jc w:val="center"/>
        </w:trPr>
        <w:tc>
          <w:tcPr>
            <w:tcW w:w="5042" w:type="dxa"/>
            <w:tcBorders>
              <w:top w:val="nil"/>
              <w:left w:val="single" w:sz="8" w:space="0" w:color="000000"/>
              <w:bottom w:val="nil"/>
              <w:right w:val="nil"/>
            </w:tcBorders>
            <w:shd w:val="clear" w:color="auto" w:fill="auto"/>
            <w:noWrap/>
            <w:vAlign w:val="bottom"/>
            <w:hideMark/>
          </w:tcPr>
          <w:p w:rsidR="007E52A8" w:rsidRDefault="007E52A8" w:rsidP="008236E8">
            <w:pPr>
              <w:rPr>
                <w:rFonts w:ascii="SWISS" w:hAnsi="SWISS"/>
                <w:color w:val="000000"/>
                <w:sz w:val="20"/>
                <w:szCs w:val="20"/>
              </w:rPr>
            </w:pPr>
            <w:r>
              <w:rPr>
                <w:rFonts w:ascii="SWISS" w:hAnsi="SWISS"/>
                <w:color w:val="000000"/>
                <w:sz w:val="20"/>
                <w:szCs w:val="20"/>
              </w:rPr>
              <w:t>5,000 Gallons</w:t>
            </w:r>
          </w:p>
        </w:tc>
        <w:tc>
          <w:tcPr>
            <w:tcW w:w="1980" w:type="dxa"/>
            <w:tcBorders>
              <w:top w:val="nil"/>
              <w:left w:val="nil"/>
              <w:bottom w:val="nil"/>
              <w:right w:val="nil"/>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 xml:space="preserve">$36.73 </w:t>
            </w:r>
          </w:p>
        </w:tc>
        <w:tc>
          <w:tcPr>
            <w:tcW w:w="1890" w:type="dxa"/>
            <w:gridSpan w:val="2"/>
            <w:tcBorders>
              <w:top w:val="nil"/>
              <w:left w:val="nil"/>
              <w:bottom w:val="nil"/>
              <w:right w:val="nil"/>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 xml:space="preserve">$40.62 </w:t>
            </w:r>
          </w:p>
        </w:tc>
        <w:tc>
          <w:tcPr>
            <w:tcW w:w="1892" w:type="dxa"/>
            <w:tcBorders>
              <w:top w:val="nil"/>
              <w:left w:val="nil"/>
              <w:bottom w:val="nil"/>
              <w:right w:val="single" w:sz="8" w:space="0" w:color="000000"/>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 </w:t>
            </w:r>
          </w:p>
        </w:tc>
      </w:tr>
      <w:tr w:rsidR="007E52A8" w:rsidTr="007E52A8">
        <w:trPr>
          <w:trHeight w:val="300"/>
          <w:jc w:val="center"/>
        </w:trPr>
        <w:tc>
          <w:tcPr>
            <w:tcW w:w="5042" w:type="dxa"/>
            <w:tcBorders>
              <w:top w:val="nil"/>
              <w:left w:val="single" w:sz="8" w:space="0" w:color="000000"/>
              <w:bottom w:val="nil"/>
              <w:right w:val="nil"/>
            </w:tcBorders>
            <w:shd w:val="clear" w:color="auto" w:fill="auto"/>
            <w:noWrap/>
            <w:vAlign w:val="bottom"/>
            <w:hideMark/>
          </w:tcPr>
          <w:p w:rsidR="007E52A8" w:rsidRDefault="007E52A8" w:rsidP="008236E8">
            <w:pPr>
              <w:rPr>
                <w:rFonts w:ascii="SWISS" w:hAnsi="SWISS"/>
                <w:color w:val="000000"/>
                <w:sz w:val="20"/>
                <w:szCs w:val="20"/>
              </w:rPr>
            </w:pPr>
            <w:r>
              <w:rPr>
                <w:rFonts w:ascii="SWISS" w:hAnsi="SWISS"/>
                <w:color w:val="000000"/>
                <w:sz w:val="20"/>
                <w:szCs w:val="20"/>
              </w:rPr>
              <w:t>10,000 Gallons</w:t>
            </w:r>
          </w:p>
        </w:tc>
        <w:tc>
          <w:tcPr>
            <w:tcW w:w="1980" w:type="dxa"/>
            <w:tcBorders>
              <w:top w:val="nil"/>
              <w:left w:val="nil"/>
              <w:bottom w:val="nil"/>
              <w:right w:val="nil"/>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 xml:space="preserve">$62.18 </w:t>
            </w:r>
          </w:p>
        </w:tc>
        <w:tc>
          <w:tcPr>
            <w:tcW w:w="1890" w:type="dxa"/>
            <w:gridSpan w:val="2"/>
            <w:tcBorders>
              <w:top w:val="nil"/>
              <w:left w:val="nil"/>
              <w:bottom w:val="nil"/>
              <w:right w:val="nil"/>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 xml:space="preserve">$68.77 </w:t>
            </w:r>
          </w:p>
        </w:tc>
        <w:tc>
          <w:tcPr>
            <w:tcW w:w="1892" w:type="dxa"/>
            <w:tcBorders>
              <w:top w:val="nil"/>
              <w:left w:val="nil"/>
              <w:bottom w:val="nil"/>
              <w:right w:val="single" w:sz="8" w:space="0" w:color="000000"/>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 </w:t>
            </w:r>
          </w:p>
        </w:tc>
      </w:tr>
      <w:tr w:rsidR="007E52A8" w:rsidTr="007E52A8">
        <w:trPr>
          <w:trHeight w:val="300"/>
          <w:jc w:val="center"/>
        </w:trPr>
        <w:tc>
          <w:tcPr>
            <w:tcW w:w="5042" w:type="dxa"/>
            <w:tcBorders>
              <w:top w:val="nil"/>
              <w:left w:val="single" w:sz="8" w:space="0" w:color="000000"/>
              <w:bottom w:val="nil"/>
              <w:right w:val="nil"/>
            </w:tcBorders>
            <w:shd w:val="clear" w:color="auto" w:fill="auto"/>
            <w:noWrap/>
            <w:vAlign w:val="bottom"/>
            <w:hideMark/>
          </w:tcPr>
          <w:p w:rsidR="007E52A8" w:rsidRDefault="007E52A8" w:rsidP="008236E8">
            <w:pPr>
              <w:rPr>
                <w:rFonts w:ascii="SWISS" w:hAnsi="SWISS"/>
                <w:color w:val="000000"/>
                <w:sz w:val="20"/>
                <w:szCs w:val="20"/>
              </w:rPr>
            </w:pPr>
          </w:p>
        </w:tc>
        <w:tc>
          <w:tcPr>
            <w:tcW w:w="1980" w:type="dxa"/>
            <w:tcBorders>
              <w:top w:val="nil"/>
              <w:left w:val="nil"/>
              <w:bottom w:val="nil"/>
              <w:right w:val="nil"/>
            </w:tcBorders>
            <w:shd w:val="clear" w:color="auto" w:fill="auto"/>
            <w:noWrap/>
            <w:vAlign w:val="bottom"/>
            <w:hideMark/>
          </w:tcPr>
          <w:p w:rsidR="007E52A8" w:rsidRDefault="007E52A8" w:rsidP="008236E8">
            <w:pPr>
              <w:jc w:val="right"/>
              <w:rPr>
                <w:rFonts w:ascii="SWISS" w:hAnsi="SWISS"/>
                <w:color w:val="000000"/>
                <w:sz w:val="20"/>
                <w:szCs w:val="20"/>
              </w:rPr>
            </w:pPr>
          </w:p>
        </w:tc>
        <w:tc>
          <w:tcPr>
            <w:tcW w:w="1890" w:type="dxa"/>
            <w:gridSpan w:val="2"/>
            <w:tcBorders>
              <w:top w:val="nil"/>
              <w:left w:val="nil"/>
              <w:bottom w:val="nil"/>
              <w:right w:val="nil"/>
            </w:tcBorders>
            <w:shd w:val="clear" w:color="auto" w:fill="auto"/>
            <w:noWrap/>
            <w:vAlign w:val="bottom"/>
            <w:hideMark/>
          </w:tcPr>
          <w:p w:rsidR="007E52A8" w:rsidRDefault="007E52A8" w:rsidP="008236E8">
            <w:pPr>
              <w:jc w:val="right"/>
              <w:rPr>
                <w:rFonts w:ascii="SWISS" w:hAnsi="SWISS"/>
                <w:color w:val="000000"/>
                <w:sz w:val="20"/>
                <w:szCs w:val="20"/>
              </w:rPr>
            </w:pPr>
          </w:p>
        </w:tc>
        <w:tc>
          <w:tcPr>
            <w:tcW w:w="1892" w:type="dxa"/>
            <w:tcBorders>
              <w:top w:val="nil"/>
              <w:left w:val="nil"/>
              <w:bottom w:val="nil"/>
              <w:right w:val="single" w:sz="8" w:space="0" w:color="000000"/>
            </w:tcBorders>
            <w:shd w:val="clear" w:color="auto" w:fill="auto"/>
            <w:noWrap/>
            <w:vAlign w:val="bottom"/>
            <w:hideMark/>
          </w:tcPr>
          <w:p w:rsidR="007E52A8" w:rsidRDefault="007E52A8" w:rsidP="008236E8">
            <w:pPr>
              <w:jc w:val="right"/>
              <w:rPr>
                <w:rFonts w:ascii="SWISS" w:hAnsi="SWISS"/>
                <w:color w:val="000000"/>
                <w:sz w:val="20"/>
                <w:szCs w:val="20"/>
              </w:rPr>
            </w:pPr>
            <w:r>
              <w:rPr>
                <w:rFonts w:ascii="SWISS" w:hAnsi="SWISS"/>
                <w:color w:val="000000"/>
                <w:sz w:val="20"/>
                <w:szCs w:val="20"/>
              </w:rPr>
              <w:t> </w:t>
            </w:r>
          </w:p>
        </w:tc>
      </w:tr>
      <w:tr w:rsidR="007E52A8" w:rsidTr="007E52A8">
        <w:trPr>
          <w:trHeight w:val="315"/>
          <w:jc w:val="center"/>
        </w:trPr>
        <w:tc>
          <w:tcPr>
            <w:tcW w:w="5042" w:type="dxa"/>
            <w:tcBorders>
              <w:top w:val="nil"/>
              <w:left w:val="single" w:sz="8" w:space="0" w:color="000000"/>
              <w:bottom w:val="single" w:sz="8" w:space="0" w:color="000000"/>
              <w:right w:val="nil"/>
            </w:tcBorders>
            <w:shd w:val="clear" w:color="auto" w:fill="auto"/>
            <w:noWrap/>
            <w:vAlign w:val="bottom"/>
            <w:hideMark/>
          </w:tcPr>
          <w:p w:rsidR="007E52A8" w:rsidRDefault="007E52A8" w:rsidP="008236E8">
            <w:pPr>
              <w:rPr>
                <w:rFonts w:ascii="Arial" w:hAnsi="Arial" w:cs="Arial"/>
                <w:sz w:val="20"/>
                <w:szCs w:val="20"/>
              </w:rPr>
            </w:pPr>
            <w:r>
              <w:rPr>
                <w:rFonts w:ascii="Arial" w:hAnsi="Arial" w:cs="Arial"/>
                <w:sz w:val="20"/>
                <w:szCs w:val="20"/>
              </w:rPr>
              <w:t> </w:t>
            </w:r>
          </w:p>
        </w:tc>
        <w:tc>
          <w:tcPr>
            <w:tcW w:w="1980" w:type="dxa"/>
            <w:tcBorders>
              <w:top w:val="nil"/>
              <w:left w:val="nil"/>
              <w:bottom w:val="single" w:sz="8" w:space="0" w:color="000000"/>
              <w:right w:val="nil"/>
            </w:tcBorders>
            <w:shd w:val="clear" w:color="auto" w:fill="auto"/>
            <w:noWrap/>
            <w:vAlign w:val="bottom"/>
            <w:hideMark/>
          </w:tcPr>
          <w:p w:rsidR="007E52A8" w:rsidRDefault="007E52A8" w:rsidP="008236E8">
            <w:pPr>
              <w:rPr>
                <w:rFonts w:ascii="Arial" w:hAnsi="Arial" w:cs="Arial"/>
                <w:sz w:val="20"/>
                <w:szCs w:val="20"/>
              </w:rPr>
            </w:pPr>
            <w:r>
              <w:rPr>
                <w:rFonts w:ascii="Arial" w:hAnsi="Arial" w:cs="Arial"/>
                <w:sz w:val="20"/>
                <w:szCs w:val="20"/>
              </w:rPr>
              <w:t> </w:t>
            </w:r>
          </w:p>
        </w:tc>
        <w:tc>
          <w:tcPr>
            <w:tcW w:w="1890" w:type="dxa"/>
            <w:gridSpan w:val="2"/>
            <w:tcBorders>
              <w:top w:val="nil"/>
              <w:left w:val="nil"/>
              <w:bottom w:val="single" w:sz="8" w:space="0" w:color="000000"/>
              <w:right w:val="nil"/>
            </w:tcBorders>
            <w:shd w:val="clear" w:color="auto" w:fill="auto"/>
            <w:noWrap/>
            <w:vAlign w:val="bottom"/>
            <w:hideMark/>
          </w:tcPr>
          <w:p w:rsidR="007E52A8" w:rsidRDefault="007E52A8" w:rsidP="008236E8">
            <w:pPr>
              <w:rPr>
                <w:rFonts w:ascii="Arial" w:hAnsi="Arial" w:cs="Arial"/>
                <w:sz w:val="20"/>
                <w:szCs w:val="20"/>
              </w:rPr>
            </w:pPr>
            <w:r>
              <w:rPr>
                <w:rFonts w:ascii="Arial" w:hAnsi="Arial" w:cs="Arial"/>
                <w:sz w:val="20"/>
                <w:szCs w:val="20"/>
              </w:rPr>
              <w:t> </w:t>
            </w:r>
          </w:p>
        </w:tc>
        <w:tc>
          <w:tcPr>
            <w:tcW w:w="1892" w:type="dxa"/>
            <w:tcBorders>
              <w:top w:val="nil"/>
              <w:left w:val="nil"/>
              <w:bottom w:val="single" w:sz="8" w:space="0" w:color="000000"/>
              <w:right w:val="single" w:sz="8" w:space="0" w:color="000000"/>
            </w:tcBorders>
            <w:shd w:val="clear" w:color="auto" w:fill="auto"/>
            <w:noWrap/>
            <w:vAlign w:val="bottom"/>
            <w:hideMark/>
          </w:tcPr>
          <w:p w:rsidR="007E52A8" w:rsidRDefault="007E52A8" w:rsidP="008236E8">
            <w:pPr>
              <w:rPr>
                <w:rFonts w:ascii="Arial" w:hAnsi="Arial" w:cs="Arial"/>
                <w:sz w:val="20"/>
                <w:szCs w:val="20"/>
              </w:rPr>
            </w:pPr>
            <w:r>
              <w:rPr>
                <w:rFonts w:ascii="Arial" w:hAnsi="Arial" w:cs="Arial"/>
                <w:sz w:val="20"/>
                <w:szCs w:val="20"/>
              </w:rPr>
              <w:t> </w:t>
            </w:r>
          </w:p>
        </w:tc>
      </w:tr>
    </w:tbl>
    <w:p w:rsidR="00432271" w:rsidRDefault="004A0437" w:rsidP="00E275D8">
      <w:pPr>
        <w:pStyle w:val="BodyText"/>
        <w:sectPr w:rsidR="00432271" w:rsidSect="0068481F">
          <w:headerReference w:type="default" r:id="rId30"/>
          <w:pgSz w:w="12240" w:h="15840" w:code="1"/>
          <w:pgMar w:top="1584" w:right="1440" w:bottom="1440" w:left="1440" w:header="720" w:footer="720" w:gutter="0"/>
          <w:cols w:space="720"/>
          <w:formProt w:val="0"/>
          <w:docGrid w:linePitch="360"/>
        </w:sectPr>
      </w:pPr>
      <w:r w:rsidRPr="00F52F8B">
        <w:rPr>
          <w:sz w:val="20"/>
          <w:szCs w:val="20"/>
        </w:rPr>
        <w:fldChar w:fldCharType="begin"/>
      </w:r>
      <w:r w:rsidRPr="00F52F8B">
        <w:rPr>
          <w:sz w:val="20"/>
          <w:szCs w:val="20"/>
        </w:rPr>
        <w:instrText xml:space="preserve"> TC "</w:instrText>
      </w:r>
      <w:r w:rsidRPr="00F52F8B">
        <w:rPr>
          <w:sz w:val="20"/>
          <w:szCs w:val="20"/>
        </w:rPr>
        <w:tab/>
      </w:r>
      <w:bookmarkStart w:id="69" w:name="_Toc443485032"/>
      <w:r w:rsidRPr="00F52F8B">
        <w:rPr>
          <w:sz w:val="20"/>
          <w:szCs w:val="20"/>
        </w:rPr>
        <w:instrText xml:space="preserve">Schedule No. </w:instrText>
      </w:r>
      <w:r>
        <w:rPr>
          <w:sz w:val="20"/>
          <w:szCs w:val="20"/>
        </w:rPr>
        <w:instrText>4 Monthly Water Rates</w:instrText>
      </w:r>
      <w:bookmarkEnd w:id="69"/>
      <w:r w:rsidRPr="00F52F8B">
        <w:rPr>
          <w:sz w:val="20"/>
          <w:szCs w:val="20"/>
        </w:rPr>
        <w:instrText xml:space="preserve">”\l 1 </w:instrText>
      </w:r>
      <w:r w:rsidRPr="00F52F8B">
        <w:rPr>
          <w:sz w:val="20"/>
          <w:szCs w:val="20"/>
        </w:rPr>
        <w:fldChar w:fldCharType="end"/>
      </w:r>
    </w:p>
    <w:tbl>
      <w:tblPr>
        <w:tblW w:w="9473" w:type="dxa"/>
        <w:jc w:val="center"/>
        <w:tblLayout w:type="fixed"/>
        <w:tblLook w:val="04A0" w:firstRow="1" w:lastRow="0" w:firstColumn="1" w:lastColumn="0" w:noHBand="0" w:noVBand="1"/>
      </w:tblPr>
      <w:tblGrid>
        <w:gridCol w:w="815"/>
        <w:gridCol w:w="1080"/>
        <w:gridCol w:w="3614"/>
        <w:gridCol w:w="1336"/>
        <w:gridCol w:w="1350"/>
        <w:gridCol w:w="1278"/>
      </w:tblGrid>
      <w:tr w:rsidR="00432271" w:rsidRPr="00006CBE" w:rsidTr="00BF5E15">
        <w:trPr>
          <w:trHeight w:val="312"/>
          <w:jc w:val="center"/>
        </w:trPr>
        <w:tc>
          <w:tcPr>
            <w:tcW w:w="5509" w:type="dxa"/>
            <w:gridSpan w:val="3"/>
            <w:tcBorders>
              <w:top w:val="single" w:sz="8" w:space="0" w:color="auto"/>
              <w:left w:val="single" w:sz="8" w:space="0" w:color="auto"/>
              <w:bottom w:val="nil"/>
              <w:right w:val="nil"/>
            </w:tcBorders>
            <w:shd w:val="clear" w:color="auto" w:fill="auto"/>
            <w:noWrap/>
            <w:vAlign w:val="center"/>
            <w:hideMark/>
          </w:tcPr>
          <w:p w:rsidR="00432271" w:rsidRPr="00006CBE" w:rsidRDefault="00432271" w:rsidP="00432271">
            <w:pPr>
              <w:rPr>
                <w:rFonts w:ascii="SWISS" w:hAnsi="SWISS" w:cs="Arial"/>
                <w:b/>
                <w:bCs/>
                <w:color w:val="000000"/>
                <w:sz w:val="20"/>
                <w:szCs w:val="20"/>
              </w:rPr>
            </w:pPr>
            <w:r w:rsidRPr="000D2E84">
              <w:rPr>
                <w:rFonts w:ascii="SWISS" w:hAnsi="SWISS" w:cs="Arial"/>
                <w:b/>
                <w:bCs/>
                <w:color w:val="000000"/>
                <w:sz w:val="20"/>
                <w:szCs w:val="20"/>
              </w:rPr>
              <w:lastRenderedPageBreak/>
              <w:t>ALTURAS UTILITIES, L.L.C.</w:t>
            </w:r>
          </w:p>
        </w:tc>
        <w:tc>
          <w:tcPr>
            <w:tcW w:w="3964" w:type="dxa"/>
            <w:gridSpan w:val="3"/>
            <w:tcBorders>
              <w:top w:val="single" w:sz="8" w:space="0" w:color="auto"/>
              <w:left w:val="nil"/>
              <w:bottom w:val="nil"/>
              <w:right w:val="single" w:sz="8" w:space="0" w:color="auto"/>
            </w:tcBorders>
            <w:shd w:val="clear" w:color="auto" w:fill="auto"/>
            <w:noWrap/>
            <w:vAlign w:val="center"/>
            <w:hideMark/>
          </w:tcPr>
          <w:p w:rsidR="00432271" w:rsidRPr="00DD289C" w:rsidRDefault="00432271" w:rsidP="00432271">
            <w:pPr>
              <w:rPr>
                <w:sz w:val="20"/>
                <w:szCs w:val="20"/>
              </w:rPr>
            </w:pPr>
            <w:r w:rsidRPr="00006CBE">
              <w:rPr>
                <w:rFonts w:ascii="SWISS" w:hAnsi="SWISS" w:cs="Arial"/>
                <w:b/>
                <w:bCs/>
                <w:color w:val="000000"/>
                <w:sz w:val="20"/>
                <w:szCs w:val="20"/>
              </w:rPr>
              <w:t xml:space="preserve">            </w:t>
            </w:r>
            <w:r>
              <w:rPr>
                <w:rFonts w:ascii="SWISS" w:hAnsi="SWISS" w:cs="Arial"/>
                <w:b/>
                <w:bCs/>
                <w:color w:val="000000"/>
                <w:sz w:val="20"/>
                <w:szCs w:val="20"/>
              </w:rPr>
              <w:t xml:space="preserve">             </w:t>
            </w:r>
            <w:r w:rsidRPr="00006CBE">
              <w:rPr>
                <w:rFonts w:ascii="SWISS" w:hAnsi="SWISS" w:cs="Arial"/>
                <w:b/>
                <w:bCs/>
                <w:color w:val="000000"/>
                <w:sz w:val="20"/>
                <w:szCs w:val="20"/>
              </w:rPr>
              <w:t xml:space="preserve">                </w:t>
            </w:r>
            <w:r>
              <w:rPr>
                <w:rFonts w:ascii="SWISS" w:hAnsi="SWISS" w:cs="Arial"/>
                <w:b/>
                <w:bCs/>
                <w:color w:val="000000"/>
                <w:sz w:val="20"/>
                <w:szCs w:val="20"/>
              </w:rPr>
              <w:t>SCHEDULE NO. 5</w:t>
            </w:r>
            <w:r w:rsidRPr="00F04DBD">
              <w:rPr>
                <w:sz w:val="20"/>
                <w:szCs w:val="20"/>
              </w:rPr>
              <w:fldChar w:fldCharType="begin"/>
            </w:r>
            <w:r w:rsidRPr="00F04DBD">
              <w:rPr>
                <w:sz w:val="20"/>
                <w:szCs w:val="20"/>
              </w:rPr>
              <w:instrText xml:space="preserve"> TC "</w:instrText>
            </w:r>
            <w:r w:rsidRPr="00F04DBD">
              <w:rPr>
                <w:sz w:val="20"/>
                <w:szCs w:val="20"/>
              </w:rPr>
              <w:tab/>
            </w:r>
            <w:bookmarkStart w:id="70" w:name="_Toc441233999"/>
            <w:bookmarkStart w:id="71" w:name="_Toc442961350"/>
            <w:bookmarkStart w:id="72" w:name="_Toc443485033"/>
            <w:r>
              <w:rPr>
                <w:sz w:val="20"/>
                <w:szCs w:val="20"/>
              </w:rPr>
              <w:instrText xml:space="preserve">Schedule No. 5 </w:instrText>
            </w:r>
            <w:r w:rsidRPr="00F04DBD">
              <w:rPr>
                <w:sz w:val="20"/>
                <w:szCs w:val="20"/>
              </w:rPr>
              <w:instrText xml:space="preserve"> </w:instrText>
            </w:r>
            <w:r>
              <w:rPr>
                <w:sz w:val="20"/>
                <w:szCs w:val="20"/>
              </w:rPr>
              <w:instrText>Water Plant, Depreciation, CIAC, &amp; CIAC Amortization Balances</w:instrText>
            </w:r>
            <w:bookmarkEnd w:id="70"/>
            <w:bookmarkEnd w:id="71"/>
            <w:bookmarkEnd w:id="72"/>
            <w:r w:rsidRPr="00F04DBD">
              <w:rPr>
                <w:sz w:val="20"/>
                <w:szCs w:val="20"/>
              </w:rPr>
              <w:instrText xml:space="preserve">”\l 1 </w:instrText>
            </w:r>
            <w:r w:rsidRPr="00F04DBD">
              <w:rPr>
                <w:sz w:val="20"/>
                <w:szCs w:val="20"/>
              </w:rPr>
              <w:fldChar w:fldCharType="end"/>
            </w:r>
          </w:p>
        </w:tc>
      </w:tr>
      <w:tr w:rsidR="00432271" w:rsidRPr="00006CBE" w:rsidTr="00BF5E15">
        <w:trPr>
          <w:trHeight w:val="306"/>
          <w:jc w:val="center"/>
        </w:trPr>
        <w:tc>
          <w:tcPr>
            <w:tcW w:w="5509" w:type="dxa"/>
            <w:gridSpan w:val="3"/>
            <w:tcBorders>
              <w:top w:val="nil"/>
              <w:left w:val="single" w:sz="8" w:space="0" w:color="auto"/>
              <w:bottom w:val="nil"/>
              <w:right w:val="nil"/>
            </w:tcBorders>
            <w:shd w:val="clear" w:color="auto" w:fill="auto"/>
            <w:noWrap/>
            <w:vAlign w:val="center"/>
            <w:hideMark/>
          </w:tcPr>
          <w:p w:rsidR="00432271" w:rsidRPr="00006CBE" w:rsidRDefault="00432271" w:rsidP="00432271">
            <w:pPr>
              <w:rPr>
                <w:rFonts w:ascii="SWISS" w:hAnsi="SWISS" w:cs="Arial"/>
                <w:b/>
                <w:bCs/>
                <w:color w:val="000000"/>
                <w:sz w:val="20"/>
                <w:szCs w:val="20"/>
              </w:rPr>
            </w:pPr>
            <w:r w:rsidRPr="00006CBE">
              <w:rPr>
                <w:rFonts w:ascii="SWISS" w:hAnsi="SWISS" w:cs="Arial"/>
                <w:b/>
                <w:bCs/>
                <w:color w:val="000000"/>
                <w:sz w:val="20"/>
                <w:szCs w:val="20"/>
              </w:rPr>
              <w:t xml:space="preserve">TEST YEAR ENDED </w:t>
            </w:r>
            <w:r>
              <w:rPr>
                <w:rFonts w:ascii="SWISS" w:hAnsi="SWISS" w:cs="Arial"/>
                <w:b/>
                <w:bCs/>
                <w:color w:val="000000"/>
                <w:sz w:val="20"/>
                <w:szCs w:val="20"/>
              </w:rPr>
              <w:t>12</w:t>
            </w:r>
            <w:r w:rsidRPr="00006CBE">
              <w:rPr>
                <w:rFonts w:ascii="SWISS" w:hAnsi="SWISS" w:cs="Arial"/>
                <w:b/>
                <w:bCs/>
                <w:color w:val="000000"/>
                <w:sz w:val="20"/>
                <w:szCs w:val="20"/>
              </w:rPr>
              <w:t>/31/201</w:t>
            </w:r>
            <w:r>
              <w:rPr>
                <w:rFonts w:ascii="SWISS" w:hAnsi="SWISS" w:cs="Arial"/>
                <w:b/>
                <w:bCs/>
                <w:color w:val="000000"/>
                <w:sz w:val="20"/>
                <w:szCs w:val="20"/>
              </w:rPr>
              <w:t>4</w:t>
            </w:r>
          </w:p>
        </w:tc>
        <w:tc>
          <w:tcPr>
            <w:tcW w:w="3964" w:type="dxa"/>
            <w:gridSpan w:val="3"/>
            <w:tcBorders>
              <w:top w:val="nil"/>
              <w:left w:val="nil"/>
              <w:bottom w:val="nil"/>
              <w:right w:val="single" w:sz="8" w:space="0" w:color="auto"/>
            </w:tcBorders>
            <w:shd w:val="clear" w:color="auto" w:fill="auto"/>
            <w:noWrap/>
            <w:vAlign w:val="center"/>
            <w:hideMark/>
          </w:tcPr>
          <w:p w:rsidR="00432271" w:rsidRPr="00006CBE" w:rsidRDefault="00432271" w:rsidP="00432271">
            <w:pPr>
              <w:rPr>
                <w:rFonts w:ascii="SWISS" w:hAnsi="SWISS" w:cs="Arial"/>
                <w:b/>
                <w:bCs/>
                <w:color w:val="000000"/>
                <w:sz w:val="20"/>
                <w:szCs w:val="20"/>
              </w:rPr>
            </w:pPr>
            <w:r w:rsidRPr="00006CBE">
              <w:rPr>
                <w:rFonts w:ascii="SWISS" w:hAnsi="SWISS" w:cs="Arial"/>
                <w:b/>
                <w:bCs/>
                <w:color w:val="000000"/>
                <w:sz w:val="20"/>
                <w:szCs w:val="20"/>
              </w:rPr>
              <w:t xml:space="preserve">           </w:t>
            </w:r>
            <w:r>
              <w:rPr>
                <w:rFonts w:ascii="SWISS" w:hAnsi="SWISS" w:cs="Arial"/>
                <w:b/>
                <w:bCs/>
                <w:color w:val="000000"/>
                <w:sz w:val="20"/>
                <w:szCs w:val="20"/>
              </w:rPr>
              <w:t xml:space="preserve">              </w:t>
            </w:r>
            <w:r w:rsidRPr="00006CBE">
              <w:rPr>
                <w:rFonts w:ascii="SWISS" w:hAnsi="SWISS" w:cs="Arial"/>
                <w:b/>
                <w:bCs/>
                <w:color w:val="000000"/>
                <w:sz w:val="20"/>
                <w:szCs w:val="20"/>
              </w:rPr>
              <w:t xml:space="preserve">   DOCKET NO. 1</w:t>
            </w:r>
            <w:r>
              <w:rPr>
                <w:rFonts w:ascii="SWISS" w:hAnsi="SWISS" w:cs="Arial"/>
                <w:b/>
                <w:bCs/>
                <w:color w:val="000000"/>
                <w:sz w:val="20"/>
                <w:szCs w:val="20"/>
              </w:rPr>
              <w:t>40219</w:t>
            </w:r>
            <w:r w:rsidRPr="00006CBE">
              <w:rPr>
                <w:rFonts w:ascii="SWISS" w:hAnsi="SWISS" w:cs="Arial"/>
                <w:b/>
                <w:bCs/>
                <w:color w:val="000000"/>
                <w:sz w:val="20"/>
                <w:szCs w:val="20"/>
              </w:rPr>
              <w:t>-WU</w:t>
            </w:r>
          </w:p>
        </w:tc>
      </w:tr>
      <w:tr w:rsidR="00432271" w:rsidRPr="00006CBE" w:rsidTr="00BF5E15">
        <w:trPr>
          <w:trHeight w:val="351"/>
          <w:jc w:val="center"/>
        </w:trPr>
        <w:tc>
          <w:tcPr>
            <w:tcW w:w="9473" w:type="dxa"/>
            <w:gridSpan w:val="6"/>
            <w:tcBorders>
              <w:top w:val="nil"/>
              <w:left w:val="single" w:sz="8" w:space="0" w:color="auto"/>
              <w:bottom w:val="single" w:sz="8" w:space="0" w:color="auto"/>
              <w:right w:val="single" w:sz="8" w:space="0" w:color="auto"/>
            </w:tcBorders>
            <w:shd w:val="clear" w:color="auto" w:fill="auto"/>
            <w:vAlign w:val="center"/>
            <w:hideMark/>
          </w:tcPr>
          <w:p w:rsidR="00432271" w:rsidRPr="00006CBE" w:rsidRDefault="00432271" w:rsidP="00432271">
            <w:pPr>
              <w:rPr>
                <w:rFonts w:ascii="SWISS" w:hAnsi="SWISS" w:cs="Arial"/>
                <w:b/>
                <w:bCs/>
                <w:color w:val="000000"/>
                <w:sz w:val="20"/>
                <w:szCs w:val="20"/>
              </w:rPr>
            </w:pPr>
            <w:r w:rsidRPr="00006CBE">
              <w:rPr>
                <w:rFonts w:ascii="SWISS" w:hAnsi="SWISS" w:cs="Arial"/>
                <w:b/>
                <w:bCs/>
                <w:color w:val="000000"/>
                <w:sz w:val="20"/>
                <w:szCs w:val="20"/>
              </w:rPr>
              <w:t xml:space="preserve">SCHEDULE OF </w:t>
            </w:r>
            <w:r>
              <w:rPr>
                <w:rFonts w:ascii="SWISS" w:hAnsi="SWISS" w:cs="Arial"/>
                <w:b/>
                <w:bCs/>
                <w:color w:val="000000"/>
                <w:sz w:val="20"/>
                <w:szCs w:val="20"/>
              </w:rPr>
              <w:t xml:space="preserve">WATER </w:t>
            </w:r>
            <w:r w:rsidRPr="00006CBE">
              <w:rPr>
                <w:rFonts w:ascii="SWISS" w:hAnsi="SWISS" w:cs="Arial"/>
                <w:b/>
                <w:bCs/>
                <w:color w:val="000000"/>
                <w:sz w:val="20"/>
                <w:szCs w:val="20"/>
              </w:rPr>
              <w:t>PLANT, DEPRECIATION,</w:t>
            </w:r>
            <w:r>
              <w:rPr>
                <w:rFonts w:ascii="SWISS" w:hAnsi="SWISS" w:cs="Arial"/>
                <w:b/>
                <w:bCs/>
                <w:color w:val="000000"/>
                <w:sz w:val="20"/>
                <w:szCs w:val="20"/>
              </w:rPr>
              <w:t xml:space="preserve"> CIAC, &amp; CIAC AMORTIZATION BALANCES</w:t>
            </w:r>
          </w:p>
        </w:tc>
      </w:tr>
      <w:tr w:rsidR="00432271" w:rsidRPr="00006CBE" w:rsidTr="00BF5E15">
        <w:trPr>
          <w:trHeight w:val="312"/>
          <w:jc w:val="center"/>
        </w:trPr>
        <w:tc>
          <w:tcPr>
            <w:tcW w:w="815" w:type="dxa"/>
            <w:tcBorders>
              <w:top w:val="single" w:sz="8" w:space="0" w:color="auto"/>
              <w:left w:val="single" w:sz="8" w:space="0" w:color="auto"/>
              <w:bottom w:val="single" w:sz="8" w:space="0" w:color="auto"/>
              <w:right w:val="nil"/>
            </w:tcBorders>
            <w:shd w:val="clear" w:color="auto" w:fill="auto"/>
            <w:noWrap/>
            <w:vAlign w:val="bottom"/>
            <w:hideMark/>
          </w:tcPr>
          <w:p w:rsidR="00432271" w:rsidRPr="006D3BD3" w:rsidRDefault="00432271" w:rsidP="00432271">
            <w:pPr>
              <w:jc w:val="center"/>
              <w:rPr>
                <w:rFonts w:ascii="SWISS" w:hAnsi="SWISS" w:cs="Arial"/>
                <w:b/>
                <w:bCs/>
                <w:color w:val="000000"/>
                <w:sz w:val="20"/>
                <w:szCs w:val="20"/>
              </w:rPr>
            </w:pPr>
            <w:r w:rsidRPr="006D3BD3">
              <w:rPr>
                <w:rFonts w:ascii="SWISS" w:hAnsi="SWISS" w:cs="Arial"/>
                <w:b/>
                <w:bCs/>
                <w:color w:val="000000"/>
                <w:sz w:val="20"/>
                <w:szCs w:val="20"/>
              </w:rPr>
              <w:t>ACCTNO.</w:t>
            </w:r>
          </w:p>
        </w:tc>
        <w:tc>
          <w:tcPr>
            <w:tcW w:w="1080" w:type="dxa"/>
            <w:tcBorders>
              <w:top w:val="single" w:sz="8" w:space="0" w:color="auto"/>
              <w:left w:val="nil"/>
              <w:bottom w:val="single" w:sz="8" w:space="0" w:color="auto"/>
              <w:right w:val="nil"/>
            </w:tcBorders>
            <w:shd w:val="clear" w:color="auto" w:fill="auto"/>
            <w:noWrap/>
            <w:vAlign w:val="bottom"/>
            <w:hideMark/>
          </w:tcPr>
          <w:p w:rsidR="00432271" w:rsidRPr="006D3BD3" w:rsidRDefault="00432271" w:rsidP="00432271">
            <w:pPr>
              <w:jc w:val="center"/>
              <w:rPr>
                <w:rFonts w:ascii="SWISS" w:hAnsi="SWISS" w:cs="Arial"/>
                <w:b/>
                <w:bCs/>
                <w:color w:val="000000"/>
                <w:sz w:val="20"/>
                <w:szCs w:val="20"/>
              </w:rPr>
            </w:pPr>
            <w:r w:rsidRPr="006D3BD3">
              <w:rPr>
                <w:rFonts w:ascii="SWISS" w:hAnsi="SWISS" w:cs="Arial"/>
                <w:b/>
                <w:bCs/>
                <w:color w:val="000000"/>
                <w:sz w:val="20"/>
                <w:szCs w:val="20"/>
              </w:rPr>
              <w:t>DEPR. RATE PER RULE    25-30.140</w:t>
            </w:r>
          </w:p>
        </w:tc>
        <w:tc>
          <w:tcPr>
            <w:tcW w:w="4950" w:type="dxa"/>
            <w:gridSpan w:val="2"/>
            <w:tcBorders>
              <w:top w:val="single" w:sz="8" w:space="0" w:color="auto"/>
              <w:left w:val="nil"/>
              <w:bottom w:val="single" w:sz="8" w:space="0" w:color="auto"/>
              <w:right w:val="nil"/>
            </w:tcBorders>
            <w:shd w:val="clear" w:color="auto" w:fill="auto"/>
            <w:noWrap/>
            <w:vAlign w:val="bottom"/>
            <w:hideMark/>
          </w:tcPr>
          <w:p w:rsidR="00432271" w:rsidRPr="006D3BD3" w:rsidRDefault="00432271" w:rsidP="00432271">
            <w:pPr>
              <w:jc w:val="center"/>
              <w:rPr>
                <w:rFonts w:ascii="SWISS" w:hAnsi="SWISS" w:cs="Arial"/>
                <w:b/>
                <w:bCs/>
                <w:color w:val="000000"/>
                <w:sz w:val="20"/>
                <w:szCs w:val="20"/>
              </w:rPr>
            </w:pPr>
            <w:r w:rsidRPr="006D3BD3">
              <w:rPr>
                <w:rFonts w:ascii="SWISS" w:hAnsi="SWISS" w:cs="Arial"/>
                <w:b/>
                <w:bCs/>
                <w:color w:val="000000"/>
                <w:sz w:val="20"/>
                <w:szCs w:val="20"/>
              </w:rPr>
              <w:t>DESCRIPTION</w:t>
            </w:r>
          </w:p>
        </w:tc>
        <w:tc>
          <w:tcPr>
            <w:tcW w:w="1350" w:type="dxa"/>
            <w:tcBorders>
              <w:top w:val="single" w:sz="8" w:space="0" w:color="auto"/>
              <w:left w:val="nil"/>
              <w:bottom w:val="single" w:sz="8" w:space="0" w:color="auto"/>
              <w:right w:val="nil"/>
            </w:tcBorders>
            <w:shd w:val="clear" w:color="auto" w:fill="auto"/>
            <w:noWrap/>
            <w:vAlign w:val="bottom"/>
            <w:hideMark/>
          </w:tcPr>
          <w:p w:rsidR="00432271" w:rsidRPr="006D3BD3" w:rsidRDefault="00432271" w:rsidP="00432271">
            <w:pPr>
              <w:jc w:val="center"/>
              <w:rPr>
                <w:rFonts w:ascii="SWISS" w:hAnsi="SWISS" w:cs="Arial"/>
                <w:b/>
                <w:bCs/>
                <w:color w:val="000000"/>
                <w:sz w:val="20"/>
                <w:szCs w:val="20"/>
              </w:rPr>
            </w:pPr>
            <w:r w:rsidRPr="006D3BD3">
              <w:rPr>
                <w:rFonts w:ascii="SWISS" w:hAnsi="SWISS" w:cs="Arial"/>
                <w:b/>
                <w:bCs/>
                <w:color w:val="000000"/>
                <w:sz w:val="20"/>
                <w:szCs w:val="20"/>
              </w:rPr>
              <w:t xml:space="preserve">UPIS       </w:t>
            </w:r>
            <w:r>
              <w:rPr>
                <w:rFonts w:ascii="SWISS" w:hAnsi="SWISS" w:cs="Arial"/>
                <w:b/>
                <w:bCs/>
                <w:color w:val="000000"/>
                <w:sz w:val="20"/>
                <w:szCs w:val="20"/>
              </w:rPr>
              <w:t>12</w:t>
            </w:r>
            <w:r w:rsidRPr="006D3BD3">
              <w:rPr>
                <w:rFonts w:ascii="SWISS" w:hAnsi="SWISS" w:cs="Arial"/>
                <w:b/>
                <w:bCs/>
                <w:color w:val="000000"/>
                <w:sz w:val="20"/>
                <w:szCs w:val="20"/>
              </w:rPr>
              <w:t>/31/201</w:t>
            </w:r>
            <w:r>
              <w:rPr>
                <w:rFonts w:ascii="SWISS" w:hAnsi="SWISS" w:cs="Arial"/>
                <w:b/>
                <w:bCs/>
                <w:color w:val="000000"/>
                <w:sz w:val="20"/>
                <w:szCs w:val="20"/>
              </w:rPr>
              <w:t>4</w:t>
            </w:r>
            <w:r w:rsidRPr="006D3BD3">
              <w:rPr>
                <w:rFonts w:ascii="SWISS" w:hAnsi="SWISS" w:cs="Arial"/>
                <w:b/>
                <w:bCs/>
                <w:color w:val="000000"/>
                <w:sz w:val="20"/>
                <w:szCs w:val="20"/>
              </w:rPr>
              <w:t xml:space="preserve">    (DEBIT)</w:t>
            </w:r>
          </w:p>
        </w:tc>
        <w:tc>
          <w:tcPr>
            <w:tcW w:w="1278" w:type="dxa"/>
            <w:tcBorders>
              <w:top w:val="single" w:sz="8" w:space="0" w:color="auto"/>
              <w:left w:val="nil"/>
              <w:bottom w:val="single" w:sz="8" w:space="0" w:color="auto"/>
              <w:right w:val="single" w:sz="8" w:space="0" w:color="auto"/>
            </w:tcBorders>
            <w:shd w:val="clear" w:color="auto" w:fill="auto"/>
            <w:noWrap/>
            <w:vAlign w:val="bottom"/>
            <w:hideMark/>
          </w:tcPr>
          <w:p w:rsidR="00432271" w:rsidRPr="006D3BD3" w:rsidRDefault="00432271" w:rsidP="00432271">
            <w:pPr>
              <w:jc w:val="center"/>
              <w:rPr>
                <w:rFonts w:ascii="SWISS" w:hAnsi="SWISS" w:cs="Arial"/>
                <w:b/>
                <w:bCs/>
                <w:color w:val="000000"/>
                <w:sz w:val="20"/>
                <w:szCs w:val="20"/>
              </w:rPr>
            </w:pPr>
            <w:r w:rsidRPr="006D3BD3">
              <w:rPr>
                <w:rFonts w:ascii="SWISS" w:hAnsi="SWISS" w:cs="Arial"/>
                <w:b/>
                <w:bCs/>
                <w:color w:val="000000"/>
                <w:sz w:val="20"/>
                <w:szCs w:val="20"/>
              </w:rPr>
              <w:t>ACCUM. DEPR</w:t>
            </w:r>
            <w:r w:rsidR="0081418B">
              <w:rPr>
                <w:rFonts w:ascii="SWISS" w:hAnsi="SWISS" w:cs="Arial"/>
                <w:b/>
                <w:bCs/>
                <w:color w:val="000000"/>
                <w:sz w:val="20"/>
                <w:szCs w:val="20"/>
              </w:rPr>
              <w:t xml:space="preserve">. </w:t>
            </w:r>
            <w:r>
              <w:rPr>
                <w:rFonts w:ascii="SWISS" w:hAnsi="SWISS" w:cs="Arial"/>
                <w:b/>
                <w:bCs/>
                <w:color w:val="000000"/>
                <w:sz w:val="20"/>
                <w:szCs w:val="20"/>
              </w:rPr>
              <w:t>12</w:t>
            </w:r>
            <w:r w:rsidRPr="006D3BD3">
              <w:rPr>
                <w:rFonts w:ascii="SWISS" w:hAnsi="SWISS" w:cs="Arial"/>
                <w:b/>
                <w:bCs/>
                <w:color w:val="000000"/>
                <w:sz w:val="20"/>
                <w:szCs w:val="20"/>
              </w:rPr>
              <w:t>/</w:t>
            </w:r>
            <w:r>
              <w:rPr>
                <w:rFonts w:ascii="SWISS" w:hAnsi="SWISS" w:cs="Arial"/>
                <w:b/>
                <w:bCs/>
                <w:color w:val="000000"/>
                <w:sz w:val="20"/>
                <w:szCs w:val="20"/>
              </w:rPr>
              <w:t>14</w:t>
            </w:r>
            <w:r w:rsidRPr="006D3BD3">
              <w:rPr>
                <w:rFonts w:ascii="SWISS" w:hAnsi="SWISS" w:cs="Arial"/>
                <w:b/>
                <w:bCs/>
                <w:color w:val="000000"/>
                <w:sz w:val="20"/>
                <w:szCs w:val="20"/>
              </w:rPr>
              <w:t>/201</w:t>
            </w:r>
            <w:r>
              <w:rPr>
                <w:rFonts w:ascii="SWISS" w:hAnsi="SWISS" w:cs="Arial"/>
                <w:b/>
                <w:bCs/>
                <w:color w:val="000000"/>
                <w:sz w:val="20"/>
                <w:szCs w:val="20"/>
              </w:rPr>
              <w:t>4</w:t>
            </w:r>
            <w:r w:rsidRPr="006D3BD3">
              <w:rPr>
                <w:rFonts w:ascii="SWISS" w:hAnsi="SWISS" w:cs="Arial"/>
                <w:b/>
                <w:bCs/>
                <w:color w:val="000000"/>
                <w:sz w:val="20"/>
                <w:szCs w:val="20"/>
              </w:rPr>
              <w:t xml:space="preserve">         (CREDIT)*</w:t>
            </w:r>
          </w:p>
        </w:tc>
      </w:tr>
      <w:tr w:rsidR="00432271" w:rsidRPr="00006CBE" w:rsidTr="00BF5E15">
        <w:trPr>
          <w:trHeight w:val="312"/>
          <w:jc w:val="center"/>
        </w:trPr>
        <w:tc>
          <w:tcPr>
            <w:tcW w:w="815" w:type="dxa"/>
            <w:tcBorders>
              <w:top w:val="single" w:sz="8" w:space="0" w:color="auto"/>
              <w:left w:val="single" w:sz="8" w:space="0" w:color="auto"/>
              <w:bottom w:val="nil"/>
              <w:right w:val="nil"/>
            </w:tcBorders>
            <w:shd w:val="clear" w:color="auto" w:fill="auto"/>
            <w:noWrap/>
            <w:vAlign w:val="center"/>
            <w:hideMark/>
          </w:tcPr>
          <w:p w:rsidR="00432271" w:rsidRPr="00006CBE" w:rsidRDefault="00432271" w:rsidP="00432271">
            <w:pPr>
              <w:rPr>
                <w:rFonts w:ascii="SWISS" w:hAnsi="SWISS" w:cs="Arial"/>
                <w:bCs/>
                <w:color w:val="000000"/>
                <w:sz w:val="20"/>
                <w:szCs w:val="20"/>
              </w:rPr>
            </w:pPr>
            <w:r w:rsidRPr="00006CBE">
              <w:rPr>
                <w:rFonts w:ascii="SWISS" w:hAnsi="SWISS" w:cs="Arial"/>
                <w:bCs/>
                <w:color w:val="000000"/>
                <w:sz w:val="20"/>
                <w:szCs w:val="20"/>
              </w:rPr>
              <w:t> </w:t>
            </w:r>
          </w:p>
        </w:tc>
        <w:tc>
          <w:tcPr>
            <w:tcW w:w="1080" w:type="dxa"/>
            <w:tcBorders>
              <w:top w:val="single" w:sz="8" w:space="0" w:color="auto"/>
              <w:left w:val="nil"/>
              <w:bottom w:val="nil"/>
              <w:right w:val="nil"/>
            </w:tcBorders>
            <w:shd w:val="clear" w:color="auto" w:fill="auto"/>
            <w:noWrap/>
            <w:vAlign w:val="center"/>
            <w:hideMark/>
          </w:tcPr>
          <w:p w:rsidR="00432271" w:rsidRPr="00006CBE" w:rsidRDefault="00432271" w:rsidP="00432271">
            <w:pPr>
              <w:rPr>
                <w:rFonts w:ascii="SWISS" w:hAnsi="SWISS" w:cs="Arial"/>
                <w:bCs/>
                <w:color w:val="000000"/>
                <w:sz w:val="20"/>
                <w:szCs w:val="20"/>
              </w:rPr>
            </w:pPr>
          </w:p>
        </w:tc>
        <w:tc>
          <w:tcPr>
            <w:tcW w:w="4950" w:type="dxa"/>
            <w:gridSpan w:val="2"/>
            <w:tcBorders>
              <w:top w:val="single" w:sz="8" w:space="0" w:color="auto"/>
              <w:left w:val="nil"/>
              <w:bottom w:val="nil"/>
              <w:right w:val="nil"/>
            </w:tcBorders>
            <w:shd w:val="clear" w:color="auto" w:fill="auto"/>
            <w:noWrap/>
            <w:vAlign w:val="center"/>
            <w:hideMark/>
          </w:tcPr>
          <w:p w:rsidR="00432271" w:rsidRPr="00006CBE" w:rsidRDefault="00432271" w:rsidP="00432271">
            <w:pPr>
              <w:rPr>
                <w:rFonts w:ascii="SWISS" w:hAnsi="SWISS" w:cs="Arial"/>
                <w:bCs/>
                <w:color w:val="000000"/>
                <w:sz w:val="20"/>
                <w:szCs w:val="20"/>
              </w:rPr>
            </w:pPr>
          </w:p>
        </w:tc>
        <w:tc>
          <w:tcPr>
            <w:tcW w:w="1350" w:type="dxa"/>
            <w:tcBorders>
              <w:top w:val="single" w:sz="8" w:space="0" w:color="auto"/>
              <w:left w:val="nil"/>
              <w:bottom w:val="nil"/>
              <w:right w:val="nil"/>
            </w:tcBorders>
            <w:shd w:val="clear" w:color="auto" w:fill="auto"/>
            <w:noWrap/>
            <w:vAlign w:val="center"/>
            <w:hideMark/>
          </w:tcPr>
          <w:p w:rsidR="00432271" w:rsidRPr="00006CBE" w:rsidRDefault="00432271" w:rsidP="00432271">
            <w:pPr>
              <w:rPr>
                <w:rFonts w:ascii="SWISS" w:hAnsi="SWISS" w:cs="Arial"/>
                <w:bCs/>
                <w:color w:val="000000"/>
                <w:sz w:val="20"/>
                <w:szCs w:val="20"/>
              </w:rPr>
            </w:pPr>
          </w:p>
        </w:tc>
        <w:tc>
          <w:tcPr>
            <w:tcW w:w="1278" w:type="dxa"/>
            <w:tcBorders>
              <w:top w:val="single" w:sz="8" w:space="0" w:color="auto"/>
              <w:left w:val="nil"/>
              <w:bottom w:val="nil"/>
              <w:right w:val="single" w:sz="8" w:space="0" w:color="auto"/>
            </w:tcBorders>
            <w:shd w:val="clear" w:color="auto" w:fill="auto"/>
            <w:noWrap/>
            <w:vAlign w:val="center"/>
            <w:hideMark/>
          </w:tcPr>
          <w:p w:rsidR="00432271" w:rsidRPr="00006CBE" w:rsidRDefault="00432271" w:rsidP="00432271">
            <w:pPr>
              <w:rPr>
                <w:rFonts w:ascii="SWISS" w:hAnsi="SWISS" w:cs="Arial"/>
                <w:bCs/>
                <w:color w:val="000000"/>
                <w:sz w:val="20"/>
                <w:szCs w:val="20"/>
              </w:rPr>
            </w:pPr>
            <w:r w:rsidRPr="00006CBE">
              <w:rPr>
                <w:rFonts w:ascii="SWISS" w:hAnsi="SWISS" w:cs="Arial"/>
                <w:bCs/>
                <w:color w:val="000000"/>
                <w:sz w:val="20"/>
                <w:szCs w:val="20"/>
              </w:rPr>
              <w:t> </w:t>
            </w:r>
          </w:p>
        </w:tc>
      </w:tr>
      <w:tr w:rsidR="00432271" w:rsidRPr="00006CBE" w:rsidTr="00BF5E15">
        <w:trPr>
          <w:trHeight w:val="312"/>
          <w:jc w:val="center"/>
        </w:trPr>
        <w:tc>
          <w:tcPr>
            <w:tcW w:w="815" w:type="dxa"/>
            <w:tcBorders>
              <w:top w:val="nil"/>
              <w:left w:val="single" w:sz="8" w:space="0" w:color="auto"/>
              <w:bottom w:val="nil"/>
              <w:right w:val="nil"/>
            </w:tcBorders>
            <w:shd w:val="clear" w:color="auto" w:fill="auto"/>
            <w:noWrap/>
            <w:vAlign w:val="center"/>
          </w:tcPr>
          <w:p w:rsidR="00432271" w:rsidRPr="00006CBE" w:rsidRDefault="00432271" w:rsidP="00432271">
            <w:pPr>
              <w:jc w:val="center"/>
              <w:rPr>
                <w:rFonts w:ascii="SWISS" w:hAnsi="SWISS" w:cs="Arial"/>
                <w:bCs/>
                <w:color w:val="000000"/>
                <w:sz w:val="20"/>
                <w:szCs w:val="20"/>
              </w:rPr>
            </w:pPr>
            <w:r w:rsidRPr="00006CBE">
              <w:rPr>
                <w:rFonts w:ascii="SWISS" w:hAnsi="SWISS" w:cs="Arial"/>
                <w:bCs/>
                <w:color w:val="000000"/>
                <w:sz w:val="20"/>
                <w:szCs w:val="20"/>
              </w:rPr>
              <w:t>303</w:t>
            </w:r>
          </w:p>
        </w:tc>
        <w:tc>
          <w:tcPr>
            <w:tcW w:w="1080" w:type="dxa"/>
            <w:tcBorders>
              <w:top w:val="nil"/>
              <w:left w:val="nil"/>
              <w:bottom w:val="nil"/>
              <w:right w:val="nil"/>
            </w:tcBorders>
            <w:shd w:val="clear" w:color="auto" w:fill="auto"/>
            <w:noWrap/>
            <w:vAlign w:val="center"/>
            <w:hideMark/>
          </w:tcPr>
          <w:p w:rsidR="00432271" w:rsidRPr="00006CBE" w:rsidRDefault="00432271" w:rsidP="00432271">
            <w:pPr>
              <w:jc w:val="center"/>
              <w:rPr>
                <w:rFonts w:ascii="SWISS" w:hAnsi="SWISS" w:cs="Arial"/>
                <w:bCs/>
                <w:color w:val="000000"/>
                <w:sz w:val="20"/>
                <w:szCs w:val="20"/>
              </w:rPr>
            </w:pPr>
            <w:r w:rsidRPr="00006CBE">
              <w:rPr>
                <w:rFonts w:ascii="SWISS" w:hAnsi="SWISS" w:cs="Arial"/>
                <w:bCs/>
                <w:color w:val="000000"/>
                <w:sz w:val="20"/>
                <w:szCs w:val="20"/>
              </w:rPr>
              <w:t>0.00%</w:t>
            </w:r>
          </w:p>
        </w:tc>
        <w:tc>
          <w:tcPr>
            <w:tcW w:w="4950" w:type="dxa"/>
            <w:gridSpan w:val="2"/>
            <w:tcBorders>
              <w:top w:val="nil"/>
              <w:left w:val="nil"/>
              <w:bottom w:val="nil"/>
              <w:right w:val="nil"/>
            </w:tcBorders>
            <w:shd w:val="clear" w:color="auto" w:fill="auto"/>
            <w:noWrap/>
            <w:vAlign w:val="center"/>
            <w:hideMark/>
          </w:tcPr>
          <w:p w:rsidR="00432271" w:rsidRPr="00006CBE" w:rsidRDefault="00432271" w:rsidP="00432271">
            <w:pPr>
              <w:rPr>
                <w:rFonts w:ascii="SWISS" w:hAnsi="SWISS" w:cs="Arial"/>
                <w:bCs/>
                <w:color w:val="000000"/>
                <w:sz w:val="20"/>
                <w:szCs w:val="20"/>
              </w:rPr>
            </w:pPr>
            <w:r w:rsidRPr="00006CBE">
              <w:rPr>
                <w:rFonts w:ascii="SWISS" w:hAnsi="SWISS" w:cs="Arial"/>
                <w:bCs/>
                <w:color w:val="000000"/>
                <w:sz w:val="20"/>
                <w:szCs w:val="20"/>
              </w:rPr>
              <w:t xml:space="preserve">LAND AND LAND </w:t>
            </w:r>
            <w:r>
              <w:rPr>
                <w:rFonts w:ascii="SWISS" w:hAnsi="SWISS" w:cs="Arial"/>
                <w:bCs/>
                <w:color w:val="000000"/>
                <w:sz w:val="20"/>
                <w:szCs w:val="20"/>
              </w:rPr>
              <w:t>R</w:t>
            </w:r>
            <w:r w:rsidRPr="00006CBE">
              <w:rPr>
                <w:rFonts w:ascii="SWISS" w:hAnsi="SWISS" w:cs="Arial"/>
                <w:bCs/>
                <w:color w:val="000000"/>
                <w:sz w:val="20"/>
                <w:szCs w:val="20"/>
              </w:rPr>
              <w:t>IGHTS (NON-DEPR</w:t>
            </w:r>
            <w:r>
              <w:rPr>
                <w:rFonts w:ascii="SWISS" w:hAnsi="SWISS" w:cs="Arial"/>
                <w:bCs/>
                <w:color w:val="000000"/>
                <w:sz w:val="20"/>
                <w:szCs w:val="20"/>
              </w:rPr>
              <w:t>E</w:t>
            </w:r>
            <w:r w:rsidRPr="00006CBE">
              <w:rPr>
                <w:rFonts w:ascii="SWISS" w:hAnsi="SWISS" w:cs="Arial"/>
                <w:bCs/>
                <w:color w:val="000000"/>
                <w:sz w:val="20"/>
                <w:szCs w:val="20"/>
              </w:rPr>
              <w:t>CIABLE)</w:t>
            </w:r>
          </w:p>
        </w:tc>
        <w:tc>
          <w:tcPr>
            <w:tcW w:w="1350" w:type="dxa"/>
            <w:tcBorders>
              <w:top w:val="nil"/>
              <w:left w:val="nil"/>
              <w:bottom w:val="nil"/>
              <w:right w:val="nil"/>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r w:rsidRPr="00006CBE">
              <w:rPr>
                <w:rFonts w:ascii="SWISS" w:hAnsi="SWISS" w:cs="Arial"/>
                <w:bCs/>
                <w:color w:val="000000"/>
                <w:sz w:val="20"/>
                <w:szCs w:val="20"/>
              </w:rPr>
              <w:t>$</w:t>
            </w:r>
            <w:r>
              <w:rPr>
                <w:rFonts w:ascii="SWISS" w:hAnsi="SWISS" w:cs="Arial"/>
                <w:bCs/>
                <w:color w:val="000000"/>
                <w:sz w:val="20"/>
                <w:szCs w:val="20"/>
              </w:rPr>
              <w:t>500</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r w:rsidRPr="00006CBE">
              <w:rPr>
                <w:rFonts w:ascii="SWISS" w:hAnsi="SWISS" w:cs="Arial"/>
                <w:bCs/>
                <w:color w:val="000000"/>
                <w:sz w:val="20"/>
                <w:szCs w:val="20"/>
              </w:rPr>
              <w:t>$</w:t>
            </w:r>
            <w:r>
              <w:rPr>
                <w:rFonts w:ascii="SWISS" w:hAnsi="SWISS" w:cs="Arial"/>
                <w:bCs/>
                <w:color w:val="000000"/>
                <w:sz w:val="20"/>
                <w:szCs w:val="20"/>
              </w:rPr>
              <w:t>0</w:t>
            </w:r>
            <w:r w:rsidRPr="00006CBE">
              <w:rPr>
                <w:rFonts w:ascii="SWISS" w:hAnsi="SWISS" w:cs="Arial"/>
                <w:bCs/>
                <w:color w:val="000000"/>
                <w:sz w:val="20"/>
                <w:szCs w:val="20"/>
              </w:rPr>
              <w:t xml:space="preserve"> </w:t>
            </w:r>
          </w:p>
        </w:tc>
      </w:tr>
      <w:tr w:rsidR="00432271" w:rsidRPr="00006CBE" w:rsidTr="00BF5E15">
        <w:trPr>
          <w:trHeight w:val="312"/>
          <w:jc w:val="center"/>
        </w:trPr>
        <w:tc>
          <w:tcPr>
            <w:tcW w:w="815" w:type="dxa"/>
            <w:tcBorders>
              <w:top w:val="nil"/>
              <w:left w:val="single" w:sz="8" w:space="0" w:color="auto"/>
              <w:bottom w:val="nil"/>
              <w:right w:val="nil"/>
            </w:tcBorders>
            <w:shd w:val="clear" w:color="auto" w:fill="auto"/>
            <w:noWrap/>
            <w:vAlign w:val="center"/>
          </w:tcPr>
          <w:p w:rsidR="00432271" w:rsidRPr="00006CBE" w:rsidRDefault="00432271" w:rsidP="00432271">
            <w:pPr>
              <w:jc w:val="center"/>
              <w:rPr>
                <w:rFonts w:ascii="SWISS" w:hAnsi="SWISS" w:cs="Arial"/>
                <w:bCs/>
                <w:color w:val="000000"/>
                <w:sz w:val="20"/>
                <w:szCs w:val="20"/>
              </w:rPr>
            </w:pPr>
            <w:r w:rsidRPr="00006CBE">
              <w:rPr>
                <w:rFonts w:ascii="SWISS" w:hAnsi="SWISS" w:cs="Arial"/>
                <w:bCs/>
                <w:color w:val="000000"/>
                <w:sz w:val="20"/>
                <w:szCs w:val="20"/>
              </w:rPr>
              <w:t>304</w:t>
            </w:r>
          </w:p>
        </w:tc>
        <w:tc>
          <w:tcPr>
            <w:tcW w:w="1080" w:type="dxa"/>
            <w:tcBorders>
              <w:top w:val="nil"/>
              <w:left w:val="nil"/>
              <w:bottom w:val="nil"/>
              <w:right w:val="nil"/>
            </w:tcBorders>
            <w:shd w:val="clear" w:color="auto" w:fill="auto"/>
            <w:noWrap/>
            <w:vAlign w:val="center"/>
            <w:hideMark/>
          </w:tcPr>
          <w:p w:rsidR="00432271" w:rsidRPr="00006CBE" w:rsidRDefault="00432271" w:rsidP="00432271">
            <w:pPr>
              <w:jc w:val="center"/>
              <w:rPr>
                <w:rFonts w:ascii="SWISS" w:hAnsi="SWISS" w:cs="Arial"/>
                <w:bCs/>
                <w:color w:val="000000"/>
                <w:sz w:val="20"/>
                <w:szCs w:val="20"/>
              </w:rPr>
            </w:pPr>
            <w:r w:rsidRPr="00006CBE">
              <w:rPr>
                <w:rFonts w:ascii="SWISS" w:hAnsi="SWISS" w:cs="Arial"/>
                <w:bCs/>
                <w:color w:val="000000"/>
                <w:sz w:val="20"/>
                <w:szCs w:val="20"/>
              </w:rPr>
              <w:t>3.70%</w:t>
            </w:r>
          </w:p>
        </w:tc>
        <w:tc>
          <w:tcPr>
            <w:tcW w:w="4950" w:type="dxa"/>
            <w:gridSpan w:val="2"/>
            <w:tcBorders>
              <w:top w:val="nil"/>
              <w:left w:val="nil"/>
              <w:bottom w:val="nil"/>
              <w:right w:val="nil"/>
            </w:tcBorders>
            <w:shd w:val="clear" w:color="auto" w:fill="auto"/>
            <w:noWrap/>
            <w:vAlign w:val="center"/>
            <w:hideMark/>
          </w:tcPr>
          <w:p w:rsidR="00432271" w:rsidRPr="00006CBE" w:rsidRDefault="00432271" w:rsidP="00432271">
            <w:pPr>
              <w:rPr>
                <w:rFonts w:ascii="SWISS" w:hAnsi="SWISS" w:cs="Arial"/>
                <w:bCs/>
                <w:color w:val="000000"/>
                <w:sz w:val="20"/>
                <w:szCs w:val="20"/>
              </w:rPr>
            </w:pPr>
            <w:r w:rsidRPr="00006CBE">
              <w:rPr>
                <w:rFonts w:ascii="SWISS" w:hAnsi="SWISS" w:cs="Arial"/>
                <w:bCs/>
                <w:color w:val="000000"/>
                <w:sz w:val="20"/>
                <w:szCs w:val="20"/>
              </w:rPr>
              <w:t>STRUCTURES AND IMPROVEMENTS</w:t>
            </w:r>
          </w:p>
        </w:tc>
        <w:tc>
          <w:tcPr>
            <w:tcW w:w="1350" w:type="dxa"/>
            <w:tcBorders>
              <w:top w:val="nil"/>
              <w:left w:val="nil"/>
              <w:bottom w:val="nil"/>
              <w:right w:val="nil"/>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r>
              <w:rPr>
                <w:rFonts w:ascii="SWISS" w:hAnsi="SWISS" w:cs="Arial"/>
                <w:bCs/>
                <w:color w:val="000000"/>
                <w:sz w:val="20"/>
                <w:szCs w:val="20"/>
              </w:rPr>
              <w:t>519</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r>
              <w:rPr>
                <w:rFonts w:ascii="SWISS" w:hAnsi="SWISS" w:cs="Arial"/>
                <w:bCs/>
                <w:color w:val="000000"/>
                <w:sz w:val="20"/>
                <w:szCs w:val="20"/>
              </w:rPr>
              <w:t>67</w:t>
            </w:r>
            <w:r w:rsidRPr="00006CBE">
              <w:rPr>
                <w:rFonts w:ascii="SWISS" w:hAnsi="SWISS" w:cs="Arial"/>
                <w:bCs/>
                <w:color w:val="000000"/>
                <w:sz w:val="20"/>
                <w:szCs w:val="20"/>
              </w:rPr>
              <w:t xml:space="preserve"> </w:t>
            </w:r>
          </w:p>
        </w:tc>
      </w:tr>
      <w:tr w:rsidR="00432271" w:rsidRPr="00006CBE" w:rsidTr="00BF5E15">
        <w:trPr>
          <w:trHeight w:val="312"/>
          <w:jc w:val="center"/>
        </w:trPr>
        <w:tc>
          <w:tcPr>
            <w:tcW w:w="815" w:type="dxa"/>
            <w:tcBorders>
              <w:top w:val="nil"/>
              <w:left w:val="single" w:sz="8" w:space="0" w:color="auto"/>
              <w:bottom w:val="nil"/>
              <w:right w:val="nil"/>
            </w:tcBorders>
            <w:shd w:val="clear" w:color="auto" w:fill="auto"/>
            <w:noWrap/>
            <w:vAlign w:val="center"/>
          </w:tcPr>
          <w:p w:rsidR="00432271" w:rsidRPr="00006CBE" w:rsidRDefault="00432271" w:rsidP="00432271">
            <w:pPr>
              <w:jc w:val="center"/>
              <w:rPr>
                <w:rFonts w:ascii="SWISS" w:hAnsi="SWISS" w:cs="Arial"/>
                <w:bCs/>
                <w:color w:val="000000"/>
                <w:sz w:val="20"/>
                <w:szCs w:val="20"/>
              </w:rPr>
            </w:pPr>
            <w:r w:rsidRPr="00006CBE">
              <w:rPr>
                <w:rFonts w:ascii="SWISS" w:hAnsi="SWISS" w:cs="Arial"/>
                <w:bCs/>
                <w:color w:val="000000"/>
                <w:sz w:val="20"/>
                <w:szCs w:val="20"/>
              </w:rPr>
              <w:t>307</w:t>
            </w:r>
          </w:p>
        </w:tc>
        <w:tc>
          <w:tcPr>
            <w:tcW w:w="1080" w:type="dxa"/>
            <w:tcBorders>
              <w:top w:val="nil"/>
              <w:left w:val="nil"/>
              <w:bottom w:val="nil"/>
              <w:right w:val="nil"/>
            </w:tcBorders>
            <w:shd w:val="clear" w:color="auto" w:fill="auto"/>
            <w:noWrap/>
            <w:vAlign w:val="center"/>
          </w:tcPr>
          <w:p w:rsidR="00432271" w:rsidRPr="00006CBE" w:rsidRDefault="00432271" w:rsidP="00432271">
            <w:pPr>
              <w:jc w:val="center"/>
              <w:rPr>
                <w:rFonts w:ascii="SWISS" w:hAnsi="SWISS" w:cs="Arial"/>
                <w:bCs/>
                <w:color w:val="000000"/>
                <w:sz w:val="20"/>
                <w:szCs w:val="20"/>
              </w:rPr>
            </w:pPr>
            <w:r w:rsidRPr="00006CBE">
              <w:rPr>
                <w:rFonts w:ascii="SWISS" w:hAnsi="SWISS" w:cs="Arial"/>
                <w:bCs/>
                <w:color w:val="000000"/>
                <w:sz w:val="20"/>
                <w:szCs w:val="20"/>
              </w:rPr>
              <w:t>3.70%</w:t>
            </w:r>
          </w:p>
        </w:tc>
        <w:tc>
          <w:tcPr>
            <w:tcW w:w="4950" w:type="dxa"/>
            <w:gridSpan w:val="2"/>
            <w:tcBorders>
              <w:top w:val="nil"/>
              <w:left w:val="nil"/>
              <w:bottom w:val="nil"/>
              <w:right w:val="nil"/>
            </w:tcBorders>
            <w:shd w:val="clear" w:color="auto" w:fill="auto"/>
            <w:noWrap/>
            <w:vAlign w:val="center"/>
          </w:tcPr>
          <w:p w:rsidR="00432271" w:rsidRPr="00006CBE" w:rsidRDefault="00432271" w:rsidP="00432271">
            <w:pPr>
              <w:rPr>
                <w:rFonts w:ascii="SWISS" w:hAnsi="SWISS" w:cs="Arial"/>
                <w:bCs/>
                <w:color w:val="000000"/>
                <w:sz w:val="20"/>
                <w:szCs w:val="20"/>
              </w:rPr>
            </w:pPr>
            <w:r w:rsidRPr="00006CBE">
              <w:rPr>
                <w:rFonts w:ascii="SWISS" w:hAnsi="SWISS" w:cs="Arial"/>
                <w:bCs/>
                <w:color w:val="000000"/>
                <w:sz w:val="20"/>
                <w:szCs w:val="20"/>
              </w:rPr>
              <w:t>WELLS AND SPRINGS</w:t>
            </w:r>
          </w:p>
        </w:tc>
        <w:tc>
          <w:tcPr>
            <w:tcW w:w="1350" w:type="dxa"/>
            <w:tcBorders>
              <w:top w:val="nil"/>
              <w:left w:val="nil"/>
              <w:bottom w:val="nil"/>
              <w:right w:val="nil"/>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r>
              <w:rPr>
                <w:rFonts w:ascii="SWISS" w:hAnsi="SWISS" w:cs="Arial"/>
                <w:bCs/>
                <w:color w:val="000000"/>
                <w:sz w:val="20"/>
                <w:szCs w:val="20"/>
              </w:rPr>
              <w:t>6</w:t>
            </w:r>
            <w:r w:rsidRPr="00006CBE">
              <w:rPr>
                <w:rFonts w:ascii="SWISS" w:hAnsi="SWISS" w:cs="Arial"/>
                <w:bCs/>
                <w:color w:val="000000"/>
                <w:sz w:val="20"/>
                <w:szCs w:val="20"/>
              </w:rPr>
              <w:t>,</w:t>
            </w:r>
            <w:r>
              <w:rPr>
                <w:rFonts w:ascii="SWISS" w:hAnsi="SWISS" w:cs="Arial"/>
                <w:bCs/>
                <w:color w:val="000000"/>
                <w:sz w:val="20"/>
                <w:szCs w:val="20"/>
              </w:rPr>
              <w:t>987</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r>
              <w:rPr>
                <w:rFonts w:ascii="SWISS" w:hAnsi="SWISS" w:cs="Arial"/>
                <w:bCs/>
                <w:color w:val="000000"/>
                <w:sz w:val="20"/>
                <w:szCs w:val="20"/>
              </w:rPr>
              <w:t>6,987</w:t>
            </w:r>
            <w:r w:rsidRPr="00006CBE">
              <w:rPr>
                <w:rFonts w:ascii="SWISS" w:hAnsi="SWISS" w:cs="Arial"/>
                <w:bCs/>
                <w:color w:val="000000"/>
                <w:sz w:val="20"/>
                <w:szCs w:val="20"/>
              </w:rPr>
              <w:t xml:space="preserve"> </w:t>
            </w:r>
          </w:p>
        </w:tc>
      </w:tr>
      <w:tr w:rsidR="00432271" w:rsidRPr="00006CBE" w:rsidTr="00BF5E15">
        <w:trPr>
          <w:trHeight w:val="312"/>
          <w:jc w:val="center"/>
        </w:trPr>
        <w:tc>
          <w:tcPr>
            <w:tcW w:w="815" w:type="dxa"/>
            <w:tcBorders>
              <w:top w:val="nil"/>
              <w:left w:val="single" w:sz="8" w:space="0" w:color="auto"/>
              <w:bottom w:val="nil"/>
              <w:right w:val="nil"/>
            </w:tcBorders>
            <w:shd w:val="clear" w:color="auto" w:fill="auto"/>
            <w:noWrap/>
            <w:vAlign w:val="center"/>
          </w:tcPr>
          <w:p w:rsidR="00432271" w:rsidRPr="00006CBE" w:rsidRDefault="00432271" w:rsidP="00432271">
            <w:pPr>
              <w:jc w:val="center"/>
              <w:rPr>
                <w:rFonts w:ascii="SWISS" w:hAnsi="SWISS" w:cs="Arial"/>
                <w:bCs/>
                <w:color w:val="000000"/>
                <w:sz w:val="20"/>
                <w:szCs w:val="20"/>
              </w:rPr>
            </w:pPr>
            <w:r w:rsidRPr="00006CBE">
              <w:rPr>
                <w:rFonts w:ascii="SWISS" w:hAnsi="SWISS" w:cs="Arial"/>
                <w:bCs/>
                <w:color w:val="000000"/>
                <w:sz w:val="20"/>
                <w:szCs w:val="20"/>
              </w:rPr>
              <w:t>309</w:t>
            </w:r>
          </w:p>
        </w:tc>
        <w:tc>
          <w:tcPr>
            <w:tcW w:w="1080" w:type="dxa"/>
            <w:tcBorders>
              <w:top w:val="nil"/>
              <w:left w:val="nil"/>
              <w:bottom w:val="nil"/>
              <w:right w:val="nil"/>
            </w:tcBorders>
            <w:shd w:val="clear" w:color="auto" w:fill="auto"/>
            <w:noWrap/>
            <w:vAlign w:val="center"/>
          </w:tcPr>
          <w:p w:rsidR="00432271" w:rsidRPr="00006CBE" w:rsidRDefault="00432271" w:rsidP="00432271">
            <w:pPr>
              <w:jc w:val="center"/>
              <w:rPr>
                <w:rFonts w:ascii="SWISS" w:hAnsi="SWISS" w:cs="Arial"/>
                <w:bCs/>
                <w:color w:val="000000"/>
                <w:sz w:val="20"/>
                <w:szCs w:val="20"/>
              </w:rPr>
            </w:pPr>
            <w:r w:rsidRPr="00006CBE">
              <w:rPr>
                <w:rFonts w:ascii="SWISS" w:hAnsi="SWISS" w:cs="Arial"/>
                <w:bCs/>
                <w:color w:val="000000"/>
                <w:sz w:val="20"/>
                <w:szCs w:val="20"/>
              </w:rPr>
              <w:t>3.13%</w:t>
            </w:r>
          </w:p>
        </w:tc>
        <w:tc>
          <w:tcPr>
            <w:tcW w:w="4950" w:type="dxa"/>
            <w:gridSpan w:val="2"/>
            <w:tcBorders>
              <w:top w:val="nil"/>
              <w:left w:val="nil"/>
              <w:bottom w:val="nil"/>
              <w:right w:val="nil"/>
            </w:tcBorders>
            <w:shd w:val="clear" w:color="auto" w:fill="auto"/>
            <w:noWrap/>
            <w:vAlign w:val="center"/>
          </w:tcPr>
          <w:p w:rsidR="00432271" w:rsidRPr="00006CBE" w:rsidRDefault="00432271" w:rsidP="00432271">
            <w:pPr>
              <w:rPr>
                <w:rFonts w:ascii="SWISS" w:hAnsi="SWISS" w:cs="Arial"/>
                <w:bCs/>
                <w:color w:val="000000"/>
                <w:sz w:val="20"/>
                <w:szCs w:val="20"/>
              </w:rPr>
            </w:pPr>
            <w:r w:rsidRPr="00006CBE">
              <w:rPr>
                <w:rFonts w:ascii="SWISS" w:hAnsi="SWISS" w:cs="Arial"/>
                <w:bCs/>
                <w:color w:val="000000"/>
                <w:sz w:val="20"/>
                <w:szCs w:val="20"/>
              </w:rPr>
              <w:t>SUPPLY MAINS</w:t>
            </w:r>
          </w:p>
        </w:tc>
        <w:tc>
          <w:tcPr>
            <w:tcW w:w="1350" w:type="dxa"/>
            <w:tcBorders>
              <w:top w:val="nil"/>
              <w:left w:val="nil"/>
              <w:bottom w:val="nil"/>
              <w:right w:val="nil"/>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r>
              <w:rPr>
                <w:rFonts w:ascii="SWISS" w:hAnsi="SWISS" w:cs="Arial"/>
                <w:bCs/>
                <w:color w:val="000000"/>
                <w:sz w:val="20"/>
                <w:szCs w:val="20"/>
              </w:rPr>
              <w:t>237</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r>
              <w:rPr>
                <w:rFonts w:ascii="SWISS" w:hAnsi="SWISS" w:cs="Arial"/>
                <w:bCs/>
                <w:color w:val="000000"/>
                <w:sz w:val="20"/>
                <w:szCs w:val="20"/>
              </w:rPr>
              <w:t>33</w:t>
            </w:r>
            <w:r w:rsidRPr="00006CBE">
              <w:rPr>
                <w:rFonts w:ascii="SWISS" w:hAnsi="SWISS" w:cs="Arial"/>
                <w:bCs/>
                <w:color w:val="000000"/>
                <w:sz w:val="20"/>
                <w:szCs w:val="20"/>
              </w:rPr>
              <w:t xml:space="preserve"> </w:t>
            </w:r>
          </w:p>
        </w:tc>
      </w:tr>
      <w:tr w:rsidR="00432271" w:rsidRPr="00006CBE" w:rsidTr="00BF5E15">
        <w:trPr>
          <w:trHeight w:val="312"/>
          <w:jc w:val="center"/>
        </w:trPr>
        <w:tc>
          <w:tcPr>
            <w:tcW w:w="815" w:type="dxa"/>
            <w:tcBorders>
              <w:top w:val="nil"/>
              <w:left w:val="single" w:sz="8" w:space="0" w:color="auto"/>
              <w:bottom w:val="nil"/>
              <w:right w:val="nil"/>
            </w:tcBorders>
            <w:shd w:val="clear" w:color="auto" w:fill="auto"/>
            <w:noWrap/>
            <w:vAlign w:val="center"/>
          </w:tcPr>
          <w:p w:rsidR="00432271" w:rsidRPr="00006CBE" w:rsidRDefault="00432271" w:rsidP="00432271">
            <w:pPr>
              <w:jc w:val="center"/>
              <w:rPr>
                <w:rFonts w:ascii="SWISS" w:hAnsi="SWISS" w:cs="Arial"/>
                <w:bCs/>
                <w:color w:val="000000"/>
                <w:sz w:val="20"/>
                <w:szCs w:val="20"/>
              </w:rPr>
            </w:pPr>
            <w:r w:rsidRPr="00006CBE">
              <w:rPr>
                <w:rFonts w:ascii="SWISS" w:hAnsi="SWISS" w:cs="Arial"/>
                <w:bCs/>
                <w:color w:val="000000"/>
                <w:sz w:val="20"/>
                <w:szCs w:val="20"/>
              </w:rPr>
              <w:t>311</w:t>
            </w:r>
          </w:p>
        </w:tc>
        <w:tc>
          <w:tcPr>
            <w:tcW w:w="1080" w:type="dxa"/>
            <w:tcBorders>
              <w:top w:val="nil"/>
              <w:left w:val="nil"/>
              <w:bottom w:val="nil"/>
              <w:right w:val="nil"/>
            </w:tcBorders>
            <w:shd w:val="clear" w:color="auto" w:fill="auto"/>
            <w:noWrap/>
            <w:vAlign w:val="center"/>
          </w:tcPr>
          <w:p w:rsidR="00432271" w:rsidRPr="00006CBE" w:rsidRDefault="00432271" w:rsidP="00432271">
            <w:pPr>
              <w:jc w:val="center"/>
              <w:rPr>
                <w:rFonts w:ascii="SWISS" w:hAnsi="SWISS" w:cs="Arial"/>
                <w:bCs/>
                <w:color w:val="000000"/>
                <w:sz w:val="20"/>
                <w:szCs w:val="20"/>
              </w:rPr>
            </w:pPr>
            <w:r w:rsidRPr="00006CBE">
              <w:rPr>
                <w:rFonts w:ascii="SWISS" w:hAnsi="SWISS" w:cs="Arial"/>
                <w:bCs/>
                <w:color w:val="000000"/>
                <w:sz w:val="20"/>
                <w:szCs w:val="20"/>
              </w:rPr>
              <w:t>5.88%</w:t>
            </w:r>
          </w:p>
        </w:tc>
        <w:tc>
          <w:tcPr>
            <w:tcW w:w="4950" w:type="dxa"/>
            <w:gridSpan w:val="2"/>
            <w:tcBorders>
              <w:top w:val="nil"/>
              <w:left w:val="nil"/>
              <w:bottom w:val="nil"/>
              <w:right w:val="nil"/>
            </w:tcBorders>
            <w:shd w:val="clear" w:color="auto" w:fill="auto"/>
            <w:noWrap/>
            <w:vAlign w:val="center"/>
          </w:tcPr>
          <w:p w:rsidR="00432271" w:rsidRPr="00006CBE" w:rsidRDefault="00432271" w:rsidP="00432271">
            <w:pPr>
              <w:rPr>
                <w:rFonts w:ascii="SWISS" w:hAnsi="SWISS" w:cs="Arial"/>
                <w:bCs/>
                <w:color w:val="000000"/>
                <w:sz w:val="20"/>
                <w:szCs w:val="20"/>
              </w:rPr>
            </w:pPr>
            <w:r w:rsidRPr="00006CBE">
              <w:rPr>
                <w:rFonts w:ascii="SWISS" w:hAnsi="SWISS" w:cs="Arial"/>
                <w:bCs/>
                <w:color w:val="000000"/>
                <w:sz w:val="20"/>
                <w:szCs w:val="20"/>
              </w:rPr>
              <w:t>PUMPING EQUIPMENT</w:t>
            </w:r>
          </w:p>
        </w:tc>
        <w:tc>
          <w:tcPr>
            <w:tcW w:w="1350" w:type="dxa"/>
            <w:tcBorders>
              <w:top w:val="nil"/>
              <w:left w:val="nil"/>
              <w:bottom w:val="nil"/>
              <w:right w:val="nil"/>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r>
              <w:rPr>
                <w:rFonts w:ascii="SWISS" w:hAnsi="SWISS" w:cs="Arial"/>
                <w:bCs/>
                <w:color w:val="000000"/>
                <w:sz w:val="20"/>
                <w:szCs w:val="20"/>
              </w:rPr>
              <w:t>9</w:t>
            </w:r>
            <w:r w:rsidRPr="00006CBE">
              <w:rPr>
                <w:rFonts w:ascii="SWISS" w:hAnsi="SWISS" w:cs="Arial"/>
                <w:bCs/>
                <w:color w:val="000000"/>
                <w:sz w:val="20"/>
                <w:szCs w:val="20"/>
              </w:rPr>
              <w:t>,</w:t>
            </w:r>
            <w:r>
              <w:rPr>
                <w:rFonts w:ascii="SWISS" w:hAnsi="SWISS" w:cs="Arial"/>
                <w:bCs/>
                <w:color w:val="000000"/>
                <w:sz w:val="20"/>
                <w:szCs w:val="20"/>
              </w:rPr>
              <w:t>108</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r>
              <w:rPr>
                <w:rFonts w:ascii="SWISS" w:hAnsi="SWISS" w:cs="Arial"/>
                <w:bCs/>
                <w:color w:val="000000"/>
                <w:sz w:val="20"/>
                <w:szCs w:val="20"/>
              </w:rPr>
              <w:t>3</w:t>
            </w:r>
            <w:r w:rsidRPr="00006CBE">
              <w:rPr>
                <w:rFonts w:ascii="SWISS" w:hAnsi="SWISS" w:cs="Arial"/>
                <w:bCs/>
                <w:color w:val="000000"/>
                <w:sz w:val="20"/>
                <w:szCs w:val="20"/>
              </w:rPr>
              <w:t>,</w:t>
            </w:r>
            <w:r>
              <w:rPr>
                <w:rFonts w:ascii="SWISS" w:hAnsi="SWISS" w:cs="Arial"/>
                <w:bCs/>
                <w:color w:val="000000"/>
                <w:sz w:val="20"/>
                <w:szCs w:val="20"/>
              </w:rPr>
              <w:t>975</w:t>
            </w:r>
            <w:r w:rsidRPr="00006CBE">
              <w:rPr>
                <w:rFonts w:ascii="SWISS" w:hAnsi="SWISS" w:cs="Arial"/>
                <w:bCs/>
                <w:color w:val="000000"/>
                <w:sz w:val="20"/>
                <w:szCs w:val="20"/>
              </w:rPr>
              <w:t xml:space="preserve"> </w:t>
            </w:r>
          </w:p>
        </w:tc>
      </w:tr>
      <w:tr w:rsidR="00432271" w:rsidRPr="00006CBE" w:rsidTr="00BF5E15">
        <w:trPr>
          <w:trHeight w:val="312"/>
          <w:jc w:val="center"/>
        </w:trPr>
        <w:tc>
          <w:tcPr>
            <w:tcW w:w="815" w:type="dxa"/>
            <w:tcBorders>
              <w:top w:val="nil"/>
              <w:left w:val="single" w:sz="8" w:space="0" w:color="auto"/>
              <w:bottom w:val="nil"/>
              <w:right w:val="nil"/>
            </w:tcBorders>
            <w:shd w:val="clear" w:color="auto" w:fill="auto"/>
            <w:noWrap/>
            <w:vAlign w:val="center"/>
          </w:tcPr>
          <w:p w:rsidR="00432271" w:rsidRPr="00006CBE" w:rsidRDefault="00432271" w:rsidP="00432271">
            <w:pPr>
              <w:jc w:val="center"/>
              <w:rPr>
                <w:rFonts w:ascii="SWISS" w:hAnsi="SWISS" w:cs="Arial"/>
                <w:bCs/>
                <w:color w:val="000000"/>
                <w:sz w:val="20"/>
                <w:szCs w:val="20"/>
              </w:rPr>
            </w:pPr>
            <w:r w:rsidRPr="00006CBE">
              <w:rPr>
                <w:rFonts w:ascii="SWISS" w:hAnsi="SWISS" w:cs="Arial"/>
                <w:bCs/>
                <w:color w:val="000000"/>
                <w:sz w:val="20"/>
                <w:szCs w:val="20"/>
              </w:rPr>
              <w:t>320</w:t>
            </w:r>
          </w:p>
        </w:tc>
        <w:tc>
          <w:tcPr>
            <w:tcW w:w="1080" w:type="dxa"/>
            <w:tcBorders>
              <w:top w:val="nil"/>
              <w:left w:val="nil"/>
              <w:bottom w:val="nil"/>
              <w:right w:val="nil"/>
            </w:tcBorders>
            <w:shd w:val="clear" w:color="auto" w:fill="auto"/>
            <w:noWrap/>
            <w:vAlign w:val="center"/>
          </w:tcPr>
          <w:p w:rsidR="00432271" w:rsidRPr="00006CBE" w:rsidRDefault="00432271" w:rsidP="00432271">
            <w:pPr>
              <w:jc w:val="center"/>
              <w:rPr>
                <w:rFonts w:ascii="SWISS" w:hAnsi="SWISS" w:cs="Arial"/>
                <w:bCs/>
                <w:color w:val="000000"/>
                <w:sz w:val="20"/>
                <w:szCs w:val="20"/>
              </w:rPr>
            </w:pPr>
            <w:r w:rsidRPr="00006CBE">
              <w:rPr>
                <w:rFonts w:ascii="SWISS" w:hAnsi="SWISS" w:cs="Arial"/>
                <w:bCs/>
                <w:color w:val="000000"/>
                <w:sz w:val="20"/>
                <w:szCs w:val="20"/>
              </w:rPr>
              <w:t>5.88%</w:t>
            </w:r>
          </w:p>
        </w:tc>
        <w:tc>
          <w:tcPr>
            <w:tcW w:w="4950" w:type="dxa"/>
            <w:gridSpan w:val="2"/>
            <w:tcBorders>
              <w:top w:val="nil"/>
              <w:left w:val="nil"/>
              <w:bottom w:val="nil"/>
              <w:right w:val="nil"/>
            </w:tcBorders>
            <w:shd w:val="clear" w:color="auto" w:fill="auto"/>
            <w:noWrap/>
            <w:vAlign w:val="center"/>
          </w:tcPr>
          <w:p w:rsidR="00432271" w:rsidRPr="00006CBE" w:rsidRDefault="00432271" w:rsidP="00432271">
            <w:pPr>
              <w:rPr>
                <w:rFonts w:ascii="SWISS" w:hAnsi="SWISS" w:cs="Arial"/>
                <w:bCs/>
                <w:color w:val="000000"/>
                <w:sz w:val="20"/>
                <w:szCs w:val="20"/>
              </w:rPr>
            </w:pPr>
            <w:r w:rsidRPr="00006CBE">
              <w:rPr>
                <w:rFonts w:ascii="SWISS" w:hAnsi="SWISS" w:cs="Arial"/>
                <w:bCs/>
                <w:color w:val="000000"/>
                <w:sz w:val="20"/>
                <w:szCs w:val="20"/>
              </w:rPr>
              <w:t>WATER TREATMENT EQUIPMENT</w:t>
            </w:r>
          </w:p>
        </w:tc>
        <w:tc>
          <w:tcPr>
            <w:tcW w:w="1350" w:type="dxa"/>
            <w:tcBorders>
              <w:top w:val="nil"/>
              <w:left w:val="nil"/>
              <w:bottom w:val="nil"/>
              <w:right w:val="nil"/>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r>
              <w:rPr>
                <w:rFonts w:ascii="SWISS" w:hAnsi="SWISS" w:cs="Arial"/>
                <w:bCs/>
                <w:color w:val="000000"/>
                <w:sz w:val="20"/>
                <w:szCs w:val="20"/>
              </w:rPr>
              <w:t>220</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r>
              <w:rPr>
                <w:rFonts w:ascii="SWISS" w:hAnsi="SWISS" w:cs="Arial"/>
                <w:bCs/>
                <w:color w:val="000000"/>
                <w:sz w:val="20"/>
                <w:szCs w:val="20"/>
              </w:rPr>
              <w:t>220</w:t>
            </w:r>
            <w:r w:rsidRPr="00006CBE">
              <w:rPr>
                <w:rFonts w:ascii="SWISS" w:hAnsi="SWISS" w:cs="Arial"/>
                <w:bCs/>
                <w:color w:val="000000"/>
                <w:sz w:val="20"/>
                <w:szCs w:val="20"/>
              </w:rPr>
              <w:t xml:space="preserve"> </w:t>
            </w:r>
          </w:p>
        </w:tc>
      </w:tr>
      <w:tr w:rsidR="00432271" w:rsidRPr="00006CBE" w:rsidTr="00BF5E15">
        <w:trPr>
          <w:trHeight w:val="312"/>
          <w:jc w:val="center"/>
        </w:trPr>
        <w:tc>
          <w:tcPr>
            <w:tcW w:w="815" w:type="dxa"/>
            <w:tcBorders>
              <w:top w:val="nil"/>
              <w:left w:val="single" w:sz="8" w:space="0" w:color="auto"/>
              <w:bottom w:val="nil"/>
              <w:right w:val="nil"/>
            </w:tcBorders>
            <w:shd w:val="clear" w:color="auto" w:fill="auto"/>
            <w:noWrap/>
            <w:vAlign w:val="center"/>
          </w:tcPr>
          <w:p w:rsidR="00432271" w:rsidRPr="00006CBE" w:rsidRDefault="00432271" w:rsidP="00432271">
            <w:pPr>
              <w:jc w:val="center"/>
              <w:rPr>
                <w:rFonts w:ascii="SWISS" w:hAnsi="SWISS" w:cs="Arial"/>
                <w:bCs/>
                <w:color w:val="000000"/>
                <w:sz w:val="20"/>
                <w:szCs w:val="20"/>
              </w:rPr>
            </w:pPr>
            <w:r w:rsidRPr="00006CBE">
              <w:rPr>
                <w:rFonts w:ascii="SWISS" w:hAnsi="SWISS" w:cs="Arial"/>
                <w:bCs/>
                <w:color w:val="000000"/>
                <w:sz w:val="20"/>
                <w:szCs w:val="20"/>
              </w:rPr>
              <w:t>330</w:t>
            </w:r>
          </w:p>
        </w:tc>
        <w:tc>
          <w:tcPr>
            <w:tcW w:w="1080" w:type="dxa"/>
            <w:tcBorders>
              <w:top w:val="nil"/>
              <w:left w:val="nil"/>
              <w:bottom w:val="nil"/>
              <w:right w:val="nil"/>
            </w:tcBorders>
            <w:shd w:val="clear" w:color="auto" w:fill="auto"/>
            <w:noWrap/>
            <w:vAlign w:val="center"/>
          </w:tcPr>
          <w:p w:rsidR="00432271" w:rsidRPr="00006CBE" w:rsidRDefault="00432271" w:rsidP="00432271">
            <w:pPr>
              <w:jc w:val="center"/>
              <w:rPr>
                <w:rFonts w:ascii="SWISS" w:hAnsi="SWISS" w:cs="Arial"/>
                <w:bCs/>
                <w:color w:val="000000"/>
                <w:sz w:val="20"/>
                <w:szCs w:val="20"/>
              </w:rPr>
            </w:pPr>
            <w:r w:rsidRPr="00006CBE">
              <w:rPr>
                <w:rFonts w:ascii="SWISS" w:hAnsi="SWISS" w:cs="Arial"/>
                <w:bCs/>
                <w:color w:val="000000"/>
                <w:sz w:val="20"/>
                <w:szCs w:val="20"/>
              </w:rPr>
              <w:t>3.03%</w:t>
            </w:r>
          </w:p>
        </w:tc>
        <w:tc>
          <w:tcPr>
            <w:tcW w:w="4950" w:type="dxa"/>
            <w:gridSpan w:val="2"/>
            <w:tcBorders>
              <w:top w:val="nil"/>
              <w:left w:val="nil"/>
              <w:bottom w:val="nil"/>
              <w:right w:val="nil"/>
            </w:tcBorders>
            <w:shd w:val="clear" w:color="auto" w:fill="auto"/>
            <w:noWrap/>
            <w:vAlign w:val="center"/>
          </w:tcPr>
          <w:p w:rsidR="00432271" w:rsidRPr="00006CBE" w:rsidRDefault="00432271" w:rsidP="00432271">
            <w:pPr>
              <w:rPr>
                <w:rFonts w:ascii="SWISS" w:hAnsi="SWISS" w:cs="Arial"/>
                <w:bCs/>
                <w:color w:val="000000"/>
                <w:sz w:val="20"/>
                <w:szCs w:val="20"/>
              </w:rPr>
            </w:pPr>
            <w:r w:rsidRPr="00006CBE">
              <w:rPr>
                <w:rFonts w:ascii="SWISS" w:hAnsi="SWISS" w:cs="Arial"/>
                <w:bCs/>
                <w:color w:val="000000"/>
                <w:sz w:val="20"/>
                <w:szCs w:val="20"/>
              </w:rPr>
              <w:t>DISTRIBUTION RESERVOIRS AND STANDPIPES</w:t>
            </w:r>
          </w:p>
        </w:tc>
        <w:tc>
          <w:tcPr>
            <w:tcW w:w="1350" w:type="dxa"/>
            <w:tcBorders>
              <w:top w:val="nil"/>
              <w:left w:val="nil"/>
              <w:bottom w:val="nil"/>
              <w:right w:val="nil"/>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r>
              <w:rPr>
                <w:rFonts w:ascii="SWISS" w:hAnsi="SWISS" w:cs="Arial"/>
                <w:bCs/>
                <w:color w:val="000000"/>
                <w:sz w:val="20"/>
                <w:szCs w:val="20"/>
              </w:rPr>
              <w:t>22</w:t>
            </w:r>
            <w:r w:rsidRPr="00006CBE">
              <w:rPr>
                <w:rFonts w:ascii="SWISS" w:hAnsi="SWISS" w:cs="Arial"/>
                <w:bCs/>
                <w:color w:val="000000"/>
                <w:sz w:val="20"/>
                <w:szCs w:val="20"/>
              </w:rPr>
              <w:t>,</w:t>
            </w:r>
            <w:r>
              <w:rPr>
                <w:rFonts w:ascii="SWISS" w:hAnsi="SWISS" w:cs="Arial"/>
                <w:bCs/>
                <w:color w:val="000000"/>
                <w:sz w:val="20"/>
                <w:szCs w:val="20"/>
              </w:rPr>
              <w:t>822</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r>
              <w:rPr>
                <w:rFonts w:ascii="SWISS" w:hAnsi="SWISS" w:cs="Arial"/>
                <w:bCs/>
                <w:color w:val="000000"/>
                <w:sz w:val="20"/>
                <w:szCs w:val="20"/>
              </w:rPr>
              <w:t>7</w:t>
            </w:r>
            <w:r w:rsidRPr="00006CBE">
              <w:rPr>
                <w:rFonts w:ascii="SWISS" w:hAnsi="SWISS" w:cs="Arial"/>
                <w:bCs/>
                <w:color w:val="000000"/>
                <w:sz w:val="20"/>
                <w:szCs w:val="20"/>
              </w:rPr>
              <w:t>,</w:t>
            </w:r>
            <w:r>
              <w:rPr>
                <w:rFonts w:ascii="SWISS" w:hAnsi="SWISS" w:cs="Arial"/>
                <w:bCs/>
                <w:color w:val="000000"/>
                <w:sz w:val="20"/>
                <w:szCs w:val="20"/>
              </w:rPr>
              <w:t>294</w:t>
            </w:r>
            <w:r w:rsidRPr="00006CBE">
              <w:rPr>
                <w:rFonts w:ascii="SWISS" w:hAnsi="SWISS" w:cs="Arial"/>
                <w:bCs/>
                <w:color w:val="000000"/>
                <w:sz w:val="20"/>
                <w:szCs w:val="20"/>
              </w:rPr>
              <w:t xml:space="preserve"> </w:t>
            </w:r>
          </w:p>
        </w:tc>
      </w:tr>
      <w:tr w:rsidR="00432271" w:rsidRPr="00006CBE" w:rsidTr="00BF5E15">
        <w:trPr>
          <w:trHeight w:val="312"/>
          <w:jc w:val="center"/>
        </w:trPr>
        <w:tc>
          <w:tcPr>
            <w:tcW w:w="815" w:type="dxa"/>
            <w:tcBorders>
              <w:top w:val="nil"/>
              <w:left w:val="single" w:sz="8" w:space="0" w:color="auto"/>
              <w:bottom w:val="nil"/>
              <w:right w:val="nil"/>
            </w:tcBorders>
            <w:shd w:val="clear" w:color="auto" w:fill="auto"/>
            <w:noWrap/>
            <w:vAlign w:val="center"/>
          </w:tcPr>
          <w:p w:rsidR="00432271" w:rsidRPr="00006CBE" w:rsidRDefault="00432271" w:rsidP="00432271">
            <w:pPr>
              <w:jc w:val="center"/>
              <w:rPr>
                <w:rFonts w:ascii="SWISS" w:hAnsi="SWISS" w:cs="Arial"/>
                <w:bCs/>
                <w:color w:val="000000"/>
                <w:sz w:val="20"/>
                <w:szCs w:val="20"/>
              </w:rPr>
            </w:pPr>
            <w:r w:rsidRPr="00006CBE">
              <w:rPr>
                <w:rFonts w:ascii="SWISS" w:hAnsi="SWISS" w:cs="Arial"/>
                <w:bCs/>
                <w:color w:val="000000"/>
                <w:sz w:val="20"/>
                <w:szCs w:val="20"/>
              </w:rPr>
              <w:t>331</w:t>
            </w:r>
          </w:p>
        </w:tc>
        <w:tc>
          <w:tcPr>
            <w:tcW w:w="1080" w:type="dxa"/>
            <w:tcBorders>
              <w:top w:val="nil"/>
              <w:left w:val="nil"/>
              <w:bottom w:val="nil"/>
              <w:right w:val="nil"/>
            </w:tcBorders>
            <w:shd w:val="clear" w:color="auto" w:fill="auto"/>
            <w:noWrap/>
            <w:vAlign w:val="center"/>
          </w:tcPr>
          <w:p w:rsidR="00432271" w:rsidRPr="00006CBE" w:rsidRDefault="00432271" w:rsidP="00432271">
            <w:pPr>
              <w:jc w:val="center"/>
              <w:rPr>
                <w:rFonts w:ascii="SWISS" w:hAnsi="SWISS" w:cs="Arial"/>
                <w:bCs/>
                <w:color w:val="000000"/>
                <w:sz w:val="20"/>
                <w:szCs w:val="20"/>
              </w:rPr>
            </w:pPr>
            <w:r w:rsidRPr="00006CBE">
              <w:rPr>
                <w:rFonts w:ascii="SWISS" w:hAnsi="SWISS" w:cs="Arial"/>
                <w:bCs/>
                <w:color w:val="000000"/>
                <w:sz w:val="20"/>
                <w:szCs w:val="20"/>
              </w:rPr>
              <w:t>2.63%</w:t>
            </w:r>
          </w:p>
        </w:tc>
        <w:tc>
          <w:tcPr>
            <w:tcW w:w="4950" w:type="dxa"/>
            <w:gridSpan w:val="2"/>
            <w:tcBorders>
              <w:top w:val="nil"/>
              <w:left w:val="nil"/>
              <w:bottom w:val="nil"/>
              <w:right w:val="nil"/>
            </w:tcBorders>
            <w:shd w:val="clear" w:color="auto" w:fill="auto"/>
            <w:noWrap/>
            <w:vAlign w:val="center"/>
          </w:tcPr>
          <w:p w:rsidR="00432271" w:rsidRPr="00006CBE" w:rsidRDefault="00432271" w:rsidP="00432271">
            <w:pPr>
              <w:rPr>
                <w:rFonts w:ascii="SWISS" w:hAnsi="SWISS" w:cs="Arial"/>
                <w:bCs/>
                <w:color w:val="000000"/>
                <w:sz w:val="20"/>
                <w:szCs w:val="20"/>
              </w:rPr>
            </w:pPr>
            <w:r w:rsidRPr="00006CBE">
              <w:rPr>
                <w:rFonts w:ascii="SWISS" w:hAnsi="SWISS" w:cs="Arial"/>
                <w:bCs/>
                <w:color w:val="000000"/>
                <w:sz w:val="20"/>
                <w:szCs w:val="20"/>
              </w:rPr>
              <w:t>TRANSMISSION AND DISTRIBUTION MAINS</w:t>
            </w:r>
          </w:p>
        </w:tc>
        <w:tc>
          <w:tcPr>
            <w:tcW w:w="1350" w:type="dxa"/>
            <w:tcBorders>
              <w:top w:val="nil"/>
              <w:left w:val="nil"/>
              <w:bottom w:val="nil"/>
              <w:right w:val="nil"/>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r>
              <w:rPr>
                <w:rFonts w:ascii="SWISS" w:hAnsi="SWISS" w:cs="Arial"/>
                <w:bCs/>
                <w:color w:val="000000"/>
                <w:sz w:val="20"/>
                <w:szCs w:val="20"/>
              </w:rPr>
              <w:t>18</w:t>
            </w:r>
            <w:r w:rsidRPr="00006CBE">
              <w:rPr>
                <w:rFonts w:ascii="SWISS" w:hAnsi="SWISS" w:cs="Arial"/>
                <w:bCs/>
                <w:color w:val="000000"/>
                <w:sz w:val="20"/>
                <w:szCs w:val="20"/>
              </w:rPr>
              <w:t>,</w:t>
            </w:r>
            <w:r>
              <w:rPr>
                <w:rFonts w:ascii="SWISS" w:hAnsi="SWISS" w:cs="Arial"/>
                <w:bCs/>
                <w:color w:val="000000"/>
                <w:sz w:val="20"/>
                <w:szCs w:val="20"/>
              </w:rPr>
              <w:t>787</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r>
              <w:rPr>
                <w:rFonts w:ascii="SWISS" w:hAnsi="SWISS" w:cs="Arial"/>
                <w:bCs/>
                <w:color w:val="000000"/>
                <w:sz w:val="20"/>
                <w:szCs w:val="20"/>
              </w:rPr>
              <w:t>18</w:t>
            </w:r>
            <w:r w:rsidRPr="00006CBE">
              <w:rPr>
                <w:rFonts w:ascii="SWISS" w:hAnsi="SWISS" w:cs="Arial"/>
                <w:bCs/>
                <w:color w:val="000000"/>
                <w:sz w:val="20"/>
                <w:szCs w:val="20"/>
              </w:rPr>
              <w:t>,</w:t>
            </w:r>
            <w:r>
              <w:rPr>
                <w:rFonts w:ascii="SWISS" w:hAnsi="SWISS" w:cs="Arial"/>
                <w:bCs/>
                <w:color w:val="000000"/>
                <w:sz w:val="20"/>
                <w:szCs w:val="20"/>
              </w:rPr>
              <w:t>647</w:t>
            </w:r>
            <w:r w:rsidRPr="00006CBE">
              <w:rPr>
                <w:rFonts w:ascii="SWISS" w:hAnsi="SWISS" w:cs="Arial"/>
                <w:bCs/>
                <w:color w:val="000000"/>
                <w:sz w:val="20"/>
                <w:szCs w:val="20"/>
              </w:rPr>
              <w:t xml:space="preserve"> </w:t>
            </w:r>
          </w:p>
        </w:tc>
      </w:tr>
      <w:tr w:rsidR="00432271" w:rsidRPr="00006CBE" w:rsidTr="00BF5E15">
        <w:trPr>
          <w:trHeight w:val="312"/>
          <w:jc w:val="center"/>
        </w:trPr>
        <w:tc>
          <w:tcPr>
            <w:tcW w:w="815" w:type="dxa"/>
            <w:tcBorders>
              <w:top w:val="nil"/>
              <w:left w:val="single" w:sz="8" w:space="0" w:color="auto"/>
              <w:bottom w:val="nil"/>
              <w:right w:val="nil"/>
            </w:tcBorders>
            <w:shd w:val="clear" w:color="auto" w:fill="auto"/>
            <w:noWrap/>
            <w:vAlign w:val="center"/>
          </w:tcPr>
          <w:p w:rsidR="00432271" w:rsidRPr="00006CBE" w:rsidRDefault="00432271" w:rsidP="00432271">
            <w:pPr>
              <w:jc w:val="center"/>
              <w:rPr>
                <w:rFonts w:ascii="SWISS" w:hAnsi="SWISS" w:cs="Arial"/>
                <w:bCs/>
                <w:color w:val="000000"/>
                <w:sz w:val="20"/>
                <w:szCs w:val="20"/>
              </w:rPr>
            </w:pPr>
            <w:r w:rsidRPr="00006CBE">
              <w:rPr>
                <w:rFonts w:ascii="SWISS" w:hAnsi="SWISS" w:cs="Arial"/>
                <w:bCs/>
                <w:color w:val="000000"/>
                <w:sz w:val="20"/>
                <w:szCs w:val="20"/>
              </w:rPr>
              <w:t>334</w:t>
            </w:r>
          </w:p>
        </w:tc>
        <w:tc>
          <w:tcPr>
            <w:tcW w:w="1080" w:type="dxa"/>
            <w:tcBorders>
              <w:top w:val="nil"/>
              <w:left w:val="nil"/>
              <w:bottom w:val="nil"/>
              <w:right w:val="nil"/>
            </w:tcBorders>
            <w:shd w:val="clear" w:color="auto" w:fill="auto"/>
            <w:noWrap/>
            <w:vAlign w:val="center"/>
          </w:tcPr>
          <w:p w:rsidR="00432271" w:rsidRPr="00006CBE" w:rsidRDefault="00432271" w:rsidP="00432271">
            <w:pPr>
              <w:jc w:val="center"/>
              <w:rPr>
                <w:rFonts w:ascii="SWISS" w:hAnsi="SWISS" w:cs="Arial"/>
                <w:bCs/>
                <w:color w:val="000000"/>
                <w:sz w:val="20"/>
                <w:szCs w:val="20"/>
              </w:rPr>
            </w:pPr>
            <w:r w:rsidRPr="00006CBE">
              <w:rPr>
                <w:rFonts w:ascii="SWISS" w:hAnsi="SWISS" w:cs="Arial"/>
                <w:bCs/>
                <w:color w:val="000000"/>
                <w:sz w:val="20"/>
                <w:szCs w:val="20"/>
              </w:rPr>
              <w:t>5.88%</w:t>
            </w:r>
          </w:p>
        </w:tc>
        <w:tc>
          <w:tcPr>
            <w:tcW w:w="4950" w:type="dxa"/>
            <w:gridSpan w:val="2"/>
            <w:tcBorders>
              <w:top w:val="nil"/>
              <w:left w:val="nil"/>
              <w:bottom w:val="nil"/>
              <w:right w:val="nil"/>
            </w:tcBorders>
            <w:shd w:val="clear" w:color="auto" w:fill="auto"/>
            <w:noWrap/>
            <w:vAlign w:val="center"/>
          </w:tcPr>
          <w:p w:rsidR="00432271" w:rsidRPr="00006CBE" w:rsidRDefault="00432271" w:rsidP="00432271">
            <w:pPr>
              <w:rPr>
                <w:rFonts w:ascii="SWISS" w:hAnsi="SWISS" w:cs="Arial"/>
                <w:bCs/>
                <w:color w:val="000000"/>
                <w:sz w:val="20"/>
                <w:szCs w:val="20"/>
              </w:rPr>
            </w:pPr>
            <w:r w:rsidRPr="00006CBE">
              <w:rPr>
                <w:rFonts w:ascii="SWISS" w:hAnsi="SWISS" w:cs="Arial"/>
                <w:bCs/>
                <w:color w:val="000000"/>
                <w:sz w:val="20"/>
                <w:szCs w:val="20"/>
              </w:rPr>
              <w:t>METERS AND METER INSTALLATIONS</w:t>
            </w:r>
          </w:p>
        </w:tc>
        <w:tc>
          <w:tcPr>
            <w:tcW w:w="1350" w:type="dxa"/>
            <w:tcBorders>
              <w:top w:val="nil"/>
              <w:left w:val="nil"/>
              <w:bottom w:val="nil"/>
              <w:right w:val="nil"/>
            </w:tcBorders>
            <w:shd w:val="clear" w:color="auto" w:fill="auto"/>
            <w:noWrap/>
            <w:vAlign w:val="center"/>
            <w:hideMark/>
          </w:tcPr>
          <w:p w:rsidR="00432271" w:rsidRPr="001848E6" w:rsidRDefault="00432271" w:rsidP="00432271">
            <w:pPr>
              <w:jc w:val="right"/>
              <w:rPr>
                <w:rFonts w:ascii="SWISS" w:hAnsi="SWISS" w:cs="Arial"/>
                <w:bCs/>
                <w:color w:val="000000"/>
                <w:sz w:val="20"/>
                <w:szCs w:val="20"/>
                <w:u w:val="single"/>
              </w:rPr>
            </w:pPr>
            <w:r>
              <w:rPr>
                <w:rFonts w:ascii="SWISS" w:hAnsi="SWISS" w:cs="Arial"/>
                <w:bCs/>
                <w:color w:val="000000"/>
                <w:sz w:val="20"/>
                <w:szCs w:val="20"/>
                <w:u w:val="single"/>
              </w:rPr>
              <w:t>6</w:t>
            </w:r>
            <w:r w:rsidRPr="001848E6">
              <w:rPr>
                <w:rFonts w:ascii="SWISS" w:hAnsi="SWISS" w:cs="Arial"/>
                <w:bCs/>
                <w:color w:val="000000"/>
                <w:sz w:val="20"/>
                <w:szCs w:val="20"/>
                <w:u w:val="single"/>
              </w:rPr>
              <w:t>,</w:t>
            </w:r>
            <w:r>
              <w:rPr>
                <w:rFonts w:ascii="SWISS" w:hAnsi="SWISS" w:cs="Arial"/>
                <w:bCs/>
                <w:color w:val="000000"/>
                <w:sz w:val="20"/>
                <w:szCs w:val="20"/>
                <w:u w:val="single"/>
              </w:rPr>
              <w:t>247</w:t>
            </w:r>
            <w:r w:rsidRPr="001848E6">
              <w:rPr>
                <w:rFonts w:ascii="SWISS" w:hAnsi="SWISS" w:cs="Arial"/>
                <w:bCs/>
                <w:color w:val="000000"/>
                <w:sz w:val="20"/>
                <w:szCs w:val="20"/>
                <w:u w:val="single"/>
              </w:rPr>
              <w:t xml:space="preserve"> </w:t>
            </w:r>
          </w:p>
        </w:tc>
        <w:tc>
          <w:tcPr>
            <w:tcW w:w="1278" w:type="dxa"/>
            <w:tcBorders>
              <w:top w:val="nil"/>
              <w:left w:val="nil"/>
              <w:bottom w:val="nil"/>
              <w:right w:val="single" w:sz="8" w:space="0" w:color="auto"/>
            </w:tcBorders>
            <w:shd w:val="clear" w:color="auto" w:fill="auto"/>
            <w:noWrap/>
            <w:vAlign w:val="center"/>
            <w:hideMark/>
          </w:tcPr>
          <w:p w:rsidR="00432271" w:rsidRPr="001848E6" w:rsidRDefault="00432271" w:rsidP="00432271">
            <w:pPr>
              <w:jc w:val="right"/>
              <w:rPr>
                <w:rFonts w:ascii="SWISS" w:hAnsi="SWISS" w:cs="Arial"/>
                <w:bCs/>
                <w:color w:val="000000"/>
                <w:sz w:val="20"/>
                <w:szCs w:val="20"/>
                <w:u w:val="single"/>
              </w:rPr>
            </w:pPr>
            <w:r>
              <w:rPr>
                <w:rFonts w:ascii="SWISS" w:hAnsi="SWISS" w:cs="Arial"/>
                <w:bCs/>
                <w:color w:val="000000"/>
                <w:sz w:val="20"/>
                <w:szCs w:val="20"/>
                <w:u w:val="single"/>
              </w:rPr>
              <w:t>424</w:t>
            </w:r>
            <w:r w:rsidRPr="001848E6">
              <w:rPr>
                <w:rFonts w:ascii="SWISS" w:hAnsi="SWISS" w:cs="Arial"/>
                <w:bCs/>
                <w:color w:val="000000"/>
                <w:sz w:val="20"/>
                <w:szCs w:val="20"/>
                <w:u w:val="single"/>
              </w:rPr>
              <w:t xml:space="preserve"> </w:t>
            </w:r>
          </w:p>
        </w:tc>
      </w:tr>
      <w:tr w:rsidR="00432271" w:rsidRPr="00006CBE" w:rsidTr="00BF5E15">
        <w:trPr>
          <w:trHeight w:val="312"/>
          <w:jc w:val="center"/>
        </w:trPr>
        <w:tc>
          <w:tcPr>
            <w:tcW w:w="815" w:type="dxa"/>
            <w:tcBorders>
              <w:top w:val="nil"/>
              <w:left w:val="single" w:sz="8" w:space="0" w:color="auto"/>
              <w:bottom w:val="nil"/>
              <w:right w:val="nil"/>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p>
        </w:tc>
        <w:tc>
          <w:tcPr>
            <w:tcW w:w="1080" w:type="dxa"/>
            <w:tcBorders>
              <w:top w:val="nil"/>
              <w:left w:val="nil"/>
              <w:bottom w:val="nil"/>
              <w:right w:val="nil"/>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p>
        </w:tc>
        <w:tc>
          <w:tcPr>
            <w:tcW w:w="4950" w:type="dxa"/>
            <w:gridSpan w:val="2"/>
            <w:tcBorders>
              <w:top w:val="nil"/>
              <w:left w:val="nil"/>
              <w:bottom w:val="nil"/>
              <w:right w:val="nil"/>
            </w:tcBorders>
            <w:shd w:val="clear" w:color="auto" w:fill="auto"/>
            <w:noWrap/>
            <w:vAlign w:val="center"/>
            <w:hideMark/>
          </w:tcPr>
          <w:p w:rsidR="00432271" w:rsidRPr="00006CBE" w:rsidRDefault="00432271" w:rsidP="00432271">
            <w:pPr>
              <w:rPr>
                <w:rFonts w:ascii="SWISS" w:hAnsi="SWISS" w:cs="Arial"/>
                <w:bCs/>
                <w:color w:val="000000"/>
                <w:sz w:val="20"/>
                <w:szCs w:val="20"/>
              </w:rPr>
            </w:pPr>
            <w:r w:rsidRPr="00006CBE">
              <w:rPr>
                <w:rFonts w:ascii="SWISS" w:hAnsi="SWISS" w:cs="Arial"/>
                <w:bCs/>
                <w:color w:val="000000"/>
                <w:sz w:val="20"/>
                <w:szCs w:val="20"/>
              </w:rPr>
              <w:t xml:space="preserve">TOTAL </w:t>
            </w:r>
            <w:r>
              <w:rPr>
                <w:rFonts w:ascii="SWISS" w:hAnsi="SWISS" w:cs="Arial"/>
                <w:bCs/>
                <w:color w:val="000000"/>
                <w:sz w:val="20"/>
                <w:szCs w:val="20"/>
              </w:rPr>
              <w:t>I</w:t>
            </w:r>
            <w:r w:rsidRPr="00006CBE">
              <w:rPr>
                <w:rFonts w:ascii="SWISS" w:hAnsi="SWISS" w:cs="Arial"/>
                <w:bCs/>
                <w:color w:val="000000"/>
                <w:sz w:val="20"/>
                <w:szCs w:val="20"/>
              </w:rPr>
              <w:t xml:space="preserve">NCLUDING </w:t>
            </w:r>
            <w:r>
              <w:rPr>
                <w:rFonts w:ascii="SWISS" w:hAnsi="SWISS" w:cs="Arial"/>
                <w:bCs/>
                <w:color w:val="000000"/>
                <w:sz w:val="20"/>
                <w:szCs w:val="20"/>
              </w:rPr>
              <w:t>L</w:t>
            </w:r>
            <w:r w:rsidRPr="00006CBE">
              <w:rPr>
                <w:rFonts w:ascii="SWISS" w:hAnsi="SWISS" w:cs="Arial"/>
                <w:bCs/>
                <w:color w:val="000000"/>
                <w:sz w:val="20"/>
                <w:szCs w:val="20"/>
              </w:rPr>
              <w:t>AND</w:t>
            </w:r>
          </w:p>
        </w:tc>
        <w:tc>
          <w:tcPr>
            <w:tcW w:w="1350" w:type="dxa"/>
            <w:tcBorders>
              <w:top w:val="nil"/>
              <w:left w:val="nil"/>
              <w:bottom w:val="nil"/>
              <w:right w:val="nil"/>
            </w:tcBorders>
            <w:shd w:val="clear" w:color="auto" w:fill="auto"/>
            <w:noWrap/>
            <w:vAlign w:val="center"/>
            <w:hideMark/>
          </w:tcPr>
          <w:p w:rsidR="00432271" w:rsidRPr="00006CBE" w:rsidRDefault="00432271" w:rsidP="00432271">
            <w:pPr>
              <w:jc w:val="right"/>
              <w:rPr>
                <w:rFonts w:ascii="SWISS" w:hAnsi="SWISS" w:cs="Arial"/>
                <w:bCs/>
                <w:color w:val="000000"/>
                <w:sz w:val="20"/>
                <w:szCs w:val="20"/>
                <w:u w:val="double"/>
              </w:rPr>
            </w:pPr>
            <w:r w:rsidRPr="00006CBE">
              <w:rPr>
                <w:rFonts w:ascii="SWISS" w:hAnsi="SWISS" w:cs="Arial"/>
                <w:bCs/>
                <w:color w:val="000000"/>
                <w:sz w:val="20"/>
                <w:szCs w:val="20"/>
                <w:u w:val="double"/>
              </w:rPr>
              <w:t>$</w:t>
            </w:r>
            <w:r>
              <w:rPr>
                <w:rFonts w:ascii="SWISS" w:hAnsi="SWISS" w:cs="Arial"/>
                <w:bCs/>
                <w:color w:val="000000"/>
                <w:sz w:val="20"/>
                <w:szCs w:val="20"/>
                <w:u w:val="double"/>
              </w:rPr>
              <w:t>65</w:t>
            </w:r>
            <w:r w:rsidRPr="00006CBE">
              <w:rPr>
                <w:rFonts w:ascii="SWISS" w:hAnsi="SWISS" w:cs="Arial"/>
                <w:bCs/>
                <w:color w:val="000000"/>
                <w:sz w:val="20"/>
                <w:szCs w:val="20"/>
                <w:u w:val="double"/>
              </w:rPr>
              <w:t>,</w:t>
            </w:r>
            <w:r>
              <w:rPr>
                <w:rFonts w:ascii="SWISS" w:hAnsi="SWISS" w:cs="Arial"/>
                <w:bCs/>
                <w:color w:val="000000"/>
                <w:sz w:val="20"/>
                <w:szCs w:val="20"/>
                <w:u w:val="double"/>
              </w:rPr>
              <w:t>427</w:t>
            </w:r>
            <w:r w:rsidRPr="00006CBE">
              <w:rPr>
                <w:rFonts w:ascii="SWISS" w:hAnsi="SWISS" w:cs="Arial"/>
                <w:bCs/>
                <w:color w:val="000000"/>
                <w:sz w:val="20"/>
                <w:szCs w:val="20"/>
                <w:u w:val="double"/>
              </w:rPr>
              <w:t xml:space="preserve"> </w:t>
            </w:r>
          </w:p>
        </w:tc>
        <w:tc>
          <w:tcPr>
            <w:tcW w:w="1278" w:type="dxa"/>
            <w:tcBorders>
              <w:top w:val="nil"/>
              <w:left w:val="nil"/>
              <w:bottom w:val="nil"/>
              <w:right w:val="single" w:sz="8" w:space="0" w:color="auto"/>
            </w:tcBorders>
            <w:shd w:val="clear" w:color="auto" w:fill="auto"/>
            <w:noWrap/>
            <w:vAlign w:val="center"/>
            <w:hideMark/>
          </w:tcPr>
          <w:p w:rsidR="00432271" w:rsidRPr="00006CBE" w:rsidRDefault="00432271" w:rsidP="00432271">
            <w:pPr>
              <w:jc w:val="right"/>
              <w:rPr>
                <w:rFonts w:ascii="SWISS" w:hAnsi="SWISS" w:cs="Arial"/>
                <w:bCs/>
                <w:color w:val="000000"/>
                <w:sz w:val="20"/>
                <w:szCs w:val="20"/>
                <w:u w:val="double"/>
              </w:rPr>
            </w:pPr>
            <w:r w:rsidRPr="00006CBE">
              <w:rPr>
                <w:rFonts w:ascii="SWISS" w:hAnsi="SWISS" w:cs="Arial"/>
                <w:bCs/>
                <w:color w:val="000000"/>
                <w:sz w:val="20"/>
                <w:szCs w:val="20"/>
                <w:u w:val="double"/>
              </w:rPr>
              <w:t>$</w:t>
            </w:r>
            <w:r>
              <w:rPr>
                <w:rFonts w:ascii="SWISS" w:hAnsi="SWISS" w:cs="Arial"/>
                <w:bCs/>
                <w:color w:val="000000"/>
                <w:sz w:val="20"/>
                <w:szCs w:val="20"/>
                <w:u w:val="double"/>
              </w:rPr>
              <w:t>37</w:t>
            </w:r>
            <w:r w:rsidRPr="00006CBE">
              <w:rPr>
                <w:rFonts w:ascii="SWISS" w:hAnsi="SWISS" w:cs="Arial"/>
                <w:bCs/>
                <w:color w:val="000000"/>
                <w:sz w:val="20"/>
                <w:szCs w:val="20"/>
                <w:u w:val="double"/>
              </w:rPr>
              <w:t>,</w:t>
            </w:r>
            <w:r>
              <w:rPr>
                <w:rFonts w:ascii="SWISS" w:hAnsi="SWISS" w:cs="Arial"/>
                <w:bCs/>
                <w:color w:val="000000"/>
                <w:sz w:val="20"/>
                <w:szCs w:val="20"/>
                <w:u w:val="double"/>
              </w:rPr>
              <w:t>647</w:t>
            </w:r>
            <w:r w:rsidRPr="00006CBE">
              <w:rPr>
                <w:rFonts w:ascii="SWISS" w:hAnsi="SWISS" w:cs="Arial"/>
                <w:bCs/>
                <w:color w:val="000000"/>
                <w:sz w:val="20"/>
                <w:szCs w:val="20"/>
                <w:u w:val="double"/>
              </w:rPr>
              <w:t xml:space="preserve"> </w:t>
            </w:r>
          </w:p>
        </w:tc>
      </w:tr>
      <w:tr w:rsidR="00432271" w:rsidRPr="00006CBE" w:rsidTr="00BF5E15">
        <w:trPr>
          <w:trHeight w:val="312"/>
          <w:jc w:val="center"/>
        </w:trPr>
        <w:tc>
          <w:tcPr>
            <w:tcW w:w="815" w:type="dxa"/>
            <w:tcBorders>
              <w:top w:val="nil"/>
              <w:left w:val="single" w:sz="8" w:space="0" w:color="auto"/>
              <w:right w:val="nil"/>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p>
        </w:tc>
        <w:tc>
          <w:tcPr>
            <w:tcW w:w="1080" w:type="dxa"/>
            <w:tcBorders>
              <w:top w:val="nil"/>
              <w:left w:val="nil"/>
              <w:right w:val="nil"/>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p>
        </w:tc>
        <w:tc>
          <w:tcPr>
            <w:tcW w:w="4950" w:type="dxa"/>
            <w:gridSpan w:val="2"/>
            <w:tcBorders>
              <w:top w:val="nil"/>
              <w:left w:val="nil"/>
              <w:right w:val="nil"/>
            </w:tcBorders>
            <w:shd w:val="clear" w:color="auto" w:fill="auto"/>
            <w:noWrap/>
            <w:vAlign w:val="bottom"/>
            <w:hideMark/>
          </w:tcPr>
          <w:p w:rsidR="00432271" w:rsidRPr="00006CBE" w:rsidRDefault="00432271" w:rsidP="00432271">
            <w:pPr>
              <w:jc w:val="right"/>
              <w:rPr>
                <w:rFonts w:ascii="SWISS" w:hAnsi="SWISS" w:cs="Arial"/>
                <w:bCs/>
                <w:color w:val="000000"/>
                <w:sz w:val="20"/>
                <w:szCs w:val="20"/>
              </w:rPr>
            </w:pPr>
          </w:p>
        </w:tc>
        <w:tc>
          <w:tcPr>
            <w:tcW w:w="1350" w:type="dxa"/>
            <w:tcBorders>
              <w:top w:val="nil"/>
              <w:left w:val="nil"/>
              <w:right w:val="nil"/>
            </w:tcBorders>
            <w:shd w:val="clear" w:color="auto" w:fill="auto"/>
            <w:noWrap/>
            <w:vAlign w:val="bottom"/>
            <w:hideMark/>
          </w:tcPr>
          <w:p w:rsidR="00432271" w:rsidRPr="00006CBE" w:rsidRDefault="00432271" w:rsidP="00432271">
            <w:pPr>
              <w:jc w:val="right"/>
              <w:rPr>
                <w:rFonts w:ascii="SWISS" w:hAnsi="SWISS" w:cs="Arial"/>
                <w:bCs/>
                <w:color w:val="000000"/>
                <w:sz w:val="20"/>
                <w:szCs w:val="20"/>
              </w:rPr>
            </w:pPr>
          </w:p>
        </w:tc>
        <w:tc>
          <w:tcPr>
            <w:tcW w:w="1278" w:type="dxa"/>
            <w:tcBorders>
              <w:top w:val="nil"/>
              <w:left w:val="nil"/>
              <w:right w:val="single" w:sz="8" w:space="0" w:color="auto"/>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r w:rsidRPr="00006CBE">
              <w:rPr>
                <w:rFonts w:ascii="SWISS" w:hAnsi="SWISS" w:cs="Arial"/>
                <w:bCs/>
                <w:color w:val="000000"/>
                <w:sz w:val="20"/>
                <w:szCs w:val="20"/>
              </w:rPr>
              <w:t> </w:t>
            </w:r>
          </w:p>
        </w:tc>
      </w:tr>
      <w:tr w:rsidR="00432271" w:rsidRPr="00006CBE" w:rsidTr="00BF5E15">
        <w:trPr>
          <w:trHeight w:val="864"/>
          <w:jc w:val="center"/>
        </w:trPr>
        <w:tc>
          <w:tcPr>
            <w:tcW w:w="815" w:type="dxa"/>
            <w:tcBorders>
              <w:left w:val="single" w:sz="8" w:space="0" w:color="auto"/>
              <w:right w:val="nil"/>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p>
        </w:tc>
        <w:tc>
          <w:tcPr>
            <w:tcW w:w="1080" w:type="dxa"/>
            <w:tcBorders>
              <w:left w:val="nil"/>
              <w:right w:val="nil"/>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p>
        </w:tc>
        <w:tc>
          <w:tcPr>
            <w:tcW w:w="4950" w:type="dxa"/>
            <w:gridSpan w:val="2"/>
            <w:tcBorders>
              <w:left w:val="nil"/>
              <w:right w:val="nil"/>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p>
        </w:tc>
        <w:tc>
          <w:tcPr>
            <w:tcW w:w="1350" w:type="dxa"/>
            <w:tcBorders>
              <w:left w:val="nil"/>
              <w:bottom w:val="single" w:sz="8" w:space="0" w:color="auto"/>
              <w:right w:val="nil"/>
            </w:tcBorders>
            <w:shd w:val="clear" w:color="auto" w:fill="auto"/>
            <w:vAlign w:val="bottom"/>
            <w:hideMark/>
          </w:tcPr>
          <w:p w:rsidR="00432271" w:rsidRPr="00D87B17" w:rsidRDefault="00432271" w:rsidP="00432271">
            <w:pPr>
              <w:jc w:val="center"/>
              <w:rPr>
                <w:rFonts w:ascii="SWISS" w:hAnsi="SWISS" w:cs="Arial"/>
                <w:b/>
                <w:bCs/>
                <w:color w:val="000000"/>
                <w:sz w:val="20"/>
                <w:szCs w:val="20"/>
              </w:rPr>
            </w:pPr>
            <w:r w:rsidRPr="00D87B17">
              <w:rPr>
                <w:rFonts w:ascii="SWISS" w:hAnsi="SWISS" w:cs="Arial"/>
                <w:b/>
                <w:bCs/>
                <w:color w:val="000000"/>
                <w:sz w:val="20"/>
                <w:szCs w:val="20"/>
              </w:rPr>
              <w:t>CIAC</w:t>
            </w:r>
          </w:p>
          <w:p w:rsidR="00432271" w:rsidRPr="00D87B17" w:rsidRDefault="00432271" w:rsidP="00432271">
            <w:pPr>
              <w:jc w:val="center"/>
              <w:rPr>
                <w:rFonts w:ascii="SWISS" w:hAnsi="SWISS" w:cs="Arial"/>
                <w:b/>
                <w:bCs/>
                <w:color w:val="000000"/>
                <w:sz w:val="20"/>
                <w:szCs w:val="20"/>
              </w:rPr>
            </w:pPr>
            <w:r w:rsidRPr="00D87B17">
              <w:rPr>
                <w:rFonts w:ascii="SWISS" w:hAnsi="SWISS" w:cs="Arial"/>
                <w:b/>
                <w:bCs/>
                <w:color w:val="000000"/>
                <w:sz w:val="20"/>
                <w:szCs w:val="20"/>
              </w:rPr>
              <w:t xml:space="preserve"> AMORT.</w:t>
            </w:r>
          </w:p>
          <w:p w:rsidR="00432271" w:rsidRPr="00D87B17" w:rsidRDefault="00432271" w:rsidP="00432271">
            <w:pPr>
              <w:jc w:val="center"/>
              <w:rPr>
                <w:rFonts w:ascii="SWISS" w:hAnsi="SWISS" w:cs="Arial"/>
                <w:b/>
                <w:bCs/>
                <w:color w:val="000000"/>
                <w:sz w:val="20"/>
                <w:szCs w:val="20"/>
              </w:rPr>
            </w:pPr>
            <w:r>
              <w:rPr>
                <w:rFonts w:ascii="SWISS" w:hAnsi="SWISS" w:cs="Arial"/>
                <w:b/>
                <w:bCs/>
                <w:color w:val="000000"/>
                <w:sz w:val="20"/>
                <w:szCs w:val="20"/>
              </w:rPr>
              <w:t>12</w:t>
            </w:r>
            <w:r w:rsidRPr="00D87B17">
              <w:rPr>
                <w:rFonts w:ascii="SWISS" w:hAnsi="SWISS" w:cs="Arial"/>
                <w:b/>
                <w:bCs/>
                <w:color w:val="000000"/>
                <w:sz w:val="20"/>
                <w:szCs w:val="20"/>
              </w:rPr>
              <w:t>/31/201</w:t>
            </w:r>
            <w:r>
              <w:rPr>
                <w:rFonts w:ascii="SWISS" w:hAnsi="SWISS" w:cs="Arial"/>
                <w:b/>
                <w:bCs/>
                <w:color w:val="000000"/>
                <w:sz w:val="20"/>
                <w:szCs w:val="20"/>
              </w:rPr>
              <w:t>4</w:t>
            </w:r>
            <w:r w:rsidRPr="00D87B17">
              <w:rPr>
                <w:rFonts w:ascii="SWISS" w:hAnsi="SWISS" w:cs="Arial"/>
                <w:b/>
                <w:bCs/>
                <w:color w:val="000000"/>
                <w:sz w:val="20"/>
                <w:szCs w:val="20"/>
              </w:rPr>
              <w:t xml:space="preserve"> (DEBIT)</w:t>
            </w:r>
          </w:p>
        </w:tc>
        <w:tc>
          <w:tcPr>
            <w:tcW w:w="1278" w:type="dxa"/>
            <w:tcBorders>
              <w:left w:val="nil"/>
              <w:bottom w:val="single" w:sz="8" w:space="0" w:color="auto"/>
              <w:right w:val="single" w:sz="8" w:space="0" w:color="auto"/>
            </w:tcBorders>
            <w:shd w:val="clear" w:color="auto" w:fill="auto"/>
            <w:vAlign w:val="bottom"/>
            <w:hideMark/>
          </w:tcPr>
          <w:p w:rsidR="00432271" w:rsidRPr="00D87B17" w:rsidRDefault="00432271" w:rsidP="00432271">
            <w:pPr>
              <w:jc w:val="center"/>
              <w:rPr>
                <w:rFonts w:ascii="SWISS" w:hAnsi="SWISS" w:cs="Arial"/>
                <w:b/>
                <w:bCs/>
                <w:color w:val="000000"/>
                <w:sz w:val="20"/>
                <w:szCs w:val="20"/>
              </w:rPr>
            </w:pPr>
            <w:r w:rsidRPr="00D87B17">
              <w:rPr>
                <w:rFonts w:ascii="SWISS" w:hAnsi="SWISS" w:cs="Arial"/>
                <w:b/>
                <w:bCs/>
                <w:color w:val="000000"/>
                <w:sz w:val="20"/>
                <w:szCs w:val="20"/>
              </w:rPr>
              <w:t>CIAC</w:t>
            </w:r>
          </w:p>
          <w:p w:rsidR="00432271" w:rsidRPr="00D87B17" w:rsidRDefault="00432271" w:rsidP="00432271">
            <w:pPr>
              <w:jc w:val="center"/>
              <w:rPr>
                <w:rFonts w:ascii="SWISS" w:hAnsi="SWISS" w:cs="Arial"/>
                <w:b/>
                <w:bCs/>
                <w:color w:val="000000"/>
                <w:sz w:val="20"/>
                <w:szCs w:val="20"/>
              </w:rPr>
            </w:pPr>
            <w:r w:rsidRPr="00D87B17">
              <w:rPr>
                <w:rFonts w:ascii="SWISS" w:hAnsi="SWISS" w:cs="Arial"/>
                <w:b/>
                <w:bCs/>
                <w:color w:val="000000"/>
                <w:sz w:val="20"/>
                <w:szCs w:val="20"/>
              </w:rPr>
              <w:t xml:space="preserve"> </w:t>
            </w:r>
            <w:r>
              <w:rPr>
                <w:rFonts w:ascii="SWISS" w:hAnsi="SWISS" w:cs="Arial"/>
                <w:b/>
                <w:bCs/>
                <w:color w:val="000000"/>
                <w:sz w:val="20"/>
                <w:szCs w:val="20"/>
              </w:rPr>
              <w:t>12</w:t>
            </w:r>
            <w:r w:rsidRPr="00D87B17">
              <w:rPr>
                <w:rFonts w:ascii="SWISS" w:hAnsi="SWISS" w:cs="Arial"/>
                <w:b/>
                <w:bCs/>
                <w:color w:val="000000"/>
                <w:sz w:val="20"/>
                <w:szCs w:val="20"/>
              </w:rPr>
              <w:t>/31/201</w:t>
            </w:r>
            <w:r>
              <w:rPr>
                <w:rFonts w:ascii="SWISS" w:hAnsi="SWISS" w:cs="Arial"/>
                <w:b/>
                <w:bCs/>
                <w:color w:val="000000"/>
                <w:sz w:val="20"/>
                <w:szCs w:val="20"/>
              </w:rPr>
              <w:t>4</w:t>
            </w:r>
            <w:r w:rsidRPr="00D87B17">
              <w:rPr>
                <w:rFonts w:ascii="SWISS" w:hAnsi="SWISS" w:cs="Arial"/>
                <w:b/>
                <w:bCs/>
                <w:color w:val="000000"/>
                <w:sz w:val="20"/>
                <w:szCs w:val="20"/>
              </w:rPr>
              <w:t xml:space="preserve"> (CREDIT)</w:t>
            </w:r>
          </w:p>
        </w:tc>
      </w:tr>
      <w:tr w:rsidR="00432271" w:rsidRPr="00006CBE" w:rsidTr="00BF5E15">
        <w:trPr>
          <w:trHeight w:val="312"/>
          <w:jc w:val="center"/>
        </w:trPr>
        <w:tc>
          <w:tcPr>
            <w:tcW w:w="815" w:type="dxa"/>
            <w:tcBorders>
              <w:left w:val="single" w:sz="8" w:space="0" w:color="auto"/>
              <w:bottom w:val="nil"/>
              <w:right w:val="nil"/>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p>
        </w:tc>
        <w:tc>
          <w:tcPr>
            <w:tcW w:w="1080" w:type="dxa"/>
            <w:tcBorders>
              <w:left w:val="nil"/>
              <w:bottom w:val="nil"/>
              <w:right w:val="nil"/>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p>
        </w:tc>
        <w:tc>
          <w:tcPr>
            <w:tcW w:w="4950" w:type="dxa"/>
            <w:gridSpan w:val="2"/>
            <w:tcBorders>
              <w:left w:val="nil"/>
              <w:bottom w:val="nil"/>
              <w:right w:val="nil"/>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p>
        </w:tc>
        <w:tc>
          <w:tcPr>
            <w:tcW w:w="1350" w:type="dxa"/>
            <w:tcBorders>
              <w:top w:val="single" w:sz="8" w:space="0" w:color="auto"/>
              <w:left w:val="nil"/>
              <w:bottom w:val="nil"/>
              <w:right w:val="nil"/>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p>
        </w:tc>
        <w:tc>
          <w:tcPr>
            <w:tcW w:w="1278" w:type="dxa"/>
            <w:tcBorders>
              <w:top w:val="single" w:sz="8" w:space="0" w:color="auto"/>
              <w:left w:val="nil"/>
              <w:bottom w:val="nil"/>
              <w:right w:val="single" w:sz="8" w:space="0" w:color="auto"/>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r w:rsidRPr="00006CBE">
              <w:rPr>
                <w:rFonts w:ascii="SWISS" w:hAnsi="SWISS" w:cs="Arial"/>
                <w:bCs/>
                <w:color w:val="000000"/>
                <w:sz w:val="20"/>
                <w:szCs w:val="20"/>
              </w:rPr>
              <w:t> </w:t>
            </w:r>
          </w:p>
        </w:tc>
      </w:tr>
      <w:tr w:rsidR="00432271" w:rsidRPr="00006CBE" w:rsidTr="00BF5E15">
        <w:trPr>
          <w:trHeight w:val="312"/>
          <w:jc w:val="center"/>
        </w:trPr>
        <w:tc>
          <w:tcPr>
            <w:tcW w:w="815" w:type="dxa"/>
            <w:tcBorders>
              <w:top w:val="nil"/>
              <w:left w:val="single" w:sz="8" w:space="0" w:color="auto"/>
              <w:bottom w:val="nil"/>
              <w:right w:val="nil"/>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p>
        </w:tc>
        <w:tc>
          <w:tcPr>
            <w:tcW w:w="1080" w:type="dxa"/>
            <w:tcBorders>
              <w:top w:val="nil"/>
              <w:left w:val="nil"/>
              <w:bottom w:val="nil"/>
              <w:right w:val="nil"/>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p>
        </w:tc>
        <w:tc>
          <w:tcPr>
            <w:tcW w:w="4950" w:type="dxa"/>
            <w:gridSpan w:val="2"/>
            <w:tcBorders>
              <w:top w:val="nil"/>
              <w:left w:val="nil"/>
              <w:bottom w:val="nil"/>
              <w:right w:val="nil"/>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p>
        </w:tc>
        <w:tc>
          <w:tcPr>
            <w:tcW w:w="1350" w:type="dxa"/>
            <w:tcBorders>
              <w:top w:val="nil"/>
              <w:left w:val="nil"/>
              <w:bottom w:val="nil"/>
              <w:right w:val="nil"/>
            </w:tcBorders>
            <w:shd w:val="clear" w:color="auto" w:fill="auto"/>
            <w:noWrap/>
            <w:vAlign w:val="center"/>
            <w:hideMark/>
          </w:tcPr>
          <w:p w:rsidR="00432271" w:rsidRPr="0076672A" w:rsidRDefault="00432271" w:rsidP="00432271">
            <w:pPr>
              <w:jc w:val="right"/>
              <w:rPr>
                <w:rFonts w:ascii="SWISS" w:hAnsi="SWISS" w:cs="Arial"/>
                <w:bCs/>
                <w:color w:val="000000"/>
                <w:sz w:val="20"/>
                <w:szCs w:val="20"/>
                <w:u w:val="double"/>
              </w:rPr>
            </w:pPr>
            <w:r w:rsidRPr="0076672A">
              <w:rPr>
                <w:rFonts w:ascii="SWISS" w:hAnsi="SWISS" w:cs="Arial"/>
                <w:bCs/>
                <w:color w:val="000000"/>
                <w:sz w:val="20"/>
                <w:szCs w:val="20"/>
                <w:u w:val="double"/>
              </w:rPr>
              <w:t>$1</w:t>
            </w:r>
            <w:r>
              <w:rPr>
                <w:rFonts w:ascii="SWISS" w:hAnsi="SWISS" w:cs="Arial"/>
                <w:bCs/>
                <w:color w:val="000000"/>
                <w:sz w:val="20"/>
                <w:szCs w:val="20"/>
                <w:u w:val="double"/>
              </w:rPr>
              <w:t>8</w:t>
            </w:r>
            <w:r w:rsidRPr="0076672A">
              <w:rPr>
                <w:rFonts w:ascii="SWISS" w:hAnsi="SWISS" w:cs="Arial"/>
                <w:bCs/>
                <w:color w:val="000000"/>
                <w:sz w:val="20"/>
                <w:szCs w:val="20"/>
                <w:u w:val="double"/>
              </w:rPr>
              <w:t>,</w:t>
            </w:r>
            <w:r>
              <w:rPr>
                <w:rFonts w:ascii="SWISS" w:hAnsi="SWISS" w:cs="Arial"/>
                <w:bCs/>
                <w:color w:val="000000"/>
                <w:sz w:val="20"/>
                <w:szCs w:val="20"/>
                <w:u w:val="double"/>
              </w:rPr>
              <w:t>637</w:t>
            </w:r>
            <w:r w:rsidRPr="0076672A">
              <w:rPr>
                <w:rFonts w:ascii="SWISS" w:hAnsi="SWISS" w:cs="Arial"/>
                <w:bCs/>
                <w:color w:val="000000"/>
                <w:sz w:val="20"/>
                <w:szCs w:val="20"/>
                <w:u w:val="double"/>
              </w:rPr>
              <w:t xml:space="preserve"> </w:t>
            </w:r>
          </w:p>
        </w:tc>
        <w:tc>
          <w:tcPr>
            <w:tcW w:w="1278" w:type="dxa"/>
            <w:tcBorders>
              <w:top w:val="nil"/>
              <w:left w:val="nil"/>
              <w:bottom w:val="nil"/>
              <w:right w:val="single" w:sz="8" w:space="0" w:color="auto"/>
            </w:tcBorders>
            <w:shd w:val="clear" w:color="auto" w:fill="auto"/>
            <w:noWrap/>
            <w:vAlign w:val="center"/>
            <w:hideMark/>
          </w:tcPr>
          <w:p w:rsidR="00432271" w:rsidRPr="0076672A" w:rsidRDefault="00432271" w:rsidP="00432271">
            <w:pPr>
              <w:jc w:val="right"/>
              <w:rPr>
                <w:rFonts w:ascii="SWISS" w:hAnsi="SWISS" w:cs="Arial"/>
                <w:bCs/>
                <w:color w:val="000000"/>
                <w:sz w:val="20"/>
                <w:szCs w:val="20"/>
                <w:u w:val="double"/>
              </w:rPr>
            </w:pPr>
            <w:r w:rsidRPr="0076672A">
              <w:rPr>
                <w:rFonts w:ascii="SWISS" w:hAnsi="SWISS" w:cs="Arial"/>
                <w:bCs/>
                <w:color w:val="000000"/>
                <w:sz w:val="20"/>
                <w:szCs w:val="20"/>
                <w:u w:val="double"/>
              </w:rPr>
              <w:t>$</w:t>
            </w:r>
            <w:r>
              <w:rPr>
                <w:rFonts w:ascii="SWISS" w:hAnsi="SWISS" w:cs="Arial"/>
                <w:bCs/>
                <w:color w:val="000000"/>
                <w:sz w:val="20"/>
                <w:szCs w:val="20"/>
                <w:u w:val="double"/>
              </w:rPr>
              <w:t>18</w:t>
            </w:r>
            <w:r w:rsidRPr="0076672A">
              <w:rPr>
                <w:rFonts w:ascii="SWISS" w:hAnsi="SWISS" w:cs="Arial"/>
                <w:bCs/>
                <w:color w:val="000000"/>
                <w:sz w:val="20"/>
                <w:szCs w:val="20"/>
                <w:u w:val="double"/>
              </w:rPr>
              <w:t>,</w:t>
            </w:r>
            <w:r>
              <w:rPr>
                <w:rFonts w:ascii="SWISS" w:hAnsi="SWISS" w:cs="Arial"/>
                <w:bCs/>
                <w:color w:val="000000"/>
                <w:sz w:val="20"/>
                <w:szCs w:val="20"/>
                <w:u w:val="double"/>
              </w:rPr>
              <w:t>637</w:t>
            </w:r>
            <w:r w:rsidRPr="0076672A">
              <w:rPr>
                <w:rFonts w:ascii="SWISS" w:hAnsi="SWISS" w:cs="Arial"/>
                <w:bCs/>
                <w:color w:val="000000"/>
                <w:sz w:val="20"/>
                <w:szCs w:val="20"/>
                <w:u w:val="double"/>
              </w:rPr>
              <w:t xml:space="preserve"> </w:t>
            </w:r>
          </w:p>
        </w:tc>
      </w:tr>
      <w:tr w:rsidR="00432271" w:rsidRPr="00006CBE" w:rsidTr="00BF5E15">
        <w:trPr>
          <w:trHeight w:val="312"/>
          <w:jc w:val="center"/>
        </w:trPr>
        <w:tc>
          <w:tcPr>
            <w:tcW w:w="815" w:type="dxa"/>
            <w:tcBorders>
              <w:top w:val="nil"/>
              <w:left w:val="single" w:sz="8" w:space="0" w:color="auto"/>
              <w:bottom w:val="nil"/>
              <w:right w:val="nil"/>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p>
        </w:tc>
        <w:tc>
          <w:tcPr>
            <w:tcW w:w="1080" w:type="dxa"/>
            <w:tcBorders>
              <w:top w:val="nil"/>
              <w:left w:val="nil"/>
              <w:bottom w:val="nil"/>
              <w:right w:val="nil"/>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p>
        </w:tc>
        <w:tc>
          <w:tcPr>
            <w:tcW w:w="4950" w:type="dxa"/>
            <w:gridSpan w:val="2"/>
            <w:tcBorders>
              <w:top w:val="nil"/>
              <w:left w:val="nil"/>
              <w:bottom w:val="nil"/>
              <w:right w:val="nil"/>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p>
        </w:tc>
        <w:tc>
          <w:tcPr>
            <w:tcW w:w="1350" w:type="dxa"/>
            <w:tcBorders>
              <w:top w:val="nil"/>
              <w:left w:val="nil"/>
              <w:bottom w:val="nil"/>
              <w:right w:val="nil"/>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p>
        </w:tc>
        <w:tc>
          <w:tcPr>
            <w:tcW w:w="1278" w:type="dxa"/>
            <w:tcBorders>
              <w:top w:val="nil"/>
              <w:left w:val="nil"/>
              <w:bottom w:val="nil"/>
              <w:right w:val="single" w:sz="8" w:space="0" w:color="auto"/>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r w:rsidRPr="00006CBE">
              <w:rPr>
                <w:rFonts w:ascii="SWISS" w:hAnsi="SWISS" w:cs="Arial"/>
                <w:bCs/>
                <w:color w:val="000000"/>
                <w:sz w:val="20"/>
                <w:szCs w:val="20"/>
              </w:rPr>
              <w:t> </w:t>
            </w:r>
          </w:p>
        </w:tc>
      </w:tr>
      <w:tr w:rsidR="00432271" w:rsidRPr="00006CBE" w:rsidTr="00BF5E15">
        <w:trPr>
          <w:trHeight w:val="312"/>
          <w:jc w:val="center"/>
        </w:trPr>
        <w:tc>
          <w:tcPr>
            <w:tcW w:w="815" w:type="dxa"/>
            <w:tcBorders>
              <w:top w:val="nil"/>
              <w:left w:val="single" w:sz="8" w:space="0" w:color="auto"/>
              <w:bottom w:val="single" w:sz="8" w:space="0" w:color="auto"/>
              <w:right w:val="nil"/>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r w:rsidRPr="00006CBE">
              <w:rPr>
                <w:rFonts w:ascii="SWISS" w:hAnsi="SWISS" w:cs="Arial"/>
                <w:bCs/>
                <w:color w:val="000000"/>
                <w:sz w:val="20"/>
                <w:szCs w:val="20"/>
              </w:rPr>
              <w:t> </w:t>
            </w:r>
          </w:p>
        </w:tc>
        <w:tc>
          <w:tcPr>
            <w:tcW w:w="1080" w:type="dxa"/>
            <w:tcBorders>
              <w:top w:val="nil"/>
              <w:left w:val="nil"/>
              <w:bottom w:val="single" w:sz="8" w:space="0" w:color="auto"/>
              <w:right w:val="nil"/>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p>
        </w:tc>
        <w:tc>
          <w:tcPr>
            <w:tcW w:w="4950" w:type="dxa"/>
            <w:gridSpan w:val="2"/>
            <w:tcBorders>
              <w:top w:val="nil"/>
              <w:left w:val="nil"/>
              <w:bottom w:val="single" w:sz="8" w:space="0" w:color="auto"/>
              <w:right w:val="nil"/>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p>
        </w:tc>
        <w:tc>
          <w:tcPr>
            <w:tcW w:w="1350" w:type="dxa"/>
            <w:tcBorders>
              <w:top w:val="nil"/>
              <w:left w:val="nil"/>
              <w:bottom w:val="single" w:sz="8" w:space="0" w:color="auto"/>
              <w:right w:val="nil"/>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p>
        </w:tc>
        <w:tc>
          <w:tcPr>
            <w:tcW w:w="1278" w:type="dxa"/>
            <w:tcBorders>
              <w:top w:val="nil"/>
              <w:left w:val="nil"/>
              <w:bottom w:val="single" w:sz="8" w:space="0" w:color="auto"/>
              <w:right w:val="single" w:sz="8" w:space="0" w:color="auto"/>
            </w:tcBorders>
            <w:shd w:val="clear" w:color="auto" w:fill="auto"/>
            <w:noWrap/>
            <w:vAlign w:val="center"/>
            <w:hideMark/>
          </w:tcPr>
          <w:p w:rsidR="00432271" w:rsidRPr="00006CBE" w:rsidRDefault="00432271" w:rsidP="00432271">
            <w:pPr>
              <w:jc w:val="right"/>
              <w:rPr>
                <w:rFonts w:ascii="SWISS" w:hAnsi="SWISS" w:cs="Arial"/>
                <w:bCs/>
                <w:color w:val="000000"/>
                <w:sz w:val="20"/>
                <w:szCs w:val="20"/>
              </w:rPr>
            </w:pPr>
            <w:r w:rsidRPr="00006CBE">
              <w:rPr>
                <w:rFonts w:ascii="SWISS" w:hAnsi="SWISS" w:cs="Arial"/>
                <w:bCs/>
                <w:color w:val="000000"/>
                <w:sz w:val="20"/>
                <w:szCs w:val="20"/>
              </w:rPr>
              <w:t> </w:t>
            </w:r>
          </w:p>
        </w:tc>
      </w:tr>
      <w:tr w:rsidR="00432271" w:rsidRPr="00006CBE" w:rsidTr="00BF5E15">
        <w:trPr>
          <w:trHeight w:val="531"/>
          <w:jc w:val="center"/>
        </w:trPr>
        <w:tc>
          <w:tcPr>
            <w:tcW w:w="9473" w:type="dxa"/>
            <w:gridSpan w:val="6"/>
            <w:tcBorders>
              <w:top w:val="single" w:sz="8" w:space="0" w:color="auto"/>
              <w:left w:val="single" w:sz="8" w:space="0" w:color="auto"/>
              <w:bottom w:val="single" w:sz="8" w:space="0" w:color="auto"/>
              <w:right w:val="single" w:sz="8" w:space="0" w:color="auto"/>
            </w:tcBorders>
            <w:shd w:val="clear" w:color="auto" w:fill="auto"/>
            <w:vAlign w:val="bottom"/>
            <w:hideMark/>
          </w:tcPr>
          <w:p w:rsidR="00432271" w:rsidRPr="008A0533" w:rsidRDefault="0008070E" w:rsidP="00C44E1D">
            <w:pPr>
              <w:pStyle w:val="ListParagraph"/>
              <w:ind w:left="0"/>
              <w:jc w:val="both"/>
              <w:rPr>
                <w:rFonts w:ascii="SWISS" w:hAnsi="SWISS" w:cs="Arial"/>
                <w:bCs/>
                <w:color w:val="000000"/>
                <w:sz w:val="20"/>
                <w:szCs w:val="20"/>
              </w:rPr>
            </w:pPr>
            <w:r>
              <w:rPr>
                <w:rFonts w:ascii="SWISS" w:hAnsi="SWISS" w:cs="Arial"/>
                <w:bCs/>
                <w:color w:val="000000"/>
                <w:sz w:val="20"/>
                <w:szCs w:val="20"/>
              </w:rPr>
              <w:t>*</w:t>
            </w:r>
            <w:r w:rsidR="00432271" w:rsidRPr="008A0533">
              <w:rPr>
                <w:rFonts w:ascii="SWISS" w:hAnsi="SWISS" w:cs="Arial"/>
                <w:bCs/>
                <w:color w:val="000000"/>
                <w:sz w:val="20"/>
                <w:szCs w:val="20"/>
              </w:rPr>
              <w:t xml:space="preserve">The accumulated depreciation balance excludes the staff-recommended averaging adjustment that is only used for ratesetting purposes and should not be reflected on the </w:t>
            </w:r>
            <w:r w:rsidR="00C44E1D">
              <w:rPr>
                <w:rFonts w:ascii="SWISS" w:hAnsi="SWISS" w:cs="Arial"/>
                <w:bCs/>
                <w:color w:val="000000"/>
                <w:sz w:val="20"/>
                <w:szCs w:val="20"/>
              </w:rPr>
              <w:t>U</w:t>
            </w:r>
            <w:r w:rsidR="00432271" w:rsidRPr="008A0533">
              <w:rPr>
                <w:rFonts w:ascii="SWISS" w:hAnsi="SWISS" w:cs="Arial"/>
                <w:bCs/>
                <w:color w:val="000000"/>
                <w:sz w:val="20"/>
                <w:szCs w:val="20"/>
              </w:rPr>
              <w:t>tility’s books.</w:t>
            </w:r>
          </w:p>
        </w:tc>
      </w:tr>
    </w:tbl>
    <w:p w:rsidR="00E06484" w:rsidRDefault="00E06484" w:rsidP="008A0533">
      <w:pPr>
        <w:pStyle w:val="BodyText"/>
      </w:pPr>
    </w:p>
    <w:sectPr w:rsidR="00E06484" w:rsidSect="0068481F">
      <w:headerReference w:type="default" r:id="rId3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B06" w:rsidRDefault="00174B06">
      <w:r>
        <w:separator/>
      </w:r>
    </w:p>
  </w:endnote>
  <w:endnote w:type="continuationSeparator" w:id="0">
    <w:p w:rsidR="00174B06" w:rsidRDefault="0017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06" w:rsidRDefault="00174B0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852FE">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06" w:rsidRDefault="00174B06" w:rsidP="00676D2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06" w:rsidRDefault="00174B06" w:rsidP="00A852C7">
    <w:pPr>
      <w:pStyle w:val="Footer"/>
      <w:tabs>
        <w:tab w:val="clear" w:pos="4320"/>
      </w:tabs>
      <w:ind w:left="720"/>
      <w:jc w:val="center"/>
    </w:pPr>
    <w:r>
      <w:t xml:space="preserve">- </w:t>
    </w:r>
    <w:r>
      <w:fldChar w:fldCharType="begin"/>
    </w:r>
    <w:r>
      <w:instrText xml:space="preserve"> PAGE   \* MERGEFORMAT </w:instrText>
    </w:r>
    <w:r>
      <w:fldChar w:fldCharType="separate"/>
    </w:r>
    <w:r w:rsidR="00F852FE">
      <w:rPr>
        <w:noProof/>
      </w:rPr>
      <w:t>i</w:t>
    </w:r>
    <w:r>
      <w:rPr>
        <w:noProof/>
      </w:rPr>
      <w:fldChar w:fldCharType="end"/>
    </w:r>
    <w:r>
      <w:rPr>
        <w:noProo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06" w:rsidRDefault="00174B06" w:rsidP="00676D24">
    <w:pPr>
      <w:pStyle w:val="Footer"/>
      <w:tabs>
        <w:tab w:val="clear" w:pos="4320"/>
      </w:tabs>
      <w:ind w:left="1080"/>
      <w:jc w:val="center"/>
    </w:pPr>
    <w:r>
      <w:t xml:space="preserve">- </w:t>
    </w:r>
    <w:r>
      <w:fldChar w:fldCharType="begin"/>
    </w:r>
    <w:r>
      <w:instrText xml:space="preserve"> PAGE   \* MERGEFORMAT </w:instrText>
    </w:r>
    <w:r>
      <w:fldChar w:fldCharType="separate"/>
    </w:r>
    <w:r w:rsidR="00F852FE">
      <w:rPr>
        <w:noProof/>
      </w:rPr>
      <w:t>1</w:t>
    </w:r>
    <w:r>
      <w:rPr>
        <w:noProof/>
      </w:rPr>
      <w:fldChar w:fldCharType="end"/>
    </w:r>
    <w:r>
      <w:rPr>
        <w:noProo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06" w:rsidRDefault="00174B0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06" w:rsidRDefault="00174B06" w:rsidP="008A0533">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F852FE">
      <w:rPr>
        <w:rStyle w:val="PageNumber"/>
        <w:noProof/>
      </w:rPr>
      <w:t>42</w:t>
    </w:r>
    <w:r>
      <w:rPr>
        <w:rStyle w:val="PageNumber"/>
      </w:rPr>
      <w:fldChar w:fldCharType="end"/>
    </w:r>
    <w:r>
      <w:rPr>
        <w:rStyle w:val="PageNumber"/>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06" w:rsidRDefault="00174B0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852FE">
      <w:rPr>
        <w:rStyle w:val="PageNumber"/>
        <w:noProof/>
      </w:rPr>
      <w:t>43</w:t>
    </w:r>
    <w:r>
      <w:rPr>
        <w:rStyle w:val="PageNumber"/>
      </w:rPr>
      <w:fldChar w:fldCharType="end"/>
    </w:r>
    <w:r>
      <w:rPr>
        <w:rStyle w:val="PageNumber"/>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06" w:rsidRDefault="00174B0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852FE">
      <w:rPr>
        <w:rStyle w:val="PageNumber"/>
        <w:noProof/>
      </w:rPr>
      <w:t>44</w:t>
    </w:r>
    <w:r>
      <w:rPr>
        <w:rStyle w:val="PageNumber"/>
      </w:rPr>
      <w:fldChar w:fldCharType="end"/>
    </w:r>
    <w:r>
      <w:rPr>
        <w:rStyle w:val="PageNumber"/>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06" w:rsidRDefault="00174B0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852FE">
      <w:rPr>
        <w:rStyle w:val="PageNumber"/>
        <w:noProof/>
      </w:rPr>
      <w:t>47</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B06" w:rsidRDefault="00174B06">
      <w:r>
        <w:separator/>
      </w:r>
    </w:p>
  </w:footnote>
  <w:footnote w:type="continuationSeparator" w:id="0">
    <w:p w:rsidR="00174B06" w:rsidRDefault="00174B06">
      <w:r>
        <w:continuationSeparator/>
      </w:r>
    </w:p>
  </w:footnote>
  <w:footnote w:id="1">
    <w:p w:rsidR="00174B06" w:rsidRPr="00AF3D07" w:rsidRDefault="00174B06" w:rsidP="00C32617">
      <w:pPr>
        <w:pStyle w:val="FootnoteText"/>
        <w:rPr>
          <w:i/>
        </w:rPr>
      </w:pPr>
      <w:r>
        <w:rPr>
          <w:rStyle w:val="FootnoteReference"/>
        </w:rPr>
        <w:footnoteRef/>
      </w:r>
      <w:r>
        <w:t xml:space="preserve">Order No. PSC-97-0513-FOF-WU, issued on May 5, 1997, in Docket No. 961109-WU, </w:t>
      </w:r>
      <w:r w:rsidRPr="00AF3D07">
        <w:rPr>
          <w:i/>
        </w:rPr>
        <w:t>In re: Application for Grandfather Certificate to Operate a Water Utility in Polk County by Alturas Water Works.</w:t>
      </w:r>
    </w:p>
  </w:footnote>
  <w:footnote w:id="2">
    <w:p w:rsidR="00174B06" w:rsidRPr="00AF3D07" w:rsidRDefault="00174B06" w:rsidP="00C32617">
      <w:pPr>
        <w:pStyle w:val="FootnoteText"/>
        <w:rPr>
          <w:i/>
        </w:rPr>
      </w:pPr>
      <w:r>
        <w:rPr>
          <w:rStyle w:val="FootnoteReference"/>
        </w:rPr>
        <w:footnoteRef/>
      </w:r>
      <w:r>
        <w:t xml:space="preserve">Order No. PSC-01-0323-PAA-WU, issued on February 5, 2001, in Docket No. 000580-WU, </w:t>
      </w:r>
      <w:r w:rsidRPr="00AF3D07">
        <w:rPr>
          <w:i/>
        </w:rPr>
        <w:t>In re: Application for staff assisted rate case in Polk County by Keen Sales, Rentals and Utilities, Inc. (Alturas Water Works).</w:t>
      </w:r>
    </w:p>
  </w:footnote>
  <w:footnote w:id="3">
    <w:p w:rsidR="00174B06" w:rsidRPr="00E326D8" w:rsidRDefault="00174B06" w:rsidP="00C32617">
      <w:pPr>
        <w:pStyle w:val="FootnoteText"/>
        <w:rPr>
          <w:i/>
        </w:rPr>
      </w:pPr>
      <w:r>
        <w:rPr>
          <w:rStyle w:val="FootnoteReference"/>
        </w:rPr>
        <w:footnoteRef/>
      </w:r>
      <w:r w:rsidRPr="00CB307E">
        <w:t xml:space="preserve">Order </w:t>
      </w:r>
      <w:r>
        <w:t xml:space="preserve">No. </w:t>
      </w:r>
      <w:r w:rsidRPr="00CB307E">
        <w:t>PSC-98-1752-FOF-WU</w:t>
      </w:r>
      <w:r>
        <w:t xml:space="preserve">, issued on December 22, 1998, in Docket No. 980536-WU, </w:t>
      </w:r>
      <w:r w:rsidRPr="00E326D8">
        <w:rPr>
          <w:i/>
        </w:rPr>
        <w:t>In re: Application for transfer of water facilities from Alturas Water Works to Keen Sales, Rentals and Utilities, Inc. In Polk County, cancellation of Alturas’ Certificate No. 591-W and amendment of Keen’s Certificate No. 582-W to include additional territory.</w:t>
      </w:r>
    </w:p>
  </w:footnote>
  <w:footnote w:id="4">
    <w:p w:rsidR="00174B06" w:rsidRPr="00E326D8" w:rsidRDefault="00174B06" w:rsidP="00C32617">
      <w:pPr>
        <w:pStyle w:val="FootnoteText"/>
        <w:rPr>
          <w:i/>
        </w:rPr>
      </w:pPr>
      <w:r>
        <w:rPr>
          <w:rStyle w:val="FootnoteReference"/>
        </w:rPr>
        <w:footnoteRef/>
      </w:r>
      <w:r>
        <w:t xml:space="preserve">Order No. </w:t>
      </w:r>
      <w:r w:rsidRPr="00D96B65">
        <w:t>PSC-05-0309-PAA-WU</w:t>
      </w:r>
      <w:r>
        <w:t xml:space="preserve">, issued on March 21, 2005, in Docket No. 040160-WU, </w:t>
      </w:r>
      <w:r w:rsidRPr="00E326D8">
        <w:rPr>
          <w:i/>
        </w:rPr>
        <w:t>In re: Application for transfer of portion of Certificate No. 582-W by Keen Sales, Rentals and Utilities, Inc. to Alturas Utilities, L.L.C., in Polk County.</w:t>
      </w:r>
    </w:p>
  </w:footnote>
  <w:footnote w:id="5">
    <w:p w:rsidR="00174B06" w:rsidRPr="00E326D8" w:rsidRDefault="00174B06" w:rsidP="00C32617">
      <w:pPr>
        <w:pStyle w:val="FootnoteText"/>
        <w:rPr>
          <w:i/>
        </w:rPr>
      </w:pPr>
      <w:r>
        <w:rPr>
          <w:rStyle w:val="FootnoteReference"/>
        </w:rPr>
        <w:footnoteRef/>
      </w:r>
      <w:r>
        <w:t xml:space="preserve">Order No. </w:t>
      </w:r>
      <w:r w:rsidRPr="007111C8">
        <w:t>PSC-10-0380-PAA-WU</w:t>
      </w:r>
      <w:r>
        <w:t xml:space="preserve">, issued on June 15, 2010, in Docket No. 090477-WU, </w:t>
      </w:r>
      <w:r w:rsidRPr="00E326D8">
        <w:rPr>
          <w:i/>
        </w:rPr>
        <w:t>In re: Application for staff-assisted rate case in Polk County by Alturas Utilities, L.L.C.</w:t>
      </w:r>
    </w:p>
  </w:footnote>
  <w:footnote w:id="6">
    <w:p w:rsidR="00174B06" w:rsidRDefault="00174B06" w:rsidP="00C32617">
      <w:pPr>
        <w:pStyle w:val="FootnoteText"/>
      </w:pPr>
      <w:r>
        <w:rPr>
          <w:rStyle w:val="FootnoteReference"/>
        </w:rPr>
        <w:footnoteRef/>
      </w:r>
      <w:r>
        <w:t xml:space="preserve">Document Nos. 03571-15, filed on June 10, 2015, and </w:t>
      </w:r>
      <w:r w:rsidRPr="0041295E">
        <w:t>03595-15</w:t>
      </w:r>
      <w:r>
        <w:t xml:space="preserve"> filed on June 11, 2015, in Docket No. 140219-WU.</w:t>
      </w:r>
    </w:p>
  </w:footnote>
  <w:footnote w:id="7">
    <w:p w:rsidR="00174B06" w:rsidRDefault="00174B06">
      <w:pPr>
        <w:pStyle w:val="FootnoteText"/>
      </w:pPr>
      <w:r>
        <w:rPr>
          <w:rStyle w:val="FootnoteReference"/>
        </w:rPr>
        <w:footnoteRef/>
      </w:r>
      <w:r>
        <w:t>Document No. 07808-15, filed on December 10, 2015, in Docket Nos. 140219-WU and 140220-WU.</w:t>
      </w:r>
    </w:p>
  </w:footnote>
  <w:footnote w:id="8">
    <w:p w:rsidR="00174B06" w:rsidRDefault="00174B06" w:rsidP="00C32617">
      <w:pPr>
        <w:pStyle w:val="FootnoteText"/>
      </w:pPr>
      <w:r>
        <w:rPr>
          <w:rStyle w:val="FootnoteReference"/>
        </w:rPr>
        <w:footnoteRef/>
      </w:r>
      <w:r>
        <w:t>Staff conducted a plant site visit on May 19, 2015.</w:t>
      </w:r>
    </w:p>
  </w:footnote>
  <w:footnote w:id="9">
    <w:p w:rsidR="00174B06" w:rsidRDefault="00174B06" w:rsidP="00C32617">
      <w:pPr>
        <w:pStyle w:val="FootnoteText"/>
      </w:pPr>
      <w:r>
        <w:rPr>
          <w:rStyle w:val="FootnoteReference"/>
        </w:rPr>
        <w:footnoteRef/>
      </w:r>
      <w:r>
        <w:t xml:space="preserve">Document No. </w:t>
      </w:r>
      <w:r>
        <w:rPr>
          <w:color w:val="333333"/>
        </w:rPr>
        <w:t>03102-15, filed on May 26, 2015, in Docket No. 140219-WU.</w:t>
      </w:r>
    </w:p>
  </w:footnote>
  <w:footnote w:id="10">
    <w:p w:rsidR="00174B06" w:rsidRDefault="00174B06" w:rsidP="00845B6B">
      <w:pPr>
        <w:pStyle w:val="FootnoteText"/>
      </w:pPr>
      <w:r>
        <w:rPr>
          <w:rStyle w:val="FootnoteReference"/>
        </w:rPr>
        <w:footnoteRef/>
      </w:r>
      <w:r>
        <w:t>Document 03595-15, filed on June 11, 2015, in Docket No. 140219-WU.</w:t>
      </w:r>
    </w:p>
  </w:footnote>
  <w:footnote w:id="11">
    <w:p w:rsidR="00174B06" w:rsidRPr="00665F05" w:rsidRDefault="00174B06" w:rsidP="00845B6B">
      <w:pPr>
        <w:pStyle w:val="FootnoteText"/>
        <w:rPr>
          <w:i/>
        </w:rPr>
      </w:pPr>
      <w:r>
        <w:rPr>
          <w:rStyle w:val="FootnoteReference"/>
        </w:rPr>
        <w:footnoteRef/>
      </w:r>
      <w:r>
        <w:t xml:space="preserve">Document 03572-15, filed on June 10, 2015, in Docket No. 140220-WU, </w:t>
      </w:r>
      <w:r w:rsidRPr="00665F05">
        <w:rPr>
          <w:i/>
        </w:rPr>
        <w:t>In re: Application for staff-assisted rate case in Polk County by Sunrise Utilities, L.L.C.</w:t>
      </w:r>
    </w:p>
  </w:footnote>
  <w:footnote w:id="12">
    <w:p w:rsidR="00174B06" w:rsidRDefault="00174B06" w:rsidP="00C32617">
      <w:pPr>
        <w:pStyle w:val="FootnoteText"/>
      </w:pPr>
      <w:r>
        <w:rPr>
          <w:rStyle w:val="FootnoteReference"/>
        </w:rPr>
        <w:footnoteRef/>
      </w:r>
      <w:r>
        <w:t xml:space="preserve">Document </w:t>
      </w:r>
      <w:r>
        <w:rPr>
          <w:color w:val="333333"/>
        </w:rPr>
        <w:t>06695-15, filed on October 20, 2015, in Docket No. 140219-WU.</w:t>
      </w:r>
    </w:p>
  </w:footnote>
  <w:footnote w:id="13">
    <w:p w:rsidR="00174B06" w:rsidRDefault="00174B06" w:rsidP="00C32617">
      <w:pPr>
        <w:pStyle w:val="FootnoteText"/>
      </w:pPr>
      <w:r>
        <w:rPr>
          <w:rStyle w:val="FootnoteReference"/>
        </w:rPr>
        <w:footnoteRef/>
      </w:r>
      <w:r>
        <w:t>Document 05581-15 filed on September 8, 2015, in Docket No. 140219-WU.</w:t>
      </w:r>
    </w:p>
  </w:footnote>
  <w:footnote w:id="14">
    <w:p w:rsidR="00174B06" w:rsidRPr="005F6EC8" w:rsidRDefault="00174B06" w:rsidP="008876BF">
      <w:pPr>
        <w:pStyle w:val="FootnoteText"/>
      </w:pPr>
      <w:r>
        <w:rPr>
          <w:rStyle w:val="FootnoteReference"/>
        </w:rPr>
        <w:footnoteRef/>
      </w:r>
      <w:r w:rsidRPr="005F6EC8">
        <w:rPr>
          <w:rStyle w:val="BodyTextChar"/>
          <w:sz w:val="20"/>
          <w:szCs w:val="20"/>
        </w:rPr>
        <w:t>Order No</w:t>
      </w:r>
      <w:r>
        <w:rPr>
          <w:rStyle w:val="BodyTextChar"/>
          <w:sz w:val="20"/>
          <w:szCs w:val="20"/>
        </w:rPr>
        <w:t>s</w:t>
      </w:r>
      <w:r w:rsidRPr="005F6EC8">
        <w:rPr>
          <w:rStyle w:val="BodyTextChar"/>
          <w:sz w:val="20"/>
          <w:szCs w:val="20"/>
        </w:rPr>
        <w:t xml:space="preserve">. 17043, issued </w:t>
      </w:r>
      <w:r>
        <w:rPr>
          <w:rStyle w:val="BodyTextChar"/>
          <w:sz w:val="20"/>
          <w:szCs w:val="20"/>
        </w:rPr>
        <w:t xml:space="preserve">on </w:t>
      </w:r>
      <w:r w:rsidRPr="005F6EC8">
        <w:rPr>
          <w:rStyle w:val="BodyTextChar"/>
          <w:sz w:val="20"/>
          <w:szCs w:val="20"/>
        </w:rPr>
        <w:t xml:space="preserve">December 31, 1986, in Docket No. 860325-WS, </w:t>
      </w:r>
      <w:r w:rsidRPr="00A948A9">
        <w:rPr>
          <w:rStyle w:val="BodyTextChar"/>
          <w:i/>
          <w:sz w:val="20"/>
          <w:szCs w:val="20"/>
        </w:rPr>
        <w:t>In re: Request by Southern States Utilities, Inc. for approval of test year ended 12/31/85 for rate increase in Seminole County</w:t>
      </w:r>
      <w:r>
        <w:rPr>
          <w:rStyle w:val="BodyTextChar"/>
          <w:sz w:val="20"/>
          <w:szCs w:val="20"/>
        </w:rPr>
        <w:t xml:space="preserve">; Order No. </w:t>
      </w:r>
      <w:r w:rsidRPr="005F6EC8">
        <w:rPr>
          <w:rStyle w:val="BodyTextChar"/>
          <w:sz w:val="20"/>
          <w:szCs w:val="20"/>
        </w:rPr>
        <w:t xml:space="preserve">PSC-01-0323-PAA-WU, issued </w:t>
      </w:r>
      <w:r>
        <w:rPr>
          <w:rStyle w:val="BodyTextChar"/>
          <w:sz w:val="20"/>
          <w:szCs w:val="20"/>
        </w:rPr>
        <w:t xml:space="preserve">on </w:t>
      </w:r>
      <w:r w:rsidRPr="005F6EC8">
        <w:rPr>
          <w:rStyle w:val="BodyTextChar"/>
          <w:sz w:val="20"/>
          <w:szCs w:val="20"/>
        </w:rPr>
        <w:t>February 5, 2001, in Docket No. 000580-WU,</w:t>
      </w:r>
      <w:r w:rsidRPr="00E9365B">
        <w:rPr>
          <w:rStyle w:val="BodyTextChar"/>
          <w:sz w:val="20"/>
          <w:szCs w:val="20"/>
        </w:rPr>
        <w:t xml:space="preserve"> </w:t>
      </w:r>
      <w:r w:rsidRPr="00A948A9">
        <w:rPr>
          <w:rStyle w:val="BodyTextChar"/>
          <w:i/>
          <w:sz w:val="20"/>
          <w:szCs w:val="20"/>
        </w:rPr>
        <w:t>In re: Application for staff-assisted rate case in Polk County by Keen Sales, Rentals and Utilities, Inc. (Alturas Water Works)</w:t>
      </w:r>
      <w:r w:rsidRPr="00472BA1">
        <w:rPr>
          <w:rStyle w:val="BodyTextChar"/>
          <w:sz w:val="20"/>
          <w:szCs w:val="20"/>
        </w:rPr>
        <w:t>;</w:t>
      </w:r>
      <w:r>
        <w:t xml:space="preserve"> Order No. PSC-05-0442-PAA-WU, issued on April 25, 2005, in Docket No. 040254-WU, </w:t>
      </w:r>
      <w:r w:rsidRPr="00A948A9">
        <w:rPr>
          <w:i/>
        </w:rPr>
        <w:t>In re: Application for staff-assisted rate increase in Polk County by Keen Sales, Rentals and Utilities, Inc.</w:t>
      </w:r>
      <w:r>
        <w:t xml:space="preserve">; Order No. </w:t>
      </w:r>
      <w:r w:rsidRPr="001B6E7C">
        <w:t xml:space="preserve">PSC-09-0716-PAA-WU, issued </w:t>
      </w:r>
      <w:r>
        <w:t xml:space="preserve">on </w:t>
      </w:r>
      <w:r w:rsidRPr="001B6E7C">
        <w:t xml:space="preserve">October 28, 2009, in Docket No. 090072-WU, </w:t>
      </w:r>
      <w:r w:rsidRPr="00A948A9">
        <w:rPr>
          <w:i/>
        </w:rPr>
        <w:t>In re: Application for staff-assisted rate case in Polk County by Keen Sales, Rentals and Utilities, Inc.</w:t>
      </w:r>
      <w:r>
        <w:t xml:space="preserve">; Order No. PSC-13-0320-PAA-WU, issued on July 12, 2013, in Docket No. 120269-WU, </w:t>
      </w:r>
      <w:r w:rsidRPr="00A948A9">
        <w:rPr>
          <w:i/>
        </w:rPr>
        <w:t>In re: Application for staff-assisted rate case in Polk County by Pinecrest Utilities, LLC</w:t>
      </w:r>
      <w:r>
        <w:t xml:space="preserve">; and Order No. PSC-13-0327-PAA-SU, issued on July 16, 2013, in Docket No. 120270-SU, </w:t>
      </w:r>
      <w:r w:rsidRPr="00A948A9">
        <w:rPr>
          <w:i/>
        </w:rPr>
        <w:t>In re: Application for staff-assisted rate case in Polk County by West Lakeland Wastewater, LLC.</w:t>
      </w:r>
    </w:p>
  </w:footnote>
  <w:footnote w:id="15">
    <w:p w:rsidR="00174B06" w:rsidRDefault="00174B06" w:rsidP="008876BF">
      <w:pPr>
        <w:pStyle w:val="FootnoteText"/>
      </w:pPr>
      <w:r>
        <w:rPr>
          <w:rStyle w:val="FootnoteReference"/>
        </w:rPr>
        <w:footnoteRef/>
      </w:r>
      <w:r>
        <w:t xml:space="preserve">Order No. PSC-10-0380-PAA-WU, issued on June 5, 2010, Docket No. 090477-WU, </w:t>
      </w:r>
      <w:r w:rsidRPr="003C585E">
        <w:rPr>
          <w:i/>
        </w:rPr>
        <w:t>In re: Application for staff-assisted rate case in Polk County by Alturas Utilities, L.L.C.</w:t>
      </w:r>
    </w:p>
  </w:footnote>
  <w:footnote w:id="16">
    <w:p w:rsidR="00174B06" w:rsidRPr="00350064" w:rsidRDefault="00174B06" w:rsidP="008876BF">
      <w:pPr>
        <w:pStyle w:val="FootnoteText"/>
      </w:pPr>
      <w:r>
        <w:rPr>
          <w:rStyle w:val="FootnoteReference"/>
        </w:rPr>
        <w:footnoteRef/>
      </w:r>
      <w:r w:rsidRPr="00350064">
        <w:t xml:space="preserve">Order No. PSC-05-0309-PAA-WU, issued </w:t>
      </w:r>
      <w:r>
        <w:t xml:space="preserve">on </w:t>
      </w:r>
      <w:r w:rsidRPr="00350064">
        <w:t xml:space="preserve">March 21, 2005, in Docket No. 040160-WU, </w:t>
      </w:r>
      <w:r w:rsidRPr="008F5EBB">
        <w:rPr>
          <w:i/>
        </w:rPr>
        <w:t>In re: Application for transfer of portion of Certificate No. 582-W by Keen Sales, Rentals, and Utilities, Inc. to Alturas Utilities, L.L.C., in Polk County</w:t>
      </w:r>
      <w:r w:rsidRPr="00350064">
        <w:t xml:space="preserve">. </w:t>
      </w:r>
    </w:p>
  </w:footnote>
  <w:footnote w:id="17">
    <w:p w:rsidR="00174B06" w:rsidRPr="00350064" w:rsidRDefault="00174B06" w:rsidP="008876BF">
      <w:pPr>
        <w:pStyle w:val="FootnoteText"/>
      </w:pPr>
      <w:r w:rsidRPr="00350064">
        <w:rPr>
          <w:rStyle w:val="FootnoteReference"/>
        </w:rPr>
        <w:footnoteRef/>
      </w:r>
      <w:r w:rsidRPr="008F5EBB">
        <w:t xml:space="preserve">Order No. PSC-15-0259-PAA-WS, issued </w:t>
      </w:r>
      <w:r>
        <w:t xml:space="preserve">on </w:t>
      </w:r>
      <w:r w:rsidRPr="008F5EBB">
        <w:t xml:space="preserve">July 2, 2015, in Docket No. 150006-WS, </w:t>
      </w:r>
      <w:r w:rsidRPr="008F5EBB">
        <w:rPr>
          <w:i/>
        </w:rPr>
        <w:t>In re: Water and wastewater industry annual reestablishment of authorized range of return on common equity for water and wastewater utilities pursuant to Section 367.081(4)(f), F.S.</w:t>
      </w:r>
    </w:p>
  </w:footnote>
  <w:footnote w:id="18">
    <w:p w:rsidR="00174B06" w:rsidRDefault="00174B06" w:rsidP="008876BF">
      <w:pPr>
        <w:pStyle w:val="FootnoteText"/>
      </w:pPr>
      <w:r>
        <w:rPr>
          <w:rStyle w:val="FootnoteReference"/>
        </w:rPr>
        <w:footnoteRef/>
      </w:r>
      <w:r>
        <w:t>Order No. PSC-12-0533-PAA-WU</w:t>
      </w:r>
      <w:r w:rsidRPr="00BC4EAF">
        <w:t xml:space="preserve">, issued </w:t>
      </w:r>
      <w:r>
        <w:t xml:space="preserve">on </w:t>
      </w:r>
      <w:r w:rsidRPr="00BC4EAF">
        <w:t xml:space="preserve">October 9, 2012, in </w:t>
      </w:r>
      <w:r w:rsidRPr="00BC4EAF">
        <w:rPr>
          <w:bCs/>
        </w:rPr>
        <w:t>Docket No. 110238-</w:t>
      </w:r>
      <w:r>
        <w:rPr>
          <w:bCs/>
        </w:rPr>
        <w:t>WU</w:t>
      </w:r>
      <w:r w:rsidRPr="00490371">
        <w:rPr>
          <w:bCs/>
        </w:rPr>
        <w:t>,</w:t>
      </w:r>
      <w:r>
        <w:rPr>
          <w:bCs/>
        </w:rPr>
        <w:t xml:space="preserve"> </w:t>
      </w:r>
      <w:r w:rsidRPr="00A141FE">
        <w:rPr>
          <w:bCs/>
          <w:i/>
        </w:rPr>
        <w:t>Re: Application for staff-assisted rate case in Polk County by Sunrise Utilities, LLC</w:t>
      </w:r>
      <w:r w:rsidRPr="003C4C8D">
        <w:rPr>
          <w:bCs/>
          <w:i/>
        </w:rPr>
        <w:t>.</w:t>
      </w:r>
      <w:r>
        <w:t xml:space="preserve"> </w:t>
      </w:r>
    </w:p>
  </w:footnote>
  <w:footnote w:id="19">
    <w:p w:rsidR="00174B06" w:rsidRDefault="00174B06">
      <w:pPr>
        <w:pStyle w:val="FootnoteText"/>
      </w:pPr>
      <w:r>
        <w:rPr>
          <w:rStyle w:val="FootnoteReference"/>
        </w:rPr>
        <w:footnoteRef/>
      </w:r>
      <w:r>
        <w:t xml:space="preserve">Order No. PSC-10-0380-PAA-WU, issued on June 15, 2010, in Docket No. 090477-WU, </w:t>
      </w:r>
      <w:r w:rsidRPr="00114959">
        <w:rPr>
          <w:i/>
        </w:rPr>
        <w:t>In re: Application for staff-assisted rate case in Polk County by Alturas Utilities, L.L.C.</w:t>
      </w:r>
    </w:p>
  </w:footnote>
  <w:footnote w:id="20">
    <w:p w:rsidR="00174B06" w:rsidRPr="008236E8" w:rsidRDefault="00174B06" w:rsidP="007E52A8">
      <w:pPr>
        <w:pStyle w:val="FootnoteText"/>
        <w:rPr>
          <w:i/>
        </w:rPr>
      </w:pPr>
      <w:r w:rsidRPr="00640DCA">
        <w:rPr>
          <w:rStyle w:val="FootnoteReference"/>
        </w:rPr>
        <w:footnoteRef/>
      </w:r>
      <w:r w:rsidRPr="00640DCA">
        <w:t>Order No. PSC-</w:t>
      </w:r>
      <w:r>
        <w:t>1</w:t>
      </w:r>
      <w:r w:rsidRPr="00640DCA">
        <w:t>3-</w:t>
      </w:r>
      <w:r>
        <w:t>0611</w:t>
      </w:r>
      <w:r w:rsidRPr="00640DCA">
        <w:t xml:space="preserve">-PAA-WS, issued </w:t>
      </w:r>
      <w:r>
        <w:t xml:space="preserve">on </w:t>
      </w:r>
      <w:r w:rsidRPr="00640DCA">
        <w:t xml:space="preserve">November </w:t>
      </w:r>
      <w:r>
        <w:t>19</w:t>
      </w:r>
      <w:r w:rsidRPr="00640DCA">
        <w:t>, 20</w:t>
      </w:r>
      <w:r>
        <w:t>1</w:t>
      </w:r>
      <w:r w:rsidRPr="00640DCA">
        <w:t xml:space="preserve">3, in Docket No. </w:t>
      </w:r>
      <w:r>
        <w:t>130010</w:t>
      </w:r>
      <w:r w:rsidRPr="00640DCA">
        <w:t>-WS,</w:t>
      </w:r>
      <w:r w:rsidRPr="008236E8">
        <w:t xml:space="preserve"> </w:t>
      </w:r>
      <w:r w:rsidRPr="008236E8">
        <w:rPr>
          <w:i/>
        </w:rPr>
        <w:t>In re: Application for increase in water rates in Lee County and wastewater rates in Pasco County by Ni Florida, LLC.</w:t>
      </w:r>
      <w:r>
        <w:t xml:space="preserve">, and </w:t>
      </w:r>
      <w:r w:rsidRPr="008236E8">
        <w:t xml:space="preserve">Order No. PSC-14-0016-TRF-WU, issued </w:t>
      </w:r>
      <w:r>
        <w:t xml:space="preserve">on </w:t>
      </w:r>
      <w:r w:rsidRPr="008236E8">
        <w:t xml:space="preserve">January 6, 2014, in Docket No. 130251-WU, </w:t>
      </w:r>
      <w:r w:rsidRPr="008236E8">
        <w:rPr>
          <w:i/>
        </w:rPr>
        <w:t>In re: Application for approval of miscellaneous service charges in Pasco County, by Crestridge Utility Corporation.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06" w:rsidRDefault="00174B06" w:rsidP="00220732">
    <w:pPr>
      <w:pStyle w:val="Header"/>
      <w:tabs>
        <w:tab w:val="clear" w:pos="4320"/>
        <w:tab w:val="clear" w:pos="8640"/>
        <w:tab w:val="right" w:pos="9360"/>
      </w:tabs>
    </w:pPr>
    <w:bookmarkStart w:id="9" w:name="DocketLabel"/>
    <w:r>
      <w:t>Docket No.</w:t>
    </w:r>
    <w:bookmarkEnd w:id="9"/>
    <w:r>
      <w:t xml:space="preserve"> </w:t>
    </w:r>
    <w:bookmarkStart w:id="10" w:name="DocketList"/>
    <w:r>
      <w:t>140219-WU</w:t>
    </w:r>
    <w:bookmarkEnd w:id="10"/>
  </w:p>
  <w:p w:rsidR="00174B06" w:rsidRDefault="00174B06">
    <w:pPr>
      <w:pStyle w:val="Header"/>
    </w:pPr>
    <w:r>
      <w:t xml:space="preserve">Date: </w:t>
    </w:r>
    <w:r w:rsidR="00F852FE">
      <w:fldChar w:fldCharType="begin"/>
    </w:r>
    <w:r w:rsidR="00F852FE">
      <w:instrText xml:space="preserve"> REF FilingDate </w:instrText>
    </w:r>
    <w:r w:rsidR="00F852FE">
      <w:fldChar w:fldCharType="separate"/>
    </w:r>
    <w:r w:rsidR="004E0887">
      <w:t>February 18, 2016</w:t>
    </w:r>
    <w:r w:rsidR="00F852FE">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06" w:rsidRDefault="00174B06" w:rsidP="00220732">
    <w:pPr>
      <w:pStyle w:val="Header"/>
      <w:tabs>
        <w:tab w:val="clear" w:pos="4320"/>
        <w:tab w:val="clear" w:pos="8640"/>
        <w:tab w:val="right" w:pos="9360"/>
      </w:tabs>
    </w:pPr>
    <w:r>
      <w:fldChar w:fldCharType="begin"/>
    </w:r>
    <w:r>
      <w:instrText xml:space="preserve"> REF DocketLabel</w:instrText>
    </w:r>
    <w:r>
      <w:fldChar w:fldCharType="separate"/>
    </w:r>
    <w:r w:rsidR="004E0887">
      <w:t>Docket No.</w:t>
    </w:r>
    <w:r>
      <w:fldChar w:fldCharType="end"/>
    </w:r>
    <w:r>
      <w:t xml:space="preserve"> </w:t>
    </w:r>
    <w:r>
      <w:fldChar w:fldCharType="begin"/>
    </w:r>
    <w:r>
      <w:instrText xml:space="preserve"> REF DocketList</w:instrText>
    </w:r>
    <w:r>
      <w:fldChar w:fldCharType="separate"/>
    </w:r>
    <w:r w:rsidR="004E0887">
      <w:t>140219-WU</w:t>
    </w:r>
    <w:r>
      <w:fldChar w:fldCharType="end"/>
    </w:r>
    <w:r>
      <w:tab/>
      <w:t>Schedule No. 3-B</w:t>
    </w:r>
  </w:p>
  <w:p w:rsidR="00174B06" w:rsidRDefault="00174B06" w:rsidP="00276AC3">
    <w:pPr>
      <w:pStyle w:val="Header"/>
      <w:tabs>
        <w:tab w:val="clear" w:pos="8640"/>
        <w:tab w:val="right" w:pos="9360"/>
      </w:tabs>
    </w:pPr>
    <w:r>
      <w:t xml:space="preserve">Date: </w:t>
    </w:r>
    <w:r w:rsidR="00F852FE">
      <w:fldChar w:fldCharType="begin"/>
    </w:r>
    <w:r w:rsidR="00F852FE">
      <w:instrText xml:space="preserve"> REF FilingDate </w:instrText>
    </w:r>
    <w:r w:rsidR="00F852FE">
      <w:fldChar w:fldCharType="separate"/>
    </w:r>
    <w:r w:rsidR="004E0887">
      <w:t>February 18, 2016</w:t>
    </w:r>
    <w:r w:rsidR="00F852FE">
      <w:fldChar w:fldCharType="end"/>
    </w:r>
    <w:r>
      <w:tab/>
    </w:r>
    <w:r>
      <w:tab/>
      <w:t>Page 2 of 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06" w:rsidRDefault="00174B06" w:rsidP="00220732">
    <w:pPr>
      <w:pStyle w:val="Header"/>
      <w:tabs>
        <w:tab w:val="clear" w:pos="4320"/>
        <w:tab w:val="clear" w:pos="8640"/>
        <w:tab w:val="right" w:pos="9360"/>
      </w:tabs>
    </w:pPr>
    <w:r>
      <w:fldChar w:fldCharType="begin"/>
    </w:r>
    <w:r>
      <w:instrText xml:space="preserve"> REF DocketLabel</w:instrText>
    </w:r>
    <w:r>
      <w:fldChar w:fldCharType="separate"/>
    </w:r>
    <w:r w:rsidR="004E0887">
      <w:t>Docket No.</w:t>
    </w:r>
    <w:r>
      <w:fldChar w:fldCharType="end"/>
    </w:r>
    <w:r>
      <w:t xml:space="preserve"> </w:t>
    </w:r>
    <w:r>
      <w:fldChar w:fldCharType="begin"/>
    </w:r>
    <w:r>
      <w:instrText xml:space="preserve"> REF DocketList</w:instrText>
    </w:r>
    <w:r>
      <w:fldChar w:fldCharType="separate"/>
    </w:r>
    <w:r w:rsidR="004E0887">
      <w:t>140219-WU</w:t>
    </w:r>
    <w:r>
      <w:fldChar w:fldCharType="end"/>
    </w:r>
    <w:r>
      <w:tab/>
      <w:t>Schedule No. 3-C</w:t>
    </w:r>
  </w:p>
  <w:p w:rsidR="00174B06" w:rsidRDefault="00174B06" w:rsidP="00276AC3">
    <w:pPr>
      <w:pStyle w:val="Header"/>
      <w:tabs>
        <w:tab w:val="clear" w:pos="8640"/>
        <w:tab w:val="right" w:pos="9360"/>
      </w:tabs>
    </w:pPr>
    <w:r>
      <w:t xml:space="preserve">Date: </w:t>
    </w:r>
    <w:r w:rsidR="00F852FE">
      <w:fldChar w:fldCharType="begin"/>
    </w:r>
    <w:r w:rsidR="00F852FE">
      <w:instrText xml:space="preserve"> REF FilingDate </w:instrText>
    </w:r>
    <w:r w:rsidR="00F852FE">
      <w:fldChar w:fldCharType="separate"/>
    </w:r>
    <w:r w:rsidR="004E0887">
      <w:t>February 18, 2016</w:t>
    </w:r>
    <w:r w:rsidR="00F852FE">
      <w:fldChar w:fldCharType="end"/>
    </w:r>
    <w:r>
      <w:tab/>
    </w:r>
    <w:r>
      <w:tab/>
      <w:t>Page 1 of 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06" w:rsidRDefault="00174B06" w:rsidP="00220732">
    <w:pPr>
      <w:pStyle w:val="Header"/>
      <w:tabs>
        <w:tab w:val="clear" w:pos="4320"/>
        <w:tab w:val="clear" w:pos="8640"/>
        <w:tab w:val="right" w:pos="9360"/>
      </w:tabs>
    </w:pPr>
    <w:r>
      <w:fldChar w:fldCharType="begin"/>
    </w:r>
    <w:r>
      <w:instrText xml:space="preserve"> REF DocketLabel</w:instrText>
    </w:r>
    <w:r>
      <w:fldChar w:fldCharType="separate"/>
    </w:r>
    <w:r w:rsidR="004E0887">
      <w:t>Docket No.</w:t>
    </w:r>
    <w:r>
      <w:fldChar w:fldCharType="end"/>
    </w:r>
    <w:r>
      <w:t xml:space="preserve"> </w:t>
    </w:r>
    <w:r>
      <w:fldChar w:fldCharType="begin"/>
    </w:r>
    <w:r>
      <w:instrText xml:space="preserve"> REF DocketList</w:instrText>
    </w:r>
    <w:r>
      <w:fldChar w:fldCharType="separate"/>
    </w:r>
    <w:r w:rsidR="004E0887">
      <w:t>140219-WU</w:t>
    </w:r>
    <w:r>
      <w:fldChar w:fldCharType="end"/>
    </w:r>
    <w:r>
      <w:tab/>
      <w:t>Schedule No. 4</w:t>
    </w:r>
  </w:p>
  <w:p w:rsidR="00174B06" w:rsidRDefault="00174B06" w:rsidP="00276AC3">
    <w:pPr>
      <w:pStyle w:val="Header"/>
      <w:tabs>
        <w:tab w:val="clear" w:pos="8640"/>
        <w:tab w:val="right" w:pos="9360"/>
      </w:tabs>
    </w:pPr>
    <w:r>
      <w:t xml:space="preserve">Date: </w:t>
    </w:r>
    <w:r w:rsidR="00F852FE">
      <w:fldChar w:fldCharType="begin"/>
    </w:r>
    <w:r w:rsidR="00F852FE">
      <w:instrText xml:space="preserve"> REF FilingDate </w:instrText>
    </w:r>
    <w:r w:rsidR="00F852FE">
      <w:fldChar w:fldCharType="separate"/>
    </w:r>
    <w:r w:rsidR="004E0887">
      <w:t>February 18, 2016</w:t>
    </w:r>
    <w:r w:rsidR="00F852FE">
      <w:fldChar w:fldCharType="end"/>
    </w:r>
    <w:r>
      <w:tab/>
    </w:r>
    <w:r>
      <w:tab/>
      <w:t>Page 1 of 1</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06" w:rsidRDefault="00174B06" w:rsidP="00220732">
    <w:pPr>
      <w:pStyle w:val="Header"/>
      <w:tabs>
        <w:tab w:val="clear" w:pos="4320"/>
        <w:tab w:val="clear" w:pos="8640"/>
        <w:tab w:val="right" w:pos="9360"/>
      </w:tabs>
    </w:pPr>
    <w:r>
      <w:fldChar w:fldCharType="begin"/>
    </w:r>
    <w:r>
      <w:instrText xml:space="preserve"> REF DocketLabel</w:instrText>
    </w:r>
    <w:r>
      <w:fldChar w:fldCharType="separate"/>
    </w:r>
    <w:r w:rsidR="004E0887">
      <w:t>Docket No.</w:t>
    </w:r>
    <w:r>
      <w:fldChar w:fldCharType="end"/>
    </w:r>
    <w:r>
      <w:t xml:space="preserve"> </w:t>
    </w:r>
    <w:r>
      <w:fldChar w:fldCharType="begin"/>
    </w:r>
    <w:r>
      <w:instrText xml:space="preserve"> REF DocketList</w:instrText>
    </w:r>
    <w:r>
      <w:fldChar w:fldCharType="separate"/>
    </w:r>
    <w:r w:rsidR="004E0887">
      <w:t>140219-WU</w:t>
    </w:r>
    <w:r>
      <w:fldChar w:fldCharType="end"/>
    </w:r>
    <w:r>
      <w:tab/>
      <w:t>Schedule No. 5</w:t>
    </w:r>
  </w:p>
  <w:p w:rsidR="00174B06" w:rsidRDefault="00174B06" w:rsidP="00276AC3">
    <w:pPr>
      <w:pStyle w:val="Header"/>
      <w:tabs>
        <w:tab w:val="clear" w:pos="8640"/>
        <w:tab w:val="right" w:pos="9360"/>
      </w:tabs>
    </w:pPr>
    <w:r>
      <w:t xml:space="preserve">Date: </w:t>
    </w:r>
    <w:r w:rsidR="00F852FE">
      <w:fldChar w:fldCharType="begin"/>
    </w:r>
    <w:r w:rsidR="00F852FE">
      <w:instrText xml:space="preserve"> REF FilingDate </w:instrText>
    </w:r>
    <w:r w:rsidR="00F852FE">
      <w:fldChar w:fldCharType="separate"/>
    </w:r>
    <w:r w:rsidR="004E0887">
      <w:t>February 18, 2016</w:t>
    </w:r>
    <w:r w:rsidR="00F852FE">
      <w:fldChar w:fldCharType="end"/>
    </w:r>
    <w:r>
      <w:tab/>
    </w:r>
    <w:r>
      <w:tab/>
      <w:t>Page 1 of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1F5" w:rsidRDefault="008941F5" w:rsidP="008941F5">
    <w:pPr>
      <w:pStyle w:val="Header"/>
      <w:tabs>
        <w:tab w:val="clear" w:pos="4320"/>
        <w:tab w:val="clear" w:pos="8640"/>
        <w:tab w:val="right" w:pos="9360"/>
      </w:tabs>
    </w:pPr>
    <w:r>
      <w:fldChar w:fldCharType="begin"/>
    </w:r>
    <w:r>
      <w:instrText xml:space="preserve"> REF DocketLabel</w:instrText>
    </w:r>
    <w:r>
      <w:fldChar w:fldCharType="separate"/>
    </w:r>
    <w:r w:rsidR="004E0887">
      <w:t>Docket No.</w:t>
    </w:r>
    <w:r>
      <w:fldChar w:fldCharType="end"/>
    </w:r>
    <w:r>
      <w:t xml:space="preserve"> </w:t>
    </w:r>
    <w:r>
      <w:fldChar w:fldCharType="begin"/>
    </w:r>
    <w:r>
      <w:instrText xml:space="preserve"> REF DocketList</w:instrText>
    </w:r>
    <w:r>
      <w:fldChar w:fldCharType="separate"/>
    </w:r>
    <w:r w:rsidR="004E0887">
      <w:t>140219-WU</w:t>
    </w:r>
    <w:r>
      <w:fldChar w:fldCharType="end"/>
    </w:r>
    <w:r>
      <w:tab/>
    </w:r>
    <w:r w:rsidR="00F852FE">
      <w:t xml:space="preserve"> </w:t>
    </w:r>
  </w:p>
  <w:p w:rsidR="008941F5" w:rsidRDefault="008941F5" w:rsidP="008941F5">
    <w:pPr>
      <w:pStyle w:val="Header"/>
    </w:pPr>
    <w:r>
      <w:t xml:space="preserve">Date: </w:t>
    </w:r>
    <w:fldSimple w:instr=" REF FilingDate ">
      <w:r w:rsidR="004E0887">
        <w:t>February 18, 2016</w:t>
      </w:r>
    </w:fldSimple>
  </w:p>
  <w:p w:rsidR="008941F5" w:rsidRDefault="008941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06" w:rsidRDefault="00174B06" w:rsidP="00220732">
    <w:pPr>
      <w:pStyle w:val="Header"/>
      <w:tabs>
        <w:tab w:val="clear" w:pos="4320"/>
        <w:tab w:val="clear" w:pos="8640"/>
        <w:tab w:val="right" w:pos="9360"/>
      </w:tabs>
    </w:pPr>
    <w:r>
      <w:fldChar w:fldCharType="begin"/>
    </w:r>
    <w:r>
      <w:instrText xml:space="preserve"> REF DocketLabel</w:instrText>
    </w:r>
    <w:r>
      <w:fldChar w:fldCharType="separate"/>
    </w:r>
    <w:r w:rsidR="004E0887">
      <w:t>Docket No.</w:t>
    </w:r>
    <w:r>
      <w:fldChar w:fldCharType="end"/>
    </w:r>
    <w:r>
      <w:t xml:space="preserve"> </w:t>
    </w:r>
    <w:r>
      <w:fldChar w:fldCharType="begin"/>
    </w:r>
    <w:r>
      <w:instrText xml:space="preserve"> REF DocketList</w:instrText>
    </w:r>
    <w:r>
      <w:fldChar w:fldCharType="separate"/>
    </w:r>
    <w:r w:rsidR="004E0887">
      <w:t>140219-WU</w:t>
    </w:r>
    <w:r>
      <w:fldChar w:fldCharType="end"/>
    </w:r>
    <w:r>
      <w:tab/>
      <w:t xml:space="preserve">Issue </w:t>
    </w:r>
    <w:r w:rsidR="00F852FE">
      <w:fldChar w:fldCharType="begin"/>
    </w:r>
    <w:r w:rsidR="00F852FE">
      <w:instrText xml:space="preserve"> Seq Issue \c \* Arabic </w:instrText>
    </w:r>
    <w:r w:rsidR="00F852FE">
      <w:fldChar w:fldCharType="separate"/>
    </w:r>
    <w:r w:rsidR="00F852FE">
      <w:rPr>
        <w:noProof/>
      </w:rPr>
      <w:t>1</w:t>
    </w:r>
    <w:r w:rsidR="00F852FE">
      <w:rPr>
        <w:noProof/>
      </w:rPr>
      <w:fldChar w:fldCharType="end"/>
    </w:r>
  </w:p>
  <w:p w:rsidR="00174B06" w:rsidRDefault="00174B06">
    <w:pPr>
      <w:pStyle w:val="Header"/>
    </w:pPr>
    <w:r>
      <w:t xml:space="preserve">Date: </w:t>
    </w:r>
    <w:r w:rsidR="00F852FE">
      <w:fldChar w:fldCharType="begin"/>
    </w:r>
    <w:r w:rsidR="00F852FE">
      <w:instrText xml:space="preserve"> REF FilingDate </w:instrText>
    </w:r>
    <w:r w:rsidR="00F852FE">
      <w:fldChar w:fldCharType="separate"/>
    </w:r>
    <w:r w:rsidR="004E0887">
      <w:t>February 18, 2016</w:t>
    </w:r>
    <w:r w:rsidR="00F852FE">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06" w:rsidRDefault="00174B0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06" w:rsidRDefault="00174B06" w:rsidP="00220732">
    <w:pPr>
      <w:pStyle w:val="Header"/>
      <w:tabs>
        <w:tab w:val="clear" w:pos="4320"/>
        <w:tab w:val="clear" w:pos="8640"/>
        <w:tab w:val="right" w:pos="9360"/>
      </w:tabs>
    </w:pPr>
    <w:r>
      <w:fldChar w:fldCharType="begin"/>
    </w:r>
    <w:r>
      <w:instrText xml:space="preserve"> REF DocketLabel</w:instrText>
    </w:r>
    <w:r>
      <w:fldChar w:fldCharType="separate"/>
    </w:r>
    <w:r w:rsidR="004E0887">
      <w:t>Docket No.</w:t>
    </w:r>
    <w:r>
      <w:fldChar w:fldCharType="end"/>
    </w:r>
    <w:r>
      <w:t xml:space="preserve"> </w:t>
    </w:r>
    <w:r>
      <w:fldChar w:fldCharType="begin"/>
    </w:r>
    <w:r>
      <w:instrText xml:space="preserve"> REF DocketList</w:instrText>
    </w:r>
    <w:r>
      <w:fldChar w:fldCharType="separate"/>
    </w:r>
    <w:r w:rsidR="004E0887">
      <w:t>140219-WU</w:t>
    </w:r>
    <w:r>
      <w:fldChar w:fldCharType="end"/>
    </w:r>
    <w:r>
      <w:tab/>
      <w:t>Schedule No. 1-A</w:t>
    </w:r>
  </w:p>
  <w:p w:rsidR="00174B06" w:rsidRDefault="00174B06" w:rsidP="00276AC3">
    <w:pPr>
      <w:pStyle w:val="Header"/>
      <w:tabs>
        <w:tab w:val="clear" w:pos="8640"/>
        <w:tab w:val="right" w:pos="9360"/>
      </w:tabs>
    </w:pPr>
    <w:r>
      <w:t xml:space="preserve">Date: </w:t>
    </w:r>
    <w:r w:rsidR="00F852FE">
      <w:fldChar w:fldCharType="begin"/>
    </w:r>
    <w:r w:rsidR="00F852FE">
      <w:instrText xml:space="preserve"> REF FilingDate </w:instrText>
    </w:r>
    <w:r w:rsidR="00F852FE">
      <w:fldChar w:fldCharType="separate"/>
    </w:r>
    <w:r w:rsidR="004E0887">
      <w:t>February 18, 2016</w:t>
    </w:r>
    <w:r w:rsidR="00F852FE">
      <w:fldChar w:fldCharType="end"/>
    </w:r>
    <w:r>
      <w:tab/>
    </w:r>
    <w:r>
      <w:tab/>
      <w:t>Page 1 of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06" w:rsidRDefault="00174B06" w:rsidP="00220732">
    <w:pPr>
      <w:pStyle w:val="Header"/>
      <w:tabs>
        <w:tab w:val="clear" w:pos="4320"/>
        <w:tab w:val="clear" w:pos="8640"/>
        <w:tab w:val="right" w:pos="9360"/>
      </w:tabs>
    </w:pPr>
    <w:r>
      <w:fldChar w:fldCharType="begin"/>
    </w:r>
    <w:r>
      <w:instrText xml:space="preserve"> REF DocketLabel</w:instrText>
    </w:r>
    <w:r>
      <w:fldChar w:fldCharType="separate"/>
    </w:r>
    <w:r w:rsidR="004E0887">
      <w:t>Docket No.</w:t>
    </w:r>
    <w:r>
      <w:fldChar w:fldCharType="end"/>
    </w:r>
    <w:r>
      <w:t xml:space="preserve"> </w:t>
    </w:r>
    <w:r>
      <w:fldChar w:fldCharType="begin"/>
    </w:r>
    <w:r>
      <w:instrText xml:space="preserve"> REF DocketList</w:instrText>
    </w:r>
    <w:r>
      <w:fldChar w:fldCharType="separate"/>
    </w:r>
    <w:r w:rsidR="004E0887">
      <w:t>140219-WU</w:t>
    </w:r>
    <w:r>
      <w:fldChar w:fldCharType="end"/>
    </w:r>
    <w:r>
      <w:tab/>
      <w:t>Schedule No. 1-B</w:t>
    </w:r>
  </w:p>
  <w:p w:rsidR="00174B06" w:rsidRDefault="00174B06" w:rsidP="00276AC3">
    <w:pPr>
      <w:pStyle w:val="Header"/>
      <w:tabs>
        <w:tab w:val="clear" w:pos="8640"/>
        <w:tab w:val="right" w:pos="9360"/>
      </w:tabs>
    </w:pPr>
    <w:r>
      <w:t xml:space="preserve">Date: </w:t>
    </w:r>
    <w:r w:rsidR="00F852FE">
      <w:fldChar w:fldCharType="begin"/>
    </w:r>
    <w:r w:rsidR="00F852FE">
      <w:instrText xml:space="preserve"> REF FilingDate </w:instrText>
    </w:r>
    <w:r w:rsidR="00F852FE">
      <w:fldChar w:fldCharType="separate"/>
    </w:r>
    <w:r w:rsidR="004E0887">
      <w:t>February 18, 2016</w:t>
    </w:r>
    <w:r w:rsidR="00F852FE">
      <w:fldChar w:fldCharType="end"/>
    </w:r>
    <w:r>
      <w:tab/>
    </w:r>
    <w:r>
      <w:tab/>
      <w:t>Page 1 of 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06" w:rsidRDefault="00174B06" w:rsidP="00432271">
    <w:pPr>
      <w:pStyle w:val="Header"/>
      <w:tabs>
        <w:tab w:val="clear" w:pos="4320"/>
        <w:tab w:val="clear" w:pos="8640"/>
        <w:tab w:val="right" w:pos="12780"/>
      </w:tabs>
    </w:pPr>
    <w:r>
      <w:fldChar w:fldCharType="begin"/>
    </w:r>
    <w:r>
      <w:instrText xml:space="preserve"> REF DocketLabel</w:instrText>
    </w:r>
    <w:r>
      <w:fldChar w:fldCharType="separate"/>
    </w:r>
    <w:r w:rsidR="004E0887">
      <w:t>Docket No.</w:t>
    </w:r>
    <w:r>
      <w:fldChar w:fldCharType="end"/>
    </w:r>
    <w:r>
      <w:t xml:space="preserve"> </w:t>
    </w:r>
    <w:r>
      <w:fldChar w:fldCharType="begin"/>
    </w:r>
    <w:r>
      <w:instrText xml:space="preserve"> REF DocketList</w:instrText>
    </w:r>
    <w:r>
      <w:fldChar w:fldCharType="separate"/>
    </w:r>
    <w:r w:rsidR="004E0887">
      <w:t>140219-WU</w:t>
    </w:r>
    <w:r>
      <w:fldChar w:fldCharType="end"/>
    </w:r>
    <w:r>
      <w:tab/>
      <w:t>Schedule No. 2</w:t>
    </w:r>
  </w:p>
  <w:p w:rsidR="00174B06" w:rsidRDefault="00174B06" w:rsidP="00432271">
    <w:pPr>
      <w:pStyle w:val="Header"/>
      <w:tabs>
        <w:tab w:val="clear" w:pos="8640"/>
        <w:tab w:val="right" w:pos="12780"/>
      </w:tabs>
    </w:pPr>
    <w:r>
      <w:t xml:space="preserve">Date: </w:t>
    </w:r>
    <w:r w:rsidR="00F852FE">
      <w:fldChar w:fldCharType="begin"/>
    </w:r>
    <w:r w:rsidR="00F852FE">
      <w:instrText xml:space="preserve"> REF FilingDate </w:instrText>
    </w:r>
    <w:r w:rsidR="00F852FE">
      <w:fldChar w:fldCharType="separate"/>
    </w:r>
    <w:r w:rsidR="004E0887">
      <w:t>February 18, 2016</w:t>
    </w:r>
    <w:r w:rsidR="00F852FE">
      <w:fldChar w:fldCharType="end"/>
    </w:r>
    <w:r>
      <w:tab/>
    </w:r>
    <w:r>
      <w:tab/>
      <w:t>Page 1 of 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06" w:rsidRDefault="00174B06" w:rsidP="00432271">
    <w:pPr>
      <w:pStyle w:val="Header"/>
      <w:tabs>
        <w:tab w:val="clear" w:pos="4320"/>
        <w:tab w:val="clear" w:pos="8640"/>
        <w:tab w:val="right" w:pos="12780"/>
      </w:tabs>
    </w:pPr>
    <w:r>
      <w:fldChar w:fldCharType="begin"/>
    </w:r>
    <w:r>
      <w:instrText xml:space="preserve"> REF DocketLabel</w:instrText>
    </w:r>
    <w:r>
      <w:fldChar w:fldCharType="separate"/>
    </w:r>
    <w:r w:rsidR="004E0887">
      <w:t>Docket No.</w:t>
    </w:r>
    <w:r>
      <w:fldChar w:fldCharType="end"/>
    </w:r>
    <w:r>
      <w:t xml:space="preserve"> </w:t>
    </w:r>
    <w:r>
      <w:fldChar w:fldCharType="begin"/>
    </w:r>
    <w:r>
      <w:instrText xml:space="preserve"> REF DocketList</w:instrText>
    </w:r>
    <w:r>
      <w:fldChar w:fldCharType="separate"/>
    </w:r>
    <w:r w:rsidR="004E0887">
      <w:t>140219-WU</w:t>
    </w:r>
    <w:r>
      <w:fldChar w:fldCharType="end"/>
    </w:r>
    <w:r>
      <w:tab/>
      <w:t>Schedule No. 3-A</w:t>
    </w:r>
  </w:p>
  <w:p w:rsidR="00174B06" w:rsidRDefault="00174B06" w:rsidP="00432271">
    <w:pPr>
      <w:pStyle w:val="Header"/>
      <w:tabs>
        <w:tab w:val="clear" w:pos="8640"/>
        <w:tab w:val="right" w:pos="12780"/>
      </w:tabs>
    </w:pPr>
    <w:r>
      <w:t xml:space="preserve">Date: </w:t>
    </w:r>
    <w:r w:rsidR="00F852FE">
      <w:fldChar w:fldCharType="begin"/>
    </w:r>
    <w:r w:rsidR="00F852FE">
      <w:instrText xml:space="preserve"> REF FilingDate </w:instrText>
    </w:r>
    <w:r w:rsidR="00F852FE">
      <w:fldChar w:fldCharType="separate"/>
    </w:r>
    <w:r w:rsidR="004E0887">
      <w:t>February 18, 2016</w:t>
    </w:r>
    <w:r w:rsidR="00F852FE">
      <w:fldChar w:fldCharType="end"/>
    </w:r>
    <w:r>
      <w:tab/>
    </w:r>
    <w:r>
      <w:tab/>
      <w:t>Page 1 of 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06" w:rsidRDefault="00174B06" w:rsidP="00220732">
    <w:pPr>
      <w:pStyle w:val="Header"/>
      <w:tabs>
        <w:tab w:val="clear" w:pos="4320"/>
        <w:tab w:val="clear" w:pos="8640"/>
        <w:tab w:val="right" w:pos="9360"/>
      </w:tabs>
    </w:pPr>
    <w:r>
      <w:fldChar w:fldCharType="begin"/>
    </w:r>
    <w:r>
      <w:instrText xml:space="preserve"> REF DocketLabel</w:instrText>
    </w:r>
    <w:r>
      <w:fldChar w:fldCharType="separate"/>
    </w:r>
    <w:r w:rsidR="004E0887">
      <w:t>Docket No.</w:t>
    </w:r>
    <w:r>
      <w:fldChar w:fldCharType="end"/>
    </w:r>
    <w:r>
      <w:t xml:space="preserve"> </w:t>
    </w:r>
    <w:r>
      <w:fldChar w:fldCharType="begin"/>
    </w:r>
    <w:r>
      <w:instrText xml:space="preserve"> REF DocketList</w:instrText>
    </w:r>
    <w:r>
      <w:fldChar w:fldCharType="separate"/>
    </w:r>
    <w:r w:rsidR="004E0887">
      <w:t>140219-WU</w:t>
    </w:r>
    <w:r>
      <w:fldChar w:fldCharType="end"/>
    </w:r>
    <w:r>
      <w:tab/>
      <w:t>Schedule No. 3-B</w:t>
    </w:r>
  </w:p>
  <w:p w:rsidR="00174B06" w:rsidRDefault="00174B06" w:rsidP="00276AC3">
    <w:pPr>
      <w:pStyle w:val="Header"/>
      <w:tabs>
        <w:tab w:val="clear" w:pos="8640"/>
        <w:tab w:val="right" w:pos="9360"/>
      </w:tabs>
    </w:pPr>
    <w:r>
      <w:t xml:space="preserve">Date: </w:t>
    </w:r>
    <w:r w:rsidR="00F852FE">
      <w:fldChar w:fldCharType="begin"/>
    </w:r>
    <w:r w:rsidR="00F852FE">
      <w:instrText xml:space="preserve"> REF FilingDate </w:instrText>
    </w:r>
    <w:r w:rsidR="00F852FE">
      <w:fldChar w:fldCharType="separate"/>
    </w:r>
    <w:r w:rsidR="004E0887">
      <w:t>February 18, 2016</w:t>
    </w:r>
    <w:r w:rsidR="00F852FE">
      <w:fldChar w:fldCharType="end"/>
    </w:r>
    <w:r>
      <w:tab/>
    </w:r>
    <w:r>
      <w:tab/>
      <w:t>Page 1 of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1B802C1"/>
    <w:multiLevelType w:val="hybridMultilevel"/>
    <w:tmpl w:val="E13EC784"/>
    <w:lvl w:ilvl="0" w:tplc="1E9ED4F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157783"/>
    <w:multiLevelType w:val="hybridMultilevel"/>
    <w:tmpl w:val="BA7CA87C"/>
    <w:lvl w:ilvl="0" w:tplc="E2CEB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0B04D2"/>
    <w:multiLevelType w:val="hybridMultilevel"/>
    <w:tmpl w:val="5AD28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3D5918"/>
    <w:multiLevelType w:val="hybridMultilevel"/>
    <w:tmpl w:val="CA907FFA"/>
    <w:lvl w:ilvl="0" w:tplc="F828D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1364BDF"/>
    <w:multiLevelType w:val="hybridMultilevel"/>
    <w:tmpl w:val="B660273A"/>
    <w:lvl w:ilvl="0" w:tplc="0E066CF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E2850E6"/>
    <w:multiLevelType w:val="hybridMultilevel"/>
    <w:tmpl w:val="363E6F86"/>
    <w:lvl w:ilvl="0" w:tplc="A100E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2CF34A4"/>
    <w:multiLevelType w:val="hybridMultilevel"/>
    <w:tmpl w:val="0B8AFD28"/>
    <w:lvl w:ilvl="0" w:tplc="FF0290B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17"/>
  </w:num>
  <w:num w:numId="16">
    <w:abstractNumId w:val="11"/>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berOfIssues" w:val="0"/>
    <w:docVar w:name="StaffInToC" w:val="True"/>
  </w:docVars>
  <w:rsids>
    <w:rsidRoot w:val="00BA4529"/>
    <w:rsid w:val="00010E37"/>
    <w:rsid w:val="0001696A"/>
    <w:rsid w:val="000247C5"/>
    <w:rsid w:val="000277C2"/>
    <w:rsid w:val="00035B48"/>
    <w:rsid w:val="00036CE2"/>
    <w:rsid w:val="00041A69"/>
    <w:rsid w:val="000437FE"/>
    <w:rsid w:val="00047FE8"/>
    <w:rsid w:val="00061D28"/>
    <w:rsid w:val="0006474F"/>
    <w:rsid w:val="00065A06"/>
    <w:rsid w:val="000666F3"/>
    <w:rsid w:val="00070DCB"/>
    <w:rsid w:val="00073120"/>
    <w:rsid w:val="0008070E"/>
    <w:rsid w:val="000828D3"/>
    <w:rsid w:val="000863C1"/>
    <w:rsid w:val="00093B08"/>
    <w:rsid w:val="00094602"/>
    <w:rsid w:val="000948A1"/>
    <w:rsid w:val="000A2B57"/>
    <w:rsid w:val="000A418B"/>
    <w:rsid w:val="000C0137"/>
    <w:rsid w:val="000C4431"/>
    <w:rsid w:val="000C6F60"/>
    <w:rsid w:val="000C756F"/>
    <w:rsid w:val="000D4319"/>
    <w:rsid w:val="000E4A86"/>
    <w:rsid w:val="000F374A"/>
    <w:rsid w:val="00114959"/>
    <w:rsid w:val="00117C8C"/>
    <w:rsid w:val="00124E2E"/>
    <w:rsid w:val="00125ED4"/>
    <w:rsid w:val="001305E9"/>
    <w:rsid w:val="001307AF"/>
    <w:rsid w:val="00135687"/>
    <w:rsid w:val="00142855"/>
    <w:rsid w:val="0014562F"/>
    <w:rsid w:val="00160BD8"/>
    <w:rsid w:val="001618A6"/>
    <w:rsid w:val="001668C1"/>
    <w:rsid w:val="00171A90"/>
    <w:rsid w:val="00174B06"/>
    <w:rsid w:val="001751FC"/>
    <w:rsid w:val="00180254"/>
    <w:rsid w:val="00191E1F"/>
    <w:rsid w:val="00192943"/>
    <w:rsid w:val="001A7406"/>
    <w:rsid w:val="001B4FEE"/>
    <w:rsid w:val="001B51C5"/>
    <w:rsid w:val="001B6F3F"/>
    <w:rsid w:val="001C52B5"/>
    <w:rsid w:val="001D0D3E"/>
    <w:rsid w:val="001F2245"/>
    <w:rsid w:val="001F44DD"/>
    <w:rsid w:val="001F6DA1"/>
    <w:rsid w:val="002044E6"/>
    <w:rsid w:val="00205C82"/>
    <w:rsid w:val="00205DC2"/>
    <w:rsid w:val="0021009C"/>
    <w:rsid w:val="00213E20"/>
    <w:rsid w:val="002163B6"/>
    <w:rsid w:val="00220732"/>
    <w:rsid w:val="00221D32"/>
    <w:rsid w:val="00225C3F"/>
    <w:rsid w:val="002322F9"/>
    <w:rsid w:val="00263D44"/>
    <w:rsid w:val="00276AC3"/>
    <w:rsid w:val="00277C52"/>
    <w:rsid w:val="00292B38"/>
    <w:rsid w:val="00292D82"/>
    <w:rsid w:val="00293B44"/>
    <w:rsid w:val="002963CB"/>
    <w:rsid w:val="002A1B25"/>
    <w:rsid w:val="002C4316"/>
    <w:rsid w:val="002D226D"/>
    <w:rsid w:val="002D7B30"/>
    <w:rsid w:val="002F6030"/>
    <w:rsid w:val="00302DFA"/>
    <w:rsid w:val="003037E1"/>
    <w:rsid w:val="00307E51"/>
    <w:rsid w:val="003103EC"/>
    <w:rsid w:val="00313D84"/>
    <w:rsid w:val="003144EF"/>
    <w:rsid w:val="0032263C"/>
    <w:rsid w:val="00322F74"/>
    <w:rsid w:val="00340073"/>
    <w:rsid w:val="003404F7"/>
    <w:rsid w:val="00346F9E"/>
    <w:rsid w:val="003500EA"/>
    <w:rsid w:val="00372805"/>
    <w:rsid w:val="00373180"/>
    <w:rsid w:val="00375AB9"/>
    <w:rsid w:val="003821A0"/>
    <w:rsid w:val="00385B04"/>
    <w:rsid w:val="003A22A6"/>
    <w:rsid w:val="003A5494"/>
    <w:rsid w:val="003B2510"/>
    <w:rsid w:val="003B6FBF"/>
    <w:rsid w:val="003C2CC4"/>
    <w:rsid w:val="003C5E88"/>
    <w:rsid w:val="003D7641"/>
    <w:rsid w:val="003E0EFC"/>
    <w:rsid w:val="003E4A2B"/>
    <w:rsid w:val="003E76C2"/>
    <w:rsid w:val="003F1679"/>
    <w:rsid w:val="003F4A35"/>
    <w:rsid w:val="003F7FDD"/>
    <w:rsid w:val="00402481"/>
    <w:rsid w:val="004042B4"/>
    <w:rsid w:val="00412DAE"/>
    <w:rsid w:val="00423CF2"/>
    <w:rsid w:val="00431598"/>
    <w:rsid w:val="00432271"/>
    <w:rsid w:val="004426B8"/>
    <w:rsid w:val="00444432"/>
    <w:rsid w:val="00471860"/>
    <w:rsid w:val="00473EFD"/>
    <w:rsid w:val="00475926"/>
    <w:rsid w:val="00493032"/>
    <w:rsid w:val="004A0437"/>
    <w:rsid w:val="004C3150"/>
    <w:rsid w:val="004C3641"/>
    <w:rsid w:val="004C4390"/>
    <w:rsid w:val="004C4AF7"/>
    <w:rsid w:val="004C6D9D"/>
    <w:rsid w:val="004D2881"/>
    <w:rsid w:val="004D385F"/>
    <w:rsid w:val="004D5B39"/>
    <w:rsid w:val="004E0887"/>
    <w:rsid w:val="004E5147"/>
    <w:rsid w:val="004F615C"/>
    <w:rsid w:val="004F7CC7"/>
    <w:rsid w:val="00500F44"/>
    <w:rsid w:val="00506C03"/>
    <w:rsid w:val="00513CE3"/>
    <w:rsid w:val="00515CB8"/>
    <w:rsid w:val="0052572A"/>
    <w:rsid w:val="005363FC"/>
    <w:rsid w:val="00543CB3"/>
    <w:rsid w:val="00552224"/>
    <w:rsid w:val="0055662A"/>
    <w:rsid w:val="005614BD"/>
    <w:rsid w:val="0057154F"/>
    <w:rsid w:val="00581CA3"/>
    <w:rsid w:val="005844E3"/>
    <w:rsid w:val="00587A44"/>
    <w:rsid w:val="00597730"/>
    <w:rsid w:val="005977EC"/>
    <w:rsid w:val="00597DE7"/>
    <w:rsid w:val="005A0188"/>
    <w:rsid w:val="005A4AA2"/>
    <w:rsid w:val="005B088A"/>
    <w:rsid w:val="005B34B6"/>
    <w:rsid w:val="005B6C8F"/>
    <w:rsid w:val="005C231F"/>
    <w:rsid w:val="005C7E70"/>
    <w:rsid w:val="005D0F74"/>
    <w:rsid w:val="005D2E7D"/>
    <w:rsid w:val="005D4A8F"/>
    <w:rsid w:val="005D561B"/>
    <w:rsid w:val="005F468D"/>
    <w:rsid w:val="005F69A3"/>
    <w:rsid w:val="00603830"/>
    <w:rsid w:val="00605036"/>
    <w:rsid w:val="00615423"/>
    <w:rsid w:val="006165B2"/>
    <w:rsid w:val="00617276"/>
    <w:rsid w:val="00622E27"/>
    <w:rsid w:val="00625394"/>
    <w:rsid w:val="00625D97"/>
    <w:rsid w:val="00625F1C"/>
    <w:rsid w:val="00627AA2"/>
    <w:rsid w:val="00630CEB"/>
    <w:rsid w:val="00632264"/>
    <w:rsid w:val="006470BC"/>
    <w:rsid w:val="0065761C"/>
    <w:rsid w:val="00665F05"/>
    <w:rsid w:val="00667036"/>
    <w:rsid w:val="00673BDB"/>
    <w:rsid w:val="00676D24"/>
    <w:rsid w:val="006771B8"/>
    <w:rsid w:val="0068481F"/>
    <w:rsid w:val="00696F5D"/>
    <w:rsid w:val="00697249"/>
    <w:rsid w:val="006A09F9"/>
    <w:rsid w:val="006B3947"/>
    <w:rsid w:val="006B4293"/>
    <w:rsid w:val="006C11DE"/>
    <w:rsid w:val="006C31E3"/>
    <w:rsid w:val="006C57A1"/>
    <w:rsid w:val="006D70A8"/>
    <w:rsid w:val="006E598D"/>
    <w:rsid w:val="0070437D"/>
    <w:rsid w:val="00705B04"/>
    <w:rsid w:val="0072275A"/>
    <w:rsid w:val="00734820"/>
    <w:rsid w:val="007349DC"/>
    <w:rsid w:val="0074026F"/>
    <w:rsid w:val="0074365E"/>
    <w:rsid w:val="00743D1E"/>
    <w:rsid w:val="007515FD"/>
    <w:rsid w:val="00760D80"/>
    <w:rsid w:val="00771B4F"/>
    <w:rsid w:val="00780C09"/>
    <w:rsid w:val="00780DDF"/>
    <w:rsid w:val="007834E9"/>
    <w:rsid w:val="00787DBC"/>
    <w:rsid w:val="007A04A1"/>
    <w:rsid w:val="007A1840"/>
    <w:rsid w:val="007C0528"/>
    <w:rsid w:val="007C3D38"/>
    <w:rsid w:val="007C3DA7"/>
    <w:rsid w:val="007D0F35"/>
    <w:rsid w:val="007D4FEB"/>
    <w:rsid w:val="007D6146"/>
    <w:rsid w:val="007E0CE7"/>
    <w:rsid w:val="007E52A8"/>
    <w:rsid w:val="007E5758"/>
    <w:rsid w:val="007F417F"/>
    <w:rsid w:val="0081418B"/>
    <w:rsid w:val="00816624"/>
    <w:rsid w:val="00822427"/>
    <w:rsid w:val="00822562"/>
    <w:rsid w:val="00823663"/>
    <w:rsid w:val="008236E8"/>
    <w:rsid w:val="00832DDC"/>
    <w:rsid w:val="00845B6B"/>
    <w:rsid w:val="00850BAC"/>
    <w:rsid w:val="00854A3E"/>
    <w:rsid w:val="00855D08"/>
    <w:rsid w:val="008731BF"/>
    <w:rsid w:val="00874344"/>
    <w:rsid w:val="00882155"/>
    <w:rsid w:val="0088233B"/>
    <w:rsid w:val="0088599E"/>
    <w:rsid w:val="00886C37"/>
    <w:rsid w:val="008876BF"/>
    <w:rsid w:val="008941F5"/>
    <w:rsid w:val="008A0533"/>
    <w:rsid w:val="008B62AE"/>
    <w:rsid w:val="008C04B5"/>
    <w:rsid w:val="008C14FA"/>
    <w:rsid w:val="008D4057"/>
    <w:rsid w:val="008F2262"/>
    <w:rsid w:val="008F7736"/>
    <w:rsid w:val="0090019E"/>
    <w:rsid w:val="00901086"/>
    <w:rsid w:val="00901C8A"/>
    <w:rsid w:val="00905886"/>
    <w:rsid w:val="009070D6"/>
    <w:rsid w:val="009076C6"/>
    <w:rsid w:val="0091019E"/>
    <w:rsid w:val="009106F1"/>
    <w:rsid w:val="00912B7B"/>
    <w:rsid w:val="009145D6"/>
    <w:rsid w:val="00920E64"/>
    <w:rsid w:val="00922002"/>
    <w:rsid w:val="00924020"/>
    <w:rsid w:val="009271A7"/>
    <w:rsid w:val="00930BAA"/>
    <w:rsid w:val="0093658B"/>
    <w:rsid w:val="009429FF"/>
    <w:rsid w:val="00945BD6"/>
    <w:rsid w:val="0094621F"/>
    <w:rsid w:val="00946D10"/>
    <w:rsid w:val="009479FB"/>
    <w:rsid w:val="00951C45"/>
    <w:rsid w:val="00952837"/>
    <w:rsid w:val="009656F2"/>
    <w:rsid w:val="00966A08"/>
    <w:rsid w:val="00971207"/>
    <w:rsid w:val="00975CB4"/>
    <w:rsid w:val="0098003B"/>
    <w:rsid w:val="009863B0"/>
    <w:rsid w:val="00986743"/>
    <w:rsid w:val="00987DE1"/>
    <w:rsid w:val="00990571"/>
    <w:rsid w:val="0099673A"/>
    <w:rsid w:val="009A3330"/>
    <w:rsid w:val="009A33A3"/>
    <w:rsid w:val="009A7C96"/>
    <w:rsid w:val="009C3DB9"/>
    <w:rsid w:val="009D46E5"/>
    <w:rsid w:val="009D568A"/>
    <w:rsid w:val="009F04EC"/>
    <w:rsid w:val="009F3B36"/>
    <w:rsid w:val="00A019B9"/>
    <w:rsid w:val="00A12508"/>
    <w:rsid w:val="00A1282B"/>
    <w:rsid w:val="00A13A27"/>
    <w:rsid w:val="00A150D3"/>
    <w:rsid w:val="00A175B6"/>
    <w:rsid w:val="00A21835"/>
    <w:rsid w:val="00A328EC"/>
    <w:rsid w:val="00A33A51"/>
    <w:rsid w:val="00A41CA6"/>
    <w:rsid w:val="00A47927"/>
    <w:rsid w:val="00A47FFC"/>
    <w:rsid w:val="00A53F56"/>
    <w:rsid w:val="00A5442F"/>
    <w:rsid w:val="00A54FF9"/>
    <w:rsid w:val="00A56765"/>
    <w:rsid w:val="00A675AC"/>
    <w:rsid w:val="00A71AB2"/>
    <w:rsid w:val="00A74818"/>
    <w:rsid w:val="00A7581F"/>
    <w:rsid w:val="00A852C7"/>
    <w:rsid w:val="00A92FB1"/>
    <w:rsid w:val="00A95A0C"/>
    <w:rsid w:val="00AA2765"/>
    <w:rsid w:val="00AA77B5"/>
    <w:rsid w:val="00AB6C5D"/>
    <w:rsid w:val="00AC51A7"/>
    <w:rsid w:val="00AE48D5"/>
    <w:rsid w:val="00AF10D7"/>
    <w:rsid w:val="00AF57EC"/>
    <w:rsid w:val="00AF5F89"/>
    <w:rsid w:val="00AF73CB"/>
    <w:rsid w:val="00B002D6"/>
    <w:rsid w:val="00B05B51"/>
    <w:rsid w:val="00B100A9"/>
    <w:rsid w:val="00B15370"/>
    <w:rsid w:val="00B17BEB"/>
    <w:rsid w:val="00B21A3C"/>
    <w:rsid w:val="00B223C0"/>
    <w:rsid w:val="00B234ED"/>
    <w:rsid w:val="00B25CA3"/>
    <w:rsid w:val="00B52A83"/>
    <w:rsid w:val="00B5535D"/>
    <w:rsid w:val="00B57A6A"/>
    <w:rsid w:val="00B61067"/>
    <w:rsid w:val="00B760F1"/>
    <w:rsid w:val="00B7669E"/>
    <w:rsid w:val="00B77DA1"/>
    <w:rsid w:val="00BA0D55"/>
    <w:rsid w:val="00BA37B3"/>
    <w:rsid w:val="00BA4529"/>
    <w:rsid w:val="00BA4CC6"/>
    <w:rsid w:val="00BB3493"/>
    <w:rsid w:val="00BB7468"/>
    <w:rsid w:val="00BC188A"/>
    <w:rsid w:val="00BD20BF"/>
    <w:rsid w:val="00BD4DD2"/>
    <w:rsid w:val="00BF5010"/>
    <w:rsid w:val="00BF5E15"/>
    <w:rsid w:val="00C13791"/>
    <w:rsid w:val="00C31BB3"/>
    <w:rsid w:val="00C32617"/>
    <w:rsid w:val="00C36977"/>
    <w:rsid w:val="00C44E1D"/>
    <w:rsid w:val="00C46C01"/>
    <w:rsid w:val="00C477D9"/>
    <w:rsid w:val="00C60BA3"/>
    <w:rsid w:val="00C623F7"/>
    <w:rsid w:val="00C8156B"/>
    <w:rsid w:val="00C81773"/>
    <w:rsid w:val="00C838E0"/>
    <w:rsid w:val="00C86896"/>
    <w:rsid w:val="00C907A8"/>
    <w:rsid w:val="00C93211"/>
    <w:rsid w:val="00C942EC"/>
    <w:rsid w:val="00C96047"/>
    <w:rsid w:val="00C979D0"/>
    <w:rsid w:val="00CA0818"/>
    <w:rsid w:val="00CA2C8F"/>
    <w:rsid w:val="00CA30DA"/>
    <w:rsid w:val="00CA3A24"/>
    <w:rsid w:val="00CB1777"/>
    <w:rsid w:val="00CB33E9"/>
    <w:rsid w:val="00CB49CE"/>
    <w:rsid w:val="00CC10A9"/>
    <w:rsid w:val="00CE2BF8"/>
    <w:rsid w:val="00CE484E"/>
    <w:rsid w:val="00CF0DA8"/>
    <w:rsid w:val="00CF2E25"/>
    <w:rsid w:val="00CF3148"/>
    <w:rsid w:val="00CF4453"/>
    <w:rsid w:val="00D034D7"/>
    <w:rsid w:val="00D04BE4"/>
    <w:rsid w:val="00D14127"/>
    <w:rsid w:val="00D60F02"/>
    <w:rsid w:val="00D66E49"/>
    <w:rsid w:val="00D72F74"/>
    <w:rsid w:val="00D76E4D"/>
    <w:rsid w:val="00D81563"/>
    <w:rsid w:val="00D9073E"/>
    <w:rsid w:val="00D9221D"/>
    <w:rsid w:val="00D958DF"/>
    <w:rsid w:val="00D96DA1"/>
    <w:rsid w:val="00DA51E7"/>
    <w:rsid w:val="00DA54CE"/>
    <w:rsid w:val="00DB1C78"/>
    <w:rsid w:val="00DB7D96"/>
    <w:rsid w:val="00DC23FE"/>
    <w:rsid w:val="00DC59E6"/>
    <w:rsid w:val="00DD150B"/>
    <w:rsid w:val="00DD5025"/>
    <w:rsid w:val="00DF395A"/>
    <w:rsid w:val="00E06484"/>
    <w:rsid w:val="00E0707B"/>
    <w:rsid w:val="00E20A7D"/>
    <w:rsid w:val="00E211FA"/>
    <w:rsid w:val="00E275D8"/>
    <w:rsid w:val="00E33D08"/>
    <w:rsid w:val="00E375CA"/>
    <w:rsid w:val="00E47DD6"/>
    <w:rsid w:val="00E567E8"/>
    <w:rsid w:val="00E60149"/>
    <w:rsid w:val="00E64679"/>
    <w:rsid w:val="00E65EBC"/>
    <w:rsid w:val="00E73432"/>
    <w:rsid w:val="00E77B0C"/>
    <w:rsid w:val="00E77FB8"/>
    <w:rsid w:val="00E838B0"/>
    <w:rsid w:val="00E86A7C"/>
    <w:rsid w:val="00E878E1"/>
    <w:rsid w:val="00E87F2C"/>
    <w:rsid w:val="00E95278"/>
    <w:rsid w:val="00EA09E9"/>
    <w:rsid w:val="00EA2273"/>
    <w:rsid w:val="00EB2DB3"/>
    <w:rsid w:val="00EC3FBB"/>
    <w:rsid w:val="00EC6B7A"/>
    <w:rsid w:val="00ED3A87"/>
    <w:rsid w:val="00ED5B67"/>
    <w:rsid w:val="00EE299A"/>
    <w:rsid w:val="00EE4E87"/>
    <w:rsid w:val="00EF264C"/>
    <w:rsid w:val="00EF3FEE"/>
    <w:rsid w:val="00F04B59"/>
    <w:rsid w:val="00F11741"/>
    <w:rsid w:val="00F12B1C"/>
    <w:rsid w:val="00F13CF8"/>
    <w:rsid w:val="00F15855"/>
    <w:rsid w:val="00F24F7B"/>
    <w:rsid w:val="00F32978"/>
    <w:rsid w:val="00F45CB2"/>
    <w:rsid w:val="00F544C0"/>
    <w:rsid w:val="00F55332"/>
    <w:rsid w:val="00F65519"/>
    <w:rsid w:val="00F713C0"/>
    <w:rsid w:val="00F75DDC"/>
    <w:rsid w:val="00F852FE"/>
    <w:rsid w:val="00F853E1"/>
    <w:rsid w:val="00F93614"/>
    <w:rsid w:val="00FA00AA"/>
    <w:rsid w:val="00FA17AC"/>
    <w:rsid w:val="00FA32DE"/>
    <w:rsid w:val="00FA3382"/>
    <w:rsid w:val="00FA540F"/>
    <w:rsid w:val="00FA59CD"/>
    <w:rsid w:val="00FB1740"/>
    <w:rsid w:val="00FC6D7D"/>
    <w:rsid w:val="00FD16B0"/>
    <w:rsid w:val="00FD1BC8"/>
    <w:rsid w:val="00FD4FED"/>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envelope addres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rsid w:val="007C3DA7"/>
    <w:pPr>
      <w:tabs>
        <w:tab w:val="left" w:pos="864"/>
        <w:tab w:val="right" w:leader="dot" w:pos="9360"/>
      </w:tabs>
      <w:spacing w:line="360" w:lineRule="auto"/>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nhideWhenUsed/>
    <w:rsid w:val="00C32617"/>
    <w:rPr>
      <w:vertAlign w:val="superscript"/>
    </w:rPr>
  </w:style>
  <w:style w:type="character" w:customStyle="1" w:styleId="FootnoteTextChar">
    <w:name w:val="Footnote Text Char"/>
    <w:basedOn w:val="DefaultParagraphFont"/>
    <w:link w:val="FootnoteText"/>
    <w:rsid w:val="00C32617"/>
  </w:style>
  <w:style w:type="paragraph" w:styleId="ListParagraph">
    <w:name w:val="List Paragraph"/>
    <w:basedOn w:val="Normal"/>
    <w:uiPriority w:val="34"/>
    <w:qFormat/>
    <w:rsid w:val="00C32617"/>
    <w:pPr>
      <w:ind w:left="720"/>
      <w:contextualSpacing/>
    </w:pPr>
    <w:rPr>
      <w:rFonts w:ascii="Calibri" w:eastAsia="Calibri" w:hAnsi="Calibri"/>
    </w:rPr>
  </w:style>
  <w:style w:type="numbering" w:styleId="111111">
    <w:name w:val="Outline List 2"/>
    <w:basedOn w:val="NoList"/>
    <w:rsid w:val="0081418B"/>
    <w:pPr>
      <w:numPr>
        <w:numId w:val="15"/>
      </w:numPr>
    </w:pPr>
  </w:style>
  <w:style w:type="numbering" w:customStyle="1" w:styleId="1111111">
    <w:name w:val="1 / 1.1 / 1.1.11"/>
    <w:basedOn w:val="NoList"/>
    <w:next w:val="111111"/>
    <w:rsid w:val="007E52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envelope addres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rsid w:val="007C3DA7"/>
    <w:pPr>
      <w:tabs>
        <w:tab w:val="left" w:pos="864"/>
        <w:tab w:val="right" w:leader="dot" w:pos="9360"/>
      </w:tabs>
      <w:spacing w:line="360" w:lineRule="auto"/>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nhideWhenUsed/>
    <w:rsid w:val="00C32617"/>
    <w:rPr>
      <w:vertAlign w:val="superscript"/>
    </w:rPr>
  </w:style>
  <w:style w:type="character" w:customStyle="1" w:styleId="FootnoteTextChar">
    <w:name w:val="Footnote Text Char"/>
    <w:basedOn w:val="DefaultParagraphFont"/>
    <w:link w:val="FootnoteText"/>
    <w:rsid w:val="00C32617"/>
  </w:style>
  <w:style w:type="paragraph" w:styleId="ListParagraph">
    <w:name w:val="List Paragraph"/>
    <w:basedOn w:val="Normal"/>
    <w:uiPriority w:val="34"/>
    <w:qFormat/>
    <w:rsid w:val="00C32617"/>
    <w:pPr>
      <w:ind w:left="720"/>
      <w:contextualSpacing/>
    </w:pPr>
    <w:rPr>
      <w:rFonts w:ascii="Calibri" w:eastAsia="Calibri" w:hAnsi="Calibri"/>
    </w:rPr>
  </w:style>
  <w:style w:type="numbering" w:styleId="111111">
    <w:name w:val="Outline List 2"/>
    <w:basedOn w:val="NoList"/>
    <w:rsid w:val="0081418B"/>
    <w:pPr>
      <w:numPr>
        <w:numId w:val="15"/>
      </w:numPr>
    </w:pPr>
  </w:style>
  <w:style w:type="numbering" w:customStyle="1" w:styleId="1111111">
    <w:name w:val="1 / 1.1 / 1.1.11"/>
    <w:basedOn w:val="NoList"/>
    <w:next w:val="111111"/>
    <w:rsid w:val="007E5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713032">
      <w:bodyDiv w:val="1"/>
      <w:marLeft w:val="0"/>
      <w:marRight w:val="0"/>
      <w:marTop w:val="0"/>
      <w:marBottom w:val="0"/>
      <w:divBdr>
        <w:top w:val="none" w:sz="0" w:space="0" w:color="auto"/>
        <w:left w:val="none" w:sz="0" w:space="0" w:color="auto"/>
        <w:bottom w:val="none" w:sz="0" w:space="0" w:color="auto"/>
        <w:right w:val="none" w:sz="0" w:space="0" w:color="auto"/>
      </w:divBdr>
    </w:div>
    <w:div w:id="459346222">
      <w:bodyDiv w:val="1"/>
      <w:marLeft w:val="0"/>
      <w:marRight w:val="0"/>
      <w:marTop w:val="0"/>
      <w:marBottom w:val="0"/>
      <w:divBdr>
        <w:top w:val="none" w:sz="0" w:space="0" w:color="auto"/>
        <w:left w:val="none" w:sz="0" w:space="0" w:color="auto"/>
        <w:bottom w:val="none" w:sz="0" w:space="0" w:color="auto"/>
        <w:right w:val="none" w:sz="0" w:space="0" w:color="auto"/>
      </w:divBdr>
    </w:div>
    <w:div w:id="186963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D81BC-BC7D-43A3-BCD5-B20B9BEB4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1</TotalTime>
  <Pages>49</Pages>
  <Words>17727</Words>
  <Characters>102477</Characters>
  <Application>Microsoft Office Word</Application>
  <DocSecurity>0</DocSecurity>
  <Lines>853</Lines>
  <Paragraphs>239</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119965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Patricia Zellner</dc:creator>
  <cp:lastModifiedBy>Carlotta Stauffer</cp:lastModifiedBy>
  <cp:revision>3</cp:revision>
  <cp:lastPrinted>2016-02-18T16:54:00Z</cp:lastPrinted>
  <dcterms:created xsi:type="dcterms:W3CDTF">2016-02-18T16:56:00Z</dcterms:created>
  <dcterms:modified xsi:type="dcterms:W3CDTF">2016-02-22T21:22:00Z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140219-WU</vt:lpwstr>
  </property>
  <property fmtid="{D5CDD505-2E9C-101B-9397-08002B2CF9AE}" pid="3" name="MasterDocument">
    <vt:bool>false</vt:bool>
  </property>
</Properties>
</file>