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45E92" w:rsidP="00745E92">
      <w:pPr>
        <w:pStyle w:val="OrderHeading"/>
      </w:pPr>
      <w:bookmarkStart w:id="0" w:name="_GoBack"/>
      <w:bookmarkEnd w:id="0"/>
      <w:r>
        <w:t>BEFORE THE FLORIDA PUBLIC SERVICE COMMISSION</w:t>
      </w:r>
    </w:p>
    <w:p w:rsidR="00745E92" w:rsidRDefault="00745E92" w:rsidP="00745E92">
      <w:pPr>
        <w:pStyle w:val="OrderHeading"/>
      </w:pPr>
    </w:p>
    <w:p w:rsidR="00745E92" w:rsidRDefault="00745E92" w:rsidP="00745E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5E92" w:rsidRPr="00C63FCF" w:rsidTr="00C63FCF">
        <w:trPr>
          <w:trHeight w:val="828"/>
        </w:trPr>
        <w:tc>
          <w:tcPr>
            <w:tcW w:w="4788" w:type="dxa"/>
            <w:tcBorders>
              <w:bottom w:val="single" w:sz="8" w:space="0" w:color="auto"/>
              <w:right w:val="double" w:sz="6" w:space="0" w:color="auto"/>
            </w:tcBorders>
            <w:shd w:val="clear" w:color="auto" w:fill="auto"/>
          </w:tcPr>
          <w:p w:rsidR="00745E92" w:rsidRDefault="00745E92" w:rsidP="00C63FCF">
            <w:pPr>
              <w:pStyle w:val="OrderBody"/>
              <w:tabs>
                <w:tab w:val="center" w:pos="4320"/>
                <w:tab w:val="right" w:pos="8640"/>
              </w:tabs>
              <w:jc w:val="left"/>
            </w:pPr>
            <w:r>
              <w:t xml:space="preserve">In re: </w:t>
            </w:r>
            <w:bookmarkStart w:id="1" w:name="SSInRe"/>
            <w:bookmarkEnd w:id="1"/>
            <w:r>
              <w:t>Petition for rate increase by Tampa Electric Company.</w:t>
            </w:r>
          </w:p>
        </w:tc>
        <w:tc>
          <w:tcPr>
            <w:tcW w:w="4788" w:type="dxa"/>
            <w:tcBorders>
              <w:left w:val="double" w:sz="6" w:space="0" w:color="auto"/>
            </w:tcBorders>
            <w:shd w:val="clear" w:color="auto" w:fill="auto"/>
          </w:tcPr>
          <w:p w:rsidR="00745E92" w:rsidRDefault="00745E92" w:rsidP="00745E92">
            <w:pPr>
              <w:pStyle w:val="OrderBody"/>
            </w:pPr>
            <w:r>
              <w:t xml:space="preserve">DOCKET NO. </w:t>
            </w:r>
            <w:bookmarkStart w:id="2" w:name="SSDocketNo"/>
            <w:bookmarkEnd w:id="2"/>
            <w:r>
              <w:t>130040-EI</w:t>
            </w:r>
          </w:p>
          <w:p w:rsidR="00745E92" w:rsidRDefault="00745E92" w:rsidP="00C63FCF">
            <w:pPr>
              <w:pStyle w:val="OrderBody"/>
              <w:tabs>
                <w:tab w:val="center" w:pos="4320"/>
                <w:tab w:val="right" w:pos="8640"/>
              </w:tabs>
              <w:jc w:val="left"/>
            </w:pPr>
            <w:r>
              <w:t xml:space="preserve">ORDER NO. </w:t>
            </w:r>
            <w:bookmarkStart w:id="3" w:name="OrderNo0087"/>
            <w:r w:rsidR="0083378B">
              <w:t>PSC-16-0087-CFO-EI</w:t>
            </w:r>
            <w:bookmarkEnd w:id="3"/>
          </w:p>
          <w:p w:rsidR="00745E92" w:rsidRDefault="00745E92" w:rsidP="00C63FCF">
            <w:pPr>
              <w:pStyle w:val="OrderBody"/>
              <w:tabs>
                <w:tab w:val="center" w:pos="4320"/>
                <w:tab w:val="right" w:pos="8640"/>
              </w:tabs>
              <w:jc w:val="left"/>
            </w:pPr>
            <w:r>
              <w:t xml:space="preserve">ISSUED: </w:t>
            </w:r>
            <w:r w:rsidR="0083378B">
              <w:t>February 25, 2016</w:t>
            </w:r>
          </w:p>
        </w:tc>
      </w:tr>
    </w:tbl>
    <w:p w:rsidR="00745E92" w:rsidRDefault="00745E92" w:rsidP="00745E92"/>
    <w:p w:rsidR="00745E92" w:rsidRDefault="00745E92" w:rsidP="00745E92"/>
    <w:p w:rsidR="004E0E1D" w:rsidRDefault="00745E92" w:rsidP="00745E92">
      <w:pPr>
        <w:pStyle w:val="CenterUnderline"/>
      </w:pPr>
      <w:bookmarkStart w:id="4" w:name="Commissioners"/>
      <w:bookmarkEnd w:id="4"/>
      <w:r>
        <w:t>ORDER</w:t>
      </w:r>
      <w:bookmarkStart w:id="5" w:name="OrderTitle"/>
      <w:r>
        <w:t xml:space="preserve"> </w:t>
      </w:r>
      <w:r w:rsidR="004E0E1D">
        <w:t>GRANTING TAMPA ELECTRIC COMPANY’S REQUEST</w:t>
      </w:r>
    </w:p>
    <w:p w:rsidR="007320CC" w:rsidRDefault="004E0E1D" w:rsidP="00745E92">
      <w:pPr>
        <w:pStyle w:val="CenterUnderline"/>
      </w:pPr>
      <w:r>
        <w:t xml:space="preserve">TO EXTEND CONFIDENTIAL CLASSIFICATION AND </w:t>
      </w:r>
    </w:p>
    <w:p w:rsidR="007320CC" w:rsidRDefault="004E0E1D" w:rsidP="00745E92">
      <w:pPr>
        <w:pStyle w:val="CenterUnderline"/>
      </w:pPr>
      <w:r>
        <w:t xml:space="preserve">MOTION FOR TEMPORARY PROTECTIVE ORDER </w:t>
      </w:r>
    </w:p>
    <w:p w:rsidR="00CB5276" w:rsidRDefault="004E0E1D" w:rsidP="00745E92">
      <w:pPr>
        <w:pStyle w:val="CenterUnderline"/>
      </w:pPr>
      <w:r>
        <w:t>(DOCUMENT NO. 0</w:t>
      </w:r>
      <w:r w:rsidR="00687719">
        <w:t>3794-13</w:t>
      </w:r>
      <w:r>
        <w:t xml:space="preserve"> X-REF.</w:t>
      </w:r>
      <w:r w:rsidR="00687719">
        <w:t xml:space="preserve"> </w:t>
      </w:r>
      <w:r w:rsidR="007320CC">
        <w:t xml:space="preserve">DOCUMENT NO. </w:t>
      </w:r>
      <w:r w:rsidR="00687719">
        <w:t>04196-13</w:t>
      </w:r>
      <w:r>
        <w:t>)</w:t>
      </w:r>
      <w:r w:rsidR="00745E92">
        <w:t xml:space="preserve"> </w:t>
      </w:r>
      <w:bookmarkEnd w:id="5"/>
    </w:p>
    <w:p w:rsidR="00745E92" w:rsidRDefault="00745E92" w:rsidP="00745E92">
      <w:pPr>
        <w:pStyle w:val="CenterUnderline"/>
      </w:pPr>
    </w:p>
    <w:p w:rsidR="004E0E1D" w:rsidRDefault="004E0E1D" w:rsidP="004E0E1D">
      <w:pPr>
        <w:ind w:firstLine="720"/>
        <w:jc w:val="both"/>
      </w:pPr>
      <w:r>
        <w:t xml:space="preserve">On February 23, 2015, pursuant to Section 366.093, Florida Statutes (F.S.), and Rule 25-22.006, Florida Administrative Code (F.A.C.), </w:t>
      </w:r>
      <w:bookmarkStart w:id="6" w:name="UtilityName"/>
      <w:r>
        <w:t>Tampa Electric Company</w:t>
      </w:r>
      <w:bookmarkEnd w:id="6"/>
      <w:r>
        <w:t xml:space="preserve"> (</w:t>
      </w:r>
      <w:bookmarkStart w:id="7" w:name="UtilityNameAbbreviation"/>
      <w:r>
        <w:t>TECO</w:t>
      </w:r>
      <w:r>
        <w:rPr>
          <w:sz w:val="2"/>
        </w:rPr>
        <w:t xml:space="preserve"> </w:t>
      </w:r>
      <w:bookmarkEnd w:id="7"/>
      <w:r>
        <w:t>) filed a request to extend confidential classification for the Florida Public Service Commission Staff’s (Staff) audit work papers</w:t>
      </w:r>
      <w:r w:rsidR="007320CC">
        <w:t xml:space="preserve"> (audit work papers)</w:t>
      </w:r>
      <w:r>
        <w:t>, Audit Control No. 13-105-2-1, Bates stamp pages 1-</w:t>
      </w:r>
      <w:r w:rsidR="00687719">
        <w:t>17,</w:t>
      </w:r>
      <w:r>
        <w:t xml:space="preserve"> 32-33, and 47-48 (Document No. 03794-13, x-ref. </w:t>
      </w:r>
      <w:r w:rsidR="007320CC">
        <w:t xml:space="preserve">Document No. </w:t>
      </w:r>
      <w:r>
        <w:t>04196-13).</w:t>
      </w:r>
      <w:r w:rsidR="00687719">
        <w:t xml:space="preserve">  This Commission originally granted this material confidential status by Order No. PSC-13-0358-CFO-EI, issued in this docket on August 6, 2013.   </w:t>
      </w:r>
      <w:r>
        <w:t xml:space="preserve">  </w:t>
      </w:r>
    </w:p>
    <w:p w:rsidR="004E0E1D" w:rsidRDefault="004E0E1D" w:rsidP="004E0E1D">
      <w:pPr>
        <w:jc w:val="both"/>
      </w:pPr>
    </w:p>
    <w:p w:rsidR="004E0E1D" w:rsidRDefault="004E0E1D" w:rsidP="004E0E1D">
      <w:pPr>
        <w:jc w:val="both"/>
        <w:rPr>
          <w:u w:val="single"/>
        </w:rPr>
      </w:pPr>
      <w:r>
        <w:rPr>
          <w:u w:val="single"/>
        </w:rPr>
        <w:t>Request for Confidential Classification</w:t>
      </w:r>
    </w:p>
    <w:p w:rsidR="004E0E1D" w:rsidRDefault="004E0E1D" w:rsidP="004E0E1D">
      <w:pPr>
        <w:jc w:val="both"/>
        <w:rPr>
          <w:u w:val="single"/>
        </w:rPr>
      </w:pPr>
    </w:p>
    <w:p w:rsidR="004E0E1D" w:rsidRDefault="004E0E1D" w:rsidP="004E0E1D">
      <w:pPr>
        <w:jc w:val="both"/>
      </w:pPr>
      <w:r>
        <w:tab/>
        <w:t xml:space="preserve">TECO contends that information contained in Staff’s audit work papers, Audit Control No. 13-105-2-1, Bates stamp pages 1-17, 32-33, and 47-48, </w:t>
      </w:r>
      <w:r w:rsidR="00687719">
        <w:t xml:space="preserve">continues to </w:t>
      </w:r>
      <w:r>
        <w:t xml:space="preserve">fall within these categories and, thus, </w:t>
      </w:r>
      <w:r w:rsidR="00687719">
        <w:t xml:space="preserve">continues to </w:t>
      </w:r>
      <w:r>
        <w:t xml:space="preserve">constitute proprietary confidential business information entitled to protection under Section 366.093, F.S., and Rule 25-22.006, F.A.C.  TECO </w:t>
      </w:r>
      <w:r w:rsidR="007320CC">
        <w:t>asserts</w:t>
      </w:r>
      <w:r>
        <w:t xml:space="preserve"> that this information is intended to be and is treated by TECO as private and has not been publicly disclosed.</w:t>
      </w:r>
    </w:p>
    <w:p w:rsidR="00687719" w:rsidRDefault="00687719" w:rsidP="004E0E1D">
      <w:pPr>
        <w:jc w:val="both"/>
      </w:pPr>
    </w:p>
    <w:p w:rsidR="004E0E1D" w:rsidRDefault="004E0E1D" w:rsidP="004E0E1D">
      <w:pPr>
        <w:ind w:firstLine="720"/>
        <w:jc w:val="both"/>
      </w:pPr>
      <w:r w:rsidRPr="00154FD7">
        <w:t>Specifically, TECO claims that Bates stamp pages 1-3 are minutes and summaries of Board of Directors’ meetings containing information regarding TECO’s strategic plans, the disclosure of which could harm the competitive interests of TECO and possibly trigger Securities and Exchange Commission reporting obligations.  Bates stamp pages 4-7 are Price</w:t>
      </w:r>
      <w:r w:rsidR="00687719">
        <w:t>w</w:t>
      </w:r>
      <w:r w:rsidRPr="00154FD7">
        <w:t>aterhouseCoopers’s work papers containing their audit procedures, techniques and methodologies, the disclosure of which Price</w:t>
      </w:r>
      <w:r w:rsidR="00687719">
        <w:t>w</w:t>
      </w:r>
      <w:r w:rsidRPr="00154FD7">
        <w:t xml:space="preserve">aterhouseCooper </w:t>
      </w:r>
      <w:r w:rsidR="00054134">
        <w:t>asserts</w:t>
      </w:r>
      <w:r w:rsidRPr="00154FD7">
        <w:t xml:space="preserve"> would harm its competitive interests.  Further, Price</w:t>
      </w:r>
      <w:r w:rsidR="00687719">
        <w:t>w</w:t>
      </w:r>
      <w:r w:rsidRPr="00154FD7">
        <w:t xml:space="preserve">aterhouseCooper </w:t>
      </w:r>
      <w:r w:rsidR="00054134">
        <w:t>contends</w:t>
      </w:r>
      <w:r w:rsidRPr="00154FD7">
        <w:t xml:space="preserve"> that the disclosure of this information would violate its contractual agreement with TECO to keep such information confidential.  Bates stamp pages 8 and 9 contain projected information about the capital structure of the affiliated and consolidated companies of TECO, the disclosure of which would harm the competitive interests of the provider of the information and may trigger Security and Exchange Commission reporting obligations.  Bates stamp pages 10-17 contain proprietary, third party, privately negotiated and contractual information regarding TECO Plaza lease payments, the disclosure of which TECO argues would harm TECO’s ability to renegotiate lease payments in the future with current and potential tenants.  Bates stamp pages 32-33 and 47-48 are portions of TECO’s service agreements with third parties for the operation of its generating units.  TECO </w:t>
      </w:r>
      <w:r w:rsidR="00054134">
        <w:lastRenderedPageBreak/>
        <w:t>asserts</w:t>
      </w:r>
      <w:r w:rsidRPr="00154FD7">
        <w:t xml:space="preserve"> that disclosure of this information would negatively affect its ability in the future to negotiate and contract with other companies on favorable terms for these services.</w:t>
      </w:r>
    </w:p>
    <w:p w:rsidR="007320CC" w:rsidRDefault="007320CC" w:rsidP="004E0E1D">
      <w:pPr>
        <w:ind w:firstLine="720"/>
        <w:jc w:val="both"/>
      </w:pPr>
    </w:p>
    <w:p w:rsidR="007320CC" w:rsidRDefault="007320CC" w:rsidP="007320CC">
      <w:pPr>
        <w:jc w:val="both"/>
        <w:rPr>
          <w:u w:val="single"/>
        </w:rPr>
      </w:pPr>
      <w:r w:rsidRPr="007320CC">
        <w:rPr>
          <w:u w:val="single"/>
        </w:rPr>
        <w:t>Ruling</w:t>
      </w:r>
    </w:p>
    <w:p w:rsidR="00054134" w:rsidRDefault="00054134" w:rsidP="007320CC">
      <w:pPr>
        <w:jc w:val="both"/>
        <w:rPr>
          <w:u w:val="single"/>
        </w:rPr>
      </w:pPr>
    </w:p>
    <w:p w:rsidR="00054134" w:rsidRDefault="00054134" w:rsidP="00054134">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w:t>
      </w:r>
      <w:r w:rsidR="002176F4">
        <w:t xml:space="preserve"> </w:t>
      </w:r>
      <w:r>
        <w:t>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054134" w:rsidRPr="007320CC" w:rsidRDefault="00054134" w:rsidP="007320CC">
      <w:pPr>
        <w:jc w:val="both"/>
        <w:rPr>
          <w:u w:val="single"/>
        </w:rPr>
      </w:pPr>
    </w:p>
    <w:p w:rsidR="007320CC" w:rsidRDefault="00054134" w:rsidP="007320CC">
      <w:pPr>
        <w:ind w:left="720" w:right="720"/>
        <w:jc w:val="both"/>
      </w:pPr>
      <w:r w:rsidRPr="00942EDA">
        <w:t xml:space="preserve"> </w:t>
      </w:r>
      <w:r w:rsidR="007320CC" w:rsidRPr="00942EDA">
        <w:t>(</w:t>
      </w:r>
      <w:r w:rsidR="007320CC">
        <w:t>d</w:t>
      </w:r>
      <w:r w:rsidR="007320CC" w:rsidRPr="00942EDA">
        <w:t xml:space="preserve">)  </w:t>
      </w:r>
      <w:r w:rsidR="007320CC">
        <w:t xml:space="preserve">Information concerning bids or other contractual data, the disclosure of which would impair the efforts of the public utility or its affiliates to contract for goods or services on favorable terms. </w:t>
      </w:r>
      <w:r w:rsidR="007320CC" w:rsidRPr="00942EDA">
        <w:t>.</w:t>
      </w:r>
    </w:p>
    <w:p w:rsidR="007320CC" w:rsidRDefault="007320CC" w:rsidP="007320CC">
      <w:pPr>
        <w:ind w:left="720" w:right="720"/>
        <w:jc w:val="both"/>
      </w:pPr>
    </w:p>
    <w:p w:rsidR="007320CC" w:rsidRDefault="007320CC" w:rsidP="007320CC">
      <w:pPr>
        <w:ind w:left="720" w:right="720"/>
        <w:jc w:val="both"/>
      </w:pPr>
      <w:r>
        <w:t>(e)  Information relating to competitive interests, the disclosure of which would impair the competitive business of the provider of the information.</w:t>
      </w:r>
    </w:p>
    <w:p w:rsidR="007320CC" w:rsidRDefault="007320CC" w:rsidP="007320CC">
      <w:pPr>
        <w:ind w:firstLine="720"/>
        <w:jc w:val="both"/>
      </w:pPr>
    </w:p>
    <w:p w:rsidR="004E0E1D" w:rsidRDefault="004E0E1D" w:rsidP="004E0E1D">
      <w:pPr>
        <w:ind w:firstLine="720"/>
        <w:jc w:val="both"/>
      </w:pPr>
      <w:r>
        <w:t xml:space="preserve">Upon review, it appears the above-referenced information </w:t>
      </w:r>
      <w:r w:rsidR="00687719">
        <w:t xml:space="preserve">continue to </w:t>
      </w:r>
      <w:r>
        <w:t>satisf</w:t>
      </w:r>
      <w:r w:rsidR="00687719">
        <w:t>y</w:t>
      </w:r>
      <w:r>
        <w:t xml:space="preserve"> the criteria set forth in Section 366.093(3)(d) and (e), F.S., for classification as proprietary confidential business information.  The information at issue </w:t>
      </w:r>
      <w:r w:rsidR="007320CC">
        <w:t>appears to be</w:t>
      </w:r>
      <w:r w:rsidRPr="00D47994">
        <w:t xml:space="preserve"> </w:t>
      </w:r>
      <w:r>
        <w:t>information concerning bids or other contractual data, the disclosure of which would impair the efforts of the public utility or its affiliates to contract for goods or services on favorable terms</w:t>
      </w:r>
      <w:r w:rsidRPr="00D47994">
        <w:t xml:space="preserve"> and information relating to competitive interests, the disclosure of which would impair the competitive business of the provider of the information</w:t>
      </w:r>
      <w:r>
        <w:t>.  Thus, the information identified in Document No. 03794-13, x-ref.</w:t>
      </w:r>
      <w:r w:rsidR="007320CC">
        <w:t xml:space="preserve"> Document No.</w:t>
      </w:r>
      <w:r w:rsidRPr="00584167">
        <w:t xml:space="preserve"> </w:t>
      </w:r>
      <w:r>
        <w:t xml:space="preserve">04196-13, </w:t>
      </w:r>
      <w:r w:rsidRPr="00584167">
        <w:t xml:space="preserve">shall </w:t>
      </w:r>
      <w:r w:rsidR="007320CC">
        <w:t xml:space="preserve">be granted a continuation of </w:t>
      </w:r>
      <w:r>
        <w:t xml:space="preserve">confidential classification.  </w:t>
      </w:r>
    </w:p>
    <w:p w:rsidR="004E0E1D" w:rsidRDefault="004E0E1D" w:rsidP="004E0E1D">
      <w:pPr>
        <w:ind w:firstLine="720"/>
        <w:jc w:val="both"/>
      </w:pPr>
    </w:p>
    <w:p w:rsidR="004E0E1D" w:rsidRDefault="004E0E1D" w:rsidP="004E0E1D">
      <w:pPr>
        <w:ind w:firstLine="720"/>
        <w:jc w:val="both"/>
        <w:rPr>
          <w:lang w:val="en-CA"/>
        </w:rPr>
      </w:pPr>
      <w:r>
        <w:rPr>
          <w:lang w:val="en-CA"/>
        </w:rPr>
        <w:t xml:space="preserve">Pursuant to Section 366.093(4), F.S., the information for which confidential classification is granted herein shall remain protected from disclosure for a period of </w:t>
      </w:r>
      <w:r w:rsidR="007320CC">
        <w:rPr>
          <w:lang w:val="en-CA"/>
        </w:rPr>
        <w:t xml:space="preserve">up to </w:t>
      </w:r>
      <w:r>
        <w:rPr>
          <w:lang w:val="en-CA"/>
        </w:rPr>
        <w:t xml:space="preserve">18 months from the date of issuance of this Order.  At the conclusion of the 18-month period, the confidential information will no longer be exempt from Section 119.07(1), F.S., unless </w:t>
      </w:r>
      <w:r>
        <w:t xml:space="preserve">TECO </w:t>
      </w:r>
      <w:r>
        <w:rPr>
          <w:lang w:val="en-CA"/>
        </w:rPr>
        <w:t>or another affected person shows, and the Commission finds, that the records continue to contain proprietary confidential business information.</w:t>
      </w:r>
    </w:p>
    <w:p w:rsidR="007320CC" w:rsidRDefault="007320CC" w:rsidP="004E0E1D">
      <w:pPr>
        <w:ind w:firstLine="720"/>
        <w:jc w:val="both"/>
        <w:rPr>
          <w:lang w:val="en-CA"/>
        </w:rPr>
      </w:pPr>
    </w:p>
    <w:p w:rsidR="004E0E1D" w:rsidRDefault="004E0E1D" w:rsidP="004E0E1D">
      <w:pPr>
        <w:jc w:val="both"/>
        <w:rPr>
          <w:u w:val="single"/>
        </w:rPr>
      </w:pPr>
      <w:r>
        <w:rPr>
          <w:u w:val="single"/>
        </w:rPr>
        <w:t>Motion for Temporary Protective Order</w:t>
      </w:r>
    </w:p>
    <w:p w:rsidR="004E0E1D" w:rsidRDefault="004E0E1D" w:rsidP="004E0E1D">
      <w:pPr>
        <w:jc w:val="both"/>
      </w:pPr>
    </w:p>
    <w:p w:rsidR="004E0E1D" w:rsidRDefault="004E0E1D" w:rsidP="004E0E1D">
      <w:pPr>
        <w:pStyle w:val="CenterUnderline"/>
        <w:ind w:firstLine="720"/>
        <w:jc w:val="both"/>
        <w:rPr>
          <w:u w:val="none"/>
        </w:rPr>
      </w:pPr>
      <w:r>
        <w:rPr>
          <w:u w:val="none"/>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w:t>
      </w:r>
      <w:r w:rsidR="00687719">
        <w:rPr>
          <w:u w:val="none"/>
        </w:rPr>
        <w:t xml:space="preserve">to continue the </w:t>
      </w:r>
      <w:r>
        <w:rPr>
          <w:u w:val="none"/>
        </w:rPr>
        <w:t xml:space="preserve">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 xml:space="preserve">public records law. Section 119.07(1), F.S.  Rule 25-22.006(6), F.A.C., codifies the Commission’s </w:t>
      </w:r>
      <w:r>
        <w:rPr>
          <w:u w:val="none"/>
        </w:rPr>
        <w:lastRenderedPageBreak/>
        <w:t>policy regarding the protection of confidential information from public disclosure during the discovery process in a manner that is not overly burdensome to both parties.  Rule 25-22.006(6)(a), F.A.C., in pertinent part, states:</w:t>
      </w:r>
    </w:p>
    <w:p w:rsidR="004E0E1D" w:rsidRDefault="004E0E1D" w:rsidP="004E0E1D">
      <w:pPr>
        <w:pStyle w:val="Title"/>
        <w:ind w:left="720" w:right="720"/>
        <w:jc w:val="both"/>
        <w:rPr>
          <w:u w:val="none"/>
        </w:rPr>
      </w:pPr>
    </w:p>
    <w:p w:rsidR="004E0E1D" w:rsidRDefault="004E0E1D" w:rsidP="004E0E1D">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4E0E1D" w:rsidRDefault="004E0E1D" w:rsidP="004E0E1D">
      <w:pPr>
        <w:pStyle w:val="Title"/>
        <w:jc w:val="both"/>
        <w:rPr>
          <w:u w:val="none"/>
          <w:lang w:val="en-CA"/>
        </w:rPr>
      </w:pPr>
    </w:p>
    <w:p w:rsidR="004E0E1D" w:rsidRDefault="004E0E1D" w:rsidP="004E0E1D">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City">
        <w:r>
          <w:rPr>
            <w:u w:val="none"/>
          </w:rPr>
          <w:t>OPC</w:t>
        </w:r>
      </w:smartTag>
      <w:r>
        <w:rPr>
          <w:u w:val="none"/>
        </w:rPr>
        <w:t xml:space="preserve"> to inspect or take possession of utility information, then that “utility may request a temporary protective order exempting the information from section 119.07(1), F.S.”</w:t>
      </w:r>
    </w:p>
    <w:p w:rsidR="004E0E1D" w:rsidRDefault="004E0E1D" w:rsidP="004E0E1D">
      <w:pPr>
        <w:jc w:val="both"/>
        <w:rPr>
          <w:lang w:val="en-CA"/>
        </w:rPr>
      </w:pPr>
    </w:p>
    <w:p w:rsidR="004E0E1D" w:rsidRDefault="004E0E1D" w:rsidP="004E0E1D">
      <w:pPr>
        <w:jc w:val="both"/>
      </w:pPr>
      <w:r>
        <w:rPr>
          <w:lang w:val="en-CA"/>
        </w:rPr>
        <w:tab/>
      </w:r>
      <w:r>
        <w:rPr>
          <w:lang w:val="en-CA"/>
        </w:rPr>
        <w:fldChar w:fldCharType="begin"/>
      </w:r>
      <w:r>
        <w:rPr>
          <w:lang w:val="en-CA"/>
        </w:rPr>
        <w:instrText xml:space="preserve"> SEQ CHAPTER \h \r 1</w:instrText>
      </w:r>
      <w:r>
        <w:fldChar w:fldCharType="end"/>
      </w:r>
      <w:r>
        <w:t xml:space="preserve">Upon consideration of TECO’s assertions of the </w:t>
      </w:r>
      <w:r w:rsidR="00687719">
        <w:t xml:space="preserve">continued </w:t>
      </w:r>
      <w:r>
        <w:t xml:space="preserve">confidential nature of the information contained in the </w:t>
      </w:r>
      <w:r w:rsidR="007320CC">
        <w:t xml:space="preserve">Commission staff </w:t>
      </w:r>
      <w:r>
        <w:t xml:space="preserve">audit work papers, Audit Control No. 13-105-2-1, Bates stamp pages 1-17, 32-33, and 47-48, Document No. 03794-13, x-ref. </w:t>
      </w:r>
      <w:r w:rsidR="007320CC">
        <w:t xml:space="preserve">Document No. </w:t>
      </w:r>
      <w:r>
        <w:t>04196-13, TECO’s Motion for Temporary Protective Order is hereby granted.  As a result, this information shall be protected from disclosure pursuant to Rule 25-22.006(6), F.A.C.</w:t>
      </w:r>
      <w:r>
        <w:tab/>
      </w:r>
    </w:p>
    <w:p w:rsidR="004E0E1D" w:rsidRDefault="004E0E1D" w:rsidP="004E0E1D">
      <w:pPr>
        <w:jc w:val="both"/>
      </w:pPr>
    </w:p>
    <w:p w:rsidR="004E0E1D" w:rsidRDefault="004E0E1D" w:rsidP="004E0E1D">
      <w:pPr>
        <w:jc w:val="both"/>
      </w:pPr>
      <w:r>
        <w:tab/>
        <w:t>Based on the foregoing, it is</w:t>
      </w:r>
      <w:r w:rsidR="007320CC">
        <w:t xml:space="preserve"> hereby</w:t>
      </w:r>
    </w:p>
    <w:p w:rsidR="004E0E1D" w:rsidRDefault="004E0E1D" w:rsidP="004E0E1D">
      <w:pPr>
        <w:jc w:val="both"/>
      </w:pPr>
    </w:p>
    <w:p w:rsidR="004E0E1D" w:rsidRDefault="004E0E1D" w:rsidP="004E0E1D">
      <w:pPr>
        <w:jc w:val="both"/>
      </w:pPr>
      <w:r>
        <w:tab/>
        <w:t xml:space="preserve">ORDERED by Commissioner Julie I. Brown, as </w:t>
      </w:r>
      <w:r w:rsidR="00DE5635">
        <w:t xml:space="preserve">Chairman and </w:t>
      </w:r>
      <w:r>
        <w:t xml:space="preserve">Prehearing Officer, that Tampa Electric Company’s Request for </w:t>
      </w:r>
      <w:r w:rsidR="00687719">
        <w:t xml:space="preserve">Continued </w:t>
      </w:r>
      <w:r>
        <w:t>Confidential Classification of Document No. 03794-13, x-ref.</w:t>
      </w:r>
      <w:r w:rsidR="007320CC">
        <w:t xml:space="preserve"> Document No.</w:t>
      </w:r>
      <w:r>
        <w:t xml:space="preserve"> 04196-13, specifically Bates stamp pages 1-17, 32-33, and 47-48, is granted, as set forth herein.   It is further</w:t>
      </w:r>
    </w:p>
    <w:p w:rsidR="004E0E1D" w:rsidRDefault="004E0E1D" w:rsidP="004E0E1D">
      <w:pPr>
        <w:jc w:val="both"/>
      </w:pPr>
    </w:p>
    <w:p w:rsidR="004E0E1D" w:rsidRDefault="004E0E1D" w:rsidP="004E0E1D">
      <w:pPr>
        <w:jc w:val="both"/>
      </w:pPr>
      <w:r>
        <w:tab/>
        <w:t xml:space="preserve">ORDERED that the information in Document No. 03794-13, x-ref. </w:t>
      </w:r>
      <w:r w:rsidR="007320CC">
        <w:t xml:space="preserve">Document No. </w:t>
      </w:r>
      <w:r>
        <w:t>04196-13, for which confidential classification has been granted shall remain protected from disclosure for a period of 18 months from the date of issuance of this Order.  It is further</w:t>
      </w:r>
    </w:p>
    <w:p w:rsidR="004E0E1D" w:rsidRDefault="004E0E1D" w:rsidP="004E0E1D">
      <w:pPr>
        <w:jc w:val="both"/>
      </w:pPr>
    </w:p>
    <w:p w:rsidR="004E0E1D" w:rsidRDefault="004E0E1D" w:rsidP="004E0E1D">
      <w:pPr>
        <w:jc w:val="both"/>
      </w:pPr>
      <w:r>
        <w:tab/>
        <w:t>ORDERED that this Order shall be the only notification by the Commission to the parties of the date of declassification of the materials discussed herein.  It is further</w:t>
      </w:r>
    </w:p>
    <w:p w:rsidR="004E0E1D" w:rsidRDefault="004E0E1D" w:rsidP="004E0E1D">
      <w:pPr>
        <w:pStyle w:val="CenterUnderline"/>
        <w:jc w:val="left"/>
      </w:pPr>
    </w:p>
    <w:p w:rsidR="004E0E1D" w:rsidRDefault="004E0E1D" w:rsidP="004E0E1D">
      <w:pPr>
        <w:pStyle w:val="CenterUnderline"/>
        <w:jc w:val="both"/>
        <w:rPr>
          <w:u w:val="none"/>
        </w:rPr>
      </w:pPr>
      <w:r>
        <w:rPr>
          <w:u w:val="none"/>
        </w:rPr>
        <w:tab/>
        <w:t>ORDERED that the Motion for Temporary Protective Order filed by Tampa Electric Company is granted.</w:t>
      </w:r>
      <w:r w:rsidR="007320CC">
        <w:rPr>
          <w:u w:val="none"/>
        </w:rPr>
        <w:t xml:space="preserve">  It is further </w:t>
      </w:r>
    </w:p>
    <w:p w:rsidR="007320CC" w:rsidRDefault="007320CC" w:rsidP="004E0E1D">
      <w:pPr>
        <w:pStyle w:val="CenterUnderline"/>
        <w:jc w:val="both"/>
        <w:rPr>
          <w:u w:val="none"/>
        </w:rPr>
      </w:pPr>
    </w:p>
    <w:p w:rsidR="007320CC" w:rsidRDefault="007320CC" w:rsidP="004E0E1D">
      <w:pPr>
        <w:pStyle w:val="CenterUnderline"/>
        <w:jc w:val="both"/>
        <w:rPr>
          <w:u w:val="none"/>
        </w:rPr>
      </w:pPr>
      <w:r>
        <w:rPr>
          <w:u w:val="none"/>
        </w:rPr>
        <w:tab/>
        <w:t>ORDERED that this docket shall be closed.</w:t>
      </w:r>
    </w:p>
    <w:p w:rsidR="00745E92" w:rsidRDefault="00745E92" w:rsidP="00745E92">
      <w:pPr>
        <w:pStyle w:val="OrderBody"/>
      </w:pPr>
    </w:p>
    <w:p w:rsidR="00687719" w:rsidRDefault="00687719" w:rsidP="00687719">
      <w:pPr>
        <w:pStyle w:val="OrderBody"/>
        <w:keepNext/>
        <w:keepLines/>
      </w:pPr>
      <w:bookmarkStart w:id="8" w:name="OrderText"/>
      <w:bookmarkEnd w:id="8"/>
      <w:r>
        <w:lastRenderedPageBreak/>
        <w:tab/>
        <w:t xml:space="preserve">By ORDER of Chairman Julie I. Brown, as Prehearing Officer, this </w:t>
      </w:r>
      <w:bookmarkStart w:id="9" w:name="replaceDate"/>
      <w:bookmarkEnd w:id="9"/>
      <w:r w:rsidR="0083378B">
        <w:rPr>
          <w:u w:val="single"/>
        </w:rPr>
        <w:t>25th</w:t>
      </w:r>
      <w:r w:rsidR="0083378B">
        <w:t xml:space="preserve"> day of </w:t>
      </w:r>
      <w:r w:rsidR="0083378B">
        <w:rPr>
          <w:u w:val="single"/>
        </w:rPr>
        <w:t>February</w:t>
      </w:r>
      <w:r w:rsidR="0083378B">
        <w:t xml:space="preserve">, </w:t>
      </w:r>
      <w:r w:rsidR="0083378B">
        <w:rPr>
          <w:u w:val="single"/>
        </w:rPr>
        <w:t>2016</w:t>
      </w:r>
      <w:r w:rsidR="0083378B">
        <w:t>.</w:t>
      </w:r>
    </w:p>
    <w:p w:rsidR="0083378B" w:rsidRPr="0083378B" w:rsidRDefault="0083378B" w:rsidP="0068771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87719" w:rsidTr="00687719">
        <w:tc>
          <w:tcPr>
            <w:tcW w:w="720" w:type="dxa"/>
            <w:shd w:val="clear" w:color="auto" w:fill="auto"/>
          </w:tcPr>
          <w:p w:rsidR="00687719" w:rsidRDefault="00687719" w:rsidP="00687719">
            <w:pPr>
              <w:pStyle w:val="OrderBody"/>
              <w:keepNext/>
              <w:keepLines/>
            </w:pPr>
            <w:bookmarkStart w:id="10" w:name="bkmrkSignature" w:colFirst="0" w:colLast="0"/>
          </w:p>
        </w:tc>
        <w:tc>
          <w:tcPr>
            <w:tcW w:w="4320" w:type="dxa"/>
            <w:tcBorders>
              <w:bottom w:val="single" w:sz="4" w:space="0" w:color="auto"/>
            </w:tcBorders>
            <w:shd w:val="clear" w:color="auto" w:fill="auto"/>
          </w:tcPr>
          <w:p w:rsidR="00687719" w:rsidRDefault="0083378B" w:rsidP="00687719">
            <w:pPr>
              <w:pStyle w:val="OrderBody"/>
              <w:keepNext/>
              <w:keepLines/>
            </w:pPr>
            <w:r>
              <w:t>/s/ Julie I. Brown</w:t>
            </w:r>
          </w:p>
        </w:tc>
      </w:tr>
      <w:bookmarkEnd w:id="10"/>
      <w:tr w:rsidR="00687719" w:rsidTr="00687719">
        <w:tc>
          <w:tcPr>
            <w:tcW w:w="720" w:type="dxa"/>
            <w:shd w:val="clear" w:color="auto" w:fill="auto"/>
          </w:tcPr>
          <w:p w:rsidR="00687719" w:rsidRDefault="00687719" w:rsidP="00687719">
            <w:pPr>
              <w:pStyle w:val="OrderBody"/>
              <w:keepNext/>
              <w:keepLines/>
            </w:pPr>
          </w:p>
        </w:tc>
        <w:tc>
          <w:tcPr>
            <w:tcW w:w="4320" w:type="dxa"/>
            <w:tcBorders>
              <w:top w:val="single" w:sz="4" w:space="0" w:color="auto"/>
            </w:tcBorders>
            <w:shd w:val="clear" w:color="auto" w:fill="auto"/>
          </w:tcPr>
          <w:p w:rsidR="00687719" w:rsidRDefault="00687719" w:rsidP="00687719">
            <w:pPr>
              <w:pStyle w:val="OrderBody"/>
              <w:keepNext/>
              <w:keepLines/>
            </w:pPr>
            <w:r>
              <w:t>JULIE I. BROWN</w:t>
            </w:r>
          </w:p>
          <w:p w:rsidR="00687719" w:rsidRDefault="00687719" w:rsidP="00687719">
            <w:pPr>
              <w:pStyle w:val="OrderBody"/>
              <w:keepNext/>
              <w:keepLines/>
            </w:pPr>
            <w:r>
              <w:t>Chairman and Prehearing Officer</w:t>
            </w:r>
          </w:p>
        </w:tc>
      </w:tr>
    </w:tbl>
    <w:p w:rsidR="00687719" w:rsidRDefault="00687719" w:rsidP="00687719">
      <w:pPr>
        <w:pStyle w:val="OrderSigInfo"/>
        <w:keepNext/>
        <w:keepLines/>
      </w:pPr>
      <w:r>
        <w:t>Florida Public Service Commission</w:t>
      </w:r>
    </w:p>
    <w:p w:rsidR="00687719" w:rsidRDefault="00687719" w:rsidP="00687719">
      <w:pPr>
        <w:pStyle w:val="OrderSigInfo"/>
        <w:keepNext/>
        <w:keepLines/>
      </w:pPr>
      <w:r>
        <w:t>2540 Shumard Oak Boulevard</w:t>
      </w:r>
    </w:p>
    <w:p w:rsidR="00687719" w:rsidRDefault="00687719" w:rsidP="00687719">
      <w:pPr>
        <w:pStyle w:val="OrderSigInfo"/>
        <w:keepNext/>
        <w:keepLines/>
      </w:pPr>
      <w:r>
        <w:t>Tallahassee, Florida  32399</w:t>
      </w:r>
    </w:p>
    <w:p w:rsidR="00687719" w:rsidRDefault="00687719" w:rsidP="00687719">
      <w:pPr>
        <w:pStyle w:val="OrderSigInfo"/>
        <w:keepNext/>
        <w:keepLines/>
      </w:pPr>
      <w:r>
        <w:t>(850) 413</w:t>
      </w:r>
      <w:r>
        <w:noBreakHyphen/>
        <w:t>6770</w:t>
      </w:r>
    </w:p>
    <w:p w:rsidR="00687719" w:rsidRDefault="00687719" w:rsidP="00687719">
      <w:pPr>
        <w:pStyle w:val="OrderSigInfo"/>
        <w:keepNext/>
        <w:keepLines/>
      </w:pPr>
      <w:r>
        <w:t>www.floridapsc.com</w:t>
      </w:r>
    </w:p>
    <w:p w:rsidR="00687719" w:rsidRDefault="00687719" w:rsidP="00687719">
      <w:pPr>
        <w:pStyle w:val="OrderSigInfo"/>
        <w:keepNext/>
        <w:keepLines/>
      </w:pPr>
    </w:p>
    <w:p w:rsidR="00687719" w:rsidRDefault="00687719" w:rsidP="00687719">
      <w:pPr>
        <w:pStyle w:val="OrderSigInfo"/>
        <w:keepNext/>
        <w:keepLines/>
      </w:pPr>
      <w:r>
        <w:t>Copies furnished:  A copy of this document is provided to the parties of record at the time of issuance and, if applicable, interested persons.</w:t>
      </w:r>
    </w:p>
    <w:p w:rsidR="00687719" w:rsidRDefault="00687719" w:rsidP="00687719">
      <w:pPr>
        <w:pStyle w:val="OrderBody"/>
        <w:keepNext/>
        <w:keepLines/>
      </w:pPr>
      <w:r>
        <w:t>SBr</w:t>
      </w:r>
    </w:p>
    <w:p w:rsidR="00687719" w:rsidRDefault="00687719">
      <w:pPr>
        <w:pStyle w:val="OrderBody"/>
      </w:pPr>
    </w:p>
    <w:p w:rsidR="007320CC" w:rsidRDefault="007320CC">
      <w:pPr>
        <w:pStyle w:val="OrderBody"/>
      </w:pPr>
    </w:p>
    <w:p w:rsidR="007320CC" w:rsidRDefault="007320CC">
      <w:pPr>
        <w:pStyle w:val="OrderBody"/>
      </w:pPr>
    </w:p>
    <w:p w:rsidR="007320CC" w:rsidRDefault="007320CC">
      <w:pPr>
        <w:pStyle w:val="OrderBody"/>
      </w:pPr>
    </w:p>
    <w:p w:rsidR="00687719" w:rsidRDefault="00687719" w:rsidP="00687719">
      <w:pPr>
        <w:pStyle w:val="CenterUnderline"/>
      </w:pPr>
      <w:r>
        <w:t>NOTICE OF FURTHER PROCEEDINGS OR JUDICIAL REVIEW</w:t>
      </w:r>
    </w:p>
    <w:p w:rsidR="00687719" w:rsidRDefault="00687719" w:rsidP="00687719">
      <w:pPr>
        <w:pStyle w:val="CenterUnderline"/>
      </w:pPr>
    </w:p>
    <w:p w:rsidR="00687719" w:rsidRDefault="00687719" w:rsidP="006877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7719" w:rsidRDefault="00687719" w:rsidP="00687719">
      <w:pPr>
        <w:pStyle w:val="OrderBody"/>
      </w:pPr>
    </w:p>
    <w:p w:rsidR="00687719" w:rsidRDefault="00687719" w:rsidP="00687719">
      <w:pPr>
        <w:pStyle w:val="OrderBody"/>
      </w:pPr>
      <w:r>
        <w:tab/>
        <w:t>Mediation may be available on a case-by-case basis.  If mediation is conducted, it does not affect a substantially interested person's right to a hearing.</w:t>
      </w:r>
    </w:p>
    <w:p w:rsidR="00687719" w:rsidRDefault="00687719" w:rsidP="00687719">
      <w:pPr>
        <w:pStyle w:val="OrderBody"/>
      </w:pPr>
    </w:p>
    <w:p w:rsidR="00687719" w:rsidRDefault="00687719" w:rsidP="006877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87719" w:rsidRDefault="00687719" w:rsidP="00687719">
      <w:pPr>
        <w:pStyle w:val="OrderBody"/>
      </w:pPr>
    </w:p>
    <w:p w:rsidR="00687719" w:rsidRDefault="00687719" w:rsidP="00687719">
      <w:pPr>
        <w:pStyle w:val="OrderBody"/>
      </w:pPr>
    </w:p>
    <w:p w:rsidR="00687719" w:rsidRDefault="00687719" w:rsidP="00687719">
      <w:pPr>
        <w:pStyle w:val="OrderBody"/>
      </w:pPr>
    </w:p>
    <w:sectPr w:rsidR="0068771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92" w:rsidRDefault="00745E92">
      <w:r>
        <w:separator/>
      </w:r>
    </w:p>
  </w:endnote>
  <w:endnote w:type="continuationSeparator" w:id="0">
    <w:p w:rsidR="00745E92" w:rsidRDefault="0074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92" w:rsidRDefault="00745E92">
      <w:r>
        <w:separator/>
      </w:r>
    </w:p>
  </w:footnote>
  <w:footnote w:type="continuationSeparator" w:id="0">
    <w:p w:rsidR="00745E92" w:rsidRDefault="00745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84324">
      <w:fldChar w:fldCharType="begin"/>
    </w:r>
    <w:r w:rsidR="00584324">
      <w:instrText xml:space="preserve"> REF OrderNo0087 </w:instrText>
    </w:r>
    <w:r w:rsidR="00584324">
      <w:fldChar w:fldCharType="separate"/>
    </w:r>
    <w:r w:rsidR="00584324">
      <w:t>PSC-16-0087-CFO-EI</w:t>
    </w:r>
    <w:r w:rsidR="00584324">
      <w:fldChar w:fldCharType="end"/>
    </w:r>
  </w:p>
  <w:p w:rsidR="00FA6EFD" w:rsidRDefault="00745E92">
    <w:pPr>
      <w:pStyle w:val="OrderHeader"/>
    </w:pPr>
    <w:bookmarkStart w:id="11" w:name="HeaderDocketNo"/>
    <w:bookmarkEnd w:id="11"/>
    <w:r>
      <w:t>DOCKET NO. 130040-EI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432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30040-EI"/>
  </w:docVars>
  <w:rsids>
    <w:rsidRoot w:val="00745E92"/>
    <w:rsid w:val="000022B8"/>
    <w:rsid w:val="000236AF"/>
    <w:rsid w:val="00053AB9"/>
    <w:rsid w:val="00054134"/>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76F4"/>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E0E1D"/>
    <w:rsid w:val="004F2DDE"/>
    <w:rsid w:val="0050097F"/>
    <w:rsid w:val="00514B1F"/>
    <w:rsid w:val="00556A10"/>
    <w:rsid w:val="00584324"/>
    <w:rsid w:val="005963C2"/>
    <w:rsid w:val="005B45F7"/>
    <w:rsid w:val="005B63EA"/>
    <w:rsid w:val="00660774"/>
    <w:rsid w:val="00665CC7"/>
    <w:rsid w:val="00687719"/>
    <w:rsid w:val="006A0BF3"/>
    <w:rsid w:val="006B0DA6"/>
    <w:rsid w:val="006C547E"/>
    <w:rsid w:val="00704C5D"/>
    <w:rsid w:val="00715275"/>
    <w:rsid w:val="007320CC"/>
    <w:rsid w:val="00733B6B"/>
    <w:rsid w:val="00745E92"/>
    <w:rsid w:val="0076170F"/>
    <w:rsid w:val="0076669C"/>
    <w:rsid w:val="007865E9"/>
    <w:rsid w:val="00792383"/>
    <w:rsid w:val="007A060F"/>
    <w:rsid w:val="007D3D20"/>
    <w:rsid w:val="007E3AFD"/>
    <w:rsid w:val="00803189"/>
    <w:rsid w:val="00804E7A"/>
    <w:rsid w:val="00805FBB"/>
    <w:rsid w:val="008169A4"/>
    <w:rsid w:val="008278FE"/>
    <w:rsid w:val="00832598"/>
    <w:rsid w:val="0083378B"/>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3677"/>
    <w:rsid w:val="00BA44A8"/>
    <w:rsid w:val="00BF6691"/>
    <w:rsid w:val="00C028FC"/>
    <w:rsid w:val="00C66692"/>
    <w:rsid w:val="00C91123"/>
    <w:rsid w:val="00CA71FF"/>
    <w:rsid w:val="00CB5276"/>
    <w:rsid w:val="00CB68D7"/>
    <w:rsid w:val="00CC7E68"/>
    <w:rsid w:val="00CD7132"/>
    <w:rsid w:val="00CE0E6F"/>
    <w:rsid w:val="00D151EA"/>
    <w:rsid w:val="00D30B48"/>
    <w:rsid w:val="00D46FAA"/>
    <w:rsid w:val="00D57BB2"/>
    <w:rsid w:val="00D8560E"/>
    <w:rsid w:val="00D8758F"/>
    <w:rsid w:val="00DC1D94"/>
    <w:rsid w:val="00DE057F"/>
    <w:rsid w:val="00DE2082"/>
    <w:rsid w:val="00DE2289"/>
    <w:rsid w:val="00DE5635"/>
    <w:rsid w:val="00E04410"/>
    <w:rsid w:val="00E11351"/>
    <w:rsid w:val="00EA172C"/>
    <w:rsid w:val="00EA259B"/>
    <w:rsid w:val="00EA35A3"/>
    <w:rsid w:val="00EA3E6A"/>
    <w:rsid w:val="00EB18EF"/>
    <w:rsid w:val="00EC7676"/>
    <w:rsid w:val="00ED2BF3"/>
    <w:rsid w:val="00EE17DF"/>
    <w:rsid w:val="00EF4621"/>
    <w:rsid w:val="00F277B6"/>
    <w:rsid w:val="00F54380"/>
    <w:rsid w:val="00F54B47"/>
    <w:rsid w:val="00F70E84"/>
    <w:rsid w:val="00F96A4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4E0E1D"/>
    <w:pPr>
      <w:jc w:val="center"/>
    </w:pPr>
    <w:rPr>
      <w:szCs w:val="20"/>
      <w:u w:val="single"/>
    </w:rPr>
  </w:style>
  <w:style w:type="character" w:customStyle="1" w:styleId="TitleChar">
    <w:name w:val="Title Char"/>
    <w:basedOn w:val="DefaultParagraphFont"/>
    <w:link w:val="Title"/>
    <w:rsid w:val="004E0E1D"/>
    <w:rPr>
      <w:sz w:val="24"/>
      <w:u w:val="single"/>
    </w:rPr>
  </w:style>
  <w:style w:type="paragraph" w:styleId="BalloonText">
    <w:name w:val="Balloon Text"/>
    <w:basedOn w:val="Normal"/>
    <w:link w:val="BalloonTextChar"/>
    <w:rsid w:val="00584324"/>
    <w:rPr>
      <w:rFonts w:ascii="Tahoma" w:hAnsi="Tahoma" w:cs="Tahoma"/>
      <w:sz w:val="16"/>
      <w:szCs w:val="16"/>
    </w:rPr>
  </w:style>
  <w:style w:type="character" w:customStyle="1" w:styleId="BalloonTextChar">
    <w:name w:val="Balloon Text Char"/>
    <w:basedOn w:val="DefaultParagraphFont"/>
    <w:link w:val="BalloonText"/>
    <w:rsid w:val="00584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4E0E1D"/>
    <w:pPr>
      <w:jc w:val="center"/>
    </w:pPr>
    <w:rPr>
      <w:szCs w:val="20"/>
      <w:u w:val="single"/>
    </w:rPr>
  </w:style>
  <w:style w:type="character" w:customStyle="1" w:styleId="TitleChar">
    <w:name w:val="Title Char"/>
    <w:basedOn w:val="DefaultParagraphFont"/>
    <w:link w:val="Title"/>
    <w:rsid w:val="004E0E1D"/>
    <w:rPr>
      <w:sz w:val="24"/>
      <w:u w:val="single"/>
    </w:rPr>
  </w:style>
  <w:style w:type="paragraph" w:styleId="BalloonText">
    <w:name w:val="Balloon Text"/>
    <w:basedOn w:val="Normal"/>
    <w:link w:val="BalloonTextChar"/>
    <w:rsid w:val="00584324"/>
    <w:rPr>
      <w:rFonts w:ascii="Tahoma" w:hAnsi="Tahoma" w:cs="Tahoma"/>
      <w:sz w:val="16"/>
      <w:szCs w:val="16"/>
    </w:rPr>
  </w:style>
  <w:style w:type="character" w:customStyle="1" w:styleId="BalloonTextChar">
    <w:name w:val="Balloon Text Char"/>
    <w:basedOn w:val="DefaultParagraphFont"/>
    <w:link w:val="BalloonText"/>
    <w:rsid w:val="00584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1496</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2016-02-25T13:48:00Z</dcterms:created>
  <dcterms:modified xsi:type="dcterms:W3CDTF">2016-02-25T13:55:00Z</dcterms:modified>
</cp:coreProperties>
</file>