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6C09FB">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6C09FB">
            <w:pPr>
              <w:pStyle w:val="MemoHeading"/>
            </w:pPr>
            <w:bookmarkStart w:id="1" w:name="FilingDate"/>
            <w:r>
              <w:t>March 24, 2016</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6C09FB" w:rsidRDefault="006C09FB">
            <w:pPr>
              <w:pStyle w:val="MemoHeading"/>
            </w:pPr>
            <w:bookmarkStart w:id="2" w:name="From"/>
            <w:r>
              <w:t>Division of Economics (Bruce, Hudson)</w:t>
            </w:r>
          </w:p>
          <w:p w:rsidR="007C0528" w:rsidRDefault="006C09FB">
            <w:pPr>
              <w:pStyle w:val="MemoHeading"/>
            </w:pPr>
            <w:r>
              <w:t>Office of the General Counsel (Brownless)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6C09FB">
            <w:pPr>
              <w:pStyle w:val="MemoHeadingRe"/>
            </w:pPr>
            <w:bookmarkStart w:id="3" w:name="Re"/>
            <w:r>
              <w:t xml:space="preserve">Docket No. 150102-SU – Application for increase in wastewater rates in Charlotte County by Utilities, Inc. of </w:t>
            </w:r>
            <w:proofErr w:type="spellStart"/>
            <w:r>
              <w:t>Sandalhaven</w:t>
            </w:r>
            <w:proofErr w:type="spellEnd"/>
            <w:r>
              <w:t>.</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6C09FB" w:rsidP="00391FDE">
            <w:pPr>
              <w:pStyle w:val="MemoHeading"/>
            </w:pPr>
            <w:bookmarkStart w:id="4" w:name="AgendaDate"/>
            <w:r>
              <w:t>04/05/16</w:t>
            </w:r>
            <w:bookmarkEnd w:id="4"/>
            <w:r w:rsidR="007C0528">
              <w:t xml:space="preserve"> – </w:t>
            </w:r>
            <w:bookmarkStart w:id="5" w:name="PermittedStatus"/>
            <w:r>
              <w:t>Regular Agenda –</w:t>
            </w:r>
            <w:bookmarkEnd w:id="5"/>
            <w:r w:rsidR="00391FDE">
              <w:t xml:space="preserve"> Proposed Stipulation Prior to Hearing</w:t>
            </w:r>
            <w:r w:rsidR="00CE015C">
              <w:t xml:space="preserve"> – Parties May Participate</w:t>
            </w:r>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6C09FB">
            <w:pPr>
              <w:pStyle w:val="MemoHeading"/>
            </w:pPr>
            <w:bookmarkStart w:id="6" w:name="CommissionersAssigned"/>
            <w:r>
              <w:t xml:space="preserve">Edgar, Brisé, </w:t>
            </w:r>
            <w:proofErr w:type="spellStart"/>
            <w:r>
              <w:t>Patronis</w:t>
            </w:r>
            <w:bookmarkEnd w:id="6"/>
            <w:proofErr w:type="spellEnd"/>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6C09FB">
            <w:pPr>
              <w:pStyle w:val="MemoHeading"/>
            </w:pPr>
            <w:bookmarkStart w:id="7" w:name="PrehearingOfficer"/>
            <w:r>
              <w:t>Edgar</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6C09FB">
            <w:pPr>
              <w:pStyle w:val="MemoHeading"/>
            </w:pPr>
            <w:bookmarkStart w:id="9" w:name="CriticalDates"/>
            <w:r>
              <w:t>09/27/16 (8-Month Effective Date)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6C09FB">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8C3174" w:rsidRDefault="008C3174" w:rsidP="00F25600">
      <w:pPr>
        <w:pStyle w:val="BodyText"/>
      </w:pPr>
      <w:r w:rsidRPr="00A438A0">
        <w:t xml:space="preserve">On June 4, 2015, </w:t>
      </w:r>
      <w:r w:rsidR="00361BA4">
        <w:t xml:space="preserve">Utilities Inc. of </w:t>
      </w:r>
      <w:proofErr w:type="spellStart"/>
      <w:r w:rsidRPr="00A438A0">
        <w:t>Sandalhaven</w:t>
      </w:r>
      <w:proofErr w:type="spellEnd"/>
      <w:r w:rsidR="00361BA4">
        <w:t xml:space="preserve"> (</w:t>
      </w:r>
      <w:proofErr w:type="spellStart"/>
      <w:r w:rsidR="00361BA4">
        <w:t>Sandalhaven</w:t>
      </w:r>
      <w:proofErr w:type="spellEnd"/>
      <w:r w:rsidR="00361BA4">
        <w:t>)</w:t>
      </w:r>
      <w:r w:rsidRPr="00A438A0">
        <w:t xml:space="preserve"> filed its application for the rate increase at issue in the instant docket</w:t>
      </w:r>
      <w:r w:rsidR="00361BA4">
        <w:t xml:space="preserve">. </w:t>
      </w:r>
      <w:r w:rsidRPr="00A438A0">
        <w:t>A deficiency letter was sent to the utility on July 1, 2015, and corrections to the minimum filing requirements (MFRs) were filed on July 6, 2015, which was established as the official date of filing pursuant to Section 367.083, Florida Statutes (F.S.)</w:t>
      </w:r>
      <w:r w:rsidR="00361BA4">
        <w:t xml:space="preserve">. </w:t>
      </w:r>
      <w:r w:rsidRPr="00A438A0">
        <w:t xml:space="preserve">The utility requested that the application be processed using the Proposed Agency Action (PAA) </w:t>
      </w:r>
      <w:proofErr w:type="gramStart"/>
      <w:r w:rsidRPr="00A438A0">
        <w:t>procedure</w:t>
      </w:r>
      <w:proofErr w:type="gramEnd"/>
      <w:r w:rsidRPr="00A438A0">
        <w:t xml:space="preserve"> and requested interim rates</w:t>
      </w:r>
      <w:r w:rsidR="00361BA4">
        <w:t xml:space="preserve">. </w:t>
      </w:r>
      <w:r w:rsidRPr="00A438A0">
        <w:t>The test year established for interim and final rates is the period ended December 31, 2014</w:t>
      </w:r>
      <w:r w:rsidR="00361BA4">
        <w:t xml:space="preserve">. </w:t>
      </w:r>
      <w:r>
        <w:t xml:space="preserve">The utility’s proposed rates were suspended and interim rates were granted subject to refund by Order No. </w:t>
      </w:r>
      <w:proofErr w:type="gramStart"/>
      <w:r>
        <w:t>PSC-15-0320-PCO-SU, issued on August 10, 2015.</w:t>
      </w:r>
      <w:proofErr w:type="gramEnd"/>
    </w:p>
    <w:p w:rsidR="008C3174" w:rsidRDefault="008C3174" w:rsidP="008C3174">
      <w:pPr>
        <w:jc w:val="both"/>
      </w:pPr>
      <w:proofErr w:type="gramStart"/>
      <w:r>
        <w:t>On January 6, 2016</w:t>
      </w:r>
      <w:r w:rsidR="00361BA4">
        <w:t>, Order No.</w:t>
      </w:r>
      <w:proofErr w:type="gramEnd"/>
      <w:r w:rsidR="00361BA4">
        <w:t xml:space="preserve"> PSC-16-0013-PAA-SU </w:t>
      </w:r>
      <w:r>
        <w:t xml:space="preserve">was issued granting </w:t>
      </w:r>
      <w:proofErr w:type="spellStart"/>
      <w:r>
        <w:t>Sandalhaven’s</w:t>
      </w:r>
      <w:proofErr w:type="spellEnd"/>
      <w:r>
        <w:t xml:space="preserve"> application for a rate increase and establishing </w:t>
      </w:r>
      <w:r w:rsidR="00191C81">
        <w:t>PAA</w:t>
      </w:r>
      <w:r>
        <w:t xml:space="preserve"> rates subject to protest and request for a hearing</w:t>
      </w:r>
      <w:r w:rsidR="00361BA4">
        <w:t xml:space="preserve">. </w:t>
      </w:r>
      <w:r>
        <w:t xml:space="preserve">On January 27, 2016, the Office of Public Counsel (OPC) timely filed a </w:t>
      </w:r>
      <w:r w:rsidR="00CE015C">
        <w:t>petition</w:t>
      </w:r>
      <w:r>
        <w:t xml:space="preserve"> and </w:t>
      </w:r>
      <w:r>
        <w:lastRenderedPageBreak/>
        <w:t>request for evidentiary hearing</w:t>
      </w:r>
      <w:r w:rsidR="00361BA4">
        <w:t xml:space="preserve">. </w:t>
      </w:r>
      <w:r>
        <w:t xml:space="preserve">On February 4, 2016, </w:t>
      </w:r>
      <w:proofErr w:type="spellStart"/>
      <w:r>
        <w:t>Sandalhaven</w:t>
      </w:r>
      <w:proofErr w:type="spellEnd"/>
      <w:r>
        <w:t xml:space="preserve"> timely filed a cross-petition for a formal administrative hearing</w:t>
      </w:r>
      <w:r w:rsidR="00361BA4">
        <w:t xml:space="preserve">. </w:t>
      </w:r>
      <w:r>
        <w:t xml:space="preserve">On February 10, 2016, </w:t>
      </w:r>
      <w:proofErr w:type="spellStart"/>
      <w:r>
        <w:t>Sandalhaven</w:t>
      </w:r>
      <w:proofErr w:type="spellEnd"/>
      <w:r>
        <w:t xml:space="preserve"> placed the PAA rates into effect</w:t>
      </w:r>
      <w:r w:rsidR="003A7F15">
        <w:t xml:space="preserve"> subject to refund</w:t>
      </w:r>
      <w:r>
        <w:t xml:space="preserve">, with the exception of its </w:t>
      </w:r>
      <w:r w:rsidR="003A7F15">
        <w:t>Allowance for Funds Prudently Invested (AFPI)</w:t>
      </w:r>
      <w:r>
        <w:t xml:space="preserve"> charges</w:t>
      </w:r>
      <w:r w:rsidR="003A7F15">
        <w:t>.</w:t>
      </w:r>
      <w:r>
        <w:t xml:space="preserve"> </w:t>
      </w:r>
      <w:r w:rsidR="003A7F15">
        <w:t xml:space="preserve">The utility </w:t>
      </w:r>
      <w:r w:rsidR="007F10FF">
        <w:t xml:space="preserve">maintained the </w:t>
      </w:r>
      <w:r w:rsidR="003A7F15">
        <w:t xml:space="preserve">AFPI charges </w:t>
      </w:r>
      <w:r w:rsidR="007F10FF">
        <w:t xml:space="preserve">that were </w:t>
      </w:r>
      <w:r w:rsidR="003A7F15">
        <w:t xml:space="preserve">in effect when the Commission obtained </w:t>
      </w:r>
      <w:r w:rsidR="003267E9">
        <w:t>jurisdiction from Charlotte County</w:t>
      </w:r>
      <w:r w:rsidR="00361BA4">
        <w:t xml:space="preserve">. </w:t>
      </w:r>
      <w:r>
        <w:t xml:space="preserve">On February 24, 2016, </w:t>
      </w:r>
      <w:proofErr w:type="spellStart"/>
      <w:r>
        <w:t>Sandalhaven</w:t>
      </w:r>
      <w:proofErr w:type="spellEnd"/>
      <w:r>
        <w:t xml:space="preserve"> filed a motion for partial final summary order on the issue of the prudency of constructing </w:t>
      </w:r>
      <w:r w:rsidR="005A6404">
        <w:t>an interconnection</w:t>
      </w:r>
      <w:r>
        <w:t xml:space="preserve"> with the Englewood Water District to serve potential and current customers and its decision to retire its wastewater treatment plant</w:t>
      </w:r>
      <w:r w:rsidR="00361BA4">
        <w:t xml:space="preserve">. </w:t>
      </w:r>
      <w:r>
        <w:t xml:space="preserve">On March 21, 2016, OPC and </w:t>
      </w:r>
      <w:proofErr w:type="spellStart"/>
      <w:r>
        <w:t>Sandalhaven</w:t>
      </w:r>
      <w:proofErr w:type="spellEnd"/>
      <w:r w:rsidR="00110BC5">
        <w:t xml:space="preserve"> (“Parties”)</w:t>
      </w:r>
      <w:r>
        <w:t xml:space="preserve"> filed a joint motion requesting Commission approval of a stipulation and settlement agreement entered into between the parties on March 21, 2016</w:t>
      </w:r>
      <w:r w:rsidR="00361BA4">
        <w:t xml:space="preserve">. </w:t>
      </w:r>
      <w:r>
        <w:t>Thi</w:t>
      </w:r>
      <w:r w:rsidR="00C94AE9">
        <w:t>s recommendation addresses the Settlement A</w:t>
      </w:r>
      <w:r>
        <w:t>greement</w:t>
      </w:r>
      <w:r w:rsidR="00C94AE9">
        <w:t>, which is included as Attachment A in this recommendation</w:t>
      </w:r>
      <w:r w:rsidR="00361BA4">
        <w:t xml:space="preserve">. </w:t>
      </w:r>
      <w:r>
        <w:t>The Commission has jurisdiction over this subject matter pursuant to Section</w:t>
      </w:r>
      <w:r w:rsidR="00110BC5">
        <w:t>s</w:t>
      </w:r>
      <w:r>
        <w:t xml:space="preserve"> 36</w:t>
      </w:r>
      <w:r w:rsidR="003267E9">
        <w:t>7.011, 367.081, 367.101, and 367</w:t>
      </w:r>
      <w:r>
        <w:t>.121, F.S.</w:t>
      </w:r>
    </w:p>
    <w:p w:rsidR="008C3174" w:rsidRDefault="008C3174" w:rsidP="00F25600">
      <w:pPr>
        <w:pStyle w:val="BodyText"/>
      </w:pPr>
    </w:p>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C91E49" w:rsidRDefault="00C91E49">
      <w:pPr>
        <w:pStyle w:val="IssueHeading"/>
        <w:rPr>
          <w:vanish/>
          <w:specVanish/>
        </w:rPr>
      </w:pPr>
      <w:r w:rsidRPr="004C3641">
        <w:t xml:space="preserve">Issue </w:t>
      </w:r>
      <w:r w:rsidR="003F7942">
        <w:fldChar w:fldCharType="begin"/>
      </w:r>
      <w:r w:rsidR="003F7942">
        <w:instrText xml:space="preserve"> SEQ Issue \* MERGEFORMAT </w:instrText>
      </w:r>
      <w:r w:rsidR="003F7942">
        <w:fldChar w:fldCharType="separate"/>
      </w:r>
      <w:r w:rsidR="00EA6350">
        <w:rPr>
          <w:noProof/>
        </w:rPr>
        <w:t>1</w:t>
      </w:r>
      <w:r w:rsidR="003F7942">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EA6350">
        <w:rPr>
          <w:noProof/>
        </w:rPr>
        <w:instrText>1</w:instrText>
      </w:r>
      <w:r>
        <w:fldChar w:fldCharType="end"/>
      </w:r>
      <w:r>
        <w:tab/>
        <w:instrText xml:space="preserve">(Bruce, Brownless)" \l 1 </w:instrText>
      </w:r>
      <w:r>
        <w:fldChar w:fldCharType="end"/>
      </w:r>
      <w:r>
        <w:t> </w:t>
      </w:r>
    </w:p>
    <w:p w:rsidR="00C91E49" w:rsidRDefault="00C91E49">
      <w:pPr>
        <w:pStyle w:val="BodyText"/>
      </w:pPr>
      <w:r>
        <w:t> Should the Commission approve the Joint Motion Requesting Commission Approval of Settlement Agreement?</w:t>
      </w:r>
    </w:p>
    <w:p w:rsidR="00C91E49" w:rsidRPr="004C3641" w:rsidRDefault="00C91E49">
      <w:pPr>
        <w:pStyle w:val="IssueSubsectionHeading"/>
        <w:rPr>
          <w:vanish/>
          <w:specVanish/>
        </w:rPr>
      </w:pPr>
      <w:r w:rsidRPr="004C3641">
        <w:t>Recommendation: </w:t>
      </w:r>
    </w:p>
    <w:p w:rsidR="00C91E49" w:rsidRDefault="00C91E49">
      <w:pPr>
        <w:pStyle w:val="BodyText"/>
      </w:pPr>
      <w:r>
        <w:t> Yes</w:t>
      </w:r>
      <w:r w:rsidR="00AC428D">
        <w:t xml:space="preserve">. </w:t>
      </w:r>
      <w:r>
        <w:t>The Joint Motion and Settlement Agreement should be approved</w:t>
      </w:r>
      <w:r w:rsidR="00AC428D">
        <w:t xml:space="preserve">. </w:t>
      </w:r>
      <w:r w:rsidR="00CE015C">
        <w:t xml:space="preserve">The protested issues of the PAA Order should have no precedential effect or value and can be raised in any future rate case. Upon the issuance of the final order approving the Parties’ Settlement Agreement, staff recommends the corporate undertaking amount for interim rates and the implementation of PAA rates be released. </w:t>
      </w:r>
      <w:r w:rsidR="00140775">
        <w:t>Upon approval of the Settlement Agreement by the Commission, t</w:t>
      </w:r>
      <w:r>
        <w:t xml:space="preserve">he utility should </w:t>
      </w:r>
      <w:r w:rsidR="00910182">
        <w:t xml:space="preserve">file a proposed customer notice indicating that the Commission </w:t>
      </w:r>
      <w:r w:rsidR="008D3826">
        <w:t xml:space="preserve">has </w:t>
      </w:r>
      <w:r w:rsidR="00910182">
        <w:t xml:space="preserve">approved a settlement agreement between the Parties and </w:t>
      </w:r>
      <w:r w:rsidR="00140775">
        <w:t xml:space="preserve">that </w:t>
      </w:r>
      <w:r w:rsidR="00910182">
        <w:t>the PAA rates are final</w:t>
      </w:r>
      <w:r w:rsidR="003267E9">
        <w:t>, with the exception of AFPI charges</w:t>
      </w:r>
      <w:r w:rsidR="00910182">
        <w:t>.</w:t>
      </w:r>
      <w:r w:rsidR="003267E9">
        <w:t xml:space="preserve"> The utility should continue to collect the AFPI charges in effect when the Commission obtained jurisdiction from Charlotte County. </w:t>
      </w:r>
      <w:r w:rsidR="005D42D0">
        <w:t>The</w:t>
      </w:r>
      <w:r>
        <w:t xml:space="preserve"> util</w:t>
      </w:r>
      <w:r w:rsidR="003734BD">
        <w:t xml:space="preserve">ity </w:t>
      </w:r>
      <w:r w:rsidR="00910182">
        <w:t>s</w:t>
      </w:r>
      <w:r w:rsidR="003734BD">
        <w:t>hould provide proof of the date notice was given within 10 days of the date of the notice</w:t>
      </w:r>
      <w:r w:rsidR="00AC428D">
        <w:t xml:space="preserve">. </w:t>
      </w:r>
      <w:r>
        <w:t>(Bruce, Brownless)</w:t>
      </w:r>
    </w:p>
    <w:p w:rsidR="00C91E49" w:rsidRPr="004C3641" w:rsidRDefault="00C91E49">
      <w:pPr>
        <w:pStyle w:val="IssueSubsectionHeading"/>
        <w:rPr>
          <w:vanish/>
          <w:specVanish/>
        </w:rPr>
      </w:pPr>
      <w:r w:rsidRPr="004C3641">
        <w:t>Staff Analysis: </w:t>
      </w:r>
    </w:p>
    <w:p w:rsidR="00E54432" w:rsidRDefault="00C91E49">
      <w:pPr>
        <w:pStyle w:val="BodyText"/>
      </w:pPr>
      <w:r>
        <w:t> </w:t>
      </w:r>
      <w:r w:rsidR="004C2B5D">
        <w:t xml:space="preserve">The issues protested by the Parties are set forth in </w:t>
      </w:r>
      <w:r w:rsidR="007060C0">
        <w:t xml:space="preserve">the </w:t>
      </w:r>
      <w:r w:rsidR="00CE015C">
        <w:t>petition</w:t>
      </w:r>
      <w:r w:rsidR="004C2B5D">
        <w:t xml:space="preserve"> and </w:t>
      </w:r>
      <w:r w:rsidR="00191C81">
        <w:t>c</w:t>
      </w:r>
      <w:r w:rsidR="004C2B5D">
        <w:t>ross-</w:t>
      </w:r>
      <w:r w:rsidR="00191C81">
        <w:t>p</w:t>
      </w:r>
      <w:r w:rsidR="004C2B5D">
        <w:t xml:space="preserve">etition for a formal administrative hearing. </w:t>
      </w:r>
      <w:r w:rsidR="008814C4">
        <w:t>In the Settlement Agreement,</w:t>
      </w:r>
      <w:r w:rsidR="0080731B" w:rsidRPr="0080731B">
        <w:t xml:space="preserve"> </w:t>
      </w:r>
      <w:r w:rsidR="0080731B">
        <w:t xml:space="preserve">the Parties agree that the protested issues </w:t>
      </w:r>
      <w:r w:rsidR="00AC428D">
        <w:t>of</w:t>
      </w:r>
      <w:r w:rsidR="00BC07E1">
        <w:t xml:space="preserve"> the PAA Order should</w:t>
      </w:r>
      <w:r w:rsidR="0080731B">
        <w:t xml:space="preserve"> have no precedential effect or value and can be raised in any future rate case. T</w:t>
      </w:r>
      <w:r w:rsidR="008814C4">
        <w:t>he Parties</w:t>
      </w:r>
      <w:r w:rsidR="0083688F">
        <w:t xml:space="preserve"> agree</w:t>
      </w:r>
      <w:r w:rsidR="007E6B38">
        <w:t xml:space="preserve"> </w:t>
      </w:r>
      <w:r w:rsidR="00D201DD">
        <w:t xml:space="preserve">to the </w:t>
      </w:r>
      <w:r w:rsidR="00247998">
        <w:t>PAA Order</w:t>
      </w:r>
      <w:r w:rsidR="00E54432">
        <w:t xml:space="preserve"> and its overall revenue requirement</w:t>
      </w:r>
      <w:r w:rsidR="00AC428D">
        <w:t xml:space="preserve">. </w:t>
      </w:r>
      <w:r w:rsidR="0080731B">
        <w:t xml:space="preserve">However, </w:t>
      </w:r>
      <w:r w:rsidR="0083688F">
        <w:t xml:space="preserve">the Parties </w:t>
      </w:r>
      <w:r w:rsidR="00E54432">
        <w:t xml:space="preserve">agree that </w:t>
      </w:r>
      <w:r w:rsidR="0083688F">
        <w:t xml:space="preserve">the utility </w:t>
      </w:r>
      <w:r w:rsidR="003267E9">
        <w:t xml:space="preserve">should </w:t>
      </w:r>
      <w:r w:rsidR="0083688F">
        <w:t xml:space="preserve">continue to collect the AFPI </w:t>
      </w:r>
      <w:r w:rsidR="00E54432">
        <w:t>c</w:t>
      </w:r>
      <w:r w:rsidR="0083688F">
        <w:t xml:space="preserve">harges in effect when the Commission obtained </w:t>
      </w:r>
      <w:r w:rsidR="00837A4A">
        <w:t>jurisdiction</w:t>
      </w:r>
      <w:r w:rsidR="0083688F">
        <w:t xml:space="preserve"> from Charlotte County, in lieu of the AFPI </w:t>
      </w:r>
      <w:r w:rsidR="00E54432">
        <w:t>c</w:t>
      </w:r>
      <w:r w:rsidR="0083688F">
        <w:t>harges set forth in the PAA Order</w:t>
      </w:r>
      <w:r w:rsidR="003267E9">
        <w:t xml:space="preserve">. The Parties also agree that </w:t>
      </w:r>
      <w:r w:rsidR="0083688F">
        <w:t>the utility</w:t>
      </w:r>
      <w:r w:rsidR="008C3174">
        <w:t xml:space="preserve"> will</w:t>
      </w:r>
      <w:r w:rsidR="0083688F">
        <w:t xml:space="preserve"> not seek an increase based upon the 2016 Price Index.</w:t>
      </w:r>
      <w:r w:rsidR="00417BB5">
        <w:t xml:space="preserve"> </w:t>
      </w:r>
      <w:r w:rsidR="00E54432">
        <w:t>In</w:t>
      </w:r>
      <w:r w:rsidR="00417BB5">
        <w:t xml:space="preserve"> addition, the Parties agree that the utility will not seek to recover any additional rate case expense incurred as a result</w:t>
      </w:r>
      <w:r w:rsidR="008C3174">
        <w:t xml:space="preserve"> of the </w:t>
      </w:r>
      <w:r w:rsidR="00CE015C">
        <w:t>petition</w:t>
      </w:r>
      <w:r w:rsidR="00BE2BAD">
        <w:t xml:space="preserve"> and cross-</w:t>
      </w:r>
      <w:r w:rsidR="008C3174">
        <w:t>petition for a formal administrative hearing</w:t>
      </w:r>
      <w:r w:rsidR="00417BB5">
        <w:t>.</w:t>
      </w:r>
      <w:r w:rsidR="006C7353">
        <w:t xml:space="preserve"> </w:t>
      </w:r>
      <w:r w:rsidR="00506DDC">
        <w:t xml:space="preserve">OPC’s petition and </w:t>
      </w:r>
      <w:proofErr w:type="spellStart"/>
      <w:r w:rsidR="00D20AAE">
        <w:t>Sandalhaven’s</w:t>
      </w:r>
      <w:proofErr w:type="spellEnd"/>
      <w:r w:rsidR="00D713CE">
        <w:t xml:space="preserve"> cross-petition</w:t>
      </w:r>
      <w:r w:rsidR="00506DDC">
        <w:t xml:space="preserve"> and </w:t>
      </w:r>
      <w:proofErr w:type="spellStart"/>
      <w:r w:rsidR="00D20AAE">
        <w:t>Sandalhaven’s</w:t>
      </w:r>
      <w:proofErr w:type="spellEnd"/>
      <w:r w:rsidR="00D20AAE">
        <w:t xml:space="preserve"> </w:t>
      </w:r>
      <w:r w:rsidR="00506DDC">
        <w:t>Motion for partial final summary order and OPC’s response to the Motion, should be deemed moot in accordance with the terms of this Stipulation and Settlement Agreement.</w:t>
      </w:r>
    </w:p>
    <w:p w:rsidR="00993F75" w:rsidRDefault="006B18D4">
      <w:pPr>
        <w:pStyle w:val="BodyText"/>
      </w:pPr>
      <w:r>
        <w:t xml:space="preserve">Staff believes that the Parties’ </w:t>
      </w:r>
      <w:r w:rsidR="00837A4A">
        <w:t>Settlement</w:t>
      </w:r>
      <w:r>
        <w:t xml:space="preserve"> Agreement is a reasonable resolution because it addresses all protested issues</w:t>
      </w:r>
      <w:r w:rsidR="00AC428D">
        <w:t xml:space="preserve">. </w:t>
      </w:r>
      <w:r>
        <w:t>Staff also believes that it is in the public interest for the Commission to approve the Settlement Agreement because it promotes administrative efficiency and avoids the time and expense of a hearing</w:t>
      </w:r>
      <w:r w:rsidR="00AC428D">
        <w:t xml:space="preserve">. </w:t>
      </w:r>
      <w:r>
        <w:t>In keeping with the Commission’s long-standing practice of encouraging parties to settle contested proceedings whenever possible, staff recommends that the Commission approve the Parties’ Settlement Agreement.</w:t>
      </w:r>
    </w:p>
    <w:p w:rsidR="00557422" w:rsidRDefault="00140775" w:rsidP="00E275D8">
      <w:pPr>
        <w:pStyle w:val="BodyText"/>
      </w:pPr>
      <w:r>
        <w:t xml:space="preserve">The Joint Motion and Settlement Agreement should be approved. The protested issues of the PAA Order should have no precedential effect or value and can be raised in any future rate case. Upon the issuance of the final order approving the Parties’ Settlement Agreement, staff recommends the corporate undertaking amount for interim rates and the implementation of PAA rates be released. Upon approval of the Settlement Agreement by the Commission, the utility should file a proposed customer notice indicating that the Commission </w:t>
      </w:r>
      <w:r w:rsidR="008D3826">
        <w:t xml:space="preserve">has </w:t>
      </w:r>
      <w:r>
        <w:t>approved a settlement agreement between the Parties and that the PAA rates are final, with the exception of AFPI charges. The utility should continue to collect the AFPI charges in effect when the Commission obtained jurisdiction from Charlotte County. The utility should provide proof of the date notice was given within 10 days of the date of the notice.</w:t>
      </w:r>
    </w:p>
    <w:p w:rsidR="00557422" w:rsidRDefault="00557422">
      <w:pPr>
        <w:pStyle w:val="IssueHeading"/>
        <w:rPr>
          <w:vanish/>
          <w:specVanish/>
        </w:rPr>
      </w:pPr>
      <w:r w:rsidRPr="004C3641">
        <w:rPr>
          <w:b w:val="0"/>
          <w:i w:val="0"/>
        </w:rPr>
        <w:br w:type="page"/>
      </w:r>
      <w:r w:rsidRPr="004C3641">
        <w:lastRenderedPageBreak/>
        <w:t xml:space="preserve">Issue </w:t>
      </w:r>
      <w:r w:rsidR="003F7942">
        <w:fldChar w:fldCharType="begin"/>
      </w:r>
      <w:r w:rsidR="003F7942">
        <w:instrText xml:space="preserve"> SEQ Issue \* MERGEFORMAT </w:instrText>
      </w:r>
      <w:r w:rsidR="003F7942">
        <w:fldChar w:fldCharType="separate"/>
      </w:r>
      <w:r w:rsidR="00EA6350">
        <w:rPr>
          <w:noProof/>
        </w:rPr>
        <w:t>2</w:t>
      </w:r>
      <w:r w:rsidR="003F7942">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EA6350">
        <w:rPr>
          <w:noProof/>
        </w:rPr>
        <w:instrText>2</w:instrText>
      </w:r>
      <w:r>
        <w:fldChar w:fldCharType="end"/>
      </w:r>
      <w:r>
        <w:tab/>
        <w:instrText xml:space="preserve">(Bruce, Brownless)" \l 1 </w:instrText>
      </w:r>
      <w:r>
        <w:fldChar w:fldCharType="end"/>
      </w:r>
      <w:r>
        <w:t> </w:t>
      </w:r>
    </w:p>
    <w:p w:rsidR="00557422" w:rsidRDefault="00557422">
      <w:pPr>
        <w:pStyle w:val="BodyText"/>
      </w:pPr>
      <w:r>
        <w:t> Should this docket be closed?</w:t>
      </w:r>
    </w:p>
    <w:p w:rsidR="00557422" w:rsidRPr="004C3641" w:rsidRDefault="00557422">
      <w:pPr>
        <w:pStyle w:val="IssueSubsectionHeading"/>
        <w:rPr>
          <w:vanish/>
          <w:specVanish/>
        </w:rPr>
      </w:pPr>
      <w:r w:rsidRPr="004C3641">
        <w:t>Recommendation: </w:t>
      </w:r>
    </w:p>
    <w:p w:rsidR="00557422" w:rsidRDefault="00557422">
      <w:pPr>
        <w:pStyle w:val="BodyText"/>
      </w:pPr>
      <w:r>
        <w:t> Yes</w:t>
      </w:r>
      <w:r w:rsidR="00AC428D">
        <w:t xml:space="preserve">. </w:t>
      </w:r>
      <w:r>
        <w:t>If the Commission approves staff’s recommendation in Issue 1, this docket should be closed upon the issuance of the final order approving the Parties’ Settlement Agreement</w:t>
      </w:r>
      <w:r w:rsidR="00AC428D">
        <w:t xml:space="preserve">. </w:t>
      </w:r>
      <w:r>
        <w:t>(Bruce, Brownless)</w:t>
      </w:r>
    </w:p>
    <w:p w:rsidR="00557422" w:rsidRPr="004C3641" w:rsidRDefault="00557422">
      <w:pPr>
        <w:pStyle w:val="IssueSubsectionHeading"/>
        <w:rPr>
          <w:vanish/>
          <w:specVanish/>
        </w:rPr>
      </w:pPr>
      <w:r w:rsidRPr="004C3641">
        <w:t>Staff Analysis: </w:t>
      </w:r>
    </w:p>
    <w:p w:rsidR="00557422" w:rsidRDefault="00557422">
      <w:pPr>
        <w:pStyle w:val="BodyText"/>
      </w:pPr>
      <w:r>
        <w:t> If the Commission approves staff’s recommendation in Issue 1, this docket should be closed upon the issuance of the final order approving the Parties’ Settlement Agreement.</w:t>
      </w:r>
      <w:r w:rsidR="00AC428D" w:rsidRPr="00AC428D">
        <w:t xml:space="preserve"> </w:t>
      </w:r>
    </w:p>
    <w:p w:rsidR="002A6403" w:rsidRDefault="002A6403" w:rsidP="00E275D8">
      <w:pPr>
        <w:pStyle w:val="BodyText"/>
        <w:sectPr w:rsidR="002A6403"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2A6403" w:rsidRDefault="002A6403" w:rsidP="00E275D8">
      <w:pPr>
        <w:pStyle w:val="BodyText"/>
      </w:pPr>
    </w:p>
    <w:p w:rsidR="008C5753" w:rsidRDefault="002A6403" w:rsidP="002A6403">
      <w:pPr>
        <w:jc w:val="center"/>
        <w:rPr>
          <w:noProof/>
        </w:rPr>
        <w:sectPr w:rsidR="008C5753" w:rsidSect="0068481F">
          <w:headerReference w:type="default" r:id="rId15"/>
          <w:pgSz w:w="12240" w:h="15840" w:code="1"/>
          <w:pgMar w:top="1584" w:right="1440" w:bottom="1440" w:left="1440" w:header="720" w:footer="720" w:gutter="0"/>
          <w:cols w:space="720"/>
          <w:formProt w:val="0"/>
          <w:docGrid w:linePitch="360"/>
        </w:sectPr>
      </w:pPr>
      <w:r>
        <w:rPr>
          <w:noProof/>
        </w:rPr>
        <w:drawing>
          <wp:inline distT="0" distB="0" distL="0" distR="0">
            <wp:extent cx="6021728" cy="7781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21728" cy="7781925"/>
                    </a:xfrm>
                    <a:prstGeom prst="rect">
                      <a:avLst/>
                    </a:prstGeom>
                    <a:noFill/>
                    <a:ln>
                      <a:noFill/>
                    </a:ln>
                  </pic:spPr>
                </pic:pic>
              </a:graphicData>
            </a:graphic>
          </wp:inline>
        </w:drawing>
      </w:r>
    </w:p>
    <w:p w:rsidR="002A6403" w:rsidRDefault="002A6403" w:rsidP="002A6403">
      <w:pPr>
        <w:jc w:val="center"/>
        <w:rPr>
          <w:noProof/>
        </w:rPr>
      </w:pPr>
    </w:p>
    <w:p w:rsidR="002A6403" w:rsidRDefault="002A6403" w:rsidP="002A6403">
      <w:pPr>
        <w:jc w:val="center"/>
        <w:sectPr w:rsidR="002A6403" w:rsidSect="0068481F">
          <w:headerReference w:type="default" r:id="rId17"/>
          <w:pgSz w:w="12240" w:h="15840" w:code="1"/>
          <w:pgMar w:top="1584" w:right="1440" w:bottom="1440" w:left="1440" w:header="720" w:footer="720" w:gutter="0"/>
          <w:cols w:space="720"/>
          <w:formProt w:val="0"/>
          <w:docGrid w:linePitch="360"/>
        </w:sectPr>
      </w:pPr>
      <w:r>
        <w:rPr>
          <w:noProof/>
        </w:rPr>
        <w:drawing>
          <wp:inline distT="0" distB="0" distL="0" distR="0" wp14:anchorId="2F7DB747" wp14:editId="04ECE8FA">
            <wp:extent cx="5844618" cy="587640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4618" cy="5876407"/>
                    </a:xfrm>
                    <a:prstGeom prst="rect">
                      <a:avLst/>
                    </a:prstGeom>
                    <a:noFill/>
                    <a:ln>
                      <a:noFill/>
                    </a:ln>
                  </pic:spPr>
                </pic:pic>
              </a:graphicData>
            </a:graphic>
          </wp:inline>
        </w:drawing>
      </w:r>
    </w:p>
    <w:p w:rsidR="008C5753" w:rsidRDefault="002A6403" w:rsidP="002A6403">
      <w:pPr>
        <w:jc w:val="center"/>
      </w:pPr>
      <w:r>
        <w:rPr>
          <w:noProof/>
        </w:rPr>
        <w:lastRenderedPageBreak/>
        <w:drawing>
          <wp:inline distT="0" distB="0" distL="0" distR="0">
            <wp:extent cx="5943600" cy="6955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6955720"/>
                    </a:xfrm>
                    <a:prstGeom prst="rect">
                      <a:avLst/>
                    </a:prstGeom>
                    <a:noFill/>
                    <a:ln>
                      <a:noFill/>
                    </a:ln>
                  </pic:spPr>
                </pic:pic>
              </a:graphicData>
            </a:graphic>
          </wp:inline>
        </w:drawing>
      </w:r>
    </w:p>
    <w:p w:rsidR="008C5753" w:rsidRDefault="008C5753" w:rsidP="008C5753"/>
    <w:p w:rsidR="008C5753" w:rsidRDefault="008C5753" w:rsidP="008C5753"/>
    <w:p w:rsidR="008C5753" w:rsidRDefault="008C5753" w:rsidP="008C5753">
      <w:pPr>
        <w:ind w:firstLine="720"/>
        <w:sectPr w:rsidR="008C5753" w:rsidSect="0068481F">
          <w:headerReference w:type="default" r:id="rId20"/>
          <w:pgSz w:w="12240" w:h="15840" w:code="1"/>
          <w:pgMar w:top="1584" w:right="1440" w:bottom="1440" w:left="1440" w:header="720" w:footer="720" w:gutter="0"/>
          <w:cols w:space="720"/>
          <w:formProt w:val="0"/>
          <w:docGrid w:linePitch="360"/>
        </w:sectPr>
      </w:pPr>
    </w:p>
    <w:p w:rsidR="002A6403" w:rsidRPr="008C5753" w:rsidRDefault="002A6403" w:rsidP="008C5753">
      <w:pPr>
        <w:ind w:firstLine="720"/>
      </w:pPr>
    </w:p>
    <w:p w:rsidR="002A6403" w:rsidRDefault="002A6403" w:rsidP="002A6403">
      <w:pPr>
        <w:jc w:val="center"/>
      </w:pPr>
      <w:r>
        <w:rPr>
          <w:noProof/>
        </w:rPr>
        <w:drawing>
          <wp:inline distT="0" distB="0" distL="0" distR="0" wp14:anchorId="1913469E" wp14:editId="1388E61B">
            <wp:extent cx="5715000" cy="7702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0" cy="7702125"/>
                    </a:xfrm>
                    <a:prstGeom prst="rect">
                      <a:avLst/>
                    </a:prstGeom>
                    <a:noFill/>
                    <a:ln>
                      <a:noFill/>
                    </a:ln>
                  </pic:spPr>
                </pic:pic>
              </a:graphicData>
            </a:graphic>
          </wp:inline>
        </w:drawing>
      </w:r>
    </w:p>
    <w:p w:rsidR="002A6403" w:rsidRDefault="002A6403" w:rsidP="002A6403">
      <w:pPr>
        <w:jc w:val="center"/>
        <w:sectPr w:rsidR="002A6403" w:rsidSect="0068481F">
          <w:headerReference w:type="default" r:id="rId22"/>
          <w:pgSz w:w="12240" w:h="15840" w:code="1"/>
          <w:pgMar w:top="1584" w:right="1440" w:bottom="1440" w:left="1440" w:header="720" w:footer="720" w:gutter="0"/>
          <w:cols w:space="720"/>
          <w:formProt w:val="0"/>
          <w:docGrid w:linePitch="360"/>
        </w:sectPr>
      </w:pPr>
    </w:p>
    <w:p w:rsidR="00837A4A" w:rsidRDefault="00837A4A" w:rsidP="002A6403">
      <w:pPr>
        <w:jc w:val="center"/>
        <w:sectPr w:rsidR="00837A4A" w:rsidSect="0068481F">
          <w:headerReference w:type="default" r:id="rId23"/>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27E31178" wp14:editId="4D21E117">
            <wp:extent cx="5943600" cy="79643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964339"/>
                    </a:xfrm>
                    <a:prstGeom prst="rect">
                      <a:avLst/>
                    </a:prstGeom>
                    <a:noFill/>
                    <a:ln>
                      <a:noFill/>
                    </a:ln>
                  </pic:spPr>
                </pic:pic>
              </a:graphicData>
            </a:graphic>
          </wp:inline>
        </w:drawing>
      </w:r>
    </w:p>
    <w:p w:rsidR="002A6403" w:rsidRPr="002A6403" w:rsidRDefault="00837A4A" w:rsidP="002A6403">
      <w:pPr>
        <w:jc w:val="center"/>
      </w:pPr>
      <w:r>
        <w:rPr>
          <w:noProof/>
        </w:rPr>
        <w:lastRenderedPageBreak/>
        <w:drawing>
          <wp:inline distT="0" distB="0" distL="0" distR="0">
            <wp:extent cx="5943600" cy="8756566"/>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8756566"/>
                    </a:xfrm>
                    <a:prstGeom prst="rect">
                      <a:avLst/>
                    </a:prstGeom>
                    <a:noFill/>
                    <a:ln>
                      <a:noFill/>
                    </a:ln>
                  </pic:spPr>
                </pic:pic>
              </a:graphicData>
            </a:graphic>
          </wp:inline>
        </w:drawing>
      </w:r>
    </w:p>
    <w:sectPr w:rsidR="002A6403" w:rsidRPr="002A6403" w:rsidSect="0068481F">
      <w:headerReference w:type="default" r:id="rId26"/>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9FB" w:rsidRDefault="006C09FB">
      <w:r>
        <w:separator/>
      </w:r>
    </w:p>
  </w:endnote>
  <w:endnote w:type="continuationSeparator" w:id="0">
    <w:p w:rsidR="006C09FB" w:rsidRDefault="006C0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341DE2">
      <w:rPr>
        <w:rStyle w:val="PageNumber"/>
        <w:noProof/>
      </w:rPr>
      <w:t>10</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9FB" w:rsidRDefault="006C09FB">
      <w:r>
        <w:separator/>
      </w:r>
    </w:p>
  </w:footnote>
  <w:footnote w:type="continuationSeparator" w:id="0">
    <w:p w:rsidR="006C09FB" w:rsidRDefault="006C09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6C09FB" w:rsidP="00220732">
    <w:pPr>
      <w:pStyle w:val="Header"/>
      <w:tabs>
        <w:tab w:val="clear" w:pos="4320"/>
        <w:tab w:val="clear" w:pos="8640"/>
        <w:tab w:val="right" w:pos="9360"/>
      </w:tabs>
    </w:pPr>
    <w:bookmarkStart w:id="14" w:name="DocketLabel"/>
    <w:r>
      <w:t>Docket No.</w:t>
    </w:r>
    <w:bookmarkEnd w:id="14"/>
    <w:r w:rsidR="00BB3493">
      <w:t xml:space="preserve"> </w:t>
    </w:r>
    <w:bookmarkStart w:id="15" w:name="DocketList"/>
    <w:r>
      <w:t>150102-SU</w:t>
    </w:r>
    <w:bookmarkEnd w:id="15"/>
  </w:p>
  <w:p w:rsidR="00BB3493" w:rsidRDefault="00BB3493">
    <w:pPr>
      <w:pStyle w:val="Header"/>
    </w:pPr>
    <w:r>
      <w:t xml:space="preserve">Date: </w:t>
    </w:r>
    <w:r w:rsidR="003F7942">
      <w:fldChar w:fldCharType="begin"/>
    </w:r>
    <w:r w:rsidR="003F7942">
      <w:instrText xml:space="preserve"> REF FilingDate </w:instrText>
    </w:r>
    <w:r w:rsidR="003F7942">
      <w:fldChar w:fldCharType="separate"/>
    </w:r>
    <w:r w:rsidR="00EA6350">
      <w:t>March 24, 2016</w:t>
    </w:r>
    <w:r w:rsidR="003F7942">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rsidP="00220732">
    <w:pPr>
      <w:pStyle w:val="Header"/>
      <w:tabs>
        <w:tab w:val="clear" w:pos="4320"/>
        <w:tab w:val="clear" w:pos="8640"/>
        <w:tab w:val="right" w:pos="9360"/>
      </w:tabs>
    </w:pPr>
    <w:r>
      <w:fldChar w:fldCharType="begin"/>
    </w:r>
    <w:r>
      <w:instrText xml:space="preserve"> REF DocketLabel</w:instrText>
    </w:r>
    <w:r>
      <w:fldChar w:fldCharType="separate"/>
    </w:r>
    <w:r w:rsidR="00EA6350">
      <w:t>Docket No.</w:t>
    </w:r>
    <w:r>
      <w:fldChar w:fldCharType="end"/>
    </w:r>
    <w:r>
      <w:t xml:space="preserve"> </w:t>
    </w:r>
    <w:r>
      <w:fldChar w:fldCharType="begin"/>
    </w:r>
    <w:r>
      <w:instrText xml:space="preserve"> REF DocketList</w:instrText>
    </w:r>
    <w:r>
      <w:fldChar w:fldCharType="separate"/>
    </w:r>
    <w:r w:rsidR="00EA6350">
      <w:t>150102-SU</w:t>
    </w:r>
    <w:r>
      <w:fldChar w:fldCharType="end"/>
    </w:r>
    <w:r>
      <w:tab/>
      <w:t xml:space="preserve">Issue </w:t>
    </w:r>
    <w:r w:rsidR="003F7942">
      <w:fldChar w:fldCharType="begin"/>
    </w:r>
    <w:r w:rsidR="003F7942">
      <w:instrText xml:space="preserve"> Seq Issue \c \* Arabic </w:instrText>
    </w:r>
    <w:r w:rsidR="003F7942">
      <w:fldChar w:fldCharType="separate"/>
    </w:r>
    <w:r w:rsidR="00341DE2">
      <w:rPr>
        <w:noProof/>
      </w:rPr>
      <w:t>2</w:t>
    </w:r>
    <w:r w:rsidR="003F7942">
      <w:rPr>
        <w:noProof/>
      </w:rPr>
      <w:fldChar w:fldCharType="end"/>
    </w:r>
  </w:p>
  <w:p w:rsidR="00BB3493" w:rsidRDefault="00BB3493">
    <w:pPr>
      <w:pStyle w:val="Header"/>
    </w:pPr>
    <w:r>
      <w:t xml:space="preserve">Date: </w:t>
    </w:r>
    <w:r w:rsidR="003F7942">
      <w:fldChar w:fldCharType="begin"/>
    </w:r>
    <w:r w:rsidR="003F7942">
      <w:instrText xml:space="preserve"> REF FilingDate </w:instrText>
    </w:r>
    <w:r w:rsidR="003F7942">
      <w:fldChar w:fldCharType="separate"/>
    </w:r>
    <w:r w:rsidR="00EA6350">
      <w:t>March 24, 2016</w:t>
    </w:r>
    <w:r w:rsidR="003F7942">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A4A" w:rsidRDefault="00837A4A" w:rsidP="00220732">
    <w:pPr>
      <w:pStyle w:val="Header"/>
      <w:tabs>
        <w:tab w:val="clear" w:pos="4320"/>
        <w:tab w:val="clear" w:pos="8640"/>
        <w:tab w:val="right" w:pos="9360"/>
      </w:tabs>
    </w:pPr>
    <w:r>
      <w:fldChar w:fldCharType="begin"/>
    </w:r>
    <w:r>
      <w:instrText xml:space="preserve"> REF DocketLabel</w:instrText>
    </w:r>
    <w:r>
      <w:fldChar w:fldCharType="separate"/>
    </w:r>
    <w:r w:rsidR="00EA6350">
      <w:t>Docket No.</w:t>
    </w:r>
    <w:r>
      <w:fldChar w:fldCharType="end"/>
    </w:r>
    <w:r>
      <w:t xml:space="preserve"> </w:t>
    </w:r>
    <w:r>
      <w:fldChar w:fldCharType="begin"/>
    </w:r>
    <w:r>
      <w:instrText xml:space="preserve"> REF DocketList</w:instrText>
    </w:r>
    <w:r>
      <w:fldChar w:fldCharType="separate"/>
    </w:r>
    <w:r w:rsidR="00EA6350">
      <w:t>150102-SU</w:t>
    </w:r>
    <w:r>
      <w:fldChar w:fldCharType="end"/>
    </w:r>
    <w:r>
      <w:tab/>
      <w:t>Attachment A</w:t>
    </w:r>
  </w:p>
  <w:p w:rsidR="00837A4A" w:rsidRDefault="00837A4A" w:rsidP="00837A4A">
    <w:pPr>
      <w:pStyle w:val="Header"/>
      <w:tabs>
        <w:tab w:val="clear" w:pos="4320"/>
        <w:tab w:val="clear" w:pos="8640"/>
        <w:tab w:val="right" w:pos="9360"/>
      </w:tabs>
    </w:pPr>
    <w:r>
      <w:t xml:space="preserve">Date: </w:t>
    </w:r>
    <w:r w:rsidR="003F7942">
      <w:fldChar w:fldCharType="begin"/>
    </w:r>
    <w:r w:rsidR="003F7942">
      <w:instrText xml:space="preserve"> REF FilingDate </w:instrText>
    </w:r>
    <w:r w:rsidR="003F7942">
      <w:fldChar w:fldCharType="separate"/>
    </w:r>
    <w:r w:rsidR="00EA6350">
      <w:t>March 24, 2016</w:t>
    </w:r>
    <w:r w:rsidR="003F7942">
      <w:fldChar w:fldCharType="end"/>
    </w:r>
    <w:r>
      <w:tab/>
      <w:t xml:space="preserve">Page </w:t>
    </w:r>
    <w:r w:rsidR="008C5753">
      <w:t>1</w:t>
    </w:r>
    <w:r>
      <w:t xml:space="preserve"> of 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753" w:rsidRDefault="008C5753" w:rsidP="00220732">
    <w:pPr>
      <w:pStyle w:val="Header"/>
      <w:tabs>
        <w:tab w:val="clear" w:pos="4320"/>
        <w:tab w:val="clear" w:pos="8640"/>
        <w:tab w:val="right" w:pos="9360"/>
      </w:tabs>
    </w:pPr>
    <w:r>
      <w:fldChar w:fldCharType="begin"/>
    </w:r>
    <w:r>
      <w:instrText xml:space="preserve"> REF DocketLabel</w:instrText>
    </w:r>
    <w:r>
      <w:fldChar w:fldCharType="separate"/>
    </w:r>
    <w:r w:rsidR="00EA6350">
      <w:t>Docket No.</w:t>
    </w:r>
    <w:r>
      <w:fldChar w:fldCharType="end"/>
    </w:r>
    <w:r>
      <w:t xml:space="preserve"> </w:t>
    </w:r>
    <w:r>
      <w:fldChar w:fldCharType="begin"/>
    </w:r>
    <w:r>
      <w:instrText xml:space="preserve"> REF DocketList</w:instrText>
    </w:r>
    <w:r>
      <w:fldChar w:fldCharType="separate"/>
    </w:r>
    <w:r w:rsidR="00EA6350">
      <w:t>150102-SU</w:t>
    </w:r>
    <w:r>
      <w:fldChar w:fldCharType="end"/>
    </w:r>
    <w:r>
      <w:tab/>
      <w:t>Attachment A</w:t>
    </w:r>
  </w:p>
  <w:p w:rsidR="008C5753" w:rsidRDefault="008C5753" w:rsidP="00837A4A">
    <w:pPr>
      <w:pStyle w:val="Header"/>
      <w:tabs>
        <w:tab w:val="clear" w:pos="4320"/>
        <w:tab w:val="clear" w:pos="8640"/>
        <w:tab w:val="right" w:pos="9360"/>
      </w:tabs>
    </w:pPr>
    <w:r>
      <w:t xml:space="preserve">Date: </w:t>
    </w:r>
    <w:r w:rsidR="003F7942">
      <w:fldChar w:fldCharType="begin"/>
    </w:r>
    <w:r w:rsidR="003F7942">
      <w:instrText xml:space="preserve"> REF FilingDate </w:instrText>
    </w:r>
    <w:r w:rsidR="003F7942">
      <w:fldChar w:fldCharType="separate"/>
    </w:r>
    <w:r w:rsidR="00EA6350">
      <w:t>March 24, 2016</w:t>
    </w:r>
    <w:r w:rsidR="003F7942">
      <w:fldChar w:fldCharType="end"/>
    </w:r>
    <w:r>
      <w:tab/>
      <w:t>Page 2 of 6</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BA4" w:rsidRDefault="00361BA4" w:rsidP="00220732">
    <w:pPr>
      <w:pStyle w:val="Header"/>
      <w:tabs>
        <w:tab w:val="clear" w:pos="4320"/>
        <w:tab w:val="clear" w:pos="8640"/>
        <w:tab w:val="right" w:pos="9360"/>
      </w:tabs>
    </w:pPr>
    <w:r>
      <w:fldChar w:fldCharType="begin"/>
    </w:r>
    <w:r>
      <w:instrText xml:space="preserve"> REF DocketLabel</w:instrText>
    </w:r>
    <w:r>
      <w:fldChar w:fldCharType="separate"/>
    </w:r>
    <w:r w:rsidR="00EA6350">
      <w:t>Docket No.</w:t>
    </w:r>
    <w:r>
      <w:fldChar w:fldCharType="end"/>
    </w:r>
    <w:r>
      <w:t xml:space="preserve"> </w:t>
    </w:r>
    <w:r>
      <w:fldChar w:fldCharType="begin"/>
    </w:r>
    <w:r>
      <w:instrText xml:space="preserve"> REF DocketList</w:instrText>
    </w:r>
    <w:r>
      <w:fldChar w:fldCharType="separate"/>
    </w:r>
    <w:r w:rsidR="00EA6350">
      <w:t>150102-SU</w:t>
    </w:r>
    <w:r>
      <w:fldChar w:fldCharType="end"/>
    </w:r>
    <w:r>
      <w:tab/>
      <w:t>Attachment A</w:t>
    </w:r>
  </w:p>
  <w:p w:rsidR="00361BA4" w:rsidRDefault="00361BA4" w:rsidP="00837A4A">
    <w:pPr>
      <w:pStyle w:val="Header"/>
      <w:tabs>
        <w:tab w:val="clear" w:pos="4320"/>
        <w:tab w:val="clear" w:pos="8640"/>
        <w:tab w:val="right" w:pos="9360"/>
      </w:tabs>
    </w:pPr>
    <w:r>
      <w:t xml:space="preserve">Date: </w:t>
    </w:r>
    <w:r w:rsidR="003F7942">
      <w:fldChar w:fldCharType="begin"/>
    </w:r>
    <w:r w:rsidR="003F7942">
      <w:instrText xml:space="preserve"> REF FilingDate </w:instrText>
    </w:r>
    <w:r w:rsidR="003F7942">
      <w:fldChar w:fldCharType="separate"/>
    </w:r>
    <w:r w:rsidR="00EA6350">
      <w:t>March 24, 2016</w:t>
    </w:r>
    <w:r w:rsidR="003F7942">
      <w:fldChar w:fldCharType="end"/>
    </w:r>
    <w:r>
      <w:tab/>
      <w:t>Page 3 of 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753" w:rsidRDefault="008C5753" w:rsidP="00220732">
    <w:pPr>
      <w:pStyle w:val="Header"/>
      <w:tabs>
        <w:tab w:val="clear" w:pos="4320"/>
        <w:tab w:val="clear" w:pos="8640"/>
        <w:tab w:val="right" w:pos="9360"/>
      </w:tabs>
    </w:pPr>
    <w:r>
      <w:fldChar w:fldCharType="begin"/>
    </w:r>
    <w:r>
      <w:instrText xml:space="preserve"> REF DocketLabel</w:instrText>
    </w:r>
    <w:r>
      <w:fldChar w:fldCharType="separate"/>
    </w:r>
    <w:r w:rsidR="00EA6350">
      <w:t>Docket No.</w:t>
    </w:r>
    <w:r>
      <w:fldChar w:fldCharType="end"/>
    </w:r>
    <w:r>
      <w:t xml:space="preserve"> </w:t>
    </w:r>
    <w:r>
      <w:fldChar w:fldCharType="begin"/>
    </w:r>
    <w:r>
      <w:instrText xml:space="preserve"> REF DocketList</w:instrText>
    </w:r>
    <w:r>
      <w:fldChar w:fldCharType="separate"/>
    </w:r>
    <w:r w:rsidR="00EA6350">
      <w:t>150102-SU</w:t>
    </w:r>
    <w:r>
      <w:fldChar w:fldCharType="end"/>
    </w:r>
    <w:r>
      <w:tab/>
      <w:t>Attachment A</w:t>
    </w:r>
  </w:p>
  <w:p w:rsidR="008C5753" w:rsidRDefault="008C5753" w:rsidP="00837A4A">
    <w:pPr>
      <w:pStyle w:val="Header"/>
      <w:tabs>
        <w:tab w:val="clear" w:pos="4320"/>
        <w:tab w:val="clear" w:pos="8640"/>
        <w:tab w:val="right" w:pos="9360"/>
      </w:tabs>
    </w:pPr>
    <w:r>
      <w:t xml:space="preserve">Date: </w:t>
    </w:r>
    <w:r w:rsidR="003F7942">
      <w:fldChar w:fldCharType="begin"/>
    </w:r>
    <w:r w:rsidR="003F7942">
      <w:instrText xml:space="preserve"> REF FilingDate </w:instrText>
    </w:r>
    <w:r w:rsidR="003F7942">
      <w:fldChar w:fldCharType="separate"/>
    </w:r>
    <w:r w:rsidR="00EA6350">
      <w:t>March 24, 2016</w:t>
    </w:r>
    <w:r w:rsidR="003F7942">
      <w:fldChar w:fldCharType="end"/>
    </w:r>
    <w:r>
      <w:tab/>
      <w:t>Page 4 of 6</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753" w:rsidRDefault="008C5753" w:rsidP="00220732">
    <w:pPr>
      <w:pStyle w:val="Header"/>
      <w:tabs>
        <w:tab w:val="clear" w:pos="4320"/>
        <w:tab w:val="clear" w:pos="8640"/>
        <w:tab w:val="right" w:pos="9360"/>
      </w:tabs>
    </w:pPr>
    <w:r>
      <w:fldChar w:fldCharType="begin"/>
    </w:r>
    <w:r>
      <w:instrText xml:space="preserve"> REF DocketLabel</w:instrText>
    </w:r>
    <w:r>
      <w:fldChar w:fldCharType="separate"/>
    </w:r>
    <w:r w:rsidR="00EA6350">
      <w:t>Docket No.</w:t>
    </w:r>
    <w:r>
      <w:fldChar w:fldCharType="end"/>
    </w:r>
    <w:r>
      <w:t xml:space="preserve"> </w:t>
    </w:r>
    <w:r>
      <w:fldChar w:fldCharType="begin"/>
    </w:r>
    <w:r>
      <w:instrText xml:space="preserve"> REF DocketList</w:instrText>
    </w:r>
    <w:r>
      <w:fldChar w:fldCharType="separate"/>
    </w:r>
    <w:r w:rsidR="00EA6350">
      <w:t>150102-SU</w:t>
    </w:r>
    <w:r>
      <w:fldChar w:fldCharType="end"/>
    </w:r>
    <w:r>
      <w:tab/>
      <w:t>Attachment A</w:t>
    </w:r>
  </w:p>
  <w:p w:rsidR="008C5753" w:rsidRDefault="008C5753" w:rsidP="00837A4A">
    <w:pPr>
      <w:pStyle w:val="Header"/>
      <w:tabs>
        <w:tab w:val="clear" w:pos="4320"/>
        <w:tab w:val="clear" w:pos="8640"/>
        <w:tab w:val="right" w:pos="9360"/>
      </w:tabs>
    </w:pPr>
    <w:r>
      <w:t xml:space="preserve">Date: </w:t>
    </w:r>
    <w:r w:rsidR="003F7942">
      <w:fldChar w:fldCharType="begin"/>
    </w:r>
    <w:r w:rsidR="003F7942">
      <w:instrText xml:space="preserve"> REF FilingDate </w:instrText>
    </w:r>
    <w:r w:rsidR="003F7942">
      <w:fldChar w:fldCharType="separate"/>
    </w:r>
    <w:r w:rsidR="00EA6350">
      <w:t>March 24, 2016</w:t>
    </w:r>
    <w:r w:rsidR="003F7942">
      <w:fldChar w:fldCharType="end"/>
    </w:r>
    <w:r>
      <w:tab/>
      <w:t>Page 5 of 6</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A4A" w:rsidRDefault="00837A4A" w:rsidP="00220732">
    <w:pPr>
      <w:pStyle w:val="Header"/>
      <w:tabs>
        <w:tab w:val="clear" w:pos="4320"/>
        <w:tab w:val="clear" w:pos="8640"/>
        <w:tab w:val="right" w:pos="9360"/>
      </w:tabs>
    </w:pPr>
    <w:r>
      <w:fldChar w:fldCharType="begin"/>
    </w:r>
    <w:r>
      <w:instrText xml:space="preserve"> REF DocketLabel</w:instrText>
    </w:r>
    <w:r>
      <w:fldChar w:fldCharType="separate"/>
    </w:r>
    <w:r w:rsidR="00EA6350">
      <w:t>Docket No.</w:t>
    </w:r>
    <w:r>
      <w:fldChar w:fldCharType="end"/>
    </w:r>
    <w:r>
      <w:t xml:space="preserve"> </w:t>
    </w:r>
    <w:r>
      <w:fldChar w:fldCharType="begin"/>
    </w:r>
    <w:r>
      <w:instrText xml:space="preserve"> REF DocketList</w:instrText>
    </w:r>
    <w:r>
      <w:fldChar w:fldCharType="separate"/>
    </w:r>
    <w:r w:rsidR="00EA6350">
      <w:t>150102-SU</w:t>
    </w:r>
    <w:r>
      <w:fldChar w:fldCharType="end"/>
    </w:r>
    <w:r>
      <w:tab/>
      <w:t>Attachment A</w:t>
    </w:r>
  </w:p>
  <w:p w:rsidR="00837A4A" w:rsidRDefault="00837A4A" w:rsidP="00837A4A">
    <w:pPr>
      <w:pStyle w:val="Header"/>
      <w:tabs>
        <w:tab w:val="clear" w:pos="4320"/>
        <w:tab w:val="clear" w:pos="8640"/>
        <w:tab w:val="right" w:pos="9360"/>
      </w:tabs>
    </w:pPr>
    <w:r>
      <w:t xml:space="preserve">Date: </w:t>
    </w:r>
    <w:r w:rsidR="003F7942">
      <w:fldChar w:fldCharType="begin"/>
    </w:r>
    <w:r w:rsidR="003F7942">
      <w:instrText xml:space="preserve"> REF FilingDate </w:instrText>
    </w:r>
    <w:r w:rsidR="003F7942">
      <w:fldChar w:fldCharType="separate"/>
    </w:r>
    <w:r w:rsidR="00EA6350">
      <w:t>March 24, 2016</w:t>
    </w:r>
    <w:r w:rsidR="003F7942">
      <w:fldChar w:fldCharType="end"/>
    </w:r>
    <w:r>
      <w:tab/>
      <w:t>Page 6 of 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867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umberOfIssues" w:val="0"/>
    <w:docVar w:name="StaffInToC" w:val="True"/>
  </w:docVars>
  <w:rsids>
    <w:rsidRoot w:val="006C09FB"/>
    <w:rsid w:val="00010E37"/>
    <w:rsid w:val="000247C5"/>
    <w:rsid w:val="000277C2"/>
    <w:rsid w:val="00035B48"/>
    <w:rsid w:val="00036CE2"/>
    <w:rsid w:val="000437FE"/>
    <w:rsid w:val="000513BE"/>
    <w:rsid w:val="00065A06"/>
    <w:rsid w:val="0006629F"/>
    <w:rsid w:val="000666F3"/>
    <w:rsid w:val="00070DCB"/>
    <w:rsid w:val="00073120"/>
    <w:rsid w:val="000764D0"/>
    <w:rsid w:val="000828D3"/>
    <w:rsid w:val="000A2B57"/>
    <w:rsid w:val="000A418B"/>
    <w:rsid w:val="000B150B"/>
    <w:rsid w:val="000C22E6"/>
    <w:rsid w:val="000C4431"/>
    <w:rsid w:val="000D4319"/>
    <w:rsid w:val="000E366E"/>
    <w:rsid w:val="000F374A"/>
    <w:rsid w:val="00100185"/>
    <w:rsid w:val="00110BC5"/>
    <w:rsid w:val="00117C8C"/>
    <w:rsid w:val="00124E2E"/>
    <w:rsid w:val="00125ED4"/>
    <w:rsid w:val="001305E9"/>
    <w:rsid w:val="001307AF"/>
    <w:rsid w:val="00135687"/>
    <w:rsid w:val="00140775"/>
    <w:rsid w:val="001408C6"/>
    <w:rsid w:val="00163031"/>
    <w:rsid w:val="00171A90"/>
    <w:rsid w:val="00180254"/>
    <w:rsid w:val="00191C81"/>
    <w:rsid w:val="00191E1F"/>
    <w:rsid w:val="00192943"/>
    <w:rsid w:val="001A7406"/>
    <w:rsid w:val="001B4FEE"/>
    <w:rsid w:val="001B51C5"/>
    <w:rsid w:val="001B6F3F"/>
    <w:rsid w:val="001C52B5"/>
    <w:rsid w:val="001D0D3E"/>
    <w:rsid w:val="001F2245"/>
    <w:rsid w:val="001F6DA1"/>
    <w:rsid w:val="002044E6"/>
    <w:rsid w:val="00205C82"/>
    <w:rsid w:val="00205DC2"/>
    <w:rsid w:val="002163B6"/>
    <w:rsid w:val="00220732"/>
    <w:rsid w:val="00221D32"/>
    <w:rsid w:val="00225C3F"/>
    <w:rsid w:val="00247998"/>
    <w:rsid w:val="00251150"/>
    <w:rsid w:val="00263D44"/>
    <w:rsid w:val="002702AD"/>
    <w:rsid w:val="00292D82"/>
    <w:rsid w:val="002963CB"/>
    <w:rsid w:val="002A6403"/>
    <w:rsid w:val="002D226D"/>
    <w:rsid w:val="002E5D72"/>
    <w:rsid w:val="002F6030"/>
    <w:rsid w:val="003037E1"/>
    <w:rsid w:val="00307E51"/>
    <w:rsid w:val="003103EC"/>
    <w:rsid w:val="003144EF"/>
    <w:rsid w:val="00322F74"/>
    <w:rsid w:val="003267E9"/>
    <w:rsid w:val="00340073"/>
    <w:rsid w:val="00341DE2"/>
    <w:rsid w:val="00361BA4"/>
    <w:rsid w:val="00372805"/>
    <w:rsid w:val="00373180"/>
    <w:rsid w:val="003734BD"/>
    <w:rsid w:val="00375AB9"/>
    <w:rsid w:val="003821A0"/>
    <w:rsid w:val="00385B04"/>
    <w:rsid w:val="00391FDE"/>
    <w:rsid w:val="003A22A6"/>
    <w:rsid w:val="003A5494"/>
    <w:rsid w:val="003A7F15"/>
    <w:rsid w:val="003B2510"/>
    <w:rsid w:val="003C2CC4"/>
    <w:rsid w:val="003E0EFC"/>
    <w:rsid w:val="003E4A2B"/>
    <w:rsid w:val="003E76C2"/>
    <w:rsid w:val="003F1679"/>
    <w:rsid w:val="003F4A35"/>
    <w:rsid w:val="003F7FDD"/>
    <w:rsid w:val="00402481"/>
    <w:rsid w:val="004042B4"/>
    <w:rsid w:val="00412DAE"/>
    <w:rsid w:val="00417BB5"/>
    <w:rsid w:val="00431598"/>
    <w:rsid w:val="004426B8"/>
    <w:rsid w:val="00444432"/>
    <w:rsid w:val="00471860"/>
    <w:rsid w:val="00482D5E"/>
    <w:rsid w:val="004C2B5D"/>
    <w:rsid w:val="004C3150"/>
    <w:rsid w:val="004C3641"/>
    <w:rsid w:val="004C4390"/>
    <w:rsid w:val="004C4AF7"/>
    <w:rsid w:val="004D2881"/>
    <w:rsid w:val="004D371F"/>
    <w:rsid w:val="004D385F"/>
    <w:rsid w:val="004D5B39"/>
    <w:rsid w:val="004E5147"/>
    <w:rsid w:val="0050652D"/>
    <w:rsid w:val="00506C03"/>
    <w:rsid w:val="00506DDC"/>
    <w:rsid w:val="0052572A"/>
    <w:rsid w:val="00543CB3"/>
    <w:rsid w:val="00557422"/>
    <w:rsid w:val="00560FF0"/>
    <w:rsid w:val="005614BD"/>
    <w:rsid w:val="0057154F"/>
    <w:rsid w:val="00581CA3"/>
    <w:rsid w:val="00587A44"/>
    <w:rsid w:val="00597730"/>
    <w:rsid w:val="005977EC"/>
    <w:rsid w:val="00597DE7"/>
    <w:rsid w:val="005A4AA2"/>
    <w:rsid w:val="005A6404"/>
    <w:rsid w:val="005B34B6"/>
    <w:rsid w:val="005B6C8F"/>
    <w:rsid w:val="005D0F74"/>
    <w:rsid w:val="005D2E7D"/>
    <w:rsid w:val="005D42D0"/>
    <w:rsid w:val="005D4A8F"/>
    <w:rsid w:val="005D561B"/>
    <w:rsid w:val="005F468D"/>
    <w:rsid w:val="005F5BAB"/>
    <w:rsid w:val="005F69A3"/>
    <w:rsid w:val="00615423"/>
    <w:rsid w:val="006165B2"/>
    <w:rsid w:val="00616E9A"/>
    <w:rsid w:val="00617276"/>
    <w:rsid w:val="00625D97"/>
    <w:rsid w:val="00625F1C"/>
    <w:rsid w:val="00630CEB"/>
    <w:rsid w:val="00632264"/>
    <w:rsid w:val="006470BC"/>
    <w:rsid w:val="00667036"/>
    <w:rsid w:val="00673BDB"/>
    <w:rsid w:val="006771B8"/>
    <w:rsid w:val="0068481F"/>
    <w:rsid w:val="00696F5D"/>
    <w:rsid w:val="00697249"/>
    <w:rsid w:val="006A501A"/>
    <w:rsid w:val="006B0514"/>
    <w:rsid w:val="006B0BB0"/>
    <w:rsid w:val="006B18D4"/>
    <w:rsid w:val="006B3947"/>
    <w:rsid w:val="006B4293"/>
    <w:rsid w:val="006B624F"/>
    <w:rsid w:val="006C09FB"/>
    <w:rsid w:val="006C31E3"/>
    <w:rsid w:val="006C7353"/>
    <w:rsid w:val="006E08CB"/>
    <w:rsid w:val="006E598D"/>
    <w:rsid w:val="0070437D"/>
    <w:rsid w:val="00705B04"/>
    <w:rsid w:val="007060C0"/>
    <w:rsid w:val="00723381"/>
    <w:rsid w:val="00734820"/>
    <w:rsid w:val="007349DC"/>
    <w:rsid w:val="0074365E"/>
    <w:rsid w:val="007515FD"/>
    <w:rsid w:val="00760D80"/>
    <w:rsid w:val="00780C09"/>
    <w:rsid w:val="00780DDF"/>
    <w:rsid w:val="007834E9"/>
    <w:rsid w:val="00787DBC"/>
    <w:rsid w:val="00792935"/>
    <w:rsid w:val="007A04A1"/>
    <w:rsid w:val="007A1840"/>
    <w:rsid w:val="007A487C"/>
    <w:rsid w:val="007C0528"/>
    <w:rsid w:val="007C3D38"/>
    <w:rsid w:val="007D0F35"/>
    <w:rsid w:val="007D4FEB"/>
    <w:rsid w:val="007D6146"/>
    <w:rsid w:val="007E0CE7"/>
    <w:rsid w:val="007E6B38"/>
    <w:rsid w:val="007F10FF"/>
    <w:rsid w:val="007F1193"/>
    <w:rsid w:val="007F417F"/>
    <w:rsid w:val="008042BD"/>
    <w:rsid w:val="00804E5E"/>
    <w:rsid w:val="0080731B"/>
    <w:rsid w:val="00816624"/>
    <w:rsid w:val="00822427"/>
    <w:rsid w:val="00822562"/>
    <w:rsid w:val="00823663"/>
    <w:rsid w:val="00832DDC"/>
    <w:rsid w:val="0083688F"/>
    <w:rsid w:val="00837A4A"/>
    <w:rsid w:val="00850BAC"/>
    <w:rsid w:val="00854A3E"/>
    <w:rsid w:val="00855D08"/>
    <w:rsid w:val="00874344"/>
    <w:rsid w:val="008814C4"/>
    <w:rsid w:val="00882155"/>
    <w:rsid w:val="0088233B"/>
    <w:rsid w:val="0088599E"/>
    <w:rsid w:val="00886C37"/>
    <w:rsid w:val="00892D99"/>
    <w:rsid w:val="008B62AE"/>
    <w:rsid w:val="008C04B5"/>
    <w:rsid w:val="008C14FA"/>
    <w:rsid w:val="008C3174"/>
    <w:rsid w:val="008C5753"/>
    <w:rsid w:val="008D3826"/>
    <w:rsid w:val="008D4057"/>
    <w:rsid w:val="008E19B5"/>
    <w:rsid w:val="008F2262"/>
    <w:rsid w:val="008F7736"/>
    <w:rsid w:val="0090019E"/>
    <w:rsid w:val="00901086"/>
    <w:rsid w:val="00901C8A"/>
    <w:rsid w:val="00905886"/>
    <w:rsid w:val="009070D6"/>
    <w:rsid w:val="009076C6"/>
    <w:rsid w:val="00910182"/>
    <w:rsid w:val="0091019E"/>
    <w:rsid w:val="009106F1"/>
    <w:rsid w:val="009136CE"/>
    <w:rsid w:val="009145D6"/>
    <w:rsid w:val="00920E64"/>
    <w:rsid w:val="00922002"/>
    <w:rsid w:val="00924020"/>
    <w:rsid w:val="009271A7"/>
    <w:rsid w:val="0093658B"/>
    <w:rsid w:val="009429FF"/>
    <w:rsid w:val="00945BD6"/>
    <w:rsid w:val="009479FB"/>
    <w:rsid w:val="00951C45"/>
    <w:rsid w:val="009656F2"/>
    <w:rsid w:val="00966A08"/>
    <w:rsid w:val="00971207"/>
    <w:rsid w:val="00975CB4"/>
    <w:rsid w:val="009863B0"/>
    <w:rsid w:val="00987DE1"/>
    <w:rsid w:val="00990571"/>
    <w:rsid w:val="00993F75"/>
    <w:rsid w:val="0099673A"/>
    <w:rsid w:val="009A3330"/>
    <w:rsid w:val="009A7C96"/>
    <w:rsid w:val="009C119B"/>
    <w:rsid w:val="009C3DB9"/>
    <w:rsid w:val="009D46E5"/>
    <w:rsid w:val="009D568A"/>
    <w:rsid w:val="009F04EC"/>
    <w:rsid w:val="009F3B36"/>
    <w:rsid w:val="00A019B9"/>
    <w:rsid w:val="00A073C2"/>
    <w:rsid w:val="00A12508"/>
    <w:rsid w:val="00A1282B"/>
    <w:rsid w:val="00A13A27"/>
    <w:rsid w:val="00A175B6"/>
    <w:rsid w:val="00A21835"/>
    <w:rsid w:val="00A328EC"/>
    <w:rsid w:val="00A33A51"/>
    <w:rsid w:val="00A41814"/>
    <w:rsid w:val="00A41CA6"/>
    <w:rsid w:val="00A47927"/>
    <w:rsid w:val="00A47FFC"/>
    <w:rsid w:val="00A5442F"/>
    <w:rsid w:val="00A54FF9"/>
    <w:rsid w:val="00A56765"/>
    <w:rsid w:val="00A675AC"/>
    <w:rsid w:val="00A7581F"/>
    <w:rsid w:val="00A92FB1"/>
    <w:rsid w:val="00A95A0C"/>
    <w:rsid w:val="00AA2765"/>
    <w:rsid w:val="00AA77B5"/>
    <w:rsid w:val="00AB6C5D"/>
    <w:rsid w:val="00AC428D"/>
    <w:rsid w:val="00AC51A7"/>
    <w:rsid w:val="00AD28D4"/>
    <w:rsid w:val="00AD444B"/>
    <w:rsid w:val="00AF5F89"/>
    <w:rsid w:val="00AF73CB"/>
    <w:rsid w:val="00B002D6"/>
    <w:rsid w:val="00B05B51"/>
    <w:rsid w:val="00B15370"/>
    <w:rsid w:val="00B17BEB"/>
    <w:rsid w:val="00B21A3C"/>
    <w:rsid w:val="00B223C0"/>
    <w:rsid w:val="00B234ED"/>
    <w:rsid w:val="00B25CA3"/>
    <w:rsid w:val="00B57A6A"/>
    <w:rsid w:val="00B760F1"/>
    <w:rsid w:val="00B7669E"/>
    <w:rsid w:val="00B77DA1"/>
    <w:rsid w:val="00BA0D55"/>
    <w:rsid w:val="00BA37B3"/>
    <w:rsid w:val="00BA4CC6"/>
    <w:rsid w:val="00BB3493"/>
    <w:rsid w:val="00BB7468"/>
    <w:rsid w:val="00BC07E1"/>
    <w:rsid w:val="00BC188A"/>
    <w:rsid w:val="00BE2BAD"/>
    <w:rsid w:val="00BF5010"/>
    <w:rsid w:val="00C12E8D"/>
    <w:rsid w:val="00C13791"/>
    <w:rsid w:val="00C1577F"/>
    <w:rsid w:val="00C31BB3"/>
    <w:rsid w:val="00C36977"/>
    <w:rsid w:val="00C477D9"/>
    <w:rsid w:val="00C60BA3"/>
    <w:rsid w:val="00C623F7"/>
    <w:rsid w:val="00C62BE8"/>
    <w:rsid w:val="00C81670"/>
    <w:rsid w:val="00C81773"/>
    <w:rsid w:val="00C86896"/>
    <w:rsid w:val="00C907A8"/>
    <w:rsid w:val="00C91E49"/>
    <w:rsid w:val="00C93211"/>
    <w:rsid w:val="00C942EC"/>
    <w:rsid w:val="00C94AE9"/>
    <w:rsid w:val="00C96047"/>
    <w:rsid w:val="00C979D0"/>
    <w:rsid w:val="00CA0818"/>
    <w:rsid w:val="00CA2C8F"/>
    <w:rsid w:val="00CA30DA"/>
    <w:rsid w:val="00CA3A24"/>
    <w:rsid w:val="00CB1777"/>
    <w:rsid w:val="00CB33E9"/>
    <w:rsid w:val="00CC10A9"/>
    <w:rsid w:val="00CE015C"/>
    <w:rsid w:val="00CE2BF8"/>
    <w:rsid w:val="00CE484E"/>
    <w:rsid w:val="00CF0DA8"/>
    <w:rsid w:val="00CF2E25"/>
    <w:rsid w:val="00CF4453"/>
    <w:rsid w:val="00D034D7"/>
    <w:rsid w:val="00D04BE4"/>
    <w:rsid w:val="00D12565"/>
    <w:rsid w:val="00D14127"/>
    <w:rsid w:val="00D201DD"/>
    <w:rsid w:val="00D20AAE"/>
    <w:rsid w:val="00D60F02"/>
    <w:rsid w:val="00D66E49"/>
    <w:rsid w:val="00D713CE"/>
    <w:rsid w:val="00D72F74"/>
    <w:rsid w:val="00D81563"/>
    <w:rsid w:val="00D85907"/>
    <w:rsid w:val="00D9073E"/>
    <w:rsid w:val="00D9221D"/>
    <w:rsid w:val="00D958DF"/>
    <w:rsid w:val="00D96DA1"/>
    <w:rsid w:val="00DA51E7"/>
    <w:rsid w:val="00DA69D7"/>
    <w:rsid w:val="00DB1C78"/>
    <w:rsid w:val="00DB7D96"/>
    <w:rsid w:val="00DC23FE"/>
    <w:rsid w:val="00DC59E6"/>
    <w:rsid w:val="00DD150B"/>
    <w:rsid w:val="00DD5025"/>
    <w:rsid w:val="00E06484"/>
    <w:rsid w:val="00E20A7D"/>
    <w:rsid w:val="00E275D8"/>
    <w:rsid w:val="00E375CA"/>
    <w:rsid w:val="00E54432"/>
    <w:rsid w:val="00E567E8"/>
    <w:rsid w:val="00E64679"/>
    <w:rsid w:val="00E65EBC"/>
    <w:rsid w:val="00E73432"/>
    <w:rsid w:val="00E77B0C"/>
    <w:rsid w:val="00E77FB8"/>
    <w:rsid w:val="00E838B0"/>
    <w:rsid w:val="00E86A7C"/>
    <w:rsid w:val="00E878E1"/>
    <w:rsid w:val="00E87F2C"/>
    <w:rsid w:val="00E95278"/>
    <w:rsid w:val="00EA2273"/>
    <w:rsid w:val="00EA6350"/>
    <w:rsid w:val="00EB2DB3"/>
    <w:rsid w:val="00EC3FBB"/>
    <w:rsid w:val="00EC6B7A"/>
    <w:rsid w:val="00ED3A87"/>
    <w:rsid w:val="00ED5B67"/>
    <w:rsid w:val="00EE455E"/>
    <w:rsid w:val="00EE6202"/>
    <w:rsid w:val="00EF264C"/>
    <w:rsid w:val="00EF3FEE"/>
    <w:rsid w:val="00F04B59"/>
    <w:rsid w:val="00F11741"/>
    <w:rsid w:val="00F12B1C"/>
    <w:rsid w:val="00F13CF8"/>
    <w:rsid w:val="00F15855"/>
    <w:rsid w:val="00F25600"/>
    <w:rsid w:val="00F32978"/>
    <w:rsid w:val="00F45CB2"/>
    <w:rsid w:val="00F544C0"/>
    <w:rsid w:val="00F55332"/>
    <w:rsid w:val="00F65519"/>
    <w:rsid w:val="00F713C0"/>
    <w:rsid w:val="00F75DDC"/>
    <w:rsid w:val="00F7792F"/>
    <w:rsid w:val="00F842AA"/>
    <w:rsid w:val="00F853E1"/>
    <w:rsid w:val="00F94B7A"/>
    <w:rsid w:val="00F965DD"/>
    <w:rsid w:val="00FA17AC"/>
    <w:rsid w:val="00FA32DE"/>
    <w:rsid w:val="00FA3382"/>
    <w:rsid w:val="00FA59CD"/>
    <w:rsid w:val="00FB1740"/>
    <w:rsid w:val="00FC5469"/>
    <w:rsid w:val="00FC6D7D"/>
    <w:rsid w:val="00FD16B0"/>
    <w:rsid w:val="00FD21DF"/>
    <w:rsid w:val="00FD4FED"/>
    <w:rsid w:val="00FE0577"/>
    <w:rsid w:val="00FE5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pPr>
      <w:tabs>
        <w:tab w:val="left" w:pos="864"/>
        <w:tab w:val="right" w:pos="9360"/>
      </w:tabs>
    </w:pPr>
    <w:rPr>
      <w:u w:val="words"/>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unhideWhenUsed/>
    <w:rsid w:val="007A487C"/>
    <w:rPr>
      <w:vertAlign w:val="superscript"/>
    </w:rPr>
  </w:style>
  <w:style w:type="character" w:customStyle="1" w:styleId="FootnoteTextChar">
    <w:name w:val="Footnote Text Char"/>
    <w:basedOn w:val="DefaultParagraphFont"/>
    <w:link w:val="FootnoteText"/>
    <w:rsid w:val="007A48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pPr>
      <w:tabs>
        <w:tab w:val="left" w:pos="864"/>
        <w:tab w:val="right" w:pos="9360"/>
      </w:tabs>
    </w:pPr>
    <w:rPr>
      <w:u w:val="words"/>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unhideWhenUsed/>
    <w:rsid w:val="007A487C"/>
    <w:rPr>
      <w:vertAlign w:val="superscript"/>
    </w:rPr>
  </w:style>
  <w:style w:type="character" w:customStyle="1" w:styleId="FootnoteTextChar">
    <w:name w:val="Footnote Text Char"/>
    <w:basedOn w:val="DefaultParagraphFont"/>
    <w:link w:val="FootnoteText"/>
    <w:rsid w:val="007A48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emf"/><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95A7F-13B9-4350-87A4-5F652FD60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10</Pages>
  <Words>1052</Words>
  <Characters>6138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7176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Sonica Bruce</dc:creator>
  <cp:lastModifiedBy>Jackie Colson</cp:lastModifiedBy>
  <cp:revision>2</cp:revision>
  <cp:lastPrinted>2016-03-24T14:19:00Z</cp:lastPrinted>
  <dcterms:created xsi:type="dcterms:W3CDTF">2016-03-24T14:46:00Z</dcterms:created>
  <dcterms:modified xsi:type="dcterms:W3CDTF">2016-03-24T14:46:00Z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150102-SU</vt:lpwstr>
  </property>
  <property fmtid="{D5CDD505-2E9C-101B-9397-08002B2CF9AE}" pid="3" name="MasterDocument">
    <vt:bool>false</vt:bool>
  </property>
</Properties>
</file>