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DA4E8F" w:rsidP="006E08CB">
            <w:pPr>
              <w:pStyle w:val="MastHeadState"/>
              <w:jc w:val="right"/>
            </w:pPr>
            <w:bookmarkStart w:id="0" w:name="_GoBack"/>
            <w:bookmarkEnd w:id="0"/>
            <w:r>
              <w:t>S</w:t>
            </w:r>
            <w:r w:rsidR="007C0528">
              <w:t>tate of Florida</w:t>
            </w:r>
          </w:p>
          <w:p w:rsidR="007C0528" w:rsidRDefault="00FD60A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6716D">
            <w:pPr>
              <w:pStyle w:val="MemoHeading"/>
            </w:pPr>
            <w:bookmarkStart w:id="1" w:name="FilingDate"/>
            <w:r>
              <w:t>May 26,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6716D" w:rsidRDefault="0086716D">
            <w:pPr>
              <w:pStyle w:val="MemoHeading"/>
            </w:pPr>
            <w:bookmarkStart w:id="2" w:name="From"/>
            <w:r>
              <w:t>Division of Engineering (</w:t>
            </w:r>
            <w:r w:rsidR="004E6BA0">
              <w:t>M.</w:t>
            </w:r>
            <w:r>
              <w:t>Watts, King)</w:t>
            </w:r>
          </w:p>
          <w:p w:rsidR="0086716D" w:rsidRDefault="0086716D">
            <w:pPr>
              <w:pStyle w:val="MemoHeading"/>
            </w:pPr>
            <w:r>
              <w:t>Division of Accounting and Finance (Golden)</w:t>
            </w:r>
          </w:p>
          <w:p w:rsidR="0086716D" w:rsidRDefault="0086716D">
            <w:pPr>
              <w:pStyle w:val="MemoHeading"/>
            </w:pPr>
            <w:r>
              <w:t>Division of Economics (Bruce)</w:t>
            </w:r>
          </w:p>
          <w:p w:rsidR="007C0528" w:rsidRDefault="0086716D">
            <w:pPr>
              <w:pStyle w:val="MemoHeading"/>
            </w:pPr>
            <w:r>
              <w:t>Office of the General Counsel (Tan, Lherisson)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6716D">
            <w:pPr>
              <w:pStyle w:val="MemoHeadingRe"/>
            </w:pPr>
            <w:bookmarkStart w:id="3" w:name="Re"/>
            <w:r>
              <w:t>Docket No. 150199-WU – Application for staff-assisted rate case in Lake County by Raintree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6716D" w:rsidP="005E14C3">
            <w:pPr>
              <w:pStyle w:val="MemoHeading"/>
            </w:pPr>
            <w:bookmarkStart w:id="4" w:name="AgendaDate"/>
            <w:r>
              <w:t>06/09/16</w:t>
            </w:r>
            <w:bookmarkEnd w:id="4"/>
            <w:r w:rsidR="007C0528">
              <w:t xml:space="preserve"> – </w:t>
            </w:r>
            <w:bookmarkStart w:id="5" w:name="PermittedStatus"/>
            <w:r w:rsidR="005E14C3">
              <w:t>Proposed Agency Action</w:t>
            </w:r>
            <w:r>
              <w:t xml:space="preserve"> – </w:t>
            </w:r>
            <w:r w:rsidR="005E14C3">
              <w:t xml:space="preserve">Except for Issue Nos. 9, 11, and 12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6716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6716D">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2278F" w:rsidP="00B2278F">
            <w:pPr>
              <w:pStyle w:val="MemoHeading"/>
            </w:pPr>
            <w:bookmarkStart w:id="9" w:name="CriticalDates"/>
            <w:r w:rsidRPr="006C57A1">
              <w:t>0</w:t>
            </w:r>
            <w:r>
              <w:t>2</w:t>
            </w:r>
            <w:r w:rsidRPr="006C57A1">
              <w:t>/0</w:t>
            </w:r>
            <w:r>
              <w:t>2</w:t>
            </w:r>
            <w:r w:rsidRPr="006C57A1">
              <w:t>/201</w:t>
            </w:r>
            <w:r>
              <w:t>7</w:t>
            </w:r>
            <w:r w:rsidRPr="006C57A1">
              <w:t xml:space="preserve"> </w:t>
            </w:r>
            <w:r w:rsidRPr="00572F00">
              <w:t>(15-Month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6716D">
            <w:pPr>
              <w:pStyle w:val="MemoHeading"/>
            </w:pPr>
            <w:bookmarkStart w:id="10" w:name="SpecialInstructions"/>
            <w:r>
              <w:t>None</w:t>
            </w:r>
            <w:bookmarkEnd w:id="10"/>
          </w:p>
        </w:tc>
      </w:tr>
    </w:tbl>
    <w:p w:rsidR="007C0528" w:rsidRDefault="007C0528">
      <w:pPr>
        <w:pStyle w:val="BodyText"/>
      </w:pPr>
    </w:p>
    <w:p w:rsidR="0086716D" w:rsidRDefault="0086716D">
      <w:pPr>
        <w:pStyle w:val="RecommendationMajorSectionHeading"/>
      </w:pPr>
      <w:bookmarkStart w:id="11" w:name="RecToC"/>
      <w:bookmarkEnd w:id="11"/>
    </w:p>
    <w:p w:rsidR="0086716D" w:rsidRDefault="0086716D">
      <w:pPr>
        <w:pStyle w:val="RecommendationMajorSectionHeading"/>
        <w:sectPr w:rsidR="0086716D">
          <w:headerReference w:type="default" r:id="rId10"/>
          <w:footerReference w:type="default" r:id="rId11"/>
          <w:footerReference w:type="first" r:id="rId12"/>
          <w:type w:val="continuous"/>
          <w:pgSz w:w="12240" w:h="15840" w:code="1"/>
          <w:pgMar w:top="1584" w:right="1440" w:bottom="1440" w:left="1440" w:header="720" w:footer="720" w:gutter="0"/>
          <w:cols w:space="720"/>
          <w:formProt w:val="0"/>
          <w:titlePg/>
          <w:docGrid w:linePitch="360"/>
        </w:sectPr>
      </w:pPr>
    </w:p>
    <w:p w:rsidR="00FD60AD" w:rsidRPr="003451F3" w:rsidRDefault="003451F3" w:rsidP="003451F3">
      <w:pPr>
        <w:tabs>
          <w:tab w:val="left" w:pos="864"/>
          <w:tab w:val="right" w:leader="dot" w:pos="9360"/>
        </w:tabs>
        <w:spacing w:line="360" w:lineRule="auto"/>
        <w:ind w:left="864" w:right="360" w:hanging="864"/>
        <w:jc w:val="center"/>
        <w:rPr>
          <w:rFonts w:ascii="Arial" w:hAnsi="Arial" w:cs="Arial"/>
          <w:b/>
          <w:i/>
          <w:noProof/>
          <w:sz w:val="28"/>
          <w:szCs w:val="28"/>
        </w:rPr>
      </w:pPr>
      <w:r w:rsidRPr="003451F3">
        <w:rPr>
          <w:rFonts w:ascii="Arial" w:hAnsi="Arial" w:cs="Arial"/>
          <w:b/>
          <w:i/>
          <w:noProof/>
          <w:sz w:val="28"/>
          <w:szCs w:val="28"/>
        </w:rPr>
        <w:lastRenderedPageBreak/>
        <w:t>Table of Contents</w:t>
      </w:r>
    </w:p>
    <w:bookmarkStart w:id="14" w:name="_Toc450304694"/>
    <w:bookmarkStart w:id="15" w:name="_Toc450304715"/>
    <w:bookmarkStart w:id="16" w:name="_Toc450304947"/>
    <w:bookmarkStart w:id="17" w:name="CaseBackground"/>
    <w:p w:rsidR="00C7055C" w:rsidRDefault="005C3820">
      <w:pPr>
        <w:pStyle w:val="TOC1"/>
        <w:tabs>
          <w:tab w:val="right" w:leader="dot" w:pos="9350"/>
        </w:tabs>
        <w:rPr>
          <w:rFonts w:asciiTheme="minorHAnsi" w:eastAsiaTheme="minorEastAsia" w:hAnsiTheme="minorHAnsi" w:cstheme="minorBidi"/>
          <w:bCs w:val="0"/>
          <w:noProof/>
          <w:sz w:val="22"/>
          <w:szCs w:val="22"/>
        </w:rPr>
      </w:pPr>
      <w:r>
        <w:fldChar w:fldCharType="begin"/>
      </w:r>
      <w:r>
        <w:instrText xml:space="preserve"> TOC \f \h \z </w:instrText>
      </w:r>
      <w:r>
        <w:fldChar w:fldCharType="separate"/>
      </w:r>
      <w:hyperlink w:anchor="_Toc451766963" w:history="1">
        <w:r w:rsidR="00C7055C" w:rsidRPr="00937F2B">
          <w:rPr>
            <w:rStyle w:val="Hyperlink"/>
            <w:noProof/>
          </w:rPr>
          <w:t>Case Background</w:t>
        </w:r>
        <w:r w:rsidR="00C7055C">
          <w:rPr>
            <w:noProof/>
            <w:webHidden/>
          </w:rPr>
          <w:tab/>
        </w:r>
        <w:r w:rsidR="00C7055C">
          <w:rPr>
            <w:noProof/>
            <w:webHidden/>
          </w:rPr>
          <w:fldChar w:fldCharType="begin"/>
        </w:r>
        <w:r w:rsidR="00C7055C">
          <w:rPr>
            <w:noProof/>
            <w:webHidden/>
          </w:rPr>
          <w:instrText xml:space="preserve"> PAGEREF _Toc451766963 \h </w:instrText>
        </w:r>
        <w:r w:rsidR="00C7055C">
          <w:rPr>
            <w:noProof/>
            <w:webHidden/>
          </w:rPr>
        </w:r>
        <w:r w:rsidR="00C7055C">
          <w:rPr>
            <w:noProof/>
            <w:webHidden/>
          </w:rPr>
          <w:fldChar w:fldCharType="separate"/>
        </w:r>
        <w:r w:rsidR="000A550E">
          <w:rPr>
            <w:noProof/>
            <w:webHidden/>
          </w:rPr>
          <w:t>1</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64" w:history="1">
        <w:r w:rsidR="00C7055C" w:rsidRPr="00937F2B">
          <w:rPr>
            <w:rStyle w:val="Hyperlink"/>
            <w:noProof/>
          </w:rPr>
          <w:t>Issue 1 Quality of Service</w:t>
        </w:r>
        <w:r w:rsidR="00C7055C">
          <w:rPr>
            <w:noProof/>
            <w:webHidden/>
          </w:rPr>
          <w:tab/>
        </w:r>
        <w:r w:rsidR="00C7055C">
          <w:rPr>
            <w:noProof/>
            <w:webHidden/>
          </w:rPr>
          <w:fldChar w:fldCharType="begin"/>
        </w:r>
        <w:r w:rsidR="00C7055C">
          <w:rPr>
            <w:noProof/>
            <w:webHidden/>
          </w:rPr>
          <w:instrText xml:space="preserve"> PAGEREF _Toc451766964 \h </w:instrText>
        </w:r>
        <w:r w:rsidR="00C7055C">
          <w:rPr>
            <w:noProof/>
            <w:webHidden/>
          </w:rPr>
        </w:r>
        <w:r w:rsidR="00C7055C">
          <w:rPr>
            <w:noProof/>
            <w:webHidden/>
          </w:rPr>
          <w:fldChar w:fldCharType="separate"/>
        </w:r>
        <w:r w:rsidR="000A550E">
          <w:rPr>
            <w:noProof/>
            <w:webHidden/>
          </w:rPr>
          <w:t>2</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65" w:history="1">
        <w:r w:rsidR="00C7055C" w:rsidRPr="00937F2B">
          <w:rPr>
            <w:rStyle w:val="Hyperlink"/>
            <w:noProof/>
          </w:rPr>
          <w:t>Issue 2 Used &amp; Useful</w:t>
        </w:r>
        <w:r w:rsidR="00C7055C">
          <w:rPr>
            <w:noProof/>
            <w:webHidden/>
          </w:rPr>
          <w:tab/>
        </w:r>
        <w:r w:rsidR="00C7055C">
          <w:rPr>
            <w:noProof/>
            <w:webHidden/>
          </w:rPr>
          <w:fldChar w:fldCharType="begin"/>
        </w:r>
        <w:r w:rsidR="00C7055C">
          <w:rPr>
            <w:noProof/>
            <w:webHidden/>
          </w:rPr>
          <w:instrText xml:space="preserve"> PAGEREF _Toc451766965 \h </w:instrText>
        </w:r>
        <w:r w:rsidR="00C7055C">
          <w:rPr>
            <w:noProof/>
            <w:webHidden/>
          </w:rPr>
        </w:r>
        <w:r w:rsidR="00C7055C">
          <w:rPr>
            <w:noProof/>
            <w:webHidden/>
          </w:rPr>
          <w:fldChar w:fldCharType="separate"/>
        </w:r>
        <w:r w:rsidR="000A550E">
          <w:rPr>
            <w:noProof/>
            <w:webHidden/>
          </w:rPr>
          <w:t>4</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66" w:history="1">
        <w:r w:rsidR="00C7055C" w:rsidRPr="00937F2B">
          <w:rPr>
            <w:rStyle w:val="Hyperlink"/>
            <w:noProof/>
          </w:rPr>
          <w:t>Issue 3 Average Test Year Rate Base</w:t>
        </w:r>
        <w:r w:rsidR="00C7055C">
          <w:rPr>
            <w:noProof/>
            <w:webHidden/>
          </w:rPr>
          <w:tab/>
        </w:r>
        <w:r w:rsidR="00C7055C">
          <w:rPr>
            <w:noProof/>
            <w:webHidden/>
          </w:rPr>
          <w:fldChar w:fldCharType="begin"/>
        </w:r>
        <w:r w:rsidR="00C7055C">
          <w:rPr>
            <w:noProof/>
            <w:webHidden/>
          </w:rPr>
          <w:instrText xml:space="preserve"> PAGEREF _Toc451766966 \h </w:instrText>
        </w:r>
        <w:r w:rsidR="00C7055C">
          <w:rPr>
            <w:noProof/>
            <w:webHidden/>
          </w:rPr>
        </w:r>
        <w:r w:rsidR="00C7055C">
          <w:rPr>
            <w:noProof/>
            <w:webHidden/>
          </w:rPr>
          <w:fldChar w:fldCharType="separate"/>
        </w:r>
        <w:r w:rsidR="000A550E">
          <w:rPr>
            <w:noProof/>
            <w:webHidden/>
          </w:rPr>
          <w:t>6</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67" w:history="1">
        <w:r w:rsidR="00C7055C" w:rsidRPr="00937F2B">
          <w:rPr>
            <w:rStyle w:val="Hyperlink"/>
            <w:iCs/>
            <w:noProof/>
          </w:rPr>
          <w:t>Issue 4 Rate of Return</w:t>
        </w:r>
        <w:r w:rsidR="00C7055C">
          <w:rPr>
            <w:noProof/>
            <w:webHidden/>
          </w:rPr>
          <w:tab/>
        </w:r>
        <w:r w:rsidR="00C7055C">
          <w:rPr>
            <w:noProof/>
            <w:webHidden/>
          </w:rPr>
          <w:fldChar w:fldCharType="begin"/>
        </w:r>
        <w:r w:rsidR="00C7055C">
          <w:rPr>
            <w:noProof/>
            <w:webHidden/>
          </w:rPr>
          <w:instrText xml:space="preserve"> PAGEREF _Toc451766967 \h </w:instrText>
        </w:r>
        <w:r w:rsidR="00C7055C">
          <w:rPr>
            <w:noProof/>
            <w:webHidden/>
          </w:rPr>
        </w:r>
        <w:r w:rsidR="00C7055C">
          <w:rPr>
            <w:noProof/>
            <w:webHidden/>
          </w:rPr>
          <w:fldChar w:fldCharType="separate"/>
        </w:r>
        <w:r w:rsidR="000A550E">
          <w:rPr>
            <w:noProof/>
            <w:webHidden/>
          </w:rPr>
          <w:t>9</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68" w:history="1">
        <w:r w:rsidR="00C7055C" w:rsidRPr="00937F2B">
          <w:rPr>
            <w:rStyle w:val="Hyperlink"/>
            <w:noProof/>
          </w:rPr>
          <w:t>Issue 5 Test Year Revenues</w:t>
        </w:r>
        <w:r w:rsidR="00C7055C">
          <w:rPr>
            <w:noProof/>
            <w:webHidden/>
          </w:rPr>
          <w:tab/>
        </w:r>
        <w:r w:rsidR="00C7055C">
          <w:rPr>
            <w:noProof/>
            <w:webHidden/>
          </w:rPr>
          <w:fldChar w:fldCharType="begin"/>
        </w:r>
        <w:r w:rsidR="00C7055C">
          <w:rPr>
            <w:noProof/>
            <w:webHidden/>
          </w:rPr>
          <w:instrText xml:space="preserve"> PAGEREF _Toc451766968 \h </w:instrText>
        </w:r>
        <w:r w:rsidR="00C7055C">
          <w:rPr>
            <w:noProof/>
            <w:webHidden/>
          </w:rPr>
        </w:r>
        <w:r w:rsidR="00C7055C">
          <w:rPr>
            <w:noProof/>
            <w:webHidden/>
          </w:rPr>
          <w:fldChar w:fldCharType="separate"/>
        </w:r>
        <w:r w:rsidR="000A550E">
          <w:rPr>
            <w:noProof/>
            <w:webHidden/>
          </w:rPr>
          <w:t>10</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69" w:history="1">
        <w:r w:rsidR="00C7055C" w:rsidRPr="00937F2B">
          <w:rPr>
            <w:rStyle w:val="Hyperlink"/>
            <w:noProof/>
          </w:rPr>
          <w:t>Issue 6 Operating Expenses</w:t>
        </w:r>
        <w:r w:rsidR="00C7055C">
          <w:rPr>
            <w:noProof/>
            <w:webHidden/>
          </w:rPr>
          <w:tab/>
        </w:r>
        <w:r w:rsidR="00C7055C">
          <w:rPr>
            <w:noProof/>
            <w:webHidden/>
          </w:rPr>
          <w:fldChar w:fldCharType="begin"/>
        </w:r>
        <w:r w:rsidR="00C7055C">
          <w:rPr>
            <w:noProof/>
            <w:webHidden/>
          </w:rPr>
          <w:instrText xml:space="preserve"> PAGEREF _Toc451766969 \h </w:instrText>
        </w:r>
        <w:r w:rsidR="00C7055C">
          <w:rPr>
            <w:noProof/>
            <w:webHidden/>
          </w:rPr>
        </w:r>
        <w:r w:rsidR="00C7055C">
          <w:rPr>
            <w:noProof/>
            <w:webHidden/>
          </w:rPr>
          <w:fldChar w:fldCharType="separate"/>
        </w:r>
        <w:r w:rsidR="000A550E">
          <w:rPr>
            <w:noProof/>
            <w:webHidden/>
          </w:rPr>
          <w:t>11</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70" w:history="1">
        <w:r w:rsidR="00C7055C" w:rsidRPr="00937F2B">
          <w:rPr>
            <w:rStyle w:val="Hyperlink"/>
            <w:noProof/>
          </w:rPr>
          <w:t>Issue 7 Revenue Requirement</w:t>
        </w:r>
        <w:r w:rsidR="00C7055C">
          <w:rPr>
            <w:noProof/>
            <w:webHidden/>
          </w:rPr>
          <w:tab/>
        </w:r>
        <w:r w:rsidR="00C7055C">
          <w:rPr>
            <w:noProof/>
            <w:webHidden/>
          </w:rPr>
          <w:fldChar w:fldCharType="begin"/>
        </w:r>
        <w:r w:rsidR="00C7055C">
          <w:rPr>
            <w:noProof/>
            <w:webHidden/>
          </w:rPr>
          <w:instrText xml:space="preserve"> PAGEREF _Toc451766970 \h </w:instrText>
        </w:r>
        <w:r w:rsidR="00C7055C">
          <w:rPr>
            <w:noProof/>
            <w:webHidden/>
          </w:rPr>
        </w:r>
        <w:r w:rsidR="00C7055C">
          <w:rPr>
            <w:noProof/>
            <w:webHidden/>
          </w:rPr>
          <w:fldChar w:fldCharType="separate"/>
        </w:r>
        <w:r w:rsidR="000A550E">
          <w:rPr>
            <w:noProof/>
            <w:webHidden/>
          </w:rPr>
          <w:t>16</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71" w:history="1">
        <w:r w:rsidR="00C7055C" w:rsidRPr="00937F2B">
          <w:rPr>
            <w:rStyle w:val="Hyperlink"/>
            <w:noProof/>
          </w:rPr>
          <w:t>Issue 8 Appropriate Rate Structure</w:t>
        </w:r>
        <w:r w:rsidR="00C7055C">
          <w:rPr>
            <w:noProof/>
            <w:webHidden/>
          </w:rPr>
          <w:tab/>
        </w:r>
        <w:r w:rsidR="00C7055C">
          <w:rPr>
            <w:noProof/>
            <w:webHidden/>
          </w:rPr>
          <w:fldChar w:fldCharType="begin"/>
        </w:r>
        <w:r w:rsidR="00C7055C">
          <w:rPr>
            <w:noProof/>
            <w:webHidden/>
          </w:rPr>
          <w:instrText xml:space="preserve"> PAGEREF _Toc451766971 \h </w:instrText>
        </w:r>
        <w:r w:rsidR="00C7055C">
          <w:rPr>
            <w:noProof/>
            <w:webHidden/>
          </w:rPr>
        </w:r>
        <w:r w:rsidR="00C7055C">
          <w:rPr>
            <w:noProof/>
            <w:webHidden/>
          </w:rPr>
          <w:fldChar w:fldCharType="separate"/>
        </w:r>
        <w:r w:rsidR="000A550E">
          <w:rPr>
            <w:noProof/>
            <w:webHidden/>
          </w:rPr>
          <w:t>17</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72" w:history="1">
        <w:r w:rsidR="00C7055C" w:rsidRPr="00937F2B">
          <w:rPr>
            <w:rStyle w:val="Hyperlink"/>
            <w:noProof/>
          </w:rPr>
          <w:t>Issue 9 Rate Reduction</w:t>
        </w:r>
        <w:r w:rsidR="00C7055C">
          <w:rPr>
            <w:noProof/>
            <w:webHidden/>
          </w:rPr>
          <w:tab/>
        </w:r>
        <w:r w:rsidR="00C7055C">
          <w:rPr>
            <w:noProof/>
            <w:webHidden/>
          </w:rPr>
          <w:fldChar w:fldCharType="begin"/>
        </w:r>
        <w:r w:rsidR="00C7055C">
          <w:rPr>
            <w:noProof/>
            <w:webHidden/>
          </w:rPr>
          <w:instrText xml:space="preserve"> PAGEREF _Toc451766972 \h </w:instrText>
        </w:r>
        <w:r w:rsidR="00C7055C">
          <w:rPr>
            <w:noProof/>
            <w:webHidden/>
          </w:rPr>
        </w:r>
        <w:r w:rsidR="00C7055C">
          <w:rPr>
            <w:noProof/>
            <w:webHidden/>
          </w:rPr>
          <w:fldChar w:fldCharType="separate"/>
        </w:r>
        <w:r w:rsidR="000A550E">
          <w:rPr>
            <w:noProof/>
            <w:webHidden/>
          </w:rPr>
          <w:t>20</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73" w:history="1">
        <w:r w:rsidR="00C7055C" w:rsidRPr="00937F2B">
          <w:rPr>
            <w:rStyle w:val="Hyperlink"/>
            <w:noProof/>
          </w:rPr>
          <w:t>Issue 10 Initial Customer Deposits</w:t>
        </w:r>
        <w:r w:rsidR="00C7055C">
          <w:rPr>
            <w:noProof/>
            <w:webHidden/>
          </w:rPr>
          <w:tab/>
        </w:r>
        <w:r w:rsidR="00C7055C">
          <w:rPr>
            <w:noProof/>
            <w:webHidden/>
          </w:rPr>
          <w:fldChar w:fldCharType="begin"/>
        </w:r>
        <w:r w:rsidR="00C7055C">
          <w:rPr>
            <w:noProof/>
            <w:webHidden/>
          </w:rPr>
          <w:instrText xml:space="preserve"> PAGEREF _Toc451766973 \h </w:instrText>
        </w:r>
        <w:r w:rsidR="00C7055C">
          <w:rPr>
            <w:noProof/>
            <w:webHidden/>
          </w:rPr>
        </w:r>
        <w:r w:rsidR="00C7055C">
          <w:rPr>
            <w:noProof/>
            <w:webHidden/>
          </w:rPr>
          <w:fldChar w:fldCharType="separate"/>
        </w:r>
        <w:r w:rsidR="000A550E">
          <w:rPr>
            <w:noProof/>
            <w:webHidden/>
          </w:rPr>
          <w:t>21</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74" w:history="1">
        <w:r w:rsidR="00C7055C" w:rsidRPr="00937F2B">
          <w:rPr>
            <w:rStyle w:val="Hyperlink"/>
            <w:noProof/>
          </w:rPr>
          <w:t>Issue 11 Temporary Rates</w:t>
        </w:r>
        <w:r w:rsidR="00C7055C">
          <w:rPr>
            <w:noProof/>
            <w:webHidden/>
          </w:rPr>
          <w:tab/>
        </w:r>
        <w:r w:rsidR="00C7055C">
          <w:rPr>
            <w:noProof/>
            <w:webHidden/>
          </w:rPr>
          <w:fldChar w:fldCharType="begin"/>
        </w:r>
        <w:r w:rsidR="00C7055C">
          <w:rPr>
            <w:noProof/>
            <w:webHidden/>
          </w:rPr>
          <w:instrText xml:space="preserve"> PAGEREF _Toc451766974 \h </w:instrText>
        </w:r>
        <w:r w:rsidR="00C7055C">
          <w:rPr>
            <w:noProof/>
            <w:webHidden/>
          </w:rPr>
        </w:r>
        <w:r w:rsidR="00C7055C">
          <w:rPr>
            <w:noProof/>
            <w:webHidden/>
          </w:rPr>
          <w:fldChar w:fldCharType="separate"/>
        </w:r>
        <w:r w:rsidR="000A550E">
          <w:rPr>
            <w:noProof/>
            <w:webHidden/>
          </w:rPr>
          <w:t>22</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75" w:history="1">
        <w:r w:rsidR="00C7055C" w:rsidRPr="00937F2B">
          <w:rPr>
            <w:rStyle w:val="Hyperlink"/>
            <w:noProof/>
          </w:rPr>
          <w:t>Issue 12 Proof of Adjustments</w:t>
        </w:r>
        <w:r w:rsidR="00C7055C">
          <w:rPr>
            <w:noProof/>
            <w:webHidden/>
          </w:rPr>
          <w:tab/>
        </w:r>
        <w:r w:rsidR="00C7055C">
          <w:rPr>
            <w:noProof/>
            <w:webHidden/>
          </w:rPr>
          <w:fldChar w:fldCharType="begin"/>
        </w:r>
        <w:r w:rsidR="00C7055C">
          <w:rPr>
            <w:noProof/>
            <w:webHidden/>
          </w:rPr>
          <w:instrText xml:space="preserve"> PAGEREF _Toc451766975 \h </w:instrText>
        </w:r>
        <w:r w:rsidR="00C7055C">
          <w:rPr>
            <w:noProof/>
            <w:webHidden/>
          </w:rPr>
        </w:r>
        <w:r w:rsidR="00C7055C">
          <w:rPr>
            <w:noProof/>
            <w:webHidden/>
          </w:rPr>
          <w:fldChar w:fldCharType="separate"/>
        </w:r>
        <w:r w:rsidR="000A550E">
          <w:rPr>
            <w:noProof/>
            <w:webHidden/>
          </w:rPr>
          <w:t>24</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76" w:history="1">
        <w:r w:rsidR="00C7055C" w:rsidRPr="00937F2B">
          <w:rPr>
            <w:rStyle w:val="Hyperlink"/>
            <w:noProof/>
          </w:rPr>
          <w:t>Issue 13 Close Docket</w:t>
        </w:r>
        <w:r w:rsidR="00C7055C">
          <w:rPr>
            <w:noProof/>
            <w:webHidden/>
          </w:rPr>
          <w:tab/>
        </w:r>
        <w:r w:rsidR="00C7055C">
          <w:rPr>
            <w:noProof/>
            <w:webHidden/>
          </w:rPr>
          <w:fldChar w:fldCharType="begin"/>
        </w:r>
        <w:r w:rsidR="00C7055C">
          <w:rPr>
            <w:noProof/>
            <w:webHidden/>
          </w:rPr>
          <w:instrText xml:space="preserve"> PAGEREF _Toc451766976 \h </w:instrText>
        </w:r>
        <w:r w:rsidR="00C7055C">
          <w:rPr>
            <w:noProof/>
            <w:webHidden/>
          </w:rPr>
        </w:r>
        <w:r w:rsidR="00C7055C">
          <w:rPr>
            <w:noProof/>
            <w:webHidden/>
          </w:rPr>
          <w:fldChar w:fldCharType="separate"/>
        </w:r>
        <w:r w:rsidR="000A550E">
          <w:rPr>
            <w:noProof/>
            <w:webHidden/>
          </w:rPr>
          <w:t>25</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77" w:history="1">
        <w:r w:rsidR="00C7055C" w:rsidRPr="00937F2B">
          <w:rPr>
            <w:rStyle w:val="Hyperlink"/>
            <w:noProof/>
          </w:rPr>
          <w:t>Schedule No. 1-A Water Rate Base</w:t>
        </w:r>
        <w:r w:rsidR="00C7055C">
          <w:rPr>
            <w:noProof/>
            <w:webHidden/>
          </w:rPr>
          <w:tab/>
        </w:r>
        <w:r w:rsidR="00C7055C">
          <w:rPr>
            <w:noProof/>
            <w:webHidden/>
          </w:rPr>
          <w:fldChar w:fldCharType="begin"/>
        </w:r>
        <w:r w:rsidR="00C7055C">
          <w:rPr>
            <w:noProof/>
            <w:webHidden/>
          </w:rPr>
          <w:instrText xml:space="preserve"> PAGEREF _Toc451766977 \h </w:instrText>
        </w:r>
        <w:r w:rsidR="00C7055C">
          <w:rPr>
            <w:noProof/>
            <w:webHidden/>
          </w:rPr>
        </w:r>
        <w:r w:rsidR="00C7055C">
          <w:rPr>
            <w:noProof/>
            <w:webHidden/>
          </w:rPr>
          <w:fldChar w:fldCharType="separate"/>
        </w:r>
        <w:r w:rsidR="000A550E">
          <w:rPr>
            <w:noProof/>
            <w:webHidden/>
          </w:rPr>
          <w:t>26</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78" w:history="1">
        <w:r w:rsidR="00C7055C" w:rsidRPr="00937F2B">
          <w:rPr>
            <w:rStyle w:val="Hyperlink"/>
            <w:noProof/>
          </w:rPr>
          <w:t>Schedule No. 1-B Adjustments to Rate Base</w:t>
        </w:r>
        <w:r w:rsidR="00C7055C">
          <w:rPr>
            <w:noProof/>
            <w:webHidden/>
          </w:rPr>
          <w:tab/>
        </w:r>
        <w:r w:rsidR="00C7055C">
          <w:rPr>
            <w:noProof/>
            <w:webHidden/>
          </w:rPr>
          <w:fldChar w:fldCharType="begin"/>
        </w:r>
        <w:r w:rsidR="00C7055C">
          <w:rPr>
            <w:noProof/>
            <w:webHidden/>
          </w:rPr>
          <w:instrText xml:space="preserve"> PAGEREF _Toc451766978 \h </w:instrText>
        </w:r>
        <w:r w:rsidR="00C7055C">
          <w:rPr>
            <w:noProof/>
            <w:webHidden/>
          </w:rPr>
        </w:r>
        <w:r w:rsidR="00C7055C">
          <w:rPr>
            <w:noProof/>
            <w:webHidden/>
          </w:rPr>
          <w:fldChar w:fldCharType="separate"/>
        </w:r>
        <w:r w:rsidR="000A550E">
          <w:rPr>
            <w:noProof/>
            <w:webHidden/>
          </w:rPr>
          <w:t>27</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79" w:history="1">
        <w:r w:rsidR="00C7055C" w:rsidRPr="00937F2B">
          <w:rPr>
            <w:rStyle w:val="Hyperlink"/>
            <w:noProof/>
          </w:rPr>
          <w:t>Schedule No. 2 Capital Structure</w:t>
        </w:r>
        <w:r w:rsidR="00C7055C">
          <w:rPr>
            <w:noProof/>
            <w:webHidden/>
          </w:rPr>
          <w:tab/>
        </w:r>
        <w:r w:rsidR="00C7055C">
          <w:rPr>
            <w:noProof/>
            <w:webHidden/>
          </w:rPr>
          <w:fldChar w:fldCharType="begin"/>
        </w:r>
        <w:r w:rsidR="00C7055C">
          <w:rPr>
            <w:noProof/>
            <w:webHidden/>
          </w:rPr>
          <w:instrText xml:space="preserve"> PAGEREF _Toc451766979 \h </w:instrText>
        </w:r>
        <w:r w:rsidR="00C7055C">
          <w:rPr>
            <w:noProof/>
            <w:webHidden/>
          </w:rPr>
        </w:r>
        <w:r w:rsidR="00C7055C">
          <w:rPr>
            <w:noProof/>
            <w:webHidden/>
          </w:rPr>
          <w:fldChar w:fldCharType="separate"/>
        </w:r>
        <w:r w:rsidR="000A550E">
          <w:rPr>
            <w:noProof/>
            <w:webHidden/>
          </w:rPr>
          <w:t>28</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80" w:history="1">
        <w:r w:rsidR="00C7055C" w:rsidRPr="00937F2B">
          <w:rPr>
            <w:rStyle w:val="Hyperlink"/>
            <w:noProof/>
          </w:rPr>
          <w:t>Schedule No. 3-A Water Operating Income</w:t>
        </w:r>
        <w:r w:rsidR="00C7055C">
          <w:rPr>
            <w:noProof/>
            <w:webHidden/>
          </w:rPr>
          <w:tab/>
        </w:r>
        <w:r w:rsidR="00C7055C">
          <w:rPr>
            <w:noProof/>
            <w:webHidden/>
          </w:rPr>
          <w:fldChar w:fldCharType="begin"/>
        </w:r>
        <w:r w:rsidR="00C7055C">
          <w:rPr>
            <w:noProof/>
            <w:webHidden/>
          </w:rPr>
          <w:instrText xml:space="preserve"> PAGEREF _Toc451766980 \h </w:instrText>
        </w:r>
        <w:r w:rsidR="00C7055C">
          <w:rPr>
            <w:noProof/>
            <w:webHidden/>
          </w:rPr>
        </w:r>
        <w:r w:rsidR="00C7055C">
          <w:rPr>
            <w:noProof/>
            <w:webHidden/>
          </w:rPr>
          <w:fldChar w:fldCharType="separate"/>
        </w:r>
        <w:r w:rsidR="000A550E">
          <w:rPr>
            <w:noProof/>
            <w:webHidden/>
          </w:rPr>
          <w:t>29</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81" w:history="1">
        <w:r w:rsidR="00C7055C" w:rsidRPr="00937F2B">
          <w:rPr>
            <w:rStyle w:val="Hyperlink"/>
            <w:noProof/>
          </w:rPr>
          <w:t>Schedule No. 3-B Adjustments to Operating Income</w:t>
        </w:r>
        <w:r w:rsidR="00C7055C">
          <w:rPr>
            <w:noProof/>
            <w:webHidden/>
          </w:rPr>
          <w:tab/>
        </w:r>
        <w:r w:rsidR="00C7055C">
          <w:rPr>
            <w:noProof/>
            <w:webHidden/>
          </w:rPr>
          <w:fldChar w:fldCharType="begin"/>
        </w:r>
        <w:r w:rsidR="00C7055C">
          <w:rPr>
            <w:noProof/>
            <w:webHidden/>
          </w:rPr>
          <w:instrText xml:space="preserve"> PAGEREF _Toc451766981 \h </w:instrText>
        </w:r>
        <w:r w:rsidR="00C7055C">
          <w:rPr>
            <w:noProof/>
            <w:webHidden/>
          </w:rPr>
        </w:r>
        <w:r w:rsidR="00C7055C">
          <w:rPr>
            <w:noProof/>
            <w:webHidden/>
          </w:rPr>
          <w:fldChar w:fldCharType="separate"/>
        </w:r>
        <w:r w:rsidR="000A550E">
          <w:rPr>
            <w:noProof/>
            <w:webHidden/>
          </w:rPr>
          <w:t>30</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82" w:history="1">
        <w:r w:rsidR="00C7055C" w:rsidRPr="00937F2B">
          <w:rPr>
            <w:rStyle w:val="Hyperlink"/>
            <w:noProof/>
          </w:rPr>
          <w:t>Schedule No. 3-C Water O&amp;M Expense</w:t>
        </w:r>
        <w:r w:rsidR="00C7055C">
          <w:rPr>
            <w:noProof/>
            <w:webHidden/>
          </w:rPr>
          <w:tab/>
        </w:r>
        <w:r w:rsidR="00C7055C">
          <w:rPr>
            <w:noProof/>
            <w:webHidden/>
          </w:rPr>
          <w:fldChar w:fldCharType="begin"/>
        </w:r>
        <w:r w:rsidR="00C7055C">
          <w:rPr>
            <w:noProof/>
            <w:webHidden/>
          </w:rPr>
          <w:instrText xml:space="preserve"> PAGEREF _Toc451766982 \h </w:instrText>
        </w:r>
        <w:r w:rsidR="00C7055C">
          <w:rPr>
            <w:noProof/>
            <w:webHidden/>
          </w:rPr>
        </w:r>
        <w:r w:rsidR="00C7055C">
          <w:rPr>
            <w:noProof/>
            <w:webHidden/>
          </w:rPr>
          <w:fldChar w:fldCharType="separate"/>
        </w:r>
        <w:r w:rsidR="000A550E">
          <w:rPr>
            <w:noProof/>
            <w:webHidden/>
          </w:rPr>
          <w:t>31</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83" w:history="1">
        <w:r w:rsidR="00C7055C" w:rsidRPr="00937F2B">
          <w:rPr>
            <w:rStyle w:val="Hyperlink"/>
            <w:noProof/>
          </w:rPr>
          <w:t>Schedule No. 4 Monthly Water Rates</w:t>
        </w:r>
        <w:r w:rsidR="00C7055C">
          <w:rPr>
            <w:noProof/>
            <w:webHidden/>
          </w:rPr>
          <w:tab/>
        </w:r>
        <w:r w:rsidR="00C7055C">
          <w:rPr>
            <w:noProof/>
            <w:webHidden/>
          </w:rPr>
          <w:fldChar w:fldCharType="begin"/>
        </w:r>
        <w:r w:rsidR="00C7055C">
          <w:rPr>
            <w:noProof/>
            <w:webHidden/>
          </w:rPr>
          <w:instrText xml:space="preserve"> PAGEREF _Toc451766983 \h </w:instrText>
        </w:r>
        <w:r w:rsidR="00C7055C">
          <w:rPr>
            <w:noProof/>
            <w:webHidden/>
          </w:rPr>
        </w:r>
        <w:r w:rsidR="00C7055C">
          <w:rPr>
            <w:noProof/>
            <w:webHidden/>
          </w:rPr>
          <w:fldChar w:fldCharType="separate"/>
        </w:r>
        <w:r w:rsidR="000A550E">
          <w:rPr>
            <w:noProof/>
            <w:webHidden/>
          </w:rPr>
          <w:t>32</w:t>
        </w:r>
        <w:r w:rsidR="00C7055C">
          <w:rPr>
            <w:noProof/>
            <w:webHidden/>
          </w:rPr>
          <w:fldChar w:fldCharType="end"/>
        </w:r>
      </w:hyperlink>
    </w:p>
    <w:p w:rsidR="00C7055C" w:rsidRDefault="005251FA">
      <w:pPr>
        <w:pStyle w:val="TOC1"/>
        <w:tabs>
          <w:tab w:val="right" w:leader="dot" w:pos="9350"/>
        </w:tabs>
        <w:rPr>
          <w:rFonts w:asciiTheme="minorHAnsi" w:eastAsiaTheme="minorEastAsia" w:hAnsiTheme="minorHAnsi" w:cstheme="minorBidi"/>
          <w:bCs w:val="0"/>
          <w:noProof/>
          <w:sz w:val="22"/>
          <w:szCs w:val="22"/>
        </w:rPr>
      </w:pPr>
      <w:hyperlink w:anchor="_Toc451766984" w:history="1">
        <w:r w:rsidR="00C7055C" w:rsidRPr="00937F2B">
          <w:rPr>
            <w:rStyle w:val="Hyperlink"/>
            <w:noProof/>
          </w:rPr>
          <w:t>Schedule No. 5 Water Plant, Depreciation, CIAC, &amp; CIAC Amortization Balances</w:t>
        </w:r>
        <w:r w:rsidR="00C7055C">
          <w:rPr>
            <w:noProof/>
            <w:webHidden/>
          </w:rPr>
          <w:tab/>
        </w:r>
        <w:r w:rsidR="00C7055C">
          <w:rPr>
            <w:noProof/>
            <w:webHidden/>
          </w:rPr>
          <w:fldChar w:fldCharType="begin"/>
        </w:r>
        <w:r w:rsidR="00C7055C">
          <w:rPr>
            <w:noProof/>
            <w:webHidden/>
          </w:rPr>
          <w:instrText xml:space="preserve"> PAGEREF _Toc451766984 \h </w:instrText>
        </w:r>
        <w:r w:rsidR="00C7055C">
          <w:rPr>
            <w:noProof/>
            <w:webHidden/>
          </w:rPr>
        </w:r>
        <w:r w:rsidR="00C7055C">
          <w:rPr>
            <w:noProof/>
            <w:webHidden/>
          </w:rPr>
          <w:fldChar w:fldCharType="separate"/>
        </w:r>
        <w:r w:rsidR="000A550E">
          <w:rPr>
            <w:noProof/>
            <w:webHidden/>
          </w:rPr>
          <w:t>33</w:t>
        </w:r>
        <w:r w:rsidR="00C7055C">
          <w:rPr>
            <w:noProof/>
            <w:webHidden/>
          </w:rPr>
          <w:fldChar w:fldCharType="end"/>
        </w:r>
      </w:hyperlink>
    </w:p>
    <w:p w:rsidR="00C52822" w:rsidRDefault="005C3820" w:rsidP="00C52822">
      <w:pPr>
        <w:pStyle w:val="BodyText"/>
      </w:pPr>
      <w:r>
        <w:fldChar w:fldCharType="end"/>
      </w:r>
    </w:p>
    <w:p w:rsidR="00C52822" w:rsidRDefault="00C52822" w:rsidP="00C52822">
      <w:pPr>
        <w:pStyle w:val="BodyText"/>
      </w:pPr>
    </w:p>
    <w:p w:rsidR="00C52822" w:rsidRDefault="00C52822" w:rsidP="00C52822">
      <w:pPr>
        <w:pStyle w:val="BodyText"/>
      </w:pPr>
    </w:p>
    <w:p w:rsidR="00C52822" w:rsidRDefault="00C52822" w:rsidP="00C52822">
      <w:pPr>
        <w:pStyle w:val="BodyText"/>
      </w:pPr>
    </w:p>
    <w:p w:rsidR="006D33DD" w:rsidRDefault="006D33DD" w:rsidP="00C52822">
      <w:pPr>
        <w:pStyle w:val="BodyText"/>
      </w:pPr>
    </w:p>
    <w:p w:rsidR="006D33DD" w:rsidRDefault="006D33DD" w:rsidP="00C52822">
      <w:pPr>
        <w:pStyle w:val="BodyText"/>
      </w:pPr>
    </w:p>
    <w:p w:rsidR="006D33DD" w:rsidRDefault="006D33DD" w:rsidP="00C52822">
      <w:pPr>
        <w:pStyle w:val="BodyText"/>
      </w:pPr>
    </w:p>
    <w:p w:rsidR="006D33DD" w:rsidRDefault="006D33DD" w:rsidP="00C52822">
      <w:pPr>
        <w:pStyle w:val="BodyText"/>
      </w:pPr>
    </w:p>
    <w:p w:rsidR="00C52822" w:rsidRDefault="00C52822" w:rsidP="00C52822">
      <w:pPr>
        <w:pStyle w:val="BodyText"/>
      </w:pPr>
    </w:p>
    <w:p w:rsidR="00F805D8" w:rsidRDefault="00F805D8">
      <w:pPr>
        <w:sectPr w:rsidR="00F805D8" w:rsidSect="000B4537">
          <w:footerReference w:type="default" r:id="rId13"/>
          <w:headerReference w:type="first" r:id="rId14"/>
          <w:footerReference w:type="first" r:id="rId15"/>
          <w:pgSz w:w="12240" w:h="15840" w:code="1"/>
          <w:pgMar w:top="1584" w:right="1440" w:bottom="1440" w:left="1440" w:header="720" w:footer="720" w:gutter="0"/>
          <w:pgNumType w:fmt="lowerRoman" w:start="1"/>
          <w:cols w:space="720"/>
          <w:formProt w:val="0"/>
          <w:docGrid w:linePitch="360"/>
        </w:sectPr>
      </w:pPr>
    </w:p>
    <w:p w:rsidR="007C0528" w:rsidRPr="00367248" w:rsidRDefault="00C52822">
      <w:pPr>
        <w:pStyle w:val="RecommendationMajorSectionHeading"/>
      </w:pPr>
      <w:r>
        <w:lastRenderedPageBreak/>
        <w:t>Ca</w:t>
      </w:r>
      <w:r w:rsidR="007C0528" w:rsidRPr="00367248">
        <w:t>se Background</w:t>
      </w:r>
      <w:bookmarkEnd w:id="14"/>
      <w:bookmarkEnd w:id="15"/>
      <w:bookmarkEnd w:id="16"/>
      <w:r w:rsidR="007C0528" w:rsidRPr="00367248">
        <w:fldChar w:fldCharType="begin"/>
      </w:r>
      <w:r w:rsidR="007C0528" w:rsidRPr="00367248">
        <w:instrText xml:space="preserve"> TC  "</w:instrText>
      </w:r>
      <w:bookmarkStart w:id="18" w:name="_Toc94516455"/>
      <w:bookmarkStart w:id="19" w:name="_Toc450304900"/>
      <w:bookmarkStart w:id="20" w:name="_Toc450304948"/>
      <w:bookmarkStart w:id="21" w:name="_Toc450305011"/>
      <w:bookmarkStart w:id="22" w:name="_Toc450306828"/>
      <w:bookmarkStart w:id="23" w:name="_Toc450650593"/>
      <w:bookmarkStart w:id="24" w:name="_Toc450652875"/>
      <w:bookmarkStart w:id="25" w:name="_Toc451766963"/>
      <w:r w:rsidR="007C0528" w:rsidRPr="00367248">
        <w:instrText>Case Background</w:instrText>
      </w:r>
      <w:bookmarkEnd w:id="18"/>
      <w:bookmarkEnd w:id="19"/>
      <w:bookmarkEnd w:id="20"/>
      <w:bookmarkEnd w:id="21"/>
      <w:bookmarkEnd w:id="22"/>
      <w:bookmarkEnd w:id="23"/>
      <w:bookmarkEnd w:id="24"/>
      <w:bookmarkEnd w:id="25"/>
      <w:r w:rsidR="007C0528" w:rsidRPr="00367248">
        <w:instrText xml:space="preserve">" \l 1 </w:instrText>
      </w:r>
      <w:r w:rsidR="007C0528" w:rsidRPr="00367248">
        <w:fldChar w:fldCharType="end"/>
      </w:r>
    </w:p>
    <w:p w:rsidR="00443FEC" w:rsidRDefault="00443FEC" w:rsidP="00443FEC">
      <w:pPr>
        <w:pStyle w:val="BodyText"/>
      </w:pPr>
      <w:r>
        <w:t xml:space="preserve">Raintree Waterworks, Inc., (Raintree or Utility) is a Class C utility providing water service to approximately 109 residential customers and one general service customer in Lake County. The Utility was initially granted a small system exemption from </w:t>
      </w:r>
      <w:r w:rsidR="009D2E8B">
        <w:t>Florida Public Service Commission (</w:t>
      </w:r>
      <w:r>
        <w:t>Commission</w:t>
      </w:r>
      <w:r w:rsidR="009D2E8B">
        <w:t>)</w:t>
      </w:r>
      <w:r>
        <w:t xml:space="preserve"> regulation in 1987 to serve 29 lots in the first phase of the development.</w:t>
      </w:r>
      <w:r>
        <w:rPr>
          <w:rStyle w:val="FootnoteReference"/>
        </w:rPr>
        <w:footnoteReference w:id="1"/>
      </w:r>
      <w:r>
        <w:t xml:space="preserve"> The Utility began providing water service in January 1988. In 1991, the Utility began working on the second phase of the development to expand service to 119 lots, and subsequently filed an application for a water certificate since it would no longer be eligible for the small system exemption. The Utility was granted Certificate No. 539-W in 1992.</w:t>
      </w:r>
      <w:r>
        <w:rPr>
          <w:rStyle w:val="FootnoteReference"/>
        </w:rPr>
        <w:footnoteReference w:id="2"/>
      </w:r>
      <w:r>
        <w:t xml:space="preserve"> Rates were last established for this Utility in 2008, when it was known as Raintree Utilities, Inc.</w:t>
      </w:r>
      <w:r>
        <w:rPr>
          <w:rStyle w:val="FootnoteReference"/>
        </w:rPr>
        <w:footnoteReference w:id="3"/>
      </w:r>
      <w:r>
        <w:t xml:space="preserve"> The Utility was transferred to Raintree Harbor Utilities, LLC in 2012,</w:t>
      </w:r>
      <w:r>
        <w:rPr>
          <w:rStyle w:val="FootnoteReference"/>
        </w:rPr>
        <w:footnoteReference w:id="4"/>
      </w:r>
      <w:r>
        <w:t xml:space="preserve"> and to Raintree in 2014.</w:t>
      </w:r>
      <w:r>
        <w:rPr>
          <w:rStyle w:val="FootnoteReference"/>
        </w:rPr>
        <w:footnoteReference w:id="5"/>
      </w:r>
      <w:r>
        <w:t xml:space="preserve"> </w:t>
      </w:r>
    </w:p>
    <w:p w:rsidR="00443FEC" w:rsidRDefault="00443FEC" w:rsidP="00443FEC">
      <w:pPr>
        <w:pStyle w:val="BodyText"/>
      </w:pPr>
      <w:r>
        <w:t>On September 11, 2015, Raintree filed an application for a staff assisted rate case (SARC). Staff selected the test year ending July 31, 2015, for the instant case. According to Raintree’s 2015 annual report, its total operating revenues were $42,210. The Utility reported a net income of $1,547.</w:t>
      </w:r>
      <w:r>
        <w:rPr>
          <w:rStyle w:val="FootnoteReference"/>
        </w:rPr>
        <w:footnoteReference w:id="6"/>
      </w:r>
    </w:p>
    <w:p w:rsidR="00443FEC" w:rsidRDefault="00443FEC" w:rsidP="00DA4E8F">
      <w:pPr>
        <w:jc w:val="both"/>
        <w:rPr>
          <w:rFonts w:eastAsiaTheme="minorHAnsi"/>
        </w:rPr>
      </w:pPr>
      <w:r>
        <w:t xml:space="preserve">A </w:t>
      </w:r>
      <w:r w:rsidR="003E3ACC">
        <w:t>c</w:t>
      </w:r>
      <w:r>
        <w:t xml:space="preserve">ustomer </w:t>
      </w:r>
      <w:r w:rsidR="003E3ACC">
        <w:t>m</w:t>
      </w:r>
      <w:r>
        <w:t>eeting was held on March 9, 2016, at the Tavares Community Center to receive customer questions and comments concerning the Utility’s rate case and quality of service. The Commission has jurisdiction in this case pursuant to Section 367.0814, Florida Statutes, (F.S.)</w:t>
      </w:r>
      <w:r>
        <w:rPr>
          <w:rFonts w:eastAsiaTheme="minorHAnsi"/>
        </w:rPr>
        <w:t>.</w:t>
      </w:r>
    </w:p>
    <w:p w:rsidR="0068481F" w:rsidRDefault="0068481F">
      <w:pPr>
        <w:pStyle w:val="BodyText"/>
      </w:pPr>
    </w:p>
    <w:p w:rsidR="007C0528" w:rsidRDefault="007C0528" w:rsidP="0068481F"/>
    <w:bookmarkEnd w:id="17"/>
    <w:p w:rsidR="00EA2273" w:rsidRDefault="00EA2273">
      <w:pPr>
        <w:pStyle w:val="RecommendationMajorSectionHeading"/>
        <w:sectPr w:rsidR="00EA2273" w:rsidSect="000B4537">
          <w:footerReference w:type="default" r:id="rId16"/>
          <w:footerReference w:type="first" r:id="rId17"/>
          <w:pgSz w:w="12240" w:h="15840" w:code="1"/>
          <w:pgMar w:top="1584" w:right="1440" w:bottom="1440" w:left="1440" w:header="720" w:footer="720" w:gutter="0"/>
          <w:pgNumType w:start="1"/>
          <w:cols w:space="720"/>
          <w:formProt w:val="0"/>
          <w:docGrid w:linePitch="360"/>
        </w:sectPr>
      </w:pPr>
    </w:p>
    <w:p w:rsidR="007C0528" w:rsidRDefault="007C0528">
      <w:pPr>
        <w:pStyle w:val="RecommendationMajorSectionHeading"/>
      </w:pPr>
      <w:bookmarkStart w:id="26" w:name="_Toc450304695"/>
      <w:bookmarkStart w:id="27" w:name="_Toc450304716"/>
      <w:bookmarkStart w:id="28" w:name="_Toc450304949"/>
      <w:bookmarkStart w:id="29" w:name="DiscussionOfIssues"/>
      <w:r>
        <w:lastRenderedPageBreak/>
        <w:t>Discussion of Issues</w:t>
      </w:r>
      <w:bookmarkEnd w:id="26"/>
      <w:bookmarkEnd w:id="27"/>
      <w:bookmarkEnd w:id="28"/>
    </w:p>
    <w:p w:rsidR="0086716D" w:rsidRDefault="0086716D">
      <w:pPr>
        <w:pStyle w:val="IssueHeading"/>
        <w:rPr>
          <w:vanish/>
          <w:specVanish/>
        </w:rPr>
      </w:pPr>
      <w:bookmarkStart w:id="30" w:name="_Toc450304696"/>
      <w:bookmarkStart w:id="31" w:name="_Toc450304717"/>
      <w:bookmarkStart w:id="32" w:name="_Toc450304950"/>
      <w:bookmarkEnd w:id="29"/>
      <w:r w:rsidRPr="004C3641">
        <w:t xml:space="preserve">Issue </w:t>
      </w:r>
      <w:r w:rsidR="005251FA">
        <w:fldChar w:fldCharType="begin"/>
      </w:r>
      <w:r w:rsidR="005251FA">
        <w:instrText xml:space="preserve"> SEQ Issue \* MERGEFORMAT </w:instrText>
      </w:r>
      <w:r w:rsidR="005251FA">
        <w:fldChar w:fldCharType="separate"/>
      </w:r>
      <w:r w:rsidR="000A550E">
        <w:rPr>
          <w:noProof/>
        </w:rPr>
        <w:t>1</w:t>
      </w:r>
      <w:r w:rsidR="005251FA">
        <w:rPr>
          <w:noProof/>
        </w:rPr>
        <w:fldChar w:fldCharType="end"/>
      </w:r>
      <w:r w:rsidRPr="004C3641">
        <w:t>:</w:t>
      </w:r>
      <w:bookmarkEnd w:id="30"/>
      <w:bookmarkEnd w:id="31"/>
      <w:bookmarkEnd w:id="32"/>
      <w:r>
        <w:fldChar w:fldCharType="begin"/>
      </w:r>
      <w:r>
        <w:instrText xml:space="preserve"> TC "</w:instrText>
      </w:r>
      <w:bookmarkStart w:id="33" w:name="_Toc450306829"/>
      <w:bookmarkStart w:id="34" w:name="_Toc450650594"/>
      <w:bookmarkStart w:id="35" w:name="_Toc450652876"/>
      <w:bookmarkStart w:id="36" w:name="_Toc451766964"/>
      <w:r w:rsidR="00374614" w:rsidRPr="00F805D8">
        <w:rPr>
          <w:rFonts w:ascii="Times New Roman" w:hAnsi="Times New Roman" w:cs="Times New Roman"/>
          <w:b w:val="0"/>
          <w:i w:val="0"/>
        </w:rPr>
        <w:instrText>Issue 1 Quality of Service</w:instrText>
      </w:r>
      <w:bookmarkEnd w:id="33"/>
      <w:bookmarkEnd w:id="34"/>
      <w:bookmarkEnd w:id="35"/>
      <w:bookmarkEnd w:id="36"/>
      <w:r w:rsidR="00374614" w:rsidRPr="00F805D8">
        <w:rPr>
          <w:rFonts w:ascii="Times New Roman" w:hAnsi="Times New Roman" w:cs="Times New Roman"/>
        </w:rPr>
        <w:instrText>”</w:instrText>
      </w:r>
      <w:r w:rsidRPr="00F805D8">
        <w:rPr>
          <w:rFonts w:ascii="Times New Roman" w:hAnsi="Times New Roman" w:cs="Times New Roman"/>
        </w:rPr>
        <w:instrText xml:space="preserve"> </w:instrText>
      </w:r>
      <w:r w:rsidR="00374614">
        <w:instrText>/</w:instrText>
      </w:r>
      <w:r>
        <w:instrText xml:space="preserve">1 </w:instrText>
      </w:r>
      <w:r>
        <w:fldChar w:fldCharType="end"/>
      </w:r>
      <w:r>
        <w:t> </w:t>
      </w:r>
    </w:p>
    <w:p w:rsidR="0086716D" w:rsidRDefault="0086716D">
      <w:pPr>
        <w:pStyle w:val="BodyText"/>
      </w:pPr>
      <w:r>
        <w:t> </w:t>
      </w:r>
      <w:r w:rsidR="000835CB">
        <w:t xml:space="preserve">Should the quality of </w:t>
      </w:r>
      <w:r w:rsidR="000835CB" w:rsidRPr="004B5AB6">
        <w:rPr>
          <w:rFonts w:cstheme="minorHAnsi"/>
        </w:rPr>
        <w:t xml:space="preserve">service provided by </w:t>
      </w:r>
      <w:r w:rsidR="000835CB">
        <w:rPr>
          <w:rFonts w:cstheme="minorHAnsi"/>
        </w:rPr>
        <w:t>Raintree be considered</w:t>
      </w:r>
      <w:r w:rsidR="000835CB" w:rsidRPr="004B5AB6">
        <w:rPr>
          <w:rFonts w:cstheme="minorHAnsi"/>
        </w:rPr>
        <w:t xml:space="preserve"> satisfactory</w:t>
      </w:r>
      <w:r w:rsidR="000835CB">
        <w:rPr>
          <w:rFonts w:cstheme="minorHAnsi"/>
        </w:rPr>
        <w:t>?</w:t>
      </w:r>
    </w:p>
    <w:p w:rsidR="0086716D" w:rsidRPr="004C3641" w:rsidRDefault="0086716D">
      <w:pPr>
        <w:pStyle w:val="IssueSubsectionHeading"/>
        <w:rPr>
          <w:vanish/>
          <w:specVanish/>
        </w:rPr>
      </w:pPr>
      <w:r w:rsidRPr="004C3641">
        <w:t>Recommendation: </w:t>
      </w:r>
    </w:p>
    <w:p w:rsidR="0086716D" w:rsidRDefault="0086716D">
      <w:pPr>
        <w:pStyle w:val="BodyText"/>
      </w:pPr>
      <w:r>
        <w:t> </w:t>
      </w:r>
      <w:r w:rsidR="002C40D0">
        <w:t>Yes. The overall quality of service provided by Raintree should be considered satisfactory. (</w:t>
      </w:r>
      <w:r w:rsidR="00AB3C3D">
        <w:t>M.</w:t>
      </w:r>
      <w:r w:rsidR="002C40D0">
        <w:t>Watts)</w:t>
      </w:r>
      <w:r>
        <w:t xml:space="preserve"> </w:t>
      </w:r>
    </w:p>
    <w:p w:rsidR="0086716D" w:rsidRPr="004C3641" w:rsidRDefault="0086716D">
      <w:pPr>
        <w:pStyle w:val="IssueSubsectionHeading"/>
        <w:rPr>
          <w:vanish/>
          <w:specVanish/>
        </w:rPr>
      </w:pPr>
      <w:r w:rsidRPr="004C3641">
        <w:t>Staff Analysis: </w:t>
      </w:r>
    </w:p>
    <w:p w:rsidR="0086716D" w:rsidRDefault="0086716D">
      <w:pPr>
        <w:pStyle w:val="BodyText"/>
      </w:pPr>
      <w:r>
        <w:t> </w:t>
      </w:r>
      <w:r w:rsidR="008F2A66">
        <w:rPr>
          <w:color w:val="000000"/>
        </w:rPr>
        <w:t>Pursuant to Rule 25-30.433(1), Florida Administrative Code (F.A.C.), in water and wastewater rate cases, the Commission shall determine the overall quality of service provided by the Utility. This is derived from an evaluation of three separate components of the Utility</w:t>
      </w:r>
      <w:r w:rsidR="004724A0">
        <w:rPr>
          <w:color w:val="000000"/>
        </w:rPr>
        <w:t>’s</w:t>
      </w:r>
      <w:r w:rsidR="008F2A66">
        <w:rPr>
          <w:color w:val="000000"/>
        </w:rPr>
        <w:t xml:space="preserve"> operations. These components are: (1) the quality of the utility’s product; (2) the operating conditions of the utility’s plant and facilities; and (3) the utility’s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w:t>
      </w:r>
      <w:r w:rsidR="008F2A66">
        <w:t>Additionally, Section 367.0812(1)(c), F.S., requires the Commission to consider the extent to which the utility provides water service that meets secondary water quality standards as established by the DEP.</w:t>
      </w:r>
    </w:p>
    <w:p w:rsidR="00C96CB4" w:rsidRDefault="00C96CB4" w:rsidP="00C96CB4">
      <w:pPr>
        <w:jc w:val="both"/>
        <w:rPr>
          <w:color w:val="000000"/>
        </w:rPr>
      </w:pPr>
      <w:r>
        <w:rPr>
          <w:rFonts w:ascii="Arial" w:hAnsi="Arial" w:cs="Arial"/>
          <w:b/>
          <w:color w:val="000000"/>
        </w:rPr>
        <w:t>Quality of Utility's Product</w:t>
      </w:r>
    </w:p>
    <w:p w:rsidR="00C96CB4" w:rsidRDefault="00C96CB4" w:rsidP="00C96CB4">
      <w:pPr>
        <w:pStyle w:val="BodyText"/>
        <w:rPr>
          <w:color w:val="000000"/>
        </w:rPr>
      </w:pPr>
      <w:r>
        <w:t>Staff’s evaluation of Raintree’s water quality consisted of a review of the Utility’s compliance with the DEP primary and secondary drinking water standards and customer complaints. Primary standards protect public health while secondary standards regulate contaminants that may impact the taste, odor, and color of drinking water.</w:t>
      </w:r>
    </w:p>
    <w:p w:rsidR="00C96CB4" w:rsidRDefault="00C96CB4" w:rsidP="00C96CB4">
      <w:pPr>
        <w:pStyle w:val="BodyText"/>
      </w:pPr>
      <w:r>
        <w:rPr>
          <w:color w:val="000000"/>
        </w:rPr>
        <w:t>Based on staff’s review of DEP records</w:t>
      </w:r>
      <w:r w:rsidR="00476644">
        <w:rPr>
          <w:color w:val="000000"/>
        </w:rPr>
        <w:t>,</w:t>
      </w:r>
      <w:r>
        <w:rPr>
          <w:color w:val="000000"/>
        </w:rPr>
        <w:t xml:space="preserve"> </w:t>
      </w:r>
      <w:r>
        <w:t xml:space="preserve">the Utility was in compliance with all primary and secondary standards during the three-year period (2012-2014) that preceded the test year. </w:t>
      </w:r>
      <w:r>
        <w:rPr>
          <w:color w:val="000000"/>
        </w:rPr>
        <w:t>On April 27, 2015, water testing for primary and secondary water standards was conducted by Advanced Environmental Laboratories, Inc., and all results remained in compliance with the DEP primary and secondary water quality standards.</w:t>
      </w:r>
    </w:p>
    <w:p w:rsidR="008F2A66" w:rsidRDefault="004724A0" w:rsidP="00C96CB4">
      <w:pPr>
        <w:pStyle w:val="BodyText"/>
      </w:pPr>
      <w:r>
        <w:t>Staff’s review of complaints</w:t>
      </w:r>
      <w:r w:rsidR="00C96CB4">
        <w:t xml:space="preserve"> filed with the Commission</w:t>
      </w:r>
      <w:r>
        <w:t xml:space="preserve"> (none were filed with DEP)</w:t>
      </w:r>
      <w:r w:rsidR="00C96CB4">
        <w:t>, did not reveal any issues or concerns regarding the quality of Raintree’s product. Based on staff’s review, giving consideration to the Utility’s current compliance with DEP standards, as well as the lack of customer complaints, the quality of Raintree’s product should be considered satisfactory.</w:t>
      </w:r>
    </w:p>
    <w:p w:rsidR="00B86875" w:rsidRDefault="00B86875" w:rsidP="00B86875">
      <w:pPr>
        <w:rPr>
          <w:rFonts w:ascii="Arial" w:hAnsi="Arial" w:cs="Arial"/>
          <w:b/>
        </w:rPr>
      </w:pPr>
      <w:r>
        <w:rPr>
          <w:rFonts w:ascii="Arial" w:hAnsi="Arial" w:cs="Arial"/>
          <w:b/>
        </w:rPr>
        <w:t>Operating Condition of the Utility’s Plant and Facilities</w:t>
      </w:r>
    </w:p>
    <w:p w:rsidR="00B86875" w:rsidRDefault="00B86875" w:rsidP="00B86875">
      <w:pPr>
        <w:jc w:val="both"/>
      </w:pPr>
      <w:r>
        <w:t xml:space="preserve">Raintree provides finished potable water obtained from three wells, which draw ground water from the aquifer. The raw water is </w:t>
      </w:r>
      <w:r w:rsidR="00DA4E8F">
        <w:t>treated by reverse osmosis chlorination filtration</w:t>
      </w:r>
      <w:r>
        <w:t xml:space="preserve"> and pumped into a 3,000 gallon hydropneumatic tank and then into the distribution system. The distribution system is composed of PVC pipe. Staff’s evaluation of Raintree’s facilities included a review of the Utility’s compliance standards of operation as well as a site visit.</w:t>
      </w:r>
    </w:p>
    <w:p w:rsidR="008A1B74" w:rsidRDefault="008A1B74" w:rsidP="00B86875">
      <w:pPr>
        <w:jc w:val="both"/>
      </w:pPr>
    </w:p>
    <w:p w:rsidR="00C96CB4" w:rsidRDefault="00DA4E8F" w:rsidP="00B86875">
      <w:pPr>
        <w:pStyle w:val="BodyText"/>
      </w:pPr>
      <w:r w:rsidRPr="00A646A4">
        <w:rPr>
          <w:color w:val="000000"/>
        </w:rPr>
        <w:t>On October 11, 2013,</w:t>
      </w:r>
      <w:r>
        <w:rPr>
          <w:color w:val="000000"/>
        </w:rPr>
        <w:t xml:space="preserve"> DEP conducted a sanitary survey, and found one deficiency, stating that the Well #1 check valve was not holding. The survey report, issued on January 16, 2014, stated that the Utility advised that the check valve was replaced on October 14, 2013, and deemed the </w:t>
      </w:r>
      <w:r>
        <w:rPr>
          <w:color w:val="000000"/>
        </w:rPr>
        <w:lastRenderedPageBreak/>
        <w:t xml:space="preserve">water treatment plant in compliance. Staff did not identify any issues or concerns during its </w:t>
      </w:r>
      <w:r w:rsidR="004724A0">
        <w:rPr>
          <w:color w:val="000000"/>
        </w:rPr>
        <w:t>March 9, 2016</w:t>
      </w:r>
      <w:r w:rsidR="00A9595F">
        <w:rPr>
          <w:color w:val="000000"/>
        </w:rPr>
        <w:t>,</w:t>
      </w:r>
      <w:r w:rsidR="004724A0">
        <w:rPr>
          <w:color w:val="000000"/>
        </w:rPr>
        <w:t xml:space="preserve"> </w:t>
      </w:r>
      <w:r>
        <w:rPr>
          <w:color w:val="000000"/>
        </w:rPr>
        <w:t xml:space="preserve">site visit. </w:t>
      </w:r>
      <w:r w:rsidRPr="008F17BD">
        <w:t>The</w:t>
      </w:r>
      <w:r>
        <w:t>refore, the</w:t>
      </w:r>
      <w:r w:rsidRPr="008F17BD">
        <w:t xml:space="preserve"> </w:t>
      </w:r>
      <w:r>
        <w:t>operating condition</w:t>
      </w:r>
      <w:r w:rsidRPr="008F17BD">
        <w:t xml:space="preserve"> of </w:t>
      </w:r>
      <w:r>
        <w:t>Raintree</w:t>
      </w:r>
      <w:r w:rsidRPr="008F17BD">
        <w:t xml:space="preserve">’s </w:t>
      </w:r>
      <w:r>
        <w:t xml:space="preserve">water treatment plant and facilities </w:t>
      </w:r>
      <w:r w:rsidRPr="008F17BD">
        <w:t>should be considered satisfactory</w:t>
      </w:r>
      <w:r>
        <w:t>.</w:t>
      </w:r>
    </w:p>
    <w:p w:rsidR="00D22896" w:rsidRDefault="00D22896" w:rsidP="00D22896">
      <w:pPr>
        <w:jc w:val="both"/>
        <w:rPr>
          <w:color w:val="000000"/>
        </w:rPr>
      </w:pPr>
      <w:r>
        <w:rPr>
          <w:rFonts w:ascii="Arial" w:hAnsi="Arial" w:cs="Arial"/>
          <w:b/>
        </w:rPr>
        <w:t>The Utility’s Attempt to Address Customer Satisfaction</w:t>
      </w:r>
    </w:p>
    <w:p w:rsidR="00D22896" w:rsidRDefault="00D22896" w:rsidP="00D22896">
      <w:pPr>
        <w:pStyle w:val="BodyText"/>
        <w:spacing w:after="0"/>
      </w:pPr>
      <w:r>
        <w:t xml:space="preserve">The final component of the overall quality of service </w:t>
      </w:r>
      <w:r w:rsidR="004724A0">
        <w:t>that</w:t>
      </w:r>
      <w:r>
        <w:t xml:space="preserve"> must be assessed is customer satisfaction. As part of staff’s evaluation of customer satisfaction</w:t>
      </w:r>
      <w:r w:rsidR="00D8036F">
        <w:t>,</w:t>
      </w:r>
      <w:r>
        <w:t xml:space="preserve"> staff held a customer meeting </w:t>
      </w:r>
      <w:r w:rsidRPr="009736F7">
        <w:t>(March 9, 2016)</w:t>
      </w:r>
      <w:r>
        <w:t xml:space="preserve"> to receive customer comments concerning Raintree’s quality of service. The Utility mailed the </w:t>
      </w:r>
      <w:r w:rsidR="008F03B4">
        <w:t>c</w:t>
      </w:r>
      <w:r>
        <w:t xml:space="preserve">ustomer </w:t>
      </w:r>
      <w:r w:rsidR="008F03B4">
        <w:t>m</w:t>
      </w:r>
      <w:r>
        <w:t>eeting notice to its customers on February 17, 2016, advising them of the time, place, and purpose of the meeting, as well as the procedures for filing comments with the Commission. No customers attended the meeting, and, as of the filing</w:t>
      </w:r>
      <w:r w:rsidR="004724A0">
        <w:t xml:space="preserve"> date</w:t>
      </w:r>
      <w:r>
        <w:t xml:space="preserve"> of this recommendation, no customer correspondence has been received. </w:t>
      </w:r>
    </w:p>
    <w:p w:rsidR="00D22896" w:rsidRDefault="00D22896" w:rsidP="00D22896">
      <w:pPr>
        <w:pStyle w:val="BodyText"/>
        <w:spacing w:after="0"/>
      </w:pPr>
    </w:p>
    <w:p w:rsidR="00D22896" w:rsidRDefault="00D22896" w:rsidP="00D22896">
      <w:pPr>
        <w:pStyle w:val="BodyText"/>
        <w:spacing w:after="0"/>
        <w:rPr>
          <w:color w:val="000000"/>
        </w:rPr>
      </w:pPr>
      <w:r>
        <w:rPr>
          <w:color w:val="000000"/>
        </w:rPr>
        <w:t>Staff also requested copies of complaints filed with the Utility during the test</w:t>
      </w:r>
      <w:r w:rsidR="00475E0C">
        <w:rPr>
          <w:color w:val="000000"/>
        </w:rPr>
        <w:t xml:space="preserve"> </w:t>
      </w:r>
      <w:r>
        <w:rPr>
          <w:color w:val="000000"/>
        </w:rPr>
        <w:t>year and four years prior to the test</w:t>
      </w:r>
      <w:r w:rsidR="00475E0C">
        <w:rPr>
          <w:color w:val="000000"/>
        </w:rPr>
        <w:t xml:space="preserve"> </w:t>
      </w:r>
      <w:r>
        <w:rPr>
          <w:color w:val="000000"/>
        </w:rPr>
        <w:t xml:space="preserve">year. The Utility responded on February 8, 2016, with the complaints that it had received since it acquired the </w:t>
      </w:r>
      <w:r w:rsidR="00CE0190">
        <w:rPr>
          <w:color w:val="000000"/>
        </w:rPr>
        <w:t>U</w:t>
      </w:r>
      <w:r>
        <w:rPr>
          <w:color w:val="000000"/>
        </w:rPr>
        <w:t xml:space="preserve">tility in 2014. The </w:t>
      </w:r>
      <w:r w:rsidR="008F03B4">
        <w:rPr>
          <w:color w:val="000000"/>
        </w:rPr>
        <w:t>response</w:t>
      </w:r>
      <w:r>
        <w:rPr>
          <w:color w:val="000000"/>
        </w:rPr>
        <w:t xml:space="preserve"> shows 34 customer contacts</w:t>
      </w:r>
      <w:r w:rsidR="00DE4D3E">
        <w:rPr>
          <w:color w:val="000000"/>
        </w:rPr>
        <w:t>,</w:t>
      </w:r>
      <w:r>
        <w:rPr>
          <w:color w:val="000000"/>
        </w:rPr>
        <w:t xml:space="preserve"> 21 of which were related to two </w:t>
      </w:r>
      <w:r w:rsidR="00DA4E8F">
        <w:rPr>
          <w:color w:val="000000"/>
        </w:rPr>
        <w:t xml:space="preserve">general </w:t>
      </w:r>
      <w:r>
        <w:rPr>
          <w:color w:val="000000"/>
        </w:rPr>
        <w:t xml:space="preserve">power outage events </w:t>
      </w:r>
      <w:r w:rsidR="00DA4E8F">
        <w:rPr>
          <w:color w:val="000000"/>
        </w:rPr>
        <w:t>that</w:t>
      </w:r>
      <w:r w:rsidR="00AD6FE8">
        <w:rPr>
          <w:color w:val="000000"/>
        </w:rPr>
        <w:t xml:space="preserve"> occurred on May 22 and September 1, 2015, that</w:t>
      </w:r>
      <w:r w:rsidR="00DA4E8F">
        <w:rPr>
          <w:color w:val="000000"/>
        </w:rPr>
        <w:t xml:space="preserve"> affected</w:t>
      </w:r>
      <w:r>
        <w:rPr>
          <w:color w:val="000000"/>
        </w:rPr>
        <w:t xml:space="preserve"> the</w:t>
      </w:r>
      <w:r w:rsidR="00AD6FE8">
        <w:rPr>
          <w:color w:val="000000"/>
        </w:rPr>
        <w:t xml:space="preserve"> water treatment</w:t>
      </w:r>
      <w:r>
        <w:rPr>
          <w:color w:val="000000"/>
        </w:rPr>
        <w:t xml:space="preserve"> plant</w:t>
      </w:r>
      <w:r w:rsidR="00AD6FE8">
        <w:rPr>
          <w:color w:val="000000"/>
        </w:rPr>
        <w:t xml:space="preserve">. </w:t>
      </w:r>
      <w:r>
        <w:rPr>
          <w:color w:val="000000"/>
        </w:rPr>
        <w:t>Seven complaints were for leaks. The Utility investigated and either fixed the leak or advised that it was on the customer’s side of the meter, as appropriate. One of the leaks was found to be a wastewater leak</w:t>
      </w:r>
      <w:r w:rsidR="00DA4E8F">
        <w:rPr>
          <w:color w:val="000000"/>
        </w:rPr>
        <w:t xml:space="preserve"> which did not involve Raintree’s system</w:t>
      </w:r>
      <w:r>
        <w:rPr>
          <w:color w:val="000000"/>
        </w:rPr>
        <w:t>. Three customer contacts were regarding water</w:t>
      </w:r>
      <w:r w:rsidR="00DA4E8F">
        <w:rPr>
          <w:color w:val="000000"/>
        </w:rPr>
        <w:t xml:space="preserve"> service</w:t>
      </w:r>
      <w:r>
        <w:rPr>
          <w:color w:val="000000"/>
        </w:rPr>
        <w:t xml:space="preserve"> that had been shut off due to nonpayment, and were resolved when payment was made. The last three customer contacts regarded a quality of service issue that Raintree tried to follow up on to obtain additional information, but the customers in each case failed to pursue the matter.</w:t>
      </w:r>
    </w:p>
    <w:p w:rsidR="00D22896" w:rsidRDefault="00D22896" w:rsidP="00D22896">
      <w:pPr>
        <w:pStyle w:val="BodyText"/>
        <w:spacing w:after="0"/>
        <w:rPr>
          <w:color w:val="000000"/>
        </w:rPr>
      </w:pPr>
    </w:p>
    <w:p w:rsidR="00D22896" w:rsidRDefault="00D22896" w:rsidP="00D22896">
      <w:pPr>
        <w:pStyle w:val="BodyText"/>
        <w:spacing w:after="0"/>
        <w:rPr>
          <w:color w:val="000000"/>
        </w:rPr>
      </w:pPr>
      <w:r>
        <w:rPr>
          <w:color w:val="000000"/>
        </w:rPr>
        <w:t>On April 26, 2016, staff requested complaints against the system filed with the DEP for the test year and four years prior. DEP responded on May 9, 2016, stating that it had received no complaints against the system in the last five years.</w:t>
      </w:r>
    </w:p>
    <w:p w:rsidR="00D22896" w:rsidRDefault="00D22896" w:rsidP="00D22896">
      <w:pPr>
        <w:pStyle w:val="BodyText"/>
        <w:spacing w:after="0"/>
        <w:rPr>
          <w:color w:val="000000"/>
        </w:rPr>
      </w:pPr>
    </w:p>
    <w:p w:rsidR="00B86875" w:rsidRDefault="00D22896" w:rsidP="00D22896">
      <w:pPr>
        <w:pStyle w:val="BodyText"/>
        <w:rPr>
          <w:color w:val="000000"/>
        </w:rPr>
      </w:pPr>
      <w:r>
        <w:rPr>
          <w:color w:val="000000"/>
        </w:rPr>
        <w:t>Finally, staff reviewed the Commission’s complaint records from January 1, 2010, through May 9, 2016. There were no complaints filed against any of the three utilities that had ownership of the water system during this period. Therefore, staff recommends the Utility’s attempt to address customer satisfaction should be considered satisfactory.</w:t>
      </w:r>
    </w:p>
    <w:p w:rsidR="00F856BF" w:rsidRDefault="00F856BF" w:rsidP="00F856BF">
      <w:pPr>
        <w:jc w:val="both"/>
        <w:rPr>
          <w:rFonts w:ascii="Arial" w:hAnsi="Arial" w:cs="Arial"/>
          <w:b/>
          <w:color w:val="000000"/>
        </w:rPr>
      </w:pPr>
      <w:r>
        <w:rPr>
          <w:rFonts w:ascii="Arial" w:hAnsi="Arial" w:cs="Arial"/>
          <w:b/>
          <w:color w:val="000000"/>
        </w:rPr>
        <w:t>Conclusion</w:t>
      </w:r>
    </w:p>
    <w:p w:rsidR="00D22896" w:rsidRDefault="00F856BF" w:rsidP="00F856BF">
      <w:pPr>
        <w:pStyle w:val="BodyText"/>
      </w:pPr>
      <w:r>
        <w:t>Based on the summation of staff’s analysis and review described above, the overall quality of service provided by Raintree should be considered satisfactory.</w:t>
      </w:r>
    </w:p>
    <w:p w:rsidR="0086716D" w:rsidRDefault="0086716D">
      <w:pPr>
        <w:pStyle w:val="IssueHeading"/>
        <w:rPr>
          <w:vanish/>
          <w:specVanish/>
        </w:rPr>
      </w:pPr>
      <w:r w:rsidRPr="004C3641">
        <w:rPr>
          <w:b w:val="0"/>
          <w:i w:val="0"/>
        </w:rPr>
        <w:br w:type="page"/>
      </w:r>
      <w:bookmarkStart w:id="37" w:name="_Toc450304697"/>
      <w:bookmarkStart w:id="38" w:name="_Toc450304718"/>
      <w:bookmarkStart w:id="39" w:name="_Toc450304952"/>
      <w:r w:rsidRPr="004C3641">
        <w:lastRenderedPageBreak/>
        <w:t xml:space="preserve">Issue </w:t>
      </w:r>
      <w:r w:rsidR="005251FA">
        <w:fldChar w:fldCharType="begin"/>
      </w:r>
      <w:r w:rsidR="005251FA">
        <w:instrText xml:space="preserve"> SEQ Issue \* MERGEFORMAT </w:instrText>
      </w:r>
      <w:r w:rsidR="005251FA">
        <w:fldChar w:fldCharType="separate"/>
      </w:r>
      <w:r w:rsidR="000A550E">
        <w:rPr>
          <w:noProof/>
        </w:rPr>
        <w:t>2</w:t>
      </w:r>
      <w:r w:rsidR="005251FA">
        <w:rPr>
          <w:noProof/>
        </w:rPr>
        <w:fldChar w:fldCharType="end"/>
      </w:r>
      <w:r w:rsidRPr="004C3641">
        <w:t>:</w:t>
      </w:r>
      <w:bookmarkEnd w:id="37"/>
      <w:bookmarkEnd w:id="38"/>
      <w:bookmarkEnd w:id="39"/>
      <w:r>
        <w:fldChar w:fldCharType="begin"/>
      </w:r>
      <w:r>
        <w:instrText xml:space="preserve"> TC "</w:instrText>
      </w:r>
      <w:bookmarkStart w:id="40" w:name="_Toc450306830"/>
      <w:bookmarkStart w:id="41" w:name="_Toc450650595"/>
      <w:bookmarkStart w:id="42" w:name="_Toc450652877"/>
      <w:bookmarkStart w:id="43" w:name="_Toc451766965"/>
      <w:r w:rsidR="00374614" w:rsidRPr="007076B8">
        <w:rPr>
          <w:rFonts w:ascii="Times New Roman" w:hAnsi="Times New Roman" w:cs="Times New Roman"/>
          <w:b w:val="0"/>
          <w:i w:val="0"/>
        </w:rPr>
        <w:instrText xml:space="preserve">Issue </w:instrText>
      </w:r>
      <w:r w:rsidRPr="007076B8">
        <w:rPr>
          <w:rFonts w:ascii="Times New Roman" w:hAnsi="Times New Roman" w:cs="Times New Roman"/>
          <w:b w:val="0"/>
          <w:i w:val="0"/>
        </w:rPr>
        <w:fldChar w:fldCharType="begin"/>
      </w:r>
      <w:r w:rsidRPr="007076B8">
        <w:rPr>
          <w:rFonts w:ascii="Times New Roman" w:hAnsi="Times New Roman" w:cs="Times New Roman"/>
          <w:b w:val="0"/>
          <w:i w:val="0"/>
        </w:rPr>
        <w:instrText xml:space="preserve"> SEQ issue \c </w:instrText>
      </w:r>
      <w:r w:rsidRPr="007076B8">
        <w:rPr>
          <w:rFonts w:ascii="Times New Roman" w:hAnsi="Times New Roman" w:cs="Times New Roman"/>
          <w:b w:val="0"/>
          <w:i w:val="0"/>
        </w:rPr>
        <w:fldChar w:fldCharType="separate"/>
      </w:r>
      <w:bookmarkStart w:id="44" w:name="_Toc450304902"/>
      <w:bookmarkStart w:id="45" w:name="_Toc450304953"/>
      <w:bookmarkStart w:id="46" w:name="_Toc450305013"/>
      <w:r w:rsidR="000A550E">
        <w:rPr>
          <w:rFonts w:ascii="Times New Roman" w:hAnsi="Times New Roman" w:cs="Times New Roman"/>
          <w:b w:val="0"/>
          <w:i w:val="0"/>
          <w:noProof/>
        </w:rPr>
        <w:instrText>2</w:instrText>
      </w:r>
      <w:bookmarkEnd w:id="44"/>
      <w:bookmarkEnd w:id="45"/>
      <w:bookmarkEnd w:id="46"/>
      <w:r w:rsidRPr="007076B8">
        <w:rPr>
          <w:rFonts w:ascii="Times New Roman" w:hAnsi="Times New Roman" w:cs="Times New Roman"/>
          <w:b w:val="0"/>
          <w:i w:val="0"/>
        </w:rPr>
        <w:fldChar w:fldCharType="end"/>
      </w:r>
      <w:r w:rsidR="00374614" w:rsidRPr="007076B8">
        <w:rPr>
          <w:rFonts w:ascii="Times New Roman" w:hAnsi="Times New Roman" w:cs="Times New Roman"/>
          <w:b w:val="0"/>
          <w:i w:val="0"/>
        </w:rPr>
        <w:instrText xml:space="preserve"> Used &amp; Useful</w:instrText>
      </w:r>
      <w:bookmarkEnd w:id="40"/>
      <w:bookmarkEnd w:id="41"/>
      <w:bookmarkEnd w:id="42"/>
      <w:bookmarkEnd w:id="43"/>
      <w:r w:rsidR="00374614">
        <w:instrText>”</w:instrText>
      </w:r>
      <w:r>
        <w:instrText xml:space="preserve"> \l 1 </w:instrText>
      </w:r>
      <w:r>
        <w:fldChar w:fldCharType="end"/>
      </w:r>
      <w:r>
        <w:t> </w:t>
      </w:r>
    </w:p>
    <w:p w:rsidR="0086716D" w:rsidRDefault="0086716D">
      <w:pPr>
        <w:pStyle w:val="BodyText"/>
      </w:pPr>
      <w:r>
        <w:t> </w:t>
      </w:r>
      <w:r w:rsidR="00025483">
        <w:t xml:space="preserve">What </w:t>
      </w:r>
      <w:r w:rsidR="008F03B4">
        <w:t>are</w:t>
      </w:r>
      <w:r w:rsidR="00025483">
        <w:t xml:space="preserve"> the used and useful percentage</w:t>
      </w:r>
      <w:r w:rsidR="008F03B4">
        <w:t>s</w:t>
      </w:r>
      <w:r w:rsidR="00025483">
        <w:t xml:space="preserve"> (U&amp;U) of </w:t>
      </w:r>
      <w:r w:rsidR="009B28F6">
        <w:t>Raintree’s</w:t>
      </w:r>
      <w:r w:rsidR="00025483">
        <w:t xml:space="preserve"> water treatment plant and distribution system?</w:t>
      </w:r>
    </w:p>
    <w:p w:rsidR="0086716D" w:rsidRPr="004C3641" w:rsidRDefault="0086716D">
      <w:pPr>
        <w:pStyle w:val="IssueSubsectionHeading"/>
        <w:rPr>
          <w:vanish/>
          <w:specVanish/>
        </w:rPr>
      </w:pPr>
      <w:r w:rsidRPr="004C3641">
        <w:t>Recommendation: </w:t>
      </w:r>
    </w:p>
    <w:p w:rsidR="0086716D" w:rsidRDefault="0086716D">
      <w:pPr>
        <w:pStyle w:val="BodyText"/>
      </w:pPr>
      <w:r>
        <w:t> </w:t>
      </w:r>
      <w:r w:rsidR="00D048CA">
        <w:t>Raintree’s water treatment plant (WTP) and distribution system should be considered 100 percent U&amp;U. Staff recommends that WTP purchased power and chemical expenses should be reduced by 8.5 percent for excessive unaccounted for water (EUW). (</w:t>
      </w:r>
      <w:r w:rsidR="00976C5A">
        <w:t xml:space="preserve">M. </w:t>
      </w:r>
      <w:r w:rsidR="00D048CA">
        <w:t>Watts)</w:t>
      </w:r>
      <w:r>
        <w:t xml:space="preserve"> </w:t>
      </w:r>
    </w:p>
    <w:p w:rsidR="0086716D" w:rsidRPr="004C3641" w:rsidRDefault="0086716D">
      <w:pPr>
        <w:pStyle w:val="IssueSubsectionHeading"/>
        <w:rPr>
          <w:vanish/>
          <w:specVanish/>
        </w:rPr>
      </w:pPr>
      <w:r w:rsidRPr="004C3641">
        <w:t>Staff Analysis: </w:t>
      </w:r>
    </w:p>
    <w:p w:rsidR="0086716D" w:rsidRDefault="0086716D">
      <w:pPr>
        <w:pStyle w:val="BodyText"/>
      </w:pPr>
      <w:r>
        <w:t> </w:t>
      </w:r>
      <w:r w:rsidR="0047761C">
        <w:t xml:space="preserve">Raintree’s water system is served by two 4-inch </w:t>
      </w:r>
      <w:r w:rsidR="008F03B4">
        <w:t xml:space="preserve">wells </w:t>
      </w:r>
      <w:r w:rsidR="0047761C">
        <w:t xml:space="preserve">and one 8-inch diameter well rated at 88, 88, and 90 </w:t>
      </w:r>
      <w:r w:rsidR="00975E2E">
        <w:t>gallons per minute</w:t>
      </w:r>
      <w:r w:rsidR="008F03B4">
        <w:t>,</w:t>
      </w:r>
      <w:r w:rsidR="00976C5A">
        <w:t xml:space="preserve"> respectively</w:t>
      </w:r>
      <w:r w:rsidR="0047761C">
        <w:t>.</w:t>
      </w:r>
      <w:r w:rsidR="004724A0">
        <w:t xml:space="preserve"> </w:t>
      </w:r>
      <w:r w:rsidR="0047761C">
        <w:t>The raw water is treated by reverse osmosis chlorination filtration prior to entering the 3,000-gallon hydropneumatic tank for pressurization, and then pumped into the water distribution system. The Utility is permitted to withdraw an average of 0.062 m</w:t>
      </w:r>
      <w:r w:rsidR="00946004">
        <w:t>illion gallons per day</w:t>
      </w:r>
      <w:r w:rsidR="0047761C">
        <w:t xml:space="preserve"> for the years 2014 through 2028. Analysis of the system indicates there has been no growth of the system in the past five years. Staff notes that Raintree’s water treatment plant and distribution system were deemed 100 percent U&amp;U in the Utility’s previous SARC.</w:t>
      </w:r>
    </w:p>
    <w:p w:rsidR="00BE6CE2" w:rsidRDefault="00BE6CE2" w:rsidP="00BE6CE2">
      <w:pPr>
        <w:autoSpaceDE w:val="0"/>
        <w:autoSpaceDN w:val="0"/>
        <w:adjustRightInd w:val="0"/>
        <w:jc w:val="both"/>
        <w:rPr>
          <w:rFonts w:ascii="Arial" w:hAnsi="Arial" w:cs="Arial"/>
          <w:b/>
        </w:rPr>
      </w:pPr>
      <w:r>
        <w:rPr>
          <w:rFonts w:ascii="Arial" w:hAnsi="Arial" w:cs="Arial"/>
          <w:b/>
        </w:rPr>
        <w:t>Water Treatment Plant and Distribution System Used &amp;</w:t>
      </w:r>
      <w:r w:rsidR="00976C5A">
        <w:rPr>
          <w:rFonts w:ascii="Arial" w:hAnsi="Arial" w:cs="Arial"/>
          <w:b/>
        </w:rPr>
        <w:t xml:space="preserve"> </w:t>
      </w:r>
      <w:r>
        <w:rPr>
          <w:rFonts w:ascii="Arial" w:hAnsi="Arial" w:cs="Arial"/>
          <w:b/>
        </w:rPr>
        <w:t>Useful</w:t>
      </w:r>
    </w:p>
    <w:p w:rsidR="0047761C" w:rsidRDefault="00BE6CE2" w:rsidP="00BE6CE2">
      <w:pPr>
        <w:pStyle w:val="BodyText"/>
      </w:pPr>
      <w:r>
        <w:t>As noted above, the Commission found both the water treatment plant and distribution system to be 100 percent U&amp;U in the prior SARC. There have been no major plant additions or growth in the last five years. Therefore, consistent with the prior Commission decision, the water treatment plant and distribution system should be considered 100 percent U&amp;U.</w:t>
      </w:r>
    </w:p>
    <w:p w:rsidR="003734C8" w:rsidRDefault="003734C8" w:rsidP="00B31FFD">
      <w:pPr>
        <w:ind w:firstLine="720"/>
        <w:jc w:val="both"/>
        <w:rPr>
          <w:rFonts w:ascii="Arial" w:hAnsi="Arial" w:cs="Arial"/>
        </w:rPr>
      </w:pPr>
      <w:r>
        <w:rPr>
          <w:rFonts w:ascii="Arial" w:hAnsi="Arial" w:cs="Arial"/>
          <w:b/>
        </w:rPr>
        <w:t>Excessive Unaccounted for Water</w:t>
      </w:r>
    </w:p>
    <w:p w:rsidR="00B31FFD" w:rsidRDefault="00B31FFD" w:rsidP="00B31FFD">
      <w:pPr>
        <w:pStyle w:val="BodyText"/>
      </w:pPr>
      <w:r>
        <w:t>Pursuant to Rule 25-30.4325, F.A.C., the calculation of U&amp;U for a water treatment plant must consider EUW. Rule 25-30.4325, F.A.C., describes EUW as unaccounted for water in excess of 10 percent of the amount produced. When establishing the Rule, the Commission recognized that some uses of water are readily measurable and others are not.</w:t>
      </w:r>
      <w:r w:rsidR="00F61F80">
        <w:rPr>
          <w:rStyle w:val="FootnoteReference"/>
        </w:rPr>
        <w:footnoteReference w:id="7"/>
      </w:r>
      <w:r>
        <w:t xml:space="preserve"> Unaccounted for water is all water that is produced that is not sold, metered or accounted for in the records of the Utility. The unaccounted for water is calculated by subtracting both the gallons used for other purposes, such as flushing, and the gallons sold to customers from the total gallons pumped for the test year. The Rule additionally provides that to determine whether adjustments to plant and operating expenses, such as purchased electrical power and chemicals cost, are necessary, the Commission will consider all relevant factors as to the reason for EUW, solutions implemented to correct the problem, or whether a proposed solution is economically feasible.</w:t>
      </w:r>
    </w:p>
    <w:p w:rsidR="003734C8" w:rsidRDefault="00B31FFD" w:rsidP="00B31FFD">
      <w:pPr>
        <w:pStyle w:val="BodyText"/>
      </w:pPr>
      <w:r>
        <w:t>While reviewing the Utility’s filing, staff noted that Raintree reported that it sold more water in June and July of 2015 than it produced. Staff requested clarification of this data, and the Utility reported that Well #3</w:t>
      </w:r>
      <w:r w:rsidR="00976C5A">
        <w:t>’s</w:t>
      </w:r>
      <w:r>
        <w:t xml:space="preserve"> flow meter had been inoperable for several months, and during that time the flows from that well were estimated. The Utility attached an invoice showing that the flow </w:t>
      </w:r>
      <w:r>
        <w:lastRenderedPageBreak/>
        <w:t>meter was replaced on November 18, 2015, and requested it be included as pro forma in the instant docket. Staff agrees that the flow meter repair is necessary and should be included as pro forma as requested.</w:t>
      </w:r>
    </w:p>
    <w:p w:rsidR="00BE6CE2" w:rsidRDefault="003734C8" w:rsidP="003734C8">
      <w:pPr>
        <w:pStyle w:val="BodyText"/>
      </w:pPr>
      <w:r>
        <w:t>Since the actual amount of water produced by Well #3 during June and July of 2015 cannot be determined, staff excluded those months from its EUW calculations. Therefore, based on the ten-month period during the test</w:t>
      </w:r>
      <w:r w:rsidR="00475E0C">
        <w:t xml:space="preserve"> </w:t>
      </w:r>
      <w:r>
        <w:t>year of August 1, 2014, to May 31, 2015, the Utility’s Monthly Operating Reports filed with DEP indicate that it treated 13,035,970 gallons. The Utility sold 10,140,000 gallons of water for the stated ten-month period. The Utility reported that it used 488,349 gallons for other uses. Adding the water sold to the water used for other uses, and subtracting the sum from the amount produced yields an unaccounted for water total of 2,407,621 gallons, or 18.5 percent, yielding an EUW of 8.5 percent. Therefore, staff recommends that an 8.5 percent adjustment be made to operating expenses for chemicals and purchased power due to EUW.</w:t>
      </w:r>
    </w:p>
    <w:p w:rsidR="001E42F7" w:rsidRDefault="001E42F7" w:rsidP="001E42F7">
      <w:pPr>
        <w:jc w:val="both"/>
        <w:rPr>
          <w:rFonts w:ascii="Arial" w:hAnsi="Arial" w:cs="Arial"/>
          <w:b/>
          <w:color w:val="000000"/>
        </w:rPr>
      </w:pPr>
      <w:r>
        <w:rPr>
          <w:rFonts w:ascii="Arial" w:hAnsi="Arial" w:cs="Arial"/>
          <w:b/>
          <w:color w:val="000000"/>
        </w:rPr>
        <w:t>Conclusion</w:t>
      </w:r>
    </w:p>
    <w:p w:rsidR="003734C8" w:rsidRDefault="00AD6FE8" w:rsidP="001E42F7">
      <w:pPr>
        <w:pStyle w:val="BodyText"/>
      </w:pPr>
      <w:r>
        <w:t>Raintree’s WTP and distribution system should be considered 100 percent U&amp;U. Staff recommends that WTP purchased power and chemical expenses should be reduced by 8.5 percent for EUW.</w:t>
      </w:r>
    </w:p>
    <w:p w:rsidR="00BE6CE2" w:rsidRDefault="00BE6CE2" w:rsidP="00BE6CE2">
      <w:pPr>
        <w:pStyle w:val="BodyText"/>
      </w:pPr>
    </w:p>
    <w:p w:rsidR="0086716D" w:rsidRDefault="0086716D" w:rsidP="00EC4277">
      <w:pPr>
        <w:pStyle w:val="IssueHeading"/>
      </w:pPr>
      <w:r w:rsidRPr="004C3641">
        <w:rPr>
          <w:b w:val="0"/>
          <w:i w:val="0"/>
        </w:rPr>
        <w:br w:type="page"/>
      </w:r>
      <w:bookmarkStart w:id="47" w:name="_Toc450304698"/>
      <w:bookmarkStart w:id="48" w:name="_Toc450304719"/>
      <w:bookmarkStart w:id="49" w:name="_Toc450304954"/>
      <w:r w:rsidRPr="004C3641">
        <w:lastRenderedPageBreak/>
        <w:t xml:space="preserve">Issue </w:t>
      </w:r>
      <w:r w:rsidR="005251FA">
        <w:fldChar w:fldCharType="begin"/>
      </w:r>
      <w:r w:rsidR="005251FA">
        <w:instrText xml:space="preserve"> SEQ Issue \* MERGEFORMAT </w:instrText>
      </w:r>
      <w:r w:rsidR="005251FA">
        <w:fldChar w:fldCharType="separate"/>
      </w:r>
      <w:r w:rsidR="000A550E">
        <w:rPr>
          <w:noProof/>
        </w:rPr>
        <w:t>3</w:t>
      </w:r>
      <w:r w:rsidR="005251FA">
        <w:rPr>
          <w:noProof/>
        </w:rPr>
        <w:fldChar w:fldCharType="end"/>
      </w:r>
      <w:r w:rsidRPr="004C3641">
        <w:t>:</w:t>
      </w:r>
      <w:bookmarkEnd w:id="47"/>
      <w:bookmarkEnd w:id="48"/>
      <w:bookmarkEnd w:id="49"/>
      <w:r>
        <w:fldChar w:fldCharType="begin"/>
      </w:r>
      <w:r>
        <w:instrText xml:space="preserve"> TC "</w:instrText>
      </w:r>
      <w:bookmarkStart w:id="50" w:name="_Toc450306831"/>
      <w:bookmarkStart w:id="51" w:name="_Toc450650596"/>
      <w:bookmarkStart w:id="52" w:name="_Toc450652878"/>
      <w:bookmarkStart w:id="53" w:name="_Toc451766966"/>
      <w:r w:rsidR="00374614" w:rsidRPr="007076B8">
        <w:rPr>
          <w:rFonts w:ascii="Times New Roman" w:hAnsi="Times New Roman" w:cs="Times New Roman"/>
          <w:b w:val="0"/>
          <w:i w:val="0"/>
        </w:rPr>
        <w:instrText xml:space="preserve">Issue </w:instrText>
      </w:r>
      <w:r w:rsidRPr="007076B8">
        <w:rPr>
          <w:rFonts w:ascii="Times New Roman" w:hAnsi="Times New Roman" w:cs="Times New Roman"/>
          <w:b w:val="0"/>
          <w:i w:val="0"/>
        </w:rPr>
        <w:fldChar w:fldCharType="begin"/>
      </w:r>
      <w:r w:rsidRPr="007076B8">
        <w:rPr>
          <w:rFonts w:ascii="Times New Roman" w:hAnsi="Times New Roman" w:cs="Times New Roman"/>
          <w:b w:val="0"/>
          <w:i w:val="0"/>
        </w:rPr>
        <w:instrText xml:space="preserve"> SEQ issue \c </w:instrText>
      </w:r>
      <w:r w:rsidRPr="007076B8">
        <w:rPr>
          <w:rFonts w:ascii="Times New Roman" w:hAnsi="Times New Roman" w:cs="Times New Roman"/>
          <w:b w:val="0"/>
          <w:i w:val="0"/>
        </w:rPr>
        <w:fldChar w:fldCharType="separate"/>
      </w:r>
      <w:bookmarkStart w:id="54" w:name="_Toc450304903"/>
      <w:bookmarkStart w:id="55" w:name="_Toc450304955"/>
      <w:bookmarkStart w:id="56" w:name="_Toc450305014"/>
      <w:r w:rsidR="000A550E">
        <w:rPr>
          <w:rFonts w:ascii="Times New Roman" w:hAnsi="Times New Roman" w:cs="Times New Roman"/>
          <w:b w:val="0"/>
          <w:i w:val="0"/>
          <w:noProof/>
        </w:rPr>
        <w:instrText>3</w:instrText>
      </w:r>
      <w:bookmarkEnd w:id="54"/>
      <w:bookmarkEnd w:id="55"/>
      <w:bookmarkEnd w:id="56"/>
      <w:r w:rsidRPr="007076B8">
        <w:rPr>
          <w:rFonts w:ascii="Times New Roman" w:hAnsi="Times New Roman" w:cs="Times New Roman"/>
          <w:b w:val="0"/>
          <w:i w:val="0"/>
        </w:rPr>
        <w:fldChar w:fldCharType="end"/>
      </w:r>
      <w:r w:rsidR="00374614" w:rsidRPr="007076B8">
        <w:rPr>
          <w:rFonts w:ascii="Times New Roman" w:hAnsi="Times New Roman" w:cs="Times New Roman"/>
          <w:b w:val="0"/>
          <w:i w:val="0"/>
        </w:rPr>
        <w:instrText xml:space="preserve"> </w:instrText>
      </w:r>
      <w:bookmarkEnd w:id="50"/>
      <w:bookmarkEnd w:id="51"/>
      <w:r w:rsidR="009D0579" w:rsidRPr="007076B8">
        <w:rPr>
          <w:rFonts w:ascii="Times New Roman" w:hAnsi="Times New Roman" w:cs="Times New Roman"/>
          <w:b w:val="0"/>
          <w:i w:val="0"/>
        </w:rPr>
        <w:instrText>Average Test Year Rate Base</w:instrText>
      </w:r>
      <w:bookmarkEnd w:id="52"/>
      <w:bookmarkEnd w:id="53"/>
      <w:r>
        <w:instrText xml:space="preserve">" \l 1 </w:instrText>
      </w:r>
      <w:r>
        <w:fldChar w:fldCharType="end"/>
      </w:r>
      <w:r>
        <w:t> </w:t>
      </w:r>
      <w:r w:rsidR="00B32CD9" w:rsidRPr="00B32CD9">
        <w:rPr>
          <w:rFonts w:ascii="Times New Roman" w:hAnsi="Times New Roman" w:cs="Times New Roman"/>
          <w:b w:val="0"/>
          <w:bCs w:val="0"/>
          <w:i w:val="0"/>
          <w:kern w:val="0"/>
          <w:szCs w:val="24"/>
        </w:rPr>
        <w:t>What is the appropriate average test year rate base for Raintree?</w:t>
      </w:r>
    </w:p>
    <w:p w:rsidR="0086716D" w:rsidRPr="004C3641" w:rsidRDefault="0086716D">
      <w:pPr>
        <w:pStyle w:val="IssueSubsectionHeading"/>
        <w:rPr>
          <w:vanish/>
          <w:specVanish/>
        </w:rPr>
      </w:pPr>
      <w:r w:rsidRPr="004C3641">
        <w:t>Recommendation: </w:t>
      </w:r>
    </w:p>
    <w:p w:rsidR="0086716D" w:rsidRDefault="0086716D">
      <w:pPr>
        <w:pStyle w:val="BodyText"/>
      </w:pPr>
      <w:r>
        <w:t> </w:t>
      </w:r>
      <w:r w:rsidR="00ED1C6F">
        <w:t>The appropriate average test year rate base for Raintree is $51,282. (Golden)</w:t>
      </w:r>
      <w:r>
        <w:t xml:space="preserve"> </w:t>
      </w:r>
    </w:p>
    <w:p w:rsidR="0086716D" w:rsidRPr="004C3641" w:rsidRDefault="0086716D">
      <w:pPr>
        <w:pStyle w:val="IssueSubsectionHeading"/>
        <w:rPr>
          <w:vanish/>
          <w:specVanish/>
        </w:rPr>
      </w:pPr>
      <w:r w:rsidRPr="004C3641">
        <w:t>Staff Analysis: </w:t>
      </w:r>
    </w:p>
    <w:p w:rsidR="00B3069B" w:rsidRDefault="0086716D" w:rsidP="00B3069B">
      <w:pPr>
        <w:pStyle w:val="BodyText"/>
      </w:pPr>
      <w:r>
        <w:t> </w:t>
      </w:r>
      <w:r w:rsidR="00B3069B">
        <w:t>The appropriate components of the Utility’s rate base include utility plant in service, land, contributions-in-aid-of-construction (CIAC), accumulated depreciation, amortization of CIAC, and working capital. Raintree’s net book value was last determined by Order No. PSC-14-0692-PAA-WU in a 2014 certificate transfer docket.</w:t>
      </w:r>
      <w:r w:rsidR="00B3069B">
        <w:rPr>
          <w:vertAlign w:val="superscript"/>
        </w:rPr>
        <w:footnoteReference w:id="8"/>
      </w:r>
      <w:r w:rsidR="00B3069B">
        <w:t xml:space="preserve"> Rate base was last established in the Utility’s last SARC in 2008.</w:t>
      </w:r>
      <w:r w:rsidR="00B3069B">
        <w:rPr>
          <w:rStyle w:val="FootnoteReference"/>
        </w:rPr>
        <w:footnoteReference w:id="9"/>
      </w:r>
      <w:r w:rsidR="00B3069B">
        <w:t xml:space="preserve"> Staff selected the test year ending July 31, 2015, for the instant case. Commission audit staff determined that the Utility’s books and records are in compliance with the National Association of Regulatory Utility Commissioners’ Uniform System of Accounts (NARUC USOA). A summary of each component of rate base and the recommended adjustments are discussed below.</w:t>
      </w:r>
    </w:p>
    <w:p w:rsidR="00B3069B" w:rsidRDefault="00B3069B" w:rsidP="00B3069B">
      <w:pPr>
        <w:pStyle w:val="Second-LevelSubheading"/>
        <w:ind w:left="0"/>
        <w:rPr>
          <w:i w:val="0"/>
        </w:rPr>
      </w:pPr>
      <w:r>
        <w:rPr>
          <w:i w:val="0"/>
        </w:rPr>
        <w:t>Utility Plant in Service (UPIS)</w:t>
      </w:r>
    </w:p>
    <w:p w:rsidR="00B3069B" w:rsidRDefault="00B3069B" w:rsidP="00B3069B">
      <w:pPr>
        <w:pStyle w:val="BodyText"/>
      </w:pPr>
      <w:r>
        <w:t xml:space="preserve">The Utility recorded $252,519 in UPIS. Staff decreased UPIS by $750 to reclassify Raintree’s 2014 certificate transfer application filing fee from plant Account No. 302 – Franchises to expense Account No. 665 – Regulatory Commission Expense. Although the NARUC USOA allows the filing fee to be recorded as either a plant or expense item, current Commission practice is to record this type of filing fee as a non-recurring expense. This enables the Utility to recover the filing fee over 5 years, rather than 40 years associated with plant Account No. 302. This approach is particularly helpful to Class C utilities which often operate with limited cash resources. The exception is that the filing fee for an original certificate application for a utility that has not been built yet will typically be recorded to plant Account No. 301 – Organization as part of the cost to establish a new utility. </w:t>
      </w:r>
    </w:p>
    <w:p w:rsidR="00B3069B" w:rsidRDefault="00B3069B" w:rsidP="00B3069B">
      <w:pPr>
        <w:pStyle w:val="BodyText"/>
        <w:rPr>
          <w:rFonts w:ascii="Arial" w:hAnsi="Arial" w:cs="Arial"/>
          <w:b/>
          <w:bCs/>
          <w:iCs/>
          <w:szCs w:val="28"/>
        </w:rPr>
      </w:pPr>
      <w:r>
        <w:t>As discussed in Issue 2, the Utility replaced an inoperable flow meter subsequent to the test year. In its response to Staff’s First Data Request, the Utility requested recovery of the repair as a pro forma plant item and provided supporting documentation.</w:t>
      </w:r>
      <w:r>
        <w:rPr>
          <w:rStyle w:val="FootnoteReference"/>
        </w:rPr>
        <w:footnoteReference w:id="10"/>
      </w:r>
      <w:r>
        <w:t xml:space="preserve"> Based on engineering staff’s review, staff increased UPIS by $929 to reflect the pro forma replacement of the</w:t>
      </w:r>
      <w:r w:rsidR="00C10247">
        <w:t xml:space="preserve"> new</w:t>
      </w:r>
      <w:r>
        <w:t xml:space="preserve"> flow meter. It is Commission practice to use 75 percent of the cost of the replacement as the retirement value when the original cost or original in-service date is not known. Accordingly, staff decreased this account by $697 ($929 x .75 = $697) to reflect the plant retirement associated with the flow meter replacement. According to Raintree’s 2015 Annual Report, the Utility also recorded this replacement using a 75 percent retirement value. No plant additions were made during the test year, therefore, no averaging adjustment is necessary for ratemaking purposes. Staff’s net adjustment to UPIS is a decrease of $518. Therefore, staff recommends a UPIS balance of $252,001.</w:t>
      </w:r>
    </w:p>
    <w:p w:rsidR="00B3069B" w:rsidRDefault="00B3069B" w:rsidP="00B3069B">
      <w:pPr>
        <w:rPr>
          <w:rFonts w:ascii="Arial" w:hAnsi="Arial" w:cs="Arial"/>
          <w:b/>
          <w:bCs/>
          <w:iCs/>
          <w:szCs w:val="28"/>
        </w:rPr>
      </w:pPr>
      <w:r>
        <w:rPr>
          <w:i/>
        </w:rPr>
        <w:br w:type="page"/>
      </w:r>
    </w:p>
    <w:p w:rsidR="00B3069B" w:rsidRDefault="00B3069B" w:rsidP="00B3069B">
      <w:pPr>
        <w:pStyle w:val="Second-LevelSubheading"/>
        <w:ind w:left="0"/>
        <w:rPr>
          <w:i w:val="0"/>
        </w:rPr>
      </w:pPr>
      <w:r>
        <w:rPr>
          <w:i w:val="0"/>
        </w:rPr>
        <w:lastRenderedPageBreak/>
        <w:t>Land and Land Rights</w:t>
      </w:r>
    </w:p>
    <w:p w:rsidR="00B3069B" w:rsidRDefault="00B3069B" w:rsidP="00B3069B">
      <w:pPr>
        <w:pStyle w:val="BodyText"/>
      </w:pPr>
      <w:r>
        <w:t>The Commission approved a land balance of $5,740 in the Utility’s 2014 transfer docket. Audit staff determined that there has been no subsequent activity related to land, therefore, no adjustments are necessary. Staff recommends a land and land rights balance of $5,740.</w:t>
      </w:r>
    </w:p>
    <w:p w:rsidR="00B3069B" w:rsidRDefault="00B3069B" w:rsidP="00B3069B">
      <w:pPr>
        <w:pStyle w:val="Second-LevelSubheading"/>
        <w:ind w:left="0"/>
        <w:rPr>
          <w:i w:val="0"/>
        </w:rPr>
      </w:pPr>
      <w:r>
        <w:rPr>
          <w:i w:val="0"/>
        </w:rPr>
        <w:t>Non-Used and Useful Plant</w:t>
      </w:r>
    </w:p>
    <w:p w:rsidR="00B3069B" w:rsidRDefault="00B3069B" w:rsidP="00B3069B">
      <w:pPr>
        <w:pStyle w:val="BodyText"/>
      </w:pPr>
      <w:r>
        <w:t>As discussed in Issue 2, Raintree’s water treatment plant and distribution system are considered 100 percent U&amp;U. Therefore, a U&amp;U adjustment is not necessary.</w:t>
      </w:r>
    </w:p>
    <w:p w:rsidR="00B3069B" w:rsidRDefault="00B3069B" w:rsidP="00B3069B">
      <w:pPr>
        <w:pStyle w:val="Second-LevelSubheading"/>
        <w:ind w:left="0"/>
        <w:rPr>
          <w:i w:val="0"/>
        </w:rPr>
      </w:pPr>
      <w:r>
        <w:rPr>
          <w:i w:val="0"/>
        </w:rPr>
        <w:t>Cont</w:t>
      </w:r>
      <w:r w:rsidR="008F03B4">
        <w:rPr>
          <w:i w:val="0"/>
        </w:rPr>
        <w:t>ribution in Aid of Construction</w:t>
      </w:r>
    </w:p>
    <w:p w:rsidR="00B3069B" w:rsidRDefault="00B3069B" w:rsidP="00B3069B">
      <w:pPr>
        <w:pStyle w:val="BodyText"/>
      </w:pPr>
      <w:r>
        <w:t>The Commission approved a CIAC balance of $29,750 in the Utility’s 2014 transfer docket. Audit staff determined there has been no subsequent activity related to CIAC, therefore, no adjustments are necessary. Staff recommends a CIAC balance of $29,750.</w:t>
      </w:r>
    </w:p>
    <w:p w:rsidR="00B3069B" w:rsidRDefault="00B3069B" w:rsidP="00B3069B">
      <w:pPr>
        <w:pStyle w:val="Second-LevelSubheading"/>
        <w:ind w:left="0"/>
        <w:rPr>
          <w:i w:val="0"/>
        </w:rPr>
      </w:pPr>
      <w:r>
        <w:rPr>
          <w:i w:val="0"/>
        </w:rPr>
        <w:t>Accumulated Depreciation</w:t>
      </w:r>
    </w:p>
    <w:p w:rsidR="00B3069B" w:rsidRDefault="00B3069B" w:rsidP="00B3069B">
      <w:pPr>
        <w:pStyle w:val="BodyText"/>
      </w:pPr>
      <w:r>
        <w:t>The Utility recorded $201,496 in accumulated depreciation. Staff calculated accumulated depreciation using the prescribed rates set forth in Rule 25-30.140,</w:t>
      </w:r>
      <w:r w:rsidR="00A848EF">
        <w:t xml:space="preserve"> </w:t>
      </w:r>
      <w:r>
        <w:t xml:space="preserve">F.A.C. Staff’s calculation includes a $22 decrease to remove the accumulated depreciation associated with the $750 filing fee reclassification discussed above. However, that decrease is offset by a total of $22 in minor increases to four other accounts, resulting in no change to total accumulated depreciation for the test year. Consequently, no adjustments are needed to correct the test year balance for rate setting purposes. As will be discussed further in Issue 12, staff’s adjusted account balances for the test year are reflected on </w:t>
      </w:r>
      <w:r w:rsidR="00DD6C18">
        <w:t xml:space="preserve">Schedule No. 5 </w:t>
      </w:r>
      <w:r>
        <w:t>to assist the Utility with adjusting its books and records.</w:t>
      </w:r>
    </w:p>
    <w:p w:rsidR="00B3069B" w:rsidRDefault="00B3069B" w:rsidP="00B3069B">
      <w:pPr>
        <w:pStyle w:val="BodyText"/>
      </w:pPr>
      <w:r>
        <w:t>In addition, staff recommends two pro forma adjustments associated with the flow meter replacement discussed above. Staff decreased this account by $697 to remove the accumulated depreciation associated with the retired flow meter. Staff also increased this account by $7 to reflect the minor incremental increase in accumulated depreciation associated with the new flow meter. Finally, staff decreased the test year total accumulated depreciation by $5,419 to reflect an averaging adjustment. Staff’s net adjustment to this account is a decrease of $6,109. Therefore, staff recommends an accumulated depreciation balance of $195,387.</w:t>
      </w:r>
    </w:p>
    <w:p w:rsidR="00B3069B" w:rsidRDefault="00B3069B" w:rsidP="00B3069B">
      <w:pPr>
        <w:pStyle w:val="Second-LevelSubheading"/>
        <w:ind w:left="0"/>
        <w:rPr>
          <w:i w:val="0"/>
        </w:rPr>
      </w:pPr>
      <w:r>
        <w:rPr>
          <w:i w:val="0"/>
        </w:rPr>
        <w:t>Accumulated Amortization of CIAC</w:t>
      </w:r>
    </w:p>
    <w:p w:rsidR="00B3069B" w:rsidRDefault="00B3069B" w:rsidP="00B3069B">
      <w:pPr>
        <w:pStyle w:val="BodyText"/>
      </w:pPr>
      <w:r>
        <w:t>Raintree recorded an amortization of CIAC balance of $15,143. Staff calculated amortization of CIAC using composite depreciation rates, and determined that no adjustments are necessary. Staff decreased this account by $640 to reflect an averaging adjustment. Staff recommends an accumulated amortization of CIAC balance of $14,503.</w:t>
      </w:r>
    </w:p>
    <w:p w:rsidR="00B3069B" w:rsidRDefault="00B3069B" w:rsidP="00B3069B">
      <w:pPr>
        <w:pStyle w:val="Second-LevelSubheading"/>
        <w:ind w:left="0"/>
        <w:rPr>
          <w:i w:val="0"/>
        </w:rPr>
      </w:pPr>
      <w:r>
        <w:rPr>
          <w:i w:val="0"/>
        </w:rPr>
        <w:t>Working Capital Allowance</w:t>
      </w:r>
    </w:p>
    <w:p w:rsidR="00B3069B" w:rsidRDefault="00B3069B" w:rsidP="00B3069B">
      <w:pPr>
        <w:pStyle w:val="BodyText"/>
      </w:pPr>
      <w:r>
        <w:t>Working capital is defined as the investor-supplied funds that are necessary to meet operating expenses of the utility. Consistent with Rule 25-30.433(2), F.A.C., staff used the one-eighth of the operation and maintenance (O&amp;M) expense formula approach for calculating the working capital allowance. Applying this formula, staff recommends a working capital allowance of $4,175 (based on O&amp;M expense of $33,402/8).</w:t>
      </w:r>
    </w:p>
    <w:p w:rsidR="00B3069B" w:rsidRDefault="00B3069B" w:rsidP="00B3069B">
      <w:pPr>
        <w:rPr>
          <w:rFonts w:ascii="Arial" w:hAnsi="Arial" w:cs="Arial"/>
          <w:b/>
          <w:bCs/>
          <w:iCs/>
          <w:szCs w:val="28"/>
        </w:rPr>
      </w:pPr>
      <w:r>
        <w:rPr>
          <w:i/>
        </w:rPr>
        <w:br w:type="page"/>
      </w:r>
    </w:p>
    <w:p w:rsidR="00B3069B" w:rsidRDefault="00B3069B" w:rsidP="00B3069B">
      <w:pPr>
        <w:pStyle w:val="Second-LevelSubheading"/>
        <w:ind w:left="0"/>
        <w:rPr>
          <w:i w:val="0"/>
        </w:rPr>
      </w:pPr>
      <w:r>
        <w:rPr>
          <w:i w:val="0"/>
        </w:rPr>
        <w:lastRenderedPageBreak/>
        <w:t>Rate Base Summary</w:t>
      </w:r>
    </w:p>
    <w:p w:rsidR="00B3069B" w:rsidRDefault="00B3069B" w:rsidP="00037E16">
      <w:pPr>
        <w:jc w:val="both"/>
      </w:pPr>
      <w:r>
        <w:t xml:space="preserve">Based on the foregoing, staff recommends that the appropriate average test year rate base is $51,282. Rate base is shown on Schedule No. 1-A. The related adjustments are shown on Schedule No. 1-B. </w:t>
      </w:r>
    </w:p>
    <w:p w:rsidR="0086716D" w:rsidRDefault="0086716D">
      <w:pPr>
        <w:pStyle w:val="BodyText"/>
      </w:pPr>
    </w:p>
    <w:p w:rsidR="0086716D" w:rsidRDefault="0086716D" w:rsidP="00B32CD9">
      <w:pPr>
        <w:pStyle w:val="BodyText"/>
        <w:rPr>
          <w:vanish/>
          <w:specVanish/>
        </w:rPr>
      </w:pPr>
      <w:r w:rsidRPr="004C3641">
        <w:br w:type="page"/>
      </w:r>
      <w:bookmarkStart w:id="57" w:name="_Toc450304699"/>
      <w:bookmarkStart w:id="58" w:name="_Toc450304720"/>
      <w:bookmarkStart w:id="59" w:name="_Toc450304956"/>
      <w:r w:rsidRPr="00D63624">
        <w:rPr>
          <w:rFonts w:ascii="Arial" w:hAnsi="Arial" w:cs="Arial"/>
          <w:b/>
          <w:bCs/>
          <w:i/>
          <w:iCs/>
          <w:szCs w:val="28"/>
        </w:rPr>
        <w:lastRenderedPageBreak/>
        <w:t xml:space="preserve">Issue </w:t>
      </w:r>
      <w:r w:rsidR="00D63624" w:rsidRPr="00D63624">
        <w:rPr>
          <w:rFonts w:ascii="Arial" w:hAnsi="Arial" w:cs="Arial"/>
          <w:b/>
          <w:bCs/>
          <w:i/>
          <w:iCs/>
          <w:szCs w:val="28"/>
        </w:rPr>
        <w:fldChar w:fldCharType="begin"/>
      </w:r>
      <w:r w:rsidR="00D63624" w:rsidRPr="00D63624">
        <w:rPr>
          <w:rFonts w:ascii="Arial" w:hAnsi="Arial" w:cs="Arial"/>
          <w:b/>
          <w:bCs/>
          <w:i/>
          <w:iCs/>
          <w:szCs w:val="28"/>
        </w:rPr>
        <w:instrText xml:space="preserve"> SEQ Issue \* MERGEFORMAT </w:instrText>
      </w:r>
      <w:r w:rsidR="00D63624" w:rsidRPr="00D63624">
        <w:rPr>
          <w:rFonts w:ascii="Arial" w:hAnsi="Arial" w:cs="Arial"/>
          <w:b/>
          <w:bCs/>
          <w:i/>
          <w:iCs/>
          <w:szCs w:val="28"/>
        </w:rPr>
        <w:fldChar w:fldCharType="separate"/>
      </w:r>
      <w:r w:rsidR="000A550E">
        <w:rPr>
          <w:rFonts w:ascii="Arial" w:hAnsi="Arial" w:cs="Arial"/>
          <w:b/>
          <w:bCs/>
          <w:i/>
          <w:iCs/>
          <w:noProof/>
          <w:szCs w:val="28"/>
        </w:rPr>
        <w:t>4</w:t>
      </w:r>
      <w:r w:rsidR="00D63624" w:rsidRPr="00D63624">
        <w:rPr>
          <w:rFonts w:ascii="Arial" w:hAnsi="Arial" w:cs="Arial"/>
          <w:b/>
          <w:bCs/>
          <w:i/>
          <w:iCs/>
          <w:szCs w:val="28"/>
        </w:rPr>
        <w:fldChar w:fldCharType="end"/>
      </w:r>
      <w:r w:rsidRPr="00D63624">
        <w:rPr>
          <w:rFonts w:ascii="Arial" w:hAnsi="Arial" w:cs="Arial"/>
          <w:b/>
          <w:bCs/>
          <w:i/>
          <w:iCs/>
          <w:szCs w:val="28"/>
        </w:rPr>
        <w:t>:</w:t>
      </w:r>
      <w:bookmarkEnd w:id="57"/>
      <w:bookmarkEnd w:id="58"/>
      <w:bookmarkEnd w:id="59"/>
      <w:r w:rsidRPr="00D63624">
        <w:rPr>
          <w:rFonts w:ascii="Arial" w:hAnsi="Arial" w:cs="Arial"/>
          <w:b/>
          <w:bCs/>
          <w:i/>
          <w:iCs/>
          <w:szCs w:val="28"/>
        </w:rPr>
        <w:fldChar w:fldCharType="begin"/>
      </w:r>
      <w:r w:rsidRPr="00D63624">
        <w:rPr>
          <w:rFonts w:ascii="Arial" w:hAnsi="Arial" w:cs="Arial"/>
          <w:b/>
          <w:bCs/>
          <w:i/>
          <w:iCs/>
          <w:szCs w:val="28"/>
        </w:rPr>
        <w:instrText xml:space="preserve"> TC "</w:instrText>
      </w:r>
      <w:bookmarkStart w:id="60" w:name="_Toc450306832"/>
      <w:bookmarkStart w:id="61" w:name="_Toc450650597"/>
      <w:bookmarkStart w:id="62" w:name="_Toc450652879"/>
      <w:bookmarkStart w:id="63" w:name="_Toc451766967"/>
      <w:r w:rsidR="00374614" w:rsidRPr="007076B8">
        <w:rPr>
          <w:bCs/>
          <w:iCs/>
          <w:szCs w:val="28"/>
        </w:rPr>
        <w:instrText xml:space="preserve">Issue </w:instrText>
      </w:r>
      <w:r w:rsidRPr="007076B8">
        <w:rPr>
          <w:bCs/>
          <w:iCs/>
          <w:szCs w:val="28"/>
        </w:rPr>
        <w:fldChar w:fldCharType="begin"/>
      </w:r>
      <w:r w:rsidRPr="007076B8">
        <w:rPr>
          <w:bCs/>
          <w:iCs/>
          <w:szCs w:val="28"/>
        </w:rPr>
        <w:instrText xml:space="preserve"> SEQ issue \c </w:instrText>
      </w:r>
      <w:r w:rsidRPr="007076B8">
        <w:rPr>
          <w:bCs/>
          <w:iCs/>
          <w:szCs w:val="28"/>
        </w:rPr>
        <w:fldChar w:fldCharType="separate"/>
      </w:r>
      <w:bookmarkStart w:id="64" w:name="_Toc450304904"/>
      <w:bookmarkStart w:id="65" w:name="_Toc450304957"/>
      <w:bookmarkStart w:id="66" w:name="_Toc450305015"/>
      <w:r w:rsidR="000A550E">
        <w:rPr>
          <w:bCs/>
          <w:iCs/>
          <w:noProof/>
          <w:szCs w:val="28"/>
        </w:rPr>
        <w:instrText>4</w:instrText>
      </w:r>
      <w:bookmarkEnd w:id="64"/>
      <w:bookmarkEnd w:id="65"/>
      <w:bookmarkEnd w:id="66"/>
      <w:r w:rsidRPr="007076B8">
        <w:rPr>
          <w:bCs/>
          <w:iCs/>
          <w:szCs w:val="28"/>
        </w:rPr>
        <w:fldChar w:fldCharType="end"/>
      </w:r>
      <w:r w:rsidR="00374614" w:rsidRPr="007076B8">
        <w:rPr>
          <w:bCs/>
          <w:iCs/>
          <w:szCs w:val="28"/>
        </w:rPr>
        <w:instrText xml:space="preserve"> </w:instrText>
      </w:r>
      <w:bookmarkEnd w:id="60"/>
      <w:bookmarkEnd w:id="61"/>
      <w:r w:rsidR="009D0579" w:rsidRPr="007076B8">
        <w:rPr>
          <w:bCs/>
          <w:iCs/>
          <w:szCs w:val="28"/>
        </w:rPr>
        <w:instrText>Rate of Return</w:instrText>
      </w:r>
      <w:bookmarkEnd w:id="62"/>
      <w:bookmarkEnd w:id="63"/>
      <w:r w:rsidRPr="00D63624">
        <w:rPr>
          <w:rFonts w:ascii="Arial" w:hAnsi="Arial" w:cs="Arial"/>
          <w:b/>
          <w:bCs/>
          <w:i/>
          <w:iCs/>
          <w:szCs w:val="28"/>
        </w:rPr>
        <w:instrText xml:space="preserve">" \l 1 </w:instrText>
      </w:r>
      <w:r w:rsidRPr="00D63624">
        <w:rPr>
          <w:rFonts w:ascii="Arial" w:hAnsi="Arial" w:cs="Arial"/>
          <w:b/>
          <w:bCs/>
          <w:i/>
          <w:iCs/>
          <w:szCs w:val="28"/>
        </w:rPr>
        <w:fldChar w:fldCharType="end"/>
      </w:r>
      <w:r w:rsidRPr="00D63624">
        <w:rPr>
          <w:rFonts w:ascii="Arial" w:hAnsi="Arial" w:cs="Arial"/>
          <w:b/>
          <w:bCs/>
          <w:i/>
          <w:iCs/>
          <w:szCs w:val="28"/>
        </w:rPr>
        <w:t> </w:t>
      </w:r>
    </w:p>
    <w:p w:rsidR="0086716D" w:rsidRDefault="0086716D">
      <w:pPr>
        <w:pStyle w:val="BodyText"/>
      </w:pPr>
      <w:r>
        <w:t> </w:t>
      </w:r>
      <w:r w:rsidR="001A6C1F">
        <w:t> </w:t>
      </w:r>
      <w:r w:rsidR="00946065">
        <w:t>What is the appropriate rate of return on equity and overall rate of return for Raintree?</w:t>
      </w:r>
    </w:p>
    <w:p w:rsidR="0086716D" w:rsidRPr="004C3641" w:rsidRDefault="0086716D">
      <w:pPr>
        <w:pStyle w:val="IssueSubsectionHeading"/>
        <w:rPr>
          <w:vanish/>
          <w:specVanish/>
        </w:rPr>
      </w:pPr>
      <w:r w:rsidRPr="004C3641">
        <w:t>Recommendation: </w:t>
      </w:r>
    </w:p>
    <w:p w:rsidR="0086716D" w:rsidRDefault="0086716D">
      <w:pPr>
        <w:pStyle w:val="BodyText"/>
      </w:pPr>
      <w:r>
        <w:t> </w:t>
      </w:r>
      <w:r w:rsidR="00B54795">
        <w:t>The appropriate return on equity (ROE) is 8.74 percent with a range of 7.74 percent to 9.74 percent. The appropriate overall rate of return is 8.74 percent. (Golden)</w:t>
      </w:r>
      <w:r>
        <w:t xml:space="preserve"> </w:t>
      </w:r>
    </w:p>
    <w:p w:rsidR="0086716D" w:rsidRPr="004C3641" w:rsidRDefault="0086716D">
      <w:pPr>
        <w:pStyle w:val="IssueSubsectionHeading"/>
        <w:rPr>
          <w:vanish/>
          <w:specVanish/>
        </w:rPr>
      </w:pPr>
      <w:r w:rsidRPr="004C3641">
        <w:t>Staff Analysis: </w:t>
      </w:r>
    </w:p>
    <w:p w:rsidR="00C22AC8" w:rsidRDefault="0086716D" w:rsidP="00C22AC8">
      <w:pPr>
        <w:pStyle w:val="BodyText"/>
      </w:pPr>
      <w:r>
        <w:t> </w:t>
      </w:r>
      <w:r w:rsidR="00C22AC8">
        <w:t>Raintree’s capital structure consists of $49,929 in common equity. Audit staff verified that the Utility has no debt. In addition, audit staff verified that the Utility does not collect customer deposits and does not have a tariff in effect for customer deposits. Therefore, no adjustments are necessary.</w:t>
      </w:r>
    </w:p>
    <w:p w:rsidR="00C22AC8" w:rsidRDefault="00C22AC8" w:rsidP="00861801">
      <w:pPr>
        <w:jc w:val="both"/>
      </w:pPr>
      <w:r>
        <w:t>The Utility’s capital structure has been reconciled with staff’s recommended rate base. The appropriate ROE is 8.74 percent based upon the Commission-approved leverage formula currently in effect.</w:t>
      </w:r>
      <w:r>
        <w:rPr>
          <w:vertAlign w:val="superscript"/>
        </w:rPr>
        <w:footnoteReference w:id="11"/>
      </w:r>
      <w:r w:rsidR="00393CE3">
        <w:t xml:space="preserve"> </w:t>
      </w:r>
      <w:r>
        <w:t xml:space="preserve">Staff recommends an ROE of 8.74 percent, with a range of 7.74 percent to 9.74 percent, and an overall rate of return of 8.74 percent. The ROE and overall rate of return are shown on Schedule No. 2. </w:t>
      </w:r>
    </w:p>
    <w:p w:rsidR="0086716D" w:rsidRDefault="0086716D" w:rsidP="00861801">
      <w:pPr>
        <w:pStyle w:val="BodyText"/>
      </w:pPr>
    </w:p>
    <w:p w:rsidR="008055C7" w:rsidRPr="009F5F02" w:rsidRDefault="0086716D" w:rsidP="008055C7">
      <w:pPr>
        <w:pStyle w:val="IssueHeading"/>
        <w:rPr>
          <w:rFonts w:ascii="Times New Roman" w:hAnsi="Times New Roman" w:cs="Times New Roman"/>
          <w:b w:val="0"/>
          <w:bCs w:val="0"/>
          <w:i w:val="0"/>
          <w:kern w:val="0"/>
          <w:szCs w:val="24"/>
        </w:rPr>
      </w:pPr>
      <w:r w:rsidRPr="004C3641">
        <w:rPr>
          <w:b w:val="0"/>
          <w:i w:val="0"/>
        </w:rPr>
        <w:br w:type="page"/>
      </w:r>
      <w:bookmarkStart w:id="67" w:name="_Toc450304700"/>
      <w:bookmarkStart w:id="68" w:name="_Toc450304721"/>
      <w:bookmarkStart w:id="69" w:name="_Toc450304958"/>
      <w:r w:rsidRPr="004C3641">
        <w:lastRenderedPageBreak/>
        <w:t xml:space="preserve">Issue </w:t>
      </w:r>
      <w:r w:rsidR="005251FA">
        <w:fldChar w:fldCharType="begin"/>
      </w:r>
      <w:r w:rsidR="005251FA">
        <w:instrText xml:space="preserve"> SEQ Issue \* MERGEFORMAT </w:instrText>
      </w:r>
      <w:r w:rsidR="005251FA">
        <w:fldChar w:fldCharType="separate"/>
      </w:r>
      <w:r w:rsidR="000A550E">
        <w:rPr>
          <w:noProof/>
        </w:rPr>
        <w:t>5</w:t>
      </w:r>
      <w:r w:rsidR="005251FA">
        <w:rPr>
          <w:noProof/>
        </w:rPr>
        <w:fldChar w:fldCharType="end"/>
      </w:r>
      <w:r w:rsidRPr="004C3641">
        <w:t>:</w:t>
      </w:r>
      <w:bookmarkEnd w:id="67"/>
      <w:bookmarkEnd w:id="68"/>
      <w:bookmarkEnd w:id="69"/>
      <w:r w:rsidRPr="008055C7">
        <w:fldChar w:fldCharType="begin"/>
      </w:r>
      <w:r w:rsidRPr="008055C7">
        <w:instrText xml:space="preserve"> TC "</w:instrText>
      </w:r>
      <w:bookmarkStart w:id="70" w:name="_Toc450306833"/>
      <w:bookmarkStart w:id="71" w:name="_Toc450650598"/>
      <w:bookmarkStart w:id="72" w:name="_Toc450652880"/>
      <w:bookmarkStart w:id="73" w:name="_Toc451766968"/>
      <w:r w:rsidR="00374614" w:rsidRPr="007076B8">
        <w:rPr>
          <w:rFonts w:ascii="Times New Roman" w:hAnsi="Times New Roman" w:cs="Times New Roman"/>
          <w:b w:val="0"/>
          <w:i w:val="0"/>
        </w:rPr>
        <w:instrText xml:space="preserve">Issue </w:instrText>
      </w:r>
      <w:r w:rsidRPr="007076B8">
        <w:rPr>
          <w:rFonts w:ascii="Times New Roman" w:hAnsi="Times New Roman" w:cs="Times New Roman"/>
          <w:b w:val="0"/>
          <w:i w:val="0"/>
        </w:rPr>
        <w:fldChar w:fldCharType="begin"/>
      </w:r>
      <w:r w:rsidRPr="007076B8">
        <w:rPr>
          <w:rFonts w:ascii="Times New Roman" w:hAnsi="Times New Roman" w:cs="Times New Roman"/>
          <w:b w:val="0"/>
          <w:i w:val="0"/>
        </w:rPr>
        <w:instrText xml:space="preserve"> SEQ issue \c </w:instrText>
      </w:r>
      <w:r w:rsidRPr="007076B8">
        <w:rPr>
          <w:rFonts w:ascii="Times New Roman" w:hAnsi="Times New Roman" w:cs="Times New Roman"/>
          <w:b w:val="0"/>
          <w:i w:val="0"/>
        </w:rPr>
        <w:fldChar w:fldCharType="separate"/>
      </w:r>
      <w:bookmarkStart w:id="74" w:name="_Toc450304905"/>
      <w:bookmarkStart w:id="75" w:name="_Toc450304959"/>
      <w:bookmarkStart w:id="76" w:name="_Toc450305016"/>
      <w:r w:rsidR="000A550E">
        <w:rPr>
          <w:rFonts w:ascii="Times New Roman" w:hAnsi="Times New Roman" w:cs="Times New Roman"/>
          <w:b w:val="0"/>
          <w:i w:val="0"/>
          <w:noProof/>
        </w:rPr>
        <w:instrText>5</w:instrText>
      </w:r>
      <w:bookmarkEnd w:id="74"/>
      <w:bookmarkEnd w:id="75"/>
      <w:bookmarkEnd w:id="76"/>
      <w:r w:rsidRPr="007076B8">
        <w:rPr>
          <w:rFonts w:ascii="Times New Roman" w:hAnsi="Times New Roman" w:cs="Times New Roman"/>
          <w:b w:val="0"/>
          <w:i w:val="0"/>
        </w:rPr>
        <w:fldChar w:fldCharType="end"/>
      </w:r>
      <w:r w:rsidR="00374614" w:rsidRPr="007076B8">
        <w:rPr>
          <w:rFonts w:ascii="Times New Roman" w:hAnsi="Times New Roman" w:cs="Times New Roman"/>
          <w:b w:val="0"/>
          <w:i w:val="0"/>
        </w:rPr>
        <w:instrText xml:space="preserve"> </w:instrText>
      </w:r>
      <w:bookmarkEnd w:id="70"/>
      <w:bookmarkEnd w:id="71"/>
      <w:r w:rsidR="009D0579" w:rsidRPr="007076B8">
        <w:rPr>
          <w:rFonts w:ascii="Times New Roman" w:hAnsi="Times New Roman" w:cs="Times New Roman"/>
          <w:b w:val="0"/>
          <w:i w:val="0"/>
        </w:rPr>
        <w:instrText>Test Year Revenues</w:instrText>
      </w:r>
      <w:bookmarkEnd w:id="72"/>
      <w:bookmarkEnd w:id="73"/>
      <w:r w:rsidRPr="008055C7">
        <w:instrText xml:space="preserve">" \l 1 </w:instrText>
      </w:r>
      <w:r w:rsidRPr="008055C7">
        <w:fldChar w:fldCharType="end"/>
      </w:r>
      <w:r w:rsidRPr="008055C7">
        <w:t> </w:t>
      </w:r>
      <w:r w:rsidR="009F5F02" w:rsidRPr="009F5F02">
        <w:rPr>
          <w:rFonts w:ascii="Times New Roman" w:hAnsi="Times New Roman" w:cs="Times New Roman"/>
          <w:b w:val="0"/>
          <w:bCs w:val="0"/>
          <w:i w:val="0"/>
          <w:kern w:val="0"/>
          <w:szCs w:val="24"/>
        </w:rPr>
        <w:t xml:space="preserve">What </w:t>
      </w:r>
      <w:r w:rsidR="00C57337">
        <w:rPr>
          <w:rFonts w:ascii="Times New Roman" w:hAnsi="Times New Roman" w:cs="Times New Roman"/>
          <w:b w:val="0"/>
          <w:bCs w:val="0"/>
          <w:i w:val="0"/>
          <w:kern w:val="0"/>
          <w:szCs w:val="24"/>
        </w:rPr>
        <w:t>is</w:t>
      </w:r>
      <w:r w:rsidR="009F5F02" w:rsidRPr="009F5F02">
        <w:rPr>
          <w:rFonts w:ascii="Times New Roman" w:hAnsi="Times New Roman" w:cs="Times New Roman"/>
          <w:b w:val="0"/>
          <w:bCs w:val="0"/>
          <w:i w:val="0"/>
          <w:kern w:val="0"/>
          <w:szCs w:val="24"/>
        </w:rPr>
        <w:t xml:space="preserve"> the appropriate test year revenue for Raintree’s water system?</w:t>
      </w:r>
    </w:p>
    <w:p w:rsidR="008055C7" w:rsidRPr="008055C7" w:rsidRDefault="008055C7" w:rsidP="008055C7">
      <w:pPr>
        <w:pStyle w:val="BodyText"/>
        <w:rPr>
          <w:rFonts w:ascii="Arial" w:hAnsi="Arial" w:cs="Arial"/>
          <w:b/>
        </w:rPr>
      </w:pPr>
      <w:r w:rsidRPr="008055C7">
        <w:rPr>
          <w:rFonts w:ascii="Arial" w:hAnsi="Arial" w:cs="Arial"/>
          <w:b/>
        </w:rPr>
        <w:t>Recommendation:</w:t>
      </w:r>
      <w:r w:rsidR="00361D31">
        <w:rPr>
          <w:rFonts w:ascii="Arial" w:hAnsi="Arial" w:cs="Arial"/>
          <w:b/>
        </w:rPr>
        <w:t xml:space="preserve"> </w:t>
      </w:r>
      <w:r w:rsidR="00361D31">
        <w:t>The appropriate test year revenue for Raintree’</w:t>
      </w:r>
      <w:r w:rsidR="007D6B47">
        <w:t>s</w:t>
      </w:r>
      <w:r w:rsidR="00361D31">
        <w:t xml:space="preserve"> water system </w:t>
      </w:r>
      <w:r w:rsidR="00C57337">
        <w:t>is</w:t>
      </w:r>
      <w:r w:rsidR="00361D31">
        <w:t xml:space="preserve"> $42,540.</w:t>
      </w:r>
      <w:r w:rsidR="00BE64C1">
        <w:t xml:space="preserve"> (Bruce)</w:t>
      </w:r>
    </w:p>
    <w:p w:rsidR="0086716D" w:rsidRDefault="0086716D">
      <w:pPr>
        <w:pStyle w:val="BodyText"/>
      </w:pPr>
      <w:r w:rsidRPr="00DA1784">
        <w:rPr>
          <w:rFonts w:ascii="Arial" w:hAnsi="Arial" w:cs="Arial"/>
          <w:b/>
        </w:rPr>
        <w:t>Staff Analysis:  </w:t>
      </w:r>
      <w:r w:rsidR="00F5487C" w:rsidRPr="00DA1784">
        <w:t>Raintree recorded</w:t>
      </w:r>
      <w:r w:rsidR="00C57337" w:rsidRPr="00C57337">
        <w:t xml:space="preserve"> </w:t>
      </w:r>
      <w:r w:rsidR="00C57337">
        <w:t>a</w:t>
      </w:r>
      <w:r w:rsidR="00F5487C" w:rsidRPr="00DA1784">
        <w:t xml:space="preserve"> total </w:t>
      </w:r>
      <w:r w:rsidR="00C57337">
        <w:t>revenue</w:t>
      </w:r>
      <w:r w:rsidR="002B00A2">
        <w:t xml:space="preserve"> of $40,670. The water revenue</w:t>
      </w:r>
      <w:r w:rsidR="00F5487C" w:rsidRPr="00DA1784">
        <w:t xml:space="preserve"> in</w:t>
      </w:r>
      <w:r w:rsidR="00F5487C">
        <w:t>cluded $40,660 of service revenue</w:t>
      </w:r>
      <w:r w:rsidR="002B00A2">
        <w:t>s</w:t>
      </w:r>
      <w:r w:rsidR="00F5487C">
        <w:t xml:space="preserve"> </w:t>
      </w:r>
      <w:r w:rsidR="002B00A2">
        <w:t>and $10 of miscellaneous revenues</w:t>
      </w:r>
      <w:r w:rsidR="00F5487C">
        <w:t xml:space="preserve">. In order to determine the appropriate service revenues, staff corrected billing determinants to reflect credits issued to customers. During the test year, the </w:t>
      </w:r>
      <w:r w:rsidR="00DA1784">
        <w:t>U</w:t>
      </w:r>
      <w:r w:rsidR="00F5487C">
        <w:t>tility had a rate increase as a result of a price index. Therefore, sta</w:t>
      </w:r>
      <w:r w:rsidR="002B00A2">
        <w:t>ff annualized test year revenue</w:t>
      </w:r>
      <w:r w:rsidR="00F5487C">
        <w:t xml:space="preserve"> by applying the rates in effect as of June 26, 2015, to staff’s adjusted billing determinants. Based on the corrected billing determinants, staff </w:t>
      </w:r>
      <w:r w:rsidR="00C57337">
        <w:t>determined that service revenue</w:t>
      </w:r>
      <w:r w:rsidR="002B00A2">
        <w:t>s</w:t>
      </w:r>
      <w:r w:rsidR="00F5487C">
        <w:t xml:space="preserve"> should be $42,322, which is an increase of $1,652.</w:t>
      </w:r>
    </w:p>
    <w:p w:rsidR="00F72B50" w:rsidRDefault="00F72B50" w:rsidP="00DA1784">
      <w:pPr>
        <w:jc w:val="both"/>
        <w:rPr>
          <w:rFonts w:eastAsiaTheme="minorHAnsi"/>
        </w:rPr>
      </w:pPr>
      <w:r>
        <w:t xml:space="preserve">On July 15, 2015, the </w:t>
      </w:r>
      <w:r w:rsidR="00DA1784">
        <w:t>U</w:t>
      </w:r>
      <w:r>
        <w:t>tility began charging a $2.60 convenience charge to customers who opted to pay their water bill online or by way of telephone.</w:t>
      </w:r>
      <w:r>
        <w:rPr>
          <w:rStyle w:val="FootnoteReference"/>
        </w:rPr>
        <w:footnoteReference w:id="12"/>
      </w:r>
      <w:r>
        <w:t xml:space="preserve"> During the test year, there were only four occurrences. However, since the implementation of the convenience charge through March of 2016, there were approximately 66 occurrences. In order to recognize the revenues associated with this charge on a going forward basis, staff annualized the number of occurrences. As a result, the approximate annual average of occurrences is 84, which calculates to be $218 of miscellaneous revenues. Therefore, staff</w:t>
      </w:r>
      <w:r w:rsidR="00BC2023">
        <w:t xml:space="preserve"> </w:t>
      </w:r>
      <w:r>
        <w:t xml:space="preserve"> increased miscellaneous revenues by $208 ($218-$10). The appropriate test year revenue for Raintree’</w:t>
      </w:r>
      <w:r w:rsidR="007D6B47">
        <w:t>s</w:t>
      </w:r>
      <w:r>
        <w:t xml:space="preserve"> water system, including miscellaneous revenues, </w:t>
      </w:r>
      <w:r w:rsidR="00C57337">
        <w:t>is</w:t>
      </w:r>
      <w:r>
        <w:t xml:space="preserve"> $42,540 ($42,322+$218).</w:t>
      </w:r>
      <w:r>
        <w:rPr>
          <w:rFonts w:eastAsiaTheme="minorHAnsi"/>
        </w:rPr>
        <w:t xml:space="preserve"> </w:t>
      </w:r>
    </w:p>
    <w:p w:rsidR="00F5487C" w:rsidRDefault="00F5487C" w:rsidP="00DA1784">
      <w:pPr>
        <w:pStyle w:val="BodyText"/>
      </w:pPr>
    </w:p>
    <w:p w:rsidR="0086716D" w:rsidRDefault="0086716D">
      <w:pPr>
        <w:pStyle w:val="IssueHeading"/>
        <w:rPr>
          <w:vanish/>
          <w:specVanish/>
        </w:rPr>
      </w:pPr>
      <w:r w:rsidRPr="004C3641">
        <w:rPr>
          <w:b w:val="0"/>
          <w:i w:val="0"/>
        </w:rPr>
        <w:br w:type="page"/>
      </w:r>
      <w:bookmarkStart w:id="79" w:name="_Toc450304701"/>
      <w:bookmarkStart w:id="80" w:name="_Toc450304722"/>
      <w:bookmarkStart w:id="81" w:name="_Toc450304960"/>
      <w:r w:rsidRPr="004C3641">
        <w:lastRenderedPageBreak/>
        <w:t xml:space="preserve">Issue </w:t>
      </w:r>
      <w:r w:rsidR="005251FA">
        <w:fldChar w:fldCharType="begin"/>
      </w:r>
      <w:r w:rsidR="005251FA">
        <w:instrText xml:space="preserve"> SEQ Issue \* MERGEFORMAT </w:instrText>
      </w:r>
      <w:r w:rsidR="005251FA">
        <w:fldChar w:fldCharType="separate"/>
      </w:r>
      <w:r w:rsidR="000A550E">
        <w:rPr>
          <w:noProof/>
        </w:rPr>
        <w:t>6</w:t>
      </w:r>
      <w:r w:rsidR="005251FA">
        <w:rPr>
          <w:noProof/>
        </w:rPr>
        <w:fldChar w:fldCharType="end"/>
      </w:r>
      <w:r w:rsidRPr="004C3641">
        <w:t>:</w:t>
      </w:r>
      <w:bookmarkEnd w:id="79"/>
      <w:bookmarkEnd w:id="80"/>
      <w:bookmarkEnd w:id="81"/>
      <w:r>
        <w:fldChar w:fldCharType="begin"/>
      </w:r>
      <w:r>
        <w:instrText xml:space="preserve"> TC "</w:instrText>
      </w:r>
      <w:bookmarkStart w:id="82" w:name="_Toc450306834"/>
      <w:bookmarkStart w:id="83" w:name="_Toc450650599"/>
      <w:bookmarkStart w:id="84" w:name="_Toc450652881"/>
      <w:bookmarkStart w:id="85" w:name="_Toc451766969"/>
      <w:r w:rsidR="00374614" w:rsidRPr="007076B8">
        <w:rPr>
          <w:rFonts w:ascii="Times New Roman" w:hAnsi="Times New Roman" w:cs="Times New Roman"/>
          <w:b w:val="0"/>
          <w:i w:val="0"/>
        </w:rPr>
        <w:instrText xml:space="preserve">Issue </w:instrText>
      </w:r>
      <w:r w:rsidRPr="007076B8">
        <w:rPr>
          <w:rFonts w:ascii="Times New Roman" w:hAnsi="Times New Roman" w:cs="Times New Roman"/>
          <w:b w:val="0"/>
          <w:i w:val="0"/>
        </w:rPr>
        <w:fldChar w:fldCharType="begin"/>
      </w:r>
      <w:r w:rsidRPr="007076B8">
        <w:rPr>
          <w:rFonts w:ascii="Times New Roman" w:hAnsi="Times New Roman" w:cs="Times New Roman"/>
          <w:b w:val="0"/>
          <w:i w:val="0"/>
        </w:rPr>
        <w:instrText xml:space="preserve"> SEQ issue \c </w:instrText>
      </w:r>
      <w:r w:rsidRPr="007076B8">
        <w:rPr>
          <w:rFonts w:ascii="Times New Roman" w:hAnsi="Times New Roman" w:cs="Times New Roman"/>
          <w:b w:val="0"/>
          <w:i w:val="0"/>
        </w:rPr>
        <w:fldChar w:fldCharType="separate"/>
      </w:r>
      <w:bookmarkStart w:id="86" w:name="_Toc450304906"/>
      <w:bookmarkStart w:id="87" w:name="_Toc450304961"/>
      <w:bookmarkStart w:id="88" w:name="_Toc450305017"/>
      <w:r w:rsidR="000A550E">
        <w:rPr>
          <w:rFonts w:ascii="Times New Roman" w:hAnsi="Times New Roman" w:cs="Times New Roman"/>
          <w:b w:val="0"/>
          <w:i w:val="0"/>
          <w:noProof/>
        </w:rPr>
        <w:instrText>6</w:instrText>
      </w:r>
      <w:bookmarkEnd w:id="86"/>
      <w:bookmarkEnd w:id="87"/>
      <w:bookmarkEnd w:id="88"/>
      <w:r w:rsidRPr="007076B8">
        <w:rPr>
          <w:rFonts w:ascii="Times New Roman" w:hAnsi="Times New Roman" w:cs="Times New Roman"/>
          <w:b w:val="0"/>
          <w:i w:val="0"/>
        </w:rPr>
        <w:fldChar w:fldCharType="end"/>
      </w:r>
      <w:r w:rsidR="00374614" w:rsidRPr="007076B8">
        <w:rPr>
          <w:rFonts w:ascii="Times New Roman" w:hAnsi="Times New Roman" w:cs="Times New Roman"/>
          <w:b w:val="0"/>
          <w:i w:val="0"/>
        </w:rPr>
        <w:instrText xml:space="preserve"> </w:instrText>
      </w:r>
      <w:bookmarkEnd w:id="82"/>
      <w:bookmarkEnd w:id="83"/>
      <w:r w:rsidR="009D0579" w:rsidRPr="007076B8">
        <w:rPr>
          <w:rFonts w:ascii="Times New Roman" w:hAnsi="Times New Roman" w:cs="Times New Roman"/>
          <w:b w:val="0"/>
          <w:i w:val="0"/>
        </w:rPr>
        <w:instrText>Operating Expenses</w:instrText>
      </w:r>
      <w:bookmarkEnd w:id="84"/>
      <w:bookmarkEnd w:id="85"/>
      <w:r>
        <w:instrText xml:space="preserve">" \l 1 </w:instrText>
      </w:r>
      <w:r>
        <w:fldChar w:fldCharType="end"/>
      </w:r>
      <w:r>
        <w:t> </w:t>
      </w:r>
    </w:p>
    <w:p w:rsidR="0086716D" w:rsidRDefault="0086716D">
      <w:pPr>
        <w:pStyle w:val="BodyText"/>
      </w:pPr>
      <w:r>
        <w:t> </w:t>
      </w:r>
      <w:r w:rsidR="003E0A42">
        <w:t>What is the appropriate amount of operating expenses?</w:t>
      </w:r>
    </w:p>
    <w:p w:rsidR="0086716D" w:rsidRPr="004C3641" w:rsidRDefault="0086716D">
      <w:pPr>
        <w:pStyle w:val="IssueSubsectionHeading"/>
        <w:rPr>
          <w:vanish/>
          <w:specVanish/>
        </w:rPr>
      </w:pPr>
      <w:r w:rsidRPr="004C3641">
        <w:t>Recommendation: </w:t>
      </w:r>
    </w:p>
    <w:p w:rsidR="0086716D" w:rsidRDefault="0086716D">
      <w:pPr>
        <w:pStyle w:val="BodyText"/>
      </w:pPr>
      <w:r>
        <w:t> </w:t>
      </w:r>
      <w:r w:rsidR="00F43B4C">
        <w:t>The appropriate amount of operating expense for the Utility is $42,568. (Golden)</w:t>
      </w:r>
      <w:r>
        <w:t xml:space="preserve"> </w:t>
      </w:r>
    </w:p>
    <w:p w:rsidR="0086716D" w:rsidRPr="004C3641" w:rsidRDefault="0086716D">
      <w:pPr>
        <w:pStyle w:val="IssueSubsectionHeading"/>
        <w:rPr>
          <w:vanish/>
          <w:specVanish/>
        </w:rPr>
      </w:pPr>
      <w:r w:rsidRPr="004C3641">
        <w:t>Staff Analysis: </w:t>
      </w:r>
    </w:p>
    <w:p w:rsidR="00B353D0" w:rsidRDefault="0086716D" w:rsidP="00B353D0">
      <w:pPr>
        <w:pStyle w:val="BodyText"/>
      </w:pPr>
      <w:r>
        <w:t> </w:t>
      </w:r>
      <w:r w:rsidR="00B353D0">
        <w:t>Raintree recorded operating expense of $46,531 for the test year ended July 31, 2015. The test year O&amp;M expenses have been reviewed, including invoices, canceled checks, and other supporting documentation. Staff has made several adjustments to the Utility's operating expenses as summarized below.</w:t>
      </w:r>
    </w:p>
    <w:p w:rsidR="00B353D0" w:rsidRDefault="00B353D0" w:rsidP="00B353D0">
      <w:pPr>
        <w:jc w:val="both"/>
        <w:outlineLvl w:val="0"/>
        <w:rPr>
          <w:rFonts w:ascii="Arial" w:hAnsi="Arial" w:cs="Arial"/>
          <w:b/>
          <w:bCs/>
          <w:kern w:val="32"/>
          <w:szCs w:val="32"/>
        </w:rPr>
      </w:pPr>
      <w:r>
        <w:rPr>
          <w:rFonts w:ascii="Arial" w:hAnsi="Arial" w:cs="Arial"/>
          <w:b/>
          <w:bCs/>
          <w:kern w:val="32"/>
          <w:szCs w:val="32"/>
        </w:rPr>
        <w:t>Operation and Maintenance Expenses</w:t>
      </w:r>
    </w:p>
    <w:p w:rsidR="00B353D0" w:rsidRDefault="00B353D0" w:rsidP="00B353D0">
      <w:pPr>
        <w:pStyle w:val="Second-LevelSubheading"/>
      </w:pPr>
      <w:r>
        <w:t>Purchased Power (615)</w:t>
      </w:r>
    </w:p>
    <w:p w:rsidR="00B353D0" w:rsidRDefault="00B353D0" w:rsidP="00B353D0">
      <w:pPr>
        <w:pStyle w:val="BodyText"/>
      </w:pPr>
      <w:r>
        <w:t>Raintree recorded $4,689 for test year purchased power expense. As discussed in Issue 2, staff is recommending an EUW adjustment of 8.5 percent. Therefore, staff decreased this account by $399 ($4,689 x .085 = $399) to reflect an 8.5 percent EUW adjustment. Therefore, staff recommends purchased power expense of $4,290.</w:t>
      </w:r>
    </w:p>
    <w:p w:rsidR="00B353D0" w:rsidRDefault="00B353D0" w:rsidP="00B353D0">
      <w:pPr>
        <w:pStyle w:val="Second-LevelSubheading"/>
      </w:pPr>
      <w:r>
        <w:t>Chemicals (618)</w:t>
      </w:r>
    </w:p>
    <w:p w:rsidR="00B353D0" w:rsidRDefault="00B353D0" w:rsidP="00B353D0">
      <w:pPr>
        <w:pStyle w:val="BodyText"/>
      </w:pPr>
      <w:r>
        <w:t>The Utility recorded $345 for test year chemicals expense. As discussed in Issue 2, staff is recommending an EUW adjustment of 8.5 percent. Therefore, staff decreased this account by $29 ($345 x .085 = $29) to reflect an 8.5 percent EUW adjustment. Therefore, staff recommends purchased power expense of $316.</w:t>
      </w:r>
    </w:p>
    <w:p w:rsidR="00B353D0" w:rsidRDefault="00B353D0" w:rsidP="00B353D0">
      <w:pPr>
        <w:pStyle w:val="Second-LevelSubheading"/>
      </w:pPr>
      <w:r>
        <w:t>Contractual Services - Professional (631)</w:t>
      </w:r>
    </w:p>
    <w:p w:rsidR="00B353D0" w:rsidRDefault="00B353D0" w:rsidP="00B353D0">
      <w:pPr>
        <w:pStyle w:val="BodyText"/>
      </w:pPr>
      <w:r>
        <w:t>Raintree recorded $2,107 for test year contractual services – professional expense, comprised of $1,667 in accrued accounting expense and $440 in legal expense. The Utility’s actual test year accounting services expense was $1,000, therefore, staff decreased this account by $667 to remove the excess accrued accounting expense. Staff recommends contractual services – professional expense for the test year of $1,440.</w:t>
      </w:r>
    </w:p>
    <w:p w:rsidR="00B353D0" w:rsidRDefault="00B353D0" w:rsidP="00B353D0">
      <w:pPr>
        <w:pStyle w:val="Second-LevelSubheading"/>
      </w:pPr>
      <w:r>
        <w:t>Contractual Services - Other (636)</w:t>
      </w:r>
    </w:p>
    <w:p w:rsidR="00B353D0" w:rsidRDefault="00B353D0" w:rsidP="00B353D0">
      <w:pPr>
        <w:pStyle w:val="BodyText"/>
      </w:pPr>
      <w:r>
        <w:t>The Utility recorded $21,744 in this account. Raintree receives all of its operational and administrative services under a contract with an affiliated company, U.S. Water Services Corporation (USWSC). The Commission previously reviewed and approved expenses related to the USWSC management services contracts for five of Raintree’s sister utilities.</w:t>
      </w:r>
      <w:r>
        <w:rPr>
          <w:rStyle w:val="FootnoteReference"/>
        </w:rPr>
        <w:footnoteReference w:id="13"/>
      </w:r>
      <w:r>
        <w:t xml:space="preserve"> In the three most recent related dockets, the Commission found USWSC’s costing and allocation model to be </w:t>
      </w:r>
      <w:r>
        <w:lastRenderedPageBreak/>
        <w:t>reasonable with the exception of some allocated expenses related to salary overtime, fuel, and vehicle maintenance which were adjusted in those dockets.</w:t>
      </w:r>
      <w:r>
        <w:rPr>
          <w:rStyle w:val="FootnoteReference"/>
        </w:rPr>
        <w:footnoteReference w:id="14"/>
      </w:r>
      <w:r>
        <w:t xml:space="preserve"> </w:t>
      </w:r>
    </w:p>
    <w:p w:rsidR="00B353D0" w:rsidRDefault="00B353D0" w:rsidP="00B353D0">
      <w:pPr>
        <w:pStyle w:val="BodyText"/>
      </w:pPr>
      <w:r>
        <w:t>Subsequent to the test year, USWSC increased Raintree’s annual contract by $348 to reflect an increase in the Consumer Price Index (CPI).</w:t>
      </w:r>
      <w:r>
        <w:rPr>
          <w:rStyle w:val="FootnoteReference"/>
        </w:rPr>
        <w:footnoteReference w:id="15"/>
      </w:r>
      <w:r>
        <w:t xml:space="preserve"> USWSC previously adjusted Raintree’s contract to remove the salary overtime allowance, but did not adjust the fuel and vehicle maintenance expenses at that time. USWSC subsequently determined that Raintree’s actual test year fuel and vehicle maintenance expenses were $642 less than the amount allocated in the test year contract, or $652 less than the amount allocated in the current contract following the CPI adjustment. Consistent with the Commission’s decisions related to Raintree’s sister utilities, staff increased this account by $348 to annualize the increase in the monthly contract price. Staff also decreased this account by $652 to reflect Raintree’s actual test year fuel and vehicle maintenance expenses including the CPI adjustment. Staff’s net adjustment to this account is a decrease of $304 ($348 - $652 = -$304). The adjusted annual contract fee of $21,440 equals an average of $195 per </w:t>
      </w:r>
      <w:r w:rsidR="000738FF">
        <w:t>equivalent residential connection</w:t>
      </w:r>
      <w:r w:rsidR="001216EE">
        <w:t xml:space="preserve"> (ERC)</w:t>
      </w:r>
      <w:r>
        <w:t>,</w:t>
      </w:r>
      <w:r w:rsidR="000738FF">
        <w:t xml:space="preserve"> </w:t>
      </w:r>
      <w:r>
        <w:t>which is comparable to the amounts approved by the Commission for Raintree’s sister utilities which ranged from $170 to $247 per water ERC.</w:t>
      </w:r>
    </w:p>
    <w:p w:rsidR="00B353D0" w:rsidRDefault="00B353D0" w:rsidP="00B353D0">
      <w:pPr>
        <w:spacing w:after="240"/>
        <w:jc w:val="both"/>
      </w:pPr>
      <w:r>
        <w:t>The Utility confirmed that USWSC’s current cost model continues to include 1,000 additional projected ERCs.</w:t>
      </w:r>
      <w:r>
        <w:rPr>
          <w:rStyle w:val="FootnoteReference"/>
        </w:rPr>
        <w:footnoteReference w:id="16"/>
      </w:r>
      <w:r>
        <w:t xml:space="preserve"> Inclusion of 1,000 potential future ERCs that are expected to be added through growth or acquisitions serves to spread the costs over a larger base and lowers the cost per ERC. Also, USWSC did not include any salary for the Manager of Regulated Utilities in the administrative services cost, which also serves to lower costs to customers.</w:t>
      </w:r>
      <w:r>
        <w:rPr>
          <w:rStyle w:val="FootnoteReference"/>
        </w:rPr>
        <w:footnoteReference w:id="17"/>
      </w:r>
      <w:r>
        <w:t xml:space="preserve"> In addition, USWSC’s contract with Raintree uses a 14 percent margin for overhead and profit rather than the 18 percent markup previously used. As a result of including the additional ERCs and reducing the margin by 4 percent, Raintree receives an annual subsidy of $1,821 from USWSC. Staff also notes that Raintree’s </w:t>
      </w:r>
      <w:r w:rsidR="00D70F8E">
        <w:t>O&amp;M</w:t>
      </w:r>
      <w:r>
        <w:t xml:space="preserve"> expenses have decreased by more than $6,000 when compared to the Utility’s last SARC in 2008. In addition to the $1,821 cost subsidy resulting from USWSC’s cost model, Raintree is experiencing additional cost savings related to expenses such as chemicals, testing, and miscellaneous expenses that are attributable to economies of scale achieved through operations provided under the USWSC contract. </w:t>
      </w:r>
    </w:p>
    <w:p w:rsidR="00B353D0" w:rsidRDefault="00B353D0" w:rsidP="00B353D0">
      <w:pPr>
        <w:spacing w:after="240"/>
        <w:jc w:val="both"/>
      </w:pPr>
      <w:r>
        <w:t>USWSC and its managers bring considerable management and operator experience and expertise at a comparably reasonable cost. By spreading costs over multiple systems, and adding ERCs to recognize potential future growth, Raintree’s customers are realizing operational and cost benefits that would not be available if the Utility operated on a stand-alone basis. Staff believes the adjusted cost of the USWSC management services contract is reasonable. Therefore, staff recommends contractual services – other expense for the test year of $21,440.</w:t>
      </w:r>
    </w:p>
    <w:p w:rsidR="00B353D0" w:rsidRPr="001216EE" w:rsidRDefault="00B353D0" w:rsidP="00B353D0">
      <w:pPr>
        <w:rPr>
          <w:rFonts w:ascii="Arial" w:hAnsi="Arial" w:cs="Arial"/>
          <w:bCs/>
          <w:iCs/>
          <w:szCs w:val="28"/>
        </w:rPr>
      </w:pPr>
      <w:r>
        <w:br w:type="page"/>
      </w:r>
    </w:p>
    <w:p w:rsidR="00B353D0" w:rsidRDefault="00B353D0" w:rsidP="00B353D0">
      <w:pPr>
        <w:pStyle w:val="Second-LevelSubheading"/>
      </w:pPr>
      <w:r>
        <w:lastRenderedPageBreak/>
        <w:t>Insurance Expense (655)</w:t>
      </w:r>
    </w:p>
    <w:p w:rsidR="00B353D0" w:rsidRDefault="00B353D0" w:rsidP="00B353D0">
      <w:pPr>
        <w:pStyle w:val="BodyText"/>
      </w:pPr>
      <w:r>
        <w:t>The Utility recorded $835 in this account. During the test year, the Utility’s general liability insurance policy was renewed at a higher premium. Staff increased this account by $479 to reflect the Utility’s current annual general liability insurance expense of $1,314. Therefore, staff recommends insurance expense for the test year of $1,314.</w:t>
      </w:r>
    </w:p>
    <w:p w:rsidR="00B353D0" w:rsidRDefault="00B353D0" w:rsidP="00B353D0">
      <w:pPr>
        <w:pStyle w:val="Second-LevelSubheading"/>
      </w:pPr>
      <w:r>
        <w:t>Regulatory Commission Expense (665)</w:t>
      </w:r>
    </w:p>
    <w:p w:rsidR="00B353D0" w:rsidRDefault="00B353D0" w:rsidP="00B353D0">
      <w:pPr>
        <w:pStyle w:val="BodyText"/>
        <w:rPr>
          <w:rFonts w:cs="Courier New"/>
        </w:rPr>
      </w:pPr>
      <w:r>
        <w:t xml:space="preserve">The Utility did not record any regulatory commission expense in this account. As discussed in Issue 3, staff reclassified the Utility’s $750 certificate transfer application filing fee from plant to this expense account. Rule 25-30.433(8), F.A.C., requires that non-recurring expenses be amortized over a five-year period unless a shorter or longer period of time can be justified. Accordingly, </w:t>
      </w:r>
      <w:r>
        <w:rPr>
          <w:rFonts w:cs="Courier New"/>
        </w:rPr>
        <w:t>staff increased this account by $150 to reflect the five-year amortization of the certificate transfer application filing fee ($750/5 = $150). The remaining unamortized portion of the filing fee should be recorded in Account No. 186 – Miscellaneous Deferred Debits.</w:t>
      </w:r>
    </w:p>
    <w:p w:rsidR="00B353D0" w:rsidRDefault="00B353D0" w:rsidP="00B353D0">
      <w:pPr>
        <w:pStyle w:val="BodyText"/>
        <w:rPr>
          <w:rFonts w:ascii="Arial" w:hAnsi="Arial" w:cs="Arial"/>
          <w:b/>
          <w:bCs/>
          <w:i/>
          <w:iCs/>
          <w:szCs w:val="28"/>
        </w:rPr>
      </w:pPr>
      <w:r>
        <w:t>Regarding the instant case, the Utility is required by Rule 25-22.0407, F.A.C., to provide notices of the customer meeting and notices of final rates in this case to its customers. For noticing, staff estimated $106 for postage expense, $77 for printing expense, and $11 for envelopes. This results in $194 for the noticing requirement. The Utility paid a $500 rate case filing fee. The Utility also requested additional rate case expense of $500 to cover travel expenses to attend both the customer meeting and Commission Agenda Conference. The Commission previously approved rate case related travel expenses ranging from $450 to $1,570 in the three most recent dockets for Raintree’s sister utilities. Based on staff’s review, the requested travel expense appears reasonable. Pursuant to Section 367.0816, F.S., rate case expense is amortized over a four-year period.</w:t>
      </w:r>
      <w:r>
        <w:rPr>
          <w:rStyle w:val="FootnoteReference"/>
        </w:rPr>
        <w:footnoteReference w:id="18"/>
      </w:r>
      <w:r>
        <w:t xml:space="preserve"> Based on the above, staff recommends total rate case expense of $1,194 ($194 + $500 + $500), which amortized over four years is $298. Based on the above, staff’s total adjustment to this account is an increase of $448 ($150 + $298 = $448). Therefore, staff recommends regulatory commission expense of $448.</w:t>
      </w:r>
    </w:p>
    <w:p w:rsidR="00B353D0" w:rsidRDefault="00B353D0" w:rsidP="00B353D0">
      <w:pPr>
        <w:pStyle w:val="Second-LevelSubheading"/>
      </w:pPr>
      <w:r>
        <w:t>Bad Debt Expense (670)</w:t>
      </w:r>
    </w:p>
    <w:p w:rsidR="00B353D0" w:rsidRDefault="00B353D0" w:rsidP="00B353D0">
      <w:pPr>
        <w:pStyle w:val="BodyText"/>
      </w:pPr>
      <w:r>
        <w:t>Raintree recorded $568 in this account for test year bad debt expense. Commission practice is to calculate bad debt expense using a three-year average, however, three years of records are not yet available for the current owners who purchased Raintree on May 23, 2014. The Utility reported $234 in bad debt expense for June through December 2014.</w:t>
      </w:r>
      <w:r>
        <w:rPr>
          <w:rStyle w:val="FootnoteReference"/>
        </w:rPr>
        <w:footnoteReference w:id="19"/>
      </w:r>
      <w:r>
        <w:t xml:space="preserve"> Subsequent to the test year, Raintree reported $479 in bad debt expense for 2015, which equals 1.02 percent of staff’s recommended revenue requirement.</w:t>
      </w:r>
      <w:r>
        <w:rPr>
          <w:rStyle w:val="FootnoteReference"/>
        </w:rPr>
        <w:footnoteReference w:id="20"/>
      </w:r>
      <w:r>
        <w:t xml:space="preserve"> Raintree indicated it is amenable to using $479 for the test year.</w:t>
      </w:r>
      <w:r>
        <w:rPr>
          <w:rStyle w:val="FootnoteReference"/>
        </w:rPr>
        <w:footnoteReference w:id="21"/>
      </w:r>
      <w:r>
        <w:t xml:space="preserve"> Staff believes the 2015 expense is more representative of Raintree’s expected bad debt expense going forward, and provides a reasonable alternative to a traditional three-year average in this case. Therefore, staff has decreased this account by $89 ($479 - $568 = -$89), and recommends a test year bad debt expense of $479.</w:t>
      </w:r>
    </w:p>
    <w:p w:rsidR="00B353D0" w:rsidRDefault="00B353D0" w:rsidP="00B353D0">
      <w:pPr>
        <w:pStyle w:val="Second-LevelSubheading"/>
      </w:pPr>
      <w:r>
        <w:lastRenderedPageBreak/>
        <w:t>Miscellaneous Expense (675)</w:t>
      </w:r>
    </w:p>
    <w:p w:rsidR="00B353D0" w:rsidRDefault="00B353D0" w:rsidP="00B353D0">
      <w:pPr>
        <w:pStyle w:val="BodyText"/>
      </w:pPr>
      <w:r>
        <w:t>The Utility recorded $698 for miscellaneous expense. This account includes the Department of State’s Division of Corporation’s annual filing fee of $150, the DEP’s drinking water annual operating license fee of $500, and several Sunshine State Florida One Call fees totaling $48. Staff decreased this account by $24 to remove the Sunshine State Florida One Call fees that occurred outside the test year. Staff recommends miscellaneous expense of $674 for the test year.</w:t>
      </w:r>
    </w:p>
    <w:p w:rsidR="00B353D0" w:rsidRDefault="00B353D0" w:rsidP="00B353D0">
      <w:pPr>
        <w:pStyle w:val="Second-LevelSubheading"/>
        <w:ind w:left="0"/>
      </w:pPr>
      <w:r>
        <w:rPr>
          <w:i w:val="0"/>
        </w:rPr>
        <w:tab/>
      </w:r>
      <w:r>
        <w:t>Operation and Maintenance Expense (O&amp;M Summary)</w:t>
      </w:r>
    </w:p>
    <w:p w:rsidR="00B353D0" w:rsidRDefault="00B353D0" w:rsidP="00B353D0">
      <w:pPr>
        <w:pStyle w:val="BodyText"/>
      </w:pPr>
      <w:r>
        <w:t>Based on the above adjustments, O&amp;M expense should be decreased by $584, resulting in total O&amp;M expense of $33,402. Staff’s recommended adjustments to O&amp;M expense are shown on Schedule Nos. 3-A, 3-B, and 3-C.</w:t>
      </w:r>
    </w:p>
    <w:p w:rsidR="00B353D0" w:rsidRDefault="00B353D0" w:rsidP="00B353D0">
      <w:pPr>
        <w:pStyle w:val="Second-LevelSubheading"/>
        <w:ind w:left="0"/>
        <w:rPr>
          <w:i w:val="0"/>
        </w:rPr>
      </w:pPr>
      <w:r>
        <w:rPr>
          <w:i w:val="0"/>
        </w:rPr>
        <w:t>Depreciation Expense (Net of Amortization of CIAC)</w:t>
      </w:r>
    </w:p>
    <w:p w:rsidR="00B353D0" w:rsidRDefault="00B353D0" w:rsidP="00B353D0">
      <w:pPr>
        <w:pStyle w:val="BodyText"/>
      </w:pPr>
      <w:r>
        <w:t>The Utility’s records reflect test year depreciation of $10,875 and CIAC amortization of $1,280, for a net depreciation expense of $9,595 ($10,875 - $1,280 = $9,595). Staff calculated depreciation expense using the prescribed rates set forth in Rule 25-30.140, F.A.C</w:t>
      </w:r>
      <w:r>
        <w:rPr>
          <w:rFonts w:cs="Courier New"/>
        </w:rPr>
        <w:t>.</w:t>
      </w:r>
      <w:r w:rsidR="00C57337">
        <w:rPr>
          <w:rFonts w:cs="Courier New"/>
        </w:rPr>
        <w:t>,</w:t>
      </w:r>
      <w:r>
        <w:rPr>
          <w:rFonts w:cs="Courier New"/>
        </w:rPr>
        <w:t xml:space="preserve"> and determined depreciation expense to be $7,752. Also, staff determined that the pro forma flow meter replacement results in a minor incremental increase of $7 in depreciation expense. Accordingly, staff decreased this account by a net adjustment of $3,116 ($7,752 + 7 - $10,875 = -$3,116). Staff’s decrease to depreciation expense is primarily due to the elimination of $3,123 in depreciation expense going forward for plant Account No. 320 – Water Treatment Equipment that became fully depreciated during the test year. In addition, staff calculated CIAC amortization based on composite rates, and determined that no adjustments are necessary. </w:t>
      </w:r>
      <w:r>
        <w:t>This results in a net depreciation expense of $6,479 ($7,752 + $7 - $1,280 = $6,479). Therefore, staff recommends net depreciation expense of $6,479.</w:t>
      </w:r>
    </w:p>
    <w:p w:rsidR="00B353D0" w:rsidRDefault="00B353D0" w:rsidP="00B353D0">
      <w:pPr>
        <w:pStyle w:val="Second-LevelSubheading"/>
        <w:ind w:left="0"/>
        <w:rPr>
          <w:i w:val="0"/>
        </w:rPr>
      </w:pPr>
      <w:r>
        <w:rPr>
          <w:i w:val="0"/>
        </w:rPr>
        <w:t>Taxes Other Than Income (TOTI)</w:t>
      </w:r>
    </w:p>
    <w:p w:rsidR="00B353D0" w:rsidRDefault="00B353D0" w:rsidP="00B353D0">
      <w:pPr>
        <w:pStyle w:val="BodyText"/>
      </w:pPr>
      <w:r>
        <w:t xml:space="preserve">Raintree recorded TOTI of $2,951 for the test year. The Utility </w:t>
      </w:r>
      <w:r>
        <w:rPr>
          <w:rFonts w:cs="Courier New"/>
        </w:rPr>
        <w:t xml:space="preserve">recorded $1,997 for regulatory assessment fees (RAFs). </w:t>
      </w:r>
      <w:r>
        <w:t xml:space="preserve">Based on staff’s recommended test year revenues of $42,540, the Utility’s RAFs should be $1,914. Therefore, staff decreased this account by $83 to reflect the appropriate RAFs. Also, the Utility recorded property tax accruals of $954 during the test year. Audit staff determined that the Utility’s actual property taxes for the 2014 tax year were $671. However, subsequent to the audit, the 2015 property tax records became available, indicating that Raintree paid lower property taxes of $567 for the 2015 tax year. In addition, the pro forma flow meter replacement discussed in Issue 3 results in a minor $3 increase in the Utility’s property taxes. Based on the 2015 property taxes plus the minor pro forma adjustment, staff decreased this account by $384 to reflect the appropriate property taxes going forward ($567 + $3 - $954 = -$384). Staff’s total adjustment to test year TOTI is a decrease of $467 (-$83 - $384 = -$467). </w:t>
      </w:r>
    </w:p>
    <w:p w:rsidR="00B353D0" w:rsidRDefault="00B353D0" w:rsidP="00B353D0">
      <w:pPr>
        <w:pStyle w:val="BodyText"/>
      </w:pPr>
      <w:r>
        <w:t>In addition, as discussed in Issue 7, revenues have been increased by $4,510 to reflect the change in revenue required to cover expenses and allow the recommended rate of return. As a result, TOTI should be increased by $203 to reflect RAFs of 4.5 percent of the change in revenues. Therefore, staff recommends TOTI of $2,687.</w:t>
      </w:r>
    </w:p>
    <w:p w:rsidR="00B353D0" w:rsidRDefault="00B353D0" w:rsidP="00B353D0">
      <w:pPr>
        <w:rPr>
          <w:rFonts w:ascii="Arial" w:hAnsi="Arial" w:cs="Arial"/>
          <w:b/>
          <w:bCs/>
          <w:iCs/>
          <w:szCs w:val="28"/>
        </w:rPr>
      </w:pPr>
      <w:r>
        <w:rPr>
          <w:i/>
        </w:rPr>
        <w:br w:type="page"/>
      </w:r>
    </w:p>
    <w:p w:rsidR="00B353D0" w:rsidRDefault="00B353D0" w:rsidP="00B353D0">
      <w:pPr>
        <w:pStyle w:val="Second-LevelSubheading"/>
        <w:ind w:left="0"/>
        <w:rPr>
          <w:i w:val="0"/>
        </w:rPr>
      </w:pPr>
      <w:r>
        <w:rPr>
          <w:i w:val="0"/>
        </w:rPr>
        <w:lastRenderedPageBreak/>
        <w:t>Operating Expenses Summary</w:t>
      </w:r>
    </w:p>
    <w:p w:rsidR="00B353D0" w:rsidRDefault="00B353D0" w:rsidP="00B353D0">
      <w:r>
        <w:t xml:space="preserve">The application of staff’s recommended adjustments to Raintree’s test year operating expenses result in operating expenses of $42,568. Operating expenses are shown on Schedule No. 3-A. The adjustments are shown on Schedule No. 3-B. </w:t>
      </w:r>
    </w:p>
    <w:p w:rsidR="0086716D" w:rsidRDefault="0086716D">
      <w:pPr>
        <w:pStyle w:val="BodyText"/>
      </w:pPr>
    </w:p>
    <w:p w:rsidR="0086716D" w:rsidRDefault="0086716D">
      <w:pPr>
        <w:pStyle w:val="IssueHeading"/>
        <w:rPr>
          <w:vanish/>
          <w:specVanish/>
        </w:rPr>
      </w:pPr>
      <w:r w:rsidRPr="004C3641">
        <w:rPr>
          <w:b w:val="0"/>
          <w:i w:val="0"/>
        </w:rPr>
        <w:br w:type="page"/>
      </w:r>
      <w:bookmarkStart w:id="89" w:name="_Toc450304702"/>
      <w:bookmarkStart w:id="90" w:name="_Toc450304723"/>
      <w:bookmarkStart w:id="91" w:name="_Toc450304962"/>
      <w:r w:rsidRPr="004C3641">
        <w:lastRenderedPageBreak/>
        <w:t xml:space="preserve">Issue </w:t>
      </w:r>
      <w:r w:rsidR="005251FA">
        <w:fldChar w:fldCharType="begin"/>
      </w:r>
      <w:r w:rsidR="005251FA">
        <w:instrText xml:space="preserve"> SEQ Issue \*</w:instrText>
      </w:r>
      <w:r w:rsidR="005251FA">
        <w:instrText xml:space="preserve"> MERGEFORMAT </w:instrText>
      </w:r>
      <w:r w:rsidR="005251FA">
        <w:fldChar w:fldCharType="separate"/>
      </w:r>
      <w:r w:rsidR="000A550E">
        <w:rPr>
          <w:noProof/>
        </w:rPr>
        <w:t>7</w:t>
      </w:r>
      <w:r w:rsidR="005251FA">
        <w:rPr>
          <w:noProof/>
        </w:rPr>
        <w:fldChar w:fldCharType="end"/>
      </w:r>
      <w:r w:rsidRPr="004C3641">
        <w:t>:</w:t>
      </w:r>
      <w:bookmarkEnd w:id="89"/>
      <w:bookmarkEnd w:id="90"/>
      <w:bookmarkEnd w:id="91"/>
      <w:r>
        <w:fldChar w:fldCharType="begin"/>
      </w:r>
      <w:r>
        <w:instrText xml:space="preserve"> TC "</w:instrText>
      </w:r>
      <w:bookmarkStart w:id="92" w:name="_Toc450306835"/>
      <w:bookmarkStart w:id="93" w:name="_Toc450650600"/>
      <w:bookmarkStart w:id="94" w:name="_Toc450652882"/>
      <w:bookmarkStart w:id="95" w:name="_Toc451766970"/>
      <w:r w:rsidR="00374614" w:rsidRPr="007076B8">
        <w:rPr>
          <w:rFonts w:ascii="Times New Roman" w:hAnsi="Times New Roman" w:cs="Times New Roman"/>
          <w:b w:val="0"/>
          <w:i w:val="0"/>
        </w:rPr>
        <w:instrText xml:space="preserve">Issue </w:instrText>
      </w:r>
      <w:r w:rsidRPr="007076B8">
        <w:rPr>
          <w:rFonts w:ascii="Times New Roman" w:hAnsi="Times New Roman" w:cs="Times New Roman"/>
          <w:b w:val="0"/>
          <w:i w:val="0"/>
        </w:rPr>
        <w:fldChar w:fldCharType="begin"/>
      </w:r>
      <w:r w:rsidRPr="007076B8">
        <w:rPr>
          <w:rFonts w:ascii="Times New Roman" w:hAnsi="Times New Roman" w:cs="Times New Roman"/>
          <w:b w:val="0"/>
          <w:i w:val="0"/>
        </w:rPr>
        <w:instrText xml:space="preserve"> SEQ issue \c </w:instrText>
      </w:r>
      <w:r w:rsidRPr="007076B8">
        <w:rPr>
          <w:rFonts w:ascii="Times New Roman" w:hAnsi="Times New Roman" w:cs="Times New Roman"/>
          <w:b w:val="0"/>
          <w:i w:val="0"/>
        </w:rPr>
        <w:fldChar w:fldCharType="separate"/>
      </w:r>
      <w:bookmarkStart w:id="96" w:name="_Toc450304907"/>
      <w:bookmarkStart w:id="97" w:name="_Toc450304963"/>
      <w:bookmarkStart w:id="98" w:name="_Toc450305018"/>
      <w:r w:rsidR="000A550E">
        <w:rPr>
          <w:rFonts w:ascii="Times New Roman" w:hAnsi="Times New Roman" w:cs="Times New Roman"/>
          <w:b w:val="0"/>
          <w:i w:val="0"/>
          <w:noProof/>
        </w:rPr>
        <w:instrText>7</w:instrText>
      </w:r>
      <w:bookmarkEnd w:id="96"/>
      <w:bookmarkEnd w:id="97"/>
      <w:bookmarkEnd w:id="98"/>
      <w:r w:rsidRPr="007076B8">
        <w:rPr>
          <w:rFonts w:ascii="Times New Roman" w:hAnsi="Times New Roman" w:cs="Times New Roman"/>
          <w:b w:val="0"/>
          <w:i w:val="0"/>
        </w:rPr>
        <w:fldChar w:fldCharType="end"/>
      </w:r>
      <w:r w:rsidR="00374614" w:rsidRPr="007076B8">
        <w:rPr>
          <w:rFonts w:ascii="Times New Roman" w:hAnsi="Times New Roman" w:cs="Times New Roman"/>
          <w:b w:val="0"/>
          <w:i w:val="0"/>
        </w:rPr>
        <w:instrText xml:space="preserve"> </w:instrText>
      </w:r>
      <w:bookmarkEnd w:id="92"/>
      <w:bookmarkEnd w:id="93"/>
      <w:r w:rsidR="009D0579" w:rsidRPr="007076B8">
        <w:rPr>
          <w:rFonts w:ascii="Times New Roman" w:hAnsi="Times New Roman" w:cs="Times New Roman"/>
          <w:b w:val="0"/>
          <w:i w:val="0"/>
        </w:rPr>
        <w:instrText>Revenue Requirement</w:instrText>
      </w:r>
      <w:bookmarkEnd w:id="94"/>
      <w:bookmarkEnd w:id="95"/>
      <w:r w:rsidR="00374614">
        <w:instrText>”</w:instrText>
      </w:r>
      <w:r>
        <w:instrText xml:space="preserve"> \l 1 </w:instrText>
      </w:r>
      <w:r>
        <w:fldChar w:fldCharType="end"/>
      </w:r>
      <w:r>
        <w:t> </w:t>
      </w:r>
    </w:p>
    <w:p w:rsidR="0086716D" w:rsidRDefault="0086716D">
      <w:pPr>
        <w:pStyle w:val="BodyText"/>
      </w:pPr>
      <w:r>
        <w:t> </w:t>
      </w:r>
      <w:r w:rsidR="00DB3D30">
        <w:t> </w:t>
      </w:r>
      <w:r w:rsidR="003F07A9">
        <w:t>What is the appropriate revenue requirement?</w:t>
      </w:r>
    </w:p>
    <w:p w:rsidR="00A003BE" w:rsidRDefault="00A003BE" w:rsidP="00A003BE">
      <w:pPr>
        <w:pStyle w:val="IssueSubsectionHeading"/>
        <w:rPr>
          <w:vanish/>
          <w:specVanish/>
        </w:rPr>
      </w:pPr>
      <w:r>
        <w:t>Recommendation: </w:t>
      </w:r>
    </w:p>
    <w:p w:rsidR="0086716D" w:rsidRDefault="00A003BE" w:rsidP="00A003BE">
      <w:pPr>
        <w:pStyle w:val="BodyText"/>
      </w:pPr>
      <w:r>
        <w:t> The appropriate revenue requirement is $47,050, resulting in an annual increase of $4,510 (10.60 percent). (Golden)</w:t>
      </w:r>
      <w:r w:rsidR="0086716D">
        <w:t xml:space="preserve"> </w:t>
      </w:r>
    </w:p>
    <w:p w:rsidR="0086716D" w:rsidRPr="004C3641" w:rsidRDefault="0086716D">
      <w:pPr>
        <w:pStyle w:val="IssueSubsectionHeading"/>
        <w:rPr>
          <w:vanish/>
          <w:specVanish/>
        </w:rPr>
      </w:pPr>
      <w:r w:rsidRPr="004C3641">
        <w:t>Staff Analysis: </w:t>
      </w:r>
    </w:p>
    <w:p w:rsidR="001C1199" w:rsidRDefault="0086716D" w:rsidP="001C265C">
      <w:pPr>
        <w:pStyle w:val="BodyText"/>
        <w:spacing w:after="0"/>
      </w:pPr>
      <w:r>
        <w:t> </w:t>
      </w:r>
      <w:r w:rsidR="001C1199">
        <w:t>Raintree should be allowed an annual increase of $4,510 (10.60 percent). This will allow the Utility the opportunity to recover its expenses and earn an 8.74 percent return on its investment. The calculations are as follows in Table 7-1 below:</w:t>
      </w:r>
    </w:p>
    <w:p w:rsidR="001C265C" w:rsidRDefault="001C265C" w:rsidP="001C265C">
      <w:pPr>
        <w:pStyle w:val="BodyText"/>
        <w:spacing w:after="0"/>
      </w:pPr>
    </w:p>
    <w:p w:rsidR="00393CE3" w:rsidRDefault="00393CE3" w:rsidP="001C265C">
      <w:pPr>
        <w:pStyle w:val="BodyText"/>
        <w:spacing w:after="0"/>
        <w:jc w:val="center"/>
        <w:rPr>
          <w:rFonts w:ascii="Arial" w:hAnsi="Arial" w:cs="Arial"/>
          <w:b/>
        </w:rPr>
      </w:pPr>
    </w:p>
    <w:p w:rsidR="001C1199" w:rsidRDefault="001C1199" w:rsidP="001C265C">
      <w:pPr>
        <w:pStyle w:val="BodyText"/>
        <w:spacing w:after="0"/>
        <w:jc w:val="center"/>
        <w:rPr>
          <w:rFonts w:ascii="Arial" w:hAnsi="Arial" w:cs="Arial"/>
          <w:b/>
        </w:rPr>
      </w:pPr>
      <w:r>
        <w:rPr>
          <w:rFonts w:ascii="Arial" w:hAnsi="Arial" w:cs="Arial"/>
          <w:b/>
        </w:rPr>
        <w:t>Table 7-1</w:t>
      </w:r>
    </w:p>
    <w:p w:rsidR="001C1199" w:rsidRDefault="001C1199" w:rsidP="001C265C">
      <w:pPr>
        <w:pStyle w:val="BodyText"/>
        <w:spacing w:after="0"/>
        <w:jc w:val="center"/>
        <w:rPr>
          <w:rFonts w:ascii="Arial" w:hAnsi="Arial" w:cs="Arial"/>
          <w:b/>
        </w:rPr>
      </w:pPr>
      <w:r>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1C1199" w:rsidTr="001C1199">
        <w:trPr>
          <w:cantSplit/>
          <w:jc w:val="center"/>
        </w:trPr>
        <w:tc>
          <w:tcPr>
            <w:tcW w:w="3681" w:type="dxa"/>
            <w:tcBorders>
              <w:top w:val="single" w:sz="4" w:space="0" w:color="auto"/>
              <w:left w:val="single" w:sz="4" w:space="0" w:color="auto"/>
              <w:bottom w:val="nil"/>
              <w:right w:val="nil"/>
            </w:tcBorders>
            <w:hideMark/>
          </w:tcPr>
          <w:p w:rsidR="001C1199" w:rsidRDefault="001C1199">
            <w:pPr>
              <w:spacing w:before="116" w:after="44"/>
            </w:pPr>
            <w:r>
              <w:t>Adjusted Rate Base</w:t>
            </w:r>
          </w:p>
        </w:tc>
        <w:tc>
          <w:tcPr>
            <w:tcW w:w="881" w:type="dxa"/>
            <w:tcBorders>
              <w:top w:val="single" w:sz="4" w:space="0" w:color="auto"/>
              <w:left w:val="nil"/>
              <w:bottom w:val="nil"/>
              <w:right w:val="nil"/>
            </w:tcBorders>
          </w:tcPr>
          <w:p w:rsidR="001C1199" w:rsidRDefault="001C1199">
            <w:pPr>
              <w:spacing w:before="116" w:after="44"/>
              <w:jc w:val="center"/>
            </w:pPr>
          </w:p>
        </w:tc>
        <w:tc>
          <w:tcPr>
            <w:tcW w:w="1141" w:type="dxa"/>
            <w:tcBorders>
              <w:top w:val="single" w:sz="4" w:space="0" w:color="auto"/>
              <w:left w:val="nil"/>
              <w:bottom w:val="nil"/>
              <w:right w:val="single" w:sz="4" w:space="0" w:color="auto"/>
            </w:tcBorders>
            <w:hideMark/>
          </w:tcPr>
          <w:p w:rsidR="001C1199" w:rsidRDefault="001C1199">
            <w:pPr>
              <w:spacing w:before="116" w:after="44"/>
              <w:jc w:val="right"/>
            </w:pPr>
            <w:r>
              <w:t>$51,282</w:t>
            </w:r>
          </w:p>
        </w:tc>
      </w:tr>
      <w:tr w:rsidR="001C1199" w:rsidTr="001C1199">
        <w:trPr>
          <w:cantSplit/>
          <w:jc w:val="center"/>
        </w:trPr>
        <w:tc>
          <w:tcPr>
            <w:tcW w:w="3681" w:type="dxa"/>
            <w:tcBorders>
              <w:top w:val="nil"/>
              <w:left w:val="single" w:sz="4" w:space="0" w:color="auto"/>
              <w:bottom w:val="nil"/>
              <w:right w:val="nil"/>
            </w:tcBorders>
            <w:hideMark/>
          </w:tcPr>
          <w:p w:rsidR="001C1199" w:rsidRDefault="001C1199">
            <w:pPr>
              <w:spacing w:before="116" w:after="44"/>
            </w:pPr>
            <w:r>
              <w:t>Rate of Return</w:t>
            </w:r>
          </w:p>
        </w:tc>
        <w:tc>
          <w:tcPr>
            <w:tcW w:w="881" w:type="dxa"/>
            <w:tcBorders>
              <w:top w:val="nil"/>
              <w:left w:val="nil"/>
              <w:bottom w:val="nil"/>
              <w:right w:val="nil"/>
            </w:tcBorders>
          </w:tcPr>
          <w:p w:rsidR="001C1199" w:rsidRDefault="001C1199">
            <w:pPr>
              <w:spacing w:before="116" w:after="44"/>
              <w:jc w:val="center"/>
            </w:pPr>
          </w:p>
        </w:tc>
        <w:tc>
          <w:tcPr>
            <w:tcW w:w="1141" w:type="dxa"/>
            <w:tcBorders>
              <w:top w:val="nil"/>
              <w:left w:val="nil"/>
              <w:bottom w:val="single" w:sz="4" w:space="0" w:color="auto"/>
              <w:right w:val="single" w:sz="4" w:space="0" w:color="auto"/>
            </w:tcBorders>
            <w:hideMark/>
          </w:tcPr>
          <w:p w:rsidR="001C1199" w:rsidRDefault="001C1199">
            <w:pPr>
              <w:spacing w:before="116" w:after="44"/>
              <w:jc w:val="right"/>
            </w:pPr>
            <w:r>
              <w:t>x 8.74%</w:t>
            </w:r>
          </w:p>
        </w:tc>
      </w:tr>
      <w:tr w:rsidR="001C1199" w:rsidTr="001C1199">
        <w:trPr>
          <w:cantSplit/>
          <w:jc w:val="center"/>
        </w:trPr>
        <w:tc>
          <w:tcPr>
            <w:tcW w:w="3681" w:type="dxa"/>
            <w:tcBorders>
              <w:top w:val="nil"/>
              <w:left w:val="single" w:sz="4" w:space="0" w:color="auto"/>
              <w:bottom w:val="nil"/>
              <w:right w:val="nil"/>
            </w:tcBorders>
            <w:hideMark/>
          </w:tcPr>
          <w:p w:rsidR="001C1199" w:rsidRDefault="001C1199">
            <w:pPr>
              <w:spacing w:before="116" w:after="44"/>
            </w:pPr>
            <w:r>
              <w:t>Return on Rate Base</w:t>
            </w:r>
          </w:p>
        </w:tc>
        <w:tc>
          <w:tcPr>
            <w:tcW w:w="881" w:type="dxa"/>
            <w:tcBorders>
              <w:top w:val="nil"/>
              <w:left w:val="nil"/>
              <w:bottom w:val="nil"/>
              <w:right w:val="nil"/>
            </w:tcBorders>
          </w:tcPr>
          <w:p w:rsidR="001C1199" w:rsidRDefault="001C1199">
            <w:pPr>
              <w:spacing w:before="116" w:after="44"/>
              <w:jc w:val="center"/>
            </w:pPr>
          </w:p>
        </w:tc>
        <w:tc>
          <w:tcPr>
            <w:tcW w:w="1141" w:type="dxa"/>
            <w:tcBorders>
              <w:top w:val="single" w:sz="4" w:space="0" w:color="auto"/>
              <w:left w:val="nil"/>
              <w:bottom w:val="nil"/>
              <w:right w:val="single" w:sz="4" w:space="0" w:color="auto"/>
            </w:tcBorders>
            <w:hideMark/>
          </w:tcPr>
          <w:p w:rsidR="001C1199" w:rsidRDefault="001C1199">
            <w:pPr>
              <w:spacing w:before="116" w:after="44"/>
              <w:jc w:val="right"/>
            </w:pPr>
            <w:r>
              <w:t xml:space="preserve">$4,482  </w:t>
            </w:r>
          </w:p>
        </w:tc>
      </w:tr>
      <w:tr w:rsidR="001C1199" w:rsidTr="001C1199">
        <w:trPr>
          <w:cantSplit/>
          <w:jc w:val="center"/>
        </w:trPr>
        <w:tc>
          <w:tcPr>
            <w:tcW w:w="3681" w:type="dxa"/>
            <w:tcBorders>
              <w:top w:val="nil"/>
              <w:left w:val="single" w:sz="4" w:space="0" w:color="auto"/>
              <w:bottom w:val="nil"/>
              <w:right w:val="nil"/>
            </w:tcBorders>
            <w:hideMark/>
          </w:tcPr>
          <w:p w:rsidR="001C1199" w:rsidRDefault="001C1199">
            <w:pPr>
              <w:spacing w:before="116" w:after="44"/>
            </w:pPr>
            <w:r>
              <w:t>Adjusted O&amp;M Expense</w:t>
            </w:r>
          </w:p>
        </w:tc>
        <w:tc>
          <w:tcPr>
            <w:tcW w:w="881" w:type="dxa"/>
            <w:tcBorders>
              <w:top w:val="nil"/>
              <w:left w:val="nil"/>
              <w:bottom w:val="nil"/>
              <w:right w:val="nil"/>
            </w:tcBorders>
          </w:tcPr>
          <w:p w:rsidR="001C1199" w:rsidRDefault="001C1199">
            <w:pPr>
              <w:spacing w:before="116" w:after="44"/>
              <w:jc w:val="center"/>
            </w:pPr>
          </w:p>
        </w:tc>
        <w:tc>
          <w:tcPr>
            <w:tcW w:w="1141" w:type="dxa"/>
            <w:tcBorders>
              <w:top w:val="nil"/>
              <w:left w:val="nil"/>
              <w:bottom w:val="nil"/>
              <w:right w:val="single" w:sz="4" w:space="0" w:color="auto"/>
            </w:tcBorders>
            <w:hideMark/>
          </w:tcPr>
          <w:p w:rsidR="001C1199" w:rsidRDefault="001C1199">
            <w:pPr>
              <w:spacing w:before="116" w:after="44"/>
              <w:jc w:val="right"/>
            </w:pPr>
            <w:r>
              <w:t>33,402</w:t>
            </w:r>
          </w:p>
        </w:tc>
      </w:tr>
      <w:tr w:rsidR="001C1199" w:rsidTr="001C1199">
        <w:trPr>
          <w:cantSplit/>
          <w:jc w:val="center"/>
        </w:trPr>
        <w:tc>
          <w:tcPr>
            <w:tcW w:w="3681" w:type="dxa"/>
            <w:tcBorders>
              <w:top w:val="nil"/>
              <w:left w:val="single" w:sz="4" w:space="0" w:color="auto"/>
              <w:bottom w:val="nil"/>
              <w:right w:val="nil"/>
            </w:tcBorders>
            <w:hideMark/>
          </w:tcPr>
          <w:p w:rsidR="001C1199" w:rsidRDefault="001C1199">
            <w:pPr>
              <w:spacing w:before="116" w:after="44"/>
            </w:pPr>
            <w:r>
              <w:t xml:space="preserve">Depreciation Expense (Net) </w:t>
            </w:r>
          </w:p>
        </w:tc>
        <w:tc>
          <w:tcPr>
            <w:tcW w:w="881" w:type="dxa"/>
            <w:tcBorders>
              <w:top w:val="nil"/>
              <w:left w:val="nil"/>
              <w:bottom w:val="nil"/>
              <w:right w:val="nil"/>
            </w:tcBorders>
          </w:tcPr>
          <w:p w:rsidR="001C1199" w:rsidRDefault="001C1199">
            <w:pPr>
              <w:spacing w:before="116" w:after="44"/>
              <w:jc w:val="center"/>
            </w:pPr>
          </w:p>
        </w:tc>
        <w:tc>
          <w:tcPr>
            <w:tcW w:w="1141" w:type="dxa"/>
            <w:tcBorders>
              <w:top w:val="nil"/>
              <w:left w:val="nil"/>
              <w:bottom w:val="nil"/>
              <w:right w:val="single" w:sz="4" w:space="0" w:color="auto"/>
            </w:tcBorders>
            <w:hideMark/>
          </w:tcPr>
          <w:p w:rsidR="001C1199" w:rsidRDefault="001C1199">
            <w:pPr>
              <w:spacing w:before="116" w:after="44"/>
              <w:jc w:val="right"/>
            </w:pPr>
            <w:r>
              <w:t>6,479</w:t>
            </w:r>
          </w:p>
        </w:tc>
      </w:tr>
      <w:tr w:rsidR="001C1199" w:rsidTr="001C1199">
        <w:trPr>
          <w:cantSplit/>
          <w:jc w:val="center"/>
        </w:trPr>
        <w:tc>
          <w:tcPr>
            <w:tcW w:w="3681" w:type="dxa"/>
            <w:tcBorders>
              <w:top w:val="nil"/>
              <w:left w:val="single" w:sz="4" w:space="0" w:color="auto"/>
              <w:bottom w:val="nil"/>
              <w:right w:val="nil"/>
            </w:tcBorders>
            <w:hideMark/>
          </w:tcPr>
          <w:p w:rsidR="001C1199" w:rsidRDefault="001C1199">
            <w:pPr>
              <w:spacing w:before="116" w:after="44"/>
            </w:pPr>
            <w:r>
              <w:t>Taxes Other Than Income</w:t>
            </w:r>
          </w:p>
        </w:tc>
        <w:tc>
          <w:tcPr>
            <w:tcW w:w="881" w:type="dxa"/>
            <w:tcBorders>
              <w:top w:val="nil"/>
              <w:left w:val="nil"/>
              <w:bottom w:val="nil"/>
              <w:right w:val="nil"/>
            </w:tcBorders>
          </w:tcPr>
          <w:p w:rsidR="001C1199" w:rsidRDefault="001C1199">
            <w:pPr>
              <w:spacing w:before="116" w:after="44"/>
              <w:jc w:val="center"/>
            </w:pPr>
          </w:p>
        </w:tc>
        <w:tc>
          <w:tcPr>
            <w:tcW w:w="1141" w:type="dxa"/>
            <w:tcBorders>
              <w:top w:val="nil"/>
              <w:left w:val="nil"/>
              <w:bottom w:val="nil"/>
              <w:right w:val="single" w:sz="4" w:space="0" w:color="auto"/>
            </w:tcBorders>
            <w:hideMark/>
          </w:tcPr>
          <w:p w:rsidR="001C1199" w:rsidRDefault="001C1199">
            <w:pPr>
              <w:spacing w:before="116" w:after="44"/>
              <w:jc w:val="right"/>
            </w:pPr>
            <w:r>
              <w:t>2,687</w:t>
            </w:r>
          </w:p>
        </w:tc>
      </w:tr>
      <w:tr w:rsidR="001C1199" w:rsidTr="001C1199">
        <w:trPr>
          <w:cantSplit/>
          <w:jc w:val="center"/>
        </w:trPr>
        <w:tc>
          <w:tcPr>
            <w:tcW w:w="3681" w:type="dxa"/>
            <w:tcBorders>
              <w:top w:val="nil"/>
              <w:left w:val="single" w:sz="4" w:space="0" w:color="auto"/>
              <w:bottom w:val="nil"/>
              <w:right w:val="nil"/>
            </w:tcBorders>
            <w:hideMark/>
          </w:tcPr>
          <w:p w:rsidR="001C1199" w:rsidRDefault="001C1199">
            <w:pPr>
              <w:spacing w:before="116" w:after="44"/>
            </w:pPr>
            <w:r>
              <w:t>Income Taxes</w:t>
            </w:r>
          </w:p>
        </w:tc>
        <w:tc>
          <w:tcPr>
            <w:tcW w:w="881" w:type="dxa"/>
            <w:tcBorders>
              <w:top w:val="nil"/>
              <w:left w:val="nil"/>
              <w:bottom w:val="nil"/>
              <w:right w:val="nil"/>
            </w:tcBorders>
          </w:tcPr>
          <w:p w:rsidR="001C1199" w:rsidRDefault="001C1199">
            <w:pPr>
              <w:spacing w:before="116" w:after="44"/>
              <w:jc w:val="center"/>
            </w:pPr>
          </w:p>
        </w:tc>
        <w:tc>
          <w:tcPr>
            <w:tcW w:w="1141" w:type="dxa"/>
            <w:tcBorders>
              <w:top w:val="nil"/>
              <w:left w:val="nil"/>
              <w:bottom w:val="single" w:sz="4" w:space="0" w:color="auto"/>
              <w:right w:val="single" w:sz="4" w:space="0" w:color="auto"/>
            </w:tcBorders>
            <w:hideMark/>
          </w:tcPr>
          <w:p w:rsidR="001C1199" w:rsidRDefault="001C1199">
            <w:pPr>
              <w:spacing w:before="116" w:after="44"/>
              <w:jc w:val="right"/>
            </w:pPr>
            <w:r>
              <w:t>0</w:t>
            </w:r>
          </w:p>
        </w:tc>
      </w:tr>
      <w:tr w:rsidR="001C1199" w:rsidTr="001C1199">
        <w:trPr>
          <w:cantSplit/>
          <w:jc w:val="center"/>
        </w:trPr>
        <w:tc>
          <w:tcPr>
            <w:tcW w:w="3681" w:type="dxa"/>
            <w:tcBorders>
              <w:top w:val="nil"/>
              <w:left w:val="single" w:sz="4" w:space="0" w:color="auto"/>
              <w:bottom w:val="nil"/>
              <w:right w:val="nil"/>
            </w:tcBorders>
            <w:hideMark/>
          </w:tcPr>
          <w:p w:rsidR="001C1199" w:rsidRDefault="001C1199">
            <w:pPr>
              <w:spacing w:before="116" w:after="44"/>
            </w:pPr>
            <w:r>
              <w:t xml:space="preserve">Revenue Requirement </w:t>
            </w:r>
          </w:p>
        </w:tc>
        <w:tc>
          <w:tcPr>
            <w:tcW w:w="881" w:type="dxa"/>
            <w:tcBorders>
              <w:top w:val="nil"/>
              <w:left w:val="nil"/>
              <w:bottom w:val="nil"/>
              <w:right w:val="nil"/>
            </w:tcBorders>
          </w:tcPr>
          <w:p w:rsidR="001C1199" w:rsidRDefault="001C1199">
            <w:pPr>
              <w:spacing w:before="116" w:after="44"/>
              <w:jc w:val="center"/>
            </w:pPr>
          </w:p>
        </w:tc>
        <w:tc>
          <w:tcPr>
            <w:tcW w:w="1141" w:type="dxa"/>
            <w:tcBorders>
              <w:top w:val="single" w:sz="4" w:space="0" w:color="auto"/>
              <w:left w:val="nil"/>
              <w:bottom w:val="nil"/>
              <w:right w:val="single" w:sz="4" w:space="0" w:color="auto"/>
            </w:tcBorders>
            <w:hideMark/>
          </w:tcPr>
          <w:p w:rsidR="001C1199" w:rsidRDefault="001C1199">
            <w:pPr>
              <w:spacing w:before="116" w:after="44"/>
              <w:jc w:val="right"/>
            </w:pPr>
            <w:r>
              <w:t>$47,050</w:t>
            </w:r>
          </w:p>
        </w:tc>
      </w:tr>
      <w:tr w:rsidR="001C1199" w:rsidTr="001C1199">
        <w:trPr>
          <w:cantSplit/>
          <w:jc w:val="center"/>
        </w:trPr>
        <w:tc>
          <w:tcPr>
            <w:tcW w:w="3681" w:type="dxa"/>
            <w:tcBorders>
              <w:top w:val="nil"/>
              <w:left w:val="single" w:sz="4" w:space="0" w:color="auto"/>
              <w:bottom w:val="nil"/>
              <w:right w:val="nil"/>
            </w:tcBorders>
            <w:hideMark/>
          </w:tcPr>
          <w:p w:rsidR="001C1199" w:rsidRDefault="001C1199">
            <w:pPr>
              <w:spacing w:before="116" w:after="44"/>
            </w:pPr>
            <w:r>
              <w:t>Less Adjusted Test Year Revenues</w:t>
            </w:r>
          </w:p>
        </w:tc>
        <w:tc>
          <w:tcPr>
            <w:tcW w:w="881" w:type="dxa"/>
            <w:tcBorders>
              <w:top w:val="nil"/>
              <w:left w:val="nil"/>
              <w:bottom w:val="nil"/>
              <w:right w:val="nil"/>
            </w:tcBorders>
          </w:tcPr>
          <w:p w:rsidR="001C1199" w:rsidRDefault="001C1199">
            <w:pPr>
              <w:spacing w:before="116" w:after="44"/>
              <w:jc w:val="center"/>
            </w:pPr>
          </w:p>
        </w:tc>
        <w:tc>
          <w:tcPr>
            <w:tcW w:w="1141" w:type="dxa"/>
            <w:tcBorders>
              <w:top w:val="nil"/>
              <w:left w:val="nil"/>
              <w:bottom w:val="single" w:sz="4" w:space="0" w:color="auto"/>
              <w:right w:val="single" w:sz="4" w:space="0" w:color="auto"/>
            </w:tcBorders>
            <w:hideMark/>
          </w:tcPr>
          <w:p w:rsidR="001C1199" w:rsidRDefault="001C1199">
            <w:pPr>
              <w:spacing w:before="116" w:after="44"/>
              <w:jc w:val="right"/>
            </w:pPr>
            <w:r>
              <w:t>42,540</w:t>
            </w:r>
          </w:p>
        </w:tc>
      </w:tr>
      <w:tr w:rsidR="001C1199" w:rsidTr="001C1199">
        <w:trPr>
          <w:cantSplit/>
          <w:jc w:val="center"/>
        </w:trPr>
        <w:tc>
          <w:tcPr>
            <w:tcW w:w="3681" w:type="dxa"/>
            <w:tcBorders>
              <w:top w:val="nil"/>
              <w:left w:val="single" w:sz="4" w:space="0" w:color="auto"/>
              <w:bottom w:val="nil"/>
              <w:right w:val="nil"/>
            </w:tcBorders>
            <w:hideMark/>
          </w:tcPr>
          <w:p w:rsidR="001C1199" w:rsidRDefault="001C1199">
            <w:pPr>
              <w:spacing w:before="116" w:after="44"/>
            </w:pPr>
            <w:r>
              <w:t>Annual Increase</w:t>
            </w:r>
          </w:p>
        </w:tc>
        <w:tc>
          <w:tcPr>
            <w:tcW w:w="881" w:type="dxa"/>
            <w:tcBorders>
              <w:top w:val="nil"/>
              <w:left w:val="nil"/>
              <w:bottom w:val="nil"/>
              <w:right w:val="nil"/>
            </w:tcBorders>
          </w:tcPr>
          <w:p w:rsidR="001C1199" w:rsidRDefault="001C1199">
            <w:pPr>
              <w:spacing w:before="116" w:after="44"/>
              <w:jc w:val="center"/>
            </w:pPr>
          </w:p>
        </w:tc>
        <w:tc>
          <w:tcPr>
            <w:tcW w:w="1141" w:type="dxa"/>
            <w:tcBorders>
              <w:top w:val="single" w:sz="4" w:space="0" w:color="auto"/>
              <w:left w:val="nil"/>
              <w:bottom w:val="double" w:sz="4" w:space="0" w:color="auto"/>
              <w:right w:val="single" w:sz="4" w:space="0" w:color="auto"/>
            </w:tcBorders>
            <w:hideMark/>
          </w:tcPr>
          <w:p w:rsidR="001C1199" w:rsidRDefault="001C1199">
            <w:pPr>
              <w:spacing w:before="116" w:after="44"/>
              <w:jc w:val="right"/>
            </w:pPr>
            <w:r>
              <w:t>$4,510</w:t>
            </w:r>
          </w:p>
        </w:tc>
      </w:tr>
      <w:tr w:rsidR="001C1199" w:rsidTr="001C1199">
        <w:trPr>
          <w:cantSplit/>
          <w:trHeight w:val="372"/>
          <w:jc w:val="center"/>
        </w:trPr>
        <w:tc>
          <w:tcPr>
            <w:tcW w:w="3681" w:type="dxa"/>
            <w:tcBorders>
              <w:top w:val="nil"/>
              <w:left w:val="single" w:sz="4" w:space="0" w:color="auto"/>
              <w:bottom w:val="single" w:sz="4" w:space="0" w:color="auto"/>
              <w:right w:val="nil"/>
            </w:tcBorders>
            <w:hideMark/>
          </w:tcPr>
          <w:p w:rsidR="001C1199" w:rsidRDefault="001C1199">
            <w:pPr>
              <w:spacing w:before="116" w:after="44"/>
            </w:pPr>
            <w:r>
              <w:t>Percent Increase</w:t>
            </w:r>
          </w:p>
        </w:tc>
        <w:tc>
          <w:tcPr>
            <w:tcW w:w="881" w:type="dxa"/>
            <w:tcBorders>
              <w:top w:val="nil"/>
              <w:left w:val="nil"/>
              <w:bottom w:val="single" w:sz="4" w:space="0" w:color="auto"/>
              <w:right w:val="nil"/>
            </w:tcBorders>
          </w:tcPr>
          <w:p w:rsidR="001C1199" w:rsidRDefault="001C1199">
            <w:pPr>
              <w:spacing w:before="116" w:after="44"/>
              <w:jc w:val="center"/>
            </w:pPr>
          </w:p>
        </w:tc>
        <w:tc>
          <w:tcPr>
            <w:tcW w:w="1141" w:type="dxa"/>
            <w:tcBorders>
              <w:top w:val="double" w:sz="4" w:space="0" w:color="auto"/>
              <w:left w:val="nil"/>
              <w:bottom w:val="single" w:sz="4" w:space="0" w:color="auto"/>
              <w:right w:val="single" w:sz="4" w:space="0" w:color="auto"/>
            </w:tcBorders>
            <w:hideMark/>
          </w:tcPr>
          <w:p w:rsidR="001C1199" w:rsidRDefault="001C1199">
            <w:pPr>
              <w:spacing w:before="116" w:after="44"/>
              <w:jc w:val="right"/>
            </w:pPr>
            <w:r>
              <w:t>10.60%</w:t>
            </w:r>
          </w:p>
        </w:tc>
      </w:tr>
    </w:tbl>
    <w:p w:rsidR="001C1199" w:rsidRDefault="001C1199" w:rsidP="001C1199">
      <w:pPr>
        <w:pStyle w:val="BodyText"/>
      </w:pPr>
      <w:r>
        <w:t xml:space="preserve">                              </w:t>
      </w:r>
    </w:p>
    <w:p w:rsidR="0086716D" w:rsidRDefault="0086716D">
      <w:pPr>
        <w:pStyle w:val="BodyText"/>
      </w:pPr>
    </w:p>
    <w:p w:rsidR="0086716D" w:rsidRDefault="0086716D">
      <w:pPr>
        <w:pStyle w:val="IssueHeading"/>
        <w:rPr>
          <w:vanish/>
          <w:specVanish/>
        </w:rPr>
      </w:pPr>
      <w:r w:rsidRPr="004C3641">
        <w:rPr>
          <w:b w:val="0"/>
          <w:i w:val="0"/>
        </w:rPr>
        <w:br w:type="page"/>
      </w:r>
      <w:bookmarkStart w:id="99" w:name="_Toc450304703"/>
      <w:bookmarkStart w:id="100" w:name="_Toc450304724"/>
      <w:bookmarkStart w:id="101" w:name="_Toc450304964"/>
      <w:r w:rsidRPr="004C3641">
        <w:lastRenderedPageBreak/>
        <w:t xml:space="preserve">Issue </w:t>
      </w:r>
      <w:r w:rsidR="005251FA">
        <w:fldChar w:fldCharType="begin"/>
      </w:r>
      <w:r w:rsidR="005251FA">
        <w:instrText xml:space="preserve"> SEQ Issue \* MERGEFORMAT </w:instrText>
      </w:r>
      <w:r w:rsidR="005251FA">
        <w:fldChar w:fldCharType="separate"/>
      </w:r>
      <w:r w:rsidR="000A550E">
        <w:rPr>
          <w:noProof/>
        </w:rPr>
        <w:t>8</w:t>
      </w:r>
      <w:r w:rsidR="005251FA">
        <w:rPr>
          <w:noProof/>
        </w:rPr>
        <w:fldChar w:fldCharType="end"/>
      </w:r>
      <w:r w:rsidRPr="004C3641">
        <w:t>:</w:t>
      </w:r>
      <w:bookmarkEnd w:id="99"/>
      <w:bookmarkEnd w:id="100"/>
      <w:bookmarkEnd w:id="101"/>
      <w:r>
        <w:fldChar w:fldCharType="begin"/>
      </w:r>
      <w:r>
        <w:instrText xml:space="preserve"> TC "</w:instrText>
      </w:r>
      <w:bookmarkStart w:id="102" w:name="_Toc450306836"/>
      <w:bookmarkStart w:id="103" w:name="_Toc450650601"/>
      <w:bookmarkStart w:id="104" w:name="_Toc450652883"/>
      <w:bookmarkStart w:id="105" w:name="_Toc451766971"/>
      <w:r w:rsidR="00374614" w:rsidRPr="007076B8">
        <w:rPr>
          <w:rFonts w:ascii="Times New Roman" w:hAnsi="Times New Roman" w:cs="Times New Roman"/>
          <w:b w:val="0"/>
          <w:i w:val="0"/>
        </w:rPr>
        <w:instrText xml:space="preserve">Issue </w:instrText>
      </w:r>
      <w:r w:rsidRPr="007076B8">
        <w:rPr>
          <w:rFonts w:ascii="Times New Roman" w:hAnsi="Times New Roman" w:cs="Times New Roman"/>
          <w:b w:val="0"/>
          <w:i w:val="0"/>
        </w:rPr>
        <w:fldChar w:fldCharType="begin"/>
      </w:r>
      <w:r w:rsidRPr="007076B8">
        <w:rPr>
          <w:rFonts w:ascii="Times New Roman" w:hAnsi="Times New Roman" w:cs="Times New Roman"/>
          <w:b w:val="0"/>
          <w:i w:val="0"/>
        </w:rPr>
        <w:instrText xml:space="preserve"> SEQ issue \c </w:instrText>
      </w:r>
      <w:r w:rsidRPr="007076B8">
        <w:rPr>
          <w:rFonts w:ascii="Times New Roman" w:hAnsi="Times New Roman" w:cs="Times New Roman"/>
          <w:b w:val="0"/>
          <w:i w:val="0"/>
        </w:rPr>
        <w:fldChar w:fldCharType="separate"/>
      </w:r>
      <w:bookmarkStart w:id="106" w:name="_Toc450304908"/>
      <w:bookmarkStart w:id="107" w:name="_Toc450304965"/>
      <w:bookmarkStart w:id="108" w:name="_Toc450305019"/>
      <w:r w:rsidR="000A550E">
        <w:rPr>
          <w:rFonts w:ascii="Times New Roman" w:hAnsi="Times New Roman" w:cs="Times New Roman"/>
          <w:b w:val="0"/>
          <w:i w:val="0"/>
          <w:noProof/>
        </w:rPr>
        <w:instrText>8</w:instrText>
      </w:r>
      <w:bookmarkEnd w:id="106"/>
      <w:bookmarkEnd w:id="107"/>
      <w:bookmarkEnd w:id="108"/>
      <w:r w:rsidRPr="007076B8">
        <w:rPr>
          <w:rFonts w:ascii="Times New Roman" w:hAnsi="Times New Roman" w:cs="Times New Roman"/>
          <w:b w:val="0"/>
          <w:i w:val="0"/>
        </w:rPr>
        <w:fldChar w:fldCharType="end"/>
      </w:r>
      <w:r w:rsidR="00374614" w:rsidRPr="007076B8">
        <w:rPr>
          <w:rFonts w:ascii="Times New Roman" w:hAnsi="Times New Roman" w:cs="Times New Roman"/>
          <w:b w:val="0"/>
          <w:i w:val="0"/>
        </w:rPr>
        <w:instrText xml:space="preserve"> </w:instrText>
      </w:r>
      <w:bookmarkEnd w:id="102"/>
      <w:bookmarkEnd w:id="103"/>
      <w:r w:rsidR="009D0579" w:rsidRPr="007076B8">
        <w:rPr>
          <w:rFonts w:ascii="Times New Roman" w:hAnsi="Times New Roman" w:cs="Times New Roman"/>
          <w:b w:val="0"/>
          <w:i w:val="0"/>
        </w:rPr>
        <w:instrText>Appropriate Rate Structure</w:instrText>
      </w:r>
      <w:bookmarkEnd w:id="104"/>
      <w:bookmarkEnd w:id="105"/>
      <w:r w:rsidR="00374614">
        <w:instrText>”</w:instrText>
      </w:r>
      <w:r>
        <w:instrText xml:space="preserve"> \l 1 </w:instrText>
      </w:r>
      <w:r>
        <w:fldChar w:fldCharType="end"/>
      </w:r>
      <w:r>
        <w:t> </w:t>
      </w:r>
    </w:p>
    <w:p w:rsidR="0086716D" w:rsidRDefault="0086716D">
      <w:pPr>
        <w:pStyle w:val="BodyText"/>
      </w:pPr>
      <w:r>
        <w:t> </w:t>
      </w:r>
      <w:r w:rsidR="009E5B0A">
        <w:t> </w:t>
      </w:r>
      <w:r w:rsidR="002A3A1F">
        <w:t>What is the appropriate rate structure and rates for Raintree’s water system?</w:t>
      </w:r>
    </w:p>
    <w:p w:rsidR="0086716D" w:rsidRPr="004C3641" w:rsidRDefault="0086716D">
      <w:pPr>
        <w:pStyle w:val="IssueSubsectionHeading"/>
        <w:rPr>
          <w:vanish/>
          <w:specVanish/>
        </w:rPr>
      </w:pPr>
      <w:r w:rsidRPr="004C3641">
        <w:t>Recommendation: </w:t>
      </w:r>
    </w:p>
    <w:p w:rsidR="0086716D" w:rsidRDefault="0086716D">
      <w:pPr>
        <w:pStyle w:val="BodyText"/>
      </w:pPr>
      <w:r>
        <w:t> </w:t>
      </w:r>
      <w:r w:rsidR="0099720A">
        <w:t>The recommended rate structure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 (Bruce)</w:t>
      </w:r>
      <w:r>
        <w:t xml:space="preserve"> </w:t>
      </w:r>
    </w:p>
    <w:p w:rsidR="004C7378" w:rsidRDefault="0086716D" w:rsidP="004C7378">
      <w:pPr>
        <w:pStyle w:val="IssueSubsectionHeading"/>
        <w:spacing w:after="0"/>
      </w:pPr>
      <w:r w:rsidRPr="004C3641">
        <w:t>Staff Analysis:</w:t>
      </w:r>
    </w:p>
    <w:p w:rsidR="006929D1" w:rsidRDefault="006029F6" w:rsidP="004C7378">
      <w:pPr>
        <w:pStyle w:val="IssueSubsectionHeading"/>
        <w:spacing w:after="0"/>
        <w:rPr>
          <w:b w:val="0"/>
        </w:rPr>
      </w:pPr>
      <w:r>
        <w:t xml:space="preserve">Water Rates  </w:t>
      </w:r>
    </w:p>
    <w:p w:rsidR="006029F6" w:rsidRDefault="006029F6" w:rsidP="006029F6">
      <w:pPr>
        <w:jc w:val="both"/>
      </w:pPr>
      <w:r>
        <w:t>Raintree’s service territory is located in the St. Johns River Water Management District</w:t>
      </w:r>
      <w:r w:rsidR="00376DB0">
        <w:t xml:space="preserve"> (SJRWMD)</w:t>
      </w:r>
      <w:r>
        <w:t xml:space="preserve">, which has water restrictions in place. The </w:t>
      </w:r>
      <w:r w:rsidR="00376DB0">
        <w:t>U</w:t>
      </w:r>
      <w:r>
        <w:t xml:space="preserve">tility provides water only service to 109 residential customers and </w:t>
      </w:r>
      <w:r w:rsidR="00376DB0">
        <w:t>one</w:t>
      </w:r>
      <w:r>
        <w:t xml:space="preserve"> general service customer. The general service customer is the home owners’ association and water is provided to irrigate the common areas. The billing data indicates that approximately 11 percent of the residential customer bills during the test year had zero gallons indicating a non-seasonal customer base. The average residential water demand is 10,029 gallons per month. Currently, the water system rate structure for residential customers consists of a base facility charge (BFC) and a two-tier inclining block rate structure. The rate blocks are: (1) 0-8,000 gallons </w:t>
      </w:r>
      <w:r w:rsidR="005E14C3">
        <w:t>per month</w:t>
      </w:r>
      <w:r w:rsidR="00D70F8E">
        <w:t>,</w:t>
      </w:r>
      <w:r w:rsidR="005E14C3">
        <w:t xml:space="preserve"> </w:t>
      </w:r>
      <w:r>
        <w:t xml:space="preserve">and (2) all usage in excess of 8,000 gallons per month. General service customers are billed based on a BFC and uniform gallonage charge. </w:t>
      </w:r>
    </w:p>
    <w:p w:rsidR="006029F6" w:rsidRDefault="006029F6" w:rsidP="006029F6">
      <w:pPr>
        <w:jc w:val="both"/>
      </w:pPr>
    </w:p>
    <w:p w:rsidR="006029F6" w:rsidRDefault="006029F6" w:rsidP="006029F6">
      <w:pPr>
        <w:jc w:val="both"/>
      </w:pPr>
      <w:r>
        <w:t xml:space="preserve">Staff performed an analysis of the </w:t>
      </w:r>
      <w:r w:rsidR="00074716">
        <w:t>U</w:t>
      </w:r>
      <w:r>
        <w:t xml:space="preserve">tility’s billing data in order to evaluate the appropriate rate structure for the residential water customers. The goal of the evaluation was to select the rate design parameters that: </w:t>
      </w:r>
      <w:r w:rsidR="005E14C3">
        <w:t>(</w:t>
      </w:r>
      <w:r>
        <w:t xml:space="preserve">1) produce the recommended revenue requirement; </w:t>
      </w:r>
      <w:r w:rsidR="005E14C3">
        <w:t>(</w:t>
      </w:r>
      <w:r>
        <w:t xml:space="preserve">2) equitably distribute cost recovery among the utility’s customers; </w:t>
      </w:r>
      <w:r w:rsidR="005E14C3">
        <w:t>(</w:t>
      </w:r>
      <w:r>
        <w:t xml:space="preserve">3) establish the appropriate non-discretionary usage threshold for restricting repression; and </w:t>
      </w:r>
      <w:r w:rsidR="005E14C3">
        <w:t>(</w:t>
      </w:r>
      <w:r>
        <w:t>4) implement, where appropriate, water conserving rate structures consistent with Commission practice.</w:t>
      </w:r>
    </w:p>
    <w:p w:rsidR="006029F6" w:rsidRDefault="006029F6" w:rsidP="006029F6">
      <w:pPr>
        <w:ind w:firstLine="720"/>
        <w:jc w:val="both"/>
      </w:pPr>
    </w:p>
    <w:p w:rsidR="0086716D" w:rsidRDefault="006029F6" w:rsidP="006029F6">
      <w:pPr>
        <w:pStyle w:val="BodyText"/>
      </w:pPr>
      <w:r>
        <w:t>In this case, staff recommends that 40 percent of the water revenues should be generated from the BFC, which will provide sufficient revenues to design gallonage charges that send pricing signals to customers using above the non-discretionary level. The average people per household served by the water system is two; therefore, based on the number of people per household, 50 gallons per day per person, and the number of days per month, the non-discretionary usage threshold should be 3,000 gallons per month. Staff recommends a BFC and a three-tier inclining block rate structure, which includes separate gallonage charges for discretionary and non-discretionary usage for residential water customers. The rate blocks are: (1) 0-3,000 gallons; (2) 3,001-8,000 gallons; and (3) all usage in excess of 8,000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8,000 gallons of water per month, which includes approximately 52 percent of the demand. General service customers should be billed a BFC and uniform gallonage charge.</w:t>
      </w:r>
    </w:p>
    <w:p w:rsidR="006029F6" w:rsidRDefault="00020286" w:rsidP="00231129">
      <w:pPr>
        <w:pStyle w:val="BodyText"/>
        <w:spacing w:after="0"/>
      </w:pPr>
      <w:r>
        <w:lastRenderedPageBreak/>
        <w:t>Based on a recommended revenue increase of 10.7 percent, which excludes</w:t>
      </w:r>
      <w:r w:rsidR="007F3905">
        <w:t xml:space="preserve"> $218 of</w:t>
      </w:r>
      <w:r>
        <w:t xml:space="preserve"> miscellaneous revenues, the residential consumption can be expected to decline by 572,000 gallons resulting in anticipated average residential demand of 9,602 gallons per month. Staff recommends a 4.3 percent reduction in test year residential gallons for </w:t>
      </w:r>
      <w:r w:rsidR="007A7FBC">
        <w:t>rate setting</w:t>
      </w:r>
      <w:r>
        <w:t xml:space="preserve"> purposes and corresponding reductions of $182 for purchased power, $13 for chemicals, and $9 for RAFs to reflect the anticipated repression, which results in a post repression revenue requirement of $46,627. Table </w:t>
      </w:r>
      <w:r w:rsidR="00037E16">
        <w:t>8</w:t>
      </w:r>
      <w:r>
        <w:t>-1</w:t>
      </w:r>
      <w:r w:rsidR="00CC7043">
        <w:t xml:space="preserve"> below</w:t>
      </w:r>
      <w:r>
        <w:t>, contains staff’s recommended rate structure and two alternative rate structures at another BFC allocation and tiers.</w:t>
      </w:r>
    </w:p>
    <w:p w:rsidR="005E2E4A" w:rsidRDefault="005E2E4A" w:rsidP="00231129">
      <w:pPr>
        <w:pStyle w:val="BodyText"/>
        <w:spacing w:after="0"/>
      </w:pPr>
    </w:p>
    <w:p w:rsidR="00AE42C2" w:rsidRDefault="00AE42C2" w:rsidP="00231129">
      <w:pPr>
        <w:jc w:val="center"/>
        <w:rPr>
          <w:rFonts w:ascii="Arial" w:hAnsi="Arial" w:cs="Arial"/>
          <w:b/>
        </w:rPr>
      </w:pPr>
    </w:p>
    <w:p w:rsidR="005013AA" w:rsidRDefault="005013AA" w:rsidP="00231129">
      <w:pPr>
        <w:jc w:val="center"/>
        <w:rPr>
          <w:rFonts w:ascii="Arial" w:hAnsi="Arial" w:cs="Arial"/>
          <w:b/>
        </w:rPr>
      </w:pPr>
      <w:r>
        <w:rPr>
          <w:rFonts w:ascii="Arial" w:hAnsi="Arial" w:cs="Arial"/>
          <w:b/>
        </w:rPr>
        <w:t xml:space="preserve">Table </w:t>
      </w:r>
      <w:r w:rsidR="00037E16">
        <w:rPr>
          <w:rFonts w:ascii="Arial" w:hAnsi="Arial" w:cs="Arial"/>
          <w:b/>
        </w:rPr>
        <w:t>8</w:t>
      </w:r>
      <w:r>
        <w:rPr>
          <w:rFonts w:ascii="Arial" w:hAnsi="Arial" w:cs="Arial"/>
          <w:b/>
        </w:rPr>
        <w:t>-1</w:t>
      </w:r>
    </w:p>
    <w:p w:rsidR="005013AA" w:rsidRDefault="005013AA" w:rsidP="00231129">
      <w:pPr>
        <w:jc w:val="center"/>
        <w:rPr>
          <w:rFonts w:ascii="Arial" w:hAnsi="Arial" w:cs="Arial"/>
          <w:b/>
        </w:rPr>
      </w:pPr>
      <w:r>
        <w:rPr>
          <w:rFonts w:ascii="Arial" w:hAnsi="Arial" w:cs="Arial"/>
          <w:b/>
        </w:rPr>
        <w:t>Staff’s Recommended and Alternative Water Rate Structures and Rates</w:t>
      </w:r>
    </w:p>
    <w:tbl>
      <w:tblPr>
        <w:tblW w:w="9510"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59"/>
        <w:gridCol w:w="1884"/>
        <w:gridCol w:w="12"/>
        <w:gridCol w:w="1799"/>
        <w:gridCol w:w="1787"/>
      </w:tblGrid>
      <w:tr w:rsidR="005E14C3" w:rsidTr="00D611E0">
        <w:trPr>
          <w:trHeight w:val="832"/>
          <w:jc w:val="center"/>
        </w:trPr>
        <w:tc>
          <w:tcPr>
            <w:tcW w:w="2269" w:type="dxa"/>
            <w:tcBorders>
              <w:top w:val="single" w:sz="4" w:space="0" w:color="auto"/>
              <w:left w:val="single" w:sz="4" w:space="0" w:color="auto"/>
              <w:right w:val="single" w:sz="4" w:space="0" w:color="auto"/>
            </w:tcBorders>
            <w:noWrap/>
            <w:vAlign w:val="bottom"/>
            <w:hideMark/>
          </w:tcPr>
          <w:p w:rsidR="005E14C3" w:rsidRDefault="005E14C3">
            <w:pPr>
              <w:rPr>
                <w:rFonts w:asciiTheme="minorHAnsi" w:eastAsiaTheme="minorHAnsi" w:hAnsiTheme="minorHAnsi"/>
                <w:sz w:val="22"/>
                <w:szCs w:val="22"/>
              </w:rPr>
            </w:pPr>
          </w:p>
        </w:tc>
        <w:tc>
          <w:tcPr>
            <w:tcW w:w="1759" w:type="dxa"/>
            <w:tcBorders>
              <w:top w:val="single" w:sz="4" w:space="0" w:color="auto"/>
              <w:left w:val="single" w:sz="4" w:space="0" w:color="auto"/>
              <w:right w:val="single" w:sz="4" w:space="0" w:color="auto"/>
            </w:tcBorders>
            <w:noWrap/>
            <w:vAlign w:val="bottom"/>
            <w:hideMark/>
          </w:tcPr>
          <w:p w:rsidR="005E14C3" w:rsidRDefault="005E14C3">
            <w:pPr>
              <w:jc w:val="center"/>
              <w:rPr>
                <w:b/>
                <w:bCs/>
                <w:color w:val="000000"/>
                <w:sz w:val="20"/>
                <w:szCs w:val="20"/>
              </w:rPr>
            </w:pPr>
            <w:r>
              <w:rPr>
                <w:b/>
                <w:bCs/>
                <w:color w:val="000000"/>
                <w:sz w:val="20"/>
                <w:szCs w:val="20"/>
              </w:rPr>
              <w:t>RATES AT</w:t>
            </w:r>
          </w:p>
          <w:p w:rsidR="005E14C3" w:rsidRDefault="005E14C3">
            <w:pPr>
              <w:jc w:val="center"/>
              <w:rPr>
                <w:b/>
                <w:bCs/>
                <w:color w:val="000000"/>
                <w:sz w:val="20"/>
                <w:szCs w:val="20"/>
              </w:rPr>
            </w:pPr>
            <w:r>
              <w:rPr>
                <w:b/>
                <w:bCs/>
                <w:color w:val="000000"/>
                <w:sz w:val="20"/>
                <w:szCs w:val="20"/>
              </w:rPr>
              <w:t>TIME OF</w:t>
            </w:r>
          </w:p>
          <w:p w:rsidR="005E14C3" w:rsidRDefault="005E14C3" w:rsidP="00D611E0">
            <w:pPr>
              <w:jc w:val="center"/>
              <w:rPr>
                <w:b/>
                <w:bCs/>
                <w:color w:val="000000"/>
                <w:sz w:val="20"/>
                <w:szCs w:val="20"/>
              </w:rPr>
            </w:pPr>
            <w:r>
              <w:rPr>
                <w:b/>
                <w:bCs/>
                <w:color w:val="000000"/>
                <w:sz w:val="20"/>
                <w:szCs w:val="20"/>
              </w:rPr>
              <w:t>FILING</w:t>
            </w:r>
          </w:p>
        </w:tc>
        <w:tc>
          <w:tcPr>
            <w:tcW w:w="1884" w:type="dxa"/>
            <w:tcBorders>
              <w:top w:val="single" w:sz="4" w:space="0" w:color="auto"/>
              <w:left w:val="single" w:sz="4" w:space="0" w:color="auto"/>
              <w:right w:val="single" w:sz="4" w:space="0" w:color="auto"/>
            </w:tcBorders>
            <w:noWrap/>
            <w:vAlign w:val="bottom"/>
            <w:hideMark/>
          </w:tcPr>
          <w:p w:rsidR="005E14C3" w:rsidRDefault="005E14C3">
            <w:pPr>
              <w:jc w:val="center"/>
              <w:rPr>
                <w:b/>
                <w:bCs/>
                <w:color w:val="000000"/>
                <w:sz w:val="20"/>
                <w:szCs w:val="20"/>
              </w:rPr>
            </w:pPr>
            <w:r>
              <w:rPr>
                <w:b/>
                <w:bCs/>
                <w:color w:val="000000"/>
                <w:sz w:val="20"/>
                <w:szCs w:val="20"/>
              </w:rPr>
              <w:t>STAFF</w:t>
            </w:r>
          </w:p>
          <w:p w:rsidR="005E14C3" w:rsidRDefault="005E14C3">
            <w:pPr>
              <w:jc w:val="center"/>
              <w:rPr>
                <w:b/>
                <w:bCs/>
                <w:color w:val="000000"/>
                <w:sz w:val="20"/>
                <w:szCs w:val="20"/>
              </w:rPr>
            </w:pPr>
            <w:r>
              <w:rPr>
                <w:b/>
                <w:bCs/>
                <w:color w:val="000000"/>
                <w:sz w:val="20"/>
                <w:szCs w:val="20"/>
              </w:rPr>
              <w:t>RECOMMENDED</w:t>
            </w:r>
          </w:p>
          <w:p w:rsidR="005E14C3" w:rsidRDefault="005E14C3" w:rsidP="00D611E0">
            <w:pPr>
              <w:jc w:val="center"/>
              <w:rPr>
                <w:b/>
                <w:bCs/>
                <w:color w:val="000000"/>
                <w:sz w:val="20"/>
                <w:szCs w:val="20"/>
              </w:rPr>
            </w:pPr>
            <w:r>
              <w:rPr>
                <w:b/>
                <w:bCs/>
                <w:color w:val="000000"/>
                <w:sz w:val="20"/>
                <w:szCs w:val="20"/>
              </w:rPr>
              <w:t>RATES</w:t>
            </w:r>
          </w:p>
        </w:tc>
        <w:tc>
          <w:tcPr>
            <w:tcW w:w="1811" w:type="dxa"/>
            <w:gridSpan w:val="2"/>
            <w:tcBorders>
              <w:top w:val="single" w:sz="4" w:space="0" w:color="auto"/>
              <w:left w:val="single" w:sz="4" w:space="0" w:color="auto"/>
              <w:right w:val="single" w:sz="4" w:space="0" w:color="auto"/>
            </w:tcBorders>
            <w:noWrap/>
            <w:vAlign w:val="bottom"/>
            <w:hideMark/>
          </w:tcPr>
          <w:p w:rsidR="005E14C3" w:rsidRDefault="005E14C3">
            <w:pPr>
              <w:jc w:val="center"/>
              <w:rPr>
                <w:b/>
                <w:bCs/>
                <w:color w:val="000000"/>
                <w:sz w:val="20"/>
                <w:szCs w:val="20"/>
              </w:rPr>
            </w:pPr>
            <w:r>
              <w:rPr>
                <w:b/>
                <w:bCs/>
                <w:color w:val="000000"/>
                <w:sz w:val="20"/>
                <w:szCs w:val="20"/>
              </w:rPr>
              <w:t>ALTERNATIVE</w:t>
            </w:r>
          </w:p>
          <w:p w:rsidR="005E14C3" w:rsidRDefault="005E14C3">
            <w:pPr>
              <w:jc w:val="center"/>
              <w:rPr>
                <w:b/>
                <w:bCs/>
                <w:color w:val="000000"/>
                <w:sz w:val="20"/>
                <w:szCs w:val="20"/>
              </w:rPr>
            </w:pPr>
            <w:r>
              <w:rPr>
                <w:b/>
                <w:bCs/>
                <w:color w:val="000000"/>
                <w:sz w:val="20"/>
                <w:szCs w:val="20"/>
              </w:rPr>
              <w:t>I</w:t>
            </w:r>
          </w:p>
          <w:p w:rsidR="005E14C3" w:rsidRDefault="005E14C3" w:rsidP="00D611E0">
            <w:pPr>
              <w:jc w:val="center"/>
              <w:rPr>
                <w:b/>
                <w:bCs/>
                <w:color w:val="000000"/>
                <w:sz w:val="20"/>
                <w:szCs w:val="20"/>
              </w:rPr>
            </w:pPr>
            <w:r>
              <w:rPr>
                <w:b/>
                <w:bCs/>
                <w:color w:val="000000"/>
                <w:sz w:val="20"/>
                <w:szCs w:val="20"/>
              </w:rPr>
              <w:t>(40% BFC)</w:t>
            </w:r>
          </w:p>
        </w:tc>
        <w:tc>
          <w:tcPr>
            <w:tcW w:w="1787" w:type="dxa"/>
            <w:tcBorders>
              <w:top w:val="single" w:sz="4" w:space="0" w:color="auto"/>
              <w:left w:val="single" w:sz="4" w:space="0" w:color="auto"/>
              <w:right w:val="single" w:sz="4" w:space="0" w:color="auto"/>
            </w:tcBorders>
            <w:noWrap/>
            <w:vAlign w:val="bottom"/>
            <w:hideMark/>
          </w:tcPr>
          <w:p w:rsidR="005E14C3" w:rsidRDefault="005E14C3">
            <w:pPr>
              <w:jc w:val="center"/>
              <w:rPr>
                <w:b/>
                <w:bCs/>
                <w:color w:val="000000"/>
                <w:sz w:val="20"/>
                <w:szCs w:val="20"/>
              </w:rPr>
            </w:pPr>
            <w:r>
              <w:rPr>
                <w:b/>
                <w:bCs/>
                <w:color w:val="000000"/>
                <w:sz w:val="20"/>
                <w:szCs w:val="20"/>
              </w:rPr>
              <w:t>ALTERNATIVE</w:t>
            </w:r>
          </w:p>
          <w:p w:rsidR="005E14C3" w:rsidRDefault="005E14C3">
            <w:pPr>
              <w:jc w:val="center"/>
              <w:rPr>
                <w:b/>
                <w:bCs/>
                <w:color w:val="000000"/>
                <w:sz w:val="20"/>
                <w:szCs w:val="20"/>
              </w:rPr>
            </w:pPr>
            <w:r>
              <w:rPr>
                <w:b/>
                <w:bCs/>
                <w:color w:val="000000"/>
                <w:sz w:val="20"/>
                <w:szCs w:val="20"/>
              </w:rPr>
              <w:t>II</w:t>
            </w:r>
          </w:p>
          <w:p w:rsidR="005E14C3" w:rsidRDefault="005E14C3" w:rsidP="00D611E0">
            <w:pPr>
              <w:jc w:val="center"/>
              <w:rPr>
                <w:b/>
                <w:bCs/>
                <w:color w:val="000000"/>
                <w:sz w:val="20"/>
                <w:szCs w:val="20"/>
              </w:rPr>
            </w:pPr>
            <w:r>
              <w:rPr>
                <w:b/>
                <w:bCs/>
                <w:color w:val="000000"/>
                <w:sz w:val="20"/>
                <w:szCs w:val="20"/>
              </w:rPr>
              <w:t>(40% BFC)</w:t>
            </w: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b/>
                <w:bCs/>
                <w:color w:val="000000"/>
                <w:sz w:val="20"/>
                <w:szCs w:val="20"/>
                <w:u w:val="single"/>
              </w:rPr>
            </w:pPr>
            <w:r>
              <w:rPr>
                <w:b/>
                <w:bCs/>
                <w:color w:val="000000"/>
                <w:sz w:val="20"/>
                <w:szCs w:val="20"/>
                <w:u w:val="single"/>
              </w:rPr>
              <w:t xml:space="preserve">Residential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rFonts w:asciiTheme="minorHAnsi" w:eastAsiaTheme="minorHAnsi" w:hAnsiTheme="minorHAnsi"/>
                <w:sz w:val="22"/>
                <w:szCs w:val="22"/>
              </w:rPr>
            </w:pP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center"/>
              <w:rPr>
                <w:b/>
                <w:bCs/>
                <w:color w:val="000000"/>
                <w:sz w:val="20"/>
                <w:szCs w:val="20"/>
              </w:rPr>
            </w:pPr>
            <w:r>
              <w:rPr>
                <w:b/>
                <w:bCs/>
                <w:color w:val="000000"/>
                <w:sz w:val="20"/>
                <w:szCs w:val="20"/>
              </w:rPr>
              <w:t>(40% BFC) </w:t>
            </w: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rFonts w:asciiTheme="minorHAnsi" w:eastAsiaTheme="minorHAnsi" w:hAnsiTheme="minorHAnsi"/>
                <w:sz w:val="22"/>
                <w:szCs w:val="22"/>
              </w:rPr>
            </w:pP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center"/>
              <w:rPr>
                <w:b/>
                <w:bCs/>
                <w:color w:val="000000"/>
                <w:sz w:val="20"/>
                <w:szCs w:val="20"/>
              </w:rPr>
            </w:pPr>
            <w:r>
              <w:rPr>
                <w:b/>
                <w:bCs/>
                <w:color w:val="000000"/>
                <w:sz w:val="20"/>
                <w:szCs w:val="20"/>
              </w:rPr>
              <w:t> </w:t>
            </w: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color w:val="000000"/>
                <w:sz w:val="20"/>
                <w:szCs w:val="20"/>
              </w:rPr>
            </w:pPr>
            <w:r>
              <w:rPr>
                <w:color w:val="000000"/>
                <w:sz w:val="20"/>
                <w:szCs w:val="20"/>
              </w:rPr>
              <w:t>5/8” x 3/4”  Meter Size</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$13.60</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$13.79</w:t>
            </w: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$13.80</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$13.79</w:t>
            </w: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color w:val="000000"/>
                <w:sz w:val="20"/>
                <w:szCs w:val="20"/>
              </w:rPr>
            </w:pPr>
            <w:r>
              <w:rPr>
                <w:color w:val="000000"/>
                <w:sz w:val="20"/>
                <w:szCs w:val="20"/>
              </w:rPr>
              <w:t>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rFonts w:asciiTheme="minorHAnsi" w:eastAsiaTheme="minorHAnsi" w:hAnsiTheme="minorHAnsi"/>
                <w:sz w:val="22"/>
                <w:szCs w:val="22"/>
              </w:rPr>
            </w:pP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rFonts w:asciiTheme="minorHAnsi" w:eastAsiaTheme="minorHAnsi" w:hAnsiTheme="minorHAnsi"/>
                <w:sz w:val="22"/>
                <w:szCs w:val="22"/>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rFonts w:asciiTheme="minorHAnsi" w:eastAsiaTheme="minorHAnsi" w:hAnsiTheme="minorHAnsi"/>
                <w:sz w:val="22"/>
                <w:szCs w:val="22"/>
              </w:rPr>
            </w:pP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w:t>
            </w: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sz w:val="20"/>
                <w:szCs w:val="20"/>
              </w:rPr>
            </w:pPr>
            <w:r>
              <w:rPr>
                <w:sz w:val="20"/>
                <w:szCs w:val="20"/>
              </w:rPr>
              <w:t xml:space="preserve">Charge per 1,000 gallons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rFonts w:asciiTheme="minorHAnsi" w:eastAsiaTheme="minorHAnsi" w:hAnsiTheme="minorHAnsi"/>
                <w:sz w:val="22"/>
                <w:szCs w:val="22"/>
              </w:rPr>
            </w:pP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rFonts w:asciiTheme="minorHAnsi" w:eastAsiaTheme="minorHAnsi" w:hAnsiTheme="minorHAnsi"/>
                <w:sz w:val="22"/>
                <w:szCs w:val="22"/>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rFonts w:asciiTheme="minorHAnsi" w:eastAsiaTheme="minorHAnsi" w:hAnsiTheme="minorHAnsi"/>
                <w:sz w:val="22"/>
                <w:szCs w:val="22"/>
              </w:rPr>
            </w:pP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rFonts w:asciiTheme="minorHAnsi" w:eastAsiaTheme="minorHAnsi" w:hAnsiTheme="minorHAnsi"/>
                <w:sz w:val="22"/>
                <w:szCs w:val="22"/>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sz w:val="20"/>
                <w:szCs w:val="20"/>
              </w:rPr>
            </w:pPr>
            <w:r>
              <w:rPr>
                <w:sz w:val="20"/>
                <w:szCs w:val="20"/>
              </w:rPr>
              <w:t>0-8,000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$1.58</w:t>
            </w:r>
          </w:p>
        </w:tc>
        <w:tc>
          <w:tcPr>
            <w:tcW w:w="1884"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sz w:val="20"/>
                <w:szCs w:val="20"/>
              </w:rPr>
            </w:pPr>
            <w:r>
              <w:rPr>
                <w:sz w:val="20"/>
                <w:szCs w:val="20"/>
              </w:rPr>
              <w:t>Over 8,000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$1.96</w:t>
            </w:r>
          </w:p>
        </w:tc>
        <w:tc>
          <w:tcPr>
            <w:tcW w:w="1884"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E963D9" w:rsidRDefault="00E963D9">
            <w:pPr>
              <w:rPr>
                <w:sz w:val="20"/>
                <w:szCs w:val="20"/>
              </w:rPr>
            </w:pP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sz w:val="20"/>
                <w:szCs w:val="20"/>
              </w:rPr>
            </w:pPr>
            <w:r>
              <w:rPr>
                <w:sz w:val="20"/>
                <w:szCs w:val="20"/>
              </w:rPr>
              <w:t>0-3,000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$1.66</w:t>
            </w: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sz w:val="20"/>
                <w:szCs w:val="20"/>
              </w:rPr>
            </w:pPr>
            <w:r>
              <w:rPr>
                <w:sz w:val="20"/>
                <w:szCs w:val="20"/>
              </w:rPr>
              <w:t>3,001-8,000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$1.76</w:t>
            </w: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sz w:val="20"/>
                <w:szCs w:val="20"/>
              </w:rPr>
            </w:pPr>
            <w:r>
              <w:rPr>
                <w:sz w:val="20"/>
                <w:szCs w:val="20"/>
              </w:rPr>
              <w:t>Over 8,000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$2.64</w:t>
            </w: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E963D9" w:rsidRDefault="00E963D9">
            <w:pPr>
              <w:rPr>
                <w:sz w:val="20"/>
                <w:szCs w:val="20"/>
              </w:rPr>
            </w:pP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sz w:val="20"/>
                <w:szCs w:val="20"/>
              </w:rPr>
            </w:pPr>
            <w:r>
              <w:rPr>
                <w:sz w:val="20"/>
                <w:szCs w:val="20"/>
              </w:rPr>
              <w:t>0-3,000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$1.70</w:t>
            </w: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sz w:val="20"/>
                <w:szCs w:val="20"/>
              </w:rPr>
            </w:pPr>
            <w:r>
              <w:rPr>
                <w:sz w:val="20"/>
                <w:szCs w:val="20"/>
              </w:rPr>
              <w:t>3,001-10,000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$1.79</w:t>
            </w: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sz w:val="20"/>
                <w:szCs w:val="20"/>
              </w:rPr>
            </w:pPr>
            <w:r>
              <w:rPr>
                <w:sz w:val="20"/>
                <w:szCs w:val="20"/>
              </w:rPr>
              <w:t>Over 10,000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$2.69</w:t>
            </w: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E963D9" w:rsidRDefault="00E963D9">
            <w:pPr>
              <w:rPr>
                <w:sz w:val="20"/>
                <w:szCs w:val="20"/>
              </w:rPr>
            </w:pP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sz w:val="20"/>
                <w:szCs w:val="20"/>
              </w:rPr>
            </w:pPr>
            <w:r>
              <w:rPr>
                <w:sz w:val="20"/>
                <w:szCs w:val="20"/>
              </w:rPr>
              <w:t>0-3,000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$2.09</w:t>
            </w: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sz w:val="20"/>
                <w:szCs w:val="20"/>
              </w:rPr>
            </w:pPr>
            <w:r>
              <w:rPr>
                <w:sz w:val="20"/>
                <w:szCs w:val="20"/>
              </w:rPr>
              <w:t>Over 3,000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$2.22</w:t>
            </w: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E963D9" w:rsidRDefault="00E963D9">
            <w:pPr>
              <w:rPr>
                <w:sz w:val="20"/>
                <w:szCs w:val="20"/>
              </w:rPr>
            </w:pPr>
          </w:p>
        </w:tc>
        <w:tc>
          <w:tcPr>
            <w:tcW w:w="1759"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sz w:val="20"/>
                <w:szCs w:val="20"/>
              </w:rPr>
            </w:pPr>
          </w:p>
        </w:tc>
        <w:tc>
          <w:tcPr>
            <w:tcW w:w="1884"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811" w:type="dxa"/>
            <w:gridSpan w:val="2"/>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c>
          <w:tcPr>
            <w:tcW w:w="1787" w:type="dxa"/>
            <w:tcBorders>
              <w:top w:val="single" w:sz="4" w:space="0" w:color="auto"/>
              <w:left w:val="single" w:sz="4" w:space="0" w:color="auto"/>
              <w:bottom w:val="single" w:sz="4" w:space="0" w:color="auto"/>
              <w:right w:val="single" w:sz="4" w:space="0" w:color="auto"/>
            </w:tcBorders>
            <w:noWrap/>
            <w:vAlign w:val="bottom"/>
          </w:tcPr>
          <w:p w:rsidR="00E963D9" w:rsidRDefault="00E963D9">
            <w:pPr>
              <w:jc w:val="right"/>
              <w:rPr>
                <w:color w:val="000000"/>
                <w:sz w:val="20"/>
                <w:szCs w:val="20"/>
              </w:rPr>
            </w:pPr>
          </w:p>
        </w:tc>
      </w:tr>
      <w:tr w:rsidR="00E963D9" w:rsidTr="0050264E">
        <w:trPr>
          <w:trHeight w:val="262"/>
          <w:jc w:val="center"/>
        </w:trPr>
        <w:tc>
          <w:tcPr>
            <w:tcW w:w="5924" w:type="dxa"/>
            <w:gridSpan w:val="4"/>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color w:val="000000"/>
                <w:sz w:val="20"/>
                <w:szCs w:val="20"/>
              </w:rPr>
            </w:pPr>
            <w:r>
              <w:rPr>
                <w:b/>
                <w:bCs/>
                <w:color w:val="000000"/>
                <w:sz w:val="20"/>
                <w:szCs w:val="20"/>
                <w:u w:val="single"/>
              </w:rPr>
              <w:t>Typical Residential 5/8" x 3/4" Meter Bill Comparison</w:t>
            </w:r>
          </w:p>
        </w:tc>
        <w:tc>
          <w:tcPr>
            <w:tcW w:w="3586"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w:t>
            </w: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color w:val="000000"/>
                <w:sz w:val="20"/>
                <w:szCs w:val="20"/>
              </w:rPr>
            </w:pPr>
            <w:r>
              <w:rPr>
                <w:color w:val="000000"/>
                <w:sz w:val="20"/>
                <w:szCs w:val="20"/>
              </w:rPr>
              <w:t>3,000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xml:space="preserve">$18.34 </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$18.77</w:t>
            </w: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xml:space="preserve">$18.90 </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$20.06</w:t>
            </w: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color w:val="000000"/>
                <w:sz w:val="20"/>
                <w:szCs w:val="20"/>
              </w:rPr>
            </w:pPr>
            <w:r>
              <w:rPr>
                <w:color w:val="000000"/>
                <w:sz w:val="20"/>
                <w:szCs w:val="20"/>
              </w:rPr>
              <w:t>8,000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xml:space="preserve">$26.24 </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$27.57</w:t>
            </w: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xml:space="preserve">$27.85 </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xml:space="preserve">$31.16 </w:t>
            </w:r>
          </w:p>
        </w:tc>
      </w:tr>
      <w:tr w:rsidR="00E963D9" w:rsidTr="0050264E">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color w:val="000000"/>
                <w:sz w:val="20"/>
                <w:szCs w:val="20"/>
              </w:rPr>
            </w:pPr>
            <w:r>
              <w:rPr>
                <w:color w:val="000000"/>
                <w:sz w:val="20"/>
                <w:szCs w:val="20"/>
              </w:rPr>
              <w:t>10,000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xml:space="preserve">$30.16 </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xml:space="preserve">$32.85 </w:t>
            </w: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xml:space="preserve">$31.43 </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xml:space="preserve">$35.60 </w:t>
            </w:r>
          </w:p>
        </w:tc>
      </w:tr>
      <w:tr w:rsidR="00E963D9" w:rsidTr="0050264E">
        <w:trPr>
          <w:trHeight w:val="275"/>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rPr>
                <w:rFonts w:asciiTheme="minorHAnsi" w:eastAsiaTheme="minorHAnsi" w:hAnsiTheme="minorHAnsi"/>
                <w:sz w:val="22"/>
                <w:szCs w:val="22"/>
              </w:rPr>
            </w:pP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w:t>
            </w:r>
          </w:p>
        </w:tc>
        <w:tc>
          <w:tcPr>
            <w:tcW w:w="1884"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w:t>
            </w:r>
          </w:p>
        </w:tc>
        <w:tc>
          <w:tcPr>
            <w:tcW w:w="1811" w:type="dxa"/>
            <w:gridSpan w:val="2"/>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w:t>
            </w:r>
          </w:p>
        </w:tc>
        <w:tc>
          <w:tcPr>
            <w:tcW w:w="1787" w:type="dxa"/>
            <w:tcBorders>
              <w:top w:val="single" w:sz="4" w:space="0" w:color="auto"/>
              <w:left w:val="single" w:sz="4" w:space="0" w:color="auto"/>
              <w:bottom w:val="single" w:sz="4" w:space="0" w:color="auto"/>
              <w:right w:val="single" w:sz="4" w:space="0" w:color="auto"/>
            </w:tcBorders>
            <w:noWrap/>
            <w:vAlign w:val="bottom"/>
            <w:hideMark/>
          </w:tcPr>
          <w:p w:rsidR="00E963D9" w:rsidRDefault="00E963D9">
            <w:pPr>
              <w:jc w:val="right"/>
              <w:rPr>
                <w:color w:val="000000"/>
                <w:sz w:val="20"/>
                <w:szCs w:val="20"/>
              </w:rPr>
            </w:pPr>
            <w:r>
              <w:rPr>
                <w:color w:val="000000"/>
                <w:sz w:val="20"/>
                <w:szCs w:val="20"/>
              </w:rPr>
              <w:t> </w:t>
            </w:r>
          </w:p>
        </w:tc>
      </w:tr>
    </w:tbl>
    <w:p w:rsidR="0050264E" w:rsidRDefault="0050264E" w:rsidP="0050264E">
      <w:pPr>
        <w:pStyle w:val="BodyText"/>
        <w:spacing w:after="0"/>
      </w:pPr>
      <w:r>
        <w:t>Source: Current tariff and staff’s calculations</w:t>
      </w:r>
    </w:p>
    <w:p w:rsidR="0050264E" w:rsidRDefault="0050264E" w:rsidP="0050264E">
      <w:pPr>
        <w:pStyle w:val="BodyText"/>
        <w:spacing w:after="0"/>
      </w:pPr>
    </w:p>
    <w:p w:rsidR="00B37F51" w:rsidRDefault="00B37F51" w:rsidP="0050264E">
      <w:pPr>
        <w:pStyle w:val="BodyText"/>
        <w:spacing w:after="0"/>
      </w:pPr>
    </w:p>
    <w:p w:rsidR="004B3538" w:rsidRDefault="004B3538" w:rsidP="0050264E">
      <w:pPr>
        <w:pStyle w:val="BodyText"/>
        <w:spacing w:after="0"/>
      </w:pPr>
    </w:p>
    <w:p w:rsidR="004B3538" w:rsidRDefault="004B3538" w:rsidP="0050264E">
      <w:pPr>
        <w:pStyle w:val="BodyText"/>
        <w:spacing w:after="0"/>
      </w:pPr>
    </w:p>
    <w:p w:rsidR="008E35D1" w:rsidRDefault="008E35D1" w:rsidP="0050264E">
      <w:pPr>
        <w:pStyle w:val="BodyText"/>
        <w:spacing w:after="0"/>
      </w:pPr>
    </w:p>
    <w:p w:rsidR="00202083" w:rsidRDefault="00202083" w:rsidP="0050264E">
      <w:pPr>
        <w:pStyle w:val="BodyText"/>
        <w:spacing w:after="0"/>
      </w:pPr>
    </w:p>
    <w:p w:rsidR="008E35D1" w:rsidRDefault="008E35D1" w:rsidP="0050264E">
      <w:pPr>
        <w:pStyle w:val="BodyText"/>
        <w:spacing w:after="0"/>
      </w:pPr>
    </w:p>
    <w:p w:rsidR="008E35D1" w:rsidRPr="00AC110F" w:rsidRDefault="008E35D1" w:rsidP="008E35D1">
      <w:pPr>
        <w:autoSpaceDE w:val="0"/>
        <w:autoSpaceDN w:val="0"/>
        <w:adjustRightInd w:val="0"/>
        <w:jc w:val="both"/>
        <w:rPr>
          <w:rFonts w:ascii="Arial" w:hAnsi="Arial" w:cs="Arial"/>
          <w:b/>
        </w:rPr>
      </w:pPr>
      <w:r w:rsidRPr="00AC110F">
        <w:rPr>
          <w:rFonts w:ascii="Arial" w:hAnsi="Arial" w:cs="Arial"/>
          <w:b/>
        </w:rPr>
        <w:lastRenderedPageBreak/>
        <w:t xml:space="preserve">Summary </w:t>
      </w:r>
    </w:p>
    <w:p w:rsidR="005013AA" w:rsidRDefault="008E35D1" w:rsidP="008E35D1">
      <w:pPr>
        <w:pStyle w:val="BodyText"/>
      </w:pPr>
      <w:r>
        <w:t>The recommended rate structure and rates are shown on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EB6581">
        <w:t>.</w:t>
      </w:r>
    </w:p>
    <w:p w:rsidR="0086716D" w:rsidRDefault="0086716D">
      <w:pPr>
        <w:pStyle w:val="IssueHeading"/>
        <w:rPr>
          <w:vanish/>
          <w:specVanish/>
        </w:rPr>
      </w:pPr>
      <w:r w:rsidRPr="004C3641">
        <w:rPr>
          <w:b w:val="0"/>
          <w:i w:val="0"/>
        </w:rPr>
        <w:br w:type="page"/>
      </w:r>
      <w:bookmarkStart w:id="109" w:name="_Toc450304704"/>
      <w:bookmarkStart w:id="110" w:name="_Toc450304725"/>
      <w:bookmarkStart w:id="111" w:name="_Toc450304966"/>
      <w:r w:rsidRPr="004C3641">
        <w:lastRenderedPageBreak/>
        <w:t xml:space="preserve">Issue </w:t>
      </w:r>
      <w:r w:rsidR="005251FA">
        <w:fldChar w:fldCharType="begin"/>
      </w:r>
      <w:r w:rsidR="005251FA">
        <w:instrText xml:space="preserve"> SEQ Issue \* MERGEFORMAT </w:instrText>
      </w:r>
      <w:r w:rsidR="005251FA">
        <w:fldChar w:fldCharType="separate"/>
      </w:r>
      <w:r w:rsidR="000A550E">
        <w:rPr>
          <w:noProof/>
        </w:rPr>
        <w:t>9</w:t>
      </w:r>
      <w:r w:rsidR="005251FA">
        <w:rPr>
          <w:noProof/>
        </w:rPr>
        <w:fldChar w:fldCharType="end"/>
      </w:r>
      <w:r w:rsidRPr="004C3641">
        <w:t>:</w:t>
      </w:r>
      <w:bookmarkEnd w:id="109"/>
      <w:bookmarkEnd w:id="110"/>
      <w:bookmarkEnd w:id="111"/>
      <w:r>
        <w:fldChar w:fldCharType="begin"/>
      </w:r>
      <w:r>
        <w:instrText xml:space="preserve"> TC "</w:instrText>
      </w:r>
      <w:bookmarkStart w:id="112" w:name="_Toc450306837"/>
      <w:bookmarkStart w:id="113" w:name="_Toc450650602"/>
      <w:bookmarkStart w:id="114" w:name="_Toc450652884"/>
      <w:bookmarkStart w:id="115" w:name="_Toc451766972"/>
      <w:r w:rsidR="00374614" w:rsidRPr="007076B8">
        <w:rPr>
          <w:rFonts w:ascii="Times New Roman" w:hAnsi="Times New Roman" w:cs="Times New Roman"/>
          <w:b w:val="0"/>
          <w:i w:val="0"/>
        </w:rPr>
        <w:instrText xml:space="preserve">Issue </w:instrText>
      </w:r>
      <w:r w:rsidRPr="007076B8">
        <w:rPr>
          <w:rFonts w:ascii="Times New Roman" w:hAnsi="Times New Roman" w:cs="Times New Roman"/>
          <w:b w:val="0"/>
          <w:i w:val="0"/>
        </w:rPr>
        <w:fldChar w:fldCharType="begin"/>
      </w:r>
      <w:r w:rsidRPr="007076B8">
        <w:rPr>
          <w:rFonts w:ascii="Times New Roman" w:hAnsi="Times New Roman" w:cs="Times New Roman"/>
          <w:b w:val="0"/>
          <w:i w:val="0"/>
        </w:rPr>
        <w:instrText xml:space="preserve"> SEQ issue \c </w:instrText>
      </w:r>
      <w:r w:rsidRPr="007076B8">
        <w:rPr>
          <w:rFonts w:ascii="Times New Roman" w:hAnsi="Times New Roman" w:cs="Times New Roman"/>
          <w:b w:val="0"/>
          <w:i w:val="0"/>
        </w:rPr>
        <w:fldChar w:fldCharType="separate"/>
      </w:r>
      <w:bookmarkStart w:id="116" w:name="_Toc450304909"/>
      <w:bookmarkStart w:id="117" w:name="_Toc450304967"/>
      <w:bookmarkStart w:id="118" w:name="_Toc450305020"/>
      <w:r w:rsidR="000A550E">
        <w:rPr>
          <w:rFonts w:ascii="Times New Roman" w:hAnsi="Times New Roman" w:cs="Times New Roman"/>
          <w:b w:val="0"/>
          <w:i w:val="0"/>
          <w:noProof/>
        </w:rPr>
        <w:instrText>9</w:instrText>
      </w:r>
      <w:bookmarkEnd w:id="116"/>
      <w:bookmarkEnd w:id="117"/>
      <w:bookmarkEnd w:id="118"/>
      <w:r w:rsidRPr="007076B8">
        <w:rPr>
          <w:rFonts w:ascii="Times New Roman" w:hAnsi="Times New Roman" w:cs="Times New Roman"/>
          <w:b w:val="0"/>
          <w:i w:val="0"/>
        </w:rPr>
        <w:fldChar w:fldCharType="end"/>
      </w:r>
      <w:r w:rsidR="00374614" w:rsidRPr="007076B8">
        <w:rPr>
          <w:rFonts w:ascii="Times New Roman" w:hAnsi="Times New Roman" w:cs="Times New Roman"/>
          <w:b w:val="0"/>
          <w:i w:val="0"/>
        </w:rPr>
        <w:instrText xml:space="preserve"> </w:instrText>
      </w:r>
      <w:bookmarkEnd w:id="112"/>
      <w:bookmarkEnd w:id="113"/>
      <w:r w:rsidR="009D0579" w:rsidRPr="007076B8">
        <w:rPr>
          <w:rFonts w:ascii="Times New Roman" w:hAnsi="Times New Roman" w:cs="Times New Roman"/>
          <w:b w:val="0"/>
          <w:i w:val="0"/>
        </w:rPr>
        <w:instrText>Rate Reduction</w:instrText>
      </w:r>
      <w:bookmarkEnd w:id="114"/>
      <w:bookmarkEnd w:id="115"/>
      <w:r>
        <w:instrText xml:space="preserve">" \l 1 </w:instrText>
      </w:r>
      <w:r>
        <w:fldChar w:fldCharType="end"/>
      </w:r>
      <w:r>
        <w:t> </w:t>
      </w:r>
    </w:p>
    <w:p w:rsidR="0086716D" w:rsidRDefault="0086716D">
      <w:pPr>
        <w:pStyle w:val="BodyText"/>
      </w:pPr>
      <w:r>
        <w:t> </w:t>
      </w:r>
      <w:r w:rsidR="000648C0">
        <w:t>What is the appropriate amount by which rates should be reduced four years after the published effective date to reflect the removal of the amortized rate case expense as required by Section 367.0816, F.S?</w:t>
      </w:r>
    </w:p>
    <w:p w:rsidR="0086716D" w:rsidRPr="004C3641" w:rsidRDefault="0086716D">
      <w:pPr>
        <w:pStyle w:val="IssueSubsectionHeading"/>
        <w:rPr>
          <w:vanish/>
          <w:specVanish/>
        </w:rPr>
      </w:pPr>
      <w:r w:rsidRPr="004C3641">
        <w:t>Recommendation: </w:t>
      </w:r>
    </w:p>
    <w:p w:rsidR="0086716D" w:rsidRDefault="0086716D">
      <w:pPr>
        <w:pStyle w:val="BodyText"/>
      </w:pPr>
      <w:r>
        <w:t> </w:t>
      </w:r>
      <w:r w:rsidR="00A6726A">
        <w:t>The water rates should be reduced as shown on Schedule No. 4, to remove rate case expense grossed-up for RAFs and amortized over a four-year period. The decrease in rates should become effective immediately following the expiration of the four-year rate case expense recovery period, pursuant to Section 367.0816, F.S. The Utility should be required to file revised tariffs and a proposed customer notice setting forth the lower rates and the reason for the reduction no later than one month prior to the actual date of the required rate reduction. If Raintree files this reduction in conjunction with a price index or pass-through rate adjustment, separate data should be filed for the price index and/or pass-through increase or decrease and the reduction in the rates due to the amortized rate case expense. (Bruce, Golden)</w:t>
      </w:r>
      <w:r>
        <w:t xml:space="preserve"> </w:t>
      </w:r>
    </w:p>
    <w:p w:rsidR="0086716D" w:rsidRPr="004C3641" w:rsidRDefault="0086716D">
      <w:pPr>
        <w:pStyle w:val="IssueSubsectionHeading"/>
        <w:rPr>
          <w:vanish/>
          <w:specVanish/>
        </w:rPr>
      </w:pPr>
      <w:r w:rsidRPr="004C3641">
        <w:t>Staff Analysis: </w:t>
      </w:r>
    </w:p>
    <w:p w:rsidR="00305F26" w:rsidRDefault="0086716D" w:rsidP="00305F26">
      <w:pPr>
        <w:pStyle w:val="BodyText"/>
      </w:pPr>
      <w:r>
        <w:t> </w:t>
      </w:r>
      <w:r w:rsidR="00305F26">
        <w:t>Section 367.0816, F.S., requires that the rates be reduced immediately following the expiration of the four-year period by the amount of the rate case expense previously included in the rates.</w:t>
      </w:r>
      <w:r w:rsidR="00305F26">
        <w:rPr>
          <w:rStyle w:val="FootnoteReference"/>
        </w:rPr>
        <w:footnoteReference w:id="22"/>
      </w:r>
      <w:r w:rsidR="00305F26">
        <w:t xml:space="preserve"> The reduction will reflect the removal of revenues associated with the amortization of rate case expense, the associated return on working capital, and the gross-up for RAFs which is $316. Using the Utility's current revenues, expenses, and customer base, the reduction in revenues will result in the rate decrease shown on Schedule No. 4.</w:t>
      </w:r>
    </w:p>
    <w:p w:rsidR="00305F26" w:rsidRDefault="00305F26" w:rsidP="00DF5B2C">
      <w:pPr>
        <w:jc w:val="both"/>
      </w:pPr>
      <w:r>
        <w:rPr>
          <w:color w:val="000000"/>
        </w:rPr>
        <w:t xml:space="preserve">Raintree </w:t>
      </w:r>
      <w:r>
        <w:t xml:space="preserve">should be required to file revised tariff sheets no later than one month prior to the actual date of the required rate reduction. The Utility also should be required to file a proposed customer notice setting forth the lower rates and the reason for the reduction. If Raintree files this reduction in conjunction with a price index or pass-through rate adjustment, separate data should be filed for the price index and/or pass-through increase or decrease and the reduction in the rates due to the amortized rate case expense. </w:t>
      </w:r>
    </w:p>
    <w:p w:rsidR="0086716D" w:rsidRDefault="0086716D" w:rsidP="00DF5B2C">
      <w:pPr>
        <w:pStyle w:val="BodyText"/>
      </w:pPr>
    </w:p>
    <w:p w:rsidR="0086716D" w:rsidRDefault="0086716D">
      <w:pPr>
        <w:pStyle w:val="IssueHeading"/>
        <w:rPr>
          <w:vanish/>
          <w:specVanish/>
        </w:rPr>
      </w:pPr>
      <w:r w:rsidRPr="004C3641">
        <w:rPr>
          <w:b w:val="0"/>
          <w:i w:val="0"/>
        </w:rPr>
        <w:br w:type="page"/>
      </w:r>
      <w:bookmarkStart w:id="119" w:name="_Toc450304705"/>
      <w:bookmarkStart w:id="120" w:name="_Toc450304726"/>
      <w:bookmarkStart w:id="121" w:name="_Toc450304968"/>
      <w:r w:rsidRPr="004C3641">
        <w:lastRenderedPageBreak/>
        <w:t xml:space="preserve">Issue </w:t>
      </w:r>
      <w:r w:rsidR="005251FA">
        <w:fldChar w:fldCharType="begin"/>
      </w:r>
      <w:r w:rsidR="005251FA">
        <w:instrText xml:space="preserve"> SEQ Issue \* MERGEFORMAT </w:instrText>
      </w:r>
      <w:r w:rsidR="005251FA">
        <w:fldChar w:fldCharType="separate"/>
      </w:r>
      <w:r w:rsidR="000A550E">
        <w:rPr>
          <w:noProof/>
        </w:rPr>
        <w:t>10</w:t>
      </w:r>
      <w:r w:rsidR="005251FA">
        <w:rPr>
          <w:noProof/>
        </w:rPr>
        <w:fldChar w:fldCharType="end"/>
      </w:r>
      <w:r w:rsidRPr="004C3641">
        <w:t>:</w:t>
      </w:r>
      <w:bookmarkEnd w:id="119"/>
      <w:bookmarkEnd w:id="120"/>
      <w:bookmarkEnd w:id="121"/>
      <w:r>
        <w:fldChar w:fldCharType="begin"/>
      </w:r>
      <w:r>
        <w:instrText xml:space="preserve"> TC "</w:instrText>
      </w:r>
      <w:bookmarkStart w:id="122" w:name="_Toc450306838"/>
      <w:bookmarkStart w:id="123" w:name="_Toc450650603"/>
      <w:bookmarkStart w:id="124" w:name="_Toc450652885"/>
      <w:bookmarkStart w:id="125" w:name="_Toc451766973"/>
      <w:r w:rsidR="00374614" w:rsidRPr="007076B8">
        <w:rPr>
          <w:rFonts w:ascii="Times New Roman" w:hAnsi="Times New Roman" w:cs="Times New Roman"/>
          <w:b w:val="0"/>
          <w:i w:val="0"/>
        </w:rPr>
        <w:instrText xml:space="preserve">Issue </w:instrText>
      </w:r>
      <w:r w:rsidRPr="007076B8">
        <w:rPr>
          <w:rFonts w:ascii="Times New Roman" w:hAnsi="Times New Roman" w:cs="Times New Roman"/>
          <w:b w:val="0"/>
          <w:i w:val="0"/>
        </w:rPr>
        <w:fldChar w:fldCharType="begin"/>
      </w:r>
      <w:r w:rsidRPr="007076B8">
        <w:rPr>
          <w:rFonts w:ascii="Times New Roman" w:hAnsi="Times New Roman" w:cs="Times New Roman"/>
          <w:b w:val="0"/>
          <w:i w:val="0"/>
        </w:rPr>
        <w:instrText xml:space="preserve"> SEQ issue \c </w:instrText>
      </w:r>
      <w:r w:rsidRPr="007076B8">
        <w:rPr>
          <w:rFonts w:ascii="Times New Roman" w:hAnsi="Times New Roman" w:cs="Times New Roman"/>
          <w:b w:val="0"/>
          <w:i w:val="0"/>
        </w:rPr>
        <w:fldChar w:fldCharType="separate"/>
      </w:r>
      <w:bookmarkStart w:id="126" w:name="_Toc450304910"/>
      <w:bookmarkStart w:id="127" w:name="_Toc450304969"/>
      <w:bookmarkStart w:id="128" w:name="_Toc450305021"/>
      <w:r w:rsidR="000A550E">
        <w:rPr>
          <w:rFonts w:ascii="Times New Roman" w:hAnsi="Times New Roman" w:cs="Times New Roman"/>
          <w:b w:val="0"/>
          <w:i w:val="0"/>
          <w:noProof/>
        </w:rPr>
        <w:instrText>10</w:instrText>
      </w:r>
      <w:bookmarkEnd w:id="126"/>
      <w:bookmarkEnd w:id="127"/>
      <w:bookmarkEnd w:id="128"/>
      <w:r w:rsidRPr="007076B8">
        <w:rPr>
          <w:rFonts w:ascii="Times New Roman" w:hAnsi="Times New Roman" w:cs="Times New Roman"/>
          <w:b w:val="0"/>
          <w:i w:val="0"/>
        </w:rPr>
        <w:fldChar w:fldCharType="end"/>
      </w:r>
      <w:r w:rsidR="00374614" w:rsidRPr="007076B8">
        <w:rPr>
          <w:rFonts w:ascii="Times New Roman" w:hAnsi="Times New Roman" w:cs="Times New Roman"/>
          <w:b w:val="0"/>
          <w:i w:val="0"/>
        </w:rPr>
        <w:instrText xml:space="preserve"> </w:instrText>
      </w:r>
      <w:bookmarkEnd w:id="122"/>
      <w:bookmarkEnd w:id="123"/>
      <w:r w:rsidR="009D0579" w:rsidRPr="007076B8">
        <w:rPr>
          <w:rFonts w:ascii="Times New Roman" w:hAnsi="Times New Roman" w:cs="Times New Roman"/>
          <w:b w:val="0"/>
          <w:i w:val="0"/>
        </w:rPr>
        <w:instrText>Initial Customer Deposits</w:instrText>
      </w:r>
      <w:bookmarkEnd w:id="124"/>
      <w:bookmarkEnd w:id="125"/>
      <w:r>
        <w:instrText xml:space="preserve">" \l 1 </w:instrText>
      </w:r>
      <w:r>
        <w:fldChar w:fldCharType="end"/>
      </w:r>
      <w:r>
        <w:t> </w:t>
      </w:r>
    </w:p>
    <w:p w:rsidR="0086716D" w:rsidRDefault="0086716D">
      <w:pPr>
        <w:pStyle w:val="BodyText"/>
      </w:pPr>
      <w:r>
        <w:t> </w:t>
      </w:r>
      <w:r w:rsidR="000D5DB7">
        <w:t>What are the appropriate initial customer deposits for Raintree?</w:t>
      </w:r>
    </w:p>
    <w:p w:rsidR="0086716D" w:rsidRPr="004C3641" w:rsidRDefault="0086716D">
      <w:pPr>
        <w:pStyle w:val="IssueSubsectionHeading"/>
        <w:rPr>
          <w:vanish/>
          <w:specVanish/>
        </w:rPr>
      </w:pPr>
      <w:r w:rsidRPr="004C3641">
        <w:t>Recommendation: </w:t>
      </w:r>
    </w:p>
    <w:p w:rsidR="0086716D" w:rsidRDefault="0086716D">
      <w:pPr>
        <w:pStyle w:val="BodyText"/>
      </w:pPr>
      <w:r>
        <w:t> </w:t>
      </w:r>
      <w:r w:rsidR="001E03AB">
        <w:t xml:space="preserve">The appropriate water initial customer deposit should be $64 for the residential 5/8” x 3/4” meter size. The initial customer deposits for all other residential meter sizes and all general service meter sizes should be two times the average estimated bill for water service. </w:t>
      </w:r>
      <w:r w:rsidR="001E03AB">
        <w:rPr>
          <w:color w:val="000000"/>
        </w:rPr>
        <w:t>The approved initial customer deposits should be effective for connections made on or after the stamped approval date on the tariff sheet pursuant to Rule 25-30.475, F.A.C. (Bruce)</w:t>
      </w:r>
      <w:r>
        <w:t xml:space="preserve"> </w:t>
      </w:r>
    </w:p>
    <w:p w:rsidR="0086716D" w:rsidRPr="004C3641" w:rsidRDefault="0086716D" w:rsidP="00E3118D">
      <w:pPr>
        <w:pStyle w:val="IssueSubsectionHeading"/>
        <w:rPr>
          <w:vanish/>
          <w:specVanish/>
        </w:rPr>
      </w:pPr>
      <w:r w:rsidRPr="004C3641">
        <w:t>Staff Analysis: </w:t>
      </w:r>
    </w:p>
    <w:p w:rsidR="00021973" w:rsidRDefault="0086716D" w:rsidP="00E3118D">
      <w:pPr>
        <w:spacing w:after="240"/>
        <w:jc w:val="both"/>
        <w:outlineLvl w:val="0"/>
        <w:rPr>
          <w:color w:val="000000"/>
        </w:rPr>
      </w:pPr>
      <w:r>
        <w:t> </w:t>
      </w:r>
      <w:r w:rsidR="00021973">
        <w:t> </w:t>
      </w:r>
      <w:r w:rsidR="00021973">
        <w:rPr>
          <w:color w:val="000000"/>
        </w:rPr>
        <w:t>Rule 25-30.311, F.A.C., contains the criteria for collecting, administering, and refunding customer deposits. Customer deposits are designed to minimize the exposure of bad debt expense for the</w:t>
      </w:r>
      <w:r w:rsidR="004E3504">
        <w:rPr>
          <w:color w:val="000000"/>
        </w:rPr>
        <w:t xml:space="preserve"> Ut</w:t>
      </w:r>
      <w:r w:rsidR="00021973">
        <w:rPr>
          <w:color w:val="000000"/>
        </w:rPr>
        <w:t>ility and ultimately, the general body of ratepayers. Historically, the Commission has set initial customer deposits equal to two times the average estimated bill.</w:t>
      </w:r>
      <w:r w:rsidR="00021973">
        <w:rPr>
          <w:color w:val="000000"/>
          <w:vertAlign w:val="superscript"/>
        </w:rPr>
        <w:footnoteReference w:id="23"/>
      </w:r>
      <w:r w:rsidR="00021973">
        <w:rPr>
          <w:color w:val="000000"/>
        </w:rPr>
        <w:t xml:space="preserve">  Currently, the </w:t>
      </w:r>
      <w:r w:rsidR="004E3504">
        <w:rPr>
          <w:color w:val="000000"/>
        </w:rPr>
        <w:t>Ut</w:t>
      </w:r>
      <w:r w:rsidR="00021973">
        <w:rPr>
          <w:color w:val="000000"/>
        </w:rPr>
        <w:t xml:space="preserve">ility does not have initial customer deposits. Based on the staff recommended water rates and the post repression average residential demand, the appropriate initial customer deposit should be $64 for water to reflect an average residential customer bill for two months. </w:t>
      </w:r>
    </w:p>
    <w:p w:rsidR="00021973" w:rsidRDefault="00021973" w:rsidP="00E3118D">
      <w:pPr>
        <w:jc w:val="both"/>
        <w:rPr>
          <w:rFonts w:eastAsiaTheme="minorHAnsi"/>
        </w:rPr>
      </w:pPr>
      <w:r>
        <w:rPr>
          <w:color w:val="000000"/>
        </w:rPr>
        <w:t>Staff recommends that t</w:t>
      </w:r>
      <w:r>
        <w:t xml:space="preserve">he appropriate water initial customer deposit should be $64 for the residential 5/8” x 3/4” meter size. The initial customer deposits for all other residential meter sizes and all general service meter sizes should be two times the average estimated bill for water service. </w:t>
      </w:r>
      <w:r>
        <w:rPr>
          <w:color w:val="000000"/>
        </w:rPr>
        <w:t>The approved initial customer deposits should be effective for connections made on or after the stamped approval date on the tariff sheet pursuant to Rule 25-30.475, F.A.C</w:t>
      </w:r>
      <w:r>
        <w:rPr>
          <w:rFonts w:eastAsiaTheme="minorHAnsi"/>
        </w:rPr>
        <w:t>.</w:t>
      </w:r>
    </w:p>
    <w:p w:rsidR="0086716D" w:rsidRDefault="0086716D" w:rsidP="00E3118D">
      <w:pPr>
        <w:pStyle w:val="BodyText"/>
      </w:pPr>
    </w:p>
    <w:p w:rsidR="0086716D" w:rsidRDefault="0086716D">
      <w:pPr>
        <w:pStyle w:val="IssueHeading"/>
        <w:rPr>
          <w:vanish/>
          <w:specVanish/>
        </w:rPr>
      </w:pPr>
      <w:r w:rsidRPr="004C3641">
        <w:rPr>
          <w:b w:val="0"/>
          <w:i w:val="0"/>
        </w:rPr>
        <w:br w:type="page"/>
      </w:r>
      <w:bookmarkStart w:id="129" w:name="_Toc450304706"/>
      <w:bookmarkStart w:id="130" w:name="_Toc450304727"/>
      <w:bookmarkStart w:id="131" w:name="_Toc450304970"/>
      <w:r w:rsidRPr="004C3641">
        <w:lastRenderedPageBreak/>
        <w:t xml:space="preserve">Issue </w:t>
      </w:r>
      <w:r w:rsidR="005251FA">
        <w:fldChar w:fldCharType="begin"/>
      </w:r>
      <w:r w:rsidR="005251FA">
        <w:instrText xml:space="preserve"> SEQ Issue \* MERGEFORMAT </w:instrText>
      </w:r>
      <w:r w:rsidR="005251FA">
        <w:fldChar w:fldCharType="separate"/>
      </w:r>
      <w:r w:rsidR="000A550E">
        <w:rPr>
          <w:noProof/>
        </w:rPr>
        <w:t>11</w:t>
      </w:r>
      <w:r w:rsidR="005251FA">
        <w:rPr>
          <w:noProof/>
        </w:rPr>
        <w:fldChar w:fldCharType="end"/>
      </w:r>
      <w:r w:rsidRPr="004C3641">
        <w:t>:</w:t>
      </w:r>
      <w:bookmarkEnd w:id="129"/>
      <w:bookmarkEnd w:id="130"/>
      <w:bookmarkEnd w:id="131"/>
      <w:r>
        <w:fldChar w:fldCharType="begin"/>
      </w:r>
      <w:r>
        <w:instrText xml:space="preserve"> TC "</w:instrText>
      </w:r>
      <w:bookmarkStart w:id="132" w:name="_Toc450306839"/>
      <w:bookmarkStart w:id="133" w:name="_Toc450650604"/>
      <w:bookmarkStart w:id="134" w:name="_Toc450652886"/>
      <w:bookmarkStart w:id="135" w:name="_Toc451766974"/>
      <w:r w:rsidR="00374614" w:rsidRPr="007076B8">
        <w:rPr>
          <w:rFonts w:ascii="Times New Roman" w:hAnsi="Times New Roman" w:cs="Times New Roman"/>
          <w:b w:val="0"/>
          <w:i w:val="0"/>
        </w:rPr>
        <w:instrText xml:space="preserve">Issue </w:instrText>
      </w:r>
      <w:r w:rsidRPr="007076B8">
        <w:rPr>
          <w:rFonts w:ascii="Times New Roman" w:hAnsi="Times New Roman" w:cs="Times New Roman"/>
          <w:b w:val="0"/>
          <w:i w:val="0"/>
        </w:rPr>
        <w:fldChar w:fldCharType="begin"/>
      </w:r>
      <w:r w:rsidRPr="007076B8">
        <w:rPr>
          <w:rFonts w:ascii="Times New Roman" w:hAnsi="Times New Roman" w:cs="Times New Roman"/>
          <w:b w:val="0"/>
          <w:i w:val="0"/>
        </w:rPr>
        <w:instrText xml:space="preserve"> SEQ issue \c </w:instrText>
      </w:r>
      <w:r w:rsidRPr="007076B8">
        <w:rPr>
          <w:rFonts w:ascii="Times New Roman" w:hAnsi="Times New Roman" w:cs="Times New Roman"/>
          <w:b w:val="0"/>
          <w:i w:val="0"/>
        </w:rPr>
        <w:fldChar w:fldCharType="separate"/>
      </w:r>
      <w:bookmarkStart w:id="136" w:name="_Toc450304911"/>
      <w:bookmarkStart w:id="137" w:name="_Toc450304971"/>
      <w:bookmarkStart w:id="138" w:name="_Toc450305022"/>
      <w:r w:rsidR="000A550E">
        <w:rPr>
          <w:rFonts w:ascii="Times New Roman" w:hAnsi="Times New Roman" w:cs="Times New Roman"/>
          <w:b w:val="0"/>
          <w:i w:val="0"/>
          <w:noProof/>
        </w:rPr>
        <w:instrText>11</w:instrText>
      </w:r>
      <w:bookmarkEnd w:id="136"/>
      <w:bookmarkEnd w:id="137"/>
      <w:bookmarkEnd w:id="138"/>
      <w:r w:rsidRPr="007076B8">
        <w:rPr>
          <w:rFonts w:ascii="Times New Roman" w:hAnsi="Times New Roman" w:cs="Times New Roman"/>
          <w:b w:val="0"/>
          <w:i w:val="0"/>
        </w:rPr>
        <w:fldChar w:fldCharType="end"/>
      </w:r>
      <w:r w:rsidR="00374614" w:rsidRPr="007076B8">
        <w:rPr>
          <w:rFonts w:ascii="Times New Roman" w:hAnsi="Times New Roman" w:cs="Times New Roman"/>
          <w:b w:val="0"/>
          <w:i w:val="0"/>
        </w:rPr>
        <w:instrText xml:space="preserve"> </w:instrText>
      </w:r>
      <w:bookmarkEnd w:id="132"/>
      <w:bookmarkEnd w:id="133"/>
      <w:r w:rsidR="009D0579" w:rsidRPr="007076B8">
        <w:rPr>
          <w:rFonts w:ascii="Times New Roman" w:hAnsi="Times New Roman" w:cs="Times New Roman"/>
          <w:b w:val="0"/>
          <w:i w:val="0"/>
        </w:rPr>
        <w:instrText>Temporary Rates</w:instrText>
      </w:r>
      <w:bookmarkEnd w:id="134"/>
      <w:bookmarkEnd w:id="135"/>
      <w:r>
        <w:instrText xml:space="preserve">" \l 1 </w:instrText>
      </w:r>
      <w:r>
        <w:fldChar w:fldCharType="end"/>
      </w:r>
      <w:r>
        <w:t> </w:t>
      </w:r>
    </w:p>
    <w:p w:rsidR="0086716D" w:rsidRDefault="0086716D">
      <w:pPr>
        <w:pStyle w:val="BodyText"/>
      </w:pPr>
      <w:r>
        <w:t> </w:t>
      </w:r>
      <w:r w:rsidR="00A4434F" w:rsidRPr="00F04DBD">
        <w:t xml:space="preserve">Should the recommended rates be approved for </w:t>
      </w:r>
      <w:r w:rsidR="00A4434F">
        <w:t xml:space="preserve">Raintree </w:t>
      </w:r>
      <w:r w:rsidR="00A4434F" w:rsidRPr="00F04DBD">
        <w:t xml:space="preserve">on a temporary basis, subject to refund, in the event of a protest filed by a party other than the </w:t>
      </w:r>
      <w:r w:rsidR="00A4434F">
        <w:t>U</w:t>
      </w:r>
      <w:r w:rsidR="00A4434F" w:rsidRPr="00F04DBD">
        <w:t>tility</w:t>
      </w:r>
      <w:r w:rsidR="00A4434F">
        <w:t>?</w:t>
      </w:r>
    </w:p>
    <w:p w:rsidR="0086716D" w:rsidRPr="004C3641" w:rsidRDefault="0086716D">
      <w:pPr>
        <w:pStyle w:val="IssueSubsectionHeading"/>
        <w:rPr>
          <w:vanish/>
          <w:specVanish/>
        </w:rPr>
      </w:pPr>
      <w:r w:rsidRPr="004C3641">
        <w:t>Recommendation: </w:t>
      </w:r>
    </w:p>
    <w:p w:rsidR="0086716D" w:rsidRDefault="0086716D">
      <w:pPr>
        <w:pStyle w:val="BodyText"/>
      </w:pPr>
      <w:r>
        <w:t> </w:t>
      </w:r>
      <w:r w:rsidR="00977B85">
        <w:t>Yes. Pursuant to Section 367.0814(7), F.S., the recommended rates should be approved for the Utility on a temporary basis, subject to refund, in the event of a protest filed by a party other than the Utility.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 (Golden)</w:t>
      </w:r>
      <w:r>
        <w:t xml:space="preserve"> </w:t>
      </w:r>
    </w:p>
    <w:p w:rsidR="0086716D" w:rsidRPr="004C3641" w:rsidRDefault="0086716D">
      <w:pPr>
        <w:pStyle w:val="IssueSubsectionHeading"/>
        <w:rPr>
          <w:vanish/>
          <w:specVanish/>
        </w:rPr>
      </w:pPr>
      <w:r w:rsidRPr="004C3641">
        <w:t>Staff Analysis: </w:t>
      </w:r>
    </w:p>
    <w:p w:rsidR="00FA30B9" w:rsidRDefault="0086716D" w:rsidP="00FA30B9">
      <w:pPr>
        <w:pStyle w:val="BodyText"/>
      </w:pPr>
      <w:r>
        <w:t> </w:t>
      </w:r>
      <w:r w:rsidR="00FA30B9">
        <w:t> This recommendation proposes an increase in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FA30B9" w:rsidRDefault="00FA30B9" w:rsidP="00FA30B9">
      <w:pPr>
        <w:pStyle w:val="BodyText"/>
      </w:pPr>
      <w:r>
        <w:t>The Utility should be authorized to collect the temporary rates upon staff’s approval of an appropriate security for the potential refund and the proposed customer notice. Security should be in the form of a bond or letter of credit in the amount of $3,014. Alternatively, the Utility could establish an escrow agreement with an independent financial institution.</w:t>
      </w:r>
    </w:p>
    <w:p w:rsidR="00FA30B9" w:rsidRDefault="00FA30B9" w:rsidP="00FA30B9">
      <w:pPr>
        <w:pStyle w:val="BodyText"/>
        <w:spacing w:after="0"/>
      </w:pPr>
      <w:r>
        <w:t>If the Utility chooses a bond as security, the bond should contain wording to the effect that it will be terminated only under the following conditions:</w:t>
      </w:r>
    </w:p>
    <w:p w:rsidR="00FA30B9" w:rsidRDefault="00FA30B9" w:rsidP="00FA30B9">
      <w:pPr>
        <w:pStyle w:val="BodyText"/>
        <w:numPr>
          <w:ilvl w:val="0"/>
          <w:numId w:val="12"/>
        </w:numPr>
        <w:spacing w:after="0"/>
      </w:pPr>
      <w:r>
        <w:t>The Commission approves the rate increase; or,</w:t>
      </w:r>
    </w:p>
    <w:p w:rsidR="00FA30B9" w:rsidRDefault="00FA30B9" w:rsidP="00FA30B9">
      <w:pPr>
        <w:pStyle w:val="BodyText"/>
        <w:numPr>
          <w:ilvl w:val="0"/>
          <w:numId w:val="12"/>
        </w:numPr>
      </w:pPr>
      <w:r>
        <w:t>If the Commission denies the increase, the Utility shall refund the amount collected that is attributable to the increase.</w:t>
      </w:r>
    </w:p>
    <w:p w:rsidR="00FA30B9" w:rsidRDefault="00FA30B9" w:rsidP="00FA30B9">
      <w:pPr>
        <w:pStyle w:val="BodyText"/>
        <w:spacing w:after="0"/>
      </w:pPr>
      <w:r>
        <w:t>If the Utility chooses a letter of credit as a security, it should contain the following conditions:</w:t>
      </w:r>
    </w:p>
    <w:p w:rsidR="00FA30B9" w:rsidRDefault="00FA30B9" w:rsidP="00FA30B9">
      <w:pPr>
        <w:pStyle w:val="BodyText"/>
        <w:numPr>
          <w:ilvl w:val="0"/>
          <w:numId w:val="13"/>
        </w:numPr>
        <w:spacing w:after="0"/>
      </w:pPr>
      <w:r>
        <w:t>The letter of credit is irrevocable for the period it is in effect</w:t>
      </w:r>
      <w:r w:rsidR="005E14C3">
        <w:t>; and</w:t>
      </w:r>
    </w:p>
    <w:p w:rsidR="00FA30B9" w:rsidRDefault="00FA30B9" w:rsidP="00FA30B9">
      <w:pPr>
        <w:pStyle w:val="BodyText"/>
        <w:numPr>
          <w:ilvl w:val="0"/>
          <w:numId w:val="13"/>
        </w:numPr>
        <w:spacing w:after="0"/>
      </w:pPr>
      <w:r>
        <w:t>The letter of credit will be in effect until a final Commission order is rendered, either approving or denying the rate increase.</w:t>
      </w:r>
    </w:p>
    <w:p w:rsidR="00FA30B9" w:rsidRDefault="00FA30B9" w:rsidP="00FA30B9">
      <w:pPr>
        <w:pStyle w:val="BodyText"/>
        <w:spacing w:after="0"/>
        <w:ind w:left="1080"/>
      </w:pPr>
    </w:p>
    <w:p w:rsidR="00FA30B9" w:rsidRDefault="00FA30B9" w:rsidP="00FA30B9">
      <w:pPr>
        <w:pStyle w:val="BodyText"/>
        <w:spacing w:after="0"/>
      </w:pPr>
      <w:r>
        <w:lastRenderedPageBreak/>
        <w:t>If security is provided through an escrow agreement, the following conditions should be part of the agreement:</w:t>
      </w:r>
    </w:p>
    <w:p w:rsidR="00FA30B9" w:rsidRDefault="00FA30B9" w:rsidP="00FA30B9">
      <w:pPr>
        <w:pStyle w:val="BodyText"/>
        <w:numPr>
          <w:ilvl w:val="0"/>
          <w:numId w:val="14"/>
        </w:numPr>
        <w:spacing w:after="0"/>
      </w:pPr>
      <w:r>
        <w:t>The Commission Clerk, or his or her designee, must be a signatory to the escrow agreement.</w:t>
      </w:r>
    </w:p>
    <w:p w:rsidR="00FA30B9" w:rsidRDefault="00FA30B9" w:rsidP="00FA30B9">
      <w:pPr>
        <w:pStyle w:val="BodyText"/>
        <w:numPr>
          <w:ilvl w:val="0"/>
          <w:numId w:val="14"/>
        </w:numPr>
        <w:spacing w:after="0"/>
      </w:pPr>
      <w:r>
        <w:t xml:space="preserve">No monies in the escrow account may be withdrawn by the Utility without the prior written authorization of the Commission Clerk, or his or her designee. </w:t>
      </w:r>
    </w:p>
    <w:p w:rsidR="00FA30B9" w:rsidRDefault="00FA30B9" w:rsidP="00FA30B9">
      <w:pPr>
        <w:pStyle w:val="BodyText"/>
        <w:numPr>
          <w:ilvl w:val="0"/>
          <w:numId w:val="14"/>
        </w:numPr>
        <w:spacing w:after="0"/>
      </w:pPr>
      <w:r>
        <w:t>The escrow account shall be an interest bearing account.</w:t>
      </w:r>
    </w:p>
    <w:p w:rsidR="00FA30B9" w:rsidRDefault="00FA30B9" w:rsidP="00FA30B9">
      <w:pPr>
        <w:pStyle w:val="BodyText"/>
        <w:numPr>
          <w:ilvl w:val="0"/>
          <w:numId w:val="14"/>
        </w:numPr>
        <w:spacing w:after="0"/>
      </w:pPr>
      <w:r>
        <w:t>If a refund to the customers is required, all interest earned by the escrow account shall be distributed to the customers.</w:t>
      </w:r>
    </w:p>
    <w:p w:rsidR="00FA30B9" w:rsidRDefault="00FA30B9" w:rsidP="00FA30B9">
      <w:pPr>
        <w:pStyle w:val="BodyText"/>
        <w:numPr>
          <w:ilvl w:val="0"/>
          <w:numId w:val="14"/>
        </w:numPr>
        <w:spacing w:after="0"/>
      </w:pPr>
      <w:r>
        <w:t>If a refund to the customers is not required, the interest earned by the escrow account shall revert to the Utility.</w:t>
      </w:r>
    </w:p>
    <w:p w:rsidR="00FA30B9" w:rsidRDefault="00FA30B9" w:rsidP="00FA30B9">
      <w:pPr>
        <w:pStyle w:val="BodyText"/>
        <w:numPr>
          <w:ilvl w:val="0"/>
          <w:numId w:val="14"/>
        </w:numPr>
        <w:spacing w:after="0"/>
      </w:pPr>
      <w:r>
        <w:t>All information on the escrow account shall be available from the holder of the escrow account to a Commission representative at all times.</w:t>
      </w:r>
    </w:p>
    <w:p w:rsidR="00FA30B9" w:rsidRDefault="00FA30B9" w:rsidP="00FA30B9">
      <w:pPr>
        <w:pStyle w:val="BodyText"/>
        <w:numPr>
          <w:ilvl w:val="0"/>
          <w:numId w:val="14"/>
        </w:numPr>
        <w:spacing w:after="0"/>
      </w:pPr>
      <w:r>
        <w:t>The amount of revenue subject to refund shall be deposited in the escrow account within seven days of receipt.</w:t>
      </w:r>
    </w:p>
    <w:p w:rsidR="00FA30B9" w:rsidRDefault="00FA30B9" w:rsidP="00FA30B9">
      <w:pPr>
        <w:pStyle w:val="BodyText"/>
        <w:numPr>
          <w:ilvl w:val="0"/>
          <w:numId w:val="14"/>
        </w:numPr>
        <w:spacing w:after="0"/>
      </w:pPr>
      <w:r>
        <w:t xml:space="preserve">This escrow account is established by the direction of the Florida Public Service Commission for the purpose(s) set forth in its order requiring such account. Pursuant to </w:t>
      </w:r>
      <w:r w:rsidRPr="005E14C3">
        <w:rPr>
          <w:u w:val="single"/>
        </w:rPr>
        <w:t>Cosentino v. Elson</w:t>
      </w:r>
      <w:r>
        <w:t>, 263 So. 2d 253 (Fla. 3d DCA 1972), escrow accounts are not subject to garnishments.</w:t>
      </w:r>
    </w:p>
    <w:p w:rsidR="00FA30B9" w:rsidRDefault="00FA30B9" w:rsidP="00FA30B9">
      <w:pPr>
        <w:pStyle w:val="BodyText"/>
        <w:numPr>
          <w:ilvl w:val="0"/>
          <w:numId w:val="14"/>
        </w:numPr>
        <w:spacing w:after="0"/>
      </w:pPr>
      <w:r>
        <w:t>The account must specify by whom and on whose behalf such monies were paid.</w:t>
      </w:r>
    </w:p>
    <w:p w:rsidR="00FA30B9" w:rsidRDefault="00FA30B9" w:rsidP="00FA30B9">
      <w:pPr>
        <w:pStyle w:val="BodyText"/>
        <w:spacing w:after="0"/>
        <w:ind w:left="1080" w:hanging="360"/>
      </w:pPr>
    </w:p>
    <w:p w:rsidR="00FA30B9" w:rsidRDefault="00FA30B9" w:rsidP="00FA30B9">
      <w:pPr>
        <w:pStyle w:val="BodyText"/>
      </w:pPr>
      <w:r>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86716D" w:rsidRDefault="00FA30B9" w:rsidP="00FA30B9">
      <w:pPr>
        <w:pStyle w:val="BodyText"/>
      </w:pPr>
      <w:r>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86716D" w:rsidRDefault="0086716D">
      <w:pPr>
        <w:pStyle w:val="IssueHeading"/>
        <w:rPr>
          <w:vanish/>
          <w:specVanish/>
        </w:rPr>
      </w:pPr>
      <w:r w:rsidRPr="004C3641">
        <w:rPr>
          <w:b w:val="0"/>
          <w:i w:val="0"/>
        </w:rPr>
        <w:br w:type="page"/>
      </w:r>
      <w:bookmarkStart w:id="139" w:name="_Toc450304707"/>
      <w:bookmarkStart w:id="140" w:name="_Toc450304728"/>
      <w:bookmarkStart w:id="141" w:name="_Toc450304972"/>
      <w:r w:rsidRPr="004C3641">
        <w:lastRenderedPageBreak/>
        <w:t xml:space="preserve">Issue </w:t>
      </w:r>
      <w:r w:rsidR="005251FA">
        <w:fldChar w:fldCharType="begin"/>
      </w:r>
      <w:r w:rsidR="005251FA">
        <w:instrText xml:space="preserve"> SEQ Issue \* MERGEFORMAT </w:instrText>
      </w:r>
      <w:r w:rsidR="005251FA">
        <w:fldChar w:fldCharType="separate"/>
      </w:r>
      <w:r w:rsidR="000A550E">
        <w:rPr>
          <w:noProof/>
        </w:rPr>
        <w:t>12</w:t>
      </w:r>
      <w:r w:rsidR="005251FA">
        <w:rPr>
          <w:noProof/>
        </w:rPr>
        <w:fldChar w:fldCharType="end"/>
      </w:r>
      <w:r w:rsidRPr="004C3641">
        <w:t>:</w:t>
      </w:r>
      <w:bookmarkEnd w:id="139"/>
      <w:bookmarkEnd w:id="140"/>
      <w:bookmarkEnd w:id="141"/>
      <w:r>
        <w:fldChar w:fldCharType="begin"/>
      </w:r>
      <w:r>
        <w:instrText xml:space="preserve"> TC "</w:instrText>
      </w:r>
      <w:bookmarkStart w:id="142" w:name="_Toc450306840"/>
      <w:bookmarkStart w:id="143" w:name="_Toc450650605"/>
      <w:bookmarkStart w:id="144" w:name="_Toc450652887"/>
      <w:bookmarkStart w:id="145" w:name="_Toc451766975"/>
      <w:r w:rsidR="00374614" w:rsidRPr="007076B8">
        <w:rPr>
          <w:rFonts w:ascii="Times New Roman" w:hAnsi="Times New Roman" w:cs="Times New Roman"/>
          <w:b w:val="0"/>
          <w:i w:val="0"/>
        </w:rPr>
        <w:instrText xml:space="preserve">Issue </w:instrText>
      </w:r>
      <w:r w:rsidRPr="007076B8">
        <w:rPr>
          <w:rFonts w:ascii="Times New Roman" w:hAnsi="Times New Roman" w:cs="Times New Roman"/>
          <w:b w:val="0"/>
          <w:i w:val="0"/>
        </w:rPr>
        <w:fldChar w:fldCharType="begin"/>
      </w:r>
      <w:r w:rsidRPr="007076B8">
        <w:rPr>
          <w:rFonts w:ascii="Times New Roman" w:hAnsi="Times New Roman" w:cs="Times New Roman"/>
          <w:b w:val="0"/>
          <w:i w:val="0"/>
        </w:rPr>
        <w:instrText xml:space="preserve"> SEQ issue \c </w:instrText>
      </w:r>
      <w:r w:rsidRPr="007076B8">
        <w:rPr>
          <w:rFonts w:ascii="Times New Roman" w:hAnsi="Times New Roman" w:cs="Times New Roman"/>
          <w:b w:val="0"/>
          <w:i w:val="0"/>
        </w:rPr>
        <w:fldChar w:fldCharType="separate"/>
      </w:r>
      <w:bookmarkStart w:id="146" w:name="_Toc450304912"/>
      <w:bookmarkStart w:id="147" w:name="_Toc450304973"/>
      <w:bookmarkStart w:id="148" w:name="_Toc450305023"/>
      <w:r w:rsidR="000A550E">
        <w:rPr>
          <w:rFonts w:ascii="Times New Roman" w:hAnsi="Times New Roman" w:cs="Times New Roman"/>
          <w:b w:val="0"/>
          <w:i w:val="0"/>
          <w:noProof/>
        </w:rPr>
        <w:instrText>12</w:instrText>
      </w:r>
      <w:bookmarkEnd w:id="146"/>
      <w:bookmarkEnd w:id="147"/>
      <w:bookmarkEnd w:id="148"/>
      <w:r w:rsidRPr="007076B8">
        <w:rPr>
          <w:rFonts w:ascii="Times New Roman" w:hAnsi="Times New Roman" w:cs="Times New Roman"/>
          <w:b w:val="0"/>
          <w:i w:val="0"/>
        </w:rPr>
        <w:fldChar w:fldCharType="end"/>
      </w:r>
      <w:r w:rsidR="00374614" w:rsidRPr="007076B8">
        <w:rPr>
          <w:rFonts w:ascii="Times New Roman" w:hAnsi="Times New Roman" w:cs="Times New Roman"/>
          <w:b w:val="0"/>
          <w:i w:val="0"/>
        </w:rPr>
        <w:instrText xml:space="preserve"> </w:instrText>
      </w:r>
      <w:r w:rsidR="009D0579" w:rsidRPr="007076B8">
        <w:rPr>
          <w:rFonts w:ascii="Times New Roman" w:hAnsi="Times New Roman" w:cs="Times New Roman"/>
          <w:b w:val="0"/>
          <w:i w:val="0"/>
        </w:rPr>
        <w:instrText>Proof of Adjustments</w:instrText>
      </w:r>
      <w:bookmarkEnd w:id="142"/>
      <w:bookmarkEnd w:id="143"/>
      <w:bookmarkEnd w:id="144"/>
      <w:bookmarkEnd w:id="145"/>
      <w:r>
        <w:instrText xml:space="preserve">" \l 1 </w:instrText>
      </w:r>
      <w:r>
        <w:fldChar w:fldCharType="end"/>
      </w:r>
      <w:r>
        <w:t> </w:t>
      </w:r>
    </w:p>
    <w:p w:rsidR="0086716D" w:rsidRDefault="0086716D">
      <w:pPr>
        <w:pStyle w:val="BodyText"/>
      </w:pPr>
      <w:r>
        <w:t> </w:t>
      </w:r>
      <w:r w:rsidR="00391F7D" w:rsidRPr="00F04DBD">
        <w:t xml:space="preserve">Should </w:t>
      </w:r>
      <w:r w:rsidR="00391F7D">
        <w:t>Raintree</w:t>
      </w:r>
      <w:r w:rsidR="00391F7D" w:rsidRPr="00F04DBD">
        <w:t xml:space="preserve"> be required to </w:t>
      </w:r>
      <w:r w:rsidR="00391F7D">
        <w:t>notify the Commission, in writing, that it has</w:t>
      </w:r>
      <w:r w:rsidR="00391F7D" w:rsidRPr="00F04DBD">
        <w:t xml:space="preserve"> adjusted its books</w:t>
      </w:r>
      <w:r w:rsidR="00391F7D">
        <w:t xml:space="preserve"> in accordance with the Commission’s decision?</w:t>
      </w:r>
    </w:p>
    <w:p w:rsidR="0086716D" w:rsidRPr="004C3641" w:rsidRDefault="0086716D">
      <w:pPr>
        <w:pStyle w:val="IssueSubsectionHeading"/>
        <w:rPr>
          <w:vanish/>
          <w:specVanish/>
        </w:rPr>
      </w:pPr>
      <w:r w:rsidRPr="004C3641">
        <w:t>Recommendation: </w:t>
      </w:r>
    </w:p>
    <w:p w:rsidR="0086716D" w:rsidRDefault="0086716D">
      <w:pPr>
        <w:pStyle w:val="BodyText"/>
      </w:pPr>
      <w:r>
        <w:t> </w:t>
      </w:r>
      <w:r w:rsidR="009A079C">
        <w:t xml:space="preserve"> Yes. The Utility should be required to notify the Commission, in writing, that it has adjusted its books in accordance with the Commission's decision. Raintree should submit a letter within 90 days of the final order in this docket, confirming that the adjustments to all the applicable NARUC USOA primary accounts as shown on Schedule No. 5 have been made to the Utility’s books and records. In the event the Utility needs additional time to complete the adjustments, notice should be provided within seven days prior to </w:t>
      </w:r>
      <w:r w:rsidR="00D70F8E">
        <w:t xml:space="preserve">the </w:t>
      </w:r>
      <w:r w:rsidR="009A079C">
        <w:t>deadline. Upon providing good cause, staff should be given administrative authority to grant an extension of up to 60 days. (Golden)</w:t>
      </w:r>
      <w:r>
        <w:t xml:space="preserve"> </w:t>
      </w:r>
    </w:p>
    <w:p w:rsidR="0086716D" w:rsidRPr="004C3641" w:rsidRDefault="0086716D">
      <w:pPr>
        <w:pStyle w:val="IssueSubsectionHeading"/>
        <w:rPr>
          <w:vanish/>
          <w:specVanish/>
        </w:rPr>
      </w:pPr>
      <w:r w:rsidRPr="004C3641">
        <w:t>Staff Analysis: </w:t>
      </w:r>
    </w:p>
    <w:p w:rsidR="0086716D" w:rsidRDefault="0086716D">
      <w:pPr>
        <w:pStyle w:val="BodyText"/>
      </w:pPr>
      <w:r>
        <w:t> </w:t>
      </w:r>
      <w:r w:rsidR="00912AF5">
        <w:t xml:space="preserve">The Utility should be required to notify the Commission, in writing that it has adjusted its books in accordance with the Commission's decision. Schedule No. 5 reflects the accumulated plant, depreciation, CIAC, and amortization of CIAC balances as of July 31, 2015. Raintree should submit a letter within 90 days of the final order in this docket, confirming that the adjustments to all the applicable NARUC USOA primary accounts, as shown on Schedule No. 5, have been made to the Utility’s books and records. In the event the Utility needs additional time to complete the adjustments, notice should be provided within seven days prior to </w:t>
      </w:r>
      <w:r w:rsidR="00D70F8E">
        <w:t xml:space="preserve">the </w:t>
      </w:r>
      <w:r w:rsidR="00912AF5">
        <w:t>deadline. Upon providing good cause, staff should be given administrative authority to grant an extension of up to 60 days.</w:t>
      </w:r>
    </w:p>
    <w:p w:rsidR="00C37D97" w:rsidRDefault="00C37D97">
      <w:pPr>
        <w:pStyle w:val="IssueHeading"/>
        <w:rPr>
          <w:b w:val="0"/>
          <w:i w:val="0"/>
        </w:rPr>
      </w:pPr>
    </w:p>
    <w:p w:rsidR="00C37D97" w:rsidRPr="00C37D97" w:rsidRDefault="00C37D97" w:rsidP="00C37D97"/>
    <w:p w:rsidR="00C37D97" w:rsidRPr="00C37D97" w:rsidRDefault="00C37D97" w:rsidP="00C37D97"/>
    <w:p w:rsidR="00C37D97" w:rsidRPr="00C37D97" w:rsidRDefault="00C37D97" w:rsidP="00C37D97"/>
    <w:p w:rsidR="00C37D97" w:rsidRPr="00C37D97" w:rsidRDefault="00C37D97" w:rsidP="00C37D97"/>
    <w:p w:rsidR="00C37D97" w:rsidRDefault="00C37D97" w:rsidP="00C37D97">
      <w:pPr>
        <w:pStyle w:val="IssueHeading"/>
        <w:jc w:val="right"/>
      </w:pPr>
    </w:p>
    <w:p w:rsidR="0086716D" w:rsidRDefault="0086716D">
      <w:pPr>
        <w:pStyle w:val="IssueHeading"/>
        <w:rPr>
          <w:vanish/>
          <w:specVanish/>
        </w:rPr>
      </w:pPr>
      <w:r w:rsidRPr="00C37D97">
        <w:br w:type="page"/>
      </w:r>
      <w:bookmarkStart w:id="149" w:name="_Toc450304708"/>
      <w:bookmarkStart w:id="150" w:name="_Toc450304729"/>
      <w:bookmarkStart w:id="151" w:name="_Toc450304974"/>
      <w:r w:rsidRPr="004C3641">
        <w:lastRenderedPageBreak/>
        <w:t xml:space="preserve">Issue </w:t>
      </w:r>
      <w:r w:rsidR="005251FA">
        <w:fldChar w:fldCharType="begin"/>
      </w:r>
      <w:r w:rsidR="005251FA">
        <w:instrText xml:space="preserve"> SEQ Issu</w:instrText>
      </w:r>
      <w:r w:rsidR="005251FA">
        <w:instrText xml:space="preserve">e \* MERGEFORMAT </w:instrText>
      </w:r>
      <w:r w:rsidR="005251FA">
        <w:fldChar w:fldCharType="separate"/>
      </w:r>
      <w:r w:rsidR="000A550E">
        <w:rPr>
          <w:noProof/>
        </w:rPr>
        <w:t>13</w:t>
      </w:r>
      <w:r w:rsidR="005251FA">
        <w:rPr>
          <w:noProof/>
        </w:rPr>
        <w:fldChar w:fldCharType="end"/>
      </w:r>
      <w:r w:rsidRPr="004C3641">
        <w:t>:</w:t>
      </w:r>
      <w:bookmarkEnd w:id="149"/>
      <w:bookmarkEnd w:id="150"/>
      <w:bookmarkEnd w:id="151"/>
      <w:r>
        <w:fldChar w:fldCharType="begin"/>
      </w:r>
      <w:r>
        <w:instrText xml:space="preserve"> TC "</w:instrText>
      </w:r>
      <w:bookmarkStart w:id="152" w:name="_Toc450306841"/>
      <w:bookmarkStart w:id="153" w:name="_Toc450650606"/>
      <w:bookmarkStart w:id="154" w:name="_Toc450652888"/>
      <w:bookmarkStart w:id="155" w:name="_Toc451766976"/>
      <w:r w:rsidR="00374614" w:rsidRPr="007076B8">
        <w:rPr>
          <w:rFonts w:ascii="Times New Roman" w:hAnsi="Times New Roman" w:cs="Times New Roman"/>
          <w:b w:val="0"/>
          <w:i w:val="0"/>
        </w:rPr>
        <w:instrText xml:space="preserve">Issue </w:instrText>
      </w:r>
      <w:r w:rsidRPr="007076B8">
        <w:rPr>
          <w:rFonts w:ascii="Times New Roman" w:hAnsi="Times New Roman" w:cs="Times New Roman"/>
          <w:b w:val="0"/>
          <w:i w:val="0"/>
        </w:rPr>
        <w:fldChar w:fldCharType="begin"/>
      </w:r>
      <w:r w:rsidRPr="007076B8">
        <w:rPr>
          <w:rFonts w:ascii="Times New Roman" w:hAnsi="Times New Roman" w:cs="Times New Roman"/>
          <w:b w:val="0"/>
          <w:i w:val="0"/>
        </w:rPr>
        <w:instrText xml:space="preserve"> SEQ issue \c </w:instrText>
      </w:r>
      <w:r w:rsidRPr="007076B8">
        <w:rPr>
          <w:rFonts w:ascii="Times New Roman" w:hAnsi="Times New Roman" w:cs="Times New Roman"/>
          <w:b w:val="0"/>
          <w:i w:val="0"/>
        </w:rPr>
        <w:fldChar w:fldCharType="separate"/>
      </w:r>
      <w:bookmarkStart w:id="156" w:name="_Toc450304913"/>
      <w:bookmarkStart w:id="157" w:name="_Toc450304975"/>
      <w:bookmarkStart w:id="158" w:name="_Toc450305024"/>
      <w:r w:rsidR="000A550E">
        <w:rPr>
          <w:rFonts w:ascii="Times New Roman" w:hAnsi="Times New Roman" w:cs="Times New Roman"/>
          <w:b w:val="0"/>
          <w:i w:val="0"/>
          <w:noProof/>
        </w:rPr>
        <w:instrText>13</w:instrText>
      </w:r>
      <w:bookmarkEnd w:id="156"/>
      <w:bookmarkEnd w:id="157"/>
      <w:bookmarkEnd w:id="158"/>
      <w:r w:rsidRPr="007076B8">
        <w:rPr>
          <w:rFonts w:ascii="Times New Roman" w:hAnsi="Times New Roman" w:cs="Times New Roman"/>
          <w:b w:val="0"/>
          <w:i w:val="0"/>
        </w:rPr>
        <w:fldChar w:fldCharType="end"/>
      </w:r>
      <w:r w:rsidR="00374614" w:rsidRPr="007076B8">
        <w:rPr>
          <w:rFonts w:ascii="Times New Roman" w:hAnsi="Times New Roman" w:cs="Times New Roman"/>
          <w:b w:val="0"/>
          <w:i w:val="0"/>
        </w:rPr>
        <w:instrText xml:space="preserve"> </w:instrText>
      </w:r>
      <w:bookmarkEnd w:id="152"/>
      <w:bookmarkEnd w:id="153"/>
      <w:r w:rsidR="009D0579" w:rsidRPr="007076B8">
        <w:rPr>
          <w:rFonts w:ascii="Times New Roman" w:hAnsi="Times New Roman" w:cs="Times New Roman"/>
          <w:b w:val="0"/>
          <w:i w:val="0"/>
        </w:rPr>
        <w:instrText>Close Docket</w:instrText>
      </w:r>
      <w:bookmarkEnd w:id="154"/>
      <w:bookmarkEnd w:id="155"/>
      <w:r>
        <w:instrText xml:space="preserve">" \l 1 </w:instrText>
      </w:r>
      <w:r>
        <w:fldChar w:fldCharType="end"/>
      </w:r>
      <w:r>
        <w:t> </w:t>
      </w:r>
    </w:p>
    <w:p w:rsidR="0086716D" w:rsidRDefault="0086716D">
      <w:pPr>
        <w:pStyle w:val="BodyText"/>
      </w:pPr>
      <w:r>
        <w:t> </w:t>
      </w:r>
      <w:r w:rsidR="00554A22">
        <w:t>Should this docket be closed?</w:t>
      </w:r>
    </w:p>
    <w:p w:rsidR="006029F4" w:rsidRDefault="0086716D">
      <w:pPr>
        <w:pStyle w:val="BodyText"/>
      </w:pPr>
      <w:r w:rsidRPr="003A179D">
        <w:rPr>
          <w:rFonts w:ascii="Arial" w:hAnsi="Arial" w:cs="Arial"/>
          <w:b/>
          <w:i/>
        </w:rPr>
        <w:t>Recommendation</w:t>
      </w:r>
      <w:r w:rsidRPr="004C3641">
        <w:t>:</w:t>
      </w:r>
      <w:r w:rsidR="003A179D">
        <w:t xml:space="preserve"> </w:t>
      </w:r>
      <w:r w:rsidRPr="004C3641">
        <w:t> </w:t>
      </w:r>
      <w:r w:rsidR="003A179D">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t> </w:t>
      </w:r>
      <w:r w:rsidR="003A179D">
        <w:t>(</w:t>
      </w:r>
      <w:r w:rsidR="006029F4">
        <w:t>Tan, Lherisson)</w:t>
      </w:r>
    </w:p>
    <w:p w:rsidR="0086716D" w:rsidRPr="004C3641" w:rsidRDefault="0086716D">
      <w:pPr>
        <w:pStyle w:val="IssueSubsectionHeading"/>
        <w:rPr>
          <w:vanish/>
          <w:specVanish/>
        </w:rPr>
      </w:pPr>
      <w:r w:rsidRPr="004C3641">
        <w:t>Staff Analysis: </w:t>
      </w:r>
    </w:p>
    <w:p w:rsidR="0086716D" w:rsidRDefault="0086716D">
      <w:pPr>
        <w:pStyle w:val="BodyText"/>
      </w:pPr>
      <w:r>
        <w:t> </w:t>
      </w:r>
      <w:r w:rsidR="00261CD9">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C37D97" w:rsidRDefault="00C37D97">
      <w:pPr>
        <w:pStyle w:val="IssueHeading"/>
        <w:rPr>
          <w:b w:val="0"/>
          <w:i w:val="0"/>
        </w:rPr>
      </w:pPr>
    </w:p>
    <w:p w:rsidR="00B12EC7" w:rsidRDefault="00B12EC7" w:rsidP="00C37D97">
      <w:pPr>
        <w:sectPr w:rsidR="00B12EC7" w:rsidSect="0068481F">
          <w:headerReference w:type="default" r:id="rId18"/>
          <w:headerReference w:type="first" r:id="rId19"/>
          <w:footerReference w:type="first" r:id="rId20"/>
          <w:pgSz w:w="12240" w:h="15840" w:code="1"/>
          <w:pgMar w:top="1584" w:right="1440" w:bottom="1440" w:left="1440" w:header="720" w:footer="720" w:gutter="0"/>
          <w:cols w:space="720"/>
          <w:formProt w:val="0"/>
          <w:docGrid w:linePitch="360"/>
        </w:sectPr>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736"/>
        <w:gridCol w:w="974"/>
        <w:gridCol w:w="1620"/>
      </w:tblGrid>
      <w:tr w:rsidR="00580196" w:rsidTr="00580196">
        <w:trPr>
          <w:trHeight w:val="301"/>
        </w:trPr>
        <w:tc>
          <w:tcPr>
            <w:tcW w:w="376" w:type="dxa"/>
            <w:tcBorders>
              <w:top w:val="single" w:sz="12" w:space="0" w:color="000000"/>
              <w:left w:val="single" w:sz="12" w:space="0" w:color="000000"/>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lastRenderedPageBreak/>
              <w:t> </w:t>
            </w:r>
          </w:p>
        </w:tc>
        <w:tc>
          <w:tcPr>
            <w:tcW w:w="5541" w:type="dxa"/>
            <w:gridSpan w:val="3"/>
            <w:tcBorders>
              <w:top w:val="single" w:sz="12" w:space="0" w:color="000000"/>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b/>
                <w:bCs/>
                <w:color w:val="000000"/>
                <w:sz w:val="20"/>
                <w:szCs w:val="20"/>
              </w:rPr>
              <w:t>RAINTREE WATERWORKS, INC.</w:t>
            </w:r>
          </w:p>
        </w:tc>
        <w:tc>
          <w:tcPr>
            <w:tcW w:w="3459" w:type="dxa"/>
            <w:gridSpan w:val="4"/>
            <w:tcBorders>
              <w:top w:val="single" w:sz="12" w:space="0" w:color="000000"/>
              <w:left w:val="nil"/>
              <w:bottom w:val="nil"/>
              <w:right w:val="single" w:sz="12" w:space="0" w:color="000000"/>
            </w:tcBorders>
            <w:noWrap/>
            <w:vAlign w:val="bottom"/>
            <w:hideMark/>
          </w:tcPr>
          <w:p w:rsidR="00580196" w:rsidRDefault="00580196">
            <w:pPr>
              <w:jc w:val="right"/>
              <w:rPr>
                <w:sz w:val="20"/>
                <w:szCs w:val="20"/>
              </w:rPr>
            </w:pPr>
            <w:r>
              <w:rPr>
                <w:rFonts w:ascii="SWISS" w:hAnsi="SWISS" w:cs="Arial"/>
                <w:b/>
                <w:bCs/>
                <w:color w:val="000000"/>
                <w:sz w:val="20"/>
                <w:szCs w:val="20"/>
              </w:rPr>
              <w:t>SCHEDULE NO. 1-A</w:t>
            </w:r>
            <w:r>
              <w:rPr>
                <w:sz w:val="20"/>
                <w:szCs w:val="20"/>
              </w:rPr>
              <w:fldChar w:fldCharType="begin"/>
            </w:r>
            <w:r>
              <w:rPr>
                <w:sz w:val="20"/>
                <w:szCs w:val="20"/>
              </w:rPr>
              <w:instrText xml:space="preserve"> TC "</w:instrText>
            </w:r>
            <w:bookmarkStart w:id="159" w:name="_Toc399147316"/>
            <w:r>
              <w:rPr>
                <w:sz w:val="20"/>
                <w:szCs w:val="20"/>
              </w:rPr>
              <w:instrText xml:space="preserve"> </w:instrText>
            </w:r>
            <w:bookmarkStart w:id="160" w:name="_Toc443384728"/>
            <w:bookmarkStart w:id="161" w:name="_Toc441233993"/>
            <w:bookmarkStart w:id="162" w:name="_Toc422220886"/>
            <w:bookmarkStart w:id="163" w:name="_Toc451766977"/>
            <w:r>
              <w:rPr>
                <w:sz w:val="20"/>
                <w:szCs w:val="20"/>
              </w:rPr>
              <w:instrText>Schedule No. 1-A Water Rate Base</w:instrText>
            </w:r>
            <w:bookmarkEnd w:id="159"/>
            <w:bookmarkEnd w:id="160"/>
            <w:bookmarkEnd w:id="161"/>
            <w:bookmarkEnd w:id="162"/>
            <w:bookmarkEnd w:id="163"/>
            <w:r>
              <w:rPr>
                <w:sz w:val="20"/>
                <w:szCs w:val="20"/>
              </w:rPr>
              <w:instrText xml:space="preserve">”l 1 </w:instrText>
            </w:r>
            <w:r>
              <w:rPr>
                <w:sz w:val="20"/>
                <w:szCs w:val="20"/>
              </w:rPr>
              <w:fldChar w:fldCharType="end"/>
            </w: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3812" w:type="dxa"/>
            <w:tcBorders>
              <w:top w:val="nil"/>
              <w:left w:val="nil"/>
              <w:bottom w:val="nil"/>
              <w:right w:val="nil"/>
            </w:tcBorders>
            <w:noWrap/>
            <w:vAlign w:val="bottom"/>
            <w:hideMark/>
          </w:tcPr>
          <w:p w:rsidR="00580196" w:rsidRDefault="00580196">
            <w:pPr>
              <w:rPr>
                <w:rFonts w:ascii="SWISS" w:hAnsi="SWISS" w:cs="Arial"/>
                <w:b/>
                <w:bCs/>
                <w:color w:val="000000"/>
                <w:sz w:val="20"/>
                <w:szCs w:val="20"/>
              </w:rPr>
            </w:pPr>
            <w:r>
              <w:rPr>
                <w:rFonts w:ascii="SWISS" w:hAnsi="SWISS" w:cs="Arial"/>
                <w:b/>
                <w:bCs/>
                <w:color w:val="000000"/>
                <w:sz w:val="20"/>
                <w:szCs w:val="20"/>
              </w:rPr>
              <w:t>TEST YEAR ENDED 7/31/15</w:t>
            </w:r>
          </w:p>
        </w:tc>
        <w:tc>
          <w:tcPr>
            <w:tcW w:w="2594" w:type="dxa"/>
            <w:gridSpan w:val="4"/>
            <w:tcBorders>
              <w:top w:val="nil"/>
              <w:left w:val="nil"/>
              <w:bottom w:val="nil"/>
              <w:right w:val="nil"/>
            </w:tcBorders>
            <w:noWrap/>
            <w:vAlign w:val="bottom"/>
          </w:tcPr>
          <w:p w:rsidR="00580196" w:rsidRDefault="00580196">
            <w:pPr>
              <w:rPr>
                <w:rFonts w:ascii="SWISS" w:hAnsi="SWISS" w:cs="Arial"/>
                <w:color w:val="000000"/>
                <w:sz w:val="20"/>
                <w:szCs w:val="20"/>
              </w:rPr>
            </w:pPr>
          </w:p>
        </w:tc>
        <w:tc>
          <w:tcPr>
            <w:tcW w:w="2594" w:type="dxa"/>
            <w:gridSpan w:val="2"/>
            <w:tcBorders>
              <w:top w:val="nil"/>
              <w:left w:val="nil"/>
              <w:bottom w:val="nil"/>
              <w:right w:val="single" w:sz="12" w:space="0" w:color="000000"/>
            </w:tcBorders>
            <w:noWrap/>
            <w:vAlign w:val="bottom"/>
            <w:hideMark/>
          </w:tcPr>
          <w:p w:rsidR="00580196" w:rsidRDefault="00580196">
            <w:pPr>
              <w:jc w:val="right"/>
              <w:rPr>
                <w:rFonts w:ascii="SWISS" w:hAnsi="SWISS" w:cs="Arial"/>
                <w:b/>
                <w:bCs/>
                <w:color w:val="000000"/>
                <w:sz w:val="20"/>
                <w:szCs w:val="20"/>
              </w:rPr>
            </w:pPr>
            <w:r>
              <w:rPr>
                <w:rFonts w:ascii="SWISS" w:hAnsi="SWISS" w:cs="Arial"/>
                <w:b/>
                <w:bCs/>
                <w:color w:val="000000"/>
                <w:sz w:val="20"/>
                <w:szCs w:val="20"/>
              </w:rPr>
              <w:t>DOCKET NO. 150199-WU</w:t>
            </w:r>
          </w:p>
        </w:tc>
      </w:tr>
      <w:tr w:rsidR="00580196" w:rsidTr="00580196">
        <w:trPr>
          <w:trHeight w:val="301"/>
        </w:trPr>
        <w:tc>
          <w:tcPr>
            <w:tcW w:w="376" w:type="dxa"/>
            <w:tcBorders>
              <w:top w:val="nil"/>
              <w:left w:val="single" w:sz="12" w:space="0" w:color="000000"/>
              <w:bottom w:val="single" w:sz="12" w:space="0" w:color="000000"/>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5670" w:type="dxa"/>
            <w:gridSpan w:val="4"/>
            <w:tcBorders>
              <w:top w:val="nil"/>
              <w:left w:val="nil"/>
              <w:bottom w:val="single" w:sz="12" w:space="0" w:color="000000"/>
              <w:right w:val="nil"/>
            </w:tcBorders>
            <w:noWrap/>
            <w:vAlign w:val="bottom"/>
            <w:hideMark/>
          </w:tcPr>
          <w:p w:rsidR="00580196" w:rsidRDefault="00580196">
            <w:pPr>
              <w:rPr>
                <w:rFonts w:ascii="SWISS" w:hAnsi="SWISS" w:cs="Arial"/>
                <w:color w:val="000000"/>
                <w:sz w:val="20"/>
                <w:szCs w:val="20"/>
              </w:rPr>
            </w:pPr>
            <w:r>
              <w:rPr>
                <w:rFonts w:ascii="SWISS" w:hAnsi="SWISS" w:cs="Arial"/>
                <w:b/>
                <w:bCs/>
                <w:color w:val="000000"/>
                <w:sz w:val="20"/>
                <w:szCs w:val="20"/>
              </w:rPr>
              <w:t>SCHEDULE OF WATER RATE BASE</w:t>
            </w:r>
          </w:p>
        </w:tc>
        <w:tc>
          <w:tcPr>
            <w:tcW w:w="1710" w:type="dxa"/>
            <w:gridSpan w:val="2"/>
            <w:tcBorders>
              <w:top w:val="nil"/>
              <w:left w:val="nil"/>
              <w:bottom w:val="single" w:sz="12" w:space="0" w:color="000000"/>
              <w:right w:val="nil"/>
            </w:tcBorders>
            <w:noWrap/>
            <w:vAlign w:val="bottom"/>
          </w:tcPr>
          <w:p w:rsidR="00580196" w:rsidRDefault="00580196">
            <w:pPr>
              <w:rPr>
                <w:rFonts w:ascii="SWISS" w:hAnsi="SWISS" w:cs="Arial"/>
                <w:color w:val="000000"/>
                <w:sz w:val="20"/>
                <w:szCs w:val="20"/>
              </w:rPr>
            </w:pPr>
          </w:p>
        </w:tc>
        <w:tc>
          <w:tcPr>
            <w:tcW w:w="1620" w:type="dxa"/>
            <w:tcBorders>
              <w:top w:val="nil"/>
              <w:left w:val="nil"/>
              <w:bottom w:val="single" w:sz="12" w:space="0" w:color="000000"/>
              <w:right w:val="single" w:sz="12" w:space="0" w:color="000000"/>
            </w:tcBorders>
            <w:noWrap/>
            <w:vAlign w:val="bottom"/>
          </w:tcPr>
          <w:p w:rsidR="00580196" w:rsidRDefault="00580196">
            <w:pPr>
              <w:rPr>
                <w:rFonts w:ascii="SWISS" w:hAnsi="SWISS" w:cs="Arial"/>
                <w:color w:val="000000"/>
                <w:sz w:val="20"/>
                <w:szCs w:val="20"/>
              </w:rPr>
            </w:pPr>
          </w:p>
        </w:tc>
      </w:tr>
      <w:tr w:rsidR="00580196" w:rsidTr="00580196">
        <w:trPr>
          <w:trHeight w:val="301"/>
        </w:trPr>
        <w:tc>
          <w:tcPr>
            <w:tcW w:w="376" w:type="dxa"/>
            <w:tcBorders>
              <w:top w:val="single" w:sz="12" w:space="0" w:color="000000"/>
              <w:left w:val="single" w:sz="12" w:space="0" w:color="000000"/>
              <w:bottom w:val="nil"/>
              <w:right w:val="nil"/>
            </w:tcBorders>
            <w:noWrap/>
            <w:vAlign w:val="bottom"/>
            <w:hideMark/>
          </w:tcPr>
          <w:p w:rsidR="00580196" w:rsidRDefault="00580196">
            <w:pPr>
              <w:rPr>
                <w:rFonts w:ascii="SWISS" w:hAnsi="SWISS" w:cs="Arial"/>
                <w:b/>
                <w:color w:val="000000"/>
                <w:sz w:val="20"/>
                <w:szCs w:val="20"/>
              </w:rPr>
            </w:pPr>
            <w:r>
              <w:rPr>
                <w:rFonts w:ascii="SWISS" w:hAnsi="SWISS" w:cs="Arial"/>
                <w:b/>
                <w:color w:val="000000"/>
                <w:sz w:val="20"/>
                <w:szCs w:val="20"/>
              </w:rPr>
              <w:t> </w:t>
            </w:r>
          </w:p>
        </w:tc>
        <w:tc>
          <w:tcPr>
            <w:tcW w:w="4050" w:type="dxa"/>
            <w:gridSpan w:val="2"/>
            <w:tcBorders>
              <w:top w:val="single" w:sz="12" w:space="0" w:color="000000"/>
              <w:left w:val="nil"/>
              <w:bottom w:val="nil"/>
              <w:right w:val="nil"/>
            </w:tcBorders>
            <w:noWrap/>
            <w:vAlign w:val="bottom"/>
            <w:hideMark/>
          </w:tcPr>
          <w:p w:rsidR="00580196" w:rsidRDefault="00580196">
            <w:pPr>
              <w:rPr>
                <w:rFonts w:ascii="SWISS" w:hAnsi="SWISS" w:cs="Arial"/>
                <w:b/>
                <w:color w:val="000000"/>
                <w:sz w:val="20"/>
                <w:szCs w:val="20"/>
              </w:rPr>
            </w:pPr>
            <w:r>
              <w:rPr>
                <w:rFonts w:ascii="SWISS" w:hAnsi="SWISS" w:cs="Arial"/>
                <w:b/>
                <w:color w:val="000000"/>
                <w:sz w:val="20"/>
                <w:szCs w:val="20"/>
              </w:rPr>
              <w:t> </w:t>
            </w:r>
          </w:p>
        </w:tc>
        <w:tc>
          <w:tcPr>
            <w:tcW w:w="1620" w:type="dxa"/>
            <w:gridSpan w:val="2"/>
            <w:tcBorders>
              <w:top w:val="single" w:sz="12" w:space="0" w:color="000000"/>
              <w:left w:val="nil"/>
              <w:bottom w:val="nil"/>
              <w:right w:val="nil"/>
            </w:tcBorders>
            <w:noWrap/>
            <w:vAlign w:val="bottom"/>
          </w:tcPr>
          <w:p w:rsidR="00580196" w:rsidRDefault="00580196">
            <w:pPr>
              <w:jc w:val="center"/>
              <w:rPr>
                <w:rFonts w:ascii="SWISS" w:hAnsi="SWISS" w:cs="Arial"/>
                <w:b/>
                <w:bCs/>
                <w:color w:val="000000"/>
                <w:sz w:val="20"/>
                <w:szCs w:val="20"/>
              </w:rPr>
            </w:pPr>
          </w:p>
        </w:tc>
        <w:tc>
          <w:tcPr>
            <w:tcW w:w="1710" w:type="dxa"/>
            <w:gridSpan w:val="2"/>
            <w:tcBorders>
              <w:top w:val="single" w:sz="12" w:space="0" w:color="000000"/>
              <w:left w:val="nil"/>
              <w:bottom w:val="nil"/>
              <w:right w:val="nil"/>
            </w:tcBorders>
            <w:noWrap/>
            <w:vAlign w:val="bottom"/>
            <w:hideMark/>
          </w:tcPr>
          <w:p w:rsidR="00580196" w:rsidRDefault="00580196">
            <w:pPr>
              <w:jc w:val="center"/>
              <w:rPr>
                <w:rFonts w:ascii="SWISS" w:hAnsi="SWISS" w:cs="Arial"/>
                <w:b/>
                <w:bCs/>
                <w:color w:val="000000"/>
                <w:sz w:val="20"/>
                <w:szCs w:val="20"/>
              </w:rPr>
            </w:pPr>
            <w:r>
              <w:rPr>
                <w:rFonts w:ascii="SWISS" w:hAnsi="SWISS" w:cs="Arial"/>
                <w:b/>
                <w:bCs/>
                <w:color w:val="000000"/>
                <w:sz w:val="20"/>
                <w:szCs w:val="20"/>
              </w:rPr>
              <w:t>STAFF</w:t>
            </w:r>
          </w:p>
        </w:tc>
        <w:tc>
          <w:tcPr>
            <w:tcW w:w="1620" w:type="dxa"/>
            <w:tcBorders>
              <w:top w:val="single" w:sz="12" w:space="0" w:color="000000"/>
              <w:left w:val="nil"/>
              <w:bottom w:val="nil"/>
              <w:right w:val="single" w:sz="12" w:space="0" w:color="000000"/>
            </w:tcBorders>
            <w:noWrap/>
            <w:vAlign w:val="bottom"/>
          </w:tcPr>
          <w:p w:rsidR="00580196" w:rsidRDefault="00580196">
            <w:pPr>
              <w:jc w:val="center"/>
              <w:rPr>
                <w:rFonts w:ascii="SWISS" w:hAnsi="SWISS" w:cs="Arial"/>
                <w:b/>
                <w:bCs/>
                <w:color w:val="000000"/>
                <w:sz w:val="20"/>
                <w:szCs w:val="20"/>
              </w:rPr>
            </w:pP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rPr>
                <w:rFonts w:ascii="SWISS" w:hAnsi="SWISS" w:cs="Arial"/>
                <w:b/>
                <w:color w:val="000000"/>
                <w:sz w:val="20"/>
                <w:szCs w:val="20"/>
              </w:rPr>
            </w:pPr>
            <w:r>
              <w:rPr>
                <w:rFonts w:ascii="SWISS" w:hAnsi="SWISS" w:cs="Arial"/>
                <w:b/>
                <w:color w:val="000000"/>
                <w:sz w:val="20"/>
                <w:szCs w:val="20"/>
              </w:rPr>
              <w:t> </w:t>
            </w:r>
          </w:p>
        </w:tc>
        <w:tc>
          <w:tcPr>
            <w:tcW w:w="4050" w:type="dxa"/>
            <w:gridSpan w:val="2"/>
            <w:tcBorders>
              <w:top w:val="nil"/>
              <w:left w:val="nil"/>
              <w:bottom w:val="nil"/>
              <w:right w:val="nil"/>
            </w:tcBorders>
            <w:noWrap/>
            <w:vAlign w:val="bottom"/>
          </w:tcPr>
          <w:p w:rsidR="00580196" w:rsidRDefault="00580196">
            <w:pPr>
              <w:rPr>
                <w:rFonts w:ascii="SWISS" w:hAnsi="SWISS" w:cs="Arial"/>
                <w:b/>
                <w:color w:val="000000"/>
              </w:rPr>
            </w:pPr>
          </w:p>
        </w:tc>
        <w:tc>
          <w:tcPr>
            <w:tcW w:w="1620" w:type="dxa"/>
            <w:gridSpan w:val="2"/>
            <w:tcBorders>
              <w:top w:val="nil"/>
              <w:left w:val="nil"/>
              <w:bottom w:val="nil"/>
              <w:right w:val="nil"/>
            </w:tcBorders>
            <w:noWrap/>
            <w:vAlign w:val="bottom"/>
            <w:hideMark/>
          </w:tcPr>
          <w:p w:rsidR="00580196" w:rsidRDefault="00580196">
            <w:pPr>
              <w:jc w:val="center"/>
              <w:rPr>
                <w:rFonts w:ascii="SWISS" w:hAnsi="SWISS" w:cs="Arial"/>
                <w:b/>
                <w:bCs/>
                <w:color w:val="000000"/>
                <w:sz w:val="20"/>
                <w:szCs w:val="20"/>
              </w:rPr>
            </w:pPr>
            <w:r>
              <w:rPr>
                <w:rFonts w:ascii="SWISS" w:hAnsi="SWISS" w:cs="Arial"/>
                <w:b/>
                <w:bCs/>
                <w:color w:val="000000"/>
                <w:sz w:val="20"/>
                <w:szCs w:val="20"/>
              </w:rPr>
              <w:t>BALANCE</w:t>
            </w:r>
          </w:p>
        </w:tc>
        <w:tc>
          <w:tcPr>
            <w:tcW w:w="1710" w:type="dxa"/>
            <w:gridSpan w:val="2"/>
            <w:tcBorders>
              <w:top w:val="nil"/>
              <w:left w:val="nil"/>
              <w:bottom w:val="nil"/>
              <w:right w:val="nil"/>
            </w:tcBorders>
            <w:noWrap/>
            <w:vAlign w:val="bottom"/>
            <w:hideMark/>
          </w:tcPr>
          <w:p w:rsidR="00580196" w:rsidRDefault="00580196">
            <w:pPr>
              <w:jc w:val="center"/>
              <w:rPr>
                <w:rFonts w:ascii="SWISS" w:hAnsi="SWISS" w:cs="Arial"/>
                <w:b/>
                <w:bCs/>
                <w:color w:val="000000"/>
                <w:sz w:val="20"/>
                <w:szCs w:val="20"/>
              </w:rPr>
            </w:pPr>
            <w:r>
              <w:rPr>
                <w:rFonts w:ascii="SWISS" w:hAnsi="SWISS" w:cs="Arial"/>
                <w:b/>
                <w:bCs/>
                <w:color w:val="000000"/>
                <w:sz w:val="20"/>
                <w:szCs w:val="20"/>
              </w:rPr>
              <w:t>ADJUSTMENTS</w:t>
            </w:r>
          </w:p>
        </w:tc>
        <w:tc>
          <w:tcPr>
            <w:tcW w:w="1620" w:type="dxa"/>
            <w:tcBorders>
              <w:top w:val="nil"/>
              <w:left w:val="nil"/>
              <w:bottom w:val="nil"/>
              <w:right w:val="single" w:sz="12" w:space="0" w:color="000000"/>
            </w:tcBorders>
            <w:noWrap/>
            <w:vAlign w:val="bottom"/>
            <w:hideMark/>
          </w:tcPr>
          <w:p w:rsidR="00580196" w:rsidRDefault="00580196">
            <w:pPr>
              <w:jc w:val="center"/>
              <w:rPr>
                <w:rFonts w:ascii="SWISS" w:hAnsi="SWISS" w:cs="Arial"/>
                <w:b/>
                <w:bCs/>
                <w:color w:val="000000"/>
                <w:sz w:val="20"/>
                <w:szCs w:val="20"/>
              </w:rPr>
            </w:pPr>
            <w:r>
              <w:rPr>
                <w:rFonts w:ascii="SWISS" w:hAnsi="SWISS" w:cs="Arial"/>
                <w:b/>
                <w:bCs/>
                <w:color w:val="000000"/>
                <w:sz w:val="20"/>
                <w:szCs w:val="20"/>
              </w:rPr>
              <w:t>BALANCE</w:t>
            </w:r>
          </w:p>
        </w:tc>
      </w:tr>
      <w:tr w:rsidR="00580196" w:rsidTr="00580196">
        <w:trPr>
          <w:trHeight w:val="301"/>
        </w:trPr>
        <w:tc>
          <w:tcPr>
            <w:tcW w:w="376" w:type="dxa"/>
            <w:tcBorders>
              <w:top w:val="nil"/>
              <w:left w:val="single" w:sz="12" w:space="0" w:color="000000"/>
              <w:bottom w:val="nil"/>
              <w:right w:val="nil"/>
            </w:tcBorders>
            <w:noWrap/>
            <w:vAlign w:val="bottom"/>
          </w:tcPr>
          <w:p w:rsidR="00580196" w:rsidRDefault="00580196">
            <w:pPr>
              <w:rPr>
                <w:rFonts w:ascii="SWISS" w:hAnsi="SWISS" w:cs="Arial"/>
                <w:b/>
                <w:color w:val="000000"/>
                <w:sz w:val="20"/>
                <w:szCs w:val="20"/>
              </w:rPr>
            </w:pPr>
          </w:p>
        </w:tc>
        <w:tc>
          <w:tcPr>
            <w:tcW w:w="4050" w:type="dxa"/>
            <w:gridSpan w:val="2"/>
            <w:tcBorders>
              <w:top w:val="nil"/>
              <w:left w:val="nil"/>
              <w:bottom w:val="nil"/>
              <w:right w:val="nil"/>
            </w:tcBorders>
            <w:noWrap/>
            <w:vAlign w:val="bottom"/>
          </w:tcPr>
          <w:p w:rsidR="00580196" w:rsidRDefault="00580196">
            <w:pPr>
              <w:rPr>
                <w:rFonts w:ascii="SWISS" w:hAnsi="SWISS" w:cs="Arial"/>
                <w:b/>
                <w:color w:val="000000"/>
              </w:rPr>
            </w:pPr>
          </w:p>
        </w:tc>
        <w:tc>
          <w:tcPr>
            <w:tcW w:w="1620" w:type="dxa"/>
            <w:gridSpan w:val="2"/>
            <w:tcBorders>
              <w:top w:val="nil"/>
              <w:left w:val="nil"/>
              <w:bottom w:val="nil"/>
              <w:right w:val="nil"/>
            </w:tcBorders>
            <w:noWrap/>
            <w:vAlign w:val="bottom"/>
            <w:hideMark/>
          </w:tcPr>
          <w:p w:rsidR="00580196" w:rsidRDefault="00580196">
            <w:pPr>
              <w:jc w:val="center"/>
              <w:rPr>
                <w:rFonts w:ascii="SWISS" w:hAnsi="SWISS" w:cs="Arial"/>
                <w:b/>
                <w:bCs/>
                <w:color w:val="000000"/>
                <w:sz w:val="20"/>
                <w:szCs w:val="20"/>
              </w:rPr>
            </w:pPr>
            <w:r>
              <w:rPr>
                <w:rFonts w:ascii="SWISS" w:hAnsi="SWISS" w:cs="Arial"/>
                <w:b/>
                <w:bCs/>
                <w:color w:val="000000"/>
                <w:sz w:val="20"/>
                <w:szCs w:val="20"/>
              </w:rPr>
              <w:t>PER</w:t>
            </w:r>
          </w:p>
        </w:tc>
        <w:tc>
          <w:tcPr>
            <w:tcW w:w="1710" w:type="dxa"/>
            <w:gridSpan w:val="2"/>
            <w:tcBorders>
              <w:top w:val="nil"/>
              <w:left w:val="nil"/>
              <w:bottom w:val="nil"/>
              <w:right w:val="nil"/>
            </w:tcBorders>
            <w:noWrap/>
            <w:vAlign w:val="bottom"/>
            <w:hideMark/>
          </w:tcPr>
          <w:p w:rsidR="00580196" w:rsidRDefault="00580196">
            <w:pPr>
              <w:jc w:val="center"/>
              <w:rPr>
                <w:rFonts w:ascii="SWISS" w:hAnsi="SWISS" w:cs="Arial"/>
                <w:b/>
                <w:bCs/>
                <w:color w:val="000000"/>
                <w:sz w:val="20"/>
                <w:szCs w:val="20"/>
              </w:rPr>
            </w:pPr>
            <w:r>
              <w:rPr>
                <w:rFonts w:ascii="SWISS" w:hAnsi="SWISS" w:cs="Arial"/>
                <w:b/>
                <w:bCs/>
                <w:color w:val="000000"/>
                <w:sz w:val="20"/>
                <w:szCs w:val="20"/>
              </w:rPr>
              <w:t>TO UTILITY</w:t>
            </w:r>
          </w:p>
        </w:tc>
        <w:tc>
          <w:tcPr>
            <w:tcW w:w="1620" w:type="dxa"/>
            <w:tcBorders>
              <w:top w:val="nil"/>
              <w:left w:val="nil"/>
              <w:bottom w:val="nil"/>
              <w:right w:val="single" w:sz="12" w:space="0" w:color="000000"/>
            </w:tcBorders>
            <w:noWrap/>
            <w:vAlign w:val="bottom"/>
            <w:hideMark/>
          </w:tcPr>
          <w:p w:rsidR="00580196" w:rsidRDefault="00580196">
            <w:pPr>
              <w:jc w:val="center"/>
              <w:rPr>
                <w:rFonts w:ascii="SWISS" w:hAnsi="SWISS" w:cs="Arial"/>
                <w:b/>
                <w:bCs/>
                <w:color w:val="000000"/>
                <w:sz w:val="20"/>
                <w:szCs w:val="20"/>
              </w:rPr>
            </w:pPr>
            <w:r>
              <w:rPr>
                <w:rFonts w:ascii="SWISS" w:hAnsi="SWISS" w:cs="Arial"/>
                <w:b/>
                <w:bCs/>
                <w:color w:val="000000"/>
                <w:sz w:val="20"/>
                <w:szCs w:val="20"/>
              </w:rPr>
              <w:t>PER</w:t>
            </w:r>
          </w:p>
        </w:tc>
      </w:tr>
      <w:tr w:rsidR="00580196" w:rsidTr="00580196">
        <w:trPr>
          <w:trHeight w:val="301"/>
        </w:trPr>
        <w:tc>
          <w:tcPr>
            <w:tcW w:w="376" w:type="dxa"/>
            <w:tcBorders>
              <w:top w:val="nil"/>
              <w:left w:val="single" w:sz="12" w:space="0" w:color="000000"/>
              <w:bottom w:val="single" w:sz="12" w:space="0" w:color="000000"/>
              <w:right w:val="nil"/>
            </w:tcBorders>
            <w:noWrap/>
            <w:vAlign w:val="bottom"/>
            <w:hideMark/>
          </w:tcPr>
          <w:p w:rsidR="00580196" w:rsidRDefault="00580196">
            <w:pPr>
              <w:rPr>
                <w:rFonts w:ascii="SWISS" w:hAnsi="SWISS" w:cs="Arial"/>
                <w:b/>
                <w:color w:val="000000"/>
                <w:sz w:val="20"/>
                <w:szCs w:val="20"/>
              </w:rPr>
            </w:pPr>
            <w:r>
              <w:rPr>
                <w:rFonts w:ascii="SWISS" w:hAnsi="SWISS" w:cs="Arial"/>
                <w:b/>
                <w:color w:val="000000"/>
                <w:sz w:val="20"/>
                <w:szCs w:val="20"/>
              </w:rPr>
              <w:t> </w:t>
            </w:r>
          </w:p>
        </w:tc>
        <w:tc>
          <w:tcPr>
            <w:tcW w:w="4050" w:type="dxa"/>
            <w:gridSpan w:val="2"/>
            <w:tcBorders>
              <w:top w:val="nil"/>
              <w:left w:val="nil"/>
              <w:bottom w:val="single" w:sz="12" w:space="0" w:color="000000"/>
              <w:right w:val="nil"/>
            </w:tcBorders>
            <w:noWrap/>
            <w:vAlign w:val="bottom"/>
            <w:hideMark/>
          </w:tcPr>
          <w:p w:rsidR="00580196" w:rsidRDefault="00580196">
            <w:pPr>
              <w:rPr>
                <w:rFonts w:ascii="SWISS" w:hAnsi="SWISS" w:cs="Arial"/>
                <w:b/>
                <w:bCs/>
                <w:color w:val="000000"/>
                <w:sz w:val="20"/>
                <w:szCs w:val="20"/>
              </w:rPr>
            </w:pPr>
            <w:r>
              <w:rPr>
                <w:rFonts w:ascii="SWISS" w:hAnsi="SWISS" w:cs="Arial"/>
                <w:b/>
                <w:bCs/>
                <w:color w:val="000000"/>
                <w:sz w:val="20"/>
                <w:szCs w:val="20"/>
              </w:rPr>
              <w:t>DESCRIPTION</w:t>
            </w:r>
          </w:p>
        </w:tc>
        <w:tc>
          <w:tcPr>
            <w:tcW w:w="1620" w:type="dxa"/>
            <w:gridSpan w:val="2"/>
            <w:tcBorders>
              <w:top w:val="nil"/>
              <w:left w:val="nil"/>
              <w:bottom w:val="single" w:sz="12" w:space="0" w:color="000000"/>
              <w:right w:val="nil"/>
            </w:tcBorders>
            <w:noWrap/>
            <w:vAlign w:val="bottom"/>
            <w:hideMark/>
          </w:tcPr>
          <w:p w:rsidR="00580196" w:rsidRDefault="00580196">
            <w:pPr>
              <w:jc w:val="center"/>
              <w:rPr>
                <w:rFonts w:ascii="SWISS" w:hAnsi="SWISS" w:cs="Arial"/>
                <w:b/>
                <w:bCs/>
                <w:color w:val="000000"/>
                <w:sz w:val="20"/>
                <w:szCs w:val="20"/>
              </w:rPr>
            </w:pPr>
            <w:r>
              <w:rPr>
                <w:rFonts w:ascii="SWISS" w:hAnsi="SWISS" w:cs="Arial"/>
                <w:b/>
                <w:bCs/>
                <w:color w:val="000000"/>
                <w:sz w:val="20"/>
                <w:szCs w:val="20"/>
              </w:rPr>
              <w:t>UTILITY</w:t>
            </w:r>
          </w:p>
        </w:tc>
        <w:tc>
          <w:tcPr>
            <w:tcW w:w="1710" w:type="dxa"/>
            <w:gridSpan w:val="2"/>
            <w:tcBorders>
              <w:top w:val="nil"/>
              <w:left w:val="nil"/>
              <w:bottom w:val="single" w:sz="12" w:space="0" w:color="000000"/>
              <w:right w:val="nil"/>
            </w:tcBorders>
            <w:noWrap/>
            <w:vAlign w:val="bottom"/>
            <w:hideMark/>
          </w:tcPr>
          <w:p w:rsidR="00580196" w:rsidRDefault="00580196">
            <w:pPr>
              <w:jc w:val="center"/>
              <w:rPr>
                <w:rFonts w:ascii="SWISS" w:hAnsi="SWISS" w:cs="Arial"/>
                <w:b/>
                <w:bCs/>
                <w:color w:val="000000"/>
                <w:sz w:val="20"/>
                <w:szCs w:val="20"/>
              </w:rPr>
            </w:pPr>
            <w:r>
              <w:rPr>
                <w:rFonts w:ascii="SWISS" w:hAnsi="SWISS" w:cs="Arial"/>
                <w:b/>
                <w:bCs/>
                <w:color w:val="000000"/>
                <w:sz w:val="20"/>
                <w:szCs w:val="20"/>
              </w:rPr>
              <w:t>BALANCE</w:t>
            </w:r>
          </w:p>
        </w:tc>
        <w:tc>
          <w:tcPr>
            <w:tcW w:w="1620" w:type="dxa"/>
            <w:tcBorders>
              <w:top w:val="nil"/>
              <w:left w:val="nil"/>
              <w:bottom w:val="single" w:sz="12" w:space="0" w:color="000000"/>
              <w:right w:val="single" w:sz="12" w:space="0" w:color="000000"/>
            </w:tcBorders>
            <w:noWrap/>
            <w:vAlign w:val="bottom"/>
            <w:hideMark/>
          </w:tcPr>
          <w:p w:rsidR="00580196" w:rsidRDefault="00580196">
            <w:pPr>
              <w:jc w:val="center"/>
              <w:rPr>
                <w:rFonts w:ascii="SWISS" w:hAnsi="SWISS" w:cs="Arial"/>
                <w:b/>
                <w:bCs/>
                <w:color w:val="000000"/>
                <w:sz w:val="20"/>
                <w:szCs w:val="20"/>
              </w:rPr>
            </w:pPr>
            <w:r>
              <w:rPr>
                <w:rFonts w:ascii="SWISS" w:hAnsi="SWISS" w:cs="Arial"/>
                <w:b/>
                <w:bCs/>
                <w:color w:val="000000"/>
                <w:sz w:val="20"/>
                <w:szCs w:val="20"/>
              </w:rPr>
              <w:t>STAFF</w:t>
            </w:r>
          </w:p>
        </w:tc>
      </w:tr>
      <w:tr w:rsidR="00580196" w:rsidTr="00580196">
        <w:trPr>
          <w:trHeight w:val="301"/>
        </w:trPr>
        <w:tc>
          <w:tcPr>
            <w:tcW w:w="376" w:type="dxa"/>
            <w:tcBorders>
              <w:top w:val="single" w:sz="12" w:space="0" w:color="000000"/>
              <w:left w:val="single" w:sz="12" w:space="0" w:color="000000"/>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single" w:sz="12" w:space="0" w:color="000000"/>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1620" w:type="dxa"/>
            <w:gridSpan w:val="2"/>
            <w:tcBorders>
              <w:top w:val="single" w:sz="12" w:space="0" w:color="000000"/>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1710" w:type="dxa"/>
            <w:gridSpan w:val="2"/>
            <w:tcBorders>
              <w:top w:val="single" w:sz="12" w:space="0" w:color="000000"/>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1620" w:type="dxa"/>
            <w:tcBorders>
              <w:top w:val="single" w:sz="12" w:space="0" w:color="000000"/>
              <w:left w:val="nil"/>
              <w:bottom w:val="nil"/>
              <w:right w:val="single" w:sz="12" w:space="0" w:color="000000"/>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1.</w:t>
            </w:r>
          </w:p>
        </w:tc>
        <w:tc>
          <w:tcPr>
            <w:tcW w:w="4050" w:type="dxa"/>
            <w:gridSpan w:val="2"/>
            <w:tcBorders>
              <w:top w:val="nil"/>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UTILITY PLANT IN SERVICE</w:t>
            </w:r>
          </w:p>
        </w:tc>
        <w:tc>
          <w:tcPr>
            <w:tcW w:w="162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 xml:space="preserve">$252,519 </w:t>
            </w:r>
          </w:p>
        </w:tc>
        <w:tc>
          <w:tcPr>
            <w:tcW w:w="171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($518)</w:t>
            </w:r>
          </w:p>
        </w:tc>
        <w:tc>
          <w:tcPr>
            <w:tcW w:w="1620" w:type="dxa"/>
            <w:tcBorders>
              <w:top w:val="nil"/>
              <w:left w:val="nil"/>
              <w:bottom w:val="nil"/>
              <w:right w:val="single" w:sz="12" w:space="0" w:color="000000"/>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 xml:space="preserve">$252,001 </w:t>
            </w: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580196" w:rsidRDefault="00580196">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580196" w:rsidRDefault="00580196">
            <w:pPr>
              <w:jc w:val="right"/>
              <w:rPr>
                <w:rFonts w:ascii="SWISS" w:hAnsi="SWISS" w:cs="Arial"/>
                <w:color w:val="000000"/>
                <w:sz w:val="20"/>
                <w:szCs w:val="20"/>
              </w:rPr>
            </w:pP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2.</w:t>
            </w:r>
          </w:p>
        </w:tc>
        <w:tc>
          <w:tcPr>
            <w:tcW w:w="4050" w:type="dxa"/>
            <w:gridSpan w:val="2"/>
            <w:tcBorders>
              <w:top w:val="nil"/>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LAND &amp; LAND RIGHTS</w:t>
            </w:r>
          </w:p>
        </w:tc>
        <w:tc>
          <w:tcPr>
            <w:tcW w:w="162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 xml:space="preserve">5,740 </w:t>
            </w:r>
          </w:p>
        </w:tc>
        <w:tc>
          <w:tcPr>
            <w:tcW w:w="171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 xml:space="preserve">0 </w:t>
            </w:r>
          </w:p>
        </w:tc>
        <w:tc>
          <w:tcPr>
            <w:tcW w:w="1620" w:type="dxa"/>
            <w:tcBorders>
              <w:top w:val="nil"/>
              <w:left w:val="nil"/>
              <w:bottom w:val="nil"/>
              <w:right w:val="single" w:sz="12" w:space="0" w:color="000000"/>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5,740</w:t>
            </w: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580196" w:rsidRDefault="00580196">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580196" w:rsidRDefault="00580196">
            <w:pPr>
              <w:jc w:val="right"/>
              <w:rPr>
                <w:rFonts w:ascii="SWISS" w:hAnsi="SWISS" w:cs="Arial"/>
                <w:color w:val="000000"/>
                <w:sz w:val="20"/>
                <w:szCs w:val="20"/>
              </w:rPr>
            </w:pP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3.</w:t>
            </w:r>
          </w:p>
        </w:tc>
        <w:tc>
          <w:tcPr>
            <w:tcW w:w="4050" w:type="dxa"/>
            <w:gridSpan w:val="2"/>
            <w:tcBorders>
              <w:top w:val="nil"/>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NON-USED AND USEFUL COMPONENTS</w:t>
            </w:r>
          </w:p>
        </w:tc>
        <w:tc>
          <w:tcPr>
            <w:tcW w:w="162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 xml:space="preserve">0 </w:t>
            </w:r>
          </w:p>
        </w:tc>
        <w:tc>
          <w:tcPr>
            <w:tcW w:w="171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 xml:space="preserve">0 </w:t>
            </w:r>
          </w:p>
        </w:tc>
        <w:tc>
          <w:tcPr>
            <w:tcW w:w="1620" w:type="dxa"/>
            <w:tcBorders>
              <w:top w:val="nil"/>
              <w:left w:val="nil"/>
              <w:bottom w:val="nil"/>
              <w:right w:val="single" w:sz="12" w:space="0" w:color="000000"/>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 xml:space="preserve">0 </w:t>
            </w: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580196" w:rsidRDefault="00580196">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580196" w:rsidRDefault="00580196">
            <w:pPr>
              <w:jc w:val="right"/>
              <w:rPr>
                <w:rFonts w:ascii="SWISS" w:hAnsi="SWISS" w:cs="Arial"/>
                <w:color w:val="000000"/>
                <w:sz w:val="20"/>
                <w:szCs w:val="20"/>
              </w:rPr>
            </w:pP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4.</w:t>
            </w:r>
          </w:p>
        </w:tc>
        <w:tc>
          <w:tcPr>
            <w:tcW w:w="4050" w:type="dxa"/>
            <w:gridSpan w:val="2"/>
            <w:tcBorders>
              <w:top w:val="nil"/>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CIAC</w:t>
            </w:r>
          </w:p>
        </w:tc>
        <w:tc>
          <w:tcPr>
            <w:tcW w:w="162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(29,750)</w:t>
            </w:r>
          </w:p>
        </w:tc>
        <w:tc>
          <w:tcPr>
            <w:tcW w:w="171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 xml:space="preserve">0 </w:t>
            </w:r>
          </w:p>
        </w:tc>
        <w:tc>
          <w:tcPr>
            <w:tcW w:w="1620" w:type="dxa"/>
            <w:tcBorders>
              <w:top w:val="nil"/>
              <w:left w:val="nil"/>
              <w:bottom w:val="nil"/>
              <w:right w:val="single" w:sz="12" w:space="0" w:color="000000"/>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(29,750)</w:t>
            </w: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580196" w:rsidRDefault="00580196">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580196" w:rsidRDefault="00580196">
            <w:pPr>
              <w:jc w:val="right"/>
              <w:rPr>
                <w:rFonts w:ascii="SWISS" w:hAnsi="SWISS" w:cs="Arial"/>
                <w:color w:val="000000"/>
                <w:sz w:val="20"/>
                <w:szCs w:val="20"/>
              </w:rPr>
            </w:pPr>
          </w:p>
        </w:tc>
      </w:tr>
      <w:tr w:rsidR="00580196" w:rsidTr="00580196">
        <w:trPr>
          <w:trHeight w:val="313"/>
        </w:trPr>
        <w:tc>
          <w:tcPr>
            <w:tcW w:w="376" w:type="dxa"/>
            <w:tcBorders>
              <w:top w:val="nil"/>
              <w:left w:val="single" w:sz="12" w:space="0" w:color="000000"/>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5.</w:t>
            </w:r>
          </w:p>
        </w:tc>
        <w:tc>
          <w:tcPr>
            <w:tcW w:w="4050" w:type="dxa"/>
            <w:gridSpan w:val="2"/>
            <w:tcBorders>
              <w:top w:val="nil"/>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ACCUMULATED DEPRECIATION</w:t>
            </w:r>
          </w:p>
        </w:tc>
        <w:tc>
          <w:tcPr>
            <w:tcW w:w="162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(201,496)</w:t>
            </w:r>
          </w:p>
        </w:tc>
        <w:tc>
          <w:tcPr>
            <w:tcW w:w="171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6,109</w:t>
            </w:r>
          </w:p>
        </w:tc>
        <w:tc>
          <w:tcPr>
            <w:tcW w:w="1620" w:type="dxa"/>
            <w:tcBorders>
              <w:top w:val="nil"/>
              <w:left w:val="nil"/>
              <w:bottom w:val="nil"/>
              <w:right w:val="single" w:sz="12" w:space="0" w:color="000000"/>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(195,387)</w:t>
            </w:r>
          </w:p>
        </w:tc>
      </w:tr>
      <w:tr w:rsidR="00580196" w:rsidTr="00580196">
        <w:trPr>
          <w:trHeight w:val="313"/>
        </w:trPr>
        <w:tc>
          <w:tcPr>
            <w:tcW w:w="376" w:type="dxa"/>
            <w:tcBorders>
              <w:top w:val="nil"/>
              <w:left w:val="single" w:sz="12" w:space="0" w:color="000000"/>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580196" w:rsidRDefault="00580196">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580196" w:rsidRDefault="00580196">
            <w:pPr>
              <w:jc w:val="right"/>
              <w:rPr>
                <w:rFonts w:ascii="SWISS" w:hAnsi="SWISS" w:cs="Arial"/>
                <w:color w:val="000000"/>
                <w:sz w:val="20"/>
                <w:szCs w:val="20"/>
              </w:rPr>
            </w:pPr>
          </w:p>
        </w:tc>
      </w:tr>
      <w:tr w:rsidR="00580196" w:rsidTr="00580196">
        <w:trPr>
          <w:trHeight w:val="313"/>
        </w:trPr>
        <w:tc>
          <w:tcPr>
            <w:tcW w:w="376" w:type="dxa"/>
            <w:tcBorders>
              <w:top w:val="nil"/>
              <w:left w:val="single" w:sz="12" w:space="0" w:color="000000"/>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6.</w:t>
            </w:r>
          </w:p>
        </w:tc>
        <w:tc>
          <w:tcPr>
            <w:tcW w:w="4050" w:type="dxa"/>
            <w:gridSpan w:val="2"/>
            <w:tcBorders>
              <w:top w:val="nil"/>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AMORTIZATION OF CIAC</w:t>
            </w:r>
          </w:p>
        </w:tc>
        <w:tc>
          <w:tcPr>
            <w:tcW w:w="162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15,143</w:t>
            </w:r>
          </w:p>
        </w:tc>
        <w:tc>
          <w:tcPr>
            <w:tcW w:w="171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(640)</w:t>
            </w:r>
          </w:p>
        </w:tc>
        <w:tc>
          <w:tcPr>
            <w:tcW w:w="1620" w:type="dxa"/>
            <w:tcBorders>
              <w:top w:val="nil"/>
              <w:left w:val="nil"/>
              <w:bottom w:val="nil"/>
              <w:right w:val="single" w:sz="12" w:space="0" w:color="000000"/>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 xml:space="preserve">14,503 </w:t>
            </w: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580196" w:rsidRDefault="00580196">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580196" w:rsidRDefault="00580196">
            <w:pPr>
              <w:jc w:val="right"/>
              <w:rPr>
                <w:rFonts w:ascii="SWISS" w:hAnsi="SWISS" w:cs="Arial"/>
                <w:color w:val="000000"/>
                <w:sz w:val="20"/>
                <w:szCs w:val="20"/>
              </w:rPr>
            </w:pP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7.</w:t>
            </w:r>
          </w:p>
        </w:tc>
        <w:tc>
          <w:tcPr>
            <w:tcW w:w="4050" w:type="dxa"/>
            <w:gridSpan w:val="2"/>
            <w:tcBorders>
              <w:top w:val="nil"/>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WORKING CAPITAL ALLOWANCE</w:t>
            </w:r>
          </w:p>
        </w:tc>
        <w:tc>
          <w:tcPr>
            <w:tcW w:w="162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u w:val="single"/>
              </w:rPr>
            </w:pPr>
            <w:r>
              <w:rPr>
                <w:rFonts w:ascii="SWISS" w:hAnsi="SWISS" w:cs="Arial"/>
                <w:color w:val="000000"/>
                <w:sz w:val="20"/>
                <w:szCs w:val="20"/>
                <w:u w:val="single"/>
              </w:rPr>
              <w:t xml:space="preserve">0 </w:t>
            </w:r>
          </w:p>
        </w:tc>
        <w:tc>
          <w:tcPr>
            <w:tcW w:w="171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u w:val="single"/>
              </w:rPr>
            </w:pPr>
            <w:r>
              <w:rPr>
                <w:rFonts w:ascii="SWISS" w:hAnsi="SWISS" w:cs="Arial"/>
                <w:color w:val="000000"/>
                <w:sz w:val="20"/>
                <w:szCs w:val="20"/>
                <w:u w:val="single"/>
              </w:rPr>
              <w:t xml:space="preserve">4,175 </w:t>
            </w:r>
          </w:p>
        </w:tc>
        <w:tc>
          <w:tcPr>
            <w:tcW w:w="1620" w:type="dxa"/>
            <w:tcBorders>
              <w:top w:val="nil"/>
              <w:left w:val="nil"/>
              <w:bottom w:val="nil"/>
              <w:right w:val="single" w:sz="12" w:space="0" w:color="000000"/>
            </w:tcBorders>
            <w:noWrap/>
            <w:vAlign w:val="bottom"/>
            <w:hideMark/>
          </w:tcPr>
          <w:p w:rsidR="00580196" w:rsidRDefault="00580196">
            <w:pPr>
              <w:jc w:val="right"/>
              <w:rPr>
                <w:rFonts w:ascii="SWISS" w:hAnsi="SWISS" w:cs="Arial"/>
                <w:color w:val="000000"/>
                <w:sz w:val="20"/>
                <w:szCs w:val="20"/>
                <w:u w:val="single"/>
              </w:rPr>
            </w:pPr>
            <w:r>
              <w:rPr>
                <w:rFonts w:ascii="SWISS" w:hAnsi="SWISS" w:cs="Arial"/>
                <w:color w:val="000000"/>
                <w:sz w:val="20"/>
                <w:szCs w:val="20"/>
                <w:u w:val="single"/>
              </w:rPr>
              <w:t xml:space="preserve">4,175 </w:t>
            </w: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580196" w:rsidRDefault="00580196">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580196" w:rsidRDefault="00580196">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580196" w:rsidRDefault="00580196">
            <w:pPr>
              <w:jc w:val="right"/>
              <w:rPr>
                <w:rFonts w:ascii="SWISS" w:hAnsi="SWISS" w:cs="Arial"/>
                <w:color w:val="000000"/>
                <w:sz w:val="20"/>
                <w:szCs w:val="20"/>
              </w:rPr>
            </w:pPr>
          </w:p>
        </w:tc>
      </w:tr>
      <w:tr w:rsidR="00580196" w:rsidTr="00580196">
        <w:trPr>
          <w:trHeight w:val="301"/>
        </w:trPr>
        <w:tc>
          <w:tcPr>
            <w:tcW w:w="376" w:type="dxa"/>
            <w:tcBorders>
              <w:top w:val="nil"/>
              <w:left w:val="single" w:sz="12" w:space="0" w:color="000000"/>
              <w:bottom w:val="nil"/>
              <w:right w:val="nil"/>
            </w:tcBorders>
            <w:noWrap/>
            <w:vAlign w:val="bottom"/>
            <w:hideMark/>
          </w:tcPr>
          <w:p w:rsidR="00580196" w:rsidRDefault="00580196">
            <w:pPr>
              <w:jc w:val="right"/>
              <w:rPr>
                <w:rFonts w:ascii="SWISS" w:hAnsi="SWISS" w:cs="Arial"/>
                <w:color w:val="000000"/>
                <w:sz w:val="20"/>
                <w:szCs w:val="20"/>
              </w:rPr>
            </w:pPr>
            <w:r>
              <w:rPr>
                <w:rFonts w:ascii="SWISS" w:hAnsi="SWISS" w:cs="Arial"/>
                <w:color w:val="000000"/>
                <w:sz w:val="20"/>
                <w:szCs w:val="20"/>
              </w:rPr>
              <w:t>8.</w:t>
            </w:r>
          </w:p>
        </w:tc>
        <w:tc>
          <w:tcPr>
            <w:tcW w:w="4050" w:type="dxa"/>
            <w:gridSpan w:val="2"/>
            <w:tcBorders>
              <w:top w:val="nil"/>
              <w:left w:val="nil"/>
              <w:bottom w:val="nil"/>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WATER RATE BASE</w:t>
            </w:r>
          </w:p>
        </w:tc>
        <w:tc>
          <w:tcPr>
            <w:tcW w:w="162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u w:val="double"/>
              </w:rPr>
            </w:pPr>
            <w:r>
              <w:rPr>
                <w:rFonts w:ascii="SWISS" w:hAnsi="SWISS" w:cs="Arial"/>
                <w:color w:val="000000"/>
                <w:sz w:val="20"/>
                <w:szCs w:val="20"/>
                <w:u w:val="double"/>
              </w:rPr>
              <w:t xml:space="preserve">$42,156 </w:t>
            </w:r>
          </w:p>
        </w:tc>
        <w:tc>
          <w:tcPr>
            <w:tcW w:w="1710" w:type="dxa"/>
            <w:gridSpan w:val="2"/>
            <w:tcBorders>
              <w:top w:val="nil"/>
              <w:left w:val="nil"/>
              <w:bottom w:val="nil"/>
              <w:right w:val="nil"/>
            </w:tcBorders>
            <w:noWrap/>
            <w:vAlign w:val="bottom"/>
            <w:hideMark/>
          </w:tcPr>
          <w:p w:rsidR="00580196" w:rsidRDefault="00580196">
            <w:pPr>
              <w:jc w:val="right"/>
              <w:rPr>
                <w:rFonts w:ascii="SWISS" w:hAnsi="SWISS" w:cs="Arial"/>
                <w:color w:val="000000"/>
                <w:sz w:val="20"/>
                <w:szCs w:val="20"/>
                <w:u w:val="double"/>
              </w:rPr>
            </w:pPr>
            <w:r>
              <w:rPr>
                <w:rFonts w:ascii="SWISS" w:hAnsi="SWISS" w:cs="Arial"/>
                <w:color w:val="000000"/>
                <w:sz w:val="20"/>
                <w:szCs w:val="20"/>
                <w:u w:val="double"/>
              </w:rPr>
              <w:t>$9,126</w:t>
            </w:r>
          </w:p>
        </w:tc>
        <w:tc>
          <w:tcPr>
            <w:tcW w:w="1620" w:type="dxa"/>
            <w:tcBorders>
              <w:top w:val="nil"/>
              <w:left w:val="nil"/>
              <w:bottom w:val="nil"/>
              <w:right w:val="single" w:sz="12" w:space="0" w:color="000000"/>
            </w:tcBorders>
            <w:noWrap/>
            <w:vAlign w:val="bottom"/>
            <w:hideMark/>
          </w:tcPr>
          <w:p w:rsidR="00580196" w:rsidRDefault="00580196">
            <w:pPr>
              <w:jc w:val="right"/>
              <w:rPr>
                <w:rFonts w:ascii="SWISS" w:hAnsi="SWISS" w:cs="Arial"/>
                <w:color w:val="000000"/>
                <w:sz w:val="20"/>
                <w:szCs w:val="20"/>
                <w:u w:val="double"/>
              </w:rPr>
            </w:pPr>
            <w:r>
              <w:rPr>
                <w:rFonts w:ascii="SWISS" w:hAnsi="SWISS" w:cs="Arial"/>
                <w:color w:val="000000"/>
                <w:sz w:val="20"/>
                <w:szCs w:val="20"/>
                <w:u w:val="double"/>
              </w:rPr>
              <w:t xml:space="preserve">$51,282 </w:t>
            </w:r>
          </w:p>
        </w:tc>
      </w:tr>
      <w:tr w:rsidR="00580196" w:rsidTr="00580196">
        <w:trPr>
          <w:trHeight w:val="301"/>
        </w:trPr>
        <w:tc>
          <w:tcPr>
            <w:tcW w:w="376" w:type="dxa"/>
            <w:tcBorders>
              <w:top w:val="nil"/>
              <w:left w:val="single" w:sz="12" w:space="0" w:color="000000"/>
              <w:bottom w:val="single" w:sz="12" w:space="0" w:color="000000"/>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single" w:sz="12" w:space="0" w:color="000000"/>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1620" w:type="dxa"/>
            <w:gridSpan w:val="2"/>
            <w:tcBorders>
              <w:top w:val="nil"/>
              <w:left w:val="nil"/>
              <w:bottom w:val="single" w:sz="12" w:space="0" w:color="000000"/>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1710" w:type="dxa"/>
            <w:gridSpan w:val="2"/>
            <w:tcBorders>
              <w:top w:val="nil"/>
              <w:left w:val="nil"/>
              <w:bottom w:val="single" w:sz="12" w:space="0" w:color="000000"/>
              <w:right w:val="nil"/>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c>
          <w:tcPr>
            <w:tcW w:w="1620" w:type="dxa"/>
            <w:tcBorders>
              <w:top w:val="nil"/>
              <w:left w:val="nil"/>
              <w:bottom w:val="single" w:sz="12" w:space="0" w:color="000000"/>
              <w:right w:val="single" w:sz="12" w:space="0" w:color="000000"/>
            </w:tcBorders>
            <w:noWrap/>
            <w:vAlign w:val="bottom"/>
            <w:hideMark/>
          </w:tcPr>
          <w:p w:rsidR="00580196" w:rsidRDefault="00580196">
            <w:pPr>
              <w:rPr>
                <w:rFonts w:ascii="SWISS" w:hAnsi="SWISS" w:cs="Arial"/>
                <w:color w:val="000000"/>
                <w:sz w:val="20"/>
                <w:szCs w:val="20"/>
              </w:rPr>
            </w:pPr>
            <w:r>
              <w:rPr>
                <w:rFonts w:ascii="SWISS" w:hAnsi="SWISS" w:cs="Arial"/>
                <w:color w:val="000000"/>
                <w:sz w:val="20"/>
                <w:szCs w:val="20"/>
              </w:rPr>
              <w:t> </w:t>
            </w:r>
          </w:p>
        </w:tc>
      </w:tr>
    </w:tbl>
    <w:p w:rsidR="003D499B" w:rsidRDefault="003D499B" w:rsidP="00C37D97"/>
    <w:p w:rsidR="003D499B" w:rsidRDefault="003D499B" w:rsidP="00C37D97"/>
    <w:p w:rsidR="003D499B" w:rsidRDefault="003D499B" w:rsidP="00C37D97">
      <w:pPr>
        <w:sectPr w:rsidR="003D499B" w:rsidSect="0068481F">
          <w:headerReference w:type="default" r:id="rId21"/>
          <w:pgSz w:w="12240" w:h="15840" w:code="1"/>
          <w:pgMar w:top="1584" w:right="1440" w:bottom="1440" w:left="1440" w:header="720" w:footer="720" w:gutter="0"/>
          <w:cols w:space="720"/>
          <w:formProt w:val="0"/>
          <w:docGrid w:linePitch="360"/>
        </w:sectPr>
      </w:pPr>
    </w:p>
    <w:tbl>
      <w:tblPr>
        <w:tblW w:w="10079" w:type="dxa"/>
        <w:tblLook w:val="04A0" w:firstRow="1" w:lastRow="0" w:firstColumn="1" w:lastColumn="0" w:noHBand="0" w:noVBand="1"/>
      </w:tblPr>
      <w:tblGrid>
        <w:gridCol w:w="482"/>
        <w:gridCol w:w="6843"/>
        <w:gridCol w:w="2754"/>
      </w:tblGrid>
      <w:tr w:rsidR="008B3F84" w:rsidTr="008B3F84">
        <w:trPr>
          <w:trHeight w:val="264"/>
        </w:trPr>
        <w:tc>
          <w:tcPr>
            <w:tcW w:w="482" w:type="dxa"/>
            <w:tcBorders>
              <w:top w:val="single" w:sz="12" w:space="0" w:color="000000"/>
              <w:left w:val="single" w:sz="12" w:space="0" w:color="000000"/>
              <w:bottom w:val="nil"/>
              <w:right w:val="nil"/>
            </w:tcBorders>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lastRenderedPageBreak/>
              <w:t> </w:t>
            </w:r>
          </w:p>
        </w:tc>
        <w:tc>
          <w:tcPr>
            <w:tcW w:w="6843" w:type="dxa"/>
            <w:tcBorders>
              <w:top w:val="single" w:sz="12" w:space="0" w:color="000000"/>
              <w:left w:val="nil"/>
              <w:bottom w:val="nil"/>
              <w:right w:val="nil"/>
            </w:tcBorders>
            <w:noWrap/>
            <w:vAlign w:val="bottom"/>
            <w:hideMark/>
          </w:tcPr>
          <w:p w:rsidR="008B3F84" w:rsidRDefault="008B3F84">
            <w:pPr>
              <w:rPr>
                <w:rFonts w:ascii="SWISS" w:hAnsi="SWISS" w:cs="Arial"/>
                <w:color w:val="000000"/>
                <w:sz w:val="20"/>
                <w:szCs w:val="20"/>
              </w:rPr>
            </w:pPr>
            <w:r>
              <w:rPr>
                <w:rFonts w:ascii="SWISS" w:hAnsi="SWISS" w:cs="Arial"/>
                <w:b/>
                <w:bCs/>
                <w:color w:val="000000"/>
                <w:sz w:val="20"/>
                <w:szCs w:val="20"/>
              </w:rPr>
              <w:t>RAINTREE WATERWORKS, INC.</w:t>
            </w:r>
          </w:p>
        </w:tc>
        <w:tc>
          <w:tcPr>
            <w:tcW w:w="2754" w:type="dxa"/>
            <w:tcBorders>
              <w:top w:val="single" w:sz="12" w:space="0" w:color="000000"/>
              <w:left w:val="nil"/>
              <w:bottom w:val="nil"/>
              <w:right w:val="single" w:sz="12" w:space="0" w:color="000000"/>
            </w:tcBorders>
            <w:noWrap/>
            <w:vAlign w:val="bottom"/>
            <w:hideMark/>
          </w:tcPr>
          <w:p w:rsidR="008B3F84" w:rsidRDefault="008B3F84">
            <w:pPr>
              <w:rPr>
                <w:rFonts w:ascii="SWISS" w:hAnsi="SWISS" w:cs="Arial"/>
                <w:b/>
                <w:bCs/>
                <w:color w:val="000000"/>
                <w:sz w:val="20"/>
                <w:szCs w:val="20"/>
              </w:rPr>
            </w:pPr>
            <w:r>
              <w:rPr>
                <w:rFonts w:ascii="SWISS" w:hAnsi="SWISS" w:cs="Arial"/>
                <w:b/>
                <w:bCs/>
                <w:color w:val="000000"/>
                <w:sz w:val="20"/>
                <w:szCs w:val="20"/>
              </w:rPr>
              <w:t xml:space="preserve">            SCHEDULE NO. 1-B</w:t>
            </w:r>
            <w:r>
              <w:rPr>
                <w:sz w:val="20"/>
                <w:szCs w:val="20"/>
              </w:rPr>
              <w:fldChar w:fldCharType="begin"/>
            </w:r>
            <w:r>
              <w:rPr>
                <w:sz w:val="20"/>
                <w:szCs w:val="20"/>
              </w:rPr>
              <w:instrText xml:space="preserve"> TC "</w:instrText>
            </w:r>
            <w:bookmarkStart w:id="164" w:name="_Toc399147317"/>
            <w:r>
              <w:rPr>
                <w:sz w:val="20"/>
                <w:szCs w:val="20"/>
              </w:rPr>
              <w:instrText xml:space="preserve"> </w:instrText>
            </w:r>
            <w:bookmarkStart w:id="165" w:name="_Toc443384729"/>
            <w:bookmarkStart w:id="166" w:name="_Toc441233994"/>
            <w:bookmarkStart w:id="167" w:name="_Toc422220887"/>
            <w:bookmarkStart w:id="168" w:name="_Toc451766978"/>
            <w:r>
              <w:rPr>
                <w:sz w:val="20"/>
                <w:szCs w:val="20"/>
              </w:rPr>
              <w:instrText>Schedule No. 1-B Adjustments to Rate Base</w:instrText>
            </w:r>
            <w:bookmarkEnd w:id="164"/>
            <w:bookmarkEnd w:id="165"/>
            <w:bookmarkEnd w:id="166"/>
            <w:bookmarkEnd w:id="167"/>
            <w:bookmarkEnd w:id="168"/>
            <w:r>
              <w:rPr>
                <w:sz w:val="20"/>
                <w:szCs w:val="20"/>
              </w:rPr>
              <w:instrText xml:space="preserve">”\l 1 </w:instrText>
            </w:r>
            <w:r>
              <w:rPr>
                <w:sz w:val="20"/>
                <w:szCs w:val="20"/>
              </w:rPr>
              <w:fldChar w:fldCharType="end"/>
            </w:r>
          </w:p>
        </w:tc>
      </w:tr>
      <w:tr w:rsidR="008B3F84" w:rsidTr="008B3F84">
        <w:trPr>
          <w:trHeight w:val="264"/>
        </w:trPr>
        <w:tc>
          <w:tcPr>
            <w:tcW w:w="482" w:type="dxa"/>
            <w:tcBorders>
              <w:top w:val="nil"/>
              <w:left w:val="single" w:sz="12" w:space="0" w:color="000000"/>
              <w:bottom w:val="nil"/>
              <w:right w:val="nil"/>
            </w:tcBorders>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 </w:t>
            </w:r>
          </w:p>
        </w:tc>
        <w:tc>
          <w:tcPr>
            <w:tcW w:w="6843" w:type="dxa"/>
            <w:noWrap/>
            <w:vAlign w:val="bottom"/>
            <w:hideMark/>
          </w:tcPr>
          <w:p w:rsidR="008B3F84" w:rsidRDefault="008B3F84">
            <w:pPr>
              <w:rPr>
                <w:rFonts w:ascii="SWISS" w:hAnsi="SWISS" w:cs="Arial"/>
                <w:b/>
                <w:bCs/>
                <w:color w:val="000000"/>
                <w:sz w:val="20"/>
                <w:szCs w:val="20"/>
              </w:rPr>
            </w:pPr>
            <w:r>
              <w:rPr>
                <w:rFonts w:ascii="SWISS" w:hAnsi="SWISS" w:cs="Arial"/>
                <w:b/>
                <w:bCs/>
                <w:color w:val="000000"/>
                <w:sz w:val="20"/>
                <w:szCs w:val="20"/>
              </w:rPr>
              <w:t>TEST YEAR ENDED 7/31/15</w:t>
            </w:r>
          </w:p>
        </w:tc>
        <w:tc>
          <w:tcPr>
            <w:tcW w:w="2754" w:type="dxa"/>
            <w:tcBorders>
              <w:top w:val="nil"/>
              <w:left w:val="nil"/>
              <w:bottom w:val="nil"/>
              <w:right w:val="single" w:sz="12" w:space="0" w:color="000000"/>
            </w:tcBorders>
            <w:noWrap/>
            <w:vAlign w:val="center"/>
            <w:hideMark/>
          </w:tcPr>
          <w:p w:rsidR="008B3F84" w:rsidRDefault="008B3F84">
            <w:pPr>
              <w:rPr>
                <w:rFonts w:ascii="SWISS" w:hAnsi="SWISS" w:cs="Arial"/>
                <w:b/>
                <w:bCs/>
                <w:color w:val="000000"/>
                <w:sz w:val="20"/>
                <w:szCs w:val="20"/>
              </w:rPr>
            </w:pPr>
            <w:r>
              <w:rPr>
                <w:rFonts w:ascii="SWISS" w:hAnsi="SWISS" w:cs="Arial"/>
                <w:b/>
                <w:bCs/>
                <w:color w:val="000000"/>
                <w:sz w:val="20"/>
                <w:szCs w:val="20"/>
              </w:rPr>
              <w:t xml:space="preserve">   DOCKET NO. 150199-WU</w:t>
            </w:r>
          </w:p>
        </w:tc>
      </w:tr>
      <w:tr w:rsidR="008B3F84" w:rsidTr="008B3F84">
        <w:trPr>
          <w:trHeight w:val="264"/>
        </w:trPr>
        <w:tc>
          <w:tcPr>
            <w:tcW w:w="482" w:type="dxa"/>
            <w:tcBorders>
              <w:top w:val="nil"/>
              <w:left w:val="single" w:sz="12" w:space="0" w:color="000000"/>
              <w:bottom w:val="single" w:sz="12" w:space="0" w:color="000000"/>
              <w:right w:val="nil"/>
            </w:tcBorders>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 </w:t>
            </w:r>
          </w:p>
        </w:tc>
        <w:tc>
          <w:tcPr>
            <w:tcW w:w="6843" w:type="dxa"/>
            <w:tcBorders>
              <w:top w:val="nil"/>
              <w:left w:val="nil"/>
              <w:bottom w:val="single" w:sz="12" w:space="0" w:color="000000"/>
              <w:right w:val="nil"/>
            </w:tcBorders>
            <w:noWrap/>
            <w:vAlign w:val="bottom"/>
            <w:hideMark/>
          </w:tcPr>
          <w:p w:rsidR="008B3F84" w:rsidRDefault="008B3F84">
            <w:pPr>
              <w:rPr>
                <w:rFonts w:ascii="SWISS" w:hAnsi="SWISS" w:cs="Arial"/>
                <w:b/>
                <w:bCs/>
                <w:color w:val="000000"/>
                <w:sz w:val="20"/>
                <w:szCs w:val="20"/>
              </w:rPr>
            </w:pPr>
            <w:r>
              <w:rPr>
                <w:rFonts w:ascii="SWISS" w:hAnsi="SWISS" w:cs="Arial"/>
                <w:b/>
                <w:bCs/>
                <w:color w:val="000000"/>
                <w:sz w:val="20"/>
                <w:szCs w:val="20"/>
              </w:rPr>
              <w:t>ADJUSTMENTS TO RATE BASE</w:t>
            </w:r>
          </w:p>
        </w:tc>
        <w:tc>
          <w:tcPr>
            <w:tcW w:w="2754" w:type="dxa"/>
            <w:tcBorders>
              <w:top w:val="nil"/>
              <w:left w:val="nil"/>
              <w:bottom w:val="single" w:sz="12" w:space="0" w:color="000000"/>
              <w:right w:val="single" w:sz="12" w:space="0" w:color="000000"/>
            </w:tcBorders>
            <w:noWrap/>
            <w:vAlign w:val="bottom"/>
          </w:tcPr>
          <w:p w:rsidR="008B3F84" w:rsidRDefault="008B3F84">
            <w:pPr>
              <w:rPr>
                <w:rFonts w:ascii="SWISS" w:hAnsi="SWISS" w:cs="Arial"/>
                <w:b/>
                <w:bCs/>
                <w:color w:val="000000"/>
                <w:sz w:val="20"/>
                <w:szCs w:val="20"/>
              </w:rPr>
            </w:pPr>
          </w:p>
        </w:tc>
      </w:tr>
      <w:tr w:rsidR="008B3F84" w:rsidTr="008B3F84">
        <w:trPr>
          <w:trHeight w:val="264"/>
        </w:trPr>
        <w:tc>
          <w:tcPr>
            <w:tcW w:w="482" w:type="dxa"/>
            <w:tcBorders>
              <w:top w:val="single" w:sz="12" w:space="0" w:color="000000"/>
              <w:left w:val="single" w:sz="12" w:space="0" w:color="000000"/>
              <w:bottom w:val="nil"/>
              <w:right w:val="nil"/>
            </w:tcBorders>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 </w:t>
            </w:r>
          </w:p>
        </w:tc>
        <w:tc>
          <w:tcPr>
            <w:tcW w:w="6843" w:type="dxa"/>
            <w:tcBorders>
              <w:top w:val="single" w:sz="12" w:space="0" w:color="000000"/>
              <w:left w:val="nil"/>
              <w:bottom w:val="nil"/>
              <w:right w:val="nil"/>
            </w:tcBorders>
            <w:noWrap/>
            <w:vAlign w:val="bottom"/>
          </w:tcPr>
          <w:p w:rsidR="008B3F84" w:rsidRDefault="008B3F84">
            <w:pPr>
              <w:rPr>
                <w:rFonts w:ascii="SWISS" w:hAnsi="SWISS" w:cs="Arial"/>
                <w:b/>
                <w:bCs/>
                <w:color w:val="000000"/>
                <w:sz w:val="20"/>
                <w:szCs w:val="20"/>
              </w:rPr>
            </w:pPr>
          </w:p>
        </w:tc>
        <w:tc>
          <w:tcPr>
            <w:tcW w:w="2754" w:type="dxa"/>
            <w:tcBorders>
              <w:top w:val="single" w:sz="12" w:space="0" w:color="000000"/>
              <w:left w:val="nil"/>
              <w:bottom w:val="nil"/>
              <w:right w:val="single" w:sz="12" w:space="0" w:color="000000"/>
            </w:tcBorders>
            <w:noWrap/>
            <w:vAlign w:val="bottom"/>
          </w:tcPr>
          <w:p w:rsidR="008B3F84" w:rsidRDefault="008B3F84">
            <w:pPr>
              <w:rPr>
                <w:rFonts w:ascii="SWISS" w:hAnsi="SWISS" w:cs="Arial"/>
                <w:b/>
                <w:bCs/>
                <w:color w:val="000000"/>
                <w:sz w:val="20"/>
                <w:szCs w:val="20"/>
              </w:rPr>
            </w:pPr>
          </w:p>
        </w:tc>
      </w:tr>
      <w:tr w:rsidR="008B3F84" w:rsidTr="008B3F84">
        <w:trPr>
          <w:trHeight w:val="264"/>
        </w:trPr>
        <w:tc>
          <w:tcPr>
            <w:tcW w:w="482" w:type="dxa"/>
            <w:tcBorders>
              <w:top w:val="nil"/>
              <w:left w:val="single" w:sz="12" w:space="0" w:color="000000"/>
              <w:bottom w:val="nil"/>
              <w:right w:val="nil"/>
            </w:tcBorders>
            <w:noWrap/>
            <w:vAlign w:val="bottom"/>
          </w:tcPr>
          <w:p w:rsidR="008B3F84" w:rsidRDefault="008B3F84">
            <w:pPr>
              <w:rPr>
                <w:rFonts w:ascii="SWISS" w:hAnsi="SWISS" w:cs="Arial"/>
                <w:color w:val="000000"/>
                <w:sz w:val="20"/>
                <w:szCs w:val="20"/>
              </w:rPr>
            </w:pPr>
          </w:p>
        </w:tc>
        <w:tc>
          <w:tcPr>
            <w:tcW w:w="6843" w:type="dxa"/>
            <w:noWrap/>
            <w:vAlign w:val="bottom"/>
          </w:tcPr>
          <w:p w:rsidR="008B3F84" w:rsidRDefault="008B3F84">
            <w:pPr>
              <w:rPr>
                <w:rFonts w:ascii="SWISS" w:hAnsi="SWISS" w:cs="Arial"/>
                <w:b/>
                <w:bCs/>
                <w:color w:val="000000"/>
                <w:sz w:val="20"/>
                <w:szCs w:val="20"/>
                <w:u w:val="single"/>
              </w:rPr>
            </w:pPr>
          </w:p>
        </w:tc>
        <w:tc>
          <w:tcPr>
            <w:tcW w:w="2754" w:type="dxa"/>
            <w:tcBorders>
              <w:top w:val="nil"/>
              <w:left w:val="nil"/>
              <w:bottom w:val="nil"/>
              <w:right w:val="single" w:sz="12" w:space="0" w:color="000000"/>
            </w:tcBorders>
            <w:noWrap/>
            <w:vAlign w:val="bottom"/>
            <w:hideMark/>
          </w:tcPr>
          <w:p w:rsidR="008B3F84" w:rsidRDefault="008B3F84">
            <w:pPr>
              <w:jc w:val="center"/>
              <w:rPr>
                <w:rFonts w:ascii="SWISS" w:hAnsi="SWISS" w:cs="Arial"/>
                <w:b/>
                <w:color w:val="000000"/>
                <w:sz w:val="20"/>
                <w:szCs w:val="20"/>
                <w:u w:val="single"/>
              </w:rPr>
            </w:pPr>
            <w:r>
              <w:rPr>
                <w:rFonts w:ascii="SWISS" w:hAnsi="SWISS" w:cs="Arial"/>
                <w:color w:val="000000"/>
                <w:sz w:val="20"/>
                <w:szCs w:val="20"/>
              </w:rPr>
              <w:t xml:space="preserve">                                   </w:t>
            </w:r>
            <w:r>
              <w:rPr>
                <w:rFonts w:ascii="SWISS" w:hAnsi="SWISS" w:cs="Arial"/>
                <w:b/>
                <w:color w:val="000000"/>
                <w:sz w:val="20"/>
                <w:szCs w:val="20"/>
                <w:u w:val="single"/>
              </w:rPr>
              <w:t>WATER</w:t>
            </w:r>
          </w:p>
        </w:tc>
      </w:tr>
      <w:tr w:rsidR="008B3F84" w:rsidTr="008B3F84">
        <w:trPr>
          <w:trHeight w:val="264"/>
        </w:trPr>
        <w:tc>
          <w:tcPr>
            <w:tcW w:w="482" w:type="dxa"/>
            <w:tcBorders>
              <w:top w:val="nil"/>
              <w:left w:val="single" w:sz="12" w:space="0" w:color="000000"/>
              <w:bottom w:val="nil"/>
              <w:right w:val="nil"/>
            </w:tcBorders>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 </w:t>
            </w:r>
          </w:p>
        </w:tc>
        <w:tc>
          <w:tcPr>
            <w:tcW w:w="6843" w:type="dxa"/>
            <w:noWrap/>
            <w:vAlign w:val="bottom"/>
            <w:hideMark/>
          </w:tcPr>
          <w:p w:rsidR="008B3F84" w:rsidRDefault="008B3F84">
            <w:pPr>
              <w:rPr>
                <w:rFonts w:ascii="SWISS" w:hAnsi="SWISS" w:cs="Arial"/>
                <w:b/>
                <w:bCs/>
                <w:color w:val="000000"/>
                <w:sz w:val="20"/>
                <w:szCs w:val="20"/>
                <w:u w:val="single"/>
              </w:rPr>
            </w:pPr>
            <w:r>
              <w:rPr>
                <w:rFonts w:ascii="SWISS" w:hAnsi="SWISS" w:cs="Arial"/>
                <w:b/>
                <w:bCs/>
                <w:color w:val="000000"/>
                <w:sz w:val="20"/>
                <w:szCs w:val="20"/>
                <w:u w:val="single"/>
              </w:rPr>
              <w:t>UTILITY PLANT IN SERVICE</w:t>
            </w:r>
          </w:p>
        </w:tc>
        <w:tc>
          <w:tcPr>
            <w:tcW w:w="2754" w:type="dxa"/>
            <w:tcBorders>
              <w:top w:val="nil"/>
              <w:left w:val="nil"/>
              <w:bottom w:val="nil"/>
              <w:right w:val="single" w:sz="12" w:space="0" w:color="000000"/>
            </w:tcBorders>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 </w:t>
            </w:r>
          </w:p>
        </w:tc>
      </w:tr>
      <w:tr w:rsidR="008B3F84" w:rsidTr="008B3F84">
        <w:trPr>
          <w:trHeight w:val="264"/>
        </w:trPr>
        <w:tc>
          <w:tcPr>
            <w:tcW w:w="482" w:type="dxa"/>
            <w:tcBorders>
              <w:top w:val="nil"/>
              <w:left w:val="single" w:sz="12" w:space="0" w:color="000000"/>
              <w:bottom w:val="nil"/>
              <w:right w:val="nil"/>
            </w:tcBorders>
            <w:noWrap/>
            <w:hideMark/>
          </w:tcPr>
          <w:p w:rsidR="008B3F84" w:rsidRDefault="008B3F84">
            <w:pPr>
              <w:jc w:val="right"/>
              <w:rPr>
                <w:rFonts w:ascii="SWISS" w:hAnsi="SWISS" w:cs="Arial"/>
                <w:color w:val="000000"/>
                <w:sz w:val="20"/>
                <w:szCs w:val="20"/>
              </w:rPr>
            </w:pPr>
            <w:r>
              <w:rPr>
                <w:rFonts w:ascii="SWISS" w:hAnsi="SWISS" w:cs="Arial"/>
                <w:color w:val="000000"/>
                <w:sz w:val="20"/>
                <w:szCs w:val="20"/>
              </w:rPr>
              <w:t>1.</w:t>
            </w:r>
          </w:p>
        </w:tc>
        <w:tc>
          <w:tcPr>
            <w:tcW w:w="6843" w:type="dxa"/>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To reclassify certificate transfer application filing fee from plant Acct. 302 to expense Acct. 665 - Regulatory Commission Expense.</w:t>
            </w:r>
          </w:p>
        </w:tc>
        <w:tc>
          <w:tcPr>
            <w:tcW w:w="2754" w:type="dxa"/>
            <w:tcBorders>
              <w:top w:val="nil"/>
              <w:left w:val="nil"/>
              <w:bottom w:val="nil"/>
              <w:right w:val="single" w:sz="12" w:space="0" w:color="000000"/>
            </w:tcBorders>
            <w:noWrap/>
            <w:vAlign w:val="bottom"/>
            <w:hideMark/>
          </w:tcPr>
          <w:p w:rsidR="008B3F84" w:rsidRDefault="008B3F84">
            <w:pPr>
              <w:jc w:val="right"/>
              <w:rPr>
                <w:rFonts w:ascii="SWISS" w:hAnsi="SWISS" w:cs="Arial"/>
                <w:color w:val="000000"/>
                <w:sz w:val="20"/>
                <w:szCs w:val="20"/>
              </w:rPr>
            </w:pPr>
            <w:r>
              <w:rPr>
                <w:rFonts w:ascii="SWISS" w:hAnsi="SWISS" w:cs="Arial"/>
                <w:color w:val="000000"/>
                <w:sz w:val="20"/>
                <w:szCs w:val="20"/>
              </w:rPr>
              <w:t>($750)</w:t>
            </w:r>
          </w:p>
        </w:tc>
      </w:tr>
      <w:tr w:rsidR="008B3F84" w:rsidTr="008B3F84">
        <w:trPr>
          <w:trHeight w:val="264"/>
        </w:trPr>
        <w:tc>
          <w:tcPr>
            <w:tcW w:w="482" w:type="dxa"/>
            <w:tcBorders>
              <w:top w:val="nil"/>
              <w:left w:val="single" w:sz="12" w:space="0" w:color="000000"/>
              <w:bottom w:val="nil"/>
              <w:right w:val="nil"/>
            </w:tcBorders>
            <w:noWrap/>
            <w:vAlign w:val="bottom"/>
            <w:hideMark/>
          </w:tcPr>
          <w:p w:rsidR="008B3F84" w:rsidRDefault="008B3F84">
            <w:pPr>
              <w:jc w:val="right"/>
              <w:rPr>
                <w:rFonts w:ascii="SWISS" w:hAnsi="SWISS" w:cs="Arial"/>
                <w:color w:val="000000"/>
                <w:sz w:val="20"/>
                <w:szCs w:val="20"/>
              </w:rPr>
            </w:pPr>
            <w:r>
              <w:rPr>
                <w:rFonts w:ascii="SWISS" w:hAnsi="SWISS" w:cs="Arial"/>
                <w:color w:val="000000"/>
                <w:sz w:val="20"/>
                <w:szCs w:val="20"/>
              </w:rPr>
              <w:t>2.</w:t>
            </w:r>
          </w:p>
        </w:tc>
        <w:tc>
          <w:tcPr>
            <w:tcW w:w="6843" w:type="dxa"/>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To reflect pro forma flow meter replacement for well #3 to Acct. 309.</w:t>
            </w:r>
          </w:p>
        </w:tc>
        <w:tc>
          <w:tcPr>
            <w:tcW w:w="2754" w:type="dxa"/>
            <w:tcBorders>
              <w:top w:val="nil"/>
              <w:left w:val="nil"/>
              <w:bottom w:val="nil"/>
              <w:right w:val="single" w:sz="12" w:space="0" w:color="000000"/>
            </w:tcBorders>
            <w:noWrap/>
            <w:vAlign w:val="bottom"/>
            <w:hideMark/>
          </w:tcPr>
          <w:p w:rsidR="008B3F84" w:rsidRDefault="008B3F84">
            <w:pPr>
              <w:jc w:val="right"/>
              <w:rPr>
                <w:rFonts w:ascii="SWISS" w:hAnsi="SWISS" w:cs="Arial"/>
                <w:color w:val="000000"/>
                <w:sz w:val="20"/>
                <w:szCs w:val="20"/>
              </w:rPr>
            </w:pPr>
            <w:r>
              <w:rPr>
                <w:rFonts w:ascii="SWISS" w:hAnsi="SWISS" w:cs="Arial"/>
                <w:color w:val="000000"/>
                <w:sz w:val="20"/>
                <w:szCs w:val="20"/>
              </w:rPr>
              <w:t xml:space="preserve">$929 </w:t>
            </w:r>
          </w:p>
        </w:tc>
      </w:tr>
      <w:tr w:rsidR="008B3F84" w:rsidTr="008B3F84">
        <w:trPr>
          <w:trHeight w:val="264"/>
        </w:trPr>
        <w:tc>
          <w:tcPr>
            <w:tcW w:w="482" w:type="dxa"/>
            <w:tcBorders>
              <w:top w:val="nil"/>
              <w:left w:val="single" w:sz="12" w:space="0" w:color="000000"/>
              <w:bottom w:val="nil"/>
              <w:right w:val="nil"/>
            </w:tcBorders>
            <w:noWrap/>
            <w:vAlign w:val="bottom"/>
            <w:hideMark/>
          </w:tcPr>
          <w:p w:rsidR="008B3F84" w:rsidRDefault="008B3F84">
            <w:pPr>
              <w:jc w:val="right"/>
              <w:rPr>
                <w:rFonts w:ascii="SWISS" w:hAnsi="SWISS" w:cs="Arial"/>
                <w:color w:val="000000"/>
                <w:sz w:val="20"/>
                <w:szCs w:val="20"/>
              </w:rPr>
            </w:pPr>
            <w:r>
              <w:rPr>
                <w:rFonts w:ascii="SWISS" w:hAnsi="SWISS" w:cs="Arial"/>
                <w:color w:val="000000"/>
                <w:sz w:val="20"/>
                <w:szCs w:val="20"/>
              </w:rPr>
              <w:t>3.</w:t>
            </w:r>
          </w:p>
        </w:tc>
        <w:tc>
          <w:tcPr>
            <w:tcW w:w="6843" w:type="dxa"/>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To reflect retirement of replaced flow meter for well #3 to Acct. 309.</w:t>
            </w:r>
          </w:p>
        </w:tc>
        <w:tc>
          <w:tcPr>
            <w:tcW w:w="2754" w:type="dxa"/>
            <w:tcBorders>
              <w:top w:val="nil"/>
              <w:left w:val="nil"/>
              <w:bottom w:val="nil"/>
              <w:right w:val="single" w:sz="12" w:space="0" w:color="000000"/>
            </w:tcBorders>
            <w:noWrap/>
            <w:vAlign w:val="bottom"/>
            <w:hideMark/>
          </w:tcPr>
          <w:p w:rsidR="008B3F84" w:rsidRDefault="008B3F84">
            <w:pPr>
              <w:jc w:val="right"/>
              <w:rPr>
                <w:rFonts w:ascii="SWISS" w:hAnsi="SWISS" w:cs="Arial"/>
                <w:color w:val="000000"/>
                <w:sz w:val="20"/>
                <w:szCs w:val="20"/>
                <w:u w:val="single"/>
              </w:rPr>
            </w:pPr>
            <w:r>
              <w:rPr>
                <w:rFonts w:ascii="SWISS" w:hAnsi="SWISS" w:cs="Arial"/>
                <w:color w:val="000000"/>
                <w:sz w:val="20"/>
                <w:szCs w:val="20"/>
                <w:u w:val="single"/>
              </w:rPr>
              <w:t>($697)</w:t>
            </w:r>
          </w:p>
        </w:tc>
      </w:tr>
      <w:tr w:rsidR="008B3F84" w:rsidTr="008B3F84">
        <w:trPr>
          <w:trHeight w:val="264"/>
        </w:trPr>
        <w:tc>
          <w:tcPr>
            <w:tcW w:w="482" w:type="dxa"/>
            <w:tcBorders>
              <w:top w:val="nil"/>
              <w:left w:val="single" w:sz="12" w:space="0" w:color="000000"/>
              <w:bottom w:val="nil"/>
              <w:right w:val="nil"/>
            </w:tcBorders>
            <w:noWrap/>
            <w:vAlign w:val="bottom"/>
          </w:tcPr>
          <w:p w:rsidR="008B3F84" w:rsidRDefault="008B3F84">
            <w:pPr>
              <w:jc w:val="right"/>
              <w:rPr>
                <w:rFonts w:ascii="SWISS" w:hAnsi="SWISS" w:cs="Arial"/>
                <w:color w:val="000000"/>
                <w:sz w:val="20"/>
                <w:szCs w:val="20"/>
              </w:rPr>
            </w:pPr>
          </w:p>
        </w:tc>
        <w:tc>
          <w:tcPr>
            <w:tcW w:w="6843" w:type="dxa"/>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 xml:space="preserve">     Total</w:t>
            </w:r>
          </w:p>
        </w:tc>
        <w:tc>
          <w:tcPr>
            <w:tcW w:w="2754" w:type="dxa"/>
            <w:tcBorders>
              <w:top w:val="nil"/>
              <w:left w:val="nil"/>
              <w:bottom w:val="nil"/>
              <w:right w:val="single" w:sz="12" w:space="0" w:color="000000"/>
            </w:tcBorders>
            <w:noWrap/>
            <w:vAlign w:val="bottom"/>
            <w:hideMark/>
          </w:tcPr>
          <w:p w:rsidR="008B3F84" w:rsidRDefault="008B3F84">
            <w:pPr>
              <w:jc w:val="right"/>
              <w:rPr>
                <w:rFonts w:ascii="SWISS" w:hAnsi="SWISS" w:cs="Arial"/>
                <w:color w:val="0000FF"/>
                <w:sz w:val="20"/>
                <w:szCs w:val="20"/>
                <w:u w:val="double"/>
              </w:rPr>
            </w:pPr>
            <w:r>
              <w:rPr>
                <w:rFonts w:ascii="SWISS" w:hAnsi="SWISS" w:cs="Arial"/>
                <w:sz w:val="20"/>
                <w:szCs w:val="20"/>
                <w:u w:val="double"/>
              </w:rPr>
              <w:t>($518)</w:t>
            </w:r>
          </w:p>
        </w:tc>
      </w:tr>
      <w:tr w:rsidR="008B3F84" w:rsidTr="008B3F84">
        <w:trPr>
          <w:trHeight w:val="264"/>
        </w:trPr>
        <w:tc>
          <w:tcPr>
            <w:tcW w:w="482" w:type="dxa"/>
            <w:tcBorders>
              <w:top w:val="nil"/>
              <w:left w:val="single" w:sz="12" w:space="0" w:color="000000"/>
              <w:bottom w:val="nil"/>
              <w:right w:val="nil"/>
            </w:tcBorders>
            <w:noWrap/>
            <w:vAlign w:val="bottom"/>
          </w:tcPr>
          <w:p w:rsidR="008B3F84" w:rsidRDefault="008B3F84">
            <w:pPr>
              <w:jc w:val="right"/>
              <w:rPr>
                <w:rFonts w:ascii="SWISS" w:hAnsi="SWISS" w:cs="Arial"/>
                <w:sz w:val="20"/>
                <w:szCs w:val="20"/>
              </w:rPr>
            </w:pPr>
          </w:p>
        </w:tc>
        <w:tc>
          <w:tcPr>
            <w:tcW w:w="6843" w:type="dxa"/>
            <w:noWrap/>
            <w:vAlign w:val="bottom"/>
          </w:tcPr>
          <w:p w:rsidR="008B3F84" w:rsidRDefault="008B3F84">
            <w:pPr>
              <w:rPr>
                <w:rFonts w:ascii="SWISS" w:hAnsi="SWISS" w:cs="Arial"/>
                <w:b/>
                <w:bCs/>
                <w:color w:val="000000"/>
                <w:sz w:val="20"/>
                <w:szCs w:val="20"/>
                <w:u w:val="single"/>
              </w:rPr>
            </w:pPr>
          </w:p>
        </w:tc>
        <w:tc>
          <w:tcPr>
            <w:tcW w:w="2754" w:type="dxa"/>
            <w:tcBorders>
              <w:top w:val="nil"/>
              <w:left w:val="nil"/>
              <w:bottom w:val="nil"/>
              <w:right w:val="single" w:sz="12" w:space="0" w:color="000000"/>
            </w:tcBorders>
            <w:noWrap/>
            <w:vAlign w:val="bottom"/>
          </w:tcPr>
          <w:p w:rsidR="008B3F84" w:rsidRDefault="008B3F84">
            <w:pPr>
              <w:rPr>
                <w:rFonts w:ascii="SWISS" w:hAnsi="SWISS" w:cs="Arial"/>
                <w:sz w:val="20"/>
                <w:szCs w:val="20"/>
              </w:rPr>
            </w:pPr>
          </w:p>
        </w:tc>
      </w:tr>
      <w:tr w:rsidR="008B3F84" w:rsidTr="008B3F84">
        <w:trPr>
          <w:trHeight w:val="264"/>
        </w:trPr>
        <w:tc>
          <w:tcPr>
            <w:tcW w:w="482" w:type="dxa"/>
            <w:tcBorders>
              <w:top w:val="nil"/>
              <w:left w:val="single" w:sz="12" w:space="0" w:color="000000"/>
              <w:bottom w:val="nil"/>
              <w:right w:val="nil"/>
            </w:tcBorders>
            <w:noWrap/>
            <w:vAlign w:val="bottom"/>
          </w:tcPr>
          <w:p w:rsidR="008B3F84" w:rsidRDefault="008B3F84">
            <w:pPr>
              <w:jc w:val="right"/>
              <w:rPr>
                <w:rFonts w:ascii="SWISS" w:hAnsi="SWISS" w:cs="Arial"/>
                <w:sz w:val="20"/>
                <w:szCs w:val="20"/>
              </w:rPr>
            </w:pPr>
          </w:p>
        </w:tc>
        <w:tc>
          <w:tcPr>
            <w:tcW w:w="6843" w:type="dxa"/>
            <w:noWrap/>
            <w:vAlign w:val="bottom"/>
            <w:hideMark/>
          </w:tcPr>
          <w:p w:rsidR="008B3F84" w:rsidRDefault="008B3F84">
            <w:pPr>
              <w:rPr>
                <w:rFonts w:ascii="SWISS" w:hAnsi="SWISS" w:cs="Arial"/>
                <w:b/>
                <w:bCs/>
                <w:color w:val="000000"/>
                <w:sz w:val="20"/>
                <w:szCs w:val="20"/>
                <w:u w:val="single"/>
              </w:rPr>
            </w:pPr>
            <w:r>
              <w:rPr>
                <w:rFonts w:ascii="SWISS" w:hAnsi="SWISS" w:cs="Arial"/>
                <w:b/>
                <w:bCs/>
                <w:color w:val="000000"/>
                <w:sz w:val="20"/>
                <w:szCs w:val="20"/>
                <w:u w:val="single"/>
              </w:rPr>
              <w:t>ACCUMULATED DEPRECIATION</w:t>
            </w:r>
          </w:p>
        </w:tc>
        <w:tc>
          <w:tcPr>
            <w:tcW w:w="2754" w:type="dxa"/>
            <w:tcBorders>
              <w:top w:val="nil"/>
              <w:left w:val="nil"/>
              <w:bottom w:val="nil"/>
              <w:right w:val="single" w:sz="12" w:space="0" w:color="000000"/>
            </w:tcBorders>
            <w:noWrap/>
            <w:vAlign w:val="bottom"/>
            <w:hideMark/>
          </w:tcPr>
          <w:p w:rsidR="008B3F84" w:rsidRDefault="008B3F84">
            <w:pPr>
              <w:rPr>
                <w:rFonts w:ascii="SWISS" w:hAnsi="SWISS" w:cs="Arial"/>
                <w:sz w:val="20"/>
                <w:szCs w:val="20"/>
              </w:rPr>
            </w:pPr>
            <w:r>
              <w:rPr>
                <w:rFonts w:ascii="SWISS" w:hAnsi="SWISS" w:cs="Arial"/>
                <w:sz w:val="20"/>
                <w:szCs w:val="20"/>
              </w:rPr>
              <w:t> </w:t>
            </w:r>
          </w:p>
        </w:tc>
      </w:tr>
      <w:tr w:rsidR="008B3F84" w:rsidTr="008B3F84">
        <w:trPr>
          <w:trHeight w:val="264"/>
        </w:trPr>
        <w:tc>
          <w:tcPr>
            <w:tcW w:w="482" w:type="dxa"/>
            <w:tcBorders>
              <w:top w:val="nil"/>
              <w:left w:val="single" w:sz="12" w:space="0" w:color="000000"/>
              <w:bottom w:val="nil"/>
              <w:right w:val="nil"/>
            </w:tcBorders>
            <w:noWrap/>
            <w:vAlign w:val="bottom"/>
            <w:hideMark/>
          </w:tcPr>
          <w:p w:rsidR="008B3F84" w:rsidRDefault="008B3F84">
            <w:pPr>
              <w:jc w:val="right"/>
              <w:rPr>
                <w:rFonts w:ascii="SWISS" w:hAnsi="SWISS" w:cs="Arial"/>
                <w:sz w:val="20"/>
                <w:szCs w:val="20"/>
              </w:rPr>
            </w:pPr>
            <w:r>
              <w:rPr>
                <w:rFonts w:ascii="SWISS" w:hAnsi="SWISS" w:cs="Arial"/>
                <w:sz w:val="20"/>
                <w:szCs w:val="20"/>
              </w:rPr>
              <w:t>1.</w:t>
            </w:r>
          </w:p>
        </w:tc>
        <w:tc>
          <w:tcPr>
            <w:tcW w:w="6843" w:type="dxa"/>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To reflect pro forma retirement of replaced flow meter on well #3.</w:t>
            </w:r>
          </w:p>
        </w:tc>
        <w:tc>
          <w:tcPr>
            <w:tcW w:w="2754" w:type="dxa"/>
            <w:tcBorders>
              <w:top w:val="nil"/>
              <w:left w:val="nil"/>
              <w:bottom w:val="nil"/>
              <w:right w:val="single" w:sz="12" w:space="0" w:color="000000"/>
            </w:tcBorders>
            <w:noWrap/>
            <w:vAlign w:val="bottom"/>
            <w:hideMark/>
          </w:tcPr>
          <w:p w:rsidR="008B3F84" w:rsidRDefault="008B3F84">
            <w:pPr>
              <w:jc w:val="right"/>
              <w:rPr>
                <w:rFonts w:ascii="SWISS" w:hAnsi="SWISS" w:cs="Arial"/>
                <w:color w:val="000000"/>
                <w:sz w:val="20"/>
                <w:szCs w:val="20"/>
              </w:rPr>
            </w:pPr>
            <w:r>
              <w:rPr>
                <w:rFonts w:ascii="SWISS" w:hAnsi="SWISS" w:cs="Arial"/>
                <w:color w:val="000000"/>
                <w:sz w:val="20"/>
                <w:szCs w:val="20"/>
              </w:rPr>
              <w:t xml:space="preserve">$697 </w:t>
            </w:r>
          </w:p>
        </w:tc>
      </w:tr>
      <w:tr w:rsidR="008B3F84" w:rsidTr="008B3F84">
        <w:trPr>
          <w:trHeight w:val="264"/>
        </w:trPr>
        <w:tc>
          <w:tcPr>
            <w:tcW w:w="482" w:type="dxa"/>
            <w:tcBorders>
              <w:top w:val="nil"/>
              <w:left w:val="single" w:sz="12" w:space="0" w:color="000000"/>
              <w:bottom w:val="nil"/>
              <w:right w:val="nil"/>
            </w:tcBorders>
            <w:noWrap/>
            <w:vAlign w:val="bottom"/>
            <w:hideMark/>
          </w:tcPr>
          <w:p w:rsidR="008B3F84" w:rsidRDefault="008B3F84">
            <w:pPr>
              <w:jc w:val="right"/>
              <w:rPr>
                <w:rFonts w:ascii="SWISS" w:hAnsi="SWISS" w:cs="Arial"/>
                <w:sz w:val="20"/>
                <w:szCs w:val="20"/>
              </w:rPr>
            </w:pPr>
            <w:r>
              <w:rPr>
                <w:rFonts w:ascii="SWISS" w:hAnsi="SWISS" w:cs="Arial"/>
                <w:sz w:val="20"/>
                <w:szCs w:val="20"/>
              </w:rPr>
              <w:t>2.</w:t>
            </w:r>
          </w:p>
        </w:tc>
        <w:tc>
          <w:tcPr>
            <w:tcW w:w="6843" w:type="dxa"/>
            <w:noWrap/>
            <w:vAlign w:val="bottom"/>
            <w:hideMark/>
          </w:tcPr>
          <w:p w:rsidR="008B3F84" w:rsidRDefault="008B3F84" w:rsidP="00D70F8E">
            <w:pPr>
              <w:rPr>
                <w:rFonts w:ascii="SWISS" w:hAnsi="SWISS" w:cs="Arial"/>
                <w:sz w:val="20"/>
                <w:szCs w:val="20"/>
              </w:rPr>
            </w:pPr>
            <w:r>
              <w:rPr>
                <w:rFonts w:ascii="SWISS" w:hAnsi="SWISS" w:cs="Arial"/>
                <w:sz w:val="20"/>
                <w:szCs w:val="20"/>
              </w:rPr>
              <w:t>To reflect pro forma accumulated depreciation per Rule 25-30.140</w:t>
            </w:r>
            <w:r w:rsidR="00D70F8E">
              <w:rPr>
                <w:rFonts w:ascii="SWISS" w:hAnsi="SWISS" w:cs="Arial"/>
                <w:sz w:val="20"/>
                <w:szCs w:val="20"/>
              </w:rPr>
              <w:t>, F.A.C.</w:t>
            </w:r>
          </w:p>
        </w:tc>
        <w:tc>
          <w:tcPr>
            <w:tcW w:w="2754" w:type="dxa"/>
            <w:tcBorders>
              <w:top w:val="nil"/>
              <w:left w:val="nil"/>
              <w:bottom w:val="nil"/>
              <w:right w:val="single" w:sz="12" w:space="0" w:color="000000"/>
            </w:tcBorders>
            <w:noWrap/>
            <w:vAlign w:val="bottom"/>
            <w:hideMark/>
          </w:tcPr>
          <w:p w:rsidR="008B3F84" w:rsidRDefault="008B3F84">
            <w:pPr>
              <w:jc w:val="right"/>
              <w:rPr>
                <w:rFonts w:ascii="SWISS" w:hAnsi="SWISS" w:cs="Arial"/>
                <w:color w:val="000000"/>
                <w:sz w:val="20"/>
                <w:szCs w:val="20"/>
              </w:rPr>
            </w:pPr>
            <w:r>
              <w:rPr>
                <w:rFonts w:ascii="SWISS" w:hAnsi="SWISS" w:cs="Arial"/>
                <w:color w:val="000000"/>
                <w:sz w:val="20"/>
                <w:szCs w:val="20"/>
              </w:rPr>
              <w:t>($7)</w:t>
            </w:r>
          </w:p>
        </w:tc>
      </w:tr>
      <w:tr w:rsidR="008B3F84" w:rsidTr="008B3F84">
        <w:trPr>
          <w:trHeight w:val="264"/>
        </w:trPr>
        <w:tc>
          <w:tcPr>
            <w:tcW w:w="482" w:type="dxa"/>
            <w:tcBorders>
              <w:top w:val="nil"/>
              <w:left w:val="single" w:sz="12" w:space="0" w:color="000000"/>
              <w:bottom w:val="nil"/>
              <w:right w:val="nil"/>
            </w:tcBorders>
            <w:noWrap/>
            <w:vAlign w:val="bottom"/>
            <w:hideMark/>
          </w:tcPr>
          <w:p w:rsidR="008B3F84" w:rsidRDefault="008B3F84">
            <w:pPr>
              <w:jc w:val="right"/>
              <w:rPr>
                <w:rFonts w:ascii="SWISS" w:hAnsi="SWISS" w:cs="Arial"/>
                <w:sz w:val="20"/>
                <w:szCs w:val="20"/>
              </w:rPr>
            </w:pPr>
            <w:r>
              <w:rPr>
                <w:rFonts w:ascii="SWISS" w:hAnsi="SWISS" w:cs="Arial"/>
                <w:sz w:val="20"/>
                <w:szCs w:val="20"/>
              </w:rPr>
              <w:t>3.</w:t>
            </w:r>
          </w:p>
        </w:tc>
        <w:tc>
          <w:tcPr>
            <w:tcW w:w="6843" w:type="dxa"/>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To reflect an averaging adjustment.</w:t>
            </w:r>
          </w:p>
        </w:tc>
        <w:tc>
          <w:tcPr>
            <w:tcW w:w="2754" w:type="dxa"/>
            <w:tcBorders>
              <w:top w:val="nil"/>
              <w:left w:val="nil"/>
              <w:bottom w:val="nil"/>
              <w:right w:val="single" w:sz="12" w:space="0" w:color="000000"/>
            </w:tcBorders>
            <w:noWrap/>
            <w:vAlign w:val="bottom"/>
            <w:hideMark/>
          </w:tcPr>
          <w:p w:rsidR="008B3F84" w:rsidRDefault="008B3F84">
            <w:pPr>
              <w:jc w:val="right"/>
              <w:rPr>
                <w:rFonts w:ascii="SWISS" w:hAnsi="SWISS" w:cs="Arial"/>
                <w:color w:val="000000"/>
                <w:sz w:val="20"/>
                <w:szCs w:val="20"/>
                <w:u w:val="single"/>
              </w:rPr>
            </w:pPr>
            <w:r>
              <w:rPr>
                <w:rFonts w:ascii="SWISS" w:hAnsi="SWISS" w:cs="Arial"/>
                <w:color w:val="000000"/>
                <w:sz w:val="20"/>
                <w:szCs w:val="20"/>
                <w:u w:val="single"/>
              </w:rPr>
              <w:t xml:space="preserve">$5,419 </w:t>
            </w:r>
          </w:p>
        </w:tc>
      </w:tr>
      <w:tr w:rsidR="008B3F84" w:rsidTr="008B3F84">
        <w:trPr>
          <w:trHeight w:val="264"/>
        </w:trPr>
        <w:tc>
          <w:tcPr>
            <w:tcW w:w="482" w:type="dxa"/>
            <w:tcBorders>
              <w:top w:val="nil"/>
              <w:left w:val="single" w:sz="12" w:space="0" w:color="000000"/>
              <w:bottom w:val="nil"/>
              <w:right w:val="nil"/>
            </w:tcBorders>
            <w:noWrap/>
            <w:vAlign w:val="bottom"/>
          </w:tcPr>
          <w:p w:rsidR="008B3F84" w:rsidRDefault="008B3F84">
            <w:pPr>
              <w:jc w:val="right"/>
              <w:rPr>
                <w:rFonts w:ascii="SWISS" w:hAnsi="SWISS" w:cs="Arial"/>
                <w:sz w:val="20"/>
                <w:szCs w:val="20"/>
              </w:rPr>
            </w:pPr>
          </w:p>
        </w:tc>
        <w:tc>
          <w:tcPr>
            <w:tcW w:w="6843" w:type="dxa"/>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 xml:space="preserve">     Total</w:t>
            </w:r>
          </w:p>
        </w:tc>
        <w:tc>
          <w:tcPr>
            <w:tcW w:w="2754" w:type="dxa"/>
            <w:tcBorders>
              <w:top w:val="nil"/>
              <w:left w:val="nil"/>
              <w:bottom w:val="nil"/>
              <w:right w:val="single" w:sz="12" w:space="0" w:color="000000"/>
            </w:tcBorders>
            <w:noWrap/>
            <w:vAlign w:val="bottom"/>
            <w:hideMark/>
          </w:tcPr>
          <w:p w:rsidR="008B3F84" w:rsidRDefault="008B3F84">
            <w:pPr>
              <w:jc w:val="right"/>
              <w:rPr>
                <w:rFonts w:ascii="SWISS" w:hAnsi="SWISS" w:cs="Arial"/>
                <w:color w:val="0000FF"/>
                <w:sz w:val="20"/>
                <w:szCs w:val="20"/>
                <w:u w:val="double"/>
              </w:rPr>
            </w:pPr>
            <w:r>
              <w:rPr>
                <w:rFonts w:ascii="SWISS" w:hAnsi="SWISS" w:cs="Arial"/>
                <w:sz w:val="20"/>
                <w:szCs w:val="20"/>
                <w:u w:val="double"/>
              </w:rPr>
              <w:t xml:space="preserve">$6,109 </w:t>
            </w:r>
          </w:p>
        </w:tc>
      </w:tr>
      <w:tr w:rsidR="008B3F84" w:rsidTr="008B3F84">
        <w:trPr>
          <w:trHeight w:val="264"/>
        </w:trPr>
        <w:tc>
          <w:tcPr>
            <w:tcW w:w="482" w:type="dxa"/>
            <w:tcBorders>
              <w:top w:val="nil"/>
              <w:left w:val="single" w:sz="12" w:space="0" w:color="000000"/>
              <w:bottom w:val="nil"/>
              <w:right w:val="nil"/>
            </w:tcBorders>
            <w:noWrap/>
            <w:vAlign w:val="bottom"/>
          </w:tcPr>
          <w:p w:rsidR="008B3F84" w:rsidRDefault="008B3F84">
            <w:pPr>
              <w:jc w:val="right"/>
              <w:rPr>
                <w:rFonts w:ascii="SWISS" w:hAnsi="SWISS" w:cs="Arial"/>
                <w:sz w:val="20"/>
                <w:szCs w:val="20"/>
              </w:rPr>
            </w:pPr>
          </w:p>
        </w:tc>
        <w:tc>
          <w:tcPr>
            <w:tcW w:w="6843" w:type="dxa"/>
            <w:noWrap/>
            <w:vAlign w:val="bottom"/>
          </w:tcPr>
          <w:p w:rsidR="008B3F84" w:rsidRDefault="008B3F84">
            <w:pPr>
              <w:rPr>
                <w:rFonts w:ascii="SWISS" w:hAnsi="SWISS" w:cs="Arial"/>
                <w:color w:val="000000"/>
                <w:sz w:val="20"/>
                <w:szCs w:val="20"/>
              </w:rPr>
            </w:pPr>
          </w:p>
        </w:tc>
        <w:tc>
          <w:tcPr>
            <w:tcW w:w="2754" w:type="dxa"/>
            <w:tcBorders>
              <w:top w:val="nil"/>
              <w:left w:val="nil"/>
              <w:bottom w:val="nil"/>
              <w:right w:val="single" w:sz="12" w:space="0" w:color="000000"/>
            </w:tcBorders>
            <w:noWrap/>
            <w:vAlign w:val="bottom"/>
          </w:tcPr>
          <w:p w:rsidR="008B3F84" w:rsidRDefault="008B3F84">
            <w:pPr>
              <w:jc w:val="right"/>
              <w:rPr>
                <w:rFonts w:ascii="SWISS" w:hAnsi="SWISS" w:cs="Arial"/>
                <w:sz w:val="20"/>
                <w:szCs w:val="20"/>
              </w:rPr>
            </w:pPr>
          </w:p>
        </w:tc>
      </w:tr>
      <w:tr w:rsidR="008B3F84" w:rsidTr="008B3F84">
        <w:trPr>
          <w:trHeight w:val="264"/>
        </w:trPr>
        <w:tc>
          <w:tcPr>
            <w:tcW w:w="482" w:type="dxa"/>
            <w:tcBorders>
              <w:top w:val="nil"/>
              <w:left w:val="single" w:sz="12" w:space="0" w:color="000000"/>
              <w:bottom w:val="nil"/>
              <w:right w:val="nil"/>
            </w:tcBorders>
            <w:noWrap/>
            <w:vAlign w:val="bottom"/>
          </w:tcPr>
          <w:p w:rsidR="008B3F84" w:rsidRDefault="008B3F84">
            <w:pPr>
              <w:jc w:val="right"/>
              <w:rPr>
                <w:rFonts w:ascii="SWISS" w:hAnsi="SWISS" w:cs="Arial"/>
                <w:sz w:val="20"/>
                <w:szCs w:val="20"/>
              </w:rPr>
            </w:pPr>
          </w:p>
        </w:tc>
        <w:tc>
          <w:tcPr>
            <w:tcW w:w="6843" w:type="dxa"/>
            <w:noWrap/>
            <w:vAlign w:val="bottom"/>
            <w:hideMark/>
          </w:tcPr>
          <w:p w:rsidR="008B3F84" w:rsidRDefault="008B3F84">
            <w:pPr>
              <w:rPr>
                <w:rFonts w:ascii="SWISS" w:hAnsi="SWISS" w:cs="Arial"/>
                <w:b/>
                <w:bCs/>
                <w:color w:val="000000"/>
                <w:sz w:val="20"/>
                <w:szCs w:val="20"/>
                <w:u w:val="single"/>
              </w:rPr>
            </w:pPr>
            <w:r>
              <w:rPr>
                <w:rFonts w:ascii="SWISS" w:hAnsi="SWISS" w:cs="Arial"/>
                <w:b/>
                <w:bCs/>
                <w:color w:val="000000"/>
                <w:sz w:val="20"/>
                <w:szCs w:val="20"/>
                <w:u w:val="single"/>
              </w:rPr>
              <w:t>AMORTIZATION OF CIAC</w:t>
            </w:r>
          </w:p>
        </w:tc>
        <w:tc>
          <w:tcPr>
            <w:tcW w:w="2754" w:type="dxa"/>
            <w:tcBorders>
              <w:top w:val="nil"/>
              <w:left w:val="nil"/>
              <w:bottom w:val="nil"/>
              <w:right w:val="single" w:sz="12" w:space="0" w:color="000000"/>
            </w:tcBorders>
            <w:noWrap/>
            <w:vAlign w:val="bottom"/>
            <w:hideMark/>
          </w:tcPr>
          <w:p w:rsidR="008B3F84" w:rsidRDefault="008B3F84">
            <w:pPr>
              <w:rPr>
                <w:rFonts w:ascii="SWISS" w:hAnsi="SWISS" w:cs="Arial"/>
                <w:sz w:val="20"/>
                <w:szCs w:val="20"/>
              </w:rPr>
            </w:pPr>
            <w:r>
              <w:rPr>
                <w:rFonts w:ascii="SWISS" w:hAnsi="SWISS" w:cs="Arial"/>
                <w:sz w:val="20"/>
                <w:szCs w:val="20"/>
              </w:rPr>
              <w:t> </w:t>
            </w:r>
          </w:p>
        </w:tc>
      </w:tr>
      <w:tr w:rsidR="008B3F84" w:rsidTr="008B3F84">
        <w:trPr>
          <w:trHeight w:val="264"/>
        </w:trPr>
        <w:tc>
          <w:tcPr>
            <w:tcW w:w="482" w:type="dxa"/>
            <w:tcBorders>
              <w:top w:val="nil"/>
              <w:left w:val="single" w:sz="12" w:space="0" w:color="000000"/>
              <w:bottom w:val="nil"/>
              <w:right w:val="nil"/>
            </w:tcBorders>
            <w:noWrap/>
            <w:vAlign w:val="bottom"/>
          </w:tcPr>
          <w:p w:rsidR="008B3F84" w:rsidRDefault="008B3F84">
            <w:pPr>
              <w:jc w:val="right"/>
              <w:rPr>
                <w:rFonts w:ascii="SWISS" w:hAnsi="SWISS" w:cs="Arial"/>
                <w:sz w:val="20"/>
                <w:szCs w:val="20"/>
              </w:rPr>
            </w:pPr>
          </w:p>
        </w:tc>
        <w:tc>
          <w:tcPr>
            <w:tcW w:w="6843" w:type="dxa"/>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To reflect an averaging adjustment.</w:t>
            </w:r>
          </w:p>
        </w:tc>
        <w:tc>
          <w:tcPr>
            <w:tcW w:w="2754" w:type="dxa"/>
            <w:tcBorders>
              <w:top w:val="nil"/>
              <w:left w:val="nil"/>
              <w:bottom w:val="nil"/>
              <w:right w:val="single" w:sz="12" w:space="0" w:color="000000"/>
            </w:tcBorders>
            <w:noWrap/>
            <w:vAlign w:val="bottom"/>
            <w:hideMark/>
          </w:tcPr>
          <w:p w:rsidR="008B3F84" w:rsidRDefault="008B3F84">
            <w:pPr>
              <w:jc w:val="right"/>
              <w:rPr>
                <w:rFonts w:ascii="SWISS" w:hAnsi="SWISS" w:cs="Arial"/>
                <w:sz w:val="20"/>
                <w:szCs w:val="20"/>
                <w:u w:val="double"/>
              </w:rPr>
            </w:pPr>
            <w:r>
              <w:rPr>
                <w:rFonts w:ascii="SWISS" w:hAnsi="SWISS" w:cs="Arial"/>
                <w:sz w:val="20"/>
                <w:szCs w:val="20"/>
                <w:u w:val="double"/>
              </w:rPr>
              <w:t>($640)</w:t>
            </w:r>
          </w:p>
        </w:tc>
      </w:tr>
      <w:tr w:rsidR="008B3F84" w:rsidTr="008B3F84">
        <w:trPr>
          <w:trHeight w:val="264"/>
        </w:trPr>
        <w:tc>
          <w:tcPr>
            <w:tcW w:w="482" w:type="dxa"/>
            <w:tcBorders>
              <w:top w:val="nil"/>
              <w:left w:val="single" w:sz="12" w:space="0" w:color="000000"/>
              <w:bottom w:val="nil"/>
              <w:right w:val="nil"/>
            </w:tcBorders>
            <w:noWrap/>
            <w:vAlign w:val="bottom"/>
          </w:tcPr>
          <w:p w:rsidR="008B3F84" w:rsidRDefault="008B3F84">
            <w:pPr>
              <w:jc w:val="right"/>
              <w:rPr>
                <w:rFonts w:ascii="SWISS" w:hAnsi="SWISS" w:cs="Arial"/>
                <w:b/>
                <w:sz w:val="20"/>
                <w:szCs w:val="20"/>
              </w:rPr>
            </w:pPr>
          </w:p>
        </w:tc>
        <w:tc>
          <w:tcPr>
            <w:tcW w:w="6843" w:type="dxa"/>
            <w:noWrap/>
            <w:vAlign w:val="bottom"/>
          </w:tcPr>
          <w:p w:rsidR="008B3F84" w:rsidRDefault="008B3F84">
            <w:pPr>
              <w:rPr>
                <w:rFonts w:ascii="SWISS" w:hAnsi="SWISS" w:cs="Arial"/>
                <w:color w:val="000000"/>
                <w:sz w:val="20"/>
                <w:szCs w:val="20"/>
              </w:rPr>
            </w:pPr>
          </w:p>
        </w:tc>
        <w:tc>
          <w:tcPr>
            <w:tcW w:w="2754" w:type="dxa"/>
            <w:tcBorders>
              <w:top w:val="nil"/>
              <w:left w:val="nil"/>
              <w:bottom w:val="nil"/>
              <w:right w:val="single" w:sz="12" w:space="0" w:color="000000"/>
            </w:tcBorders>
            <w:noWrap/>
            <w:vAlign w:val="bottom"/>
            <w:hideMark/>
          </w:tcPr>
          <w:p w:rsidR="008B3F84" w:rsidRDefault="008B3F84">
            <w:pPr>
              <w:jc w:val="right"/>
              <w:rPr>
                <w:rFonts w:ascii="SWISS" w:hAnsi="SWISS" w:cs="Arial"/>
                <w:sz w:val="20"/>
                <w:szCs w:val="20"/>
              </w:rPr>
            </w:pPr>
            <w:r>
              <w:rPr>
                <w:rFonts w:ascii="SWISS" w:hAnsi="SWISS" w:cs="Arial"/>
                <w:sz w:val="20"/>
                <w:szCs w:val="20"/>
              </w:rPr>
              <w:t> </w:t>
            </w:r>
          </w:p>
        </w:tc>
      </w:tr>
      <w:tr w:rsidR="008B3F84" w:rsidTr="008B3F84">
        <w:trPr>
          <w:trHeight w:val="264"/>
        </w:trPr>
        <w:tc>
          <w:tcPr>
            <w:tcW w:w="482" w:type="dxa"/>
            <w:tcBorders>
              <w:top w:val="nil"/>
              <w:left w:val="single" w:sz="12" w:space="0" w:color="auto"/>
              <w:bottom w:val="nil"/>
              <w:right w:val="nil"/>
            </w:tcBorders>
            <w:noWrap/>
            <w:vAlign w:val="bottom"/>
          </w:tcPr>
          <w:p w:rsidR="008B3F84" w:rsidRDefault="008B3F84">
            <w:pPr>
              <w:rPr>
                <w:rFonts w:ascii="SWISS" w:hAnsi="SWISS" w:cs="Arial"/>
              </w:rPr>
            </w:pPr>
          </w:p>
        </w:tc>
        <w:tc>
          <w:tcPr>
            <w:tcW w:w="6843" w:type="dxa"/>
            <w:noWrap/>
            <w:vAlign w:val="bottom"/>
            <w:hideMark/>
          </w:tcPr>
          <w:p w:rsidR="008B3F84" w:rsidRDefault="008B3F84">
            <w:pPr>
              <w:rPr>
                <w:rFonts w:ascii="SWISS" w:hAnsi="SWISS" w:cs="Arial"/>
                <w:b/>
                <w:bCs/>
                <w:color w:val="000000"/>
                <w:sz w:val="20"/>
                <w:szCs w:val="20"/>
                <w:u w:val="single"/>
              </w:rPr>
            </w:pPr>
            <w:r>
              <w:rPr>
                <w:rFonts w:ascii="SWISS" w:hAnsi="SWISS" w:cs="Arial"/>
                <w:b/>
                <w:bCs/>
                <w:color w:val="000000"/>
                <w:sz w:val="20"/>
                <w:szCs w:val="20"/>
                <w:u w:val="single"/>
              </w:rPr>
              <w:t>WORKING CAPITAL ALLOWANCE</w:t>
            </w:r>
          </w:p>
        </w:tc>
        <w:tc>
          <w:tcPr>
            <w:tcW w:w="2754" w:type="dxa"/>
            <w:tcBorders>
              <w:top w:val="nil"/>
              <w:left w:val="nil"/>
              <w:bottom w:val="nil"/>
              <w:right w:val="single" w:sz="12" w:space="0" w:color="auto"/>
            </w:tcBorders>
            <w:noWrap/>
            <w:vAlign w:val="bottom"/>
            <w:hideMark/>
          </w:tcPr>
          <w:p w:rsidR="008B3F84" w:rsidRDefault="008B3F84">
            <w:pPr>
              <w:jc w:val="right"/>
              <w:rPr>
                <w:rFonts w:ascii="SWISS" w:hAnsi="SWISS" w:cs="Arial"/>
                <w:color w:val="000000"/>
                <w:sz w:val="20"/>
                <w:szCs w:val="20"/>
              </w:rPr>
            </w:pPr>
            <w:r>
              <w:rPr>
                <w:rFonts w:ascii="SWISS" w:hAnsi="SWISS" w:cs="Arial"/>
                <w:color w:val="000000"/>
                <w:sz w:val="20"/>
                <w:szCs w:val="20"/>
              </w:rPr>
              <w:t> </w:t>
            </w:r>
          </w:p>
        </w:tc>
      </w:tr>
      <w:tr w:rsidR="008B3F84" w:rsidTr="008B3F84">
        <w:trPr>
          <w:trHeight w:val="264"/>
        </w:trPr>
        <w:tc>
          <w:tcPr>
            <w:tcW w:w="482" w:type="dxa"/>
            <w:tcBorders>
              <w:top w:val="nil"/>
              <w:left w:val="single" w:sz="12" w:space="0" w:color="auto"/>
              <w:bottom w:val="nil"/>
              <w:right w:val="nil"/>
            </w:tcBorders>
            <w:noWrap/>
            <w:vAlign w:val="bottom"/>
          </w:tcPr>
          <w:p w:rsidR="008B3F84" w:rsidRDefault="008B3F84">
            <w:pPr>
              <w:rPr>
                <w:rFonts w:ascii="SWISS" w:hAnsi="SWISS" w:cs="Arial"/>
              </w:rPr>
            </w:pPr>
          </w:p>
        </w:tc>
        <w:tc>
          <w:tcPr>
            <w:tcW w:w="6843" w:type="dxa"/>
            <w:noWrap/>
            <w:vAlign w:val="bottom"/>
            <w:hideMark/>
          </w:tcPr>
          <w:p w:rsidR="008B3F84" w:rsidRDefault="008B3F84">
            <w:pPr>
              <w:rPr>
                <w:rFonts w:ascii="SWISS" w:hAnsi="SWISS" w:cs="Arial"/>
                <w:color w:val="000000"/>
                <w:sz w:val="20"/>
                <w:szCs w:val="20"/>
              </w:rPr>
            </w:pPr>
            <w:r>
              <w:rPr>
                <w:rFonts w:ascii="SWISS" w:hAnsi="SWISS" w:cs="Arial"/>
                <w:color w:val="000000"/>
                <w:sz w:val="20"/>
                <w:szCs w:val="20"/>
              </w:rPr>
              <w:t>To reflect 1/8 of test year O&amp;M expenses.</w:t>
            </w:r>
          </w:p>
        </w:tc>
        <w:tc>
          <w:tcPr>
            <w:tcW w:w="2754" w:type="dxa"/>
            <w:tcBorders>
              <w:top w:val="nil"/>
              <w:left w:val="nil"/>
              <w:bottom w:val="nil"/>
              <w:right w:val="single" w:sz="12" w:space="0" w:color="auto"/>
            </w:tcBorders>
            <w:noWrap/>
            <w:vAlign w:val="bottom"/>
            <w:hideMark/>
          </w:tcPr>
          <w:p w:rsidR="008B3F84" w:rsidRDefault="008B3F84">
            <w:pPr>
              <w:jc w:val="right"/>
              <w:rPr>
                <w:rFonts w:ascii="SWISS" w:hAnsi="SWISS" w:cs="Arial"/>
                <w:color w:val="000000"/>
                <w:sz w:val="20"/>
                <w:szCs w:val="20"/>
                <w:u w:val="double"/>
              </w:rPr>
            </w:pPr>
            <w:r>
              <w:rPr>
                <w:rFonts w:ascii="SWISS" w:hAnsi="SWISS" w:cs="Arial"/>
                <w:color w:val="000000"/>
                <w:sz w:val="20"/>
                <w:szCs w:val="20"/>
                <w:u w:val="double"/>
              </w:rPr>
              <w:t xml:space="preserve">$4,175 </w:t>
            </w:r>
          </w:p>
        </w:tc>
      </w:tr>
      <w:tr w:rsidR="008B3F84" w:rsidTr="008B3F84">
        <w:trPr>
          <w:trHeight w:val="264"/>
        </w:trPr>
        <w:tc>
          <w:tcPr>
            <w:tcW w:w="482" w:type="dxa"/>
            <w:tcBorders>
              <w:top w:val="nil"/>
              <w:left w:val="single" w:sz="12" w:space="0" w:color="auto"/>
              <w:bottom w:val="single" w:sz="12" w:space="0" w:color="auto"/>
              <w:right w:val="nil"/>
            </w:tcBorders>
            <w:noWrap/>
            <w:vAlign w:val="bottom"/>
          </w:tcPr>
          <w:p w:rsidR="008B3F84" w:rsidRDefault="008B3F84">
            <w:pPr>
              <w:rPr>
                <w:rFonts w:ascii="SWISS" w:hAnsi="SWISS" w:cs="Arial"/>
              </w:rPr>
            </w:pPr>
          </w:p>
        </w:tc>
        <w:tc>
          <w:tcPr>
            <w:tcW w:w="6843" w:type="dxa"/>
            <w:tcBorders>
              <w:top w:val="nil"/>
              <w:left w:val="nil"/>
              <w:bottom w:val="single" w:sz="12" w:space="0" w:color="auto"/>
              <w:right w:val="nil"/>
            </w:tcBorders>
            <w:noWrap/>
            <w:vAlign w:val="bottom"/>
          </w:tcPr>
          <w:p w:rsidR="008B3F84" w:rsidRDefault="008B3F84">
            <w:pPr>
              <w:rPr>
                <w:rFonts w:ascii="SWISS" w:hAnsi="SWISS" w:cs="Arial"/>
                <w:color w:val="000000"/>
                <w:sz w:val="20"/>
                <w:szCs w:val="20"/>
              </w:rPr>
            </w:pPr>
          </w:p>
        </w:tc>
        <w:tc>
          <w:tcPr>
            <w:tcW w:w="2754" w:type="dxa"/>
            <w:tcBorders>
              <w:top w:val="nil"/>
              <w:left w:val="nil"/>
              <w:bottom w:val="single" w:sz="12" w:space="0" w:color="auto"/>
              <w:right w:val="single" w:sz="12" w:space="0" w:color="auto"/>
            </w:tcBorders>
            <w:noWrap/>
            <w:vAlign w:val="bottom"/>
          </w:tcPr>
          <w:p w:rsidR="008B3F84" w:rsidRDefault="008B3F84">
            <w:pPr>
              <w:jc w:val="right"/>
              <w:rPr>
                <w:rFonts w:ascii="SWISS" w:hAnsi="SWISS" w:cs="Arial"/>
                <w:sz w:val="20"/>
                <w:szCs w:val="20"/>
                <w:u w:val="double"/>
              </w:rPr>
            </w:pPr>
          </w:p>
        </w:tc>
      </w:tr>
    </w:tbl>
    <w:p w:rsidR="003D499B" w:rsidRDefault="003D499B" w:rsidP="00C37D97"/>
    <w:p w:rsidR="003D499B" w:rsidRDefault="003D499B" w:rsidP="00C37D97">
      <w:pPr>
        <w:sectPr w:rsidR="003D499B" w:rsidSect="0068481F">
          <w:headerReference w:type="default" r:id="rId22"/>
          <w:pgSz w:w="12240" w:h="15840" w:code="1"/>
          <w:pgMar w:top="1584" w:right="1440" w:bottom="1440" w:left="1440" w:header="720" w:footer="720" w:gutter="0"/>
          <w:cols w:space="720"/>
          <w:formProt w:val="0"/>
          <w:docGrid w:linePitch="360"/>
        </w:sectPr>
      </w:pPr>
    </w:p>
    <w:tbl>
      <w:tblPr>
        <w:tblW w:w="13867" w:type="dxa"/>
        <w:tblInd w:w="98" w:type="dxa"/>
        <w:tblLook w:val="04A0" w:firstRow="1" w:lastRow="0" w:firstColumn="1" w:lastColumn="0" w:noHBand="0" w:noVBand="1"/>
      </w:tblPr>
      <w:tblGrid>
        <w:gridCol w:w="483"/>
        <w:gridCol w:w="2855"/>
        <w:gridCol w:w="1124"/>
        <w:gridCol w:w="1213"/>
        <w:gridCol w:w="1755"/>
        <w:gridCol w:w="1256"/>
        <w:gridCol w:w="1283"/>
        <w:gridCol w:w="1255"/>
        <w:gridCol w:w="1183"/>
        <w:gridCol w:w="1460"/>
      </w:tblGrid>
      <w:tr w:rsidR="004679D6" w:rsidTr="004679D6">
        <w:trPr>
          <w:trHeight w:val="292"/>
        </w:trPr>
        <w:tc>
          <w:tcPr>
            <w:tcW w:w="483" w:type="dxa"/>
            <w:tcBorders>
              <w:top w:val="single" w:sz="8" w:space="0" w:color="auto"/>
              <w:left w:val="single" w:sz="8" w:space="0" w:color="auto"/>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lastRenderedPageBreak/>
              <w:t> </w:t>
            </w:r>
          </w:p>
        </w:tc>
        <w:tc>
          <w:tcPr>
            <w:tcW w:w="9486" w:type="dxa"/>
            <w:gridSpan w:val="6"/>
            <w:tcBorders>
              <w:top w:val="single" w:sz="8" w:space="0" w:color="auto"/>
              <w:left w:val="nil"/>
              <w:bottom w:val="nil"/>
              <w:right w:val="nil"/>
            </w:tcBorders>
            <w:noWrap/>
            <w:vAlign w:val="bottom"/>
            <w:hideMark/>
          </w:tcPr>
          <w:p w:rsidR="004679D6" w:rsidRDefault="004679D6">
            <w:pPr>
              <w:rPr>
                <w:rFonts w:ascii="SWISS" w:hAnsi="SWISS" w:cs="Arial"/>
                <w:color w:val="000000"/>
                <w:sz w:val="20"/>
                <w:szCs w:val="20"/>
              </w:rPr>
            </w:pPr>
            <w:r>
              <w:rPr>
                <w:rFonts w:ascii="SWISS" w:hAnsi="SWISS" w:cs="Arial"/>
                <w:b/>
                <w:bCs/>
                <w:color w:val="000000"/>
                <w:sz w:val="20"/>
                <w:szCs w:val="20"/>
              </w:rPr>
              <w:t>RAINTREE WATERWORKS, INC.</w:t>
            </w:r>
          </w:p>
        </w:tc>
        <w:tc>
          <w:tcPr>
            <w:tcW w:w="1255" w:type="dxa"/>
            <w:tcBorders>
              <w:top w:val="single" w:sz="8" w:space="0" w:color="auto"/>
              <w:left w:val="nil"/>
              <w:bottom w:val="nil"/>
              <w:right w:val="nil"/>
            </w:tcBorders>
            <w:noWrap/>
            <w:vAlign w:val="bottom"/>
            <w:hideMark/>
          </w:tcPr>
          <w:p w:rsidR="004679D6" w:rsidRDefault="004679D6">
            <w:pPr>
              <w:rPr>
                <w:rFonts w:ascii="SWISS" w:hAnsi="SWISS" w:cs="Arial"/>
              </w:rPr>
            </w:pPr>
            <w:r>
              <w:rPr>
                <w:rFonts w:ascii="SWISS" w:hAnsi="SWISS" w:cs="Arial"/>
              </w:rPr>
              <w:t> </w:t>
            </w:r>
          </w:p>
        </w:tc>
        <w:tc>
          <w:tcPr>
            <w:tcW w:w="2643" w:type="dxa"/>
            <w:gridSpan w:val="2"/>
            <w:tcBorders>
              <w:top w:val="single" w:sz="8" w:space="0" w:color="auto"/>
              <w:left w:val="nil"/>
              <w:bottom w:val="nil"/>
              <w:right w:val="single" w:sz="8" w:space="0" w:color="auto"/>
            </w:tcBorders>
            <w:noWrap/>
            <w:vAlign w:val="bottom"/>
            <w:hideMark/>
          </w:tcPr>
          <w:p w:rsidR="004679D6" w:rsidRDefault="004679D6">
            <w:pPr>
              <w:rPr>
                <w:rFonts w:ascii="SWISS" w:hAnsi="SWISS" w:cs="Arial"/>
                <w:b/>
                <w:bCs/>
                <w:color w:val="000000"/>
                <w:sz w:val="20"/>
                <w:szCs w:val="20"/>
              </w:rPr>
            </w:pPr>
            <w:r>
              <w:rPr>
                <w:rFonts w:ascii="SWISS" w:hAnsi="SWISS" w:cs="Arial"/>
                <w:b/>
                <w:bCs/>
                <w:color w:val="000000"/>
                <w:sz w:val="20"/>
                <w:szCs w:val="20"/>
              </w:rPr>
              <w:t xml:space="preserve">             SCHEDULE NO. 2</w:t>
            </w:r>
            <w:r>
              <w:rPr>
                <w:sz w:val="20"/>
                <w:szCs w:val="20"/>
              </w:rPr>
              <w:fldChar w:fldCharType="begin"/>
            </w:r>
            <w:r>
              <w:rPr>
                <w:sz w:val="20"/>
                <w:szCs w:val="20"/>
              </w:rPr>
              <w:instrText xml:space="preserve"> TC "</w:instrText>
            </w:r>
            <w:bookmarkStart w:id="169" w:name="_Toc399147318"/>
            <w:r>
              <w:rPr>
                <w:sz w:val="20"/>
                <w:szCs w:val="20"/>
              </w:rPr>
              <w:instrText xml:space="preserve"> </w:instrText>
            </w:r>
            <w:bookmarkStart w:id="170" w:name="_Toc443384730"/>
            <w:bookmarkStart w:id="171" w:name="_Toc441233995"/>
            <w:bookmarkStart w:id="172" w:name="_Toc422220888"/>
            <w:bookmarkStart w:id="173" w:name="_Toc451766979"/>
            <w:r>
              <w:rPr>
                <w:sz w:val="20"/>
                <w:szCs w:val="20"/>
              </w:rPr>
              <w:instrText>Schedule No. 2 Capital Structure</w:instrText>
            </w:r>
            <w:bookmarkEnd w:id="169"/>
            <w:bookmarkEnd w:id="170"/>
            <w:bookmarkEnd w:id="171"/>
            <w:bookmarkEnd w:id="172"/>
            <w:bookmarkEnd w:id="173"/>
            <w:r>
              <w:rPr>
                <w:sz w:val="20"/>
                <w:szCs w:val="20"/>
              </w:rPr>
              <w:instrText xml:space="preserve">”\l 1 </w:instrText>
            </w:r>
            <w:r>
              <w:rPr>
                <w:sz w:val="20"/>
                <w:szCs w:val="20"/>
              </w:rPr>
              <w:fldChar w:fldCharType="end"/>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3979" w:type="dxa"/>
            <w:gridSpan w:val="2"/>
            <w:noWrap/>
            <w:vAlign w:val="bottom"/>
            <w:hideMark/>
          </w:tcPr>
          <w:p w:rsidR="004679D6" w:rsidRDefault="004679D6">
            <w:pPr>
              <w:rPr>
                <w:rFonts w:ascii="SWISS" w:hAnsi="SWISS" w:cs="Arial"/>
                <w:b/>
                <w:bCs/>
                <w:color w:val="000000"/>
                <w:sz w:val="20"/>
                <w:szCs w:val="20"/>
              </w:rPr>
            </w:pPr>
            <w:r>
              <w:rPr>
                <w:rFonts w:ascii="SWISS" w:hAnsi="SWISS" w:cs="Arial"/>
                <w:b/>
                <w:bCs/>
                <w:color w:val="000000"/>
                <w:sz w:val="20"/>
                <w:szCs w:val="20"/>
              </w:rPr>
              <w:t>TEST YEAR ENDED 7/31/15</w:t>
            </w:r>
          </w:p>
        </w:tc>
        <w:tc>
          <w:tcPr>
            <w:tcW w:w="1213" w:type="dxa"/>
            <w:noWrap/>
            <w:vAlign w:val="bottom"/>
          </w:tcPr>
          <w:p w:rsidR="004679D6" w:rsidRDefault="004679D6">
            <w:pPr>
              <w:rPr>
                <w:rFonts w:ascii="SWISS" w:hAnsi="SWISS" w:cs="Arial"/>
                <w:color w:val="000000"/>
                <w:sz w:val="20"/>
                <w:szCs w:val="20"/>
              </w:rPr>
            </w:pPr>
          </w:p>
        </w:tc>
        <w:tc>
          <w:tcPr>
            <w:tcW w:w="1755" w:type="dxa"/>
            <w:noWrap/>
            <w:vAlign w:val="bottom"/>
          </w:tcPr>
          <w:p w:rsidR="004679D6" w:rsidRDefault="004679D6">
            <w:pPr>
              <w:rPr>
                <w:rFonts w:ascii="SWISS" w:hAnsi="SWISS" w:cs="Arial"/>
                <w:color w:val="000000"/>
                <w:sz w:val="20"/>
                <w:szCs w:val="20"/>
              </w:rPr>
            </w:pPr>
          </w:p>
        </w:tc>
        <w:tc>
          <w:tcPr>
            <w:tcW w:w="1256" w:type="dxa"/>
            <w:noWrap/>
            <w:vAlign w:val="bottom"/>
          </w:tcPr>
          <w:p w:rsidR="004679D6" w:rsidRDefault="004679D6">
            <w:pPr>
              <w:rPr>
                <w:rFonts w:ascii="SWISS" w:hAnsi="SWISS" w:cs="Arial"/>
                <w:color w:val="000000"/>
                <w:sz w:val="20"/>
                <w:szCs w:val="20"/>
              </w:rPr>
            </w:pPr>
          </w:p>
        </w:tc>
        <w:tc>
          <w:tcPr>
            <w:tcW w:w="1283" w:type="dxa"/>
            <w:noWrap/>
            <w:vAlign w:val="bottom"/>
          </w:tcPr>
          <w:p w:rsidR="004679D6" w:rsidRDefault="004679D6">
            <w:pPr>
              <w:rPr>
                <w:rFonts w:ascii="SWISS" w:hAnsi="SWISS" w:cs="Arial"/>
                <w:color w:val="000000"/>
                <w:sz w:val="20"/>
                <w:szCs w:val="20"/>
              </w:rPr>
            </w:pPr>
          </w:p>
        </w:tc>
        <w:tc>
          <w:tcPr>
            <w:tcW w:w="1255" w:type="dxa"/>
            <w:noWrap/>
            <w:vAlign w:val="bottom"/>
          </w:tcPr>
          <w:p w:rsidR="004679D6" w:rsidRDefault="004679D6">
            <w:pPr>
              <w:rPr>
                <w:rFonts w:ascii="SWISS" w:hAnsi="SWISS" w:cs="Arial"/>
              </w:rPr>
            </w:pPr>
          </w:p>
        </w:tc>
        <w:tc>
          <w:tcPr>
            <w:tcW w:w="2643" w:type="dxa"/>
            <w:gridSpan w:val="2"/>
            <w:tcBorders>
              <w:top w:val="nil"/>
              <w:left w:val="nil"/>
              <w:bottom w:val="nil"/>
              <w:right w:val="single" w:sz="8" w:space="0" w:color="auto"/>
            </w:tcBorders>
            <w:noWrap/>
            <w:vAlign w:val="bottom"/>
            <w:hideMark/>
          </w:tcPr>
          <w:p w:rsidR="004679D6" w:rsidRDefault="004679D6">
            <w:pPr>
              <w:rPr>
                <w:rFonts w:ascii="SWISS" w:hAnsi="SWISS" w:cs="Arial"/>
                <w:b/>
                <w:bCs/>
                <w:color w:val="000000"/>
                <w:sz w:val="20"/>
                <w:szCs w:val="20"/>
              </w:rPr>
            </w:pPr>
            <w:r>
              <w:rPr>
                <w:rFonts w:ascii="SWISS" w:hAnsi="SWISS" w:cs="Arial"/>
                <w:b/>
                <w:bCs/>
                <w:color w:val="000000"/>
                <w:sz w:val="20"/>
                <w:szCs w:val="20"/>
              </w:rPr>
              <w:t>DOCKET NO. 150199-WU</w:t>
            </w:r>
          </w:p>
        </w:tc>
      </w:tr>
      <w:tr w:rsidR="004679D6" w:rsidTr="004679D6">
        <w:trPr>
          <w:trHeight w:val="303"/>
        </w:trPr>
        <w:tc>
          <w:tcPr>
            <w:tcW w:w="483" w:type="dxa"/>
            <w:tcBorders>
              <w:top w:val="nil"/>
              <w:left w:val="single" w:sz="8" w:space="0" w:color="auto"/>
              <w:bottom w:val="single" w:sz="8" w:space="0" w:color="auto"/>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5192" w:type="dxa"/>
            <w:gridSpan w:val="3"/>
            <w:tcBorders>
              <w:top w:val="nil"/>
              <w:left w:val="nil"/>
              <w:bottom w:val="single" w:sz="8" w:space="0" w:color="auto"/>
              <w:right w:val="nil"/>
            </w:tcBorders>
            <w:noWrap/>
            <w:vAlign w:val="bottom"/>
            <w:hideMark/>
          </w:tcPr>
          <w:p w:rsidR="004679D6" w:rsidRDefault="004679D6">
            <w:pPr>
              <w:rPr>
                <w:rFonts w:ascii="SWISS" w:hAnsi="SWISS" w:cs="Arial"/>
                <w:color w:val="000000"/>
                <w:sz w:val="20"/>
                <w:szCs w:val="20"/>
              </w:rPr>
            </w:pPr>
            <w:r>
              <w:rPr>
                <w:rFonts w:ascii="SWISS" w:hAnsi="SWISS" w:cs="Arial"/>
                <w:b/>
                <w:bCs/>
                <w:color w:val="000000"/>
                <w:sz w:val="20"/>
                <w:szCs w:val="20"/>
              </w:rPr>
              <w:t>SCHEDULE OF CAPITAL STRUCTURE</w:t>
            </w:r>
          </w:p>
        </w:tc>
        <w:tc>
          <w:tcPr>
            <w:tcW w:w="1755" w:type="dxa"/>
            <w:tcBorders>
              <w:top w:val="nil"/>
              <w:left w:val="nil"/>
              <w:bottom w:val="single" w:sz="8" w:space="0" w:color="auto"/>
              <w:right w:val="nil"/>
            </w:tcBorders>
            <w:noWrap/>
            <w:vAlign w:val="bottom"/>
          </w:tcPr>
          <w:p w:rsidR="004679D6" w:rsidRDefault="004679D6">
            <w:pPr>
              <w:rPr>
                <w:rFonts w:ascii="SWISS" w:hAnsi="SWISS" w:cs="Arial"/>
                <w:color w:val="000000"/>
                <w:sz w:val="20"/>
                <w:szCs w:val="20"/>
              </w:rPr>
            </w:pPr>
          </w:p>
        </w:tc>
        <w:tc>
          <w:tcPr>
            <w:tcW w:w="1256" w:type="dxa"/>
            <w:tcBorders>
              <w:top w:val="nil"/>
              <w:left w:val="nil"/>
              <w:bottom w:val="single" w:sz="8" w:space="0" w:color="auto"/>
              <w:right w:val="nil"/>
            </w:tcBorders>
            <w:noWrap/>
            <w:vAlign w:val="bottom"/>
          </w:tcPr>
          <w:p w:rsidR="004679D6" w:rsidRDefault="004679D6">
            <w:pPr>
              <w:rPr>
                <w:rFonts w:ascii="SWISS" w:hAnsi="SWISS" w:cs="Arial"/>
                <w:color w:val="000000"/>
                <w:sz w:val="20"/>
                <w:szCs w:val="20"/>
              </w:rPr>
            </w:pPr>
          </w:p>
        </w:tc>
        <w:tc>
          <w:tcPr>
            <w:tcW w:w="1283" w:type="dxa"/>
            <w:tcBorders>
              <w:top w:val="nil"/>
              <w:left w:val="nil"/>
              <w:bottom w:val="single" w:sz="8" w:space="0" w:color="auto"/>
              <w:right w:val="nil"/>
            </w:tcBorders>
            <w:noWrap/>
            <w:vAlign w:val="bottom"/>
          </w:tcPr>
          <w:p w:rsidR="004679D6" w:rsidRDefault="004679D6">
            <w:pPr>
              <w:rPr>
                <w:rFonts w:ascii="SWISS" w:hAnsi="SWISS" w:cs="Arial"/>
                <w:color w:val="000000"/>
                <w:sz w:val="20"/>
                <w:szCs w:val="20"/>
              </w:rPr>
            </w:pPr>
          </w:p>
        </w:tc>
        <w:tc>
          <w:tcPr>
            <w:tcW w:w="1255" w:type="dxa"/>
            <w:tcBorders>
              <w:top w:val="nil"/>
              <w:left w:val="nil"/>
              <w:bottom w:val="single" w:sz="8" w:space="0" w:color="auto"/>
              <w:right w:val="nil"/>
            </w:tcBorders>
            <w:noWrap/>
            <w:vAlign w:val="bottom"/>
          </w:tcPr>
          <w:p w:rsidR="004679D6" w:rsidRDefault="004679D6">
            <w:pPr>
              <w:rPr>
                <w:rFonts w:ascii="SWISS" w:hAnsi="SWISS" w:cs="Arial"/>
                <w:color w:val="000000"/>
                <w:sz w:val="20"/>
                <w:szCs w:val="20"/>
              </w:rPr>
            </w:pPr>
          </w:p>
        </w:tc>
        <w:tc>
          <w:tcPr>
            <w:tcW w:w="1183" w:type="dxa"/>
            <w:tcBorders>
              <w:top w:val="nil"/>
              <w:left w:val="nil"/>
              <w:bottom w:val="single" w:sz="8" w:space="0" w:color="auto"/>
              <w:right w:val="nil"/>
            </w:tcBorders>
            <w:noWrap/>
            <w:vAlign w:val="bottom"/>
          </w:tcPr>
          <w:p w:rsidR="004679D6" w:rsidRDefault="004679D6">
            <w:pPr>
              <w:rPr>
                <w:rFonts w:ascii="SWISS" w:hAnsi="SWISS" w:cs="Arial"/>
                <w:color w:val="000000"/>
                <w:sz w:val="20"/>
                <w:szCs w:val="20"/>
              </w:rPr>
            </w:pPr>
          </w:p>
        </w:tc>
        <w:tc>
          <w:tcPr>
            <w:tcW w:w="1460" w:type="dxa"/>
            <w:tcBorders>
              <w:top w:val="nil"/>
              <w:left w:val="nil"/>
              <w:bottom w:val="single" w:sz="8" w:space="0" w:color="auto"/>
              <w:right w:val="single" w:sz="8" w:space="0" w:color="auto"/>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r>
      <w:tr w:rsidR="004679D6" w:rsidTr="004679D6">
        <w:trPr>
          <w:trHeight w:val="292"/>
        </w:trPr>
        <w:tc>
          <w:tcPr>
            <w:tcW w:w="483" w:type="dxa"/>
            <w:tcBorders>
              <w:top w:val="single" w:sz="8" w:space="0" w:color="auto"/>
              <w:left w:val="single" w:sz="8" w:space="0" w:color="auto"/>
              <w:bottom w:val="nil"/>
              <w:right w:val="nil"/>
            </w:tcBorders>
            <w:noWrap/>
            <w:vAlign w:val="bottom"/>
            <w:hideMark/>
          </w:tcPr>
          <w:p w:rsidR="004679D6" w:rsidRDefault="004679D6">
            <w:pPr>
              <w:jc w:val="center"/>
              <w:rPr>
                <w:rFonts w:ascii="SWISS" w:hAnsi="SWISS" w:cs="Arial"/>
                <w:color w:val="000000"/>
                <w:sz w:val="20"/>
                <w:szCs w:val="20"/>
              </w:rPr>
            </w:pPr>
            <w:r>
              <w:rPr>
                <w:rFonts w:ascii="SWISS" w:hAnsi="SWISS" w:cs="Arial"/>
                <w:color w:val="000000"/>
                <w:sz w:val="20"/>
                <w:szCs w:val="20"/>
              </w:rPr>
              <w:t> </w:t>
            </w:r>
          </w:p>
        </w:tc>
        <w:tc>
          <w:tcPr>
            <w:tcW w:w="2855" w:type="dxa"/>
            <w:tcBorders>
              <w:top w:val="single" w:sz="8" w:space="0" w:color="auto"/>
              <w:left w:val="nil"/>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124" w:type="dxa"/>
            <w:tcBorders>
              <w:top w:val="single" w:sz="8" w:space="0" w:color="auto"/>
              <w:left w:val="nil"/>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213" w:type="dxa"/>
            <w:tcBorders>
              <w:top w:val="single" w:sz="8" w:space="0" w:color="auto"/>
              <w:left w:val="nil"/>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755" w:type="dxa"/>
            <w:tcBorders>
              <w:top w:val="single" w:sz="8" w:space="0" w:color="auto"/>
              <w:left w:val="nil"/>
              <w:bottom w:val="nil"/>
              <w:right w:val="nil"/>
            </w:tcBorders>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BALANCE</w:t>
            </w:r>
          </w:p>
        </w:tc>
        <w:tc>
          <w:tcPr>
            <w:tcW w:w="1256" w:type="dxa"/>
            <w:tcBorders>
              <w:top w:val="single" w:sz="8" w:space="0" w:color="auto"/>
              <w:left w:val="nil"/>
              <w:bottom w:val="nil"/>
              <w:right w:val="nil"/>
            </w:tcBorders>
            <w:noWrap/>
            <w:vAlign w:val="bottom"/>
          </w:tcPr>
          <w:p w:rsidR="004679D6" w:rsidRDefault="004679D6">
            <w:pPr>
              <w:jc w:val="center"/>
              <w:rPr>
                <w:rFonts w:ascii="SWISS" w:hAnsi="SWISS" w:cs="Arial"/>
                <w:b/>
                <w:bCs/>
                <w:color w:val="000000"/>
                <w:sz w:val="20"/>
                <w:szCs w:val="20"/>
              </w:rPr>
            </w:pPr>
          </w:p>
        </w:tc>
        <w:tc>
          <w:tcPr>
            <w:tcW w:w="1283" w:type="dxa"/>
            <w:tcBorders>
              <w:top w:val="single" w:sz="8" w:space="0" w:color="auto"/>
              <w:left w:val="nil"/>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255" w:type="dxa"/>
            <w:tcBorders>
              <w:top w:val="single" w:sz="8" w:space="0" w:color="auto"/>
              <w:left w:val="nil"/>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183" w:type="dxa"/>
            <w:tcBorders>
              <w:top w:val="single" w:sz="8" w:space="0" w:color="auto"/>
              <w:left w:val="nil"/>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460" w:type="dxa"/>
            <w:tcBorders>
              <w:top w:val="single" w:sz="8" w:space="0" w:color="auto"/>
              <w:left w:val="nil"/>
              <w:bottom w:val="nil"/>
              <w:right w:val="single" w:sz="8" w:space="0" w:color="auto"/>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679D6" w:rsidRDefault="004679D6">
            <w:pPr>
              <w:rPr>
                <w:rFonts w:ascii="SWISS" w:hAnsi="SWISS" w:cs="Arial"/>
                <w:color w:val="000000"/>
                <w:sz w:val="20"/>
                <w:szCs w:val="20"/>
              </w:rPr>
            </w:pPr>
          </w:p>
        </w:tc>
        <w:tc>
          <w:tcPr>
            <w:tcW w:w="1124" w:type="dxa"/>
            <w:noWrap/>
            <w:vAlign w:val="bottom"/>
          </w:tcPr>
          <w:p w:rsidR="004679D6" w:rsidRDefault="004679D6">
            <w:pPr>
              <w:rPr>
                <w:rFonts w:ascii="SWISS" w:hAnsi="SWISS" w:cs="Arial"/>
                <w:b/>
                <w:bCs/>
                <w:color w:val="000000"/>
                <w:sz w:val="20"/>
                <w:szCs w:val="20"/>
              </w:rPr>
            </w:pPr>
          </w:p>
        </w:tc>
        <w:tc>
          <w:tcPr>
            <w:tcW w:w="1213" w:type="dxa"/>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SPECIFIC</w:t>
            </w:r>
          </w:p>
        </w:tc>
        <w:tc>
          <w:tcPr>
            <w:tcW w:w="1755" w:type="dxa"/>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BEFORE</w:t>
            </w:r>
          </w:p>
        </w:tc>
        <w:tc>
          <w:tcPr>
            <w:tcW w:w="1256" w:type="dxa"/>
            <w:noWrap/>
            <w:vAlign w:val="bottom"/>
          </w:tcPr>
          <w:p w:rsidR="004679D6" w:rsidRDefault="004679D6">
            <w:pPr>
              <w:jc w:val="center"/>
              <w:rPr>
                <w:rFonts w:ascii="SWISS" w:hAnsi="SWISS" w:cs="Arial"/>
                <w:b/>
                <w:bCs/>
                <w:color w:val="000000"/>
                <w:sz w:val="20"/>
                <w:szCs w:val="20"/>
              </w:rPr>
            </w:pPr>
          </w:p>
        </w:tc>
        <w:tc>
          <w:tcPr>
            <w:tcW w:w="1283" w:type="dxa"/>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BALANCE</w:t>
            </w:r>
          </w:p>
        </w:tc>
        <w:tc>
          <w:tcPr>
            <w:tcW w:w="1255" w:type="dxa"/>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PERCENT</w:t>
            </w:r>
          </w:p>
        </w:tc>
        <w:tc>
          <w:tcPr>
            <w:tcW w:w="1183" w:type="dxa"/>
            <w:noWrap/>
            <w:vAlign w:val="bottom"/>
          </w:tcPr>
          <w:p w:rsidR="004679D6" w:rsidRDefault="004679D6">
            <w:pPr>
              <w:rPr>
                <w:rFonts w:ascii="SWISS" w:hAnsi="SWISS" w:cs="Arial"/>
                <w:b/>
                <w:bCs/>
                <w:color w:val="000000"/>
                <w:sz w:val="20"/>
                <w:szCs w:val="20"/>
              </w:rPr>
            </w:pP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b/>
                <w:bCs/>
                <w:color w:val="000000"/>
                <w:sz w:val="20"/>
                <w:szCs w:val="20"/>
              </w:rPr>
            </w:pPr>
            <w:r>
              <w:rPr>
                <w:rFonts w:ascii="SWISS" w:hAnsi="SWISS" w:cs="Arial"/>
                <w:b/>
                <w:bCs/>
                <w:color w:val="000000"/>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679D6" w:rsidRDefault="004679D6">
            <w:pPr>
              <w:rPr>
                <w:rFonts w:ascii="SWISS" w:hAnsi="SWISS" w:cs="Arial"/>
                <w:color w:val="000000"/>
                <w:sz w:val="20"/>
                <w:szCs w:val="20"/>
              </w:rPr>
            </w:pPr>
          </w:p>
        </w:tc>
        <w:tc>
          <w:tcPr>
            <w:tcW w:w="1124" w:type="dxa"/>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PER</w:t>
            </w:r>
          </w:p>
        </w:tc>
        <w:tc>
          <w:tcPr>
            <w:tcW w:w="1213" w:type="dxa"/>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ADJUST-</w:t>
            </w:r>
          </w:p>
        </w:tc>
        <w:tc>
          <w:tcPr>
            <w:tcW w:w="1755" w:type="dxa"/>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RECONCILE</w:t>
            </w:r>
          </w:p>
        </w:tc>
        <w:tc>
          <w:tcPr>
            <w:tcW w:w="1256" w:type="dxa"/>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ADJUST-</w:t>
            </w:r>
          </w:p>
        </w:tc>
        <w:tc>
          <w:tcPr>
            <w:tcW w:w="1283" w:type="dxa"/>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PER</w:t>
            </w:r>
          </w:p>
        </w:tc>
        <w:tc>
          <w:tcPr>
            <w:tcW w:w="1255" w:type="dxa"/>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OF</w:t>
            </w:r>
          </w:p>
        </w:tc>
        <w:tc>
          <w:tcPr>
            <w:tcW w:w="1183" w:type="dxa"/>
            <w:noWrap/>
            <w:vAlign w:val="bottom"/>
          </w:tcPr>
          <w:p w:rsidR="004679D6" w:rsidRDefault="004679D6">
            <w:pPr>
              <w:rPr>
                <w:rFonts w:ascii="SWISS" w:hAnsi="SWISS" w:cs="Arial"/>
                <w:b/>
                <w:bCs/>
                <w:color w:val="000000"/>
                <w:sz w:val="20"/>
                <w:szCs w:val="20"/>
              </w:rPr>
            </w:pPr>
          </w:p>
        </w:tc>
        <w:tc>
          <w:tcPr>
            <w:tcW w:w="1460" w:type="dxa"/>
            <w:tcBorders>
              <w:top w:val="nil"/>
              <w:left w:val="nil"/>
              <w:bottom w:val="nil"/>
              <w:right w:val="single" w:sz="8" w:space="0" w:color="auto"/>
            </w:tcBorders>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WEIGHTED</w:t>
            </w:r>
          </w:p>
        </w:tc>
      </w:tr>
      <w:tr w:rsidR="004679D6" w:rsidTr="004679D6">
        <w:trPr>
          <w:trHeight w:val="303"/>
        </w:trPr>
        <w:tc>
          <w:tcPr>
            <w:tcW w:w="483" w:type="dxa"/>
            <w:tcBorders>
              <w:top w:val="nil"/>
              <w:left w:val="single" w:sz="8" w:space="0" w:color="auto"/>
              <w:bottom w:val="single" w:sz="8" w:space="0" w:color="auto"/>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2855" w:type="dxa"/>
            <w:tcBorders>
              <w:top w:val="nil"/>
              <w:left w:val="nil"/>
              <w:bottom w:val="single" w:sz="8" w:space="0" w:color="auto"/>
              <w:right w:val="nil"/>
            </w:tcBorders>
            <w:noWrap/>
            <w:vAlign w:val="bottom"/>
            <w:hideMark/>
          </w:tcPr>
          <w:p w:rsidR="004679D6" w:rsidRDefault="004679D6">
            <w:pPr>
              <w:rPr>
                <w:rFonts w:ascii="SWISS" w:hAnsi="SWISS" w:cs="Arial"/>
                <w:b/>
                <w:bCs/>
                <w:color w:val="000000"/>
                <w:sz w:val="20"/>
                <w:szCs w:val="20"/>
              </w:rPr>
            </w:pPr>
            <w:r>
              <w:rPr>
                <w:rFonts w:ascii="SWISS" w:hAnsi="SWISS" w:cs="Arial"/>
                <w:b/>
                <w:bCs/>
                <w:color w:val="000000"/>
                <w:sz w:val="20"/>
                <w:szCs w:val="20"/>
              </w:rPr>
              <w:t>CAPITAL COMPONENT</w:t>
            </w:r>
          </w:p>
        </w:tc>
        <w:tc>
          <w:tcPr>
            <w:tcW w:w="1124" w:type="dxa"/>
            <w:tcBorders>
              <w:top w:val="nil"/>
              <w:left w:val="nil"/>
              <w:bottom w:val="single" w:sz="8" w:space="0" w:color="auto"/>
              <w:right w:val="nil"/>
            </w:tcBorders>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UTILITY</w:t>
            </w:r>
          </w:p>
        </w:tc>
        <w:tc>
          <w:tcPr>
            <w:tcW w:w="1213" w:type="dxa"/>
            <w:tcBorders>
              <w:top w:val="nil"/>
              <w:left w:val="nil"/>
              <w:bottom w:val="single" w:sz="8" w:space="0" w:color="auto"/>
              <w:right w:val="nil"/>
            </w:tcBorders>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MENTS</w:t>
            </w:r>
          </w:p>
        </w:tc>
        <w:tc>
          <w:tcPr>
            <w:tcW w:w="1755" w:type="dxa"/>
            <w:tcBorders>
              <w:top w:val="nil"/>
              <w:left w:val="nil"/>
              <w:bottom w:val="single" w:sz="8" w:space="0" w:color="auto"/>
              <w:right w:val="nil"/>
            </w:tcBorders>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TO RATE BASE</w:t>
            </w:r>
          </w:p>
        </w:tc>
        <w:tc>
          <w:tcPr>
            <w:tcW w:w="1256" w:type="dxa"/>
            <w:tcBorders>
              <w:top w:val="nil"/>
              <w:left w:val="nil"/>
              <w:bottom w:val="single" w:sz="8" w:space="0" w:color="auto"/>
              <w:right w:val="nil"/>
            </w:tcBorders>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MENTS</w:t>
            </w:r>
          </w:p>
        </w:tc>
        <w:tc>
          <w:tcPr>
            <w:tcW w:w="1283" w:type="dxa"/>
            <w:tcBorders>
              <w:top w:val="nil"/>
              <w:left w:val="nil"/>
              <w:bottom w:val="single" w:sz="8" w:space="0" w:color="auto"/>
              <w:right w:val="nil"/>
            </w:tcBorders>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STAFF</w:t>
            </w:r>
          </w:p>
        </w:tc>
        <w:tc>
          <w:tcPr>
            <w:tcW w:w="1255" w:type="dxa"/>
            <w:tcBorders>
              <w:top w:val="nil"/>
              <w:left w:val="nil"/>
              <w:bottom w:val="single" w:sz="8" w:space="0" w:color="auto"/>
              <w:right w:val="nil"/>
            </w:tcBorders>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TOTAL</w:t>
            </w:r>
          </w:p>
        </w:tc>
        <w:tc>
          <w:tcPr>
            <w:tcW w:w="1183" w:type="dxa"/>
            <w:tcBorders>
              <w:top w:val="nil"/>
              <w:left w:val="nil"/>
              <w:bottom w:val="single" w:sz="8" w:space="0" w:color="auto"/>
              <w:right w:val="nil"/>
            </w:tcBorders>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COST</w:t>
            </w:r>
          </w:p>
        </w:tc>
        <w:tc>
          <w:tcPr>
            <w:tcW w:w="1460" w:type="dxa"/>
            <w:tcBorders>
              <w:top w:val="nil"/>
              <w:left w:val="nil"/>
              <w:bottom w:val="single" w:sz="8" w:space="0" w:color="auto"/>
              <w:right w:val="single" w:sz="8" w:space="0" w:color="auto"/>
            </w:tcBorders>
            <w:noWrap/>
            <w:vAlign w:val="bottom"/>
            <w:hideMark/>
          </w:tcPr>
          <w:p w:rsidR="004679D6" w:rsidRDefault="004679D6">
            <w:pPr>
              <w:jc w:val="center"/>
              <w:rPr>
                <w:rFonts w:ascii="SWISS" w:hAnsi="SWISS" w:cs="Arial"/>
                <w:b/>
                <w:bCs/>
                <w:color w:val="000000"/>
                <w:sz w:val="20"/>
                <w:szCs w:val="20"/>
              </w:rPr>
            </w:pPr>
            <w:r>
              <w:rPr>
                <w:rFonts w:ascii="SWISS" w:hAnsi="SWISS" w:cs="Arial"/>
                <w:b/>
                <w:bCs/>
                <w:color w:val="000000"/>
                <w:sz w:val="20"/>
                <w:szCs w:val="20"/>
              </w:rPr>
              <w:t>COST</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679D6" w:rsidRDefault="004679D6">
            <w:pPr>
              <w:rPr>
                <w:rFonts w:ascii="SWISS" w:hAnsi="SWISS" w:cs="Arial"/>
                <w:color w:val="000000"/>
                <w:sz w:val="20"/>
                <w:szCs w:val="20"/>
              </w:rPr>
            </w:pPr>
          </w:p>
        </w:tc>
        <w:tc>
          <w:tcPr>
            <w:tcW w:w="1124" w:type="dxa"/>
            <w:noWrap/>
            <w:vAlign w:val="bottom"/>
          </w:tcPr>
          <w:p w:rsidR="004679D6" w:rsidRDefault="004679D6">
            <w:pPr>
              <w:rPr>
                <w:rFonts w:ascii="SWISS" w:hAnsi="SWISS" w:cs="Arial"/>
                <w:color w:val="000000"/>
                <w:sz w:val="20"/>
                <w:szCs w:val="20"/>
              </w:rPr>
            </w:pPr>
          </w:p>
        </w:tc>
        <w:tc>
          <w:tcPr>
            <w:tcW w:w="1213" w:type="dxa"/>
            <w:noWrap/>
            <w:vAlign w:val="bottom"/>
          </w:tcPr>
          <w:p w:rsidR="004679D6" w:rsidRDefault="004679D6">
            <w:pPr>
              <w:rPr>
                <w:rFonts w:ascii="SWISS" w:hAnsi="SWISS" w:cs="Arial"/>
                <w:color w:val="000000"/>
                <w:sz w:val="20"/>
                <w:szCs w:val="20"/>
              </w:rPr>
            </w:pPr>
          </w:p>
        </w:tc>
        <w:tc>
          <w:tcPr>
            <w:tcW w:w="1755" w:type="dxa"/>
            <w:noWrap/>
            <w:vAlign w:val="bottom"/>
          </w:tcPr>
          <w:p w:rsidR="004679D6" w:rsidRDefault="004679D6">
            <w:pPr>
              <w:rPr>
                <w:rFonts w:ascii="SWISS" w:hAnsi="SWISS" w:cs="Arial"/>
                <w:color w:val="000000"/>
                <w:sz w:val="20"/>
                <w:szCs w:val="20"/>
              </w:rPr>
            </w:pPr>
          </w:p>
        </w:tc>
        <w:tc>
          <w:tcPr>
            <w:tcW w:w="1256" w:type="dxa"/>
            <w:noWrap/>
            <w:vAlign w:val="bottom"/>
          </w:tcPr>
          <w:p w:rsidR="004679D6" w:rsidRDefault="004679D6">
            <w:pPr>
              <w:rPr>
                <w:rFonts w:ascii="SWISS" w:hAnsi="SWISS" w:cs="Arial"/>
                <w:color w:val="000000"/>
                <w:sz w:val="20"/>
                <w:szCs w:val="20"/>
              </w:rPr>
            </w:pPr>
          </w:p>
        </w:tc>
        <w:tc>
          <w:tcPr>
            <w:tcW w:w="1283" w:type="dxa"/>
            <w:noWrap/>
            <w:vAlign w:val="bottom"/>
          </w:tcPr>
          <w:p w:rsidR="004679D6" w:rsidRDefault="004679D6">
            <w:pPr>
              <w:rPr>
                <w:rFonts w:ascii="SWISS" w:hAnsi="SWISS" w:cs="Arial"/>
                <w:color w:val="000000"/>
                <w:sz w:val="20"/>
                <w:szCs w:val="20"/>
              </w:rPr>
            </w:pPr>
          </w:p>
        </w:tc>
        <w:tc>
          <w:tcPr>
            <w:tcW w:w="1255" w:type="dxa"/>
            <w:noWrap/>
            <w:vAlign w:val="bottom"/>
          </w:tcPr>
          <w:p w:rsidR="004679D6" w:rsidRDefault="004679D6">
            <w:pPr>
              <w:rPr>
                <w:rFonts w:ascii="SWISS" w:hAnsi="SWISS" w:cs="Arial"/>
                <w:color w:val="000000"/>
                <w:sz w:val="20"/>
                <w:szCs w:val="20"/>
              </w:rPr>
            </w:pPr>
          </w:p>
        </w:tc>
        <w:tc>
          <w:tcPr>
            <w:tcW w:w="1183" w:type="dxa"/>
            <w:noWrap/>
            <w:vAlign w:val="bottom"/>
          </w:tcPr>
          <w:p w:rsidR="004679D6" w:rsidRDefault="004679D6">
            <w:pPr>
              <w:rPr>
                <w:rFonts w:ascii="SWISS" w:hAnsi="SWISS" w:cs="Arial"/>
                <w:color w:val="000000"/>
                <w:sz w:val="20"/>
                <w:szCs w:val="20"/>
              </w:rPr>
            </w:pP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1.</w:t>
            </w:r>
          </w:p>
        </w:tc>
        <w:tc>
          <w:tcPr>
            <w:tcW w:w="2855" w:type="dxa"/>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COMMON STOCK</w:t>
            </w:r>
          </w:p>
        </w:tc>
        <w:tc>
          <w:tcPr>
            <w:tcW w:w="1124"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56" w:type="dxa"/>
            <w:noWrap/>
            <w:vAlign w:val="bottom"/>
          </w:tcPr>
          <w:p w:rsidR="004679D6" w:rsidRDefault="004679D6">
            <w:pPr>
              <w:rPr>
                <w:rFonts w:ascii="SWISS" w:hAnsi="SWISS" w:cs="Arial"/>
                <w:sz w:val="20"/>
                <w:szCs w:val="20"/>
              </w:rPr>
            </w:pPr>
          </w:p>
        </w:tc>
        <w:tc>
          <w:tcPr>
            <w:tcW w:w="1283" w:type="dxa"/>
            <w:noWrap/>
            <w:vAlign w:val="bottom"/>
          </w:tcPr>
          <w:p w:rsidR="004679D6" w:rsidRDefault="004679D6">
            <w:pPr>
              <w:rPr>
                <w:rFonts w:ascii="SWISS" w:hAnsi="SWISS" w:cs="Arial"/>
                <w:sz w:val="20"/>
                <w:szCs w:val="20"/>
              </w:rPr>
            </w:pPr>
          </w:p>
        </w:tc>
        <w:tc>
          <w:tcPr>
            <w:tcW w:w="1255" w:type="dxa"/>
            <w:noWrap/>
            <w:vAlign w:val="bottom"/>
          </w:tcPr>
          <w:p w:rsidR="004679D6" w:rsidRDefault="004679D6">
            <w:pPr>
              <w:rPr>
                <w:rFonts w:ascii="SWISS" w:hAnsi="SWISS" w:cs="Arial"/>
                <w:sz w:val="20"/>
                <w:szCs w:val="20"/>
              </w:rPr>
            </w:pPr>
          </w:p>
        </w:tc>
        <w:tc>
          <w:tcPr>
            <w:tcW w:w="1183" w:type="dxa"/>
            <w:noWrap/>
            <w:vAlign w:val="bottom"/>
          </w:tcPr>
          <w:p w:rsidR="004679D6" w:rsidRDefault="004679D6">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sz w:val="20"/>
                <w:szCs w:val="20"/>
              </w:rPr>
            </w:pPr>
            <w:r>
              <w:rPr>
                <w:rFonts w:ascii="SWISS" w:hAnsi="SWISS" w:cs="Arial"/>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2.</w:t>
            </w:r>
          </w:p>
        </w:tc>
        <w:tc>
          <w:tcPr>
            <w:tcW w:w="2855" w:type="dxa"/>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RETAINED EARNINGS</w:t>
            </w:r>
          </w:p>
        </w:tc>
        <w:tc>
          <w:tcPr>
            <w:tcW w:w="1124"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56" w:type="dxa"/>
            <w:noWrap/>
            <w:vAlign w:val="bottom"/>
          </w:tcPr>
          <w:p w:rsidR="004679D6" w:rsidRDefault="004679D6">
            <w:pPr>
              <w:rPr>
                <w:rFonts w:ascii="SWISS" w:hAnsi="SWISS" w:cs="Arial"/>
                <w:sz w:val="20"/>
                <w:szCs w:val="20"/>
              </w:rPr>
            </w:pPr>
          </w:p>
        </w:tc>
        <w:tc>
          <w:tcPr>
            <w:tcW w:w="1283" w:type="dxa"/>
            <w:noWrap/>
            <w:vAlign w:val="bottom"/>
          </w:tcPr>
          <w:p w:rsidR="004679D6" w:rsidRDefault="004679D6">
            <w:pPr>
              <w:rPr>
                <w:rFonts w:ascii="SWISS" w:hAnsi="SWISS" w:cs="Arial"/>
                <w:sz w:val="20"/>
                <w:szCs w:val="20"/>
              </w:rPr>
            </w:pPr>
          </w:p>
        </w:tc>
        <w:tc>
          <w:tcPr>
            <w:tcW w:w="1255" w:type="dxa"/>
            <w:noWrap/>
            <w:vAlign w:val="bottom"/>
          </w:tcPr>
          <w:p w:rsidR="004679D6" w:rsidRDefault="004679D6">
            <w:pPr>
              <w:rPr>
                <w:rFonts w:ascii="SWISS" w:hAnsi="SWISS" w:cs="Arial"/>
                <w:sz w:val="20"/>
                <w:szCs w:val="20"/>
              </w:rPr>
            </w:pPr>
          </w:p>
        </w:tc>
        <w:tc>
          <w:tcPr>
            <w:tcW w:w="1183" w:type="dxa"/>
            <w:noWrap/>
            <w:vAlign w:val="bottom"/>
          </w:tcPr>
          <w:p w:rsidR="004679D6" w:rsidRDefault="004679D6">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sz w:val="20"/>
                <w:szCs w:val="20"/>
              </w:rPr>
            </w:pPr>
            <w:r>
              <w:rPr>
                <w:rFonts w:ascii="SWISS" w:hAnsi="SWISS" w:cs="Arial"/>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3.</w:t>
            </w:r>
          </w:p>
        </w:tc>
        <w:tc>
          <w:tcPr>
            <w:tcW w:w="2855" w:type="dxa"/>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PAID IN CAPITAL</w:t>
            </w:r>
          </w:p>
        </w:tc>
        <w:tc>
          <w:tcPr>
            <w:tcW w:w="1124"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56" w:type="dxa"/>
            <w:noWrap/>
            <w:vAlign w:val="bottom"/>
          </w:tcPr>
          <w:p w:rsidR="004679D6" w:rsidRDefault="004679D6">
            <w:pPr>
              <w:rPr>
                <w:rFonts w:ascii="SWISS" w:hAnsi="SWISS" w:cs="Arial"/>
                <w:sz w:val="20"/>
                <w:szCs w:val="20"/>
              </w:rPr>
            </w:pPr>
          </w:p>
        </w:tc>
        <w:tc>
          <w:tcPr>
            <w:tcW w:w="1283" w:type="dxa"/>
            <w:noWrap/>
            <w:vAlign w:val="bottom"/>
          </w:tcPr>
          <w:p w:rsidR="004679D6" w:rsidRDefault="004679D6">
            <w:pPr>
              <w:rPr>
                <w:rFonts w:ascii="SWISS" w:hAnsi="SWISS" w:cs="Arial"/>
                <w:sz w:val="20"/>
                <w:szCs w:val="20"/>
              </w:rPr>
            </w:pPr>
          </w:p>
        </w:tc>
        <w:tc>
          <w:tcPr>
            <w:tcW w:w="1255" w:type="dxa"/>
            <w:noWrap/>
            <w:vAlign w:val="bottom"/>
          </w:tcPr>
          <w:p w:rsidR="004679D6" w:rsidRDefault="004679D6">
            <w:pPr>
              <w:rPr>
                <w:rFonts w:ascii="SWISS" w:hAnsi="SWISS" w:cs="Arial"/>
                <w:sz w:val="20"/>
                <w:szCs w:val="20"/>
              </w:rPr>
            </w:pPr>
          </w:p>
        </w:tc>
        <w:tc>
          <w:tcPr>
            <w:tcW w:w="1183" w:type="dxa"/>
            <w:noWrap/>
            <w:vAlign w:val="bottom"/>
          </w:tcPr>
          <w:p w:rsidR="004679D6" w:rsidRDefault="004679D6">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sz w:val="20"/>
                <w:szCs w:val="20"/>
              </w:rPr>
            </w:pPr>
            <w:r>
              <w:rPr>
                <w:rFonts w:ascii="SWISS" w:hAnsi="SWISS" w:cs="Arial"/>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4.</w:t>
            </w:r>
          </w:p>
        </w:tc>
        <w:tc>
          <w:tcPr>
            <w:tcW w:w="2855" w:type="dxa"/>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OTHER COMMON EQUITY</w:t>
            </w:r>
          </w:p>
        </w:tc>
        <w:tc>
          <w:tcPr>
            <w:tcW w:w="1124"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49,929 </w:t>
            </w:r>
          </w:p>
        </w:tc>
        <w:tc>
          <w:tcPr>
            <w:tcW w:w="1213"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0 </w:t>
            </w:r>
          </w:p>
        </w:tc>
        <w:tc>
          <w:tcPr>
            <w:tcW w:w="1755"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49,929 </w:t>
            </w:r>
          </w:p>
        </w:tc>
        <w:tc>
          <w:tcPr>
            <w:tcW w:w="1256" w:type="dxa"/>
            <w:noWrap/>
            <w:vAlign w:val="bottom"/>
          </w:tcPr>
          <w:p w:rsidR="004679D6" w:rsidRDefault="004679D6">
            <w:pPr>
              <w:rPr>
                <w:rFonts w:ascii="SWISS" w:hAnsi="SWISS" w:cs="Arial"/>
                <w:sz w:val="20"/>
                <w:szCs w:val="20"/>
              </w:rPr>
            </w:pPr>
          </w:p>
        </w:tc>
        <w:tc>
          <w:tcPr>
            <w:tcW w:w="1283" w:type="dxa"/>
            <w:noWrap/>
            <w:vAlign w:val="bottom"/>
          </w:tcPr>
          <w:p w:rsidR="004679D6" w:rsidRDefault="004679D6">
            <w:pPr>
              <w:rPr>
                <w:rFonts w:ascii="SWISS" w:hAnsi="SWISS" w:cs="Arial"/>
                <w:sz w:val="20"/>
                <w:szCs w:val="20"/>
              </w:rPr>
            </w:pPr>
          </w:p>
        </w:tc>
        <w:tc>
          <w:tcPr>
            <w:tcW w:w="1255" w:type="dxa"/>
            <w:noWrap/>
            <w:vAlign w:val="bottom"/>
          </w:tcPr>
          <w:p w:rsidR="004679D6" w:rsidRDefault="004679D6">
            <w:pPr>
              <w:rPr>
                <w:rFonts w:ascii="SWISS" w:hAnsi="SWISS" w:cs="Arial"/>
                <w:sz w:val="20"/>
                <w:szCs w:val="20"/>
              </w:rPr>
            </w:pPr>
          </w:p>
        </w:tc>
        <w:tc>
          <w:tcPr>
            <w:tcW w:w="1183" w:type="dxa"/>
            <w:noWrap/>
            <w:vAlign w:val="bottom"/>
          </w:tcPr>
          <w:p w:rsidR="004679D6" w:rsidRDefault="004679D6">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sz w:val="20"/>
                <w:szCs w:val="20"/>
              </w:rPr>
            </w:pPr>
            <w:r>
              <w:rPr>
                <w:rFonts w:ascii="SWISS" w:hAnsi="SWISS" w:cs="Arial"/>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 </w:t>
            </w:r>
          </w:p>
        </w:tc>
        <w:tc>
          <w:tcPr>
            <w:tcW w:w="2855" w:type="dxa"/>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xml:space="preserve">  TOTAL COMMON EQUITY</w:t>
            </w:r>
          </w:p>
        </w:tc>
        <w:tc>
          <w:tcPr>
            <w:tcW w:w="1124"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$49,929 </w:t>
            </w:r>
          </w:p>
        </w:tc>
        <w:tc>
          <w:tcPr>
            <w:tcW w:w="1213"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$49,929 </w:t>
            </w:r>
          </w:p>
        </w:tc>
        <w:tc>
          <w:tcPr>
            <w:tcW w:w="1256" w:type="dxa"/>
            <w:noWrap/>
            <w:vAlign w:val="bottom"/>
            <w:hideMark/>
          </w:tcPr>
          <w:p w:rsidR="004679D6" w:rsidRDefault="004679D6">
            <w:pPr>
              <w:jc w:val="right"/>
              <w:rPr>
                <w:rFonts w:ascii="SWISS" w:hAnsi="SWISS" w:cs="Arial"/>
                <w:sz w:val="20"/>
                <w:szCs w:val="20"/>
              </w:rPr>
            </w:pPr>
            <w:r>
              <w:rPr>
                <w:rFonts w:ascii="SWISS" w:hAnsi="SWISS" w:cs="Arial"/>
                <w:sz w:val="20"/>
                <w:szCs w:val="20"/>
              </w:rPr>
              <w:t>$1,353</w:t>
            </w:r>
          </w:p>
        </w:tc>
        <w:tc>
          <w:tcPr>
            <w:tcW w:w="1283" w:type="dxa"/>
            <w:noWrap/>
            <w:vAlign w:val="bottom"/>
            <w:hideMark/>
          </w:tcPr>
          <w:p w:rsidR="004679D6" w:rsidRDefault="004679D6">
            <w:pPr>
              <w:jc w:val="right"/>
              <w:rPr>
                <w:rFonts w:ascii="SWISS" w:hAnsi="SWISS" w:cs="Arial"/>
                <w:sz w:val="20"/>
                <w:szCs w:val="20"/>
              </w:rPr>
            </w:pPr>
            <w:r>
              <w:rPr>
                <w:rFonts w:ascii="SWISS" w:hAnsi="SWISS" w:cs="Arial"/>
                <w:sz w:val="20"/>
                <w:szCs w:val="20"/>
              </w:rPr>
              <w:t>$51,282</w:t>
            </w:r>
          </w:p>
        </w:tc>
        <w:tc>
          <w:tcPr>
            <w:tcW w:w="1255" w:type="dxa"/>
            <w:noWrap/>
            <w:vAlign w:val="bottom"/>
            <w:hideMark/>
          </w:tcPr>
          <w:p w:rsidR="004679D6" w:rsidRDefault="004679D6">
            <w:pPr>
              <w:jc w:val="right"/>
              <w:rPr>
                <w:rFonts w:ascii="SWISS" w:hAnsi="SWISS" w:cs="Arial"/>
                <w:sz w:val="20"/>
                <w:szCs w:val="20"/>
              </w:rPr>
            </w:pPr>
            <w:r>
              <w:rPr>
                <w:rFonts w:ascii="SWISS" w:hAnsi="SWISS" w:cs="Arial"/>
                <w:sz w:val="20"/>
                <w:szCs w:val="20"/>
              </w:rPr>
              <w:t>100.00%</w:t>
            </w:r>
          </w:p>
        </w:tc>
        <w:tc>
          <w:tcPr>
            <w:tcW w:w="1183" w:type="dxa"/>
            <w:noWrap/>
            <w:vAlign w:val="bottom"/>
            <w:hideMark/>
          </w:tcPr>
          <w:p w:rsidR="004679D6" w:rsidRDefault="004679D6">
            <w:pPr>
              <w:jc w:val="right"/>
              <w:rPr>
                <w:rFonts w:ascii="SWISS" w:hAnsi="SWISS" w:cs="Arial"/>
                <w:sz w:val="20"/>
                <w:szCs w:val="20"/>
              </w:rPr>
            </w:pPr>
            <w:r>
              <w:rPr>
                <w:rFonts w:ascii="SWISS" w:hAnsi="SWISS" w:cs="Arial"/>
                <w:sz w:val="20"/>
                <w:szCs w:val="20"/>
              </w:rPr>
              <w:t>8.74%</w:t>
            </w:r>
          </w:p>
        </w:tc>
        <w:tc>
          <w:tcPr>
            <w:tcW w:w="1460" w:type="dxa"/>
            <w:tcBorders>
              <w:top w:val="nil"/>
              <w:left w:val="nil"/>
              <w:bottom w:val="nil"/>
              <w:right w:val="single" w:sz="8" w:space="0" w:color="auto"/>
            </w:tcBorders>
            <w:noWrap/>
            <w:vAlign w:val="bottom"/>
            <w:hideMark/>
          </w:tcPr>
          <w:p w:rsidR="004679D6" w:rsidRDefault="004679D6">
            <w:pPr>
              <w:jc w:val="right"/>
              <w:rPr>
                <w:rFonts w:ascii="SWISS" w:hAnsi="SWISS" w:cs="Arial"/>
                <w:sz w:val="20"/>
                <w:szCs w:val="20"/>
              </w:rPr>
            </w:pPr>
            <w:r>
              <w:rPr>
                <w:rFonts w:ascii="SWISS" w:hAnsi="SWISS" w:cs="Arial"/>
                <w:sz w:val="20"/>
                <w:szCs w:val="20"/>
              </w:rPr>
              <w:t>8.74%</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679D6" w:rsidRDefault="004679D6">
            <w:pPr>
              <w:rPr>
                <w:rFonts w:ascii="SWISS" w:hAnsi="SWISS" w:cs="Arial"/>
                <w:color w:val="000000"/>
                <w:sz w:val="20"/>
                <w:szCs w:val="20"/>
              </w:rPr>
            </w:pPr>
          </w:p>
        </w:tc>
        <w:tc>
          <w:tcPr>
            <w:tcW w:w="1124" w:type="dxa"/>
            <w:noWrap/>
            <w:vAlign w:val="bottom"/>
          </w:tcPr>
          <w:p w:rsidR="004679D6" w:rsidRDefault="004679D6">
            <w:pPr>
              <w:rPr>
                <w:rFonts w:ascii="SWISS" w:hAnsi="SWISS" w:cs="Arial"/>
                <w:sz w:val="20"/>
                <w:szCs w:val="20"/>
              </w:rPr>
            </w:pPr>
          </w:p>
        </w:tc>
        <w:tc>
          <w:tcPr>
            <w:tcW w:w="1213" w:type="dxa"/>
            <w:noWrap/>
            <w:vAlign w:val="bottom"/>
          </w:tcPr>
          <w:p w:rsidR="004679D6" w:rsidRDefault="004679D6">
            <w:pPr>
              <w:rPr>
                <w:rFonts w:ascii="SWISS" w:hAnsi="SWISS" w:cs="Arial"/>
                <w:sz w:val="20"/>
                <w:szCs w:val="20"/>
              </w:rPr>
            </w:pPr>
          </w:p>
        </w:tc>
        <w:tc>
          <w:tcPr>
            <w:tcW w:w="1755" w:type="dxa"/>
            <w:noWrap/>
            <w:vAlign w:val="bottom"/>
          </w:tcPr>
          <w:p w:rsidR="004679D6" w:rsidRDefault="004679D6">
            <w:pPr>
              <w:rPr>
                <w:rFonts w:ascii="SWISS" w:hAnsi="SWISS" w:cs="Arial"/>
                <w:sz w:val="20"/>
                <w:szCs w:val="20"/>
              </w:rPr>
            </w:pPr>
          </w:p>
        </w:tc>
        <w:tc>
          <w:tcPr>
            <w:tcW w:w="1256" w:type="dxa"/>
            <w:noWrap/>
            <w:vAlign w:val="bottom"/>
          </w:tcPr>
          <w:p w:rsidR="004679D6" w:rsidRDefault="004679D6">
            <w:pPr>
              <w:rPr>
                <w:rFonts w:ascii="SWISS" w:hAnsi="SWISS" w:cs="Arial"/>
                <w:sz w:val="20"/>
                <w:szCs w:val="20"/>
              </w:rPr>
            </w:pPr>
          </w:p>
        </w:tc>
        <w:tc>
          <w:tcPr>
            <w:tcW w:w="1283" w:type="dxa"/>
            <w:noWrap/>
            <w:vAlign w:val="bottom"/>
          </w:tcPr>
          <w:p w:rsidR="004679D6" w:rsidRDefault="004679D6">
            <w:pPr>
              <w:rPr>
                <w:rFonts w:ascii="SWISS" w:hAnsi="SWISS" w:cs="Arial"/>
                <w:sz w:val="20"/>
                <w:szCs w:val="20"/>
              </w:rPr>
            </w:pPr>
          </w:p>
        </w:tc>
        <w:tc>
          <w:tcPr>
            <w:tcW w:w="1255" w:type="dxa"/>
            <w:noWrap/>
            <w:vAlign w:val="bottom"/>
          </w:tcPr>
          <w:p w:rsidR="004679D6" w:rsidRDefault="004679D6">
            <w:pPr>
              <w:rPr>
                <w:rFonts w:ascii="SWISS" w:hAnsi="SWISS" w:cs="Arial"/>
                <w:sz w:val="20"/>
                <w:szCs w:val="20"/>
              </w:rPr>
            </w:pPr>
          </w:p>
        </w:tc>
        <w:tc>
          <w:tcPr>
            <w:tcW w:w="1183" w:type="dxa"/>
            <w:noWrap/>
            <w:vAlign w:val="bottom"/>
          </w:tcPr>
          <w:p w:rsidR="004679D6" w:rsidRDefault="004679D6">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sz w:val="20"/>
                <w:szCs w:val="20"/>
              </w:rPr>
            </w:pPr>
            <w:r>
              <w:rPr>
                <w:rFonts w:ascii="SWISS" w:hAnsi="SWISS" w:cs="Arial"/>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5.</w:t>
            </w:r>
          </w:p>
        </w:tc>
        <w:tc>
          <w:tcPr>
            <w:tcW w:w="2855" w:type="dxa"/>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xml:space="preserve">LONG TERM DEBT </w:t>
            </w:r>
          </w:p>
        </w:tc>
        <w:tc>
          <w:tcPr>
            <w:tcW w:w="1124"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56" w:type="dxa"/>
            <w:noWrap/>
            <w:vAlign w:val="bottom"/>
            <w:hideMark/>
          </w:tcPr>
          <w:p w:rsidR="004679D6" w:rsidRDefault="004679D6">
            <w:pPr>
              <w:jc w:val="right"/>
              <w:rPr>
                <w:rFonts w:ascii="SWISS" w:hAnsi="SWISS" w:cs="Arial"/>
                <w:sz w:val="20"/>
                <w:szCs w:val="20"/>
              </w:rPr>
            </w:pPr>
            <w:r>
              <w:rPr>
                <w:rFonts w:ascii="SWISS" w:hAnsi="SWISS" w:cs="Arial"/>
                <w:sz w:val="20"/>
                <w:szCs w:val="20"/>
              </w:rPr>
              <w:t>$0</w:t>
            </w:r>
          </w:p>
        </w:tc>
        <w:tc>
          <w:tcPr>
            <w:tcW w:w="1283"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55" w:type="dxa"/>
            <w:noWrap/>
            <w:vAlign w:val="bottom"/>
            <w:hideMark/>
          </w:tcPr>
          <w:p w:rsidR="004679D6" w:rsidRDefault="004679D6">
            <w:pPr>
              <w:jc w:val="right"/>
              <w:rPr>
                <w:rFonts w:ascii="SWISS" w:hAnsi="SWISS" w:cs="Arial"/>
                <w:sz w:val="20"/>
                <w:szCs w:val="20"/>
              </w:rPr>
            </w:pPr>
            <w:r>
              <w:rPr>
                <w:rFonts w:ascii="SWISS" w:hAnsi="SWISS" w:cs="Arial"/>
                <w:sz w:val="20"/>
                <w:szCs w:val="20"/>
              </w:rPr>
              <w:t>0.00%</w:t>
            </w:r>
          </w:p>
        </w:tc>
        <w:tc>
          <w:tcPr>
            <w:tcW w:w="1183" w:type="dxa"/>
            <w:noWrap/>
            <w:vAlign w:val="bottom"/>
            <w:hideMark/>
          </w:tcPr>
          <w:p w:rsidR="004679D6" w:rsidRDefault="004679D6">
            <w:pPr>
              <w:jc w:val="right"/>
              <w:rPr>
                <w:rFonts w:ascii="SWISS" w:hAnsi="SWISS" w:cs="Arial"/>
                <w:sz w:val="20"/>
                <w:szCs w:val="20"/>
              </w:rPr>
            </w:pPr>
            <w:r>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4679D6" w:rsidRDefault="004679D6">
            <w:pPr>
              <w:jc w:val="right"/>
              <w:rPr>
                <w:rFonts w:ascii="SWISS" w:hAnsi="SWISS" w:cs="Arial"/>
                <w:sz w:val="20"/>
                <w:szCs w:val="20"/>
              </w:rPr>
            </w:pPr>
            <w:r>
              <w:rPr>
                <w:rFonts w:ascii="SWISS" w:hAnsi="SWISS" w:cs="Arial"/>
                <w:sz w:val="20"/>
                <w:szCs w:val="20"/>
              </w:rPr>
              <w:t>0.00%</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6.</w:t>
            </w:r>
          </w:p>
        </w:tc>
        <w:tc>
          <w:tcPr>
            <w:tcW w:w="2855" w:type="dxa"/>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SHORT-TERM DEBT</w:t>
            </w:r>
          </w:p>
        </w:tc>
        <w:tc>
          <w:tcPr>
            <w:tcW w:w="1124"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56"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83"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55" w:type="dxa"/>
            <w:noWrap/>
            <w:vAlign w:val="bottom"/>
            <w:hideMark/>
          </w:tcPr>
          <w:p w:rsidR="004679D6" w:rsidRDefault="004679D6">
            <w:pPr>
              <w:jc w:val="right"/>
              <w:rPr>
                <w:rFonts w:ascii="SWISS" w:hAnsi="SWISS" w:cs="Arial"/>
                <w:sz w:val="20"/>
                <w:szCs w:val="20"/>
              </w:rPr>
            </w:pPr>
            <w:r>
              <w:rPr>
                <w:rFonts w:ascii="SWISS" w:hAnsi="SWISS" w:cs="Arial"/>
                <w:sz w:val="20"/>
                <w:szCs w:val="20"/>
              </w:rPr>
              <w:t>0.00%</w:t>
            </w:r>
          </w:p>
        </w:tc>
        <w:tc>
          <w:tcPr>
            <w:tcW w:w="1183" w:type="dxa"/>
            <w:noWrap/>
            <w:vAlign w:val="bottom"/>
            <w:hideMark/>
          </w:tcPr>
          <w:p w:rsidR="004679D6" w:rsidRDefault="004679D6">
            <w:pPr>
              <w:jc w:val="right"/>
              <w:rPr>
                <w:rFonts w:ascii="SWISS" w:hAnsi="SWISS" w:cs="Arial"/>
                <w:sz w:val="20"/>
                <w:szCs w:val="20"/>
              </w:rPr>
            </w:pPr>
            <w:r>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4679D6" w:rsidRDefault="004679D6">
            <w:pPr>
              <w:jc w:val="right"/>
              <w:rPr>
                <w:rFonts w:ascii="SWISS" w:hAnsi="SWISS" w:cs="Arial"/>
                <w:sz w:val="20"/>
                <w:szCs w:val="20"/>
              </w:rPr>
            </w:pPr>
            <w:r>
              <w:rPr>
                <w:rFonts w:ascii="SWISS" w:hAnsi="SWISS" w:cs="Arial"/>
                <w:sz w:val="20"/>
                <w:szCs w:val="20"/>
              </w:rPr>
              <w:t>0.00%</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7.</w:t>
            </w:r>
          </w:p>
        </w:tc>
        <w:tc>
          <w:tcPr>
            <w:tcW w:w="2855" w:type="dxa"/>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PREFERRED STOCK</w:t>
            </w:r>
          </w:p>
        </w:tc>
        <w:tc>
          <w:tcPr>
            <w:tcW w:w="1124"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0 </w:t>
            </w:r>
          </w:p>
        </w:tc>
        <w:tc>
          <w:tcPr>
            <w:tcW w:w="1213"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0 </w:t>
            </w:r>
          </w:p>
        </w:tc>
        <w:tc>
          <w:tcPr>
            <w:tcW w:w="1755"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0 </w:t>
            </w:r>
          </w:p>
        </w:tc>
        <w:tc>
          <w:tcPr>
            <w:tcW w:w="1256"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0 </w:t>
            </w:r>
          </w:p>
        </w:tc>
        <w:tc>
          <w:tcPr>
            <w:tcW w:w="1283"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0 </w:t>
            </w:r>
          </w:p>
        </w:tc>
        <w:tc>
          <w:tcPr>
            <w:tcW w:w="1255"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0.00%</w:t>
            </w:r>
          </w:p>
        </w:tc>
        <w:tc>
          <w:tcPr>
            <w:tcW w:w="1183" w:type="dxa"/>
            <w:noWrap/>
            <w:vAlign w:val="bottom"/>
            <w:hideMark/>
          </w:tcPr>
          <w:p w:rsidR="004679D6" w:rsidRDefault="004679D6">
            <w:pPr>
              <w:jc w:val="right"/>
              <w:rPr>
                <w:rFonts w:ascii="SWISS" w:hAnsi="SWISS" w:cs="Arial"/>
                <w:sz w:val="20"/>
                <w:szCs w:val="20"/>
              </w:rPr>
            </w:pPr>
            <w:r>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4679D6" w:rsidRDefault="004679D6">
            <w:pPr>
              <w:jc w:val="right"/>
              <w:rPr>
                <w:rFonts w:ascii="SWISS" w:hAnsi="SWISS" w:cs="Arial"/>
                <w:sz w:val="20"/>
                <w:szCs w:val="20"/>
              </w:rPr>
            </w:pPr>
            <w:r>
              <w:rPr>
                <w:rFonts w:ascii="SWISS" w:hAnsi="SWISS" w:cs="Arial"/>
                <w:sz w:val="20"/>
                <w:szCs w:val="20"/>
              </w:rPr>
              <w:t>0.00%</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 </w:t>
            </w:r>
          </w:p>
        </w:tc>
        <w:tc>
          <w:tcPr>
            <w:tcW w:w="2855" w:type="dxa"/>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TOTAL DEBT</w:t>
            </w:r>
          </w:p>
        </w:tc>
        <w:tc>
          <w:tcPr>
            <w:tcW w:w="1124"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56" w:type="dxa"/>
            <w:noWrap/>
            <w:vAlign w:val="bottom"/>
            <w:hideMark/>
          </w:tcPr>
          <w:p w:rsidR="004679D6" w:rsidRDefault="004679D6">
            <w:pPr>
              <w:jc w:val="right"/>
              <w:rPr>
                <w:rFonts w:ascii="SWISS" w:hAnsi="SWISS" w:cs="Arial"/>
                <w:sz w:val="20"/>
                <w:szCs w:val="20"/>
              </w:rPr>
            </w:pPr>
            <w:r>
              <w:rPr>
                <w:rFonts w:ascii="SWISS" w:hAnsi="SWISS" w:cs="Arial"/>
                <w:sz w:val="20"/>
                <w:szCs w:val="20"/>
              </w:rPr>
              <w:t>$0</w:t>
            </w:r>
          </w:p>
        </w:tc>
        <w:tc>
          <w:tcPr>
            <w:tcW w:w="1283" w:type="dxa"/>
            <w:noWrap/>
            <w:vAlign w:val="bottom"/>
            <w:hideMark/>
          </w:tcPr>
          <w:p w:rsidR="004679D6" w:rsidRDefault="004679D6">
            <w:pPr>
              <w:jc w:val="right"/>
              <w:rPr>
                <w:rFonts w:ascii="SWISS" w:hAnsi="SWISS" w:cs="Arial"/>
                <w:sz w:val="20"/>
                <w:szCs w:val="20"/>
              </w:rPr>
            </w:pPr>
            <w:r>
              <w:rPr>
                <w:rFonts w:ascii="SWISS" w:hAnsi="SWISS" w:cs="Arial"/>
                <w:sz w:val="20"/>
                <w:szCs w:val="20"/>
              </w:rPr>
              <w:t xml:space="preserve">$0 </w:t>
            </w:r>
          </w:p>
        </w:tc>
        <w:tc>
          <w:tcPr>
            <w:tcW w:w="1255" w:type="dxa"/>
            <w:noWrap/>
            <w:vAlign w:val="bottom"/>
            <w:hideMark/>
          </w:tcPr>
          <w:p w:rsidR="004679D6" w:rsidRDefault="004679D6">
            <w:pPr>
              <w:jc w:val="right"/>
              <w:rPr>
                <w:rFonts w:ascii="SWISS" w:hAnsi="SWISS" w:cs="Arial"/>
                <w:sz w:val="20"/>
                <w:szCs w:val="20"/>
              </w:rPr>
            </w:pPr>
            <w:r>
              <w:rPr>
                <w:rFonts w:ascii="SWISS" w:hAnsi="SWISS" w:cs="Arial"/>
                <w:sz w:val="20"/>
                <w:szCs w:val="20"/>
              </w:rPr>
              <w:t>0.00%</w:t>
            </w:r>
          </w:p>
        </w:tc>
        <w:tc>
          <w:tcPr>
            <w:tcW w:w="1183" w:type="dxa"/>
            <w:noWrap/>
            <w:vAlign w:val="bottom"/>
          </w:tcPr>
          <w:p w:rsidR="004679D6" w:rsidRDefault="004679D6">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sz w:val="20"/>
                <w:szCs w:val="20"/>
              </w:rPr>
            </w:pPr>
            <w:r>
              <w:rPr>
                <w:rFonts w:ascii="SWISS" w:hAnsi="SWISS" w:cs="Arial"/>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679D6" w:rsidRDefault="004679D6">
            <w:pPr>
              <w:rPr>
                <w:rFonts w:ascii="SWISS" w:hAnsi="SWISS" w:cs="Arial"/>
                <w:color w:val="000000"/>
              </w:rPr>
            </w:pPr>
          </w:p>
        </w:tc>
        <w:tc>
          <w:tcPr>
            <w:tcW w:w="1124" w:type="dxa"/>
            <w:noWrap/>
            <w:vAlign w:val="bottom"/>
          </w:tcPr>
          <w:p w:rsidR="004679D6" w:rsidRDefault="004679D6">
            <w:pPr>
              <w:rPr>
                <w:rFonts w:ascii="SWISS" w:hAnsi="SWISS" w:cs="Arial"/>
                <w:sz w:val="20"/>
                <w:szCs w:val="20"/>
              </w:rPr>
            </w:pPr>
          </w:p>
        </w:tc>
        <w:tc>
          <w:tcPr>
            <w:tcW w:w="1213" w:type="dxa"/>
            <w:noWrap/>
            <w:vAlign w:val="bottom"/>
          </w:tcPr>
          <w:p w:rsidR="004679D6" w:rsidRDefault="004679D6">
            <w:pPr>
              <w:rPr>
                <w:rFonts w:ascii="SWISS" w:hAnsi="SWISS" w:cs="Arial"/>
                <w:sz w:val="20"/>
                <w:szCs w:val="20"/>
              </w:rPr>
            </w:pPr>
          </w:p>
        </w:tc>
        <w:tc>
          <w:tcPr>
            <w:tcW w:w="1755" w:type="dxa"/>
            <w:noWrap/>
            <w:vAlign w:val="bottom"/>
          </w:tcPr>
          <w:p w:rsidR="004679D6" w:rsidRDefault="004679D6">
            <w:pPr>
              <w:rPr>
                <w:rFonts w:ascii="SWISS" w:hAnsi="SWISS" w:cs="Arial"/>
                <w:sz w:val="20"/>
                <w:szCs w:val="20"/>
              </w:rPr>
            </w:pPr>
          </w:p>
        </w:tc>
        <w:tc>
          <w:tcPr>
            <w:tcW w:w="1256" w:type="dxa"/>
            <w:noWrap/>
            <w:vAlign w:val="bottom"/>
          </w:tcPr>
          <w:p w:rsidR="004679D6" w:rsidRDefault="004679D6">
            <w:pPr>
              <w:rPr>
                <w:rFonts w:ascii="SWISS" w:hAnsi="SWISS" w:cs="Arial"/>
                <w:sz w:val="20"/>
                <w:szCs w:val="20"/>
              </w:rPr>
            </w:pPr>
          </w:p>
        </w:tc>
        <w:tc>
          <w:tcPr>
            <w:tcW w:w="1283" w:type="dxa"/>
            <w:noWrap/>
            <w:vAlign w:val="bottom"/>
          </w:tcPr>
          <w:p w:rsidR="004679D6" w:rsidRDefault="004679D6">
            <w:pPr>
              <w:rPr>
                <w:rFonts w:ascii="SWISS" w:hAnsi="SWISS" w:cs="Arial"/>
                <w:sz w:val="20"/>
                <w:szCs w:val="20"/>
              </w:rPr>
            </w:pPr>
          </w:p>
        </w:tc>
        <w:tc>
          <w:tcPr>
            <w:tcW w:w="1255" w:type="dxa"/>
            <w:noWrap/>
            <w:vAlign w:val="bottom"/>
          </w:tcPr>
          <w:p w:rsidR="004679D6" w:rsidRDefault="004679D6">
            <w:pPr>
              <w:rPr>
                <w:rFonts w:ascii="SWISS" w:hAnsi="SWISS" w:cs="Arial"/>
                <w:sz w:val="20"/>
                <w:szCs w:val="20"/>
              </w:rPr>
            </w:pPr>
          </w:p>
        </w:tc>
        <w:tc>
          <w:tcPr>
            <w:tcW w:w="1183" w:type="dxa"/>
            <w:noWrap/>
            <w:vAlign w:val="bottom"/>
          </w:tcPr>
          <w:p w:rsidR="004679D6" w:rsidRDefault="004679D6">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sz w:val="20"/>
                <w:szCs w:val="20"/>
              </w:rPr>
            </w:pPr>
            <w:r>
              <w:rPr>
                <w:rFonts w:ascii="SWISS" w:hAnsi="SWISS" w:cs="Arial"/>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8.</w:t>
            </w:r>
          </w:p>
        </w:tc>
        <w:tc>
          <w:tcPr>
            <w:tcW w:w="2855" w:type="dxa"/>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CUSTOMER DEPOSITS</w:t>
            </w:r>
          </w:p>
        </w:tc>
        <w:tc>
          <w:tcPr>
            <w:tcW w:w="1124"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$0 </w:t>
            </w:r>
          </w:p>
        </w:tc>
        <w:tc>
          <w:tcPr>
            <w:tcW w:w="1213"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$0 </w:t>
            </w:r>
          </w:p>
        </w:tc>
        <w:tc>
          <w:tcPr>
            <w:tcW w:w="1755"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$0 </w:t>
            </w:r>
          </w:p>
        </w:tc>
        <w:tc>
          <w:tcPr>
            <w:tcW w:w="1256"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$0 </w:t>
            </w:r>
          </w:p>
        </w:tc>
        <w:tc>
          <w:tcPr>
            <w:tcW w:w="1283"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 xml:space="preserve">$0 </w:t>
            </w:r>
          </w:p>
        </w:tc>
        <w:tc>
          <w:tcPr>
            <w:tcW w:w="1255" w:type="dxa"/>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0.00%</w:t>
            </w:r>
          </w:p>
        </w:tc>
        <w:tc>
          <w:tcPr>
            <w:tcW w:w="1183" w:type="dxa"/>
            <w:noWrap/>
            <w:vAlign w:val="bottom"/>
            <w:hideMark/>
          </w:tcPr>
          <w:p w:rsidR="004679D6" w:rsidRDefault="004679D6">
            <w:pPr>
              <w:jc w:val="right"/>
              <w:rPr>
                <w:rFonts w:ascii="SWISS" w:hAnsi="SWISS" w:cs="Arial"/>
                <w:sz w:val="20"/>
                <w:szCs w:val="20"/>
              </w:rPr>
            </w:pPr>
            <w:r>
              <w:rPr>
                <w:rFonts w:ascii="SWISS" w:hAnsi="SWISS" w:cs="Arial"/>
                <w:sz w:val="20"/>
                <w:szCs w:val="20"/>
              </w:rPr>
              <w:t>2.00%</w:t>
            </w:r>
          </w:p>
        </w:tc>
        <w:tc>
          <w:tcPr>
            <w:tcW w:w="1460" w:type="dxa"/>
            <w:tcBorders>
              <w:top w:val="nil"/>
              <w:left w:val="nil"/>
              <w:bottom w:val="nil"/>
              <w:right w:val="single" w:sz="8" w:space="0" w:color="auto"/>
            </w:tcBorders>
            <w:noWrap/>
            <w:vAlign w:val="bottom"/>
            <w:hideMark/>
          </w:tcPr>
          <w:p w:rsidR="004679D6" w:rsidRDefault="004679D6">
            <w:pPr>
              <w:jc w:val="right"/>
              <w:rPr>
                <w:rFonts w:ascii="SWISS" w:hAnsi="SWISS" w:cs="Arial"/>
                <w:sz w:val="20"/>
                <w:szCs w:val="20"/>
                <w:u w:val="single"/>
              </w:rPr>
            </w:pPr>
            <w:r>
              <w:rPr>
                <w:rFonts w:ascii="SWISS" w:hAnsi="SWISS" w:cs="Arial"/>
                <w:sz w:val="20"/>
                <w:szCs w:val="20"/>
                <w:u w:val="single"/>
              </w:rPr>
              <w:t>0.00%</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679D6" w:rsidRDefault="004679D6">
            <w:pPr>
              <w:rPr>
                <w:rFonts w:ascii="SWISS" w:hAnsi="SWISS" w:cs="Arial"/>
                <w:color w:val="000000"/>
                <w:sz w:val="20"/>
                <w:szCs w:val="20"/>
              </w:rPr>
            </w:pPr>
          </w:p>
        </w:tc>
        <w:tc>
          <w:tcPr>
            <w:tcW w:w="1124" w:type="dxa"/>
            <w:noWrap/>
            <w:vAlign w:val="bottom"/>
          </w:tcPr>
          <w:p w:rsidR="004679D6" w:rsidRDefault="004679D6">
            <w:pPr>
              <w:rPr>
                <w:rFonts w:ascii="SWISS" w:hAnsi="SWISS" w:cs="Arial"/>
                <w:sz w:val="20"/>
                <w:szCs w:val="20"/>
              </w:rPr>
            </w:pPr>
          </w:p>
        </w:tc>
        <w:tc>
          <w:tcPr>
            <w:tcW w:w="1213" w:type="dxa"/>
            <w:noWrap/>
            <w:vAlign w:val="bottom"/>
          </w:tcPr>
          <w:p w:rsidR="004679D6" w:rsidRDefault="004679D6">
            <w:pPr>
              <w:rPr>
                <w:rFonts w:ascii="SWISS" w:hAnsi="SWISS" w:cs="Arial"/>
                <w:sz w:val="20"/>
                <w:szCs w:val="20"/>
              </w:rPr>
            </w:pPr>
          </w:p>
        </w:tc>
        <w:tc>
          <w:tcPr>
            <w:tcW w:w="1755" w:type="dxa"/>
            <w:noWrap/>
            <w:vAlign w:val="bottom"/>
          </w:tcPr>
          <w:p w:rsidR="004679D6" w:rsidRDefault="004679D6">
            <w:pPr>
              <w:rPr>
                <w:rFonts w:ascii="SWISS" w:hAnsi="SWISS" w:cs="Arial"/>
                <w:sz w:val="20"/>
                <w:szCs w:val="20"/>
              </w:rPr>
            </w:pPr>
          </w:p>
        </w:tc>
        <w:tc>
          <w:tcPr>
            <w:tcW w:w="1256" w:type="dxa"/>
            <w:noWrap/>
            <w:vAlign w:val="bottom"/>
          </w:tcPr>
          <w:p w:rsidR="004679D6" w:rsidRDefault="004679D6">
            <w:pPr>
              <w:rPr>
                <w:rFonts w:ascii="SWISS" w:hAnsi="SWISS" w:cs="Arial"/>
                <w:sz w:val="20"/>
                <w:szCs w:val="20"/>
              </w:rPr>
            </w:pPr>
          </w:p>
        </w:tc>
        <w:tc>
          <w:tcPr>
            <w:tcW w:w="1283" w:type="dxa"/>
            <w:noWrap/>
            <w:vAlign w:val="bottom"/>
          </w:tcPr>
          <w:p w:rsidR="004679D6" w:rsidRDefault="004679D6">
            <w:pPr>
              <w:rPr>
                <w:rFonts w:ascii="SWISS" w:hAnsi="SWISS" w:cs="Arial"/>
                <w:sz w:val="20"/>
                <w:szCs w:val="20"/>
              </w:rPr>
            </w:pPr>
          </w:p>
        </w:tc>
        <w:tc>
          <w:tcPr>
            <w:tcW w:w="1255" w:type="dxa"/>
            <w:noWrap/>
            <w:vAlign w:val="bottom"/>
          </w:tcPr>
          <w:p w:rsidR="004679D6" w:rsidRDefault="004679D6">
            <w:pPr>
              <w:rPr>
                <w:rFonts w:ascii="SWISS" w:hAnsi="SWISS" w:cs="Arial"/>
                <w:sz w:val="20"/>
                <w:szCs w:val="20"/>
              </w:rPr>
            </w:pPr>
          </w:p>
        </w:tc>
        <w:tc>
          <w:tcPr>
            <w:tcW w:w="1183" w:type="dxa"/>
            <w:noWrap/>
            <w:vAlign w:val="bottom"/>
          </w:tcPr>
          <w:p w:rsidR="004679D6" w:rsidRDefault="004679D6">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sz w:val="20"/>
                <w:szCs w:val="20"/>
              </w:rPr>
            </w:pPr>
            <w:r>
              <w:rPr>
                <w:rFonts w:ascii="SWISS" w:hAnsi="SWISS" w:cs="Arial"/>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jc w:val="right"/>
              <w:rPr>
                <w:rFonts w:ascii="SWISS" w:hAnsi="SWISS" w:cs="Arial"/>
                <w:color w:val="000000"/>
                <w:sz w:val="20"/>
                <w:szCs w:val="20"/>
              </w:rPr>
            </w:pPr>
            <w:r>
              <w:rPr>
                <w:rFonts w:ascii="SWISS" w:hAnsi="SWISS" w:cs="Arial"/>
                <w:color w:val="000000"/>
                <w:sz w:val="20"/>
                <w:szCs w:val="20"/>
              </w:rPr>
              <w:t>9.</w:t>
            </w:r>
          </w:p>
        </w:tc>
        <w:tc>
          <w:tcPr>
            <w:tcW w:w="2855" w:type="dxa"/>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TOTAL</w:t>
            </w:r>
          </w:p>
        </w:tc>
        <w:tc>
          <w:tcPr>
            <w:tcW w:w="1124" w:type="dxa"/>
            <w:noWrap/>
            <w:vAlign w:val="bottom"/>
            <w:hideMark/>
          </w:tcPr>
          <w:p w:rsidR="004679D6" w:rsidRDefault="004679D6">
            <w:pPr>
              <w:jc w:val="right"/>
              <w:rPr>
                <w:rFonts w:ascii="SWISS" w:hAnsi="SWISS" w:cs="Arial"/>
                <w:sz w:val="20"/>
                <w:szCs w:val="20"/>
                <w:u w:val="double"/>
              </w:rPr>
            </w:pPr>
            <w:r>
              <w:rPr>
                <w:rFonts w:ascii="SWISS" w:hAnsi="SWISS" w:cs="Arial"/>
                <w:sz w:val="20"/>
                <w:szCs w:val="20"/>
                <w:u w:val="double"/>
              </w:rPr>
              <w:t xml:space="preserve">$49,929 </w:t>
            </w:r>
          </w:p>
        </w:tc>
        <w:tc>
          <w:tcPr>
            <w:tcW w:w="1213" w:type="dxa"/>
            <w:noWrap/>
            <w:vAlign w:val="bottom"/>
            <w:hideMark/>
          </w:tcPr>
          <w:p w:rsidR="004679D6" w:rsidRDefault="004679D6">
            <w:pPr>
              <w:jc w:val="right"/>
              <w:rPr>
                <w:rFonts w:ascii="SWISS" w:hAnsi="SWISS" w:cs="Arial"/>
                <w:sz w:val="20"/>
                <w:szCs w:val="20"/>
                <w:u w:val="double"/>
              </w:rPr>
            </w:pPr>
            <w:r>
              <w:rPr>
                <w:rFonts w:ascii="SWISS" w:hAnsi="SWISS" w:cs="Arial"/>
                <w:sz w:val="20"/>
                <w:szCs w:val="20"/>
                <w:u w:val="double"/>
              </w:rPr>
              <w:t xml:space="preserve">$0 </w:t>
            </w:r>
          </w:p>
        </w:tc>
        <w:tc>
          <w:tcPr>
            <w:tcW w:w="1755" w:type="dxa"/>
            <w:noWrap/>
            <w:vAlign w:val="bottom"/>
            <w:hideMark/>
          </w:tcPr>
          <w:p w:rsidR="004679D6" w:rsidRDefault="004679D6">
            <w:pPr>
              <w:jc w:val="right"/>
              <w:rPr>
                <w:rFonts w:ascii="SWISS" w:hAnsi="SWISS" w:cs="Arial"/>
                <w:sz w:val="20"/>
                <w:szCs w:val="20"/>
                <w:u w:val="double"/>
              </w:rPr>
            </w:pPr>
            <w:r>
              <w:rPr>
                <w:rFonts w:ascii="SWISS" w:hAnsi="SWISS" w:cs="Arial"/>
                <w:sz w:val="20"/>
                <w:szCs w:val="20"/>
                <w:u w:val="double"/>
              </w:rPr>
              <w:t xml:space="preserve">$49,929 </w:t>
            </w:r>
          </w:p>
        </w:tc>
        <w:tc>
          <w:tcPr>
            <w:tcW w:w="1256" w:type="dxa"/>
            <w:noWrap/>
            <w:vAlign w:val="bottom"/>
            <w:hideMark/>
          </w:tcPr>
          <w:p w:rsidR="004679D6" w:rsidRDefault="004679D6">
            <w:pPr>
              <w:jc w:val="right"/>
              <w:rPr>
                <w:rFonts w:ascii="SWISS" w:hAnsi="SWISS" w:cs="Arial"/>
                <w:sz w:val="20"/>
                <w:szCs w:val="20"/>
                <w:u w:val="double"/>
              </w:rPr>
            </w:pPr>
            <w:r>
              <w:rPr>
                <w:rFonts w:ascii="SWISS" w:hAnsi="SWISS" w:cs="Arial"/>
                <w:sz w:val="20"/>
                <w:szCs w:val="20"/>
                <w:u w:val="double"/>
              </w:rPr>
              <w:t>$1,353</w:t>
            </w:r>
          </w:p>
        </w:tc>
        <w:tc>
          <w:tcPr>
            <w:tcW w:w="1283" w:type="dxa"/>
            <w:noWrap/>
            <w:vAlign w:val="bottom"/>
            <w:hideMark/>
          </w:tcPr>
          <w:p w:rsidR="004679D6" w:rsidRDefault="004679D6">
            <w:pPr>
              <w:jc w:val="right"/>
              <w:rPr>
                <w:rFonts w:ascii="SWISS" w:hAnsi="SWISS" w:cs="Arial"/>
                <w:sz w:val="20"/>
                <w:szCs w:val="20"/>
                <w:u w:val="double"/>
              </w:rPr>
            </w:pPr>
            <w:r>
              <w:rPr>
                <w:rFonts w:ascii="SWISS" w:hAnsi="SWISS" w:cs="Arial"/>
                <w:sz w:val="20"/>
                <w:szCs w:val="20"/>
                <w:u w:val="double"/>
              </w:rPr>
              <w:t xml:space="preserve">$51,282 </w:t>
            </w:r>
          </w:p>
        </w:tc>
        <w:tc>
          <w:tcPr>
            <w:tcW w:w="1255" w:type="dxa"/>
            <w:noWrap/>
            <w:vAlign w:val="bottom"/>
            <w:hideMark/>
          </w:tcPr>
          <w:p w:rsidR="004679D6" w:rsidRDefault="004679D6">
            <w:pPr>
              <w:jc w:val="right"/>
              <w:rPr>
                <w:rFonts w:ascii="SWISS" w:hAnsi="SWISS" w:cs="Arial"/>
                <w:sz w:val="20"/>
                <w:szCs w:val="20"/>
                <w:u w:val="double"/>
              </w:rPr>
            </w:pPr>
            <w:r>
              <w:rPr>
                <w:rFonts w:ascii="SWISS" w:hAnsi="SWISS" w:cs="Arial"/>
                <w:sz w:val="20"/>
                <w:szCs w:val="20"/>
                <w:u w:val="double"/>
              </w:rPr>
              <w:t>100.00%</w:t>
            </w:r>
          </w:p>
        </w:tc>
        <w:tc>
          <w:tcPr>
            <w:tcW w:w="1183" w:type="dxa"/>
            <w:noWrap/>
            <w:vAlign w:val="bottom"/>
          </w:tcPr>
          <w:p w:rsidR="004679D6" w:rsidRDefault="004679D6">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679D6" w:rsidRDefault="004679D6">
            <w:pPr>
              <w:jc w:val="right"/>
              <w:rPr>
                <w:rFonts w:ascii="SWISS" w:hAnsi="SWISS" w:cs="Arial"/>
                <w:sz w:val="20"/>
                <w:szCs w:val="20"/>
                <w:u w:val="double"/>
              </w:rPr>
            </w:pPr>
            <w:r>
              <w:rPr>
                <w:rFonts w:ascii="SWISS" w:hAnsi="SWISS" w:cs="Arial"/>
                <w:sz w:val="20"/>
                <w:szCs w:val="20"/>
                <w:u w:val="double"/>
              </w:rPr>
              <w:t>8.74%</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679D6" w:rsidRDefault="004679D6">
            <w:pPr>
              <w:rPr>
                <w:rFonts w:ascii="SWISS" w:hAnsi="SWISS" w:cs="Arial"/>
                <w:color w:val="000000"/>
                <w:sz w:val="20"/>
                <w:szCs w:val="20"/>
              </w:rPr>
            </w:pPr>
          </w:p>
        </w:tc>
        <w:tc>
          <w:tcPr>
            <w:tcW w:w="1124" w:type="dxa"/>
            <w:noWrap/>
            <w:vAlign w:val="bottom"/>
          </w:tcPr>
          <w:p w:rsidR="004679D6" w:rsidRDefault="004679D6">
            <w:pPr>
              <w:rPr>
                <w:rFonts w:ascii="SWISS" w:hAnsi="SWISS" w:cs="Arial"/>
                <w:sz w:val="20"/>
                <w:szCs w:val="20"/>
              </w:rPr>
            </w:pPr>
          </w:p>
        </w:tc>
        <w:tc>
          <w:tcPr>
            <w:tcW w:w="1213" w:type="dxa"/>
            <w:noWrap/>
            <w:vAlign w:val="bottom"/>
          </w:tcPr>
          <w:p w:rsidR="004679D6" w:rsidRDefault="004679D6">
            <w:pPr>
              <w:rPr>
                <w:rFonts w:ascii="SWISS" w:hAnsi="SWISS" w:cs="Arial"/>
                <w:sz w:val="20"/>
                <w:szCs w:val="20"/>
              </w:rPr>
            </w:pPr>
          </w:p>
        </w:tc>
        <w:tc>
          <w:tcPr>
            <w:tcW w:w="1755" w:type="dxa"/>
            <w:noWrap/>
            <w:vAlign w:val="bottom"/>
          </w:tcPr>
          <w:p w:rsidR="004679D6" w:rsidRDefault="004679D6">
            <w:pPr>
              <w:rPr>
                <w:rFonts w:ascii="SWISS" w:hAnsi="SWISS" w:cs="Arial"/>
                <w:sz w:val="20"/>
                <w:szCs w:val="20"/>
              </w:rPr>
            </w:pPr>
          </w:p>
        </w:tc>
        <w:tc>
          <w:tcPr>
            <w:tcW w:w="1256" w:type="dxa"/>
            <w:noWrap/>
            <w:vAlign w:val="bottom"/>
          </w:tcPr>
          <w:p w:rsidR="004679D6" w:rsidRDefault="004679D6">
            <w:pPr>
              <w:rPr>
                <w:rFonts w:ascii="SWISS" w:hAnsi="SWISS" w:cs="Arial"/>
                <w:sz w:val="20"/>
                <w:szCs w:val="20"/>
              </w:rPr>
            </w:pPr>
          </w:p>
        </w:tc>
        <w:tc>
          <w:tcPr>
            <w:tcW w:w="1283" w:type="dxa"/>
            <w:noWrap/>
            <w:vAlign w:val="bottom"/>
          </w:tcPr>
          <w:p w:rsidR="004679D6" w:rsidRDefault="004679D6">
            <w:pPr>
              <w:rPr>
                <w:rFonts w:ascii="SWISS" w:hAnsi="SWISS" w:cs="Arial"/>
                <w:sz w:val="20"/>
                <w:szCs w:val="20"/>
              </w:rPr>
            </w:pPr>
          </w:p>
        </w:tc>
        <w:tc>
          <w:tcPr>
            <w:tcW w:w="1255" w:type="dxa"/>
            <w:noWrap/>
            <w:vAlign w:val="bottom"/>
          </w:tcPr>
          <w:p w:rsidR="004679D6" w:rsidRDefault="004679D6">
            <w:pPr>
              <w:rPr>
                <w:rFonts w:ascii="SWISS" w:hAnsi="SWISS" w:cs="Arial"/>
                <w:sz w:val="20"/>
                <w:szCs w:val="20"/>
              </w:rPr>
            </w:pPr>
          </w:p>
        </w:tc>
        <w:tc>
          <w:tcPr>
            <w:tcW w:w="1183" w:type="dxa"/>
            <w:noWrap/>
            <w:vAlign w:val="bottom"/>
          </w:tcPr>
          <w:p w:rsidR="004679D6" w:rsidRDefault="004679D6">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sz w:val="20"/>
                <w:szCs w:val="20"/>
              </w:rPr>
            </w:pPr>
            <w:r>
              <w:rPr>
                <w:rFonts w:ascii="SWISS" w:hAnsi="SWISS" w:cs="Arial"/>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679D6" w:rsidRDefault="004679D6">
            <w:pPr>
              <w:rPr>
                <w:rFonts w:ascii="SWISS" w:hAnsi="SWISS" w:cs="Arial"/>
                <w:color w:val="000000"/>
                <w:sz w:val="20"/>
                <w:szCs w:val="20"/>
              </w:rPr>
            </w:pPr>
          </w:p>
        </w:tc>
        <w:tc>
          <w:tcPr>
            <w:tcW w:w="1124" w:type="dxa"/>
            <w:noWrap/>
            <w:vAlign w:val="bottom"/>
          </w:tcPr>
          <w:p w:rsidR="004679D6" w:rsidRDefault="004679D6">
            <w:pPr>
              <w:rPr>
                <w:rFonts w:ascii="SWISS" w:hAnsi="SWISS" w:cs="Arial"/>
                <w:color w:val="000000"/>
                <w:sz w:val="20"/>
                <w:szCs w:val="20"/>
              </w:rPr>
            </w:pPr>
          </w:p>
        </w:tc>
        <w:tc>
          <w:tcPr>
            <w:tcW w:w="1213" w:type="dxa"/>
            <w:noWrap/>
            <w:vAlign w:val="bottom"/>
          </w:tcPr>
          <w:p w:rsidR="004679D6" w:rsidRDefault="004679D6">
            <w:pPr>
              <w:rPr>
                <w:rFonts w:ascii="SWISS" w:hAnsi="SWISS" w:cs="Arial"/>
                <w:color w:val="000000"/>
                <w:sz w:val="20"/>
                <w:szCs w:val="20"/>
              </w:rPr>
            </w:pPr>
          </w:p>
        </w:tc>
        <w:tc>
          <w:tcPr>
            <w:tcW w:w="4294" w:type="dxa"/>
            <w:gridSpan w:val="3"/>
            <w:noWrap/>
            <w:vAlign w:val="bottom"/>
            <w:hideMark/>
          </w:tcPr>
          <w:p w:rsidR="004679D6" w:rsidRDefault="004679D6">
            <w:pPr>
              <w:rPr>
                <w:rFonts w:ascii="SWISS" w:hAnsi="SWISS" w:cs="Arial"/>
                <w:b/>
                <w:bCs/>
                <w:color w:val="000000"/>
                <w:sz w:val="20"/>
                <w:szCs w:val="20"/>
              </w:rPr>
            </w:pPr>
            <w:r>
              <w:rPr>
                <w:rFonts w:ascii="SWISS" w:hAnsi="SWISS" w:cs="Arial"/>
                <w:b/>
                <w:bCs/>
                <w:color w:val="000000"/>
                <w:sz w:val="20"/>
                <w:szCs w:val="20"/>
              </w:rPr>
              <w:t>RANGE OF REASONABLENESS</w:t>
            </w:r>
          </w:p>
        </w:tc>
        <w:tc>
          <w:tcPr>
            <w:tcW w:w="1255" w:type="dxa"/>
            <w:noWrap/>
            <w:vAlign w:val="bottom"/>
            <w:hideMark/>
          </w:tcPr>
          <w:p w:rsidR="004679D6" w:rsidRDefault="004679D6">
            <w:pPr>
              <w:jc w:val="center"/>
              <w:rPr>
                <w:rFonts w:ascii="SWISS" w:hAnsi="SWISS" w:cs="Arial"/>
                <w:b/>
                <w:bCs/>
                <w:color w:val="000000"/>
                <w:sz w:val="20"/>
                <w:szCs w:val="20"/>
                <w:u w:val="single"/>
              </w:rPr>
            </w:pPr>
            <w:r>
              <w:rPr>
                <w:rFonts w:ascii="SWISS" w:hAnsi="SWISS" w:cs="Arial"/>
                <w:b/>
                <w:bCs/>
                <w:color w:val="000000"/>
                <w:sz w:val="20"/>
                <w:szCs w:val="20"/>
                <w:u w:val="single"/>
              </w:rPr>
              <w:t>LOW</w:t>
            </w:r>
          </w:p>
        </w:tc>
        <w:tc>
          <w:tcPr>
            <w:tcW w:w="1183" w:type="dxa"/>
            <w:noWrap/>
            <w:vAlign w:val="bottom"/>
            <w:hideMark/>
          </w:tcPr>
          <w:p w:rsidR="004679D6" w:rsidRDefault="004679D6">
            <w:pPr>
              <w:jc w:val="center"/>
              <w:rPr>
                <w:rFonts w:ascii="SWISS" w:hAnsi="SWISS" w:cs="Arial"/>
                <w:b/>
                <w:bCs/>
                <w:color w:val="000000"/>
                <w:sz w:val="20"/>
                <w:szCs w:val="20"/>
                <w:u w:val="single"/>
              </w:rPr>
            </w:pPr>
            <w:r>
              <w:rPr>
                <w:rFonts w:ascii="SWISS" w:hAnsi="SWISS" w:cs="Arial"/>
                <w:b/>
                <w:bCs/>
                <w:color w:val="000000"/>
                <w:sz w:val="20"/>
                <w:szCs w:val="20"/>
                <w:u w:val="single"/>
              </w:rPr>
              <w:t>HIGH</w:t>
            </w: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679D6" w:rsidRDefault="004679D6">
            <w:pPr>
              <w:rPr>
                <w:rFonts w:ascii="SWISS" w:hAnsi="SWISS" w:cs="Arial"/>
                <w:color w:val="000000"/>
                <w:sz w:val="20"/>
                <w:szCs w:val="20"/>
              </w:rPr>
            </w:pPr>
          </w:p>
        </w:tc>
        <w:tc>
          <w:tcPr>
            <w:tcW w:w="1124" w:type="dxa"/>
            <w:noWrap/>
            <w:vAlign w:val="bottom"/>
          </w:tcPr>
          <w:p w:rsidR="004679D6" w:rsidRDefault="004679D6">
            <w:pPr>
              <w:rPr>
                <w:rFonts w:ascii="SWISS" w:hAnsi="SWISS" w:cs="Arial"/>
                <w:color w:val="000000"/>
                <w:sz w:val="20"/>
                <w:szCs w:val="20"/>
              </w:rPr>
            </w:pPr>
          </w:p>
        </w:tc>
        <w:tc>
          <w:tcPr>
            <w:tcW w:w="1213" w:type="dxa"/>
            <w:noWrap/>
            <w:vAlign w:val="bottom"/>
          </w:tcPr>
          <w:p w:rsidR="004679D6" w:rsidRDefault="004679D6">
            <w:pPr>
              <w:rPr>
                <w:rFonts w:ascii="SWISS" w:hAnsi="SWISS" w:cs="Arial"/>
                <w:color w:val="000000"/>
                <w:sz w:val="20"/>
                <w:szCs w:val="20"/>
              </w:rPr>
            </w:pPr>
          </w:p>
        </w:tc>
        <w:tc>
          <w:tcPr>
            <w:tcW w:w="3011" w:type="dxa"/>
            <w:gridSpan w:val="2"/>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xml:space="preserve">    RETURN ON EQUITY</w:t>
            </w:r>
          </w:p>
        </w:tc>
        <w:tc>
          <w:tcPr>
            <w:tcW w:w="1283" w:type="dxa"/>
            <w:noWrap/>
            <w:vAlign w:val="bottom"/>
          </w:tcPr>
          <w:p w:rsidR="004679D6" w:rsidRDefault="004679D6">
            <w:pPr>
              <w:rPr>
                <w:rFonts w:ascii="SWISS" w:hAnsi="SWISS" w:cs="Arial"/>
                <w:color w:val="000000"/>
                <w:sz w:val="20"/>
                <w:szCs w:val="20"/>
              </w:rPr>
            </w:pPr>
          </w:p>
        </w:tc>
        <w:tc>
          <w:tcPr>
            <w:tcW w:w="1255" w:type="dxa"/>
            <w:noWrap/>
            <w:vAlign w:val="bottom"/>
            <w:hideMark/>
          </w:tcPr>
          <w:p w:rsidR="004679D6" w:rsidRDefault="004679D6">
            <w:pPr>
              <w:jc w:val="right"/>
              <w:rPr>
                <w:rFonts w:ascii="SWISS" w:hAnsi="SWISS" w:cs="Arial"/>
                <w:color w:val="000000"/>
                <w:sz w:val="20"/>
                <w:szCs w:val="20"/>
                <w:u w:val="double"/>
              </w:rPr>
            </w:pPr>
            <w:r>
              <w:rPr>
                <w:rFonts w:ascii="SWISS" w:hAnsi="SWISS" w:cs="Arial"/>
                <w:color w:val="000000"/>
                <w:sz w:val="20"/>
                <w:szCs w:val="20"/>
                <w:u w:val="double"/>
              </w:rPr>
              <w:t>7.74%</w:t>
            </w:r>
          </w:p>
        </w:tc>
        <w:tc>
          <w:tcPr>
            <w:tcW w:w="1183" w:type="dxa"/>
            <w:noWrap/>
            <w:vAlign w:val="bottom"/>
            <w:hideMark/>
          </w:tcPr>
          <w:p w:rsidR="004679D6" w:rsidRDefault="004679D6">
            <w:pPr>
              <w:jc w:val="right"/>
              <w:rPr>
                <w:rFonts w:ascii="SWISS" w:hAnsi="SWISS" w:cs="Arial"/>
                <w:color w:val="000000"/>
                <w:sz w:val="20"/>
                <w:szCs w:val="20"/>
                <w:u w:val="double"/>
              </w:rPr>
            </w:pPr>
            <w:r>
              <w:rPr>
                <w:rFonts w:ascii="SWISS" w:hAnsi="SWISS" w:cs="Arial"/>
                <w:color w:val="000000"/>
                <w:sz w:val="20"/>
                <w:szCs w:val="20"/>
                <w:u w:val="double"/>
              </w:rPr>
              <w:t>9.74%</w:t>
            </w: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r>
      <w:tr w:rsidR="004679D6" w:rsidTr="004679D6">
        <w:trPr>
          <w:trHeight w:val="292"/>
        </w:trPr>
        <w:tc>
          <w:tcPr>
            <w:tcW w:w="483" w:type="dxa"/>
            <w:tcBorders>
              <w:top w:val="nil"/>
              <w:left w:val="single" w:sz="8" w:space="0" w:color="auto"/>
              <w:bottom w:val="nil"/>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679D6" w:rsidRDefault="004679D6">
            <w:pPr>
              <w:rPr>
                <w:rFonts w:ascii="SWISS" w:hAnsi="SWISS" w:cs="Arial"/>
                <w:color w:val="000000"/>
                <w:sz w:val="20"/>
                <w:szCs w:val="20"/>
              </w:rPr>
            </w:pPr>
          </w:p>
        </w:tc>
        <w:tc>
          <w:tcPr>
            <w:tcW w:w="1124" w:type="dxa"/>
            <w:noWrap/>
            <w:vAlign w:val="bottom"/>
          </w:tcPr>
          <w:p w:rsidR="004679D6" w:rsidRDefault="004679D6">
            <w:pPr>
              <w:rPr>
                <w:rFonts w:ascii="SWISS" w:hAnsi="SWISS" w:cs="Arial"/>
                <w:color w:val="000000"/>
                <w:sz w:val="20"/>
                <w:szCs w:val="20"/>
              </w:rPr>
            </w:pPr>
          </w:p>
        </w:tc>
        <w:tc>
          <w:tcPr>
            <w:tcW w:w="1213" w:type="dxa"/>
            <w:noWrap/>
            <w:vAlign w:val="bottom"/>
          </w:tcPr>
          <w:p w:rsidR="004679D6" w:rsidRDefault="004679D6">
            <w:pPr>
              <w:rPr>
                <w:rFonts w:ascii="SWISS" w:hAnsi="SWISS" w:cs="Arial"/>
                <w:color w:val="000000"/>
                <w:sz w:val="20"/>
                <w:szCs w:val="20"/>
              </w:rPr>
            </w:pPr>
          </w:p>
        </w:tc>
        <w:tc>
          <w:tcPr>
            <w:tcW w:w="4294" w:type="dxa"/>
            <w:gridSpan w:val="3"/>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xml:space="preserve">    OVERALL RATE OF RETURN</w:t>
            </w:r>
          </w:p>
        </w:tc>
        <w:tc>
          <w:tcPr>
            <w:tcW w:w="1255" w:type="dxa"/>
            <w:noWrap/>
            <w:vAlign w:val="bottom"/>
            <w:hideMark/>
          </w:tcPr>
          <w:p w:rsidR="004679D6" w:rsidRDefault="004679D6">
            <w:pPr>
              <w:jc w:val="right"/>
              <w:rPr>
                <w:rFonts w:ascii="SWISS" w:hAnsi="SWISS" w:cs="Arial"/>
                <w:color w:val="000000"/>
                <w:sz w:val="20"/>
                <w:szCs w:val="20"/>
                <w:u w:val="double"/>
              </w:rPr>
            </w:pPr>
            <w:r>
              <w:rPr>
                <w:rFonts w:ascii="SWISS" w:hAnsi="SWISS" w:cs="Arial"/>
                <w:color w:val="000000"/>
                <w:sz w:val="20"/>
                <w:szCs w:val="20"/>
                <w:u w:val="double"/>
              </w:rPr>
              <w:t>7.74%</w:t>
            </w:r>
          </w:p>
        </w:tc>
        <w:tc>
          <w:tcPr>
            <w:tcW w:w="1183" w:type="dxa"/>
            <w:noWrap/>
            <w:vAlign w:val="bottom"/>
            <w:hideMark/>
          </w:tcPr>
          <w:p w:rsidR="004679D6" w:rsidRDefault="004679D6">
            <w:pPr>
              <w:jc w:val="right"/>
              <w:rPr>
                <w:rFonts w:ascii="SWISS" w:hAnsi="SWISS" w:cs="Arial"/>
                <w:color w:val="000000"/>
                <w:sz w:val="20"/>
                <w:szCs w:val="20"/>
                <w:u w:val="double"/>
              </w:rPr>
            </w:pPr>
            <w:r>
              <w:rPr>
                <w:rFonts w:ascii="SWISS" w:hAnsi="SWISS" w:cs="Arial"/>
                <w:color w:val="000000"/>
                <w:sz w:val="20"/>
                <w:szCs w:val="20"/>
                <w:u w:val="double"/>
              </w:rPr>
              <w:t>9.74%</w:t>
            </w:r>
          </w:p>
        </w:tc>
        <w:tc>
          <w:tcPr>
            <w:tcW w:w="1460" w:type="dxa"/>
            <w:tcBorders>
              <w:top w:val="nil"/>
              <w:left w:val="nil"/>
              <w:bottom w:val="nil"/>
              <w:right w:val="single" w:sz="8" w:space="0" w:color="auto"/>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r>
      <w:tr w:rsidR="004679D6" w:rsidTr="004679D6">
        <w:trPr>
          <w:trHeight w:val="303"/>
        </w:trPr>
        <w:tc>
          <w:tcPr>
            <w:tcW w:w="483" w:type="dxa"/>
            <w:tcBorders>
              <w:top w:val="nil"/>
              <w:left w:val="single" w:sz="8" w:space="0" w:color="auto"/>
              <w:bottom w:val="single" w:sz="8" w:space="0" w:color="auto"/>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2855" w:type="dxa"/>
            <w:tcBorders>
              <w:top w:val="nil"/>
              <w:left w:val="nil"/>
              <w:bottom w:val="single" w:sz="8" w:space="0" w:color="auto"/>
              <w:right w:val="nil"/>
            </w:tcBorders>
            <w:noWrap/>
            <w:vAlign w:val="bottom"/>
          </w:tcPr>
          <w:p w:rsidR="004679D6" w:rsidRDefault="004679D6">
            <w:pPr>
              <w:rPr>
                <w:rFonts w:ascii="SWISS" w:hAnsi="SWISS" w:cs="Arial"/>
                <w:color w:val="000000"/>
                <w:sz w:val="20"/>
                <w:szCs w:val="20"/>
              </w:rPr>
            </w:pPr>
          </w:p>
        </w:tc>
        <w:tc>
          <w:tcPr>
            <w:tcW w:w="1124" w:type="dxa"/>
            <w:tcBorders>
              <w:top w:val="nil"/>
              <w:left w:val="nil"/>
              <w:bottom w:val="single" w:sz="8" w:space="0" w:color="auto"/>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213" w:type="dxa"/>
            <w:tcBorders>
              <w:top w:val="nil"/>
              <w:left w:val="nil"/>
              <w:bottom w:val="single" w:sz="8" w:space="0" w:color="auto"/>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755" w:type="dxa"/>
            <w:tcBorders>
              <w:top w:val="nil"/>
              <w:left w:val="nil"/>
              <w:bottom w:val="single" w:sz="8" w:space="0" w:color="auto"/>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256" w:type="dxa"/>
            <w:tcBorders>
              <w:top w:val="nil"/>
              <w:left w:val="nil"/>
              <w:bottom w:val="single" w:sz="8" w:space="0" w:color="auto"/>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283" w:type="dxa"/>
            <w:tcBorders>
              <w:top w:val="nil"/>
              <w:left w:val="nil"/>
              <w:bottom w:val="single" w:sz="8" w:space="0" w:color="auto"/>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255" w:type="dxa"/>
            <w:tcBorders>
              <w:top w:val="nil"/>
              <w:left w:val="nil"/>
              <w:bottom w:val="single" w:sz="8" w:space="0" w:color="auto"/>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183" w:type="dxa"/>
            <w:tcBorders>
              <w:top w:val="nil"/>
              <w:left w:val="nil"/>
              <w:bottom w:val="single" w:sz="8" w:space="0" w:color="auto"/>
              <w:right w:val="nil"/>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c>
          <w:tcPr>
            <w:tcW w:w="1460" w:type="dxa"/>
            <w:tcBorders>
              <w:top w:val="nil"/>
              <w:left w:val="nil"/>
              <w:bottom w:val="single" w:sz="8" w:space="0" w:color="auto"/>
              <w:right w:val="single" w:sz="8" w:space="0" w:color="auto"/>
            </w:tcBorders>
            <w:noWrap/>
            <w:vAlign w:val="bottom"/>
            <w:hideMark/>
          </w:tcPr>
          <w:p w:rsidR="004679D6" w:rsidRDefault="004679D6">
            <w:pPr>
              <w:rPr>
                <w:rFonts w:ascii="SWISS" w:hAnsi="SWISS" w:cs="Arial"/>
                <w:color w:val="000000"/>
                <w:sz w:val="20"/>
                <w:szCs w:val="20"/>
              </w:rPr>
            </w:pPr>
            <w:r>
              <w:rPr>
                <w:rFonts w:ascii="SWISS" w:hAnsi="SWISS" w:cs="Arial"/>
                <w:color w:val="000000"/>
                <w:sz w:val="20"/>
                <w:szCs w:val="20"/>
              </w:rPr>
              <w:t> </w:t>
            </w:r>
          </w:p>
        </w:tc>
      </w:tr>
    </w:tbl>
    <w:p w:rsidR="003D499B" w:rsidRDefault="003D499B" w:rsidP="00C37D97"/>
    <w:p w:rsidR="003D499B" w:rsidRDefault="003D499B" w:rsidP="00C37D97"/>
    <w:p w:rsidR="003D499B" w:rsidRDefault="003D499B" w:rsidP="00C37D97">
      <w:pPr>
        <w:sectPr w:rsidR="003D499B" w:rsidSect="00D82295">
          <w:headerReference w:type="default" r:id="rId23"/>
          <w:pgSz w:w="15840" w:h="12240" w:orient="landscape" w:code="1"/>
          <w:pgMar w:top="1440" w:right="1584" w:bottom="1440" w:left="1440" w:header="720" w:footer="720" w:gutter="0"/>
          <w:cols w:space="720"/>
          <w:formProt w:val="0"/>
          <w:docGrid w:linePitch="360"/>
        </w:sectPr>
      </w:pPr>
    </w:p>
    <w:tbl>
      <w:tblPr>
        <w:tblW w:w="13732" w:type="dxa"/>
        <w:jc w:val="center"/>
        <w:tblInd w:w="98" w:type="dxa"/>
        <w:tblCellMar>
          <w:left w:w="0" w:type="dxa"/>
          <w:right w:w="0" w:type="dxa"/>
        </w:tblCellMar>
        <w:tblLook w:val="04A0" w:firstRow="1" w:lastRow="0" w:firstColumn="1" w:lastColumn="0" w:noHBand="0" w:noVBand="1"/>
      </w:tblPr>
      <w:tblGrid>
        <w:gridCol w:w="758"/>
        <w:gridCol w:w="3641"/>
        <w:gridCol w:w="1889"/>
        <w:gridCol w:w="1889"/>
        <w:gridCol w:w="1889"/>
        <w:gridCol w:w="1889"/>
        <w:gridCol w:w="1889"/>
      </w:tblGrid>
      <w:tr w:rsidR="00FB50A1" w:rsidTr="00FB50A1">
        <w:trPr>
          <w:trHeight w:val="294"/>
          <w:jc w:val="center"/>
        </w:trPr>
        <w:tc>
          <w:tcPr>
            <w:tcW w:w="742" w:type="dxa"/>
            <w:tcBorders>
              <w:top w:val="single" w:sz="8" w:space="0" w:color="auto"/>
              <w:left w:val="single" w:sz="8" w:space="0" w:color="auto"/>
              <w:bottom w:val="nil"/>
              <w:right w:val="nil"/>
            </w:tcBorders>
            <w:noWrap/>
            <w:vAlign w:val="bottom"/>
            <w:hideMark/>
          </w:tcPr>
          <w:p w:rsidR="00FB50A1" w:rsidRDefault="00FB50A1">
            <w:pPr>
              <w:rPr>
                <w:rFonts w:ascii="SWISS" w:hAnsi="SWISS" w:cs="Arial"/>
                <w:sz w:val="20"/>
                <w:szCs w:val="20"/>
              </w:rPr>
            </w:pPr>
            <w:r>
              <w:lastRenderedPageBreak/>
              <w:br w:type="page"/>
            </w:r>
            <w:r>
              <w:rPr>
                <w:rFonts w:ascii="SWISS" w:hAnsi="SWISS" w:cs="Arial"/>
                <w:sz w:val="20"/>
                <w:szCs w:val="20"/>
              </w:rPr>
              <w:t> </w:t>
            </w:r>
          </w:p>
        </w:tc>
        <w:tc>
          <w:tcPr>
            <w:tcW w:w="5498" w:type="dxa"/>
            <w:gridSpan w:val="2"/>
            <w:tcBorders>
              <w:top w:val="single" w:sz="8" w:space="0" w:color="auto"/>
              <w:left w:val="nil"/>
              <w:bottom w:val="nil"/>
              <w:right w:val="nil"/>
            </w:tcBorders>
            <w:noWrap/>
            <w:vAlign w:val="bottom"/>
            <w:hideMark/>
          </w:tcPr>
          <w:p w:rsidR="00FB50A1" w:rsidRDefault="00FB50A1">
            <w:pPr>
              <w:rPr>
                <w:rFonts w:ascii="SWISS" w:hAnsi="SWISS" w:cs="Arial"/>
                <w:color w:val="000000"/>
                <w:sz w:val="20"/>
                <w:szCs w:val="20"/>
              </w:rPr>
            </w:pPr>
            <w:r>
              <w:rPr>
                <w:rFonts w:ascii="SWISS" w:hAnsi="SWISS" w:cs="Arial"/>
                <w:b/>
                <w:bCs/>
                <w:color w:val="000000"/>
                <w:sz w:val="20"/>
                <w:szCs w:val="20"/>
              </w:rPr>
              <w:t>RAINTREE WATERWORKS, INC.</w:t>
            </w:r>
          </w:p>
        </w:tc>
        <w:tc>
          <w:tcPr>
            <w:tcW w:w="1873" w:type="dxa"/>
            <w:tcBorders>
              <w:top w:val="single" w:sz="8" w:space="0" w:color="auto"/>
              <w:left w:val="nil"/>
              <w:bottom w:val="nil"/>
              <w:right w:val="nil"/>
            </w:tcBorders>
            <w:noWrap/>
            <w:vAlign w:val="bottom"/>
            <w:hideMark/>
          </w:tcPr>
          <w:p w:rsidR="00FB50A1" w:rsidRDefault="00FB50A1">
            <w:pPr>
              <w:rPr>
                <w:rFonts w:ascii="SWISS" w:hAnsi="SWISS" w:cs="Arial"/>
                <w:sz w:val="20"/>
                <w:szCs w:val="20"/>
              </w:rPr>
            </w:pPr>
            <w:r>
              <w:rPr>
                <w:rFonts w:ascii="SWISS" w:hAnsi="SWISS" w:cs="Arial"/>
                <w:sz w:val="20"/>
                <w:szCs w:val="20"/>
              </w:rPr>
              <w:t> </w:t>
            </w:r>
          </w:p>
        </w:tc>
        <w:tc>
          <w:tcPr>
            <w:tcW w:w="1873" w:type="dxa"/>
            <w:tcBorders>
              <w:top w:val="single" w:sz="8" w:space="0" w:color="auto"/>
              <w:left w:val="nil"/>
              <w:bottom w:val="nil"/>
              <w:right w:val="nil"/>
            </w:tcBorders>
            <w:noWrap/>
            <w:vAlign w:val="bottom"/>
            <w:hideMark/>
          </w:tcPr>
          <w:p w:rsidR="00FB50A1" w:rsidRDefault="00FB50A1">
            <w:pPr>
              <w:rPr>
                <w:rFonts w:ascii="SWISS" w:hAnsi="SWISS" w:cs="Arial"/>
                <w:sz w:val="20"/>
                <w:szCs w:val="20"/>
              </w:rPr>
            </w:pPr>
            <w:r>
              <w:rPr>
                <w:rFonts w:ascii="SWISS" w:hAnsi="SWISS" w:cs="Arial"/>
                <w:sz w:val="20"/>
                <w:szCs w:val="20"/>
              </w:rPr>
              <w:t> </w:t>
            </w:r>
          </w:p>
        </w:tc>
        <w:tc>
          <w:tcPr>
            <w:tcW w:w="3746" w:type="dxa"/>
            <w:gridSpan w:val="2"/>
            <w:tcBorders>
              <w:top w:val="single" w:sz="8" w:space="0" w:color="auto"/>
              <w:left w:val="nil"/>
              <w:bottom w:val="nil"/>
              <w:right w:val="single" w:sz="8" w:space="0" w:color="auto"/>
            </w:tcBorders>
            <w:noWrap/>
            <w:vAlign w:val="bottom"/>
            <w:hideMark/>
          </w:tcPr>
          <w:p w:rsidR="00FB50A1" w:rsidRDefault="00FB50A1">
            <w:pPr>
              <w:rPr>
                <w:rFonts w:ascii="SWISS" w:hAnsi="SWISS" w:cs="Arial"/>
                <w:b/>
                <w:bCs/>
                <w:sz w:val="20"/>
                <w:szCs w:val="20"/>
              </w:rPr>
            </w:pPr>
            <w:r>
              <w:rPr>
                <w:rFonts w:ascii="SWISS" w:hAnsi="SWISS" w:cs="Arial"/>
                <w:b/>
                <w:bCs/>
                <w:sz w:val="20"/>
                <w:szCs w:val="20"/>
              </w:rPr>
              <w:t xml:space="preserve">                             SCHEDULE NO. 3-A</w:t>
            </w:r>
            <w:r>
              <w:rPr>
                <w:sz w:val="20"/>
                <w:szCs w:val="20"/>
              </w:rPr>
              <w:fldChar w:fldCharType="begin"/>
            </w:r>
            <w:r>
              <w:rPr>
                <w:sz w:val="20"/>
                <w:szCs w:val="20"/>
              </w:rPr>
              <w:instrText xml:space="preserve"> TC "</w:instrText>
            </w:r>
            <w:bookmarkStart w:id="174" w:name="_Toc399147319"/>
            <w:r>
              <w:rPr>
                <w:sz w:val="20"/>
                <w:szCs w:val="20"/>
              </w:rPr>
              <w:instrText xml:space="preserve"> </w:instrText>
            </w:r>
            <w:bookmarkStart w:id="175" w:name="_Toc443384731"/>
            <w:bookmarkStart w:id="176" w:name="_Toc441233996"/>
            <w:bookmarkStart w:id="177" w:name="_Toc422220889"/>
            <w:bookmarkStart w:id="178" w:name="_Toc451766980"/>
            <w:r>
              <w:rPr>
                <w:sz w:val="20"/>
                <w:szCs w:val="20"/>
              </w:rPr>
              <w:instrText>Schedule No. 3-A Water Operating Income</w:instrText>
            </w:r>
            <w:bookmarkEnd w:id="174"/>
            <w:bookmarkEnd w:id="175"/>
            <w:bookmarkEnd w:id="176"/>
            <w:bookmarkEnd w:id="177"/>
            <w:bookmarkEnd w:id="178"/>
            <w:r>
              <w:rPr>
                <w:sz w:val="20"/>
                <w:szCs w:val="20"/>
              </w:rPr>
              <w:instrText xml:space="preserve">”\l 1 </w:instrText>
            </w:r>
            <w:r>
              <w:rPr>
                <w:sz w:val="20"/>
                <w:szCs w:val="20"/>
              </w:rPr>
              <w:fldChar w:fldCharType="end"/>
            </w:r>
          </w:p>
        </w:tc>
      </w:tr>
      <w:tr w:rsidR="00FB50A1" w:rsidTr="00FB50A1">
        <w:trPr>
          <w:trHeight w:val="294"/>
          <w:jc w:val="center"/>
        </w:trPr>
        <w:tc>
          <w:tcPr>
            <w:tcW w:w="742" w:type="dxa"/>
            <w:tcBorders>
              <w:top w:val="nil"/>
              <w:left w:val="single" w:sz="8" w:space="0" w:color="auto"/>
              <w:bottom w:val="nil"/>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3625" w:type="dxa"/>
            <w:noWrap/>
            <w:vAlign w:val="bottom"/>
            <w:hideMark/>
          </w:tcPr>
          <w:p w:rsidR="00FB50A1" w:rsidRDefault="00FB50A1">
            <w:pPr>
              <w:rPr>
                <w:rFonts w:ascii="SWISS" w:hAnsi="SWISS" w:cs="Arial"/>
                <w:b/>
                <w:bCs/>
                <w:color w:val="000000"/>
                <w:sz w:val="20"/>
                <w:szCs w:val="20"/>
              </w:rPr>
            </w:pPr>
            <w:r>
              <w:rPr>
                <w:rFonts w:ascii="SWISS" w:hAnsi="SWISS" w:cs="Arial"/>
                <w:b/>
                <w:bCs/>
                <w:color w:val="000000"/>
                <w:sz w:val="20"/>
                <w:szCs w:val="20"/>
              </w:rPr>
              <w:t>TEST YEAR ENDED 7/31/15</w:t>
            </w:r>
          </w:p>
        </w:tc>
        <w:tc>
          <w:tcPr>
            <w:tcW w:w="1873" w:type="dxa"/>
            <w:noWrap/>
            <w:vAlign w:val="bottom"/>
          </w:tcPr>
          <w:p w:rsidR="00FB50A1" w:rsidRDefault="00FB50A1">
            <w:pPr>
              <w:rPr>
                <w:rFonts w:ascii="SWISS" w:hAnsi="SWISS" w:cs="Arial"/>
                <w:color w:val="000000"/>
                <w:sz w:val="20"/>
                <w:szCs w:val="20"/>
              </w:rPr>
            </w:pPr>
          </w:p>
        </w:tc>
        <w:tc>
          <w:tcPr>
            <w:tcW w:w="1873" w:type="dxa"/>
            <w:noWrap/>
            <w:vAlign w:val="bottom"/>
          </w:tcPr>
          <w:p w:rsidR="00FB50A1" w:rsidRDefault="00FB50A1">
            <w:pPr>
              <w:rPr>
                <w:rFonts w:ascii="SWISS" w:hAnsi="SWISS" w:cs="Arial"/>
                <w:color w:val="000000"/>
                <w:sz w:val="20"/>
                <w:szCs w:val="20"/>
              </w:rPr>
            </w:pPr>
          </w:p>
        </w:tc>
        <w:tc>
          <w:tcPr>
            <w:tcW w:w="1873" w:type="dxa"/>
            <w:noWrap/>
            <w:vAlign w:val="bottom"/>
          </w:tcPr>
          <w:p w:rsidR="00FB50A1" w:rsidRDefault="00FB50A1">
            <w:pPr>
              <w:rPr>
                <w:rFonts w:ascii="SWISS" w:hAnsi="SWISS" w:cs="Arial"/>
                <w:color w:val="000000"/>
                <w:sz w:val="20"/>
                <w:szCs w:val="20"/>
              </w:rPr>
            </w:pPr>
          </w:p>
        </w:tc>
        <w:tc>
          <w:tcPr>
            <w:tcW w:w="3746" w:type="dxa"/>
            <w:gridSpan w:val="2"/>
            <w:tcBorders>
              <w:top w:val="nil"/>
              <w:left w:val="nil"/>
              <w:bottom w:val="nil"/>
              <w:right w:val="single" w:sz="8" w:space="0" w:color="auto"/>
            </w:tcBorders>
            <w:noWrap/>
            <w:vAlign w:val="bottom"/>
            <w:hideMark/>
          </w:tcPr>
          <w:p w:rsidR="00FB50A1" w:rsidRDefault="00FB50A1">
            <w:pPr>
              <w:rPr>
                <w:rFonts w:ascii="SWISS" w:hAnsi="SWISS" w:cs="Arial"/>
                <w:b/>
                <w:bCs/>
                <w:color w:val="000000"/>
                <w:sz w:val="20"/>
                <w:szCs w:val="20"/>
              </w:rPr>
            </w:pPr>
            <w:r>
              <w:rPr>
                <w:rFonts w:ascii="SWISS" w:hAnsi="SWISS" w:cs="Arial"/>
                <w:b/>
                <w:bCs/>
                <w:color w:val="000000"/>
                <w:sz w:val="20"/>
                <w:szCs w:val="20"/>
              </w:rPr>
              <w:t xml:space="preserve">                      DOCKET NO. 150199-WU</w:t>
            </w:r>
          </w:p>
        </w:tc>
      </w:tr>
      <w:tr w:rsidR="00FB50A1" w:rsidTr="00FB50A1">
        <w:trPr>
          <w:trHeight w:val="306"/>
          <w:jc w:val="center"/>
        </w:trPr>
        <w:tc>
          <w:tcPr>
            <w:tcW w:w="742" w:type="dxa"/>
            <w:tcBorders>
              <w:top w:val="nil"/>
              <w:left w:val="single" w:sz="8" w:space="0" w:color="auto"/>
              <w:bottom w:val="single" w:sz="8" w:space="0" w:color="auto"/>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7371" w:type="dxa"/>
            <w:gridSpan w:val="3"/>
            <w:tcBorders>
              <w:top w:val="nil"/>
              <w:left w:val="nil"/>
              <w:bottom w:val="single" w:sz="8" w:space="0" w:color="auto"/>
              <w:right w:val="nil"/>
            </w:tcBorders>
            <w:noWrap/>
            <w:vAlign w:val="bottom"/>
            <w:hideMark/>
          </w:tcPr>
          <w:p w:rsidR="00FB50A1" w:rsidRDefault="00FB50A1">
            <w:pPr>
              <w:rPr>
                <w:rFonts w:ascii="SWISS" w:hAnsi="SWISS" w:cs="Arial"/>
                <w:b/>
                <w:bCs/>
                <w:color w:val="000000"/>
                <w:sz w:val="20"/>
                <w:szCs w:val="20"/>
              </w:rPr>
            </w:pPr>
            <w:r>
              <w:rPr>
                <w:rFonts w:ascii="SWISS" w:hAnsi="SWISS" w:cs="Arial"/>
                <w:b/>
                <w:bCs/>
                <w:color w:val="000000"/>
                <w:sz w:val="20"/>
                <w:szCs w:val="20"/>
              </w:rPr>
              <w:t>SCHEDULE OF WATER OPERATING INCOME</w:t>
            </w:r>
          </w:p>
        </w:tc>
        <w:tc>
          <w:tcPr>
            <w:tcW w:w="1873" w:type="dxa"/>
            <w:tcBorders>
              <w:top w:val="nil"/>
              <w:left w:val="nil"/>
              <w:bottom w:val="single" w:sz="8" w:space="0" w:color="auto"/>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single" w:sz="8" w:space="0" w:color="auto"/>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r>
      <w:tr w:rsidR="00FB50A1" w:rsidTr="00FB50A1">
        <w:trPr>
          <w:trHeight w:val="294"/>
          <w:jc w:val="center"/>
        </w:trPr>
        <w:tc>
          <w:tcPr>
            <w:tcW w:w="742" w:type="dxa"/>
            <w:tcBorders>
              <w:top w:val="single" w:sz="8" w:space="0" w:color="auto"/>
              <w:left w:val="single" w:sz="8" w:space="0" w:color="auto"/>
              <w:bottom w:val="nil"/>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3625" w:type="dxa"/>
            <w:tcBorders>
              <w:top w:val="single" w:sz="8" w:space="0" w:color="auto"/>
              <w:left w:val="nil"/>
              <w:bottom w:val="nil"/>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tcBorders>
              <w:top w:val="single" w:sz="8" w:space="0" w:color="auto"/>
              <w:left w:val="nil"/>
              <w:bottom w:val="nil"/>
              <w:right w:val="nil"/>
            </w:tcBorders>
            <w:noWrap/>
            <w:vAlign w:val="bottom"/>
            <w:hideMark/>
          </w:tcPr>
          <w:p w:rsidR="00FB50A1" w:rsidRDefault="00FB50A1">
            <w:pPr>
              <w:rPr>
                <w:rFonts w:ascii="SWISS" w:hAnsi="SWISS" w:cs="Arial"/>
                <w:b/>
                <w:bCs/>
                <w:color w:val="000000"/>
                <w:sz w:val="20"/>
                <w:szCs w:val="20"/>
              </w:rPr>
            </w:pPr>
            <w:r>
              <w:rPr>
                <w:rFonts w:ascii="SWISS" w:hAnsi="SWISS" w:cs="Arial"/>
                <w:b/>
                <w:bCs/>
                <w:color w:val="000000"/>
                <w:sz w:val="20"/>
                <w:szCs w:val="20"/>
              </w:rPr>
              <w:t> </w:t>
            </w:r>
          </w:p>
        </w:tc>
        <w:tc>
          <w:tcPr>
            <w:tcW w:w="1873" w:type="dxa"/>
            <w:tcBorders>
              <w:top w:val="single" w:sz="8" w:space="0" w:color="auto"/>
              <w:left w:val="nil"/>
              <w:bottom w:val="nil"/>
              <w:right w:val="nil"/>
            </w:tcBorders>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 </w:t>
            </w:r>
          </w:p>
        </w:tc>
        <w:tc>
          <w:tcPr>
            <w:tcW w:w="1873" w:type="dxa"/>
            <w:tcBorders>
              <w:top w:val="single" w:sz="8" w:space="0" w:color="auto"/>
              <w:left w:val="nil"/>
              <w:bottom w:val="nil"/>
              <w:right w:val="nil"/>
            </w:tcBorders>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STAFF</w:t>
            </w:r>
          </w:p>
        </w:tc>
        <w:tc>
          <w:tcPr>
            <w:tcW w:w="1873" w:type="dxa"/>
            <w:tcBorders>
              <w:top w:val="single" w:sz="8" w:space="0" w:color="auto"/>
              <w:left w:val="nil"/>
              <w:bottom w:val="nil"/>
              <w:right w:val="nil"/>
            </w:tcBorders>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ADJUST.</w:t>
            </w:r>
          </w:p>
        </w:tc>
        <w:tc>
          <w:tcPr>
            <w:tcW w:w="1873" w:type="dxa"/>
            <w:tcBorders>
              <w:top w:val="single" w:sz="8" w:space="0" w:color="auto"/>
              <w:left w:val="nil"/>
              <w:bottom w:val="nil"/>
              <w:right w:val="single" w:sz="8" w:space="0" w:color="auto"/>
            </w:tcBorders>
            <w:noWrap/>
            <w:vAlign w:val="bottom"/>
            <w:hideMark/>
          </w:tcPr>
          <w:p w:rsidR="00FB50A1" w:rsidRDefault="00FB50A1">
            <w:pPr>
              <w:rPr>
                <w:rFonts w:ascii="SWISS" w:hAnsi="SWISS" w:cs="Arial"/>
                <w:b/>
                <w:bCs/>
                <w:color w:val="000000"/>
                <w:sz w:val="20"/>
                <w:szCs w:val="20"/>
              </w:rPr>
            </w:pPr>
            <w:r>
              <w:rPr>
                <w:rFonts w:ascii="SWISS" w:hAnsi="SWISS" w:cs="Arial"/>
                <w:b/>
                <w:bCs/>
                <w:color w:val="000000"/>
                <w:sz w:val="20"/>
                <w:szCs w:val="20"/>
              </w:rPr>
              <w:t> </w:t>
            </w:r>
          </w:p>
        </w:tc>
      </w:tr>
      <w:tr w:rsidR="00FB50A1" w:rsidTr="00FB50A1">
        <w:trPr>
          <w:trHeight w:val="294"/>
          <w:jc w:val="center"/>
        </w:trPr>
        <w:tc>
          <w:tcPr>
            <w:tcW w:w="742" w:type="dxa"/>
            <w:tcBorders>
              <w:top w:val="nil"/>
              <w:left w:val="single" w:sz="8" w:space="0" w:color="auto"/>
              <w:bottom w:val="nil"/>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3625" w:type="dxa"/>
            <w:noWrap/>
            <w:vAlign w:val="bottom"/>
          </w:tcPr>
          <w:p w:rsidR="00FB50A1" w:rsidRDefault="00FB50A1">
            <w:pPr>
              <w:rPr>
                <w:rFonts w:ascii="SWISS" w:hAnsi="SWISS" w:cs="Arial"/>
                <w:color w:val="000000"/>
                <w:sz w:val="20"/>
                <w:szCs w:val="20"/>
              </w:rPr>
            </w:pPr>
          </w:p>
        </w:tc>
        <w:tc>
          <w:tcPr>
            <w:tcW w:w="1873" w:type="dxa"/>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TEST YEAR</w:t>
            </w:r>
          </w:p>
        </w:tc>
        <w:tc>
          <w:tcPr>
            <w:tcW w:w="1873" w:type="dxa"/>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 xml:space="preserve">STAFF </w:t>
            </w:r>
          </w:p>
        </w:tc>
        <w:tc>
          <w:tcPr>
            <w:tcW w:w="1873" w:type="dxa"/>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ADJUSTED</w:t>
            </w:r>
          </w:p>
        </w:tc>
        <w:tc>
          <w:tcPr>
            <w:tcW w:w="1873" w:type="dxa"/>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FOR</w:t>
            </w:r>
          </w:p>
        </w:tc>
        <w:tc>
          <w:tcPr>
            <w:tcW w:w="1873" w:type="dxa"/>
            <w:tcBorders>
              <w:top w:val="nil"/>
              <w:left w:val="nil"/>
              <w:bottom w:val="nil"/>
              <w:right w:val="single" w:sz="8" w:space="0" w:color="auto"/>
            </w:tcBorders>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REVENUE</w:t>
            </w:r>
          </w:p>
        </w:tc>
      </w:tr>
      <w:tr w:rsidR="00FB50A1" w:rsidTr="00FB50A1">
        <w:trPr>
          <w:trHeight w:val="306"/>
          <w:jc w:val="center"/>
        </w:trPr>
        <w:tc>
          <w:tcPr>
            <w:tcW w:w="742" w:type="dxa"/>
            <w:tcBorders>
              <w:top w:val="nil"/>
              <w:left w:val="single" w:sz="8" w:space="0" w:color="auto"/>
              <w:bottom w:val="single" w:sz="8" w:space="0" w:color="auto"/>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3625" w:type="dxa"/>
            <w:tcBorders>
              <w:top w:val="nil"/>
              <w:left w:val="nil"/>
              <w:bottom w:val="single" w:sz="8" w:space="0" w:color="auto"/>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PER UTILITY</w:t>
            </w:r>
          </w:p>
        </w:tc>
        <w:tc>
          <w:tcPr>
            <w:tcW w:w="1873" w:type="dxa"/>
            <w:tcBorders>
              <w:top w:val="nil"/>
              <w:left w:val="nil"/>
              <w:bottom w:val="single" w:sz="8" w:space="0" w:color="auto"/>
              <w:right w:val="nil"/>
            </w:tcBorders>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ADJUSTMENTS</w:t>
            </w:r>
          </w:p>
        </w:tc>
        <w:tc>
          <w:tcPr>
            <w:tcW w:w="1873" w:type="dxa"/>
            <w:tcBorders>
              <w:top w:val="nil"/>
              <w:left w:val="nil"/>
              <w:bottom w:val="single" w:sz="8" w:space="0" w:color="auto"/>
              <w:right w:val="nil"/>
            </w:tcBorders>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TEST YEAR</w:t>
            </w:r>
          </w:p>
        </w:tc>
        <w:tc>
          <w:tcPr>
            <w:tcW w:w="1873" w:type="dxa"/>
            <w:tcBorders>
              <w:top w:val="nil"/>
              <w:left w:val="nil"/>
              <w:bottom w:val="single" w:sz="8" w:space="0" w:color="auto"/>
              <w:right w:val="nil"/>
            </w:tcBorders>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INCREASE</w:t>
            </w:r>
          </w:p>
        </w:tc>
        <w:tc>
          <w:tcPr>
            <w:tcW w:w="1873" w:type="dxa"/>
            <w:tcBorders>
              <w:top w:val="nil"/>
              <w:left w:val="nil"/>
              <w:bottom w:val="single" w:sz="8" w:space="0" w:color="auto"/>
              <w:right w:val="single" w:sz="8" w:space="0" w:color="auto"/>
            </w:tcBorders>
            <w:noWrap/>
            <w:vAlign w:val="bottom"/>
            <w:hideMark/>
          </w:tcPr>
          <w:p w:rsidR="00FB50A1" w:rsidRDefault="00FB50A1">
            <w:pPr>
              <w:jc w:val="center"/>
              <w:rPr>
                <w:rFonts w:ascii="SWISS" w:hAnsi="SWISS" w:cs="Arial"/>
                <w:b/>
                <w:bCs/>
                <w:color w:val="000000"/>
                <w:sz w:val="20"/>
                <w:szCs w:val="20"/>
              </w:rPr>
            </w:pPr>
            <w:r>
              <w:rPr>
                <w:rFonts w:ascii="SWISS" w:hAnsi="SWISS" w:cs="Arial"/>
                <w:b/>
                <w:bCs/>
                <w:color w:val="000000"/>
                <w:sz w:val="20"/>
                <w:szCs w:val="20"/>
              </w:rPr>
              <w:t>REQUIREMENT</w:t>
            </w:r>
          </w:p>
        </w:tc>
      </w:tr>
      <w:tr w:rsidR="00FB50A1" w:rsidTr="00FB50A1">
        <w:trPr>
          <w:trHeight w:val="294"/>
          <w:jc w:val="center"/>
        </w:trPr>
        <w:tc>
          <w:tcPr>
            <w:tcW w:w="742" w:type="dxa"/>
            <w:tcBorders>
              <w:top w:val="nil"/>
              <w:left w:val="single" w:sz="8" w:space="0" w:color="auto"/>
              <w:bottom w:val="nil"/>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3625" w:type="dxa"/>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nil"/>
              <w:right w:val="single" w:sz="8" w:space="0" w:color="auto"/>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r>
      <w:tr w:rsidR="00FB50A1" w:rsidTr="00FB50A1">
        <w:trPr>
          <w:trHeight w:val="294"/>
          <w:jc w:val="center"/>
        </w:trPr>
        <w:tc>
          <w:tcPr>
            <w:tcW w:w="742" w:type="dxa"/>
            <w:tcBorders>
              <w:top w:val="nil"/>
              <w:left w:val="single" w:sz="8" w:space="0" w:color="auto"/>
              <w:bottom w:val="nil"/>
              <w:right w:val="nil"/>
            </w:tcBorders>
            <w:noWrap/>
            <w:vAlign w:val="bottom"/>
            <w:hideMark/>
          </w:tcPr>
          <w:p w:rsidR="00FB50A1" w:rsidRDefault="00FB50A1">
            <w:pPr>
              <w:jc w:val="center"/>
              <w:rPr>
                <w:rFonts w:ascii="SWISS" w:hAnsi="SWISS" w:cs="Arial"/>
                <w:color w:val="000000"/>
                <w:sz w:val="20"/>
                <w:szCs w:val="20"/>
              </w:rPr>
            </w:pPr>
            <w:r>
              <w:rPr>
                <w:rFonts w:ascii="SWISS" w:hAnsi="SWISS" w:cs="Arial"/>
                <w:color w:val="000000"/>
                <w:sz w:val="20"/>
                <w:szCs w:val="20"/>
              </w:rPr>
              <w:t xml:space="preserve">  1.</w:t>
            </w:r>
          </w:p>
        </w:tc>
        <w:tc>
          <w:tcPr>
            <w:tcW w:w="3625" w:type="dxa"/>
            <w:noWrap/>
            <w:vAlign w:val="bottom"/>
            <w:hideMark/>
          </w:tcPr>
          <w:p w:rsidR="00FB50A1" w:rsidRDefault="00FB50A1">
            <w:pPr>
              <w:rPr>
                <w:rFonts w:ascii="SWISS" w:hAnsi="SWISS" w:cs="Arial"/>
                <w:b/>
                <w:bCs/>
                <w:color w:val="000000"/>
                <w:sz w:val="20"/>
                <w:szCs w:val="20"/>
              </w:rPr>
            </w:pPr>
            <w:r>
              <w:rPr>
                <w:rFonts w:ascii="SWISS" w:hAnsi="SWISS" w:cs="Arial"/>
                <w:b/>
                <w:bCs/>
                <w:color w:val="000000"/>
                <w:sz w:val="20"/>
                <w:szCs w:val="20"/>
              </w:rPr>
              <w:t xml:space="preserve">OPERATING REVENUES               </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$40,670</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$1,870</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$42,540</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 xml:space="preserve">$4,510 </w:t>
            </w:r>
          </w:p>
        </w:tc>
        <w:tc>
          <w:tcPr>
            <w:tcW w:w="1873" w:type="dxa"/>
            <w:tcBorders>
              <w:top w:val="nil"/>
              <w:left w:val="nil"/>
              <w:bottom w:val="nil"/>
              <w:right w:val="single" w:sz="8" w:space="0" w:color="auto"/>
            </w:tcBorders>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$47,050</w:t>
            </w:r>
          </w:p>
        </w:tc>
      </w:tr>
      <w:tr w:rsidR="00FB50A1" w:rsidTr="00FB50A1">
        <w:trPr>
          <w:trHeight w:val="294"/>
          <w:jc w:val="center"/>
        </w:trPr>
        <w:tc>
          <w:tcPr>
            <w:tcW w:w="742" w:type="dxa"/>
            <w:tcBorders>
              <w:top w:val="nil"/>
              <w:left w:val="single" w:sz="8" w:space="0" w:color="auto"/>
              <w:bottom w:val="nil"/>
              <w:right w:val="nil"/>
            </w:tcBorders>
            <w:noWrap/>
            <w:vAlign w:val="bottom"/>
          </w:tcPr>
          <w:p w:rsidR="00FB50A1" w:rsidRDefault="00FB50A1">
            <w:pPr>
              <w:jc w:val="center"/>
              <w:rPr>
                <w:rFonts w:ascii="SWISS" w:hAnsi="SWISS" w:cs="Arial"/>
                <w:color w:val="000000"/>
                <w:sz w:val="20"/>
                <w:szCs w:val="20"/>
              </w:rPr>
            </w:pPr>
          </w:p>
        </w:tc>
        <w:tc>
          <w:tcPr>
            <w:tcW w:w="3625" w:type="dxa"/>
            <w:noWrap/>
            <w:vAlign w:val="bottom"/>
          </w:tcPr>
          <w:p w:rsidR="00FB50A1" w:rsidRDefault="00FB50A1">
            <w:pPr>
              <w:rPr>
                <w:rFonts w:ascii="SWISS" w:hAnsi="SWISS" w:cs="Arial"/>
                <w:color w:val="000000"/>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10.60%</w:t>
            </w:r>
          </w:p>
        </w:tc>
        <w:tc>
          <w:tcPr>
            <w:tcW w:w="1873" w:type="dxa"/>
            <w:tcBorders>
              <w:top w:val="nil"/>
              <w:left w:val="nil"/>
              <w:bottom w:val="nil"/>
              <w:right w:val="single" w:sz="8" w:space="0" w:color="auto"/>
            </w:tcBorders>
            <w:noWrap/>
            <w:vAlign w:val="bottom"/>
            <w:hideMark/>
          </w:tcPr>
          <w:p w:rsidR="00FB50A1" w:rsidRDefault="00FB50A1">
            <w:pPr>
              <w:rPr>
                <w:rFonts w:ascii="SWISS" w:hAnsi="SWISS" w:cs="Arial"/>
                <w:sz w:val="20"/>
                <w:szCs w:val="20"/>
              </w:rPr>
            </w:pPr>
            <w:r>
              <w:rPr>
                <w:rFonts w:ascii="SWISS" w:hAnsi="SWISS" w:cs="Arial"/>
                <w:sz w:val="20"/>
                <w:szCs w:val="20"/>
              </w:rPr>
              <w:t> </w:t>
            </w:r>
          </w:p>
        </w:tc>
      </w:tr>
      <w:tr w:rsidR="00FB50A1" w:rsidTr="00FB50A1">
        <w:trPr>
          <w:trHeight w:val="294"/>
          <w:jc w:val="center"/>
        </w:trPr>
        <w:tc>
          <w:tcPr>
            <w:tcW w:w="742" w:type="dxa"/>
            <w:tcBorders>
              <w:top w:val="nil"/>
              <w:left w:val="single" w:sz="8" w:space="0" w:color="auto"/>
              <w:bottom w:val="nil"/>
              <w:right w:val="nil"/>
            </w:tcBorders>
            <w:noWrap/>
            <w:vAlign w:val="bottom"/>
          </w:tcPr>
          <w:p w:rsidR="00FB50A1" w:rsidRDefault="00FB50A1">
            <w:pPr>
              <w:jc w:val="center"/>
              <w:rPr>
                <w:rFonts w:ascii="SWISS" w:hAnsi="SWISS" w:cs="Arial"/>
                <w:color w:val="000000"/>
                <w:sz w:val="20"/>
                <w:szCs w:val="20"/>
              </w:rPr>
            </w:pPr>
          </w:p>
        </w:tc>
        <w:tc>
          <w:tcPr>
            <w:tcW w:w="3625" w:type="dxa"/>
            <w:noWrap/>
            <w:vAlign w:val="bottom"/>
            <w:hideMark/>
          </w:tcPr>
          <w:p w:rsidR="00FB50A1" w:rsidRDefault="00FB50A1">
            <w:pPr>
              <w:rPr>
                <w:rFonts w:ascii="SWISS" w:hAnsi="SWISS" w:cs="Arial"/>
                <w:b/>
                <w:bCs/>
                <w:color w:val="000000"/>
                <w:sz w:val="20"/>
                <w:szCs w:val="20"/>
              </w:rPr>
            </w:pPr>
            <w:r>
              <w:rPr>
                <w:rFonts w:ascii="SWISS" w:hAnsi="SWISS" w:cs="Arial"/>
                <w:b/>
                <w:bCs/>
                <w:color w:val="000000"/>
                <w:sz w:val="20"/>
                <w:szCs w:val="20"/>
              </w:rPr>
              <w:t>OPERATING EXPENSES:</w:t>
            </w: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FB50A1" w:rsidRDefault="00FB50A1">
            <w:pPr>
              <w:rPr>
                <w:rFonts w:ascii="SWISS" w:hAnsi="SWISS" w:cs="Arial"/>
                <w:sz w:val="20"/>
                <w:szCs w:val="20"/>
              </w:rPr>
            </w:pPr>
            <w:r>
              <w:rPr>
                <w:rFonts w:ascii="SWISS" w:hAnsi="SWISS" w:cs="Arial"/>
                <w:sz w:val="20"/>
                <w:szCs w:val="20"/>
              </w:rPr>
              <w:t> </w:t>
            </w:r>
          </w:p>
        </w:tc>
      </w:tr>
      <w:tr w:rsidR="00FB50A1" w:rsidTr="00FB50A1">
        <w:trPr>
          <w:trHeight w:val="294"/>
          <w:jc w:val="center"/>
        </w:trPr>
        <w:tc>
          <w:tcPr>
            <w:tcW w:w="742" w:type="dxa"/>
            <w:tcBorders>
              <w:top w:val="nil"/>
              <w:left w:val="single" w:sz="8" w:space="0" w:color="auto"/>
              <w:bottom w:val="nil"/>
              <w:right w:val="nil"/>
            </w:tcBorders>
            <w:noWrap/>
            <w:vAlign w:val="bottom"/>
            <w:hideMark/>
          </w:tcPr>
          <w:p w:rsidR="00FB50A1" w:rsidRDefault="00FB50A1">
            <w:pPr>
              <w:jc w:val="center"/>
              <w:rPr>
                <w:rFonts w:ascii="SWISS" w:hAnsi="SWISS" w:cs="Arial"/>
                <w:color w:val="000000"/>
                <w:sz w:val="20"/>
                <w:szCs w:val="20"/>
              </w:rPr>
            </w:pPr>
            <w:r>
              <w:rPr>
                <w:rFonts w:ascii="SWISS" w:hAnsi="SWISS" w:cs="Arial"/>
                <w:color w:val="000000"/>
                <w:sz w:val="20"/>
                <w:szCs w:val="20"/>
              </w:rPr>
              <w:t xml:space="preserve">  2.</w:t>
            </w:r>
          </w:p>
        </w:tc>
        <w:tc>
          <w:tcPr>
            <w:tcW w:w="3625" w:type="dxa"/>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xml:space="preserve">  OPERATION &amp; MAINTENANCE</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 xml:space="preserve">$33,985 </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 xml:space="preserve">($584) </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 xml:space="preserve">$33,402 </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 xml:space="preserve">$0 </w:t>
            </w:r>
          </w:p>
        </w:tc>
        <w:tc>
          <w:tcPr>
            <w:tcW w:w="1873" w:type="dxa"/>
            <w:tcBorders>
              <w:top w:val="nil"/>
              <w:left w:val="nil"/>
              <w:bottom w:val="nil"/>
              <w:right w:val="single" w:sz="8" w:space="0" w:color="auto"/>
            </w:tcBorders>
            <w:noWrap/>
            <w:vAlign w:val="bottom"/>
            <w:hideMark/>
          </w:tcPr>
          <w:p w:rsidR="00FB50A1" w:rsidRDefault="00FB50A1">
            <w:pPr>
              <w:jc w:val="right"/>
              <w:rPr>
                <w:rFonts w:ascii="SWISS" w:hAnsi="SWISS" w:cs="Arial"/>
                <w:sz w:val="20"/>
                <w:szCs w:val="20"/>
              </w:rPr>
            </w:pPr>
            <w:r>
              <w:rPr>
                <w:rFonts w:ascii="SWISS" w:hAnsi="SWISS" w:cs="Arial"/>
                <w:sz w:val="20"/>
                <w:szCs w:val="20"/>
              </w:rPr>
              <w:t xml:space="preserve">$33,402 </w:t>
            </w:r>
          </w:p>
        </w:tc>
      </w:tr>
      <w:tr w:rsidR="00FB50A1" w:rsidTr="00FB50A1">
        <w:trPr>
          <w:trHeight w:val="306"/>
          <w:jc w:val="center"/>
        </w:trPr>
        <w:tc>
          <w:tcPr>
            <w:tcW w:w="742" w:type="dxa"/>
            <w:tcBorders>
              <w:top w:val="nil"/>
              <w:left w:val="single" w:sz="8" w:space="0" w:color="auto"/>
              <w:bottom w:val="nil"/>
              <w:right w:val="nil"/>
            </w:tcBorders>
            <w:noWrap/>
            <w:vAlign w:val="bottom"/>
          </w:tcPr>
          <w:p w:rsidR="00FB50A1" w:rsidRDefault="00FB50A1">
            <w:pPr>
              <w:jc w:val="center"/>
              <w:rPr>
                <w:rFonts w:ascii="SWISS" w:hAnsi="SWISS" w:cs="Arial"/>
                <w:color w:val="000000"/>
                <w:sz w:val="20"/>
                <w:szCs w:val="20"/>
              </w:rPr>
            </w:pPr>
          </w:p>
        </w:tc>
        <w:tc>
          <w:tcPr>
            <w:tcW w:w="3625" w:type="dxa"/>
            <w:noWrap/>
            <w:vAlign w:val="bottom"/>
          </w:tcPr>
          <w:p w:rsidR="00FB50A1" w:rsidRDefault="00FB50A1">
            <w:pPr>
              <w:rPr>
                <w:rFonts w:ascii="SWISS" w:hAnsi="SWISS" w:cs="Arial"/>
                <w:color w:val="000000"/>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FB50A1" w:rsidRDefault="00FB50A1">
            <w:pPr>
              <w:rPr>
                <w:rFonts w:ascii="SWISS" w:hAnsi="SWISS" w:cs="Arial"/>
                <w:sz w:val="20"/>
                <w:szCs w:val="20"/>
              </w:rPr>
            </w:pPr>
            <w:r>
              <w:rPr>
                <w:rFonts w:ascii="SWISS" w:hAnsi="SWISS" w:cs="Arial"/>
                <w:sz w:val="20"/>
                <w:szCs w:val="20"/>
              </w:rPr>
              <w:t> </w:t>
            </w:r>
          </w:p>
        </w:tc>
      </w:tr>
      <w:tr w:rsidR="00FB50A1" w:rsidTr="00FB50A1">
        <w:trPr>
          <w:trHeight w:val="306"/>
          <w:jc w:val="center"/>
        </w:trPr>
        <w:tc>
          <w:tcPr>
            <w:tcW w:w="742" w:type="dxa"/>
            <w:tcBorders>
              <w:top w:val="nil"/>
              <w:left w:val="single" w:sz="8" w:space="0" w:color="auto"/>
              <w:bottom w:val="nil"/>
              <w:right w:val="nil"/>
            </w:tcBorders>
            <w:noWrap/>
            <w:vAlign w:val="bottom"/>
            <w:hideMark/>
          </w:tcPr>
          <w:p w:rsidR="00FB50A1" w:rsidRDefault="00FB50A1">
            <w:pPr>
              <w:jc w:val="center"/>
              <w:rPr>
                <w:rFonts w:ascii="SWISS" w:hAnsi="SWISS" w:cs="Arial"/>
                <w:color w:val="000000"/>
                <w:sz w:val="20"/>
                <w:szCs w:val="20"/>
              </w:rPr>
            </w:pPr>
            <w:r>
              <w:rPr>
                <w:rFonts w:ascii="SWISS" w:hAnsi="SWISS" w:cs="Arial"/>
                <w:color w:val="000000"/>
                <w:sz w:val="20"/>
                <w:szCs w:val="20"/>
              </w:rPr>
              <w:t xml:space="preserve">  3.</w:t>
            </w:r>
          </w:p>
        </w:tc>
        <w:tc>
          <w:tcPr>
            <w:tcW w:w="3625" w:type="dxa"/>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xml:space="preserve">  DEPRECIATION (NET)</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9,595</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 xml:space="preserve">(3,116) </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 xml:space="preserve">6,479 </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 xml:space="preserve">0 </w:t>
            </w:r>
          </w:p>
        </w:tc>
        <w:tc>
          <w:tcPr>
            <w:tcW w:w="1873" w:type="dxa"/>
            <w:tcBorders>
              <w:top w:val="nil"/>
              <w:left w:val="nil"/>
              <w:bottom w:val="nil"/>
              <w:right w:val="single" w:sz="8" w:space="0" w:color="auto"/>
            </w:tcBorders>
            <w:noWrap/>
            <w:vAlign w:val="bottom"/>
            <w:hideMark/>
          </w:tcPr>
          <w:p w:rsidR="00FB50A1" w:rsidRDefault="00FB50A1">
            <w:pPr>
              <w:jc w:val="right"/>
              <w:rPr>
                <w:rFonts w:ascii="SWISS" w:hAnsi="SWISS" w:cs="Arial"/>
                <w:sz w:val="20"/>
                <w:szCs w:val="20"/>
              </w:rPr>
            </w:pPr>
            <w:r>
              <w:rPr>
                <w:rFonts w:ascii="SWISS" w:hAnsi="SWISS" w:cs="Arial"/>
                <w:sz w:val="20"/>
                <w:szCs w:val="20"/>
              </w:rPr>
              <w:t>6,479</w:t>
            </w:r>
          </w:p>
        </w:tc>
      </w:tr>
      <w:tr w:rsidR="00FB50A1" w:rsidTr="00FB50A1">
        <w:trPr>
          <w:trHeight w:val="294"/>
          <w:jc w:val="center"/>
        </w:trPr>
        <w:tc>
          <w:tcPr>
            <w:tcW w:w="742" w:type="dxa"/>
            <w:tcBorders>
              <w:top w:val="nil"/>
              <w:left w:val="single" w:sz="8" w:space="0" w:color="auto"/>
              <w:bottom w:val="nil"/>
              <w:right w:val="nil"/>
            </w:tcBorders>
            <w:noWrap/>
            <w:vAlign w:val="bottom"/>
          </w:tcPr>
          <w:p w:rsidR="00FB50A1" w:rsidRDefault="00FB50A1">
            <w:pPr>
              <w:jc w:val="center"/>
              <w:rPr>
                <w:rFonts w:ascii="SWISS" w:hAnsi="SWISS" w:cs="Arial"/>
                <w:color w:val="000000"/>
                <w:sz w:val="20"/>
                <w:szCs w:val="20"/>
              </w:rPr>
            </w:pPr>
          </w:p>
        </w:tc>
        <w:tc>
          <w:tcPr>
            <w:tcW w:w="3625" w:type="dxa"/>
            <w:noWrap/>
            <w:vAlign w:val="bottom"/>
          </w:tcPr>
          <w:p w:rsidR="00FB50A1" w:rsidRDefault="00FB50A1">
            <w:pPr>
              <w:rPr>
                <w:rFonts w:ascii="SWISS" w:hAnsi="SWISS" w:cs="Arial"/>
                <w:color w:val="000000"/>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FB50A1" w:rsidRDefault="00FB50A1">
            <w:pPr>
              <w:rPr>
                <w:rFonts w:ascii="SWISS" w:hAnsi="SWISS" w:cs="Arial"/>
                <w:sz w:val="20"/>
                <w:szCs w:val="20"/>
              </w:rPr>
            </w:pPr>
            <w:r>
              <w:rPr>
                <w:rFonts w:ascii="SWISS" w:hAnsi="SWISS" w:cs="Arial"/>
                <w:sz w:val="20"/>
                <w:szCs w:val="20"/>
              </w:rPr>
              <w:t> </w:t>
            </w:r>
          </w:p>
        </w:tc>
      </w:tr>
      <w:tr w:rsidR="00FB50A1" w:rsidTr="00FB50A1">
        <w:trPr>
          <w:trHeight w:val="294"/>
          <w:jc w:val="center"/>
        </w:trPr>
        <w:tc>
          <w:tcPr>
            <w:tcW w:w="742" w:type="dxa"/>
            <w:tcBorders>
              <w:top w:val="nil"/>
              <w:left w:val="single" w:sz="8" w:space="0" w:color="auto"/>
              <w:bottom w:val="nil"/>
              <w:right w:val="nil"/>
            </w:tcBorders>
            <w:noWrap/>
            <w:vAlign w:val="bottom"/>
            <w:hideMark/>
          </w:tcPr>
          <w:p w:rsidR="00FB50A1" w:rsidRDefault="00FB50A1">
            <w:pPr>
              <w:jc w:val="center"/>
              <w:rPr>
                <w:rFonts w:ascii="SWISS" w:hAnsi="SWISS" w:cs="Arial"/>
                <w:color w:val="000000"/>
                <w:sz w:val="20"/>
                <w:szCs w:val="20"/>
              </w:rPr>
            </w:pPr>
            <w:r>
              <w:rPr>
                <w:rFonts w:ascii="SWISS" w:hAnsi="SWISS" w:cs="Arial"/>
                <w:color w:val="000000"/>
                <w:sz w:val="20"/>
                <w:szCs w:val="20"/>
              </w:rPr>
              <w:t xml:space="preserve">  4.</w:t>
            </w:r>
          </w:p>
        </w:tc>
        <w:tc>
          <w:tcPr>
            <w:tcW w:w="3625" w:type="dxa"/>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xml:space="preserve">  TAXES OTHER THAN INCOME</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2,951</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 xml:space="preserve">(467)   </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 xml:space="preserve">2,484 </w:t>
            </w:r>
          </w:p>
        </w:tc>
        <w:tc>
          <w:tcPr>
            <w:tcW w:w="1873" w:type="dxa"/>
            <w:noWrap/>
            <w:vAlign w:val="bottom"/>
            <w:hideMark/>
          </w:tcPr>
          <w:p w:rsidR="00FB50A1" w:rsidRDefault="00FB50A1">
            <w:pPr>
              <w:jc w:val="right"/>
              <w:rPr>
                <w:rFonts w:ascii="SWISS" w:hAnsi="SWISS" w:cs="Arial"/>
                <w:sz w:val="20"/>
                <w:szCs w:val="20"/>
              </w:rPr>
            </w:pPr>
            <w:r>
              <w:rPr>
                <w:rFonts w:ascii="SWISS" w:hAnsi="SWISS" w:cs="Arial"/>
                <w:sz w:val="20"/>
                <w:szCs w:val="20"/>
              </w:rPr>
              <w:t xml:space="preserve">203 </w:t>
            </w:r>
          </w:p>
        </w:tc>
        <w:tc>
          <w:tcPr>
            <w:tcW w:w="1873" w:type="dxa"/>
            <w:tcBorders>
              <w:top w:val="nil"/>
              <w:left w:val="nil"/>
              <w:bottom w:val="nil"/>
              <w:right w:val="single" w:sz="8" w:space="0" w:color="auto"/>
            </w:tcBorders>
            <w:noWrap/>
            <w:vAlign w:val="bottom"/>
            <w:hideMark/>
          </w:tcPr>
          <w:p w:rsidR="00FB50A1" w:rsidRDefault="00FB50A1">
            <w:pPr>
              <w:jc w:val="right"/>
              <w:rPr>
                <w:rFonts w:ascii="SWISS" w:hAnsi="SWISS" w:cs="Arial"/>
                <w:sz w:val="20"/>
                <w:szCs w:val="20"/>
              </w:rPr>
            </w:pPr>
            <w:r>
              <w:rPr>
                <w:rFonts w:ascii="SWISS" w:hAnsi="SWISS" w:cs="Arial"/>
                <w:sz w:val="20"/>
                <w:szCs w:val="20"/>
              </w:rPr>
              <w:t>2,687</w:t>
            </w:r>
          </w:p>
        </w:tc>
      </w:tr>
      <w:tr w:rsidR="00FB50A1" w:rsidTr="00FB50A1">
        <w:trPr>
          <w:trHeight w:val="294"/>
          <w:jc w:val="center"/>
        </w:trPr>
        <w:tc>
          <w:tcPr>
            <w:tcW w:w="742" w:type="dxa"/>
            <w:tcBorders>
              <w:top w:val="nil"/>
              <w:left w:val="single" w:sz="8" w:space="0" w:color="auto"/>
              <w:bottom w:val="nil"/>
              <w:right w:val="nil"/>
            </w:tcBorders>
            <w:noWrap/>
            <w:vAlign w:val="bottom"/>
          </w:tcPr>
          <w:p w:rsidR="00FB50A1" w:rsidRDefault="00FB50A1">
            <w:pPr>
              <w:jc w:val="center"/>
              <w:rPr>
                <w:rFonts w:ascii="SWISS" w:hAnsi="SWISS" w:cs="Arial"/>
                <w:color w:val="000000"/>
                <w:sz w:val="20"/>
                <w:szCs w:val="20"/>
              </w:rPr>
            </w:pPr>
          </w:p>
        </w:tc>
        <w:tc>
          <w:tcPr>
            <w:tcW w:w="3625" w:type="dxa"/>
            <w:noWrap/>
            <w:vAlign w:val="bottom"/>
          </w:tcPr>
          <w:p w:rsidR="00FB50A1" w:rsidRDefault="00FB50A1">
            <w:pPr>
              <w:rPr>
                <w:rFonts w:ascii="SWISS" w:hAnsi="SWISS" w:cs="Arial"/>
                <w:color w:val="000000"/>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FB50A1" w:rsidRDefault="00FB50A1">
            <w:pPr>
              <w:rPr>
                <w:rFonts w:ascii="SWISS" w:hAnsi="SWISS" w:cs="Arial"/>
                <w:sz w:val="20"/>
                <w:szCs w:val="20"/>
              </w:rPr>
            </w:pPr>
            <w:r>
              <w:rPr>
                <w:rFonts w:ascii="SWISS" w:hAnsi="SWISS" w:cs="Arial"/>
                <w:sz w:val="20"/>
                <w:szCs w:val="20"/>
              </w:rPr>
              <w:t> </w:t>
            </w:r>
          </w:p>
        </w:tc>
      </w:tr>
      <w:tr w:rsidR="00FB50A1" w:rsidTr="00FB50A1">
        <w:trPr>
          <w:trHeight w:val="294"/>
          <w:jc w:val="center"/>
        </w:trPr>
        <w:tc>
          <w:tcPr>
            <w:tcW w:w="742" w:type="dxa"/>
            <w:tcBorders>
              <w:top w:val="nil"/>
              <w:left w:val="single" w:sz="8" w:space="0" w:color="auto"/>
              <w:bottom w:val="nil"/>
              <w:right w:val="nil"/>
            </w:tcBorders>
            <w:noWrap/>
            <w:vAlign w:val="bottom"/>
            <w:hideMark/>
          </w:tcPr>
          <w:p w:rsidR="00FB50A1" w:rsidRDefault="00FB50A1">
            <w:pPr>
              <w:jc w:val="center"/>
              <w:rPr>
                <w:rFonts w:ascii="SWISS" w:hAnsi="SWISS" w:cs="Arial"/>
                <w:color w:val="000000"/>
                <w:sz w:val="20"/>
                <w:szCs w:val="20"/>
              </w:rPr>
            </w:pPr>
            <w:r>
              <w:rPr>
                <w:rFonts w:ascii="SWISS" w:hAnsi="SWISS" w:cs="Arial"/>
                <w:color w:val="000000"/>
                <w:sz w:val="20"/>
                <w:szCs w:val="20"/>
              </w:rPr>
              <w:t xml:space="preserve">  5.</w:t>
            </w:r>
          </w:p>
        </w:tc>
        <w:tc>
          <w:tcPr>
            <w:tcW w:w="3625" w:type="dxa"/>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xml:space="preserve">  INCOME TAXES</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0</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0</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0</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 xml:space="preserve">0 </w:t>
            </w:r>
          </w:p>
        </w:tc>
        <w:tc>
          <w:tcPr>
            <w:tcW w:w="1873" w:type="dxa"/>
            <w:tcBorders>
              <w:top w:val="nil"/>
              <w:left w:val="nil"/>
              <w:bottom w:val="nil"/>
              <w:right w:val="single" w:sz="8" w:space="0" w:color="auto"/>
            </w:tcBorders>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 xml:space="preserve">0 </w:t>
            </w:r>
          </w:p>
        </w:tc>
      </w:tr>
      <w:tr w:rsidR="00FB50A1" w:rsidTr="00FB50A1">
        <w:trPr>
          <w:trHeight w:val="294"/>
          <w:jc w:val="center"/>
        </w:trPr>
        <w:tc>
          <w:tcPr>
            <w:tcW w:w="742" w:type="dxa"/>
            <w:tcBorders>
              <w:top w:val="nil"/>
              <w:left w:val="single" w:sz="8" w:space="0" w:color="auto"/>
              <w:bottom w:val="nil"/>
              <w:right w:val="nil"/>
            </w:tcBorders>
            <w:noWrap/>
            <w:vAlign w:val="bottom"/>
          </w:tcPr>
          <w:p w:rsidR="00FB50A1" w:rsidRDefault="00FB50A1">
            <w:pPr>
              <w:jc w:val="center"/>
              <w:rPr>
                <w:rFonts w:ascii="SWISS" w:hAnsi="SWISS" w:cs="Arial"/>
                <w:color w:val="000000"/>
                <w:sz w:val="20"/>
                <w:szCs w:val="20"/>
              </w:rPr>
            </w:pPr>
          </w:p>
        </w:tc>
        <w:tc>
          <w:tcPr>
            <w:tcW w:w="3625" w:type="dxa"/>
            <w:noWrap/>
            <w:vAlign w:val="bottom"/>
          </w:tcPr>
          <w:p w:rsidR="00FB50A1" w:rsidRDefault="00FB50A1">
            <w:pPr>
              <w:rPr>
                <w:rFonts w:ascii="SWISS" w:hAnsi="SWISS" w:cs="Arial"/>
                <w:color w:val="000000"/>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FB50A1" w:rsidRDefault="00FB50A1">
            <w:pPr>
              <w:rPr>
                <w:rFonts w:ascii="SWISS" w:hAnsi="SWISS" w:cs="Arial"/>
                <w:sz w:val="20"/>
                <w:szCs w:val="20"/>
              </w:rPr>
            </w:pPr>
            <w:r>
              <w:rPr>
                <w:rFonts w:ascii="SWISS" w:hAnsi="SWISS" w:cs="Arial"/>
                <w:sz w:val="20"/>
                <w:szCs w:val="20"/>
              </w:rPr>
              <w:t> </w:t>
            </w:r>
          </w:p>
        </w:tc>
      </w:tr>
      <w:tr w:rsidR="00FB50A1" w:rsidTr="00FB50A1">
        <w:trPr>
          <w:trHeight w:val="294"/>
          <w:jc w:val="center"/>
        </w:trPr>
        <w:tc>
          <w:tcPr>
            <w:tcW w:w="742" w:type="dxa"/>
            <w:tcBorders>
              <w:top w:val="nil"/>
              <w:left w:val="single" w:sz="8" w:space="0" w:color="auto"/>
              <w:bottom w:val="nil"/>
              <w:right w:val="nil"/>
            </w:tcBorders>
            <w:noWrap/>
            <w:vAlign w:val="bottom"/>
            <w:hideMark/>
          </w:tcPr>
          <w:p w:rsidR="00FB50A1" w:rsidRDefault="00FB50A1">
            <w:pPr>
              <w:jc w:val="center"/>
              <w:rPr>
                <w:rFonts w:ascii="SWISS" w:hAnsi="SWISS" w:cs="Arial"/>
                <w:color w:val="000000"/>
                <w:sz w:val="20"/>
                <w:szCs w:val="20"/>
              </w:rPr>
            </w:pPr>
            <w:r>
              <w:rPr>
                <w:rFonts w:ascii="SWISS" w:hAnsi="SWISS" w:cs="Arial"/>
                <w:color w:val="000000"/>
                <w:sz w:val="20"/>
                <w:szCs w:val="20"/>
              </w:rPr>
              <w:t xml:space="preserve">  6.</w:t>
            </w:r>
          </w:p>
        </w:tc>
        <w:tc>
          <w:tcPr>
            <w:tcW w:w="3625" w:type="dxa"/>
            <w:noWrap/>
            <w:vAlign w:val="bottom"/>
            <w:hideMark/>
          </w:tcPr>
          <w:p w:rsidR="00FB50A1" w:rsidRDefault="00FB50A1">
            <w:pPr>
              <w:rPr>
                <w:rFonts w:ascii="SWISS" w:hAnsi="SWISS" w:cs="Arial"/>
                <w:b/>
                <w:bCs/>
                <w:color w:val="000000"/>
                <w:sz w:val="20"/>
                <w:szCs w:val="20"/>
              </w:rPr>
            </w:pPr>
            <w:r>
              <w:rPr>
                <w:rFonts w:ascii="SWISS" w:hAnsi="SWISS" w:cs="Arial"/>
                <w:b/>
                <w:bCs/>
                <w:color w:val="000000"/>
                <w:sz w:val="20"/>
                <w:szCs w:val="20"/>
              </w:rPr>
              <w:t xml:space="preserve">TOTAL OPERATING EXPENSES    </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$46,531</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 xml:space="preserve">($4,166)  </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$42,365</w:t>
            </w:r>
          </w:p>
        </w:tc>
        <w:tc>
          <w:tcPr>
            <w:tcW w:w="1873" w:type="dxa"/>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 xml:space="preserve">$203 </w:t>
            </w:r>
          </w:p>
        </w:tc>
        <w:tc>
          <w:tcPr>
            <w:tcW w:w="1873" w:type="dxa"/>
            <w:tcBorders>
              <w:top w:val="nil"/>
              <w:left w:val="nil"/>
              <w:bottom w:val="nil"/>
              <w:right w:val="single" w:sz="8" w:space="0" w:color="auto"/>
            </w:tcBorders>
            <w:noWrap/>
            <w:vAlign w:val="bottom"/>
            <w:hideMark/>
          </w:tcPr>
          <w:p w:rsidR="00FB50A1" w:rsidRDefault="00FB50A1">
            <w:pPr>
              <w:jc w:val="right"/>
              <w:rPr>
                <w:rFonts w:ascii="SWISS" w:hAnsi="SWISS" w:cs="Arial"/>
                <w:sz w:val="20"/>
                <w:szCs w:val="20"/>
                <w:u w:val="single"/>
              </w:rPr>
            </w:pPr>
            <w:r>
              <w:rPr>
                <w:rFonts w:ascii="SWISS" w:hAnsi="SWISS" w:cs="Arial"/>
                <w:sz w:val="20"/>
                <w:szCs w:val="20"/>
                <w:u w:val="single"/>
              </w:rPr>
              <w:t>$42,568</w:t>
            </w:r>
          </w:p>
        </w:tc>
      </w:tr>
      <w:tr w:rsidR="00FB50A1" w:rsidTr="00FB50A1">
        <w:trPr>
          <w:trHeight w:val="294"/>
          <w:jc w:val="center"/>
        </w:trPr>
        <w:tc>
          <w:tcPr>
            <w:tcW w:w="742" w:type="dxa"/>
            <w:tcBorders>
              <w:top w:val="nil"/>
              <w:left w:val="single" w:sz="8" w:space="0" w:color="auto"/>
              <w:bottom w:val="nil"/>
              <w:right w:val="nil"/>
            </w:tcBorders>
            <w:noWrap/>
            <w:vAlign w:val="bottom"/>
          </w:tcPr>
          <w:p w:rsidR="00FB50A1" w:rsidRDefault="00FB50A1">
            <w:pPr>
              <w:jc w:val="center"/>
              <w:rPr>
                <w:rFonts w:ascii="SWISS" w:hAnsi="SWISS" w:cs="Arial"/>
                <w:color w:val="000000"/>
                <w:sz w:val="20"/>
                <w:szCs w:val="20"/>
              </w:rPr>
            </w:pPr>
          </w:p>
        </w:tc>
        <w:tc>
          <w:tcPr>
            <w:tcW w:w="3625" w:type="dxa"/>
            <w:noWrap/>
            <w:vAlign w:val="bottom"/>
          </w:tcPr>
          <w:p w:rsidR="00FB50A1" w:rsidRDefault="00FB50A1">
            <w:pPr>
              <w:rPr>
                <w:rFonts w:ascii="SWISS" w:hAnsi="SWISS" w:cs="Arial"/>
                <w:color w:val="000000"/>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FB50A1" w:rsidRDefault="00FB50A1">
            <w:pPr>
              <w:rPr>
                <w:rFonts w:ascii="SWISS" w:hAnsi="SWISS" w:cs="Arial"/>
                <w:sz w:val="20"/>
                <w:szCs w:val="20"/>
              </w:rPr>
            </w:pPr>
            <w:r>
              <w:rPr>
                <w:rFonts w:ascii="SWISS" w:hAnsi="SWISS" w:cs="Arial"/>
                <w:sz w:val="20"/>
                <w:szCs w:val="20"/>
              </w:rPr>
              <w:t> </w:t>
            </w:r>
          </w:p>
        </w:tc>
      </w:tr>
      <w:tr w:rsidR="00FB50A1" w:rsidTr="00FB50A1">
        <w:trPr>
          <w:trHeight w:val="294"/>
          <w:jc w:val="center"/>
        </w:trPr>
        <w:tc>
          <w:tcPr>
            <w:tcW w:w="742" w:type="dxa"/>
            <w:tcBorders>
              <w:top w:val="nil"/>
              <w:left w:val="single" w:sz="8" w:space="0" w:color="auto"/>
              <w:bottom w:val="nil"/>
              <w:right w:val="nil"/>
            </w:tcBorders>
            <w:noWrap/>
            <w:vAlign w:val="bottom"/>
            <w:hideMark/>
          </w:tcPr>
          <w:p w:rsidR="00FB50A1" w:rsidRDefault="00FB50A1">
            <w:pPr>
              <w:jc w:val="center"/>
              <w:rPr>
                <w:rFonts w:ascii="SWISS" w:hAnsi="SWISS" w:cs="Arial"/>
                <w:color w:val="000000"/>
                <w:sz w:val="20"/>
                <w:szCs w:val="20"/>
              </w:rPr>
            </w:pPr>
            <w:r>
              <w:rPr>
                <w:rFonts w:ascii="SWISS" w:hAnsi="SWISS" w:cs="Arial"/>
                <w:color w:val="000000"/>
                <w:sz w:val="20"/>
                <w:szCs w:val="20"/>
              </w:rPr>
              <w:t xml:space="preserve">  7.</w:t>
            </w:r>
          </w:p>
        </w:tc>
        <w:tc>
          <w:tcPr>
            <w:tcW w:w="3625" w:type="dxa"/>
            <w:noWrap/>
            <w:vAlign w:val="bottom"/>
            <w:hideMark/>
          </w:tcPr>
          <w:p w:rsidR="00FB50A1" w:rsidRDefault="00FB50A1">
            <w:pPr>
              <w:rPr>
                <w:rFonts w:ascii="SWISS" w:hAnsi="SWISS" w:cs="Arial"/>
                <w:b/>
                <w:bCs/>
                <w:color w:val="000000"/>
                <w:sz w:val="20"/>
                <w:szCs w:val="20"/>
              </w:rPr>
            </w:pPr>
            <w:r>
              <w:rPr>
                <w:rFonts w:ascii="SWISS" w:hAnsi="SWISS" w:cs="Arial"/>
                <w:b/>
                <w:bCs/>
                <w:color w:val="000000"/>
                <w:sz w:val="20"/>
                <w:szCs w:val="20"/>
              </w:rPr>
              <w:t xml:space="preserve">OPERATING INCOME/(LOSS)        </w:t>
            </w:r>
          </w:p>
        </w:tc>
        <w:tc>
          <w:tcPr>
            <w:tcW w:w="1873" w:type="dxa"/>
            <w:noWrap/>
            <w:vAlign w:val="bottom"/>
            <w:hideMark/>
          </w:tcPr>
          <w:p w:rsidR="00FB50A1" w:rsidRDefault="00FB50A1">
            <w:pPr>
              <w:jc w:val="right"/>
              <w:rPr>
                <w:rFonts w:ascii="SWISS" w:hAnsi="SWISS" w:cs="Arial"/>
                <w:sz w:val="20"/>
                <w:szCs w:val="20"/>
                <w:u w:val="double"/>
              </w:rPr>
            </w:pPr>
            <w:r>
              <w:rPr>
                <w:rFonts w:ascii="SWISS" w:hAnsi="SWISS" w:cs="Arial"/>
                <w:sz w:val="20"/>
                <w:szCs w:val="20"/>
                <w:u w:val="double"/>
              </w:rPr>
              <w:t xml:space="preserve">($5,861) </w:t>
            </w:r>
          </w:p>
        </w:tc>
        <w:tc>
          <w:tcPr>
            <w:tcW w:w="1873" w:type="dxa"/>
            <w:noWrap/>
            <w:vAlign w:val="bottom"/>
          </w:tcPr>
          <w:p w:rsidR="00FB50A1" w:rsidRDefault="00FB50A1">
            <w:pPr>
              <w:rPr>
                <w:rFonts w:ascii="SWISS" w:hAnsi="SWISS" w:cs="Arial"/>
                <w:sz w:val="20"/>
                <w:szCs w:val="20"/>
                <w:u w:val="double"/>
              </w:rPr>
            </w:pPr>
          </w:p>
        </w:tc>
        <w:tc>
          <w:tcPr>
            <w:tcW w:w="1873" w:type="dxa"/>
            <w:noWrap/>
            <w:vAlign w:val="bottom"/>
            <w:hideMark/>
          </w:tcPr>
          <w:p w:rsidR="00FB50A1" w:rsidRDefault="00FB50A1">
            <w:pPr>
              <w:jc w:val="right"/>
              <w:rPr>
                <w:rFonts w:ascii="SWISS" w:hAnsi="SWISS" w:cs="Arial"/>
                <w:sz w:val="20"/>
                <w:szCs w:val="20"/>
                <w:u w:val="double"/>
              </w:rPr>
            </w:pPr>
            <w:r>
              <w:rPr>
                <w:rFonts w:ascii="SWISS" w:hAnsi="SWISS" w:cs="Arial"/>
                <w:sz w:val="20"/>
                <w:szCs w:val="20"/>
                <w:u w:val="double"/>
              </w:rPr>
              <w:t>$175</w:t>
            </w:r>
          </w:p>
        </w:tc>
        <w:tc>
          <w:tcPr>
            <w:tcW w:w="1873" w:type="dxa"/>
            <w:noWrap/>
            <w:vAlign w:val="bottom"/>
          </w:tcPr>
          <w:p w:rsidR="00FB50A1" w:rsidRDefault="00FB50A1">
            <w:pPr>
              <w:rPr>
                <w:rFonts w:ascii="SWISS" w:hAnsi="SWISS" w:cs="Arial"/>
                <w:sz w:val="20"/>
                <w:szCs w:val="20"/>
                <w:u w:val="double"/>
              </w:rPr>
            </w:pPr>
          </w:p>
        </w:tc>
        <w:tc>
          <w:tcPr>
            <w:tcW w:w="1873" w:type="dxa"/>
            <w:tcBorders>
              <w:top w:val="nil"/>
              <w:left w:val="nil"/>
              <w:bottom w:val="nil"/>
              <w:right w:val="single" w:sz="8" w:space="0" w:color="auto"/>
            </w:tcBorders>
            <w:noWrap/>
            <w:vAlign w:val="bottom"/>
            <w:hideMark/>
          </w:tcPr>
          <w:p w:rsidR="00FB50A1" w:rsidRDefault="00FB50A1">
            <w:pPr>
              <w:jc w:val="right"/>
              <w:rPr>
                <w:rFonts w:ascii="SWISS" w:hAnsi="SWISS" w:cs="Arial"/>
                <w:sz w:val="20"/>
                <w:szCs w:val="20"/>
                <w:u w:val="double"/>
              </w:rPr>
            </w:pPr>
            <w:r>
              <w:rPr>
                <w:rFonts w:ascii="SWISS" w:hAnsi="SWISS" w:cs="Arial"/>
                <w:sz w:val="20"/>
                <w:szCs w:val="20"/>
                <w:u w:val="double"/>
              </w:rPr>
              <w:t xml:space="preserve">$4,482 </w:t>
            </w:r>
          </w:p>
        </w:tc>
      </w:tr>
      <w:tr w:rsidR="00FB50A1" w:rsidTr="00FB50A1">
        <w:trPr>
          <w:trHeight w:val="294"/>
          <w:jc w:val="center"/>
        </w:trPr>
        <w:tc>
          <w:tcPr>
            <w:tcW w:w="742" w:type="dxa"/>
            <w:tcBorders>
              <w:top w:val="nil"/>
              <w:left w:val="single" w:sz="8" w:space="0" w:color="auto"/>
              <w:bottom w:val="nil"/>
              <w:right w:val="nil"/>
            </w:tcBorders>
            <w:noWrap/>
            <w:vAlign w:val="bottom"/>
          </w:tcPr>
          <w:p w:rsidR="00FB50A1" w:rsidRDefault="00FB50A1">
            <w:pPr>
              <w:jc w:val="center"/>
              <w:rPr>
                <w:rFonts w:ascii="SWISS" w:hAnsi="SWISS" w:cs="Arial"/>
                <w:color w:val="000000"/>
                <w:sz w:val="20"/>
                <w:szCs w:val="20"/>
              </w:rPr>
            </w:pPr>
          </w:p>
        </w:tc>
        <w:tc>
          <w:tcPr>
            <w:tcW w:w="3625" w:type="dxa"/>
            <w:noWrap/>
            <w:vAlign w:val="bottom"/>
          </w:tcPr>
          <w:p w:rsidR="00FB50A1" w:rsidRDefault="00FB50A1">
            <w:pPr>
              <w:rPr>
                <w:rFonts w:ascii="SWISS" w:hAnsi="SWISS" w:cs="Arial"/>
                <w:color w:val="000000"/>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FB50A1" w:rsidRDefault="00FB50A1">
            <w:pPr>
              <w:rPr>
                <w:rFonts w:ascii="SWISS" w:hAnsi="SWISS" w:cs="Arial"/>
                <w:sz w:val="20"/>
                <w:szCs w:val="20"/>
              </w:rPr>
            </w:pPr>
            <w:r>
              <w:rPr>
                <w:rFonts w:ascii="SWISS" w:hAnsi="SWISS" w:cs="Arial"/>
                <w:sz w:val="20"/>
                <w:szCs w:val="20"/>
              </w:rPr>
              <w:t> </w:t>
            </w:r>
          </w:p>
        </w:tc>
      </w:tr>
      <w:tr w:rsidR="00FB50A1" w:rsidTr="00FB50A1">
        <w:trPr>
          <w:trHeight w:val="294"/>
          <w:jc w:val="center"/>
        </w:trPr>
        <w:tc>
          <w:tcPr>
            <w:tcW w:w="742" w:type="dxa"/>
            <w:tcBorders>
              <w:top w:val="nil"/>
              <w:left w:val="single" w:sz="8" w:space="0" w:color="auto"/>
              <w:bottom w:val="nil"/>
              <w:right w:val="nil"/>
            </w:tcBorders>
            <w:noWrap/>
            <w:vAlign w:val="bottom"/>
            <w:hideMark/>
          </w:tcPr>
          <w:p w:rsidR="00FB50A1" w:rsidRDefault="00FB50A1">
            <w:pPr>
              <w:jc w:val="center"/>
              <w:rPr>
                <w:rFonts w:ascii="SWISS" w:hAnsi="SWISS" w:cs="Arial"/>
                <w:color w:val="000000"/>
                <w:sz w:val="20"/>
                <w:szCs w:val="20"/>
              </w:rPr>
            </w:pPr>
            <w:r>
              <w:rPr>
                <w:rFonts w:ascii="SWISS" w:hAnsi="SWISS" w:cs="Arial"/>
                <w:color w:val="000000"/>
                <w:sz w:val="20"/>
                <w:szCs w:val="20"/>
              </w:rPr>
              <w:t xml:space="preserve">  8.</w:t>
            </w:r>
          </w:p>
        </w:tc>
        <w:tc>
          <w:tcPr>
            <w:tcW w:w="3625" w:type="dxa"/>
            <w:noWrap/>
            <w:vAlign w:val="bottom"/>
            <w:hideMark/>
          </w:tcPr>
          <w:p w:rsidR="00FB50A1" w:rsidRDefault="00FB50A1">
            <w:pPr>
              <w:rPr>
                <w:rFonts w:ascii="SWISS" w:hAnsi="SWISS" w:cs="Arial"/>
                <w:b/>
                <w:bCs/>
                <w:color w:val="000000"/>
                <w:sz w:val="20"/>
                <w:szCs w:val="20"/>
              </w:rPr>
            </w:pPr>
            <w:r>
              <w:rPr>
                <w:rFonts w:ascii="SWISS" w:hAnsi="SWISS" w:cs="Arial"/>
                <w:b/>
                <w:bCs/>
                <w:color w:val="000000"/>
                <w:sz w:val="20"/>
                <w:szCs w:val="20"/>
              </w:rPr>
              <w:t xml:space="preserve">WATER RATE BASE           </w:t>
            </w:r>
          </w:p>
        </w:tc>
        <w:tc>
          <w:tcPr>
            <w:tcW w:w="1873" w:type="dxa"/>
            <w:noWrap/>
            <w:vAlign w:val="bottom"/>
            <w:hideMark/>
          </w:tcPr>
          <w:p w:rsidR="00FB50A1" w:rsidRDefault="00FB50A1">
            <w:pPr>
              <w:jc w:val="right"/>
              <w:rPr>
                <w:rFonts w:ascii="SWISS" w:hAnsi="SWISS" w:cs="Arial"/>
                <w:sz w:val="20"/>
                <w:szCs w:val="20"/>
                <w:u w:val="double"/>
              </w:rPr>
            </w:pPr>
            <w:r>
              <w:rPr>
                <w:rFonts w:ascii="SWISS" w:hAnsi="SWISS" w:cs="Arial"/>
                <w:sz w:val="20"/>
                <w:szCs w:val="20"/>
                <w:u w:val="double"/>
              </w:rPr>
              <w:t xml:space="preserve">$42,156 </w:t>
            </w:r>
          </w:p>
        </w:tc>
        <w:tc>
          <w:tcPr>
            <w:tcW w:w="1873" w:type="dxa"/>
            <w:noWrap/>
            <w:vAlign w:val="bottom"/>
          </w:tcPr>
          <w:p w:rsidR="00FB50A1" w:rsidRDefault="00FB50A1">
            <w:pPr>
              <w:rPr>
                <w:rFonts w:ascii="SWISS" w:hAnsi="SWISS" w:cs="Arial"/>
                <w:sz w:val="20"/>
                <w:szCs w:val="20"/>
                <w:u w:val="double"/>
              </w:rPr>
            </w:pPr>
          </w:p>
        </w:tc>
        <w:tc>
          <w:tcPr>
            <w:tcW w:w="1873" w:type="dxa"/>
            <w:noWrap/>
            <w:vAlign w:val="bottom"/>
            <w:hideMark/>
          </w:tcPr>
          <w:p w:rsidR="00FB50A1" w:rsidRDefault="00FB50A1">
            <w:pPr>
              <w:jc w:val="right"/>
              <w:rPr>
                <w:rFonts w:ascii="SWISS" w:hAnsi="SWISS" w:cs="Arial"/>
                <w:sz w:val="20"/>
                <w:szCs w:val="20"/>
                <w:u w:val="double"/>
              </w:rPr>
            </w:pPr>
            <w:r>
              <w:rPr>
                <w:rFonts w:ascii="SWISS" w:hAnsi="SWISS" w:cs="Arial"/>
                <w:sz w:val="20"/>
                <w:szCs w:val="20"/>
                <w:u w:val="double"/>
              </w:rPr>
              <w:t xml:space="preserve">$51,282 </w:t>
            </w:r>
          </w:p>
        </w:tc>
        <w:tc>
          <w:tcPr>
            <w:tcW w:w="1873" w:type="dxa"/>
            <w:noWrap/>
            <w:vAlign w:val="bottom"/>
          </w:tcPr>
          <w:p w:rsidR="00FB50A1" w:rsidRDefault="00FB50A1">
            <w:pPr>
              <w:rPr>
                <w:rFonts w:ascii="SWISS" w:hAnsi="SWISS" w:cs="Arial"/>
                <w:sz w:val="20"/>
                <w:szCs w:val="20"/>
                <w:u w:val="double"/>
              </w:rPr>
            </w:pPr>
          </w:p>
        </w:tc>
        <w:tc>
          <w:tcPr>
            <w:tcW w:w="1873" w:type="dxa"/>
            <w:tcBorders>
              <w:top w:val="nil"/>
              <w:left w:val="nil"/>
              <w:bottom w:val="nil"/>
              <w:right w:val="single" w:sz="8" w:space="0" w:color="auto"/>
            </w:tcBorders>
            <w:noWrap/>
            <w:vAlign w:val="bottom"/>
            <w:hideMark/>
          </w:tcPr>
          <w:p w:rsidR="00FB50A1" w:rsidRDefault="00FB50A1">
            <w:pPr>
              <w:jc w:val="right"/>
              <w:rPr>
                <w:rFonts w:ascii="SWISS" w:hAnsi="SWISS" w:cs="Arial"/>
                <w:sz w:val="20"/>
                <w:szCs w:val="20"/>
                <w:u w:val="double"/>
              </w:rPr>
            </w:pPr>
            <w:r>
              <w:rPr>
                <w:rFonts w:ascii="SWISS" w:hAnsi="SWISS" w:cs="Arial"/>
                <w:sz w:val="20"/>
                <w:szCs w:val="20"/>
                <w:u w:val="double"/>
              </w:rPr>
              <w:t>$51,282</w:t>
            </w:r>
          </w:p>
        </w:tc>
      </w:tr>
      <w:tr w:rsidR="00FB50A1" w:rsidTr="00FB50A1">
        <w:trPr>
          <w:trHeight w:val="294"/>
          <w:jc w:val="center"/>
        </w:trPr>
        <w:tc>
          <w:tcPr>
            <w:tcW w:w="742" w:type="dxa"/>
            <w:tcBorders>
              <w:top w:val="nil"/>
              <w:left w:val="single" w:sz="8" w:space="0" w:color="auto"/>
              <w:bottom w:val="nil"/>
              <w:right w:val="nil"/>
            </w:tcBorders>
            <w:noWrap/>
            <w:vAlign w:val="bottom"/>
          </w:tcPr>
          <w:p w:rsidR="00FB50A1" w:rsidRDefault="00FB50A1">
            <w:pPr>
              <w:jc w:val="center"/>
              <w:rPr>
                <w:rFonts w:ascii="SWISS" w:hAnsi="SWISS" w:cs="Arial"/>
                <w:color w:val="000000"/>
                <w:sz w:val="20"/>
                <w:szCs w:val="20"/>
              </w:rPr>
            </w:pPr>
          </w:p>
        </w:tc>
        <w:tc>
          <w:tcPr>
            <w:tcW w:w="3625" w:type="dxa"/>
            <w:noWrap/>
            <w:vAlign w:val="bottom"/>
          </w:tcPr>
          <w:p w:rsidR="00FB50A1" w:rsidRDefault="00FB50A1">
            <w:pPr>
              <w:rPr>
                <w:rFonts w:ascii="SWISS" w:hAnsi="SWISS" w:cs="Arial"/>
                <w:color w:val="000000"/>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noWrap/>
            <w:vAlign w:val="bottom"/>
          </w:tcPr>
          <w:p w:rsidR="00FB50A1" w:rsidRDefault="00FB50A1">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FB50A1" w:rsidRDefault="00FB50A1">
            <w:pPr>
              <w:rPr>
                <w:rFonts w:ascii="SWISS" w:hAnsi="SWISS" w:cs="Arial"/>
                <w:sz w:val="20"/>
                <w:szCs w:val="20"/>
              </w:rPr>
            </w:pPr>
            <w:r>
              <w:rPr>
                <w:rFonts w:ascii="SWISS" w:hAnsi="SWISS" w:cs="Arial"/>
                <w:sz w:val="20"/>
                <w:szCs w:val="20"/>
              </w:rPr>
              <w:t> </w:t>
            </w:r>
          </w:p>
        </w:tc>
      </w:tr>
      <w:tr w:rsidR="00FB50A1" w:rsidTr="00FB50A1">
        <w:trPr>
          <w:trHeight w:val="294"/>
          <w:jc w:val="center"/>
        </w:trPr>
        <w:tc>
          <w:tcPr>
            <w:tcW w:w="742" w:type="dxa"/>
            <w:tcBorders>
              <w:top w:val="nil"/>
              <w:left w:val="single" w:sz="8" w:space="0" w:color="auto"/>
              <w:bottom w:val="nil"/>
              <w:right w:val="nil"/>
            </w:tcBorders>
            <w:noWrap/>
            <w:vAlign w:val="bottom"/>
            <w:hideMark/>
          </w:tcPr>
          <w:p w:rsidR="00FB50A1" w:rsidRDefault="00FB50A1">
            <w:pPr>
              <w:jc w:val="center"/>
              <w:rPr>
                <w:rFonts w:ascii="SWISS" w:hAnsi="SWISS" w:cs="Arial"/>
                <w:color w:val="000000"/>
                <w:sz w:val="20"/>
                <w:szCs w:val="20"/>
              </w:rPr>
            </w:pPr>
            <w:r>
              <w:rPr>
                <w:rFonts w:ascii="SWISS" w:hAnsi="SWISS" w:cs="Arial"/>
                <w:color w:val="000000"/>
                <w:sz w:val="20"/>
                <w:szCs w:val="20"/>
              </w:rPr>
              <w:t xml:space="preserve">  9.</w:t>
            </w:r>
          </w:p>
        </w:tc>
        <w:tc>
          <w:tcPr>
            <w:tcW w:w="3625" w:type="dxa"/>
            <w:noWrap/>
            <w:vAlign w:val="bottom"/>
            <w:hideMark/>
          </w:tcPr>
          <w:p w:rsidR="00FB50A1" w:rsidRDefault="00FB50A1">
            <w:pPr>
              <w:rPr>
                <w:rFonts w:ascii="SWISS" w:hAnsi="SWISS" w:cs="Arial"/>
                <w:b/>
                <w:bCs/>
                <w:color w:val="000000"/>
                <w:sz w:val="20"/>
                <w:szCs w:val="20"/>
              </w:rPr>
            </w:pPr>
            <w:r>
              <w:rPr>
                <w:rFonts w:ascii="SWISS" w:hAnsi="SWISS" w:cs="Arial"/>
                <w:b/>
                <w:bCs/>
                <w:color w:val="000000"/>
                <w:sz w:val="20"/>
                <w:szCs w:val="20"/>
              </w:rPr>
              <w:t>RATE OF RETURN</w:t>
            </w:r>
          </w:p>
        </w:tc>
        <w:tc>
          <w:tcPr>
            <w:tcW w:w="1873" w:type="dxa"/>
            <w:noWrap/>
            <w:vAlign w:val="bottom"/>
            <w:hideMark/>
          </w:tcPr>
          <w:p w:rsidR="00FB50A1" w:rsidRDefault="00FB50A1">
            <w:pPr>
              <w:rPr>
                <w:rFonts w:ascii="SWISS" w:hAnsi="SWISS" w:cs="Arial"/>
                <w:sz w:val="20"/>
                <w:szCs w:val="20"/>
                <w:u w:val="double"/>
              </w:rPr>
            </w:pPr>
            <w:r>
              <w:rPr>
                <w:rFonts w:ascii="SWISS" w:hAnsi="SWISS" w:cs="Arial"/>
                <w:sz w:val="20"/>
                <w:szCs w:val="20"/>
              </w:rPr>
              <w:t xml:space="preserve">                      </w:t>
            </w:r>
            <w:r>
              <w:rPr>
                <w:rFonts w:ascii="SWISS" w:hAnsi="SWISS" w:cs="Arial"/>
                <w:sz w:val="20"/>
                <w:szCs w:val="20"/>
                <w:u w:val="double"/>
              </w:rPr>
              <w:t>(13.90%)</w:t>
            </w:r>
          </w:p>
        </w:tc>
        <w:tc>
          <w:tcPr>
            <w:tcW w:w="1873" w:type="dxa"/>
            <w:noWrap/>
            <w:vAlign w:val="bottom"/>
          </w:tcPr>
          <w:p w:rsidR="00FB50A1" w:rsidRDefault="00FB50A1">
            <w:pPr>
              <w:rPr>
                <w:rFonts w:ascii="SWISS" w:hAnsi="SWISS" w:cs="Arial"/>
                <w:sz w:val="20"/>
                <w:szCs w:val="20"/>
                <w:u w:val="double"/>
              </w:rPr>
            </w:pPr>
          </w:p>
        </w:tc>
        <w:tc>
          <w:tcPr>
            <w:tcW w:w="1873" w:type="dxa"/>
            <w:noWrap/>
            <w:vAlign w:val="bottom"/>
            <w:hideMark/>
          </w:tcPr>
          <w:p w:rsidR="00FB50A1" w:rsidRDefault="00FB50A1">
            <w:pPr>
              <w:jc w:val="right"/>
              <w:rPr>
                <w:rFonts w:ascii="SWISS" w:hAnsi="SWISS" w:cs="Arial"/>
                <w:sz w:val="20"/>
                <w:szCs w:val="20"/>
                <w:u w:val="double"/>
              </w:rPr>
            </w:pPr>
            <w:r>
              <w:rPr>
                <w:rFonts w:ascii="SWISS" w:hAnsi="SWISS" w:cs="Arial"/>
                <w:sz w:val="20"/>
                <w:szCs w:val="20"/>
                <w:u w:val="double"/>
              </w:rPr>
              <w:t>0.34%</w:t>
            </w:r>
          </w:p>
        </w:tc>
        <w:tc>
          <w:tcPr>
            <w:tcW w:w="1873" w:type="dxa"/>
            <w:noWrap/>
            <w:vAlign w:val="bottom"/>
          </w:tcPr>
          <w:p w:rsidR="00FB50A1" w:rsidRDefault="00FB50A1">
            <w:pPr>
              <w:rPr>
                <w:rFonts w:ascii="SWISS" w:hAnsi="SWISS" w:cs="Arial"/>
                <w:sz w:val="20"/>
                <w:szCs w:val="20"/>
                <w:u w:val="double"/>
              </w:rPr>
            </w:pPr>
          </w:p>
        </w:tc>
        <w:tc>
          <w:tcPr>
            <w:tcW w:w="1873" w:type="dxa"/>
            <w:tcBorders>
              <w:top w:val="nil"/>
              <w:left w:val="nil"/>
              <w:bottom w:val="nil"/>
              <w:right w:val="single" w:sz="8" w:space="0" w:color="auto"/>
            </w:tcBorders>
            <w:noWrap/>
            <w:vAlign w:val="bottom"/>
            <w:hideMark/>
          </w:tcPr>
          <w:p w:rsidR="00FB50A1" w:rsidRDefault="00FB50A1">
            <w:pPr>
              <w:jc w:val="right"/>
              <w:rPr>
                <w:rFonts w:ascii="SWISS" w:hAnsi="SWISS" w:cs="Arial"/>
                <w:sz w:val="20"/>
                <w:szCs w:val="20"/>
                <w:u w:val="double"/>
              </w:rPr>
            </w:pPr>
            <w:r>
              <w:rPr>
                <w:rFonts w:ascii="SWISS" w:hAnsi="SWISS" w:cs="Arial"/>
                <w:sz w:val="20"/>
                <w:szCs w:val="20"/>
                <w:u w:val="double"/>
              </w:rPr>
              <w:t>8.74%</w:t>
            </w:r>
          </w:p>
        </w:tc>
      </w:tr>
      <w:tr w:rsidR="00FB50A1" w:rsidTr="00FB50A1">
        <w:trPr>
          <w:trHeight w:val="306"/>
          <w:jc w:val="center"/>
        </w:trPr>
        <w:tc>
          <w:tcPr>
            <w:tcW w:w="742" w:type="dxa"/>
            <w:tcBorders>
              <w:top w:val="nil"/>
              <w:left w:val="single" w:sz="8" w:space="0" w:color="auto"/>
              <w:bottom w:val="single" w:sz="8" w:space="0" w:color="auto"/>
              <w:right w:val="nil"/>
            </w:tcBorders>
            <w:noWrap/>
            <w:vAlign w:val="bottom"/>
          </w:tcPr>
          <w:p w:rsidR="00FB50A1" w:rsidRDefault="00FB50A1">
            <w:pPr>
              <w:jc w:val="center"/>
              <w:rPr>
                <w:rFonts w:ascii="SWISS" w:hAnsi="SWISS" w:cs="Arial"/>
                <w:color w:val="000000"/>
                <w:sz w:val="20"/>
                <w:szCs w:val="20"/>
              </w:rPr>
            </w:pPr>
          </w:p>
        </w:tc>
        <w:tc>
          <w:tcPr>
            <w:tcW w:w="3625" w:type="dxa"/>
            <w:tcBorders>
              <w:top w:val="nil"/>
              <w:left w:val="nil"/>
              <w:bottom w:val="single" w:sz="8" w:space="0" w:color="auto"/>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single" w:sz="8" w:space="0" w:color="auto"/>
            </w:tcBorders>
            <w:noWrap/>
            <w:vAlign w:val="bottom"/>
            <w:hideMark/>
          </w:tcPr>
          <w:p w:rsidR="00FB50A1" w:rsidRDefault="00FB50A1">
            <w:pPr>
              <w:rPr>
                <w:rFonts w:ascii="SWISS" w:hAnsi="SWISS" w:cs="Arial"/>
                <w:color w:val="000000"/>
                <w:sz w:val="20"/>
                <w:szCs w:val="20"/>
              </w:rPr>
            </w:pPr>
            <w:r>
              <w:rPr>
                <w:rFonts w:ascii="SWISS" w:hAnsi="SWISS" w:cs="Arial"/>
                <w:color w:val="000000"/>
                <w:sz w:val="20"/>
                <w:szCs w:val="20"/>
              </w:rPr>
              <w:t> </w:t>
            </w:r>
          </w:p>
        </w:tc>
      </w:tr>
    </w:tbl>
    <w:p w:rsidR="003D499B" w:rsidRDefault="003D499B" w:rsidP="00C37D97"/>
    <w:p w:rsidR="002468EA" w:rsidRDefault="002468EA" w:rsidP="00C37D97">
      <w:pPr>
        <w:sectPr w:rsidR="002468EA" w:rsidSect="00183FB5">
          <w:headerReference w:type="default" r:id="rId24"/>
          <w:pgSz w:w="15840" w:h="12240" w:orient="landscape" w:code="1"/>
          <w:pgMar w:top="1440" w:right="1080" w:bottom="1440" w:left="1440" w:header="720" w:footer="720" w:gutter="0"/>
          <w:cols w:space="720"/>
          <w:formProt w:val="0"/>
          <w:docGrid w:linePitch="360"/>
        </w:sectPr>
      </w:pPr>
    </w:p>
    <w:tbl>
      <w:tblPr>
        <w:tblpPr w:leftFromText="180" w:rightFromText="180" w:vertAnchor="text" w:tblpY="23"/>
        <w:tblW w:w="9714" w:type="dxa"/>
        <w:tblCellMar>
          <w:left w:w="0" w:type="dxa"/>
          <w:right w:w="0" w:type="dxa"/>
        </w:tblCellMar>
        <w:tblLook w:val="04A0" w:firstRow="1" w:lastRow="0" w:firstColumn="1" w:lastColumn="0" w:noHBand="0" w:noVBand="1"/>
      </w:tblPr>
      <w:tblGrid>
        <w:gridCol w:w="1091"/>
        <w:gridCol w:w="7550"/>
        <w:gridCol w:w="1121"/>
      </w:tblGrid>
      <w:tr w:rsidR="00EC0903" w:rsidTr="00EC0903">
        <w:trPr>
          <w:trHeight w:val="58"/>
        </w:trPr>
        <w:tc>
          <w:tcPr>
            <w:tcW w:w="1075" w:type="dxa"/>
            <w:tcBorders>
              <w:top w:val="single" w:sz="8" w:space="0" w:color="auto"/>
              <w:left w:val="single" w:sz="8" w:space="0" w:color="auto"/>
              <w:bottom w:val="nil"/>
              <w:right w:val="nil"/>
            </w:tcBorders>
            <w:noWrap/>
            <w:vAlign w:val="bottom"/>
            <w:hideMark/>
          </w:tcPr>
          <w:p w:rsidR="00EC0903" w:rsidRDefault="00EC0903">
            <w:pPr>
              <w:jc w:val="right"/>
              <w:rPr>
                <w:rFonts w:ascii="SWISS" w:hAnsi="SWISS" w:cs="Arial"/>
                <w:sz w:val="20"/>
                <w:szCs w:val="20"/>
              </w:rPr>
            </w:pPr>
            <w:r>
              <w:rPr>
                <w:rFonts w:ascii="SWISS" w:hAnsi="SWISS" w:cs="Arial"/>
                <w:sz w:val="20"/>
                <w:szCs w:val="20"/>
              </w:rPr>
              <w:lastRenderedPageBreak/>
              <w:t> </w:t>
            </w:r>
          </w:p>
        </w:tc>
        <w:tc>
          <w:tcPr>
            <w:tcW w:w="8639" w:type="dxa"/>
            <w:gridSpan w:val="2"/>
            <w:tcBorders>
              <w:top w:val="single" w:sz="8" w:space="0" w:color="auto"/>
              <w:left w:val="nil"/>
              <w:bottom w:val="nil"/>
              <w:right w:val="single" w:sz="8" w:space="0" w:color="auto"/>
            </w:tcBorders>
            <w:noWrap/>
            <w:vAlign w:val="bottom"/>
            <w:hideMark/>
          </w:tcPr>
          <w:p w:rsidR="00EC0903" w:rsidRDefault="00EC0903">
            <w:pPr>
              <w:rPr>
                <w:rFonts w:ascii="SWISS" w:hAnsi="SWISS" w:cs="Arial"/>
                <w:b/>
                <w:bCs/>
                <w:color w:val="000000"/>
                <w:sz w:val="20"/>
                <w:szCs w:val="20"/>
              </w:rPr>
            </w:pPr>
            <w:r>
              <w:rPr>
                <w:rFonts w:ascii="SWISS" w:hAnsi="SWISS" w:cs="Arial"/>
                <w:b/>
                <w:bCs/>
                <w:color w:val="000000"/>
                <w:sz w:val="20"/>
                <w:szCs w:val="20"/>
              </w:rPr>
              <w:t>RAINTREE WATERWORKS, INC.                                                                     SCHEDULE NO. 3-B</w:t>
            </w:r>
            <w:r>
              <w:rPr>
                <w:sz w:val="20"/>
                <w:szCs w:val="20"/>
              </w:rPr>
              <w:fldChar w:fldCharType="begin"/>
            </w:r>
            <w:r>
              <w:rPr>
                <w:sz w:val="20"/>
                <w:szCs w:val="20"/>
              </w:rPr>
              <w:instrText xml:space="preserve"> TC "</w:instrText>
            </w:r>
            <w:bookmarkStart w:id="179" w:name="_Toc399147320"/>
            <w:r>
              <w:rPr>
                <w:sz w:val="20"/>
                <w:szCs w:val="20"/>
              </w:rPr>
              <w:instrText xml:space="preserve"> </w:instrText>
            </w:r>
            <w:bookmarkStart w:id="180" w:name="_Toc443384732"/>
            <w:bookmarkStart w:id="181" w:name="_Toc441233997"/>
            <w:bookmarkStart w:id="182" w:name="_Toc422220890"/>
            <w:bookmarkStart w:id="183" w:name="_Toc451766981"/>
            <w:r>
              <w:rPr>
                <w:sz w:val="20"/>
                <w:szCs w:val="20"/>
              </w:rPr>
              <w:instrText>Schedule No. 3-B Adjustments to Operating Income</w:instrText>
            </w:r>
            <w:bookmarkEnd w:id="179"/>
            <w:bookmarkEnd w:id="180"/>
            <w:bookmarkEnd w:id="181"/>
            <w:bookmarkEnd w:id="182"/>
            <w:bookmarkEnd w:id="183"/>
            <w:r>
              <w:rPr>
                <w:sz w:val="20"/>
                <w:szCs w:val="20"/>
              </w:rPr>
              <w:instrText xml:space="preserve">”\l 1 </w:instrText>
            </w:r>
            <w:r>
              <w:rPr>
                <w:sz w:val="20"/>
                <w:szCs w:val="20"/>
              </w:rPr>
              <w:fldChar w:fldCharType="end"/>
            </w: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jc w:val="right"/>
              <w:rPr>
                <w:rFonts w:ascii="SWISS" w:hAnsi="SWISS" w:cs="Arial"/>
                <w:sz w:val="20"/>
                <w:szCs w:val="20"/>
              </w:rPr>
            </w:pPr>
            <w:r>
              <w:rPr>
                <w:rFonts w:ascii="SWISS" w:hAnsi="SWISS" w:cs="Arial"/>
                <w:sz w:val="20"/>
                <w:szCs w:val="20"/>
              </w:rPr>
              <w:t> </w:t>
            </w:r>
          </w:p>
        </w:tc>
        <w:tc>
          <w:tcPr>
            <w:tcW w:w="8639" w:type="dxa"/>
            <w:gridSpan w:val="2"/>
            <w:tcBorders>
              <w:top w:val="nil"/>
              <w:left w:val="nil"/>
              <w:bottom w:val="nil"/>
              <w:right w:val="single" w:sz="8" w:space="0" w:color="auto"/>
            </w:tcBorders>
            <w:noWrap/>
            <w:vAlign w:val="bottom"/>
            <w:hideMark/>
          </w:tcPr>
          <w:p w:rsidR="00EC0903" w:rsidRDefault="00EC0903">
            <w:pPr>
              <w:ind w:left="-11"/>
              <w:rPr>
                <w:rFonts w:ascii="SWISS" w:hAnsi="SWISS" w:cs="Arial"/>
                <w:b/>
                <w:bCs/>
                <w:color w:val="000000"/>
                <w:sz w:val="20"/>
                <w:szCs w:val="20"/>
              </w:rPr>
            </w:pPr>
            <w:r>
              <w:rPr>
                <w:rFonts w:ascii="SWISS" w:hAnsi="SWISS" w:cs="Arial"/>
                <w:b/>
                <w:bCs/>
                <w:color w:val="000000"/>
                <w:sz w:val="20"/>
                <w:szCs w:val="20"/>
              </w:rPr>
              <w:t>TEST YEAR ENDED 7/31/15                                                                        DOCKET NO. 150199-WU</w:t>
            </w:r>
          </w:p>
        </w:tc>
      </w:tr>
      <w:tr w:rsidR="00EC0903" w:rsidTr="00EC0903">
        <w:trPr>
          <w:trHeight w:val="61"/>
        </w:trPr>
        <w:tc>
          <w:tcPr>
            <w:tcW w:w="1075" w:type="dxa"/>
            <w:tcBorders>
              <w:top w:val="nil"/>
              <w:left w:val="single" w:sz="8" w:space="0" w:color="auto"/>
              <w:bottom w:val="single" w:sz="8" w:space="0" w:color="auto"/>
              <w:right w:val="nil"/>
            </w:tcBorders>
            <w:noWrap/>
            <w:vAlign w:val="bottom"/>
            <w:hideMark/>
          </w:tcPr>
          <w:p w:rsidR="00EC0903" w:rsidRDefault="00EC0903">
            <w:pPr>
              <w:jc w:val="right"/>
              <w:rPr>
                <w:rFonts w:ascii="SWISS" w:hAnsi="SWISS" w:cs="Arial"/>
                <w:sz w:val="20"/>
                <w:szCs w:val="20"/>
              </w:rPr>
            </w:pPr>
            <w:r>
              <w:rPr>
                <w:rFonts w:ascii="SWISS" w:hAnsi="SWISS" w:cs="Arial"/>
                <w:sz w:val="20"/>
                <w:szCs w:val="20"/>
              </w:rPr>
              <w:t> </w:t>
            </w:r>
          </w:p>
        </w:tc>
        <w:tc>
          <w:tcPr>
            <w:tcW w:w="8639" w:type="dxa"/>
            <w:gridSpan w:val="2"/>
            <w:tcBorders>
              <w:top w:val="nil"/>
              <w:left w:val="nil"/>
              <w:bottom w:val="single" w:sz="8" w:space="0" w:color="auto"/>
              <w:right w:val="single" w:sz="8" w:space="0" w:color="auto"/>
            </w:tcBorders>
            <w:noWrap/>
            <w:vAlign w:val="bottom"/>
            <w:hideMark/>
          </w:tcPr>
          <w:p w:rsidR="00EC0903" w:rsidRDefault="00EC0903">
            <w:pPr>
              <w:rPr>
                <w:rFonts w:ascii="SWISS" w:hAnsi="SWISS" w:cs="Arial"/>
                <w:b/>
                <w:bCs/>
                <w:color w:val="000000"/>
                <w:sz w:val="20"/>
                <w:szCs w:val="20"/>
              </w:rPr>
            </w:pPr>
            <w:r>
              <w:rPr>
                <w:rFonts w:ascii="SWISS" w:hAnsi="SWISS" w:cs="Arial"/>
                <w:b/>
                <w:bCs/>
                <w:sz w:val="20"/>
                <w:szCs w:val="20"/>
              </w:rPr>
              <w:t xml:space="preserve">ADJUSTMENTS TO OPERATING INCOME                                                                                          </w:t>
            </w: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jc w:val="right"/>
              <w:rPr>
                <w:rFonts w:ascii="SWISS" w:hAnsi="SWISS" w:cs="Arial"/>
                <w:sz w:val="20"/>
                <w:szCs w:val="20"/>
              </w:rPr>
            </w:pPr>
            <w:r>
              <w:rPr>
                <w:rFonts w:ascii="SWISS" w:hAnsi="SWISS" w:cs="Arial"/>
                <w:sz w:val="20"/>
                <w:szCs w:val="20"/>
              </w:rPr>
              <w:t> </w:t>
            </w:r>
          </w:p>
        </w:tc>
        <w:tc>
          <w:tcPr>
            <w:tcW w:w="7534" w:type="dxa"/>
            <w:noWrap/>
            <w:vAlign w:val="bottom"/>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jc w:val="right"/>
              <w:rPr>
                <w:rFonts w:ascii="SWISS" w:hAnsi="SWISS" w:cs="Arial"/>
                <w:b/>
                <w:bCs/>
                <w:color w:val="000000"/>
                <w:sz w:val="20"/>
                <w:szCs w:val="20"/>
                <w:u w:val="single"/>
              </w:rPr>
            </w:pP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jc w:val="right"/>
              <w:rPr>
                <w:rFonts w:ascii="SWISS" w:hAnsi="SWISS" w:cs="Arial"/>
                <w:sz w:val="20"/>
                <w:szCs w:val="20"/>
              </w:rPr>
            </w:pPr>
          </w:p>
        </w:tc>
        <w:tc>
          <w:tcPr>
            <w:tcW w:w="7534" w:type="dxa"/>
            <w:noWrap/>
            <w:vAlign w:val="bottom"/>
          </w:tcPr>
          <w:p w:rsidR="00EC0903" w:rsidRDefault="00EC0903">
            <w:pPr>
              <w:rPr>
                <w:rFonts w:ascii="SWISS" w:hAnsi="SWISS" w:cs="Arial"/>
                <w:b/>
                <w:bCs/>
                <w:sz w:val="20"/>
                <w:szCs w:val="20"/>
              </w:rPr>
            </w:pP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b/>
                <w:color w:val="000000"/>
                <w:sz w:val="20"/>
                <w:szCs w:val="20"/>
                <w:u w:val="single"/>
              </w:rPr>
            </w:pPr>
            <w:r>
              <w:rPr>
                <w:rFonts w:ascii="SWISS" w:hAnsi="SWISS" w:cs="Arial"/>
                <w:color w:val="000000"/>
                <w:sz w:val="20"/>
                <w:szCs w:val="20"/>
              </w:rPr>
              <w:t xml:space="preserve">    </w:t>
            </w:r>
            <w:r>
              <w:rPr>
                <w:rFonts w:ascii="SWISS" w:hAnsi="SWISS" w:cs="Arial"/>
                <w:b/>
                <w:color w:val="000000"/>
                <w:sz w:val="20"/>
                <w:szCs w:val="20"/>
                <w:u w:val="single"/>
              </w:rPr>
              <w:t>WATER</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ind w:left="10"/>
              <w:jc w:val="right"/>
              <w:rPr>
                <w:rFonts w:ascii="SWISS" w:hAnsi="SWISS" w:cs="Arial"/>
                <w:sz w:val="20"/>
                <w:szCs w:val="20"/>
              </w:rPr>
            </w:pPr>
          </w:p>
        </w:tc>
        <w:tc>
          <w:tcPr>
            <w:tcW w:w="7534" w:type="dxa"/>
            <w:noWrap/>
            <w:vAlign w:val="bottom"/>
            <w:hideMark/>
          </w:tcPr>
          <w:p w:rsidR="00EC0903" w:rsidRDefault="00EC0903">
            <w:pPr>
              <w:rPr>
                <w:rFonts w:ascii="SWISS" w:hAnsi="SWISS" w:cs="Arial"/>
                <w:b/>
                <w:bCs/>
                <w:sz w:val="20"/>
                <w:szCs w:val="20"/>
              </w:rPr>
            </w:pPr>
            <w:r>
              <w:rPr>
                <w:rFonts w:ascii="SWISS" w:hAnsi="SWISS" w:cs="Arial"/>
                <w:b/>
                <w:bCs/>
                <w:sz w:val="20"/>
                <w:szCs w:val="20"/>
              </w:rPr>
              <w:t>OPERATING REVENUES</w:t>
            </w: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sz w:val="20"/>
                <w:szCs w:val="20"/>
              </w:rPr>
            </w:pPr>
            <w:r>
              <w:rPr>
                <w:rFonts w:ascii="SWISS" w:hAnsi="SWISS" w:cs="Arial"/>
                <w:sz w:val="20"/>
                <w:szCs w:val="20"/>
              </w:rPr>
              <w:t>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jc w:val="right"/>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1.</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To reflect test year revenues.</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rPr>
            </w:pPr>
            <w:r>
              <w:rPr>
                <w:rFonts w:ascii="SWISS" w:hAnsi="SWISS" w:cs="Arial"/>
                <w:sz w:val="20"/>
                <w:szCs w:val="20"/>
              </w:rPr>
              <w:t xml:space="preserve">$1,662 </w:t>
            </w: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2.</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To reflect miscellaneous revenues.</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single"/>
              </w:rPr>
            </w:pPr>
            <w:r>
              <w:rPr>
                <w:rFonts w:ascii="SWISS" w:hAnsi="SWISS" w:cs="Arial"/>
                <w:sz w:val="20"/>
                <w:szCs w:val="20"/>
                <w:u w:val="single"/>
              </w:rPr>
              <w:t xml:space="preserve">208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jc w:val="right"/>
              <w:rPr>
                <w:rFonts w:ascii="SWISS" w:hAnsi="SWISS" w:cs="Arial"/>
                <w:sz w:val="20"/>
                <w:szCs w:val="20"/>
              </w:rPr>
            </w:pPr>
          </w:p>
        </w:tc>
        <w:tc>
          <w:tcPr>
            <w:tcW w:w="7534" w:type="dxa"/>
            <w:noWrap/>
            <w:vAlign w:val="bottom"/>
            <w:hideMark/>
          </w:tcPr>
          <w:p w:rsidR="00EC0903" w:rsidRDefault="00EC0903">
            <w:pPr>
              <w:rPr>
                <w:rFonts w:ascii="SWISS" w:hAnsi="SWISS" w:cs="Arial"/>
                <w:b/>
                <w:bCs/>
                <w:sz w:val="20"/>
                <w:szCs w:val="20"/>
              </w:rPr>
            </w:pPr>
            <w:r>
              <w:rPr>
                <w:rFonts w:ascii="SWISS" w:hAnsi="SWISS" w:cs="Arial"/>
                <w:sz w:val="20"/>
                <w:szCs w:val="20"/>
              </w:rPr>
              <w:t xml:space="preserve">     Subtotal</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color w:val="0000FF"/>
                <w:sz w:val="20"/>
                <w:szCs w:val="20"/>
                <w:u w:val="double"/>
              </w:rPr>
            </w:pPr>
            <w:r>
              <w:rPr>
                <w:rFonts w:ascii="SWISS" w:hAnsi="SWISS" w:cs="Arial"/>
                <w:sz w:val="20"/>
                <w:szCs w:val="20"/>
                <w:u w:val="double"/>
              </w:rPr>
              <w:t>$1,870</w:t>
            </w:r>
            <w:r>
              <w:rPr>
                <w:rFonts w:ascii="SWISS" w:hAnsi="SWISS" w:cs="Arial"/>
                <w:color w:val="0000FF"/>
                <w:sz w:val="20"/>
                <w:szCs w:val="20"/>
                <w:u w:val="double"/>
              </w:rPr>
              <w:t xml:space="preserve">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jc w:val="right"/>
              <w:rPr>
                <w:rFonts w:ascii="SWISS" w:hAnsi="SWISS" w:cs="Arial"/>
                <w:sz w:val="20"/>
                <w:szCs w:val="20"/>
              </w:rPr>
            </w:pPr>
          </w:p>
        </w:tc>
        <w:tc>
          <w:tcPr>
            <w:tcW w:w="7534" w:type="dxa"/>
            <w:noWrap/>
            <w:vAlign w:val="bottom"/>
          </w:tcPr>
          <w:p w:rsidR="00EC0903" w:rsidRDefault="00EC0903">
            <w:pPr>
              <w:rPr>
                <w:rFonts w:ascii="SWISS" w:hAnsi="SWISS" w:cs="Arial"/>
                <w:b/>
                <w:bCs/>
                <w:sz w:val="20"/>
                <w:szCs w:val="20"/>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jc w:val="right"/>
              <w:rPr>
                <w:rFonts w:ascii="SWISS" w:hAnsi="SWISS" w:cs="Arial"/>
                <w:sz w:val="20"/>
                <w:szCs w:val="20"/>
              </w:rPr>
            </w:pPr>
          </w:p>
        </w:tc>
        <w:tc>
          <w:tcPr>
            <w:tcW w:w="7534" w:type="dxa"/>
            <w:noWrap/>
            <w:vAlign w:val="bottom"/>
          </w:tcPr>
          <w:p w:rsidR="00EC0903" w:rsidRDefault="00EC0903">
            <w:pPr>
              <w:rPr>
                <w:rFonts w:ascii="SWISS" w:hAnsi="SWISS" w:cs="Arial"/>
                <w:b/>
                <w:bCs/>
                <w:sz w:val="20"/>
                <w:szCs w:val="20"/>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jc w:val="right"/>
              <w:rPr>
                <w:rFonts w:ascii="SWISS" w:hAnsi="SWISS" w:cs="Arial"/>
                <w:sz w:val="20"/>
                <w:szCs w:val="20"/>
              </w:rPr>
            </w:pPr>
            <w:r>
              <w:rPr>
                <w:rFonts w:ascii="SWISS" w:hAnsi="SWISS" w:cs="Arial"/>
                <w:sz w:val="20"/>
                <w:szCs w:val="20"/>
              </w:rPr>
              <w:t> </w:t>
            </w:r>
          </w:p>
        </w:tc>
        <w:tc>
          <w:tcPr>
            <w:tcW w:w="7534" w:type="dxa"/>
            <w:noWrap/>
            <w:vAlign w:val="bottom"/>
            <w:hideMark/>
          </w:tcPr>
          <w:p w:rsidR="00EC0903" w:rsidRDefault="00EC0903">
            <w:pPr>
              <w:rPr>
                <w:rFonts w:ascii="SWISS" w:hAnsi="SWISS" w:cs="Arial"/>
                <w:b/>
                <w:bCs/>
                <w:sz w:val="20"/>
                <w:szCs w:val="20"/>
              </w:rPr>
            </w:pPr>
            <w:r>
              <w:rPr>
                <w:rFonts w:ascii="SWISS" w:hAnsi="SWISS" w:cs="Arial"/>
                <w:b/>
                <w:bCs/>
                <w:sz w:val="20"/>
                <w:szCs w:val="20"/>
              </w:rPr>
              <w:t>OPERATION AND MAINTENANCE EXPENSES</w:t>
            </w: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color w:val="000000"/>
                <w:sz w:val="20"/>
                <w:szCs w:val="20"/>
              </w:rPr>
            </w:pPr>
            <w:r>
              <w:rPr>
                <w:rFonts w:ascii="SWISS" w:hAnsi="SWISS" w:cs="Arial"/>
                <w:color w:val="000000"/>
                <w:sz w:val="20"/>
                <w:szCs w:val="20"/>
              </w:rPr>
              <w:t>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1.</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Purchased Power (615)</w:t>
            </w: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sz w:val="20"/>
                <w:szCs w:val="20"/>
              </w:rPr>
            </w:pPr>
            <w:r>
              <w:rPr>
                <w:rFonts w:ascii="SWISS" w:hAnsi="SWISS" w:cs="Arial"/>
                <w:sz w:val="20"/>
                <w:szCs w:val="20"/>
              </w:rPr>
              <w:t> </w:t>
            </w:r>
          </w:p>
        </w:tc>
      </w:tr>
      <w:tr w:rsidR="00EC0903" w:rsidTr="00EC0903">
        <w:trPr>
          <w:trHeight w:val="61"/>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To reflect 8.5% excessive unaccounted for water adjustment.</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double"/>
              </w:rPr>
            </w:pPr>
            <w:r>
              <w:rPr>
                <w:rFonts w:ascii="SWISS" w:hAnsi="SWISS" w:cs="Arial"/>
                <w:sz w:val="20"/>
                <w:szCs w:val="20"/>
                <w:u w:val="double"/>
              </w:rPr>
              <w:t>($399)</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2.</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Chemicals (618)</w:t>
            </w: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sz w:val="20"/>
                <w:szCs w:val="20"/>
              </w:rPr>
            </w:pPr>
            <w:r>
              <w:rPr>
                <w:rFonts w:ascii="SWISS" w:hAnsi="SWISS" w:cs="Arial"/>
                <w:sz w:val="20"/>
                <w:szCs w:val="20"/>
              </w:rPr>
              <w:t> </w:t>
            </w: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To reflect 8.5% excessive unaccounted for water adjustment.</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double"/>
              </w:rPr>
            </w:pPr>
            <w:r>
              <w:rPr>
                <w:rFonts w:ascii="SWISS" w:hAnsi="SWISS" w:cs="Arial"/>
                <w:sz w:val="20"/>
                <w:szCs w:val="20"/>
                <w:u w:val="double"/>
              </w:rPr>
              <w:t>($29)</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3.</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Contractual Services - Professional (631)</w:t>
            </w: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sz w:val="20"/>
                <w:szCs w:val="20"/>
              </w:rPr>
            </w:pPr>
            <w:r>
              <w:rPr>
                <w:rFonts w:ascii="SWISS" w:hAnsi="SWISS" w:cs="Arial"/>
                <w:sz w:val="20"/>
                <w:szCs w:val="20"/>
              </w:rPr>
              <w:t> </w:t>
            </w: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To reflect appropriate accounting services expense.</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double"/>
              </w:rPr>
            </w:pPr>
            <w:r>
              <w:rPr>
                <w:rFonts w:ascii="SWISS" w:hAnsi="SWISS" w:cs="Arial"/>
                <w:sz w:val="20"/>
                <w:szCs w:val="20"/>
                <w:u w:val="double"/>
              </w:rPr>
              <w:t>($667)</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4.</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Contractual Services - Other (636)</w:t>
            </w: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sz w:val="20"/>
                <w:szCs w:val="20"/>
              </w:rPr>
            </w:pPr>
            <w:r>
              <w:rPr>
                <w:rFonts w:ascii="SWISS" w:hAnsi="SWISS" w:cs="Arial"/>
                <w:sz w:val="20"/>
                <w:szCs w:val="20"/>
              </w:rPr>
              <w:t>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a. To reflect appropriate contractual services – other expense.</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rPr>
            </w:pPr>
            <w:r>
              <w:rPr>
                <w:rFonts w:ascii="SWISS" w:hAnsi="SWISS" w:cs="Arial"/>
                <w:sz w:val="20"/>
                <w:szCs w:val="20"/>
              </w:rPr>
              <w:t xml:space="preserve">$348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center"/>
            <w:hideMark/>
          </w:tcPr>
          <w:p w:rsidR="00EC0903" w:rsidRDefault="00EC0903">
            <w:pPr>
              <w:rPr>
                <w:rFonts w:ascii="SWISS" w:hAnsi="SWISS" w:cs="Arial"/>
                <w:sz w:val="20"/>
                <w:szCs w:val="20"/>
              </w:rPr>
            </w:pPr>
            <w:r>
              <w:rPr>
                <w:rFonts w:ascii="SWISS" w:hAnsi="SWISS" w:cs="Arial"/>
                <w:sz w:val="20"/>
                <w:szCs w:val="20"/>
              </w:rPr>
              <w:t>b. To reflect appropriate fuel and vehicle maintenance expense.</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single"/>
              </w:rPr>
            </w:pPr>
            <w:r>
              <w:rPr>
                <w:rFonts w:ascii="SWISS" w:hAnsi="SWISS" w:cs="Arial"/>
                <w:sz w:val="20"/>
                <w:szCs w:val="20"/>
                <w:u w:val="single"/>
              </w:rPr>
              <w:t xml:space="preserve">(652)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 xml:space="preserve">       Subtotal</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double"/>
              </w:rPr>
            </w:pPr>
            <w:r>
              <w:rPr>
                <w:rFonts w:ascii="SWISS" w:hAnsi="SWISS" w:cs="Arial"/>
                <w:sz w:val="20"/>
                <w:szCs w:val="20"/>
                <w:u w:val="double"/>
              </w:rPr>
              <w:t xml:space="preserve">($304)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5.</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Insurance Expense (655)</w:t>
            </w: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sz w:val="20"/>
                <w:szCs w:val="20"/>
              </w:rPr>
            </w:pPr>
            <w:r>
              <w:rPr>
                <w:rFonts w:ascii="SWISS" w:hAnsi="SWISS" w:cs="Arial"/>
                <w:sz w:val="20"/>
                <w:szCs w:val="20"/>
              </w:rPr>
              <w:t> </w:t>
            </w: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To reflect appropriate general liability insurance expense.</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double"/>
              </w:rPr>
            </w:pPr>
            <w:r>
              <w:rPr>
                <w:rFonts w:ascii="SWISS" w:hAnsi="SWISS" w:cs="Arial"/>
                <w:sz w:val="20"/>
                <w:szCs w:val="20"/>
                <w:u w:val="double"/>
              </w:rPr>
              <w:t>$479</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6.</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Regulatory Commission Expense (665)</w:t>
            </w: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sz w:val="20"/>
                <w:szCs w:val="20"/>
              </w:rPr>
            </w:pPr>
            <w:r>
              <w:rPr>
                <w:rFonts w:ascii="SWISS" w:hAnsi="SWISS" w:cs="Arial"/>
                <w:sz w:val="20"/>
                <w:szCs w:val="20"/>
              </w:rPr>
              <w:t>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a. To reflect 5-year amortization of transfer filing fee reclassified from plant Acct. 302.</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rPr>
            </w:pPr>
            <w:r>
              <w:rPr>
                <w:rFonts w:ascii="SWISS" w:hAnsi="SWISS" w:cs="Arial"/>
                <w:sz w:val="20"/>
                <w:szCs w:val="20"/>
              </w:rPr>
              <w:t xml:space="preserve">$150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center"/>
            <w:hideMark/>
          </w:tcPr>
          <w:p w:rsidR="00EC0903" w:rsidRDefault="00EC0903">
            <w:pPr>
              <w:rPr>
                <w:rFonts w:ascii="SWISS" w:hAnsi="SWISS" w:cs="Arial"/>
                <w:sz w:val="20"/>
                <w:szCs w:val="20"/>
              </w:rPr>
            </w:pPr>
            <w:r>
              <w:rPr>
                <w:rFonts w:ascii="SWISS" w:hAnsi="SWISS" w:cs="Arial"/>
                <w:sz w:val="20"/>
                <w:szCs w:val="20"/>
              </w:rPr>
              <w:t>b. To reflect 4-year amortization of rate case expense ($1,194/4).</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single"/>
              </w:rPr>
            </w:pPr>
            <w:r>
              <w:rPr>
                <w:rFonts w:ascii="SWISS" w:hAnsi="SWISS" w:cs="Arial"/>
                <w:sz w:val="20"/>
                <w:szCs w:val="20"/>
                <w:u w:val="single"/>
              </w:rPr>
              <w:t xml:space="preserve">298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 xml:space="preserve">       Subtotal</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double"/>
              </w:rPr>
            </w:pPr>
            <w:r>
              <w:rPr>
                <w:rFonts w:ascii="SWISS" w:hAnsi="SWISS" w:cs="Arial"/>
                <w:sz w:val="20"/>
                <w:szCs w:val="20"/>
                <w:u w:val="double"/>
              </w:rPr>
              <w:t xml:space="preserve">$448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7.</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Bad Debt Expense (670)</w:t>
            </w: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sz w:val="20"/>
                <w:szCs w:val="20"/>
              </w:rPr>
            </w:pPr>
            <w:r>
              <w:rPr>
                <w:rFonts w:ascii="SWISS" w:hAnsi="SWISS" w:cs="Arial"/>
                <w:sz w:val="20"/>
                <w:szCs w:val="20"/>
              </w:rPr>
              <w:t>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To reflect appropriate bad debt expense.</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double"/>
              </w:rPr>
            </w:pPr>
            <w:r>
              <w:rPr>
                <w:rFonts w:ascii="SWISS" w:hAnsi="SWISS" w:cs="Arial"/>
                <w:sz w:val="20"/>
                <w:szCs w:val="20"/>
                <w:u w:val="double"/>
              </w:rPr>
              <w:t>($89)</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tcPr>
          <w:p w:rsidR="00EC0903" w:rsidRDefault="00EC0903">
            <w:pPr>
              <w:rPr>
                <w:rFonts w:ascii="SWISS" w:hAnsi="SWISS" w:cs="Arial"/>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8.</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Miscellaneous Expense (675)</w:t>
            </w:r>
          </w:p>
        </w:tc>
        <w:tc>
          <w:tcPr>
            <w:tcW w:w="1105" w:type="dxa"/>
            <w:tcBorders>
              <w:top w:val="nil"/>
              <w:left w:val="nil"/>
              <w:bottom w:val="nil"/>
              <w:right w:val="single" w:sz="8" w:space="0" w:color="auto"/>
            </w:tcBorders>
            <w:noWrap/>
            <w:vAlign w:val="bottom"/>
          </w:tcPr>
          <w:p w:rsidR="00EC0903" w:rsidRDefault="00EC0903">
            <w:pPr>
              <w:jc w:val="right"/>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To remove Sunshine State One Call of Florida fees outside the test year.</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double"/>
              </w:rPr>
            </w:pPr>
            <w:r>
              <w:rPr>
                <w:rFonts w:ascii="SWISS" w:hAnsi="SWISS" w:cs="Arial"/>
                <w:sz w:val="20"/>
                <w:szCs w:val="20"/>
                <w:u w:val="double"/>
              </w:rPr>
              <w:t xml:space="preserve">($24) </w:t>
            </w: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rPr>
                <w:rFonts w:ascii="SWISS" w:hAnsi="SWISS" w:cs="Arial"/>
                <w:sz w:val="20"/>
                <w:szCs w:val="20"/>
              </w:rPr>
            </w:pPr>
            <w:r>
              <w:rPr>
                <w:rFonts w:ascii="SWISS" w:hAnsi="SWISS" w:cs="Arial"/>
                <w:sz w:val="20"/>
                <w:szCs w:val="20"/>
              </w:rPr>
              <w:t xml:space="preserve">       </w:t>
            </w:r>
          </w:p>
        </w:tc>
        <w:tc>
          <w:tcPr>
            <w:tcW w:w="7534" w:type="dxa"/>
            <w:noWrap/>
            <w:vAlign w:val="center"/>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jc w:val="right"/>
              <w:rPr>
                <w:rFonts w:ascii="SWISS" w:hAnsi="SWISS" w:cs="Arial"/>
                <w:sz w:val="20"/>
                <w:szCs w:val="20"/>
                <w:u w:val="single"/>
              </w:rPr>
            </w:pP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jc w:val="right"/>
              <w:rPr>
                <w:rFonts w:ascii="SWISS" w:hAnsi="SWISS" w:cs="Arial"/>
                <w:sz w:val="20"/>
                <w:szCs w:val="20"/>
                <w:u w:val="double"/>
              </w:rPr>
            </w:pP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jc w:val="right"/>
              <w:rPr>
                <w:rFonts w:ascii="SWISS" w:hAnsi="SWISS" w:cs="Arial"/>
                <w:sz w:val="20"/>
                <w:szCs w:val="20"/>
              </w:rPr>
            </w:pPr>
          </w:p>
        </w:tc>
        <w:tc>
          <w:tcPr>
            <w:tcW w:w="7534" w:type="dxa"/>
            <w:noWrap/>
            <w:vAlign w:val="bottom"/>
            <w:hideMark/>
          </w:tcPr>
          <w:p w:rsidR="00EC0903" w:rsidRDefault="00EC0903">
            <w:pPr>
              <w:rPr>
                <w:rFonts w:ascii="SWISS" w:hAnsi="SWISS" w:cs="Arial"/>
                <w:b/>
                <w:bCs/>
                <w:color w:val="000000"/>
                <w:sz w:val="20"/>
                <w:szCs w:val="20"/>
              </w:rPr>
            </w:pPr>
            <w:r>
              <w:rPr>
                <w:rFonts w:ascii="SWISS" w:hAnsi="SWISS" w:cs="Arial"/>
                <w:b/>
                <w:bCs/>
                <w:color w:val="000000"/>
                <w:sz w:val="20"/>
                <w:szCs w:val="20"/>
              </w:rPr>
              <w:t>TOTAL OPERATION &amp; MAINTENANCE ADJUSTMENTS</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double"/>
              </w:rPr>
            </w:pPr>
            <w:r>
              <w:rPr>
                <w:rFonts w:ascii="SWISS" w:hAnsi="SWISS" w:cs="Arial"/>
                <w:sz w:val="20"/>
                <w:szCs w:val="20"/>
                <w:u w:val="double"/>
              </w:rPr>
              <w:t xml:space="preserve">($584)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jc w:val="right"/>
              <w:rPr>
                <w:rFonts w:ascii="SWISS" w:hAnsi="SWISS" w:cs="Arial"/>
                <w:sz w:val="20"/>
                <w:szCs w:val="20"/>
              </w:rPr>
            </w:pPr>
          </w:p>
        </w:tc>
        <w:tc>
          <w:tcPr>
            <w:tcW w:w="7534" w:type="dxa"/>
            <w:noWrap/>
            <w:vAlign w:val="bottom"/>
          </w:tcPr>
          <w:p w:rsidR="00EC0903" w:rsidRDefault="00EC0903">
            <w:pPr>
              <w:rPr>
                <w:rFonts w:ascii="SWISS" w:hAnsi="SWISS" w:cs="Arial"/>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sz w:val="20"/>
                <w:szCs w:val="20"/>
              </w:rPr>
            </w:pP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jc w:val="right"/>
              <w:rPr>
                <w:rFonts w:ascii="SWISS" w:hAnsi="SWISS" w:cs="Arial"/>
                <w:sz w:val="20"/>
                <w:szCs w:val="20"/>
              </w:rPr>
            </w:pPr>
          </w:p>
        </w:tc>
        <w:tc>
          <w:tcPr>
            <w:tcW w:w="7534" w:type="dxa"/>
            <w:noWrap/>
            <w:vAlign w:val="bottom"/>
          </w:tcPr>
          <w:p w:rsidR="00EC0903" w:rsidRDefault="00EC0903">
            <w:pPr>
              <w:rPr>
                <w:rFonts w:ascii="SWISS" w:hAnsi="SWISS" w:cs="Arial"/>
              </w:rPr>
            </w:pP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sz w:val="20"/>
                <w:szCs w:val="20"/>
              </w:rPr>
            </w:pPr>
            <w:r>
              <w:rPr>
                <w:rFonts w:ascii="SWISS" w:hAnsi="SWISS" w:cs="Arial"/>
                <w:sz w:val="20"/>
                <w:szCs w:val="20"/>
              </w:rPr>
              <w:t>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jc w:val="right"/>
              <w:rPr>
                <w:rFonts w:ascii="SWISS" w:hAnsi="SWISS" w:cs="Arial"/>
                <w:sz w:val="20"/>
                <w:szCs w:val="20"/>
              </w:rPr>
            </w:pPr>
          </w:p>
        </w:tc>
        <w:tc>
          <w:tcPr>
            <w:tcW w:w="7534" w:type="dxa"/>
            <w:noWrap/>
            <w:vAlign w:val="bottom"/>
            <w:hideMark/>
          </w:tcPr>
          <w:p w:rsidR="00EC0903" w:rsidRDefault="00EC0903">
            <w:pPr>
              <w:rPr>
                <w:rFonts w:ascii="SWISS" w:hAnsi="SWISS" w:cs="Arial"/>
                <w:b/>
                <w:bCs/>
                <w:sz w:val="20"/>
                <w:szCs w:val="20"/>
              </w:rPr>
            </w:pPr>
            <w:r>
              <w:rPr>
                <w:rFonts w:ascii="SWISS" w:hAnsi="SWISS" w:cs="Arial"/>
                <w:b/>
                <w:bCs/>
                <w:sz w:val="20"/>
                <w:szCs w:val="20"/>
              </w:rPr>
              <w:t>DEPRECIATION EXPENSE</w:t>
            </w: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sz w:val="20"/>
                <w:szCs w:val="20"/>
              </w:rPr>
            </w:pPr>
            <w:r>
              <w:rPr>
                <w:rFonts w:ascii="SWISS" w:hAnsi="SWISS" w:cs="Arial"/>
                <w:sz w:val="20"/>
                <w:szCs w:val="20"/>
              </w:rPr>
              <w:t>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ind w:left="331"/>
              <w:rPr>
                <w:rFonts w:ascii="SWISS" w:hAnsi="SWISS" w:cs="Arial"/>
                <w:sz w:val="20"/>
                <w:szCs w:val="20"/>
              </w:rPr>
            </w:pP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To reflect appropriate depreciation calculated per Rule 25-30.140, F.A.C.</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double"/>
              </w:rPr>
            </w:pPr>
            <w:r>
              <w:rPr>
                <w:rFonts w:ascii="SWISS" w:hAnsi="SWISS" w:cs="Arial"/>
                <w:sz w:val="20"/>
                <w:szCs w:val="20"/>
                <w:u w:val="double"/>
              </w:rPr>
              <w:t xml:space="preserve">($3,116)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tcPr>
          <w:p w:rsidR="00EC0903" w:rsidRDefault="00EC0903">
            <w:pPr>
              <w:rPr>
                <w:rFonts w:ascii="SWISS" w:hAnsi="SWISS" w:cs="Arial"/>
                <w:sz w:val="20"/>
                <w:szCs w:val="20"/>
              </w:rPr>
            </w:pPr>
          </w:p>
        </w:tc>
        <w:tc>
          <w:tcPr>
            <w:tcW w:w="1105" w:type="dxa"/>
            <w:tcBorders>
              <w:top w:val="nil"/>
              <w:left w:val="nil"/>
              <w:bottom w:val="nil"/>
              <w:right w:val="single" w:sz="8" w:space="0" w:color="auto"/>
            </w:tcBorders>
            <w:noWrap/>
            <w:vAlign w:val="bottom"/>
          </w:tcPr>
          <w:p w:rsidR="00EC0903" w:rsidRDefault="00EC0903">
            <w:pPr>
              <w:rPr>
                <w:rFonts w:ascii="SWISS" w:hAnsi="SWISS" w:cs="Arial"/>
              </w:rPr>
            </w:pP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hideMark/>
          </w:tcPr>
          <w:p w:rsidR="00EC0903" w:rsidRDefault="00EC0903">
            <w:pPr>
              <w:rPr>
                <w:rFonts w:ascii="SWISS" w:hAnsi="SWISS" w:cs="Arial"/>
                <w:b/>
                <w:bCs/>
                <w:sz w:val="20"/>
                <w:szCs w:val="20"/>
              </w:rPr>
            </w:pPr>
            <w:r>
              <w:rPr>
                <w:rFonts w:ascii="SWISS" w:hAnsi="SWISS" w:cs="Arial"/>
                <w:b/>
                <w:bCs/>
                <w:sz w:val="20"/>
                <w:szCs w:val="20"/>
              </w:rPr>
              <w:t>TAXES OTHER THAN INCOME</w:t>
            </w:r>
          </w:p>
        </w:tc>
        <w:tc>
          <w:tcPr>
            <w:tcW w:w="1105" w:type="dxa"/>
            <w:tcBorders>
              <w:top w:val="nil"/>
              <w:left w:val="nil"/>
              <w:bottom w:val="nil"/>
              <w:right w:val="single" w:sz="8" w:space="0" w:color="auto"/>
            </w:tcBorders>
            <w:noWrap/>
            <w:vAlign w:val="bottom"/>
            <w:hideMark/>
          </w:tcPr>
          <w:p w:rsidR="00EC0903" w:rsidRDefault="00EC0903">
            <w:pPr>
              <w:rPr>
                <w:rFonts w:ascii="SWISS" w:hAnsi="SWISS" w:cs="Arial"/>
                <w:sz w:val="20"/>
                <w:szCs w:val="20"/>
              </w:rPr>
            </w:pPr>
            <w:r>
              <w:rPr>
                <w:rFonts w:ascii="SWISS" w:hAnsi="SWISS" w:cs="Arial"/>
                <w:sz w:val="20"/>
                <w:szCs w:val="20"/>
              </w:rPr>
              <w:t> </w:t>
            </w: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ind w:left="331"/>
              <w:rPr>
                <w:rFonts w:ascii="SWISS" w:hAnsi="SWISS" w:cs="Arial"/>
                <w:sz w:val="20"/>
                <w:szCs w:val="20"/>
              </w:rPr>
            </w:pPr>
            <w:r>
              <w:rPr>
                <w:rFonts w:ascii="SWISS" w:hAnsi="SWISS" w:cs="Arial"/>
                <w:sz w:val="20"/>
                <w:szCs w:val="20"/>
              </w:rPr>
              <w:t xml:space="preserve">         1.</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To reflect appropriate test year RAFs.</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rPr>
            </w:pPr>
            <w:r>
              <w:rPr>
                <w:rFonts w:ascii="SWISS" w:hAnsi="SWISS" w:cs="Arial"/>
                <w:sz w:val="20"/>
                <w:szCs w:val="20"/>
              </w:rPr>
              <w:t>($83)</w:t>
            </w:r>
          </w:p>
        </w:tc>
      </w:tr>
      <w:tr w:rsidR="00EC0903" w:rsidTr="00EC0903">
        <w:trPr>
          <w:trHeight w:val="58"/>
        </w:trPr>
        <w:tc>
          <w:tcPr>
            <w:tcW w:w="1075" w:type="dxa"/>
            <w:tcBorders>
              <w:top w:val="nil"/>
              <w:left w:val="single" w:sz="8" w:space="0" w:color="auto"/>
              <w:bottom w:val="nil"/>
              <w:right w:val="nil"/>
            </w:tcBorders>
            <w:noWrap/>
            <w:vAlign w:val="bottom"/>
            <w:hideMark/>
          </w:tcPr>
          <w:p w:rsidR="00EC0903" w:rsidRDefault="00EC0903">
            <w:pPr>
              <w:tabs>
                <w:tab w:val="left" w:pos="745"/>
              </w:tabs>
              <w:ind w:left="331"/>
              <w:rPr>
                <w:rFonts w:ascii="SWISS" w:hAnsi="SWISS" w:cs="Arial"/>
                <w:sz w:val="20"/>
                <w:szCs w:val="20"/>
              </w:rPr>
            </w:pPr>
            <w:r>
              <w:rPr>
                <w:rFonts w:ascii="SWISS" w:hAnsi="SWISS" w:cs="Arial"/>
                <w:sz w:val="20"/>
                <w:szCs w:val="20"/>
              </w:rPr>
              <w:t xml:space="preserve">         2.</w:t>
            </w: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To reflect appropriate Utility property taxes.</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single"/>
              </w:rPr>
            </w:pPr>
            <w:r>
              <w:rPr>
                <w:rFonts w:ascii="SWISS" w:hAnsi="SWISS" w:cs="Arial"/>
                <w:sz w:val="20"/>
                <w:szCs w:val="20"/>
                <w:u w:val="single"/>
              </w:rPr>
              <w:t xml:space="preserve">(384) </w:t>
            </w:r>
          </w:p>
        </w:tc>
      </w:tr>
      <w:tr w:rsidR="00EC0903" w:rsidTr="00EC0903">
        <w:trPr>
          <w:trHeight w:val="58"/>
        </w:trPr>
        <w:tc>
          <w:tcPr>
            <w:tcW w:w="1075" w:type="dxa"/>
            <w:tcBorders>
              <w:top w:val="nil"/>
              <w:left w:val="single" w:sz="8" w:space="0" w:color="auto"/>
              <w:bottom w:val="nil"/>
              <w:right w:val="nil"/>
            </w:tcBorders>
            <w:noWrap/>
            <w:vAlign w:val="bottom"/>
          </w:tcPr>
          <w:p w:rsidR="00EC0903" w:rsidRDefault="00EC0903">
            <w:pPr>
              <w:rPr>
                <w:rFonts w:ascii="SWISS" w:hAnsi="SWISS" w:cs="Arial"/>
                <w:sz w:val="20"/>
                <w:szCs w:val="20"/>
              </w:rPr>
            </w:pPr>
          </w:p>
        </w:tc>
        <w:tc>
          <w:tcPr>
            <w:tcW w:w="7534" w:type="dxa"/>
            <w:noWrap/>
            <w:vAlign w:val="bottom"/>
            <w:hideMark/>
          </w:tcPr>
          <w:p w:rsidR="00EC0903" w:rsidRDefault="00EC0903">
            <w:pPr>
              <w:rPr>
                <w:rFonts w:ascii="SWISS" w:hAnsi="SWISS" w:cs="Arial"/>
                <w:sz w:val="20"/>
                <w:szCs w:val="20"/>
              </w:rPr>
            </w:pPr>
            <w:r>
              <w:rPr>
                <w:rFonts w:ascii="SWISS" w:hAnsi="SWISS" w:cs="Arial"/>
                <w:sz w:val="20"/>
                <w:szCs w:val="20"/>
              </w:rPr>
              <w:t xml:space="preserve">  Total</w:t>
            </w:r>
          </w:p>
        </w:tc>
        <w:tc>
          <w:tcPr>
            <w:tcW w:w="1105" w:type="dxa"/>
            <w:tcBorders>
              <w:top w:val="nil"/>
              <w:left w:val="nil"/>
              <w:bottom w:val="nil"/>
              <w:right w:val="single" w:sz="8" w:space="0" w:color="auto"/>
            </w:tcBorders>
            <w:noWrap/>
            <w:vAlign w:val="bottom"/>
            <w:hideMark/>
          </w:tcPr>
          <w:p w:rsidR="00EC0903" w:rsidRDefault="00EC0903">
            <w:pPr>
              <w:jc w:val="right"/>
              <w:rPr>
                <w:rFonts w:ascii="SWISS" w:hAnsi="SWISS" w:cs="Arial"/>
                <w:sz w:val="20"/>
                <w:szCs w:val="20"/>
                <w:u w:val="double"/>
              </w:rPr>
            </w:pPr>
            <w:r>
              <w:rPr>
                <w:rFonts w:ascii="SWISS" w:hAnsi="SWISS" w:cs="Arial"/>
                <w:sz w:val="20"/>
                <w:szCs w:val="20"/>
                <w:u w:val="double"/>
              </w:rPr>
              <w:t>($467)</w:t>
            </w:r>
          </w:p>
        </w:tc>
      </w:tr>
      <w:tr w:rsidR="00EC0903" w:rsidTr="00EC0903">
        <w:trPr>
          <w:trHeight w:val="58"/>
        </w:trPr>
        <w:tc>
          <w:tcPr>
            <w:tcW w:w="1075" w:type="dxa"/>
            <w:tcBorders>
              <w:top w:val="nil"/>
              <w:left w:val="single" w:sz="8" w:space="0" w:color="auto"/>
              <w:bottom w:val="single" w:sz="8" w:space="0" w:color="auto"/>
              <w:right w:val="nil"/>
            </w:tcBorders>
            <w:noWrap/>
            <w:vAlign w:val="bottom"/>
          </w:tcPr>
          <w:p w:rsidR="00EC0903" w:rsidRDefault="00EC0903">
            <w:pPr>
              <w:rPr>
                <w:rFonts w:ascii="SWISS" w:hAnsi="SWISS" w:cs="Arial"/>
                <w:sz w:val="20"/>
                <w:szCs w:val="20"/>
              </w:rPr>
            </w:pPr>
          </w:p>
        </w:tc>
        <w:tc>
          <w:tcPr>
            <w:tcW w:w="7534" w:type="dxa"/>
            <w:tcBorders>
              <w:top w:val="nil"/>
              <w:left w:val="nil"/>
              <w:bottom w:val="single" w:sz="8" w:space="0" w:color="auto"/>
              <w:right w:val="nil"/>
            </w:tcBorders>
            <w:noWrap/>
            <w:vAlign w:val="bottom"/>
          </w:tcPr>
          <w:p w:rsidR="00EC0903" w:rsidRDefault="00EC0903">
            <w:pPr>
              <w:rPr>
                <w:rFonts w:ascii="SWISS" w:hAnsi="SWISS" w:cs="Arial"/>
              </w:rPr>
            </w:pPr>
          </w:p>
        </w:tc>
        <w:tc>
          <w:tcPr>
            <w:tcW w:w="1105" w:type="dxa"/>
            <w:tcBorders>
              <w:top w:val="nil"/>
              <w:left w:val="nil"/>
              <w:bottom w:val="single" w:sz="8" w:space="0" w:color="auto"/>
              <w:right w:val="single" w:sz="8" w:space="0" w:color="auto"/>
            </w:tcBorders>
            <w:noWrap/>
            <w:vAlign w:val="bottom"/>
          </w:tcPr>
          <w:p w:rsidR="00EC0903" w:rsidRDefault="00EC0903">
            <w:pPr>
              <w:rPr>
                <w:rFonts w:ascii="SWISS" w:hAnsi="SWISS" w:cs="Arial"/>
                <w:sz w:val="20"/>
                <w:szCs w:val="20"/>
              </w:rPr>
            </w:pPr>
          </w:p>
        </w:tc>
      </w:tr>
    </w:tbl>
    <w:p w:rsidR="002468EA" w:rsidRDefault="002468EA" w:rsidP="00B12EC7">
      <w:pPr>
        <w:jc w:val="right"/>
        <w:sectPr w:rsidR="002468EA" w:rsidSect="0068481F">
          <w:headerReference w:type="default" r:id="rId25"/>
          <w:pgSz w:w="12240" w:h="15840" w:code="1"/>
          <w:pgMar w:top="1584" w:right="1440" w:bottom="1440" w:left="1440" w:header="720" w:footer="720" w:gutter="0"/>
          <w:cols w:space="720"/>
          <w:formProt w:val="0"/>
          <w:docGrid w:linePitch="360"/>
        </w:sectPr>
      </w:pPr>
    </w:p>
    <w:tbl>
      <w:tblPr>
        <w:tblW w:w="9237" w:type="dxa"/>
        <w:tblInd w:w="98" w:type="dxa"/>
        <w:tblLook w:val="04A0" w:firstRow="1" w:lastRow="0" w:firstColumn="1" w:lastColumn="0" w:noHBand="0" w:noVBand="1"/>
      </w:tblPr>
      <w:tblGrid>
        <w:gridCol w:w="4917"/>
        <w:gridCol w:w="1440"/>
        <w:gridCol w:w="1440"/>
        <w:gridCol w:w="1440"/>
      </w:tblGrid>
      <w:tr w:rsidR="00D34E8C" w:rsidTr="00D34E8C">
        <w:trPr>
          <w:trHeight w:val="300"/>
        </w:trPr>
        <w:tc>
          <w:tcPr>
            <w:tcW w:w="4917" w:type="dxa"/>
            <w:tcBorders>
              <w:top w:val="single" w:sz="8" w:space="0" w:color="auto"/>
              <w:left w:val="single" w:sz="8" w:space="0" w:color="auto"/>
              <w:bottom w:val="nil"/>
              <w:right w:val="nil"/>
            </w:tcBorders>
            <w:noWrap/>
            <w:vAlign w:val="bottom"/>
            <w:hideMark/>
          </w:tcPr>
          <w:p w:rsidR="00D34E8C" w:rsidRDefault="00D34E8C">
            <w:pPr>
              <w:rPr>
                <w:rFonts w:ascii="SWISS" w:hAnsi="SWISS" w:cs="Arial"/>
                <w:color w:val="000000"/>
                <w:sz w:val="20"/>
                <w:szCs w:val="20"/>
              </w:rPr>
            </w:pPr>
            <w:r>
              <w:rPr>
                <w:rFonts w:ascii="SWISS" w:hAnsi="SWISS" w:cs="Arial"/>
                <w:b/>
                <w:bCs/>
                <w:color w:val="000000"/>
                <w:sz w:val="20"/>
                <w:szCs w:val="20"/>
              </w:rPr>
              <w:lastRenderedPageBreak/>
              <w:t>RAINTREE WATERWORKS, INC.</w:t>
            </w:r>
          </w:p>
        </w:tc>
        <w:tc>
          <w:tcPr>
            <w:tcW w:w="1440" w:type="dxa"/>
            <w:tcBorders>
              <w:top w:val="single" w:sz="8" w:space="0" w:color="auto"/>
              <w:left w:val="nil"/>
              <w:bottom w:val="nil"/>
              <w:right w:val="nil"/>
            </w:tcBorders>
            <w:noWrap/>
            <w:vAlign w:val="bottom"/>
            <w:hideMark/>
          </w:tcPr>
          <w:p w:rsidR="00D34E8C" w:rsidRDefault="00D34E8C">
            <w:pPr>
              <w:rPr>
                <w:rFonts w:ascii="SWISS" w:hAnsi="SWISS" w:cs="Arial"/>
                <w:b/>
                <w:bCs/>
                <w:color w:val="000000"/>
                <w:sz w:val="20"/>
                <w:szCs w:val="20"/>
              </w:rPr>
            </w:pPr>
            <w:r>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noWrap/>
            <w:vAlign w:val="bottom"/>
            <w:hideMark/>
          </w:tcPr>
          <w:p w:rsidR="00D34E8C" w:rsidRDefault="00D34E8C">
            <w:pPr>
              <w:jc w:val="right"/>
              <w:rPr>
                <w:rFonts w:ascii="SWISS" w:hAnsi="SWISS" w:cs="Arial"/>
                <w:b/>
                <w:bCs/>
                <w:color w:val="000000"/>
                <w:sz w:val="20"/>
                <w:szCs w:val="20"/>
              </w:rPr>
            </w:pPr>
            <w:r>
              <w:rPr>
                <w:rFonts w:ascii="SWISS" w:hAnsi="SWISS" w:cs="Arial"/>
                <w:b/>
                <w:bCs/>
                <w:color w:val="000000"/>
                <w:sz w:val="20"/>
                <w:szCs w:val="20"/>
              </w:rPr>
              <w:t>SCHEDULE NO. 3-C</w:t>
            </w:r>
            <w:r>
              <w:rPr>
                <w:sz w:val="20"/>
                <w:szCs w:val="20"/>
              </w:rPr>
              <w:fldChar w:fldCharType="begin"/>
            </w:r>
            <w:r>
              <w:rPr>
                <w:sz w:val="20"/>
                <w:szCs w:val="20"/>
              </w:rPr>
              <w:instrText xml:space="preserve"> TC "</w:instrText>
            </w:r>
            <w:bookmarkStart w:id="184" w:name="_Toc399147321"/>
            <w:bookmarkStart w:id="185" w:name="_Toc398535520"/>
            <w:bookmarkStart w:id="186" w:name="_Toc391560264"/>
            <w:bookmarkStart w:id="187" w:name="_Toc389554435"/>
            <w:bookmarkStart w:id="188" w:name="_Toc381963580"/>
            <w:bookmarkStart w:id="189" w:name="_Toc358798425"/>
            <w:bookmarkStart w:id="190" w:name="_Toc353290013"/>
            <w:bookmarkStart w:id="191" w:name="_Toc339025191"/>
            <w:bookmarkStart w:id="192" w:name="_Toc333928466"/>
            <w:bookmarkStart w:id="193" w:name="_Toc327190753"/>
            <w:bookmarkStart w:id="194" w:name="_Toc295141631"/>
            <w:bookmarkStart w:id="195" w:name="_Toc294182207"/>
            <w:r>
              <w:rPr>
                <w:sz w:val="20"/>
                <w:szCs w:val="20"/>
              </w:rPr>
              <w:instrText xml:space="preserve"> </w:instrText>
            </w:r>
            <w:bookmarkStart w:id="196" w:name="_Toc443384733"/>
            <w:bookmarkStart w:id="197" w:name="_Toc441233998"/>
            <w:bookmarkStart w:id="198" w:name="_Toc422220891"/>
            <w:bookmarkStart w:id="199" w:name="_Toc451766982"/>
            <w:r>
              <w:rPr>
                <w:sz w:val="20"/>
                <w:szCs w:val="20"/>
              </w:rPr>
              <w:instrText>Schedule No. 3-C Water O&amp;M Expense</w:instrTex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sz w:val="20"/>
                <w:szCs w:val="20"/>
              </w:rPr>
              <w:instrText xml:space="preserve">”\l 1 </w:instrText>
            </w:r>
            <w:r>
              <w:rPr>
                <w:sz w:val="20"/>
                <w:szCs w:val="20"/>
              </w:rPr>
              <w:fldChar w:fldCharType="end"/>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b/>
                <w:bCs/>
                <w:color w:val="000000"/>
                <w:sz w:val="20"/>
                <w:szCs w:val="20"/>
              </w:rPr>
            </w:pPr>
            <w:r>
              <w:rPr>
                <w:rFonts w:ascii="SWISS" w:hAnsi="SWISS" w:cs="Arial"/>
                <w:b/>
                <w:bCs/>
                <w:color w:val="000000"/>
                <w:sz w:val="20"/>
                <w:szCs w:val="20"/>
              </w:rPr>
              <w:t>TEST YEAR ENDED 7/31/15</w:t>
            </w:r>
          </w:p>
        </w:tc>
        <w:tc>
          <w:tcPr>
            <w:tcW w:w="1440" w:type="dxa"/>
            <w:noWrap/>
            <w:vAlign w:val="bottom"/>
          </w:tcPr>
          <w:p w:rsidR="00D34E8C" w:rsidRDefault="00D34E8C">
            <w:pPr>
              <w:rPr>
                <w:rFonts w:ascii="SWISS" w:hAnsi="SWISS" w:cs="Arial"/>
                <w:b/>
                <w:bCs/>
                <w:color w:val="000000"/>
                <w:sz w:val="20"/>
                <w:szCs w:val="20"/>
              </w:rPr>
            </w:pPr>
          </w:p>
        </w:tc>
        <w:tc>
          <w:tcPr>
            <w:tcW w:w="2880" w:type="dxa"/>
            <w:gridSpan w:val="2"/>
            <w:tcBorders>
              <w:top w:val="nil"/>
              <w:left w:val="nil"/>
              <w:bottom w:val="nil"/>
              <w:right w:val="single" w:sz="8" w:space="0" w:color="auto"/>
            </w:tcBorders>
            <w:noWrap/>
            <w:vAlign w:val="bottom"/>
            <w:hideMark/>
          </w:tcPr>
          <w:p w:rsidR="00D34E8C" w:rsidRDefault="00D34E8C">
            <w:pPr>
              <w:jc w:val="right"/>
              <w:rPr>
                <w:rFonts w:ascii="SWISS" w:hAnsi="SWISS" w:cs="Arial"/>
                <w:b/>
                <w:bCs/>
                <w:color w:val="000000"/>
                <w:sz w:val="20"/>
                <w:szCs w:val="20"/>
              </w:rPr>
            </w:pPr>
            <w:r>
              <w:rPr>
                <w:rFonts w:ascii="SWISS" w:hAnsi="SWISS" w:cs="Arial"/>
                <w:b/>
                <w:bCs/>
                <w:color w:val="000000"/>
                <w:sz w:val="20"/>
                <w:szCs w:val="20"/>
              </w:rPr>
              <w:t>DOCKET NO. 150199-WU</w:t>
            </w:r>
          </w:p>
        </w:tc>
      </w:tr>
      <w:tr w:rsidR="00D34E8C" w:rsidTr="00D34E8C">
        <w:trPr>
          <w:trHeight w:val="312"/>
        </w:trPr>
        <w:tc>
          <w:tcPr>
            <w:tcW w:w="9237" w:type="dxa"/>
            <w:gridSpan w:val="4"/>
            <w:tcBorders>
              <w:top w:val="nil"/>
              <w:left w:val="single" w:sz="8" w:space="0" w:color="auto"/>
              <w:bottom w:val="single" w:sz="8" w:space="0" w:color="auto"/>
              <w:right w:val="single" w:sz="8" w:space="0" w:color="auto"/>
            </w:tcBorders>
            <w:noWrap/>
            <w:vAlign w:val="bottom"/>
            <w:hideMark/>
          </w:tcPr>
          <w:p w:rsidR="00D34E8C" w:rsidRDefault="00D34E8C">
            <w:pPr>
              <w:rPr>
                <w:rFonts w:ascii="SWISS" w:hAnsi="SWISS" w:cs="Arial"/>
                <w:b/>
                <w:bCs/>
                <w:color w:val="000000"/>
                <w:sz w:val="20"/>
                <w:szCs w:val="20"/>
              </w:rPr>
            </w:pPr>
            <w:r>
              <w:rPr>
                <w:rFonts w:ascii="SWISS" w:hAnsi="SWISS" w:cs="Arial"/>
                <w:b/>
                <w:bCs/>
                <w:color w:val="000000"/>
                <w:sz w:val="20"/>
                <w:szCs w:val="20"/>
              </w:rPr>
              <w:t>ANALYSIS OF WATER OPERATION AND MAINTENANCE EXPENSE</w:t>
            </w:r>
          </w:p>
        </w:tc>
      </w:tr>
      <w:tr w:rsidR="00D34E8C" w:rsidTr="00D34E8C">
        <w:trPr>
          <w:trHeight w:val="300"/>
        </w:trPr>
        <w:tc>
          <w:tcPr>
            <w:tcW w:w="4917" w:type="dxa"/>
            <w:tcBorders>
              <w:top w:val="single" w:sz="8" w:space="0" w:color="auto"/>
              <w:left w:val="single" w:sz="8" w:space="0" w:color="auto"/>
              <w:bottom w:val="nil"/>
              <w:right w:val="nil"/>
            </w:tcBorders>
            <w:noWrap/>
            <w:vAlign w:val="bottom"/>
            <w:hideMark/>
          </w:tcPr>
          <w:p w:rsidR="00D34E8C" w:rsidRDefault="00D34E8C">
            <w:pPr>
              <w:rPr>
                <w:rFonts w:ascii="SWISS" w:hAnsi="SWISS" w:cs="Arial"/>
                <w:b/>
                <w:bCs/>
                <w:color w:val="000000"/>
                <w:sz w:val="20"/>
                <w:szCs w:val="20"/>
              </w:rPr>
            </w:pPr>
            <w:r>
              <w:rPr>
                <w:rFonts w:ascii="SWISS" w:hAnsi="SWISS" w:cs="Arial"/>
                <w:b/>
                <w:bCs/>
                <w:color w:val="000000"/>
                <w:sz w:val="20"/>
                <w:szCs w:val="20"/>
              </w:rPr>
              <w:t> </w:t>
            </w:r>
          </w:p>
        </w:tc>
        <w:tc>
          <w:tcPr>
            <w:tcW w:w="1440" w:type="dxa"/>
            <w:tcBorders>
              <w:top w:val="single" w:sz="8" w:space="0" w:color="auto"/>
              <w:left w:val="nil"/>
              <w:bottom w:val="nil"/>
              <w:right w:val="nil"/>
            </w:tcBorders>
            <w:noWrap/>
            <w:vAlign w:val="bottom"/>
            <w:hideMark/>
          </w:tcPr>
          <w:p w:rsidR="00D34E8C" w:rsidRDefault="00D34E8C">
            <w:pPr>
              <w:jc w:val="center"/>
              <w:rPr>
                <w:rFonts w:ascii="SWISS" w:hAnsi="SWISS" w:cs="Arial"/>
                <w:b/>
                <w:bCs/>
                <w:color w:val="000000"/>
                <w:sz w:val="20"/>
                <w:szCs w:val="20"/>
              </w:rPr>
            </w:pPr>
            <w:r>
              <w:rPr>
                <w:rFonts w:ascii="SWISS" w:hAnsi="SWISS" w:cs="Arial"/>
                <w:b/>
                <w:bCs/>
                <w:color w:val="000000"/>
                <w:sz w:val="20"/>
                <w:szCs w:val="20"/>
              </w:rPr>
              <w:t>TOTAL</w:t>
            </w:r>
          </w:p>
        </w:tc>
        <w:tc>
          <w:tcPr>
            <w:tcW w:w="1440" w:type="dxa"/>
            <w:tcBorders>
              <w:top w:val="single" w:sz="8" w:space="0" w:color="auto"/>
              <w:left w:val="nil"/>
              <w:bottom w:val="nil"/>
              <w:right w:val="nil"/>
            </w:tcBorders>
            <w:noWrap/>
            <w:vAlign w:val="bottom"/>
            <w:hideMark/>
          </w:tcPr>
          <w:p w:rsidR="00D34E8C" w:rsidRDefault="00D34E8C">
            <w:pPr>
              <w:jc w:val="center"/>
              <w:rPr>
                <w:rFonts w:ascii="SWISS" w:hAnsi="SWISS" w:cs="Arial"/>
                <w:b/>
                <w:bCs/>
                <w:color w:val="000000"/>
                <w:sz w:val="20"/>
                <w:szCs w:val="20"/>
              </w:rPr>
            </w:pPr>
            <w:r>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noWrap/>
            <w:vAlign w:val="bottom"/>
            <w:hideMark/>
          </w:tcPr>
          <w:p w:rsidR="00D34E8C" w:rsidRDefault="00D34E8C">
            <w:pPr>
              <w:jc w:val="center"/>
              <w:rPr>
                <w:rFonts w:ascii="SWISS" w:hAnsi="SWISS" w:cs="Arial"/>
                <w:b/>
                <w:bCs/>
                <w:color w:val="000000"/>
                <w:sz w:val="20"/>
                <w:szCs w:val="20"/>
              </w:rPr>
            </w:pPr>
            <w:r>
              <w:rPr>
                <w:rFonts w:ascii="SWISS" w:hAnsi="SWISS" w:cs="Arial"/>
                <w:b/>
                <w:bCs/>
                <w:color w:val="000000"/>
                <w:sz w:val="20"/>
                <w:szCs w:val="20"/>
              </w:rPr>
              <w:t>TOTAL</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b/>
                <w:bCs/>
                <w:color w:val="000000"/>
                <w:sz w:val="20"/>
                <w:szCs w:val="20"/>
              </w:rPr>
            </w:pPr>
            <w:r>
              <w:rPr>
                <w:rFonts w:ascii="SWISS" w:hAnsi="SWISS" w:cs="Arial"/>
                <w:b/>
                <w:bCs/>
                <w:color w:val="000000"/>
                <w:sz w:val="20"/>
                <w:szCs w:val="20"/>
              </w:rPr>
              <w:t> </w:t>
            </w:r>
          </w:p>
        </w:tc>
        <w:tc>
          <w:tcPr>
            <w:tcW w:w="1440" w:type="dxa"/>
            <w:noWrap/>
            <w:vAlign w:val="bottom"/>
            <w:hideMark/>
          </w:tcPr>
          <w:p w:rsidR="00D34E8C" w:rsidRDefault="00D34E8C">
            <w:pPr>
              <w:jc w:val="center"/>
              <w:rPr>
                <w:rFonts w:ascii="SWISS" w:hAnsi="SWISS" w:cs="Arial"/>
                <w:b/>
                <w:bCs/>
                <w:color w:val="000000"/>
                <w:sz w:val="20"/>
                <w:szCs w:val="20"/>
              </w:rPr>
            </w:pPr>
            <w:r>
              <w:rPr>
                <w:rFonts w:ascii="SWISS" w:hAnsi="SWISS" w:cs="Arial"/>
                <w:b/>
                <w:bCs/>
                <w:color w:val="000000"/>
                <w:sz w:val="20"/>
                <w:szCs w:val="20"/>
              </w:rPr>
              <w:t>PER</w:t>
            </w:r>
          </w:p>
        </w:tc>
        <w:tc>
          <w:tcPr>
            <w:tcW w:w="1440" w:type="dxa"/>
            <w:noWrap/>
            <w:vAlign w:val="bottom"/>
            <w:hideMark/>
          </w:tcPr>
          <w:p w:rsidR="00D34E8C" w:rsidRDefault="00D34E8C">
            <w:pPr>
              <w:jc w:val="center"/>
              <w:rPr>
                <w:rFonts w:ascii="SWISS" w:hAnsi="SWISS" w:cs="Arial"/>
                <w:b/>
                <w:bCs/>
                <w:color w:val="000000"/>
                <w:sz w:val="20"/>
                <w:szCs w:val="20"/>
              </w:rPr>
            </w:pPr>
            <w:r>
              <w:rPr>
                <w:rFonts w:ascii="SWISS" w:hAnsi="SWISS" w:cs="Arial"/>
                <w:b/>
                <w:bCs/>
                <w:color w:val="000000"/>
                <w:sz w:val="20"/>
                <w:szCs w:val="20"/>
              </w:rPr>
              <w:t>ADJUST-</w:t>
            </w:r>
          </w:p>
        </w:tc>
        <w:tc>
          <w:tcPr>
            <w:tcW w:w="1440" w:type="dxa"/>
            <w:tcBorders>
              <w:top w:val="nil"/>
              <w:left w:val="nil"/>
              <w:bottom w:val="nil"/>
              <w:right w:val="single" w:sz="8" w:space="0" w:color="auto"/>
            </w:tcBorders>
            <w:noWrap/>
            <w:vAlign w:val="bottom"/>
            <w:hideMark/>
          </w:tcPr>
          <w:p w:rsidR="00D34E8C" w:rsidRDefault="00D34E8C">
            <w:pPr>
              <w:jc w:val="center"/>
              <w:rPr>
                <w:rFonts w:ascii="SWISS" w:hAnsi="SWISS" w:cs="Arial"/>
                <w:b/>
                <w:bCs/>
                <w:color w:val="000000"/>
                <w:sz w:val="20"/>
                <w:szCs w:val="20"/>
              </w:rPr>
            </w:pPr>
            <w:r>
              <w:rPr>
                <w:rFonts w:ascii="SWISS" w:hAnsi="SWISS" w:cs="Arial"/>
                <w:b/>
                <w:bCs/>
                <w:color w:val="000000"/>
                <w:sz w:val="20"/>
                <w:szCs w:val="20"/>
              </w:rPr>
              <w:t>PER</w:t>
            </w:r>
          </w:p>
        </w:tc>
      </w:tr>
      <w:tr w:rsidR="00D34E8C" w:rsidTr="00D34E8C">
        <w:trPr>
          <w:trHeight w:val="312"/>
        </w:trPr>
        <w:tc>
          <w:tcPr>
            <w:tcW w:w="4917" w:type="dxa"/>
            <w:tcBorders>
              <w:top w:val="nil"/>
              <w:left w:val="single" w:sz="8" w:space="0" w:color="auto"/>
              <w:bottom w:val="single" w:sz="8" w:space="0" w:color="auto"/>
              <w:right w:val="nil"/>
            </w:tcBorders>
            <w:noWrap/>
            <w:vAlign w:val="bottom"/>
            <w:hideMark/>
          </w:tcPr>
          <w:p w:rsidR="00D34E8C" w:rsidRDefault="00D34E8C">
            <w:pPr>
              <w:rPr>
                <w:rFonts w:ascii="SWISS" w:hAnsi="SWISS" w:cs="Arial"/>
                <w:b/>
                <w:bCs/>
                <w:color w:val="000000"/>
                <w:sz w:val="20"/>
                <w:szCs w:val="20"/>
              </w:rPr>
            </w:pPr>
            <w:r>
              <w:rPr>
                <w:rFonts w:ascii="SWISS" w:hAnsi="SWISS" w:cs="Arial"/>
                <w:b/>
                <w:bCs/>
                <w:color w:val="000000"/>
                <w:sz w:val="20"/>
                <w:szCs w:val="20"/>
              </w:rPr>
              <w:t> </w:t>
            </w:r>
          </w:p>
        </w:tc>
        <w:tc>
          <w:tcPr>
            <w:tcW w:w="1440" w:type="dxa"/>
            <w:tcBorders>
              <w:top w:val="nil"/>
              <w:left w:val="nil"/>
              <w:bottom w:val="single" w:sz="8" w:space="0" w:color="auto"/>
              <w:right w:val="nil"/>
            </w:tcBorders>
            <w:noWrap/>
            <w:vAlign w:val="bottom"/>
            <w:hideMark/>
          </w:tcPr>
          <w:p w:rsidR="00D34E8C" w:rsidRDefault="00D34E8C">
            <w:pPr>
              <w:jc w:val="center"/>
              <w:rPr>
                <w:rFonts w:ascii="SWISS" w:hAnsi="SWISS" w:cs="Arial"/>
                <w:b/>
                <w:bCs/>
                <w:color w:val="000000"/>
                <w:sz w:val="20"/>
                <w:szCs w:val="20"/>
              </w:rPr>
            </w:pPr>
            <w:r>
              <w:rPr>
                <w:rFonts w:ascii="SWISS" w:hAnsi="SWISS" w:cs="Arial"/>
                <w:b/>
                <w:bCs/>
                <w:color w:val="000000"/>
                <w:sz w:val="20"/>
                <w:szCs w:val="20"/>
              </w:rPr>
              <w:t>UTILITY</w:t>
            </w:r>
          </w:p>
        </w:tc>
        <w:tc>
          <w:tcPr>
            <w:tcW w:w="1440" w:type="dxa"/>
            <w:tcBorders>
              <w:top w:val="nil"/>
              <w:left w:val="nil"/>
              <w:bottom w:val="single" w:sz="8" w:space="0" w:color="auto"/>
              <w:right w:val="nil"/>
            </w:tcBorders>
            <w:noWrap/>
            <w:vAlign w:val="bottom"/>
            <w:hideMark/>
          </w:tcPr>
          <w:p w:rsidR="00D34E8C" w:rsidRDefault="00D34E8C">
            <w:pPr>
              <w:jc w:val="center"/>
              <w:rPr>
                <w:rFonts w:ascii="SWISS" w:hAnsi="SWISS" w:cs="Arial"/>
                <w:b/>
                <w:bCs/>
                <w:color w:val="000000"/>
                <w:sz w:val="20"/>
                <w:szCs w:val="20"/>
              </w:rPr>
            </w:pPr>
            <w:r>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noWrap/>
            <w:vAlign w:val="bottom"/>
            <w:hideMark/>
          </w:tcPr>
          <w:p w:rsidR="00D34E8C" w:rsidRDefault="00D34E8C">
            <w:pPr>
              <w:jc w:val="center"/>
              <w:rPr>
                <w:rFonts w:ascii="SWISS" w:hAnsi="SWISS" w:cs="Arial"/>
                <w:b/>
                <w:bCs/>
                <w:color w:val="000000"/>
                <w:sz w:val="20"/>
                <w:szCs w:val="20"/>
              </w:rPr>
            </w:pPr>
            <w:r>
              <w:rPr>
                <w:rFonts w:ascii="SWISS" w:hAnsi="SWISS" w:cs="Arial"/>
                <w:b/>
                <w:bCs/>
                <w:color w:val="000000"/>
                <w:sz w:val="20"/>
                <w:szCs w:val="20"/>
              </w:rPr>
              <w:t>STAFF</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(601) SALARIES AND WAGES - EMPLOYEES</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(603) SALARIES AND WAGES - OFFICERS</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3,000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3,000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(604) EMPLOYEE PENSIONS AND BENEFITS</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(610) PURCHASED WATER</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(615) PURCHASED POWER</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4,689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   (399)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4,290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(616) FUEL FOR POWER PRODUCTION</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(618) CHEMICALS</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345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(29)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316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(620) MATERIALS AND SUPPLIES</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(630) CONTRACTUAL SERVICES - BILLING</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(631) CONTRACTUAL SERVICES - PROFESSIONAL</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2,107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(667)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1,440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(635) CONTRACTUAL SERVICES - TESTING</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(636) CONTRACTUAL SERVICES - OTHER</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21,744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(304)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21,440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(640) RENTS</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(650) TRANSPORTATION EXPENSE</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(655) INSURANCE EXPENSE</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835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479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1,314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(665) REGULATORY COMMISSION EXPENSE</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0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448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448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(670) BAD DEBT EXPENSE</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568  </w:t>
            </w:r>
          </w:p>
        </w:tc>
        <w:tc>
          <w:tcPr>
            <w:tcW w:w="1440" w:type="dxa"/>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(89)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rPr>
            </w:pPr>
            <w:r>
              <w:rPr>
                <w:rFonts w:ascii="SWISS" w:hAnsi="SWISS" w:cs="Arial"/>
                <w:sz w:val="20"/>
                <w:szCs w:val="20"/>
              </w:rPr>
              <w:t xml:space="preserve">479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(675) MISCELLANEOUS EXPENSE</w:t>
            </w:r>
          </w:p>
        </w:tc>
        <w:tc>
          <w:tcPr>
            <w:tcW w:w="1440" w:type="dxa"/>
            <w:noWrap/>
            <w:vAlign w:val="bottom"/>
            <w:hideMark/>
          </w:tcPr>
          <w:p w:rsidR="00D34E8C" w:rsidRDefault="00D34E8C">
            <w:pPr>
              <w:jc w:val="right"/>
              <w:rPr>
                <w:rFonts w:ascii="SWISS" w:hAnsi="SWISS" w:cs="Arial"/>
                <w:sz w:val="20"/>
                <w:szCs w:val="20"/>
                <w:u w:val="single"/>
              </w:rPr>
            </w:pPr>
            <w:r>
              <w:rPr>
                <w:rFonts w:ascii="SWISS" w:hAnsi="SWISS" w:cs="Arial"/>
                <w:sz w:val="20"/>
                <w:szCs w:val="20"/>
                <w:u w:val="single"/>
              </w:rPr>
              <w:t xml:space="preserve">698  </w:t>
            </w:r>
          </w:p>
        </w:tc>
        <w:tc>
          <w:tcPr>
            <w:tcW w:w="1440" w:type="dxa"/>
            <w:noWrap/>
            <w:vAlign w:val="bottom"/>
            <w:hideMark/>
          </w:tcPr>
          <w:p w:rsidR="00D34E8C" w:rsidRDefault="00D34E8C">
            <w:pPr>
              <w:jc w:val="right"/>
              <w:rPr>
                <w:rFonts w:ascii="SWISS" w:hAnsi="SWISS" w:cs="Arial"/>
                <w:sz w:val="20"/>
                <w:szCs w:val="20"/>
                <w:u w:val="single"/>
              </w:rPr>
            </w:pPr>
            <w:r>
              <w:rPr>
                <w:rFonts w:ascii="SWISS" w:hAnsi="SWISS" w:cs="Arial"/>
                <w:sz w:val="20"/>
                <w:szCs w:val="20"/>
                <w:u w:val="single"/>
              </w:rPr>
              <w:t xml:space="preserve">(24)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u w:val="single"/>
              </w:rPr>
            </w:pPr>
            <w:r>
              <w:rPr>
                <w:rFonts w:ascii="SWISS" w:hAnsi="SWISS" w:cs="Arial"/>
                <w:sz w:val="20"/>
                <w:szCs w:val="20"/>
                <w:u w:val="single"/>
              </w:rPr>
              <w:t xml:space="preserve">674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 </w:t>
            </w:r>
          </w:p>
        </w:tc>
        <w:tc>
          <w:tcPr>
            <w:tcW w:w="1440" w:type="dxa"/>
            <w:noWrap/>
            <w:vAlign w:val="bottom"/>
            <w:hideMark/>
          </w:tcPr>
          <w:p w:rsidR="00D34E8C" w:rsidRDefault="00D34E8C">
            <w:pPr>
              <w:jc w:val="right"/>
              <w:rPr>
                <w:rFonts w:ascii="SWISS" w:hAnsi="SWISS" w:cs="Arial"/>
                <w:sz w:val="20"/>
                <w:szCs w:val="20"/>
                <w:u w:val="single"/>
              </w:rPr>
            </w:pPr>
            <w:r>
              <w:rPr>
                <w:rFonts w:ascii="SWISS" w:hAnsi="SWISS" w:cs="Arial"/>
                <w:sz w:val="20"/>
                <w:szCs w:val="20"/>
                <w:u w:val="single"/>
              </w:rPr>
              <w:t xml:space="preserve">  </w:t>
            </w:r>
          </w:p>
        </w:tc>
        <w:tc>
          <w:tcPr>
            <w:tcW w:w="1440" w:type="dxa"/>
            <w:noWrap/>
            <w:vAlign w:val="bottom"/>
            <w:hideMark/>
          </w:tcPr>
          <w:p w:rsidR="00D34E8C" w:rsidRDefault="00D34E8C">
            <w:pPr>
              <w:jc w:val="right"/>
              <w:rPr>
                <w:rFonts w:ascii="SWISS" w:hAnsi="SWISS" w:cs="Arial"/>
                <w:sz w:val="20"/>
                <w:szCs w:val="20"/>
                <w:u w:val="single"/>
              </w:rPr>
            </w:pPr>
            <w:r>
              <w:rPr>
                <w:rFonts w:ascii="SWISS" w:hAnsi="SWISS" w:cs="Arial"/>
                <w:sz w:val="20"/>
                <w:szCs w:val="20"/>
                <w:u w:val="single"/>
              </w:rPr>
              <w:t xml:space="preserve">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u w:val="single"/>
              </w:rPr>
            </w:pPr>
            <w:r>
              <w:rPr>
                <w:rFonts w:ascii="SWISS" w:hAnsi="SWISS" w:cs="Arial"/>
                <w:sz w:val="20"/>
                <w:szCs w:val="20"/>
                <w:u w:val="single"/>
              </w:rPr>
              <w:t xml:space="preserve">  </w:t>
            </w:r>
          </w:p>
        </w:tc>
      </w:tr>
      <w:tr w:rsidR="00D34E8C" w:rsidTr="00D34E8C">
        <w:trPr>
          <w:trHeight w:val="300"/>
        </w:trPr>
        <w:tc>
          <w:tcPr>
            <w:tcW w:w="4917" w:type="dxa"/>
            <w:tcBorders>
              <w:top w:val="nil"/>
              <w:left w:val="single" w:sz="8" w:space="0" w:color="auto"/>
              <w:bottom w:val="nil"/>
              <w:right w:val="nil"/>
            </w:tcBorders>
            <w:noWrap/>
            <w:vAlign w:val="bottom"/>
            <w:hideMark/>
          </w:tcPr>
          <w:p w:rsidR="00D34E8C" w:rsidRDefault="00D34E8C">
            <w:pPr>
              <w:rPr>
                <w:rFonts w:ascii="SWISS" w:hAnsi="SWISS" w:cs="Arial"/>
                <w:sz w:val="20"/>
                <w:szCs w:val="20"/>
              </w:rPr>
            </w:pPr>
            <w:r>
              <w:rPr>
                <w:rFonts w:ascii="SWISS" w:hAnsi="SWISS" w:cs="Arial"/>
                <w:sz w:val="20"/>
                <w:szCs w:val="20"/>
              </w:rPr>
              <w:t> </w:t>
            </w:r>
          </w:p>
        </w:tc>
        <w:tc>
          <w:tcPr>
            <w:tcW w:w="1440" w:type="dxa"/>
            <w:noWrap/>
            <w:vAlign w:val="bottom"/>
            <w:hideMark/>
          </w:tcPr>
          <w:p w:rsidR="00D34E8C" w:rsidRDefault="00D34E8C">
            <w:pPr>
              <w:jc w:val="right"/>
              <w:rPr>
                <w:rFonts w:ascii="SWISS" w:hAnsi="SWISS" w:cs="Arial"/>
                <w:sz w:val="20"/>
                <w:szCs w:val="20"/>
                <w:u w:val="double"/>
              </w:rPr>
            </w:pPr>
            <w:r>
              <w:rPr>
                <w:rFonts w:ascii="SWISS" w:hAnsi="SWISS" w:cs="Arial"/>
                <w:sz w:val="20"/>
                <w:szCs w:val="20"/>
                <w:u w:val="double"/>
              </w:rPr>
              <w:t xml:space="preserve">$33,985   </w:t>
            </w:r>
          </w:p>
        </w:tc>
        <w:tc>
          <w:tcPr>
            <w:tcW w:w="1440" w:type="dxa"/>
            <w:noWrap/>
            <w:vAlign w:val="bottom"/>
            <w:hideMark/>
          </w:tcPr>
          <w:p w:rsidR="00D34E8C" w:rsidRDefault="00D34E8C">
            <w:pPr>
              <w:jc w:val="right"/>
              <w:rPr>
                <w:rFonts w:ascii="SWISS" w:hAnsi="SWISS" w:cs="Arial"/>
                <w:sz w:val="20"/>
                <w:szCs w:val="20"/>
                <w:u w:val="double"/>
              </w:rPr>
            </w:pPr>
            <w:r>
              <w:rPr>
                <w:rFonts w:ascii="SWISS" w:hAnsi="SWISS" w:cs="Arial"/>
                <w:sz w:val="20"/>
                <w:szCs w:val="20"/>
                <w:u w:val="double"/>
              </w:rPr>
              <w:t xml:space="preserve">($584)   </w:t>
            </w:r>
          </w:p>
        </w:tc>
        <w:tc>
          <w:tcPr>
            <w:tcW w:w="1440" w:type="dxa"/>
            <w:tcBorders>
              <w:top w:val="nil"/>
              <w:left w:val="nil"/>
              <w:bottom w:val="nil"/>
              <w:right w:val="single" w:sz="8" w:space="0" w:color="auto"/>
            </w:tcBorders>
            <w:noWrap/>
            <w:vAlign w:val="bottom"/>
            <w:hideMark/>
          </w:tcPr>
          <w:p w:rsidR="00D34E8C" w:rsidRDefault="00D34E8C">
            <w:pPr>
              <w:jc w:val="right"/>
              <w:rPr>
                <w:rFonts w:ascii="SWISS" w:hAnsi="SWISS" w:cs="Arial"/>
                <w:sz w:val="20"/>
                <w:szCs w:val="20"/>
                <w:u w:val="double"/>
              </w:rPr>
            </w:pPr>
            <w:r>
              <w:rPr>
                <w:rFonts w:ascii="SWISS" w:hAnsi="SWISS" w:cs="Arial"/>
                <w:sz w:val="20"/>
                <w:szCs w:val="20"/>
                <w:u w:val="double"/>
              </w:rPr>
              <w:t xml:space="preserve">$33,402  </w:t>
            </w:r>
          </w:p>
        </w:tc>
      </w:tr>
      <w:tr w:rsidR="00D34E8C" w:rsidTr="00D34E8C">
        <w:trPr>
          <w:trHeight w:val="312"/>
        </w:trPr>
        <w:tc>
          <w:tcPr>
            <w:tcW w:w="4917" w:type="dxa"/>
            <w:tcBorders>
              <w:top w:val="nil"/>
              <w:left w:val="single" w:sz="8" w:space="0" w:color="auto"/>
              <w:bottom w:val="single" w:sz="8" w:space="0" w:color="auto"/>
              <w:right w:val="nil"/>
            </w:tcBorders>
            <w:noWrap/>
            <w:vAlign w:val="bottom"/>
            <w:hideMark/>
          </w:tcPr>
          <w:p w:rsidR="00D34E8C" w:rsidRDefault="00D34E8C">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D34E8C" w:rsidRDefault="00D34E8C">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D34E8C" w:rsidRDefault="00D34E8C">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single" w:sz="8" w:space="0" w:color="auto"/>
              <w:right w:val="single" w:sz="8" w:space="0" w:color="auto"/>
            </w:tcBorders>
            <w:noWrap/>
            <w:vAlign w:val="bottom"/>
            <w:hideMark/>
          </w:tcPr>
          <w:p w:rsidR="00D34E8C" w:rsidRDefault="00D34E8C">
            <w:pPr>
              <w:rPr>
                <w:rFonts w:ascii="SWISS" w:hAnsi="SWISS" w:cs="Arial"/>
                <w:color w:val="000000"/>
                <w:sz w:val="20"/>
                <w:szCs w:val="20"/>
              </w:rPr>
            </w:pPr>
            <w:r>
              <w:rPr>
                <w:rFonts w:ascii="SWISS" w:hAnsi="SWISS" w:cs="Arial"/>
                <w:color w:val="000000"/>
                <w:sz w:val="20"/>
                <w:szCs w:val="20"/>
              </w:rPr>
              <w:t> </w:t>
            </w:r>
          </w:p>
        </w:tc>
      </w:tr>
    </w:tbl>
    <w:p w:rsidR="00B12EC7" w:rsidRDefault="00B12EC7" w:rsidP="00B12EC7">
      <w:pPr>
        <w:jc w:val="right"/>
        <w:sectPr w:rsidR="00B12EC7" w:rsidSect="0068481F">
          <w:headerReference w:type="default" r:id="rId26"/>
          <w:pgSz w:w="12240" w:h="15840" w:code="1"/>
          <w:pgMar w:top="1584" w:right="1440" w:bottom="1440" w:left="1440" w:header="720" w:footer="720" w:gutter="0"/>
          <w:cols w:space="720"/>
          <w:formProt w:val="0"/>
          <w:docGrid w:linePitch="360"/>
        </w:sectPr>
      </w:pPr>
    </w:p>
    <w:p w:rsidR="003D499B" w:rsidRDefault="003D499B" w:rsidP="00B12EC7">
      <w:pPr>
        <w:jc w:val="right"/>
      </w:pPr>
    </w:p>
    <w:tbl>
      <w:tblPr>
        <w:tblW w:w="10560" w:type="dxa"/>
        <w:jc w:val="center"/>
        <w:tblInd w:w="93" w:type="dxa"/>
        <w:tblLook w:val="04A0" w:firstRow="1" w:lastRow="0" w:firstColumn="1" w:lastColumn="0" w:noHBand="0" w:noVBand="1"/>
      </w:tblPr>
      <w:tblGrid>
        <w:gridCol w:w="5580"/>
        <w:gridCol w:w="1540"/>
        <w:gridCol w:w="1973"/>
        <w:gridCol w:w="1467"/>
      </w:tblGrid>
      <w:tr w:rsidR="008B6307" w:rsidTr="008B6307">
        <w:trPr>
          <w:trHeight w:val="315"/>
          <w:jc w:val="center"/>
        </w:trPr>
        <w:tc>
          <w:tcPr>
            <w:tcW w:w="5580" w:type="dxa"/>
            <w:tcBorders>
              <w:top w:val="single" w:sz="8" w:space="0" w:color="000000"/>
              <w:left w:val="single" w:sz="8" w:space="0" w:color="000000"/>
              <w:bottom w:val="nil"/>
              <w:right w:val="nil"/>
            </w:tcBorders>
            <w:noWrap/>
            <w:vAlign w:val="bottom"/>
            <w:hideMark/>
          </w:tcPr>
          <w:p w:rsidR="008B6307" w:rsidRDefault="008B6307">
            <w:pPr>
              <w:rPr>
                <w:b/>
                <w:bCs/>
                <w:color w:val="000000"/>
                <w:sz w:val="20"/>
                <w:szCs w:val="20"/>
              </w:rPr>
            </w:pPr>
            <w:r>
              <w:rPr>
                <w:b/>
                <w:bCs/>
                <w:color w:val="000000"/>
                <w:sz w:val="20"/>
                <w:szCs w:val="20"/>
              </w:rPr>
              <w:t>RAINTREE WATERWORKS, INC.</w:t>
            </w:r>
          </w:p>
        </w:tc>
        <w:tc>
          <w:tcPr>
            <w:tcW w:w="1540" w:type="dxa"/>
            <w:tcBorders>
              <w:top w:val="single" w:sz="8" w:space="0" w:color="000000"/>
              <w:left w:val="nil"/>
              <w:bottom w:val="nil"/>
              <w:right w:val="nil"/>
            </w:tcBorders>
            <w:noWrap/>
            <w:vAlign w:val="bottom"/>
            <w:hideMark/>
          </w:tcPr>
          <w:p w:rsidR="008B6307" w:rsidRDefault="008B6307">
            <w:r>
              <w:t> </w:t>
            </w:r>
          </w:p>
        </w:tc>
        <w:tc>
          <w:tcPr>
            <w:tcW w:w="3440" w:type="dxa"/>
            <w:gridSpan w:val="2"/>
            <w:tcBorders>
              <w:top w:val="single" w:sz="8" w:space="0" w:color="000000"/>
              <w:left w:val="nil"/>
              <w:bottom w:val="nil"/>
              <w:right w:val="single" w:sz="8" w:space="0" w:color="000000"/>
            </w:tcBorders>
            <w:noWrap/>
            <w:vAlign w:val="bottom"/>
            <w:hideMark/>
          </w:tcPr>
          <w:p w:rsidR="008B6307" w:rsidRDefault="008B6307">
            <w:pPr>
              <w:jc w:val="right"/>
              <w:rPr>
                <w:b/>
                <w:bCs/>
                <w:sz w:val="20"/>
                <w:szCs w:val="20"/>
              </w:rPr>
            </w:pPr>
            <w:r>
              <w:rPr>
                <w:b/>
                <w:bCs/>
                <w:sz w:val="20"/>
                <w:szCs w:val="20"/>
              </w:rPr>
              <w:t>SCHEDULE NO. 4</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rsidP="00876B65">
            <w:pPr>
              <w:rPr>
                <w:b/>
                <w:bCs/>
                <w:color w:val="000000"/>
                <w:sz w:val="20"/>
                <w:szCs w:val="20"/>
              </w:rPr>
            </w:pPr>
            <w:r>
              <w:rPr>
                <w:b/>
                <w:bCs/>
                <w:color w:val="000000"/>
                <w:sz w:val="20"/>
                <w:szCs w:val="20"/>
              </w:rPr>
              <w:t xml:space="preserve">TEST YEAR ENDED </w:t>
            </w:r>
            <w:r w:rsidR="00876B65">
              <w:rPr>
                <w:rFonts w:ascii="SWISS" w:hAnsi="SWISS" w:cs="Arial"/>
                <w:b/>
                <w:bCs/>
                <w:color w:val="000000"/>
                <w:sz w:val="20"/>
                <w:szCs w:val="20"/>
              </w:rPr>
              <w:t>7/31/2015</w:t>
            </w:r>
          </w:p>
        </w:tc>
        <w:tc>
          <w:tcPr>
            <w:tcW w:w="1540" w:type="dxa"/>
            <w:noWrap/>
            <w:vAlign w:val="bottom"/>
            <w:hideMark/>
          </w:tcPr>
          <w:p w:rsidR="008B6307" w:rsidRDefault="008B6307">
            <w:pPr>
              <w:rPr>
                <w:rFonts w:asciiTheme="minorHAnsi" w:eastAsiaTheme="minorHAnsi" w:hAnsiTheme="minorHAnsi"/>
                <w:sz w:val="22"/>
                <w:szCs w:val="22"/>
              </w:rPr>
            </w:pPr>
          </w:p>
        </w:tc>
        <w:tc>
          <w:tcPr>
            <w:tcW w:w="3440" w:type="dxa"/>
            <w:gridSpan w:val="2"/>
            <w:tcBorders>
              <w:top w:val="nil"/>
              <w:left w:val="nil"/>
              <w:bottom w:val="nil"/>
              <w:right w:val="single" w:sz="8" w:space="0" w:color="000000"/>
            </w:tcBorders>
            <w:noWrap/>
            <w:vAlign w:val="bottom"/>
            <w:hideMark/>
          </w:tcPr>
          <w:p w:rsidR="008B6307" w:rsidRDefault="008B6307">
            <w:pPr>
              <w:jc w:val="right"/>
              <w:rPr>
                <w:b/>
                <w:bCs/>
                <w:color w:val="000000"/>
                <w:sz w:val="20"/>
                <w:szCs w:val="20"/>
              </w:rPr>
            </w:pPr>
            <w:r>
              <w:rPr>
                <w:b/>
                <w:bCs/>
                <w:color w:val="000000"/>
                <w:sz w:val="20"/>
                <w:szCs w:val="20"/>
              </w:rPr>
              <w:t>DOCKET NO. 150199-WU</w:t>
            </w:r>
          </w:p>
        </w:tc>
      </w:tr>
      <w:tr w:rsidR="008B6307" w:rsidTr="008B6307">
        <w:trPr>
          <w:trHeight w:val="315"/>
          <w:jc w:val="center"/>
        </w:trPr>
        <w:tc>
          <w:tcPr>
            <w:tcW w:w="5580" w:type="dxa"/>
            <w:tcBorders>
              <w:top w:val="nil"/>
              <w:left w:val="single" w:sz="8" w:space="0" w:color="000000"/>
              <w:bottom w:val="single" w:sz="8" w:space="0" w:color="auto"/>
              <w:right w:val="nil"/>
            </w:tcBorders>
            <w:noWrap/>
            <w:vAlign w:val="bottom"/>
            <w:hideMark/>
          </w:tcPr>
          <w:p w:rsidR="008B6307" w:rsidRDefault="008B6307">
            <w:pPr>
              <w:rPr>
                <w:b/>
                <w:bCs/>
                <w:color w:val="000000"/>
                <w:sz w:val="20"/>
                <w:szCs w:val="20"/>
              </w:rPr>
            </w:pPr>
            <w:r>
              <w:rPr>
                <w:b/>
                <w:bCs/>
                <w:color w:val="000000"/>
                <w:sz w:val="20"/>
                <w:szCs w:val="20"/>
              </w:rPr>
              <w:t>MONTHLY WATER RATES</w:t>
            </w:r>
          </w:p>
        </w:tc>
        <w:tc>
          <w:tcPr>
            <w:tcW w:w="1540" w:type="dxa"/>
            <w:tcBorders>
              <w:top w:val="nil"/>
              <w:left w:val="nil"/>
              <w:bottom w:val="single" w:sz="8" w:space="0" w:color="auto"/>
              <w:right w:val="nil"/>
            </w:tcBorders>
            <w:noWrap/>
            <w:vAlign w:val="bottom"/>
            <w:hideMark/>
          </w:tcPr>
          <w:p w:rsidR="008B6307" w:rsidRDefault="008B6307">
            <w:pPr>
              <w:rPr>
                <w:b/>
                <w:bCs/>
                <w:color w:val="000000"/>
                <w:sz w:val="20"/>
                <w:szCs w:val="20"/>
              </w:rPr>
            </w:pPr>
            <w:r>
              <w:rPr>
                <w:b/>
                <w:bCs/>
                <w:color w:val="000000"/>
                <w:sz w:val="20"/>
                <w:szCs w:val="20"/>
              </w:rPr>
              <w:t> </w:t>
            </w:r>
          </w:p>
        </w:tc>
        <w:tc>
          <w:tcPr>
            <w:tcW w:w="3440" w:type="dxa"/>
            <w:gridSpan w:val="2"/>
            <w:tcBorders>
              <w:top w:val="nil"/>
              <w:left w:val="nil"/>
              <w:bottom w:val="single" w:sz="8" w:space="0" w:color="auto"/>
              <w:right w:val="single" w:sz="8" w:space="0" w:color="000000"/>
            </w:tcBorders>
            <w:noWrap/>
            <w:vAlign w:val="bottom"/>
            <w:hideMark/>
          </w:tcPr>
          <w:p w:rsidR="008B6307" w:rsidRDefault="008B6307">
            <w:pPr>
              <w:jc w:val="right"/>
              <w:rPr>
                <w:b/>
                <w:bCs/>
                <w:color w:val="000000"/>
                <w:sz w:val="20"/>
                <w:szCs w:val="20"/>
              </w:rPr>
            </w:pPr>
            <w:r>
              <w:rPr>
                <w:b/>
                <w:bCs/>
                <w:color w:val="000000"/>
                <w:sz w:val="20"/>
                <w:szCs w:val="20"/>
              </w:rPr>
              <w:t> </w:t>
            </w:r>
          </w:p>
        </w:tc>
      </w:tr>
      <w:tr w:rsidR="008B6307" w:rsidTr="008B6307">
        <w:trPr>
          <w:trHeight w:val="300"/>
          <w:jc w:val="center"/>
        </w:trPr>
        <w:tc>
          <w:tcPr>
            <w:tcW w:w="5580" w:type="dxa"/>
            <w:tcBorders>
              <w:top w:val="single" w:sz="8" w:space="0" w:color="auto"/>
              <w:left w:val="single" w:sz="8" w:space="0" w:color="000000"/>
              <w:bottom w:val="nil"/>
              <w:right w:val="nil"/>
            </w:tcBorders>
            <w:shd w:val="clear" w:color="auto" w:fill="FFFFFF" w:themeFill="background1"/>
            <w:noWrap/>
            <w:vAlign w:val="bottom"/>
            <w:hideMark/>
          </w:tcPr>
          <w:p w:rsidR="008B6307" w:rsidRDefault="008B6307">
            <w:pPr>
              <w:rPr>
                <w:b/>
                <w:bCs/>
                <w:sz w:val="20"/>
                <w:szCs w:val="20"/>
              </w:rPr>
            </w:pPr>
            <w:r>
              <w:rPr>
                <w:b/>
                <w:bCs/>
                <w:sz w:val="20"/>
                <w:szCs w:val="20"/>
              </w:rPr>
              <w:t> </w:t>
            </w:r>
          </w:p>
        </w:tc>
        <w:tc>
          <w:tcPr>
            <w:tcW w:w="1540" w:type="dxa"/>
            <w:tcBorders>
              <w:top w:val="single" w:sz="8" w:space="0" w:color="auto"/>
              <w:left w:val="nil"/>
              <w:bottom w:val="nil"/>
              <w:right w:val="nil"/>
            </w:tcBorders>
            <w:shd w:val="clear" w:color="auto" w:fill="FFFFFF" w:themeFill="background1"/>
            <w:noWrap/>
            <w:vAlign w:val="bottom"/>
            <w:hideMark/>
          </w:tcPr>
          <w:p w:rsidR="008B6307" w:rsidRDefault="008B6307">
            <w:pPr>
              <w:jc w:val="center"/>
              <w:rPr>
                <w:b/>
                <w:bCs/>
                <w:color w:val="000000"/>
                <w:sz w:val="20"/>
                <w:szCs w:val="20"/>
              </w:rPr>
            </w:pPr>
            <w:r>
              <w:rPr>
                <w:b/>
                <w:bCs/>
                <w:color w:val="000000"/>
                <w:sz w:val="20"/>
                <w:szCs w:val="20"/>
              </w:rPr>
              <w:t>RATES AT</w:t>
            </w:r>
          </w:p>
        </w:tc>
        <w:tc>
          <w:tcPr>
            <w:tcW w:w="1973" w:type="dxa"/>
            <w:tcBorders>
              <w:top w:val="single" w:sz="8" w:space="0" w:color="auto"/>
              <w:left w:val="nil"/>
              <w:bottom w:val="nil"/>
              <w:right w:val="nil"/>
            </w:tcBorders>
            <w:shd w:val="clear" w:color="auto" w:fill="FFFFFF" w:themeFill="background1"/>
            <w:noWrap/>
            <w:vAlign w:val="bottom"/>
            <w:hideMark/>
          </w:tcPr>
          <w:p w:rsidR="008B6307" w:rsidRDefault="008B6307">
            <w:pPr>
              <w:jc w:val="center"/>
              <w:rPr>
                <w:b/>
                <w:bCs/>
                <w:color w:val="000000"/>
                <w:sz w:val="20"/>
                <w:szCs w:val="20"/>
              </w:rPr>
            </w:pPr>
            <w:r>
              <w:rPr>
                <w:b/>
                <w:bCs/>
                <w:color w:val="000000"/>
                <w:sz w:val="20"/>
                <w:szCs w:val="20"/>
              </w:rPr>
              <w:t>STAFF</w:t>
            </w:r>
          </w:p>
        </w:tc>
        <w:tc>
          <w:tcPr>
            <w:tcW w:w="1467" w:type="dxa"/>
            <w:tcBorders>
              <w:top w:val="single" w:sz="8" w:space="0" w:color="auto"/>
              <w:left w:val="nil"/>
              <w:bottom w:val="nil"/>
              <w:right w:val="single" w:sz="8" w:space="0" w:color="auto"/>
            </w:tcBorders>
            <w:shd w:val="clear" w:color="auto" w:fill="FFFFFF" w:themeFill="background1"/>
            <w:noWrap/>
            <w:vAlign w:val="bottom"/>
            <w:hideMark/>
          </w:tcPr>
          <w:p w:rsidR="008B6307" w:rsidRDefault="008B6307">
            <w:pPr>
              <w:jc w:val="center"/>
              <w:rPr>
                <w:b/>
                <w:bCs/>
                <w:color w:val="000000"/>
                <w:sz w:val="20"/>
                <w:szCs w:val="20"/>
              </w:rPr>
            </w:pPr>
            <w:r>
              <w:rPr>
                <w:b/>
                <w:bCs/>
                <w:color w:val="000000"/>
                <w:sz w:val="20"/>
                <w:szCs w:val="20"/>
              </w:rPr>
              <w:t>4 YEAR</w:t>
            </w:r>
          </w:p>
        </w:tc>
      </w:tr>
      <w:tr w:rsidR="008B6307" w:rsidTr="008B6307">
        <w:trPr>
          <w:trHeight w:val="300"/>
          <w:jc w:val="center"/>
        </w:trPr>
        <w:tc>
          <w:tcPr>
            <w:tcW w:w="5580" w:type="dxa"/>
            <w:tcBorders>
              <w:top w:val="nil"/>
              <w:left w:val="single" w:sz="8" w:space="0" w:color="000000"/>
              <w:bottom w:val="nil"/>
              <w:right w:val="nil"/>
            </w:tcBorders>
            <w:shd w:val="clear" w:color="auto" w:fill="FFFFFF" w:themeFill="background1"/>
            <w:noWrap/>
            <w:vAlign w:val="bottom"/>
            <w:hideMark/>
          </w:tcPr>
          <w:p w:rsidR="008B6307" w:rsidRDefault="008B6307">
            <w:pPr>
              <w:rPr>
                <w:rFonts w:asciiTheme="minorHAnsi" w:eastAsiaTheme="minorHAnsi" w:hAnsiTheme="minorHAnsi"/>
                <w:sz w:val="22"/>
                <w:szCs w:val="22"/>
              </w:rPr>
            </w:pPr>
          </w:p>
        </w:tc>
        <w:tc>
          <w:tcPr>
            <w:tcW w:w="1540" w:type="dxa"/>
            <w:shd w:val="clear" w:color="auto" w:fill="FFFFFF" w:themeFill="background1"/>
            <w:noWrap/>
            <w:vAlign w:val="bottom"/>
            <w:hideMark/>
          </w:tcPr>
          <w:p w:rsidR="008B6307" w:rsidRDefault="008B6307">
            <w:pPr>
              <w:jc w:val="center"/>
              <w:rPr>
                <w:b/>
                <w:bCs/>
                <w:color w:val="000000"/>
                <w:sz w:val="20"/>
                <w:szCs w:val="20"/>
              </w:rPr>
            </w:pPr>
            <w:r>
              <w:rPr>
                <w:b/>
                <w:bCs/>
                <w:color w:val="000000"/>
                <w:sz w:val="20"/>
                <w:szCs w:val="20"/>
              </w:rPr>
              <w:t>TIME OF</w:t>
            </w:r>
          </w:p>
        </w:tc>
        <w:tc>
          <w:tcPr>
            <w:tcW w:w="1973" w:type="dxa"/>
            <w:shd w:val="clear" w:color="auto" w:fill="FFFFFF" w:themeFill="background1"/>
            <w:noWrap/>
            <w:vAlign w:val="bottom"/>
            <w:hideMark/>
          </w:tcPr>
          <w:p w:rsidR="008B6307" w:rsidRDefault="008B6307">
            <w:pPr>
              <w:jc w:val="center"/>
              <w:rPr>
                <w:b/>
                <w:bCs/>
                <w:color w:val="000000"/>
                <w:sz w:val="20"/>
                <w:szCs w:val="20"/>
              </w:rPr>
            </w:pPr>
            <w:r>
              <w:rPr>
                <w:b/>
                <w:bCs/>
                <w:color w:val="000000"/>
                <w:sz w:val="20"/>
                <w:szCs w:val="20"/>
              </w:rPr>
              <w:t>RECOMMENDED</w:t>
            </w:r>
          </w:p>
        </w:tc>
        <w:tc>
          <w:tcPr>
            <w:tcW w:w="1467" w:type="dxa"/>
            <w:tcBorders>
              <w:top w:val="nil"/>
              <w:left w:val="nil"/>
              <w:bottom w:val="nil"/>
              <w:right w:val="single" w:sz="8" w:space="0" w:color="auto"/>
            </w:tcBorders>
            <w:shd w:val="clear" w:color="auto" w:fill="FFFFFF" w:themeFill="background1"/>
            <w:noWrap/>
            <w:vAlign w:val="bottom"/>
            <w:hideMark/>
          </w:tcPr>
          <w:p w:rsidR="008B6307" w:rsidRDefault="008B6307">
            <w:pPr>
              <w:jc w:val="center"/>
              <w:rPr>
                <w:b/>
                <w:bCs/>
                <w:color w:val="000000"/>
                <w:sz w:val="20"/>
                <w:szCs w:val="20"/>
              </w:rPr>
            </w:pPr>
            <w:r>
              <w:rPr>
                <w:b/>
                <w:bCs/>
                <w:color w:val="000000"/>
                <w:sz w:val="20"/>
                <w:szCs w:val="20"/>
              </w:rPr>
              <w:t>RATE</w:t>
            </w:r>
          </w:p>
        </w:tc>
      </w:tr>
      <w:tr w:rsidR="008B6307" w:rsidTr="008B6307">
        <w:trPr>
          <w:trHeight w:val="315"/>
          <w:jc w:val="center"/>
        </w:trPr>
        <w:tc>
          <w:tcPr>
            <w:tcW w:w="5580" w:type="dxa"/>
            <w:tcBorders>
              <w:top w:val="nil"/>
              <w:left w:val="single" w:sz="8" w:space="0" w:color="000000"/>
              <w:bottom w:val="single" w:sz="8" w:space="0" w:color="000000"/>
              <w:right w:val="nil"/>
            </w:tcBorders>
            <w:shd w:val="clear" w:color="auto" w:fill="FFFFFF" w:themeFill="background1"/>
            <w:noWrap/>
            <w:vAlign w:val="bottom"/>
            <w:hideMark/>
          </w:tcPr>
          <w:p w:rsidR="008B6307" w:rsidRDefault="008B6307">
            <w:pPr>
              <w:rPr>
                <w:rFonts w:asciiTheme="minorHAnsi" w:eastAsiaTheme="minorHAnsi" w:hAnsiTheme="minorHAnsi"/>
                <w:sz w:val="22"/>
                <w:szCs w:val="22"/>
              </w:rPr>
            </w:pPr>
          </w:p>
        </w:tc>
        <w:tc>
          <w:tcPr>
            <w:tcW w:w="1540" w:type="dxa"/>
            <w:tcBorders>
              <w:top w:val="nil"/>
              <w:left w:val="nil"/>
              <w:bottom w:val="single" w:sz="8" w:space="0" w:color="000000"/>
              <w:right w:val="nil"/>
            </w:tcBorders>
            <w:shd w:val="clear" w:color="auto" w:fill="FFFFFF" w:themeFill="background1"/>
            <w:noWrap/>
            <w:vAlign w:val="bottom"/>
            <w:hideMark/>
          </w:tcPr>
          <w:p w:rsidR="008B6307" w:rsidRDefault="008B6307">
            <w:pPr>
              <w:jc w:val="center"/>
              <w:rPr>
                <w:b/>
                <w:bCs/>
                <w:color w:val="000000"/>
                <w:sz w:val="20"/>
                <w:szCs w:val="20"/>
              </w:rPr>
            </w:pPr>
            <w:r>
              <w:rPr>
                <w:b/>
                <w:bCs/>
                <w:color w:val="000000"/>
                <w:sz w:val="20"/>
                <w:szCs w:val="20"/>
              </w:rPr>
              <w:t>FILING</w:t>
            </w:r>
          </w:p>
        </w:tc>
        <w:tc>
          <w:tcPr>
            <w:tcW w:w="1973" w:type="dxa"/>
            <w:tcBorders>
              <w:top w:val="nil"/>
              <w:left w:val="nil"/>
              <w:bottom w:val="single" w:sz="8" w:space="0" w:color="000000"/>
              <w:right w:val="nil"/>
            </w:tcBorders>
            <w:shd w:val="clear" w:color="auto" w:fill="FFFFFF" w:themeFill="background1"/>
            <w:noWrap/>
            <w:vAlign w:val="bottom"/>
            <w:hideMark/>
          </w:tcPr>
          <w:p w:rsidR="008B6307" w:rsidRDefault="008B6307">
            <w:pPr>
              <w:jc w:val="center"/>
              <w:rPr>
                <w:b/>
                <w:bCs/>
                <w:color w:val="000000"/>
                <w:sz w:val="20"/>
                <w:szCs w:val="20"/>
              </w:rPr>
            </w:pPr>
            <w:r>
              <w:rPr>
                <w:b/>
                <w:bCs/>
                <w:color w:val="000000"/>
                <w:sz w:val="20"/>
                <w:szCs w:val="20"/>
              </w:rPr>
              <w:t>RATES</w:t>
            </w:r>
          </w:p>
        </w:tc>
        <w:tc>
          <w:tcPr>
            <w:tcW w:w="1467" w:type="dxa"/>
            <w:tcBorders>
              <w:top w:val="nil"/>
              <w:left w:val="nil"/>
              <w:bottom w:val="single" w:sz="8" w:space="0" w:color="auto"/>
              <w:right w:val="single" w:sz="8" w:space="0" w:color="auto"/>
            </w:tcBorders>
            <w:shd w:val="clear" w:color="auto" w:fill="FFFFFF" w:themeFill="background1"/>
            <w:noWrap/>
            <w:vAlign w:val="bottom"/>
            <w:hideMark/>
          </w:tcPr>
          <w:p w:rsidR="008B6307" w:rsidRDefault="008B6307">
            <w:pPr>
              <w:jc w:val="center"/>
              <w:rPr>
                <w:b/>
                <w:bCs/>
                <w:color w:val="000000"/>
                <w:sz w:val="20"/>
                <w:szCs w:val="20"/>
              </w:rPr>
            </w:pPr>
            <w:r>
              <w:rPr>
                <w:b/>
                <w:bCs/>
                <w:color w:val="000000"/>
                <w:sz w:val="20"/>
                <w:szCs w:val="20"/>
              </w:rPr>
              <w:t>REDUCTION</w:t>
            </w:r>
          </w:p>
        </w:tc>
      </w:tr>
      <w:tr w:rsidR="008B6307" w:rsidTr="008B6307">
        <w:trPr>
          <w:trHeight w:val="315"/>
          <w:jc w:val="center"/>
        </w:trPr>
        <w:tc>
          <w:tcPr>
            <w:tcW w:w="5580" w:type="dxa"/>
            <w:tcBorders>
              <w:top w:val="nil"/>
              <w:left w:val="single" w:sz="8" w:space="0" w:color="000000"/>
              <w:bottom w:val="nil"/>
              <w:right w:val="nil"/>
            </w:tcBorders>
            <w:noWrap/>
            <w:vAlign w:val="bottom"/>
            <w:hideMark/>
          </w:tcPr>
          <w:p w:rsidR="008B6307" w:rsidRDefault="008B6307">
            <w:pPr>
              <w:rPr>
                <w:b/>
                <w:bCs/>
                <w:color w:val="000000"/>
                <w:sz w:val="20"/>
                <w:szCs w:val="20"/>
                <w:u w:val="single"/>
              </w:rPr>
            </w:pPr>
            <w:r>
              <w:rPr>
                <w:b/>
                <w:bCs/>
                <w:color w:val="000000"/>
                <w:sz w:val="20"/>
                <w:szCs w:val="20"/>
                <w:u w:val="single"/>
              </w:rPr>
              <w:t>Residential and  General Service</w:t>
            </w:r>
          </w:p>
        </w:tc>
        <w:tc>
          <w:tcPr>
            <w:tcW w:w="1540" w:type="dxa"/>
            <w:noWrap/>
            <w:vAlign w:val="bottom"/>
            <w:hideMark/>
          </w:tcPr>
          <w:p w:rsidR="008B6307" w:rsidRDefault="008B6307">
            <w:pPr>
              <w:rPr>
                <w:rFonts w:asciiTheme="minorHAnsi" w:eastAsiaTheme="minorHAnsi" w:hAnsiTheme="minorHAnsi"/>
                <w:sz w:val="22"/>
                <w:szCs w:val="22"/>
              </w:rPr>
            </w:pPr>
          </w:p>
        </w:tc>
        <w:tc>
          <w:tcPr>
            <w:tcW w:w="1973" w:type="dxa"/>
            <w:noWrap/>
            <w:vAlign w:val="bottom"/>
            <w:hideMark/>
          </w:tcPr>
          <w:p w:rsidR="008B6307" w:rsidRDefault="008B6307">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8B6307" w:rsidRDefault="008B6307">
            <w:pPr>
              <w:rPr>
                <w:color w:val="000000"/>
              </w:rPr>
            </w:pPr>
            <w:r>
              <w:rPr>
                <w:color w:val="000000"/>
              </w:rPr>
              <w:t> </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Base Facility Charge by Meter Size</w:t>
            </w:r>
          </w:p>
        </w:tc>
        <w:tc>
          <w:tcPr>
            <w:tcW w:w="1540" w:type="dxa"/>
            <w:noWrap/>
            <w:vAlign w:val="bottom"/>
            <w:hideMark/>
          </w:tcPr>
          <w:p w:rsidR="008B6307" w:rsidRDefault="008B6307">
            <w:pPr>
              <w:rPr>
                <w:rFonts w:asciiTheme="minorHAnsi" w:eastAsiaTheme="minorHAnsi" w:hAnsiTheme="minorHAnsi"/>
                <w:sz w:val="22"/>
                <w:szCs w:val="22"/>
              </w:rPr>
            </w:pPr>
          </w:p>
        </w:tc>
        <w:tc>
          <w:tcPr>
            <w:tcW w:w="1973" w:type="dxa"/>
            <w:noWrap/>
            <w:vAlign w:val="bottom"/>
            <w:hideMark/>
          </w:tcPr>
          <w:p w:rsidR="008B6307" w:rsidRDefault="008B6307">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8B6307" w:rsidRDefault="008B6307">
            <w:pPr>
              <w:rPr>
                <w:color w:val="000000"/>
                <w:sz w:val="20"/>
                <w:szCs w:val="20"/>
              </w:rPr>
            </w:pPr>
            <w:r>
              <w:rPr>
                <w:color w:val="000000"/>
                <w:sz w:val="20"/>
                <w:szCs w:val="20"/>
              </w:rPr>
              <w:t> </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5/8" x 3/4"</w:t>
            </w:r>
          </w:p>
        </w:tc>
        <w:tc>
          <w:tcPr>
            <w:tcW w:w="1540" w:type="dxa"/>
            <w:noWrap/>
            <w:vAlign w:val="bottom"/>
            <w:hideMark/>
          </w:tcPr>
          <w:p w:rsidR="008B6307" w:rsidRDefault="008B6307">
            <w:pPr>
              <w:jc w:val="right"/>
              <w:rPr>
                <w:color w:val="000000"/>
                <w:sz w:val="20"/>
                <w:szCs w:val="20"/>
              </w:rPr>
            </w:pPr>
            <w:r>
              <w:rPr>
                <w:color w:val="000000"/>
                <w:sz w:val="20"/>
                <w:szCs w:val="20"/>
              </w:rPr>
              <w:t>$13.60</w:t>
            </w:r>
          </w:p>
        </w:tc>
        <w:tc>
          <w:tcPr>
            <w:tcW w:w="1973" w:type="dxa"/>
            <w:noWrap/>
            <w:vAlign w:val="bottom"/>
            <w:hideMark/>
          </w:tcPr>
          <w:p w:rsidR="008B6307" w:rsidRDefault="008B6307">
            <w:pPr>
              <w:jc w:val="right"/>
              <w:rPr>
                <w:sz w:val="20"/>
                <w:szCs w:val="20"/>
              </w:rPr>
            </w:pPr>
            <w:r>
              <w:rPr>
                <w:sz w:val="20"/>
                <w:szCs w:val="20"/>
              </w:rPr>
              <w:t>$13.79</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$0.09</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3/4"</w:t>
            </w:r>
          </w:p>
        </w:tc>
        <w:tc>
          <w:tcPr>
            <w:tcW w:w="1540" w:type="dxa"/>
            <w:noWrap/>
            <w:vAlign w:val="bottom"/>
            <w:hideMark/>
          </w:tcPr>
          <w:p w:rsidR="008B6307" w:rsidRDefault="008B6307">
            <w:pPr>
              <w:jc w:val="right"/>
              <w:rPr>
                <w:color w:val="000000"/>
                <w:sz w:val="20"/>
                <w:szCs w:val="20"/>
              </w:rPr>
            </w:pPr>
            <w:r>
              <w:rPr>
                <w:color w:val="000000"/>
                <w:sz w:val="20"/>
                <w:szCs w:val="20"/>
              </w:rPr>
              <w:t>$20.41</w:t>
            </w:r>
          </w:p>
        </w:tc>
        <w:tc>
          <w:tcPr>
            <w:tcW w:w="1973" w:type="dxa"/>
            <w:noWrap/>
            <w:vAlign w:val="bottom"/>
            <w:hideMark/>
          </w:tcPr>
          <w:p w:rsidR="008B6307" w:rsidRDefault="008B6307">
            <w:pPr>
              <w:jc w:val="right"/>
              <w:rPr>
                <w:sz w:val="20"/>
                <w:szCs w:val="20"/>
              </w:rPr>
            </w:pPr>
            <w:r>
              <w:rPr>
                <w:sz w:val="20"/>
                <w:szCs w:val="20"/>
              </w:rPr>
              <w:t>$20.69</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$0.14</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1"</w:t>
            </w:r>
          </w:p>
        </w:tc>
        <w:tc>
          <w:tcPr>
            <w:tcW w:w="1540" w:type="dxa"/>
            <w:noWrap/>
            <w:vAlign w:val="bottom"/>
            <w:hideMark/>
          </w:tcPr>
          <w:p w:rsidR="008B6307" w:rsidRDefault="008B6307">
            <w:pPr>
              <w:jc w:val="right"/>
              <w:rPr>
                <w:color w:val="000000"/>
                <w:sz w:val="20"/>
                <w:szCs w:val="20"/>
              </w:rPr>
            </w:pPr>
            <w:r>
              <w:rPr>
                <w:color w:val="000000"/>
                <w:sz w:val="20"/>
                <w:szCs w:val="20"/>
              </w:rPr>
              <w:t>$34.02</w:t>
            </w:r>
          </w:p>
        </w:tc>
        <w:tc>
          <w:tcPr>
            <w:tcW w:w="1973" w:type="dxa"/>
            <w:noWrap/>
            <w:vAlign w:val="bottom"/>
            <w:hideMark/>
          </w:tcPr>
          <w:p w:rsidR="008B6307" w:rsidRDefault="008B6307">
            <w:pPr>
              <w:jc w:val="right"/>
              <w:rPr>
                <w:sz w:val="20"/>
                <w:szCs w:val="20"/>
              </w:rPr>
            </w:pPr>
            <w:r>
              <w:rPr>
                <w:sz w:val="20"/>
                <w:szCs w:val="20"/>
              </w:rPr>
              <w:t>$34.48</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$0.23</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1-1/2"</w:t>
            </w:r>
          </w:p>
        </w:tc>
        <w:tc>
          <w:tcPr>
            <w:tcW w:w="1540" w:type="dxa"/>
            <w:noWrap/>
            <w:vAlign w:val="bottom"/>
            <w:hideMark/>
          </w:tcPr>
          <w:p w:rsidR="008B6307" w:rsidRDefault="008B6307">
            <w:pPr>
              <w:jc w:val="right"/>
              <w:rPr>
                <w:color w:val="000000"/>
                <w:sz w:val="20"/>
                <w:szCs w:val="20"/>
              </w:rPr>
            </w:pPr>
            <w:r>
              <w:rPr>
                <w:color w:val="000000"/>
                <w:sz w:val="20"/>
                <w:szCs w:val="20"/>
              </w:rPr>
              <w:t>$68.03</w:t>
            </w:r>
          </w:p>
        </w:tc>
        <w:tc>
          <w:tcPr>
            <w:tcW w:w="1973" w:type="dxa"/>
            <w:noWrap/>
            <w:vAlign w:val="bottom"/>
            <w:hideMark/>
          </w:tcPr>
          <w:p w:rsidR="008B6307" w:rsidRDefault="008B6307">
            <w:pPr>
              <w:jc w:val="right"/>
              <w:rPr>
                <w:sz w:val="20"/>
                <w:szCs w:val="20"/>
              </w:rPr>
            </w:pPr>
            <w:r>
              <w:rPr>
                <w:sz w:val="20"/>
                <w:szCs w:val="20"/>
              </w:rPr>
              <w:t>$68.95</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$0.47</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2"</w:t>
            </w:r>
          </w:p>
        </w:tc>
        <w:tc>
          <w:tcPr>
            <w:tcW w:w="1540" w:type="dxa"/>
            <w:noWrap/>
            <w:vAlign w:val="bottom"/>
            <w:hideMark/>
          </w:tcPr>
          <w:p w:rsidR="008B6307" w:rsidRDefault="008B6307">
            <w:pPr>
              <w:jc w:val="right"/>
              <w:rPr>
                <w:color w:val="000000"/>
                <w:sz w:val="20"/>
                <w:szCs w:val="20"/>
              </w:rPr>
            </w:pPr>
            <w:r>
              <w:rPr>
                <w:color w:val="000000"/>
                <w:sz w:val="20"/>
                <w:szCs w:val="20"/>
              </w:rPr>
              <w:t>$108.85</w:t>
            </w:r>
          </w:p>
        </w:tc>
        <w:tc>
          <w:tcPr>
            <w:tcW w:w="1973" w:type="dxa"/>
            <w:noWrap/>
            <w:vAlign w:val="bottom"/>
            <w:hideMark/>
          </w:tcPr>
          <w:p w:rsidR="008B6307" w:rsidRDefault="008B6307">
            <w:pPr>
              <w:jc w:val="right"/>
              <w:rPr>
                <w:sz w:val="20"/>
                <w:szCs w:val="20"/>
              </w:rPr>
            </w:pPr>
            <w:r>
              <w:rPr>
                <w:sz w:val="20"/>
                <w:szCs w:val="20"/>
              </w:rPr>
              <w:t>$110.32</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$0.75</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3"</w:t>
            </w:r>
          </w:p>
        </w:tc>
        <w:tc>
          <w:tcPr>
            <w:tcW w:w="1540" w:type="dxa"/>
            <w:noWrap/>
            <w:vAlign w:val="bottom"/>
            <w:hideMark/>
          </w:tcPr>
          <w:p w:rsidR="008B6307" w:rsidRDefault="008B6307">
            <w:pPr>
              <w:jc w:val="right"/>
              <w:rPr>
                <w:color w:val="000000"/>
                <w:sz w:val="20"/>
                <w:szCs w:val="20"/>
              </w:rPr>
            </w:pPr>
            <w:r>
              <w:rPr>
                <w:color w:val="000000"/>
                <w:sz w:val="20"/>
                <w:szCs w:val="20"/>
              </w:rPr>
              <w:t>$217.69</w:t>
            </w:r>
          </w:p>
        </w:tc>
        <w:tc>
          <w:tcPr>
            <w:tcW w:w="1973" w:type="dxa"/>
            <w:noWrap/>
            <w:vAlign w:val="bottom"/>
            <w:hideMark/>
          </w:tcPr>
          <w:p w:rsidR="008B6307" w:rsidRDefault="008B6307">
            <w:pPr>
              <w:jc w:val="right"/>
              <w:rPr>
                <w:sz w:val="20"/>
                <w:szCs w:val="20"/>
              </w:rPr>
            </w:pPr>
            <w:r>
              <w:rPr>
                <w:sz w:val="20"/>
                <w:szCs w:val="20"/>
              </w:rPr>
              <w:t>$220.64</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$1.49</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4"</w:t>
            </w:r>
          </w:p>
        </w:tc>
        <w:tc>
          <w:tcPr>
            <w:tcW w:w="1540" w:type="dxa"/>
            <w:noWrap/>
            <w:vAlign w:val="bottom"/>
            <w:hideMark/>
          </w:tcPr>
          <w:p w:rsidR="008B6307" w:rsidRDefault="008B6307">
            <w:pPr>
              <w:jc w:val="right"/>
              <w:rPr>
                <w:color w:val="000000"/>
                <w:sz w:val="20"/>
                <w:szCs w:val="20"/>
              </w:rPr>
            </w:pPr>
            <w:r>
              <w:rPr>
                <w:color w:val="000000"/>
                <w:sz w:val="20"/>
                <w:szCs w:val="20"/>
              </w:rPr>
              <w:t>$340.14</w:t>
            </w:r>
          </w:p>
        </w:tc>
        <w:tc>
          <w:tcPr>
            <w:tcW w:w="1973" w:type="dxa"/>
            <w:noWrap/>
            <w:vAlign w:val="bottom"/>
            <w:hideMark/>
          </w:tcPr>
          <w:p w:rsidR="008B6307" w:rsidRDefault="008B6307">
            <w:pPr>
              <w:jc w:val="right"/>
              <w:rPr>
                <w:sz w:val="20"/>
                <w:szCs w:val="20"/>
              </w:rPr>
            </w:pPr>
            <w:r>
              <w:rPr>
                <w:sz w:val="20"/>
                <w:szCs w:val="20"/>
              </w:rPr>
              <w:t>$344.75</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$2.33</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6"</w:t>
            </w:r>
          </w:p>
        </w:tc>
        <w:tc>
          <w:tcPr>
            <w:tcW w:w="1540" w:type="dxa"/>
            <w:noWrap/>
            <w:vAlign w:val="bottom"/>
            <w:hideMark/>
          </w:tcPr>
          <w:p w:rsidR="008B6307" w:rsidRDefault="008B6307">
            <w:pPr>
              <w:jc w:val="right"/>
              <w:rPr>
                <w:color w:val="000000"/>
                <w:sz w:val="20"/>
                <w:szCs w:val="20"/>
              </w:rPr>
            </w:pPr>
            <w:r>
              <w:rPr>
                <w:color w:val="000000"/>
                <w:sz w:val="20"/>
                <w:szCs w:val="20"/>
              </w:rPr>
              <w:t>$680.30</w:t>
            </w:r>
          </w:p>
        </w:tc>
        <w:tc>
          <w:tcPr>
            <w:tcW w:w="1973" w:type="dxa"/>
            <w:noWrap/>
            <w:vAlign w:val="bottom"/>
            <w:hideMark/>
          </w:tcPr>
          <w:p w:rsidR="008B6307" w:rsidRDefault="008B6307">
            <w:pPr>
              <w:jc w:val="right"/>
              <w:rPr>
                <w:sz w:val="20"/>
                <w:szCs w:val="20"/>
              </w:rPr>
            </w:pPr>
            <w:r>
              <w:rPr>
                <w:sz w:val="20"/>
                <w:szCs w:val="20"/>
              </w:rPr>
              <w:t>$689.50</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$4.66</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 </w:t>
            </w:r>
          </w:p>
        </w:tc>
        <w:tc>
          <w:tcPr>
            <w:tcW w:w="1540" w:type="dxa"/>
            <w:noWrap/>
            <w:vAlign w:val="bottom"/>
            <w:hideMark/>
          </w:tcPr>
          <w:p w:rsidR="008B6307" w:rsidRDefault="008B6307">
            <w:pPr>
              <w:rPr>
                <w:rFonts w:asciiTheme="minorHAnsi" w:eastAsiaTheme="minorHAnsi" w:hAnsiTheme="minorHAnsi"/>
                <w:sz w:val="22"/>
                <w:szCs w:val="22"/>
              </w:rPr>
            </w:pPr>
          </w:p>
        </w:tc>
        <w:tc>
          <w:tcPr>
            <w:tcW w:w="1973" w:type="dxa"/>
            <w:noWrap/>
            <w:vAlign w:val="bottom"/>
            <w:hideMark/>
          </w:tcPr>
          <w:p w:rsidR="008B6307" w:rsidRDefault="008B6307">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8B6307" w:rsidRDefault="008B6307">
            <w:pPr>
              <w:rPr>
                <w:color w:val="000000"/>
                <w:sz w:val="20"/>
                <w:szCs w:val="20"/>
              </w:rPr>
            </w:pPr>
            <w:r>
              <w:rPr>
                <w:color w:val="000000"/>
                <w:sz w:val="20"/>
                <w:szCs w:val="20"/>
              </w:rPr>
              <w:t> </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Charge per 1,000 Gallons- Residential</w:t>
            </w:r>
          </w:p>
        </w:tc>
        <w:tc>
          <w:tcPr>
            <w:tcW w:w="1540" w:type="dxa"/>
            <w:noWrap/>
            <w:vAlign w:val="bottom"/>
            <w:hideMark/>
          </w:tcPr>
          <w:p w:rsidR="008B6307" w:rsidRDefault="008B6307">
            <w:pPr>
              <w:rPr>
                <w:rFonts w:asciiTheme="minorHAnsi" w:eastAsiaTheme="minorHAnsi" w:hAnsiTheme="minorHAnsi"/>
                <w:sz w:val="22"/>
                <w:szCs w:val="22"/>
              </w:rPr>
            </w:pPr>
          </w:p>
        </w:tc>
        <w:tc>
          <w:tcPr>
            <w:tcW w:w="1973" w:type="dxa"/>
            <w:noWrap/>
            <w:vAlign w:val="bottom"/>
            <w:hideMark/>
          </w:tcPr>
          <w:p w:rsidR="008B6307" w:rsidRDefault="008B6307">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8B6307" w:rsidRDefault="008B6307">
            <w:pPr>
              <w:rPr>
                <w:color w:val="000000"/>
                <w:sz w:val="20"/>
                <w:szCs w:val="20"/>
              </w:rPr>
            </w:pPr>
            <w:r>
              <w:rPr>
                <w:color w:val="000000"/>
                <w:sz w:val="20"/>
                <w:szCs w:val="20"/>
              </w:rPr>
              <w:t> </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0-8,000 gallons</w:t>
            </w:r>
          </w:p>
        </w:tc>
        <w:tc>
          <w:tcPr>
            <w:tcW w:w="1540" w:type="dxa"/>
            <w:noWrap/>
            <w:vAlign w:val="bottom"/>
            <w:hideMark/>
          </w:tcPr>
          <w:p w:rsidR="008B6307" w:rsidRDefault="008B6307">
            <w:pPr>
              <w:jc w:val="right"/>
              <w:rPr>
                <w:color w:val="000000"/>
                <w:sz w:val="20"/>
                <w:szCs w:val="20"/>
              </w:rPr>
            </w:pPr>
            <w:r>
              <w:rPr>
                <w:color w:val="000000"/>
                <w:sz w:val="20"/>
                <w:szCs w:val="20"/>
              </w:rPr>
              <w:t>$1.58</w:t>
            </w:r>
          </w:p>
        </w:tc>
        <w:tc>
          <w:tcPr>
            <w:tcW w:w="1973" w:type="dxa"/>
            <w:noWrap/>
            <w:vAlign w:val="bottom"/>
            <w:hideMark/>
          </w:tcPr>
          <w:p w:rsidR="008B6307" w:rsidRDefault="008B6307">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8B6307" w:rsidRDefault="008B6307">
            <w:pPr>
              <w:rPr>
                <w:color w:val="000000"/>
                <w:sz w:val="20"/>
                <w:szCs w:val="20"/>
              </w:rPr>
            </w:pPr>
            <w:r>
              <w:rPr>
                <w:color w:val="000000"/>
                <w:sz w:val="20"/>
                <w:szCs w:val="20"/>
              </w:rPr>
              <w:t> </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Over 8,000 gallons</w:t>
            </w:r>
          </w:p>
        </w:tc>
        <w:tc>
          <w:tcPr>
            <w:tcW w:w="1540" w:type="dxa"/>
            <w:noWrap/>
            <w:vAlign w:val="bottom"/>
            <w:hideMark/>
          </w:tcPr>
          <w:p w:rsidR="008B6307" w:rsidRDefault="008B6307">
            <w:pPr>
              <w:jc w:val="right"/>
              <w:rPr>
                <w:color w:val="000000"/>
                <w:sz w:val="20"/>
                <w:szCs w:val="20"/>
              </w:rPr>
            </w:pPr>
            <w:r>
              <w:rPr>
                <w:color w:val="000000"/>
                <w:sz w:val="20"/>
                <w:szCs w:val="20"/>
              </w:rPr>
              <w:t>$1.96</w:t>
            </w:r>
          </w:p>
        </w:tc>
        <w:tc>
          <w:tcPr>
            <w:tcW w:w="1973" w:type="dxa"/>
            <w:noWrap/>
            <w:vAlign w:val="bottom"/>
            <w:hideMark/>
          </w:tcPr>
          <w:p w:rsidR="008B6307" w:rsidRDefault="008B6307">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8B6307" w:rsidRDefault="008B6307">
            <w:pPr>
              <w:rPr>
                <w:color w:val="000000"/>
                <w:sz w:val="20"/>
                <w:szCs w:val="20"/>
              </w:rPr>
            </w:pPr>
            <w:r>
              <w:rPr>
                <w:color w:val="000000"/>
                <w:sz w:val="20"/>
                <w:szCs w:val="20"/>
              </w:rPr>
              <w:t> </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 </w:t>
            </w:r>
          </w:p>
        </w:tc>
        <w:tc>
          <w:tcPr>
            <w:tcW w:w="1540" w:type="dxa"/>
            <w:noWrap/>
            <w:vAlign w:val="bottom"/>
            <w:hideMark/>
          </w:tcPr>
          <w:p w:rsidR="008B6307" w:rsidRDefault="008B6307">
            <w:pPr>
              <w:rPr>
                <w:rFonts w:asciiTheme="minorHAnsi" w:eastAsiaTheme="minorHAnsi" w:hAnsiTheme="minorHAnsi"/>
                <w:sz w:val="22"/>
                <w:szCs w:val="22"/>
              </w:rPr>
            </w:pPr>
          </w:p>
        </w:tc>
        <w:tc>
          <w:tcPr>
            <w:tcW w:w="1973" w:type="dxa"/>
            <w:noWrap/>
            <w:vAlign w:val="bottom"/>
            <w:hideMark/>
          </w:tcPr>
          <w:p w:rsidR="008B6307" w:rsidRDefault="008B6307">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8B6307" w:rsidRDefault="008B6307">
            <w:pPr>
              <w:rPr>
                <w:color w:val="000000"/>
                <w:sz w:val="20"/>
                <w:szCs w:val="20"/>
              </w:rPr>
            </w:pPr>
            <w:r>
              <w:rPr>
                <w:color w:val="000000"/>
                <w:sz w:val="20"/>
                <w:szCs w:val="20"/>
              </w:rPr>
              <w:t> </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0-3,000 gallons</w:t>
            </w:r>
          </w:p>
        </w:tc>
        <w:tc>
          <w:tcPr>
            <w:tcW w:w="1540" w:type="dxa"/>
            <w:noWrap/>
            <w:vAlign w:val="bottom"/>
            <w:hideMark/>
          </w:tcPr>
          <w:p w:rsidR="008B6307" w:rsidRDefault="008B6307">
            <w:pPr>
              <w:rPr>
                <w:rFonts w:asciiTheme="minorHAnsi" w:eastAsiaTheme="minorHAnsi" w:hAnsiTheme="minorHAnsi"/>
                <w:sz w:val="22"/>
                <w:szCs w:val="22"/>
              </w:rPr>
            </w:pPr>
          </w:p>
        </w:tc>
        <w:tc>
          <w:tcPr>
            <w:tcW w:w="1973" w:type="dxa"/>
            <w:noWrap/>
            <w:vAlign w:val="bottom"/>
            <w:hideMark/>
          </w:tcPr>
          <w:p w:rsidR="008B6307" w:rsidRDefault="008B6307">
            <w:pPr>
              <w:jc w:val="right"/>
              <w:rPr>
                <w:sz w:val="20"/>
                <w:szCs w:val="20"/>
              </w:rPr>
            </w:pPr>
            <w:r>
              <w:rPr>
                <w:sz w:val="20"/>
                <w:szCs w:val="20"/>
              </w:rPr>
              <w:t>$1.66</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$0.01</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3,001-8,000 gallons</w:t>
            </w:r>
          </w:p>
        </w:tc>
        <w:tc>
          <w:tcPr>
            <w:tcW w:w="1540" w:type="dxa"/>
            <w:noWrap/>
            <w:vAlign w:val="bottom"/>
            <w:hideMark/>
          </w:tcPr>
          <w:p w:rsidR="008B6307" w:rsidRDefault="008B6307">
            <w:pPr>
              <w:rPr>
                <w:rFonts w:asciiTheme="minorHAnsi" w:eastAsiaTheme="minorHAnsi" w:hAnsiTheme="minorHAnsi"/>
                <w:sz w:val="22"/>
                <w:szCs w:val="22"/>
              </w:rPr>
            </w:pPr>
          </w:p>
        </w:tc>
        <w:tc>
          <w:tcPr>
            <w:tcW w:w="1973" w:type="dxa"/>
            <w:noWrap/>
            <w:vAlign w:val="bottom"/>
            <w:hideMark/>
          </w:tcPr>
          <w:p w:rsidR="008B6307" w:rsidRDefault="008B6307">
            <w:pPr>
              <w:jc w:val="right"/>
              <w:rPr>
                <w:sz w:val="20"/>
                <w:szCs w:val="20"/>
              </w:rPr>
            </w:pPr>
            <w:r>
              <w:rPr>
                <w:sz w:val="20"/>
                <w:szCs w:val="20"/>
              </w:rPr>
              <w:t>$1.76</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$0.01</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Over 8,000 gallons</w:t>
            </w:r>
          </w:p>
        </w:tc>
        <w:tc>
          <w:tcPr>
            <w:tcW w:w="1540" w:type="dxa"/>
            <w:noWrap/>
            <w:vAlign w:val="bottom"/>
            <w:hideMark/>
          </w:tcPr>
          <w:p w:rsidR="008B6307" w:rsidRDefault="008B6307">
            <w:pPr>
              <w:rPr>
                <w:rFonts w:asciiTheme="minorHAnsi" w:eastAsiaTheme="minorHAnsi" w:hAnsiTheme="minorHAnsi"/>
                <w:sz w:val="22"/>
                <w:szCs w:val="22"/>
              </w:rPr>
            </w:pPr>
          </w:p>
        </w:tc>
        <w:tc>
          <w:tcPr>
            <w:tcW w:w="1973" w:type="dxa"/>
            <w:noWrap/>
            <w:vAlign w:val="bottom"/>
            <w:hideMark/>
          </w:tcPr>
          <w:p w:rsidR="008B6307" w:rsidRDefault="008B6307">
            <w:pPr>
              <w:jc w:val="right"/>
              <w:rPr>
                <w:sz w:val="20"/>
                <w:szCs w:val="20"/>
              </w:rPr>
            </w:pPr>
            <w:r>
              <w:rPr>
                <w:sz w:val="20"/>
                <w:szCs w:val="20"/>
              </w:rPr>
              <w:t>$2.64</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$0.02</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 </w:t>
            </w:r>
          </w:p>
        </w:tc>
        <w:tc>
          <w:tcPr>
            <w:tcW w:w="1540" w:type="dxa"/>
            <w:noWrap/>
            <w:vAlign w:val="bottom"/>
            <w:hideMark/>
          </w:tcPr>
          <w:p w:rsidR="008B6307" w:rsidRDefault="008B6307">
            <w:pPr>
              <w:rPr>
                <w:rFonts w:asciiTheme="minorHAnsi" w:eastAsiaTheme="minorHAnsi" w:hAnsiTheme="minorHAnsi"/>
                <w:sz w:val="22"/>
                <w:szCs w:val="22"/>
              </w:rPr>
            </w:pPr>
          </w:p>
        </w:tc>
        <w:tc>
          <w:tcPr>
            <w:tcW w:w="1973" w:type="dxa"/>
            <w:noWrap/>
            <w:vAlign w:val="bottom"/>
            <w:hideMark/>
          </w:tcPr>
          <w:p w:rsidR="008B6307" w:rsidRDefault="008B6307">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8B6307" w:rsidRDefault="008B6307">
            <w:pPr>
              <w:rPr>
                <w:color w:val="000000"/>
                <w:sz w:val="20"/>
                <w:szCs w:val="20"/>
              </w:rPr>
            </w:pPr>
            <w:r>
              <w:rPr>
                <w:color w:val="000000"/>
                <w:sz w:val="20"/>
                <w:szCs w:val="20"/>
              </w:rPr>
              <w:t> </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sz w:val="20"/>
                <w:szCs w:val="20"/>
              </w:rPr>
            </w:pPr>
            <w:r>
              <w:rPr>
                <w:sz w:val="20"/>
                <w:szCs w:val="20"/>
              </w:rPr>
              <w:t>Charge per 1,000 gallons - General Service</w:t>
            </w:r>
          </w:p>
        </w:tc>
        <w:tc>
          <w:tcPr>
            <w:tcW w:w="1540" w:type="dxa"/>
            <w:noWrap/>
            <w:vAlign w:val="bottom"/>
            <w:hideMark/>
          </w:tcPr>
          <w:p w:rsidR="008B6307" w:rsidRDefault="008B6307">
            <w:pPr>
              <w:jc w:val="right"/>
              <w:rPr>
                <w:color w:val="000000"/>
                <w:sz w:val="20"/>
                <w:szCs w:val="20"/>
              </w:rPr>
            </w:pPr>
            <w:r>
              <w:rPr>
                <w:color w:val="000000"/>
                <w:sz w:val="20"/>
                <w:szCs w:val="20"/>
              </w:rPr>
              <w:t>$1.79</w:t>
            </w:r>
          </w:p>
        </w:tc>
        <w:tc>
          <w:tcPr>
            <w:tcW w:w="1973" w:type="dxa"/>
            <w:noWrap/>
            <w:vAlign w:val="bottom"/>
            <w:hideMark/>
          </w:tcPr>
          <w:p w:rsidR="008B6307" w:rsidRDefault="008B6307">
            <w:pPr>
              <w:jc w:val="right"/>
              <w:rPr>
                <w:sz w:val="20"/>
                <w:szCs w:val="20"/>
              </w:rPr>
            </w:pPr>
            <w:r>
              <w:rPr>
                <w:sz w:val="20"/>
                <w:szCs w:val="20"/>
              </w:rPr>
              <w:t>$2.17</w:t>
            </w:r>
          </w:p>
        </w:tc>
        <w:tc>
          <w:tcPr>
            <w:tcW w:w="1467" w:type="dxa"/>
            <w:tcBorders>
              <w:top w:val="nil"/>
              <w:left w:val="nil"/>
              <w:bottom w:val="nil"/>
              <w:right w:val="single" w:sz="8" w:space="0" w:color="auto"/>
            </w:tcBorders>
            <w:noWrap/>
            <w:vAlign w:val="bottom"/>
            <w:hideMark/>
          </w:tcPr>
          <w:p w:rsidR="008B6307" w:rsidRDefault="008B6307">
            <w:pPr>
              <w:jc w:val="right"/>
              <w:rPr>
                <w:color w:val="000000"/>
                <w:sz w:val="20"/>
                <w:szCs w:val="20"/>
              </w:rPr>
            </w:pPr>
            <w:r>
              <w:rPr>
                <w:color w:val="000000"/>
                <w:sz w:val="20"/>
                <w:szCs w:val="20"/>
              </w:rPr>
              <w:t>$0.01</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sz w:val="20"/>
                <w:szCs w:val="20"/>
              </w:rPr>
            </w:pPr>
            <w:r>
              <w:rPr>
                <w:sz w:val="20"/>
                <w:szCs w:val="20"/>
              </w:rPr>
              <w:t> </w:t>
            </w:r>
          </w:p>
        </w:tc>
        <w:tc>
          <w:tcPr>
            <w:tcW w:w="1540" w:type="dxa"/>
            <w:noWrap/>
            <w:vAlign w:val="bottom"/>
            <w:hideMark/>
          </w:tcPr>
          <w:p w:rsidR="008B6307" w:rsidRDefault="008B6307">
            <w:pPr>
              <w:rPr>
                <w:rFonts w:asciiTheme="minorHAnsi" w:eastAsiaTheme="minorHAnsi" w:hAnsiTheme="minorHAnsi"/>
                <w:sz w:val="22"/>
                <w:szCs w:val="22"/>
              </w:rPr>
            </w:pPr>
          </w:p>
        </w:tc>
        <w:tc>
          <w:tcPr>
            <w:tcW w:w="1973" w:type="dxa"/>
            <w:noWrap/>
            <w:vAlign w:val="bottom"/>
            <w:hideMark/>
          </w:tcPr>
          <w:p w:rsidR="008B6307" w:rsidRDefault="008B6307">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8B6307" w:rsidRDefault="008B6307">
            <w:pPr>
              <w:rPr>
                <w:color w:val="FF0000"/>
                <w:sz w:val="20"/>
                <w:szCs w:val="20"/>
              </w:rPr>
            </w:pPr>
            <w:r>
              <w:rPr>
                <w:color w:val="FF0000"/>
                <w:sz w:val="20"/>
                <w:szCs w:val="20"/>
              </w:rPr>
              <w:t> </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b/>
                <w:bCs/>
                <w:color w:val="000000"/>
                <w:sz w:val="20"/>
                <w:szCs w:val="20"/>
                <w:u w:val="single"/>
              </w:rPr>
            </w:pPr>
            <w:r>
              <w:rPr>
                <w:b/>
                <w:bCs/>
                <w:color w:val="000000"/>
                <w:sz w:val="20"/>
                <w:szCs w:val="20"/>
                <w:u w:val="single"/>
              </w:rPr>
              <w:t>Typical Residential 5/8" x 3/4" Meter Bill Comparison</w:t>
            </w:r>
          </w:p>
        </w:tc>
        <w:tc>
          <w:tcPr>
            <w:tcW w:w="1540" w:type="dxa"/>
            <w:noWrap/>
            <w:vAlign w:val="bottom"/>
            <w:hideMark/>
          </w:tcPr>
          <w:p w:rsidR="008B6307" w:rsidRDefault="008B6307">
            <w:pPr>
              <w:rPr>
                <w:rFonts w:asciiTheme="minorHAnsi" w:eastAsiaTheme="minorHAnsi" w:hAnsiTheme="minorHAnsi"/>
                <w:sz w:val="22"/>
                <w:szCs w:val="22"/>
              </w:rPr>
            </w:pPr>
          </w:p>
        </w:tc>
        <w:tc>
          <w:tcPr>
            <w:tcW w:w="1973" w:type="dxa"/>
            <w:noWrap/>
            <w:vAlign w:val="bottom"/>
            <w:hideMark/>
          </w:tcPr>
          <w:p w:rsidR="008B6307" w:rsidRDefault="008B6307">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8B6307" w:rsidRDefault="008B6307">
            <w:pPr>
              <w:rPr>
                <w:color w:val="FF0000"/>
                <w:sz w:val="20"/>
                <w:szCs w:val="20"/>
              </w:rPr>
            </w:pPr>
            <w:r>
              <w:rPr>
                <w:color w:val="FF0000"/>
                <w:sz w:val="20"/>
                <w:szCs w:val="20"/>
              </w:rPr>
              <w:t> </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3,000 Gallons</w:t>
            </w:r>
          </w:p>
        </w:tc>
        <w:tc>
          <w:tcPr>
            <w:tcW w:w="1540" w:type="dxa"/>
            <w:noWrap/>
            <w:vAlign w:val="bottom"/>
            <w:hideMark/>
          </w:tcPr>
          <w:p w:rsidR="008B6307" w:rsidRDefault="008B6307">
            <w:pPr>
              <w:jc w:val="right"/>
              <w:rPr>
                <w:color w:val="000000"/>
                <w:sz w:val="20"/>
                <w:szCs w:val="20"/>
              </w:rPr>
            </w:pPr>
            <w:r>
              <w:rPr>
                <w:color w:val="000000"/>
                <w:sz w:val="20"/>
                <w:szCs w:val="20"/>
              </w:rPr>
              <w:t xml:space="preserve">$18.34 </w:t>
            </w:r>
          </w:p>
        </w:tc>
        <w:tc>
          <w:tcPr>
            <w:tcW w:w="1973" w:type="dxa"/>
            <w:noWrap/>
            <w:vAlign w:val="bottom"/>
            <w:hideMark/>
          </w:tcPr>
          <w:p w:rsidR="008B6307" w:rsidRDefault="008B6307">
            <w:pPr>
              <w:jc w:val="right"/>
              <w:rPr>
                <w:color w:val="000000"/>
                <w:sz w:val="20"/>
                <w:szCs w:val="20"/>
              </w:rPr>
            </w:pPr>
            <w:r>
              <w:rPr>
                <w:color w:val="000000"/>
                <w:sz w:val="20"/>
                <w:szCs w:val="20"/>
              </w:rPr>
              <w:t xml:space="preserve">$18.77 </w:t>
            </w:r>
          </w:p>
        </w:tc>
        <w:tc>
          <w:tcPr>
            <w:tcW w:w="1467" w:type="dxa"/>
            <w:tcBorders>
              <w:top w:val="nil"/>
              <w:left w:val="nil"/>
              <w:bottom w:val="nil"/>
              <w:right w:val="single" w:sz="8" w:space="0" w:color="auto"/>
            </w:tcBorders>
            <w:noWrap/>
            <w:vAlign w:val="bottom"/>
            <w:hideMark/>
          </w:tcPr>
          <w:p w:rsidR="008B6307" w:rsidRDefault="008B6307">
            <w:pPr>
              <w:jc w:val="right"/>
              <w:rPr>
                <w:color w:val="FF0000"/>
                <w:sz w:val="20"/>
                <w:szCs w:val="20"/>
              </w:rPr>
            </w:pPr>
            <w:r>
              <w:rPr>
                <w:color w:val="FF0000"/>
                <w:sz w:val="20"/>
                <w:szCs w:val="20"/>
              </w:rPr>
              <w:t> </w:t>
            </w:r>
          </w:p>
        </w:tc>
      </w:tr>
      <w:tr w:rsidR="008B6307" w:rsidTr="008B6307">
        <w:trPr>
          <w:trHeight w:val="300"/>
          <w:jc w:val="center"/>
        </w:trPr>
        <w:tc>
          <w:tcPr>
            <w:tcW w:w="5580" w:type="dxa"/>
            <w:tcBorders>
              <w:top w:val="nil"/>
              <w:left w:val="single" w:sz="8" w:space="0" w:color="000000"/>
              <w:bottom w:val="nil"/>
              <w:right w:val="nil"/>
            </w:tcBorders>
            <w:noWrap/>
            <w:vAlign w:val="bottom"/>
            <w:hideMark/>
          </w:tcPr>
          <w:p w:rsidR="008B6307" w:rsidRDefault="008B6307">
            <w:pPr>
              <w:rPr>
                <w:color w:val="000000"/>
                <w:sz w:val="20"/>
                <w:szCs w:val="20"/>
              </w:rPr>
            </w:pPr>
            <w:r>
              <w:rPr>
                <w:color w:val="000000"/>
                <w:sz w:val="20"/>
                <w:szCs w:val="20"/>
              </w:rPr>
              <w:t>8,000 Gallons</w:t>
            </w:r>
          </w:p>
        </w:tc>
        <w:tc>
          <w:tcPr>
            <w:tcW w:w="1540" w:type="dxa"/>
            <w:noWrap/>
            <w:vAlign w:val="bottom"/>
            <w:hideMark/>
          </w:tcPr>
          <w:p w:rsidR="008B6307" w:rsidRDefault="008B6307">
            <w:pPr>
              <w:jc w:val="right"/>
              <w:rPr>
                <w:color w:val="000000"/>
                <w:sz w:val="20"/>
                <w:szCs w:val="20"/>
              </w:rPr>
            </w:pPr>
            <w:r>
              <w:rPr>
                <w:color w:val="000000"/>
                <w:sz w:val="20"/>
                <w:szCs w:val="20"/>
              </w:rPr>
              <w:t xml:space="preserve">$26.24 </w:t>
            </w:r>
          </w:p>
        </w:tc>
        <w:tc>
          <w:tcPr>
            <w:tcW w:w="1973" w:type="dxa"/>
            <w:noWrap/>
            <w:vAlign w:val="bottom"/>
            <w:hideMark/>
          </w:tcPr>
          <w:p w:rsidR="008B6307" w:rsidRDefault="008B6307">
            <w:pPr>
              <w:jc w:val="right"/>
              <w:rPr>
                <w:color w:val="000000"/>
                <w:sz w:val="20"/>
                <w:szCs w:val="20"/>
              </w:rPr>
            </w:pPr>
            <w:r>
              <w:rPr>
                <w:color w:val="000000"/>
                <w:sz w:val="20"/>
                <w:szCs w:val="20"/>
              </w:rPr>
              <w:t xml:space="preserve">$27.57 </w:t>
            </w:r>
          </w:p>
        </w:tc>
        <w:tc>
          <w:tcPr>
            <w:tcW w:w="1467" w:type="dxa"/>
            <w:tcBorders>
              <w:top w:val="nil"/>
              <w:left w:val="nil"/>
              <w:bottom w:val="nil"/>
              <w:right w:val="single" w:sz="8" w:space="0" w:color="auto"/>
            </w:tcBorders>
            <w:noWrap/>
            <w:vAlign w:val="bottom"/>
            <w:hideMark/>
          </w:tcPr>
          <w:p w:rsidR="008B6307" w:rsidRDefault="008B6307">
            <w:pPr>
              <w:jc w:val="right"/>
              <w:rPr>
                <w:color w:val="FF0000"/>
                <w:sz w:val="20"/>
                <w:szCs w:val="20"/>
              </w:rPr>
            </w:pPr>
            <w:r>
              <w:rPr>
                <w:color w:val="FF0000"/>
                <w:sz w:val="20"/>
                <w:szCs w:val="20"/>
              </w:rPr>
              <w:t> </w:t>
            </w:r>
          </w:p>
        </w:tc>
      </w:tr>
      <w:tr w:rsidR="008B6307" w:rsidTr="008B6307">
        <w:trPr>
          <w:trHeight w:val="315"/>
          <w:jc w:val="center"/>
        </w:trPr>
        <w:tc>
          <w:tcPr>
            <w:tcW w:w="5580" w:type="dxa"/>
            <w:tcBorders>
              <w:top w:val="nil"/>
              <w:left w:val="single" w:sz="8" w:space="0" w:color="000000"/>
              <w:bottom w:val="single" w:sz="8" w:space="0" w:color="000000"/>
              <w:right w:val="nil"/>
            </w:tcBorders>
            <w:noWrap/>
            <w:vAlign w:val="bottom"/>
            <w:hideMark/>
          </w:tcPr>
          <w:p w:rsidR="008B6307" w:rsidRDefault="008B6307">
            <w:pPr>
              <w:rPr>
                <w:color w:val="000000"/>
                <w:sz w:val="20"/>
                <w:szCs w:val="20"/>
              </w:rPr>
            </w:pPr>
            <w:r>
              <w:rPr>
                <w:color w:val="000000"/>
                <w:sz w:val="20"/>
                <w:szCs w:val="20"/>
              </w:rPr>
              <w:t>10,000 Gallons</w:t>
            </w:r>
          </w:p>
        </w:tc>
        <w:tc>
          <w:tcPr>
            <w:tcW w:w="1540" w:type="dxa"/>
            <w:tcBorders>
              <w:top w:val="nil"/>
              <w:left w:val="nil"/>
              <w:bottom w:val="single" w:sz="8" w:space="0" w:color="auto"/>
              <w:right w:val="nil"/>
            </w:tcBorders>
            <w:noWrap/>
            <w:vAlign w:val="bottom"/>
            <w:hideMark/>
          </w:tcPr>
          <w:p w:rsidR="008B6307" w:rsidRDefault="008B6307">
            <w:pPr>
              <w:jc w:val="right"/>
              <w:rPr>
                <w:color w:val="000000"/>
                <w:sz w:val="20"/>
                <w:szCs w:val="20"/>
              </w:rPr>
            </w:pPr>
            <w:r>
              <w:rPr>
                <w:color w:val="000000"/>
                <w:sz w:val="20"/>
                <w:szCs w:val="20"/>
              </w:rPr>
              <w:t xml:space="preserve">$30.16 </w:t>
            </w:r>
          </w:p>
        </w:tc>
        <w:tc>
          <w:tcPr>
            <w:tcW w:w="1973" w:type="dxa"/>
            <w:tcBorders>
              <w:top w:val="nil"/>
              <w:left w:val="nil"/>
              <w:bottom w:val="single" w:sz="8" w:space="0" w:color="auto"/>
              <w:right w:val="nil"/>
            </w:tcBorders>
            <w:noWrap/>
            <w:vAlign w:val="bottom"/>
            <w:hideMark/>
          </w:tcPr>
          <w:p w:rsidR="008B6307" w:rsidRDefault="008B6307">
            <w:pPr>
              <w:jc w:val="right"/>
              <w:rPr>
                <w:color w:val="000000"/>
                <w:sz w:val="20"/>
                <w:szCs w:val="20"/>
              </w:rPr>
            </w:pPr>
            <w:r>
              <w:rPr>
                <w:color w:val="000000"/>
                <w:sz w:val="20"/>
                <w:szCs w:val="20"/>
              </w:rPr>
              <w:t xml:space="preserve">$32.85 </w:t>
            </w:r>
          </w:p>
        </w:tc>
        <w:tc>
          <w:tcPr>
            <w:tcW w:w="1467" w:type="dxa"/>
            <w:tcBorders>
              <w:top w:val="nil"/>
              <w:left w:val="nil"/>
              <w:bottom w:val="single" w:sz="8" w:space="0" w:color="000000"/>
              <w:right w:val="single" w:sz="8" w:space="0" w:color="auto"/>
            </w:tcBorders>
            <w:noWrap/>
            <w:vAlign w:val="bottom"/>
            <w:hideMark/>
          </w:tcPr>
          <w:p w:rsidR="008B6307" w:rsidRDefault="008B6307">
            <w:pPr>
              <w:jc w:val="right"/>
              <w:rPr>
                <w:color w:val="FF0000"/>
                <w:sz w:val="20"/>
                <w:szCs w:val="20"/>
              </w:rPr>
            </w:pPr>
            <w:r>
              <w:rPr>
                <w:color w:val="FF0000"/>
                <w:sz w:val="20"/>
                <w:szCs w:val="20"/>
              </w:rPr>
              <w:t> </w:t>
            </w:r>
          </w:p>
        </w:tc>
      </w:tr>
    </w:tbl>
    <w:p w:rsidR="00B12EC7" w:rsidRDefault="00B12EC7" w:rsidP="00C37D97"/>
    <w:p w:rsidR="003D499B" w:rsidRDefault="003D499B" w:rsidP="00C37D97">
      <w:r w:rsidRPr="004C3641">
        <w:t>:</w:t>
      </w:r>
      <w:r>
        <w:fldChar w:fldCharType="begin"/>
      </w:r>
      <w:r>
        <w:instrText xml:space="preserve"> TC "</w:instrText>
      </w:r>
      <w:bookmarkStart w:id="200" w:name="_Toc450652895"/>
      <w:bookmarkStart w:id="201" w:name="_Toc451766983"/>
      <w:r>
        <w:instrText>Schedule No. 4 Monthly Water Rates</w:instrText>
      </w:r>
      <w:bookmarkEnd w:id="200"/>
      <w:bookmarkEnd w:id="201"/>
      <w:r>
        <w:instrText xml:space="preserve">" \l 1 </w:instrText>
      </w:r>
      <w:r>
        <w:fldChar w:fldCharType="end"/>
      </w:r>
    </w:p>
    <w:p w:rsidR="003D499B" w:rsidRDefault="003D499B" w:rsidP="00C37D97"/>
    <w:p w:rsidR="003D499B" w:rsidRDefault="003D499B" w:rsidP="00C37D97"/>
    <w:p w:rsidR="003D499B" w:rsidRDefault="003D499B" w:rsidP="00C37D97">
      <w:pPr>
        <w:sectPr w:rsidR="003D499B" w:rsidSect="0068481F">
          <w:headerReference w:type="default" r:id="rId27"/>
          <w:pgSz w:w="12240" w:h="15840" w:code="1"/>
          <w:pgMar w:top="1584" w:right="1440" w:bottom="1440" w:left="1440" w:header="720" w:footer="720" w:gutter="0"/>
          <w:cols w:space="720"/>
          <w:formProt w:val="0"/>
          <w:docGrid w:linePitch="360"/>
        </w:sectPr>
      </w:pPr>
    </w:p>
    <w:tbl>
      <w:tblPr>
        <w:tblW w:w="9480" w:type="dxa"/>
        <w:tblInd w:w="103" w:type="dxa"/>
        <w:tblLayout w:type="fixed"/>
        <w:tblLook w:val="04A0" w:firstRow="1" w:lastRow="0" w:firstColumn="1" w:lastColumn="0" w:noHBand="0" w:noVBand="1"/>
      </w:tblPr>
      <w:tblGrid>
        <w:gridCol w:w="817"/>
        <w:gridCol w:w="563"/>
        <w:gridCol w:w="605"/>
        <w:gridCol w:w="463"/>
        <w:gridCol w:w="3065"/>
        <w:gridCol w:w="1337"/>
        <w:gridCol w:w="438"/>
        <w:gridCol w:w="913"/>
        <w:gridCol w:w="1279"/>
      </w:tblGrid>
      <w:tr w:rsidR="00CD64F7" w:rsidTr="00D70F8E">
        <w:trPr>
          <w:trHeight w:val="312"/>
        </w:trPr>
        <w:tc>
          <w:tcPr>
            <w:tcW w:w="5513" w:type="dxa"/>
            <w:gridSpan w:val="5"/>
            <w:tcBorders>
              <w:top w:val="single" w:sz="8" w:space="0" w:color="auto"/>
              <w:left w:val="single" w:sz="8" w:space="0" w:color="auto"/>
              <w:bottom w:val="nil"/>
              <w:right w:val="nil"/>
            </w:tcBorders>
            <w:noWrap/>
            <w:vAlign w:val="center"/>
            <w:hideMark/>
          </w:tcPr>
          <w:p w:rsidR="00CD64F7" w:rsidRDefault="00CD64F7">
            <w:pPr>
              <w:rPr>
                <w:rFonts w:ascii="SWISS" w:hAnsi="SWISS" w:cs="Arial"/>
                <w:b/>
                <w:bCs/>
                <w:color w:val="000000"/>
                <w:sz w:val="20"/>
                <w:szCs w:val="20"/>
                <w:highlight w:val="cyan"/>
              </w:rPr>
            </w:pPr>
            <w:r>
              <w:rPr>
                <w:rFonts w:ascii="SWISS" w:hAnsi="SWISS" w:cs="Arial"/>
                <w:b/>
                <w:bCs/>
                <w:color w:val="000000"/>
                <w:sz w:val="20"/>
                <w:szCs w:val="20"/>
              </w:rPr>
              <w:lastRenderedPageBreak/>
              <w:t>RAINTREE WATERWORKS, INC.</w:t>
            </w:r>
          </w:p>
        </w:tc>
        <w:tc>
          <w:tcPr>
            <w:tcW w:w="3967" w:type="dxa"/>
            <w:gridSpan w:val="4"/>
            <w:tcBorders>
              <w:top w:val="single" w:sz="8" w:space="0" w:color="auto"/>
              <w:left w:val="nil"/>
              <w:bottom w:val="nil"/>
              <w:right w:val="single" w:sz="8" w:space="0" w:color="auto"/>
            </w:tcBorders>
            <w:noWrap/>
            <w:vAlign w:val="center"/>
            <w:hideMark/>
          </w:tcPr>
          <w:p w:rsidR="00CD64F7" w:rsidRDefault="00CD64F7">
            <w:pPr>
              <w:rPr>
                <w:sz w:val="20"/>
                <w:szCs w:val="20"/>
              </w:rPr>
            </w:pPr>
            <w:r>
              <w:rPr>
                <w:rFonts w:ascii="SWISS" w:hAnsi="SWISS" w:cs="Arial"/>
                <w:b/>
                <w:bCs/>
                <w:color w:val="000000"/>
                <w:sz w:val="20"/>
                <w:szCs w:val="20"/>
              </w:rPr>
              <w:t>                                         SCHEDULE NO. 5</w:t>
            </w:r>
            <w:r>
              <w:rPr>
                <w:sz w:val="20"/>
                <w:szCs w:val="20"/>
              </w:rPr>
              <w:fldChar w:fldCharType="begin"/>
            </w:r>
            <w:r>
              <w:rPr>
                <w:sz w:val="20"/>
                <w:szCs w:val="20"/>
              </w:rPr>
              <w:instrText xml:space="preserve"> TC " </w:instrText>
            </w:r>
            <w:bookmarkStart w:id="202" w:name="_Toc443384735"/>
            <w:bookmarkStart w:id="203" w:name="_Toc451766984"/>
            <w:r>
              <w:rPr>
                <w:sz w:val="20"/>
                <w:szCs w:val="20"/>
              </w:rPr>
              <w:instrText>Schedule No. 5 Water Plant, Depreciation, CIAC, &amp; CIAC Amortization Balances</w:instrText>
            </w:r>
            <w:bookmarkEnd w:id="202"/>
            <w:bookmarkEnd w:id="203"/>
            <w:r>
              <w:rPr>
                <w:sz w:val="20"/>
                <w:szCs w:val="20"/>
              </w:rPr>
              <w:instrText xml:space="preserve">”\l 1 </w:instrText>
            </w:r>
            <w:r>
              <w:rPr>
                <w:sz w:val="20"/>
                <w:szCs w:val="20"/>
              </w:rPr>
              <w:fldChar w:fldCharType="end"/>
            </w:r>
          </w:p>
        </w:tc>
      </w:tr>
      <w:tr w:rsidR="00CD64F7" w:rsidTr="00D70F8E">
        <w:trPr>
          <w:trHeight w:val="306"/>
        </w:trPr>
        <w:tc>
          <w:tcPr>
            <w:tcW w:w="5513" w:type="dxa"/>
            <w:gridSpan w:val="5"/>
            <w:tcBorders>
              <w:top w:val="nil"/>
              <w:left w:val="single" w:sz="8" w:space="0" w:color="auto"/>
              <w:bottom w:val="nil"/>
              <w:right w:val="nil"/>
            </w:tcBorders>
            <w:noWrap/>
            <w:vAlign w:val="center"/>
            <w:hideMark/>
          </w:tcPr>
          <w:p w:rsidR="00CD64F7" w:rsidRDefault="00CD64F7">
            <w:pPr>
              <w:rPr>
                <w:rFonts w:ascii="SWISS" w:hAnsi="SWISS" w:cs="Arial"/>
                <w:b/>
                <w:bCs/>
                <w:color w:val="000000"/>
                <w:sz w:val="20"/>
                <w:szCs w:val="20"/>
              </w:rPr>
            </w:pPr>
            <w:r>
              <w:rPr>
                <w:rFonts w:ascii="SWISS" w:hAnsi="SWISS" w:cs="Arial"/>
                <w:b/>
                <w:bCs/>
                <w:color w:val="000000"/>
                <w:sz w:val="20"/>
                <w:szCs w:val="20"/>
              </w:rPr>
              <w:t>TEST YEAR ENDED 7/31/2015</w:t>
            </w:r>
          </w:p>
        </w:tc>
        <w:tc>
          <w:tcPr>
            <w:tcW w:w="3967" w:type="dxa"/>
            <w:gridSpan w:val="4"/>
            <w:tcBorders>
              <w:top w:val="nil"/>
              <w:left w:val="nil"/>
              <w:bottom w:val="nil"/>
              <w:right w:val="single" w:sz="8" w:space="0" w:color="auto"/>
            </w:tcBorders>
            <w:noWrap/>
            <w:vAlign w:val="center"/>
            <w:hideMark/>
          </w:tcPr>
          <w:p w:rsidR="00CD64F7" w:rsidRDefault="00CD64F7">
            <w:pPr>
              <w:rPr>
                <w:rFonts w:ascii="SWISS" w:hAnsi="SWISS" w:cs="Arial"/>
                <w:b/>
                <w:bCs/>
                <w:color w:val="000000"/>
                <w:sz w:val="20"/>
                <w:szCs w:val="20"/>
              </w:rPr>
            </w:pPr>
            <w:r>
              <w:rPr>
                <w:rFonts w:ascii="SWISS" w:hAnsi="SWISS" w:cs="Arial"/>
                <w:b/>
                <w:bCs/>
                <w:color w:val="000000"/>
                <w:sz w:val="20"/>
                <w:szCs w:val="20"/>
              </w:rPr>
              <w:t xml:space="preserve">                            DOCKET NO. 150199-WU</w:t>
            </w:r>
          </w:p>
        </w:tc>
      </w:tr>
      <w:tr w:rsidR="00CD64F7" w:rsidTr="00D70F8E">
        <w:trPr>
          <w:trHeight w:val="351"/>
        </w:trPr>
        <w:tc>
          <w:tcPr>
            <w:tcW w:w="9480" w:type="dxa"/>
            <w:gridSpan w:val="9"/>
            <w:tcBorders>
              <w:top w:val="nil"/>
              <w:left w:val="single" w:sz="8" w:space="0" w:color="auto"/>
              <w:bottom w:val="single" w:sz="8" w:space="0" w:color="auto"/>
              <w:right w:val="single" w:sz="8" w:space="0" w:color="auto"/>
            </w:tcBorders>
            <w:vAlign w:val="center"/>
            <w:hideMark/>
          </w:tcPr>
          <w:p w:rsidR="00CD64F7" w:rsidRDefault="00CD64F7">
            <w:pPr>
              <w:rPr>
                <w:rFonts w:ascii="SWISS" w:hAnsi="SWISS" w:cs="Arial"/>
                <w:b/>
                <w:bCs/>
                <w:color w:val="000000"/>
                <w:sz w:val="20"/>
                <w:szCs w:val="20"/>
              </w:rPr>
            </w:pPr>
            <w:r>
              <w:rPr>
                <w:rFonts w:ascii="SWISS" w:hAnsi="SWISS" w:cs="Arial"/>
                <w:b/>
                <w:bCs/>
                <w:color w:val="000000"/>
                <w:sz w:val="20"/>
                <w:szCs w:val="20"/>
              </w:rPr>
              <w:t>SCHEDULE OF WATER PLANT, DEPRECIATION, CIAC, &amp; CIAC AMORTIZATION BALANCES</w:t>
            </w:r>
          </w:p>
        </w:tc>
      </w:tr>
      <w:tr w:rsidR="00CD64F7" w:rsidTr="00D70F8E">
        <w:trPr>
          <w:trHeight w:val="312"/>
        </w:trPr>
        <w:tc>
          <w:tcPr>
            <w:tcW w:w="817" w:type="dxa"/>
            <w:tcBorders>
              <w:top w:val="single" w:sz="8" w:space="0" w:color="auto"/>
              <w:left w:val="single" w:sz="8" w:space="0" w:color="auto"/>
              <w:bottom w:val="single" w:sz="8" w:space="0" w:color="auto"/>
              <w:right w:val="nil"/>
            </w:tcBorders>
            <w:noWrap/>
            <w:vAlign w:val="bottom"/>
            <w:hideMark/>
          </w:tcPr>
          <w:p w:rsidR="00CD64F7" w:rsidRDefault="00CD64F7">
            <w:pPr>
              <w:jc w:val="center"/>
              <w:rPr>
                <w:rFonts w:ascii="SWISS" w:hAnsi="SWISS" w:cs="Arial"/>
                <w:b/>
                <w:bCs/>
                <w:color w:val="000000"/>
                <w:sz w:val="20"/>
                <w:szCs w:val="20"/>
              </w:rPr>
            </w:pPr>
            <w:r>
              <w:rPr>
                <w:rFonts w:ascii="SWISS" w:hAnsi="SWISS" w:cs="Arial"/>
                <w:b/>
                <w:bCs/>
                <w:color w:val="000000"/>
                <w:sz w:val="20"/>
                <w:szCs w:val="20"/>
              </w:rPr>
              <w:t>ACCTNO.</w:t>
            </w:r>
          </w:p>
        </w:tc>
        <w:tc>
          <w:tcPr>
            <w:tcW w:w="1168" w:type="dxa"/>
            <w:gridSpan w:val="2"/>
            <w:tcBorders>
              <w:top w:val="single" w:sz="8" w:space="0" w:color="auto"/>
              <w:left w:val="nil"/>
              <w:bottom w:val="single" w:sz="8" w:space="0" w:color="auto"/>
              <w:right w:val="nil"/>
            </w:tcBorders>
            <w:noWrap/>
            <w:vAlign w:val="bottom"/>
            <w:hideMark/>
          </w:tcPr>
          <w:p w:rsidR="00CD64F7" w:rsidRDefault="00CD64F7">
            <w:pPr>
              <w:jc w:val="center"/>
              <w:rPr>
                <w:rFonts w:ascii="SWISS" w:hAnsi="SWISS" w:cs="Arial"/>
                <w:b/>
                <w:bCs/>
                <w:color w:val="000000"/>
                <w:sz w:val="20"/>
                <w:szCs w:val="20"/>
              </w:rPr>
            </w:pPr>
            <w:r>
              <w:rPr>
                <w:rFonts w:ascii="SWISS" w:hAnsi="SWISS" w:cs="Arial"/>
                <w:b/>
                <w:bCs/>
                <w:color w:val="000000"/>
                <w:sz w:val="20"/>
                <w:szCs w:val="20"/>
              </w:rPr>
              <w:t>DEPR. RATE PER RULE    25-30.140</w:t>
            </w:r>
            <w:r w:rsidR="00D70F8E">
              <w:rPr>
                <w:rFonts w:ascii="SWISS" w:hAnsi="SWISS" w:cs="Arial"/>
                <w:b/>
                <w:bCs/>
                <w:color w:val="000000"/>
                <w:sz w:val="20"/>
                <w:szCs w:val="20"/>
              </w:rPr>
              <w:t>, F.A.C.</w:t>
            </w:r>
          </w:p>
        </w:tc>
        <w:tc>
          <w:tcPr>
            <w:tcW w:w="4865" w:type="dxa"/>
            <w:gridSpan w:val="3"/>
            <w:tcBorders>
              <w:top w:val="single" w:sz="8" w:space="0" w:color="auto"/>
              <w:left w:val="nil"/>
              <w:bottom w:val="single" w:sz="8" w:space="0" w:color="auto"/>
              <w:right w:val="nil"/>
            </w:tcBorders>
            <w:noWrap/>
            <w:vAlign w:val="bottom"/>
            <w:hideMark/>
          </w:tcPr>
          <w:p w:rsidR="00CD64F7" w:rsidRDefault="00CD64F7">
            <w:pPr>
              <w:jc w:val="center"/>
              <w:rPr>
                <w:rFonts w:ascii="SWISS" w:hAnsi="SWISS" w:cs="Arial"/>
                <w:b/>
                <w:bCs/>
                <w:color w:val="000000"/>
                <w:sz w:val="20"/>
                <w:szCs w:val="20"/>
              </w:rPr>
            </w:pPr>
            <w:r>
              <w:rPr>
                <w:rFonts w:ascii="SWISS" w:hAnsi="SWISS" w:cs="Arial"/>
                <w:b/>
                <w:bCs/>
                <w:color w:val="000000"/>
                <w:sz w:val="20"/>
                <w:szCs w:val="20"/>
              </w:rPr>
              <w:t>DESCRIPTION</w:t>
            </w:r>
          </w:p>
        </w:tc>
        <w:tc>
          <w:tcPr>
            <w:tcW w:w="1351" w:type="dxa"/>
            <w:gridSpan w:val="2"/>
            <w:tcBorders>
              <w:top w:val="single" w:sz="8" w:space="0" w:color="auto"/>
              <w:left w:val="nil"/>
              <w:bottom w:val="single" w:sz="8" w:space="0" w:color="auto"/>
              <w:right w:val="nil"/>
            </w:tcBorders>
            <w:noWrap/>
            <w:vAlign w:val="bottom"/>
            <w:hideMark/>
          </w:tcPr>
          <w:p w:rsidR="00CD64F7" w:rsidRDefault="00CD64F7">
            <w:pPr>
              <w:jc w:val="center"/>
              <w:rPr>
                <w:rFonts w:ascii="SWISS" w:hAnsi="SWISS" w:cs="Arial"/>
                <w:b/>
                <w:bCs/>
                <w:color w:val="000000"/>
                <w:sz w:val="20"/>
                <w:szCs w:val="20"/>
              </w:rPr>
            </w:pPr>
            <w:r>
              <w:rPr>
                <w:rFonts w:ascii="SWISS" w:hAnsi="SWISS" w:cs="Arial"/>
                <w:b/>
                <w:bCs/>
                <w:color w:val="000000"/>
                <w:sz w:val="20"/>
                <w:szCs w:val="20"/>
              </w:rPr>
              <w:t>UPIS       7/31/2015    (DEBIT)</w:t>
            </w:r>
          </w:p>
        </w:tc>
        <w:tc>
          <w:tcPr>
            <w:tcW w:w="1279" w:type="dxa"/>
            <w:tcBorders>
              <w:top w:val="single" w:sz="8" w:space="0" w:color="auto"/>
              <w:left w:val="nil"/>
              <w:bottom w:val="single" w:sz="8" w:space="0" w:color="auto"/>
              <w:right w:val="single" w:sz="8" w:space="0" w:color="auto"/>
            </w:tcBorders>
            <w:noWrap/>
            <w:vAlign w:val="bottom"/>
            <w:hideMark/>
          </w:tcPr>
          <w:p w:rsidR="00CD64F7" w:rsidRDefault="00CD64F7">
            <w:pPr>
              <w:jc w:val="center"/>
              <w:rPr>
                <w:rFonts w:ascii="SWISS" w:hAnsi="SWISS" w:cs="Arial"/>
                <w:b/>
                <w:bCs/>
                <w:color w:val="000000"/>
                <w:sz w:val="20"/>
                <w:szCs w:val="20"/>
              </w:rPr>
            </w:pPr>
            <w:r>
              <w:rPr>
                <w:rFonts w:ascii="SWISS" w:hAnsi="SWISS" w:cs="Arial"/>
                <w:b/>
                <w:bCs/>
                <w:color w:val="000000"/>
                <w:sz w:val="20"/>
                <w:szCs w:val="20"/>
              </w:rPr>
              <w:t>ACCUM. DEPR.   7/31/2015         (CREDIT)*</w:t>
            </w:r>
          </w:p>
        </w:tc>
      </w:tr>
      <w:tr w:rsidR="00CD64F7" w:rsidTr="00D70F8E">
        <w:trPr>
          <w:trHeight w:val="312"/>
        </w:trPr>
        <w:tc>
          <w:tcPr>
            <w:tcW w:w="817" w:type="dxa"/>
            <w:tcBorders>
              <w:top w:val="single" w:sz="8" w:space="0" w:color="auto"/>
              <w:left w:val="single" w:sz="8" w:space="0" w:color="auto"/>
              <w:bottom w:val="nil"/>
              <w:right w:val="nil"/>
            </w:tcBorders>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 </w:t>
            </w:r>
          </w:p>
        </w:tc>
        <w:tc>
          <w:tcPr>
            <w:tcW w:w="1168" w:type="dxa"/>
            <w:gridSpan w:val="2"/>
            <w:tcBorders>
              <w:top w:val="single" w:sz="8" w:space="0" w:color="auto"/>
              <w:left w:val="nil"/>
              <w:bottom w:val="nil"/>
              <w:right w:val="nil"/>
            </w:tcBorders>
            <w:noWrap/>
            <w:vAlign w:val="center"/>
            <w:hideMark/>
          </w:tcPr>
          <w:p w:rsidR="00CD64F7" w:rsidRDefault="00CD64F7">
            <w:pPr>
              <w:rPr>
                <w:sz w:val="20"/>
                <w:szCs w:val="20"/>
              </w:rPr>
            </w:pPr>
          </w:p>
        </w:tc>
        <w:tc>
          <w:tcPr>
            <w:tcW w:w="4865" w:type="dxa"/>
            <w:gridSpan w:val="3"/>
            <w:tcBorders>
              <w:top w:val="single" w:sz="8" w:space="0" w:color="auto"/>
              <w:left w:val="nil"/>
              <w:bottom w:val="nil"/>
              <w:right w:val="nil"/>
            </w:tcBorders>
            <w:noWrap/>
            <w:vAlign w:val="center"/>
            <w:hideMark/>
          </w:tcPr>
          <w:p w:rsidR="00CD64F7" w:rsidRDefault="00CD64F7">
            <w:pPr>
              <w:rPr>
                <w:sz w:val="20"/>
                <w:szCs w:val="20"/>
              </w:rPr>
            </w:pPr>
          </w:p>
        </w:tc>
        <w:tc>
          <w:tcPr>
            <w:tcW w:w="1351" w:type="dxa"/>
            <w:gridSpan w:val="2"/>
            <w:tcBorders>
              <w:top w:val="single" w:sz="8" w:space="0" w:color="auto"/>
              <w:left w:val="nil"/>
              <w:bottom w:val="nil"/>
              <w:right w:val="nil"/>
            </w:tcBorders>
            <w:noWrap/>
            <w:vAlign w:val="center"/>
            <w:hideMark/>
          </w:tcPr>
          <w:p w:rsidR="00CD64F7" w:rsidRDefault="00CD64F7">
            <w:pPr>
              <w:rPr>
                <w:sz w:val="20"/>
                <w:szCs w:val="20"/>
              </w:rPr>
            </w:pPr>
          </w:p>
        </w:tc>
        <w:tc>
          <w:tcPr>
            <w:tcW w:w="1279" w:type="dxa"/>
            <w:tcBorders>
              <w:top w:val="single" w:sz="8" w:space="0" w:color="auto"/>
              <w:left w:val="nil"/>
              <w:bottom w:val="nil"/>
              <w:right w:val="single" w:sz="8" w:space="0" w:color="auto"/>
            </w:tcBorders>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301</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2.50%</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ORGANIZATION</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$2,587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$199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302</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2.50%</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FRANCHISES</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0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0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303</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0.00%</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LAND AND LAND RIGHTS (NON-DEPRECIABLE)</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5,740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0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304</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3.70%</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STRUCTURES AND IMPROVEMENTS</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13,979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7,908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307</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3.70%</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WELLS AND SPRINGS</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24,733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18,663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309</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3.13%</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SUPPLY MAINS</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4,179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2,957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311</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5.88%</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PUMPING EQUIPMENT</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40,241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35,908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320</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5.88%</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WATER TREATMENT EQUIPMENT</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53,968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53,968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330</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3.03%</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DISTRIBUTION RESERVOIRS AND STANDPIPES</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11,448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9,741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331</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2.63%</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TRANSMISSION AND DISTRIBUTION MAINS</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62,668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46,309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333</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2.86%</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SERVICES</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11,580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9,291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334</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5.88%</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METERS AND METER INSTALLATIONS</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1,268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155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335</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2.50%</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HYDRANTS</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12,879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9,041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336</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10.00%</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BACKFLOW PREVENTION DEVICES</w:t>
            </w:r>
          </w:p>
        </w:tc>
        <w:tc>
          <w:tcPr>
            <w:tcW w:w="1351" w:type="dxa"/>
            <w:gridSpan w:val="2"/>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6,500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xml:space="preserve">2,899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340</w:t>
            </w:r>
          </w:p>
        </w:tc>
        <w:tc>
          <w:tcPr>
            <w:tcW w:w="1168" w:type="dxa"/>
            <w:gridSpan w:val="2"/>
            <w:noWrap/>
            <w:vAlign w:val="center"/>
            <w:hideMark/>
          </w:tcPr>
          <w:p w:rsidR="00CD64F7" w:rsidRDefault="00CD64F7">
            <w:pPr>
              <w:jc w:val="center"/>
              <w:rPr>
                <w:rFonts w:ascii="SWISS" w:hAnsi="SWISS" w:cs="Arial"/>
                <w:bCs/>
                <w:color w:val="000000"/>
                <w:sz w:val="20"/>
                <w:szCs w:val="20"/>
              </w:rPr>
            </w:pPr>
            <w:r>
              <w:rPr>
                <w:rFonts w:ascii="SWISS" w:hAnsi="SWISS" w:cs="Arial"/>
                <w:bCs/>
                <w:color w:val="000000"/>
                <w:sz w:val="20"/>
                <w:szCs w:val="20"/>
              </w:rPr>
              <w:t>6.67%</w:t>
            </w: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OFFICE FURNITURE AND EQUIPMENT</w:t>
            </w:r>
          </w:p>
        </w:tc>
        <w:tc>
          <w:tcPr>
            <w:tcW w:w="1351" w:type="dxa"/>
            <w:gridSpan w:val="2"/>
            <w:noWrap/>
            <w:vAlign w:val="center"/>
            <w:hideMark/>
          </w:tcPr>
          <w:p w:rsidR="00CD64F7" w:rsidRDefault="00CD64F7">
            <w:pPr>
              <w:jc w:val="right"/>
              <w:rPr>
                <w:rFonts w:ascii="SWISS" w:hAnsi="SWISS" w:cs="Arial"/>
                <w:bCs/>
                <w:color w:val="000000"/>
                <w:sz w:val="20"/>
                <w:szCs w:val="20"/>
                <w:u w:val="single"/>
              </w:rPr>
            </w:pPr>
            <w:r>
              <w:rPr>
                <w:rFonts w:ascii="SWISS" w:hAnsi="SWISS" w:cs="Arial"/>
                <w:bCs/>
                <w:color w:val="000000"/>
                <w:sz w:val="20"/>
                <w:szCs w:val="20"/>
                <w:u w:val="single"/>
              </w:rPr>
              <w:t xml:space="preserve">5,739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u w:val="single"/>
              </w:rPr>
            </w:pPr>
            <w:r>
              <w:rPr>
                <w:rFonts w:ascii="SWISS" w:hAnsi="SWISS" w:cs="Arial"/>
                <w:bCs/>
                <w:color w:val="000000"/>
                <w:sz w:val="20"/>
                <w:szCs w:val="20"/>
                <w:u w:val="single"/>
              </w:rPr>
              <w:t xml:space="preserve">4,458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rPr>
                <w:sz w:val="20"/>
                <w:szCs w:val="20"/>
              </w:rPr>
            </w:pPr>
          </w:p>
        </w:tc>
        <w:tc>
          <w:tcPr>
            <w:tcW w:w="1168" w:type="dxa"/>
            <w:gridSpan w:val="2"/>
            <w:noWrap/>
            <w:vAlign w:val="center"/>
            <w:hideMark/>
          </w:tcPr>
          <w:p w:rsidR="00CD64F7" w:rsidRDefault="00CD64F7">
            <w:pPr>
              <w:rPr>
                <w:sz w:val="20"/>
                <w:szCs w:val="20"/>
              </w:rPr>
            </w:pPr>
          </w:p>
        </w:tc>
        <w:tc>
          <w:tcPr>
            <w:tcW w:w="4865" w:type="dxa"/>
            <w:gridSpan w:val="3"/>
            <w:noWrap/>
            <w:vAlign w:val="center"/>
            <w:hideMark/>
          </w:tcPr>
          <w:p w:rsidR="00CD64F7" w:rsidRDefault="00CD64F7">
            <w:pPr>
              <w:rPr>
                <w:rFonts w:ascii="SWISS" w:hAnsi="SWISS" w:cs="Arial"/>
                <w:bCs/>
                <w:color w:val="000000"/>
                <w:sz w:val="20"/>
                <w:szCs w:val="20"/>
              </w:rPr>
            </w:pPr>
            <w:r>
              <w:rPr>
                <w:rFonts w:ascii="SWISS" w:hAnsi="SWISS" w:cs="Arial"/>
                <w:bCs/>
                <w:color w:val="000000"/>
                <w:sz w:val="20"/>
                <w:szCs w:val="20"/>
              </w:rPr>
              <w:t>TOTAL INCLUDING LAND</w:t>
            </w:r>
          </w:p>
        </w:tc>
        <w:tc>
          <w:tcPr>
            <w:tcW w:w="1351" w:type="dxa"/>
            <w:gridSpan w:val="2"/>
            <w:noWrap/>
            <w:vAlign w:val="center"/>
            <w:hideMark/>
          </w:tcPr>
          <w:p w:rsidR="00CD64F7" w:rsidRDefault="00CD64F7">
            <w:pPr>
              <w:jc w:val="right"/>
              <w:rPr>
                <w:rFonts w:ascii="SWISS" w:hAnsi="SWISS" w:cs="Arial"/>
                <w:bCs/>
                <w:color w:val="000000"/>
                <w:sz w:val="20"/>
                <w:szCs w:val="20"/>
                <w:u w:val="double"/>
              </w:rPr>
            </w:pPr>
            <w:r>
              <w:rPr>
                <w:rFonts w:ascii="SWISS" w:hAnsi="SWISS" w:cs="Arial"/>
                <w:bCs/>
                <w:color w:val="000000"/>
                <w:sz w:val="20"/>
                <w:szCs w:val="20"/>
                <w:u w:val="double"/>
              </w:rPr>
              <w:t xml:space="preserve">$257,509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u w:val="double"/>
              </w:rPr>
            </w:pPr>
            <w:r>
              <w:rPr>
                <w:rFonts w:ascii="SWISS" w:hAnsi="SWISS" w:cs="Arial"/>
                <w:bCs/>
                <w:color w:val="000000"/>
                <w:sz w:val="20"/>
                <w:szCs w:val="20"/>
                <w:u w:val="double"/>
              </w:rPr>
              <w:t xml:space="preserve">$201,496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rPr>
                <w:sz w:val="20"/>
                <w:szCs w:val="20"/>
              </w:rPr>
            </w:pPr>
          </w:p>
        </w:tc>
        <w:tc>
          <w:tcPr>
            <w:tcW w:w="1168" w:type="dxa"/>
            <w:gridSpan w:val="2"/>
            <w:noWrap/>
            <w:vAlign w:val="center"/>
            <w:hideMark/>
          </w:tcPr>
          <w:p w:rsidR="00CD64F7" w:rsidRDefault="00CD64F7">
            <w:pPr>
              <w:rPr>
                <w:sz w:val="20"/>
                <w:szCs w:val="20"/>
              </w:rPr>
            </w:pPr>
          </w:p>
        </w:tc>
        <w:tc>
          <w:tcPr>
            <w:tcW w:w="4865" w:type="dxa"/>
            <w:gridSpan w:val="3"/>
            <w:noWrap/>
            <w:vAlign w:val="bottom"/>
            <w:hideMark/>
          </w:tcPr>
          <w:p w:rsidR="00CD64F7" w:rsidRDefault="00CD64F7">
            <w:pPr>
              <w:rPr>
                <w:sz w:val="20"/>
                <w:szCs w:val="20"/>
              </w:rPr>
            </w:pPr>
          </w:p>
        </w:tc>
        <w:tc>
          <w:tcPr>
            <w:tcW w:w="1351" w:type="dxa"/>
            <w:gridSpan w:val="2"/>
            <w:noWrap/>
            <w:vAlign w:val="bottom"/>
            <w:hideMark/>
          </w:tcPr>
          <w:p w:rsidR="00CD64F7" w:rsidRDefault="00CD64F7">
            <w:pPr>
              <w:rPr>
                <w:sz w:val="20"/>
                <w:szCs w:val="20"/>
              </w:rPr>
            </w:pP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w:t>
            </w:r>
          </w:p>
        </w:tc>
      </w:tr>
      <w:tr w:rsidR="00CD64F7" w:rsidTr="00D70F8E">
        <w:trPr>
          <w:trHeight w:val="864"/>
        </w:trPr>
        <w:tc>
          <w:tcPr>
            <w:tcW w:w="817" w:type="dxa"/>
            <w:tcBorders>
              <w:top w:val="nil"/>
              <w:left w:val="single" w:sz="8" w:space="0" w:color="auto"/>
              <w:bottom w:val="nil"/>
              <w:right w:val="nil"/>
            </w:tcBorders>
            <w:noWrap/>
            <w:vAlign w:val="center"/>
            <w:hideMark/>
          </w:tcPr>
          <w:p w:rsidR="00CD64F7" w:rsidRDefault="00CD64F7">
            <w:pPr>
              <w:rPr>
                <w:sz w:val="20"/>
                <w:szCs w:val="20"/>
              </w:rPr>
            </w:pPr>
          </w:p>
        </w:tc>
        <w:tc>
          <w:tcPr>
            <w:tcW w:w="1168" w:type="dxa"/>
            <w:gridSpan w:val="2"/>
            <w:noWrap/>
            <w:vAlign w:val="center"/>
            <w:hideMark/>
          </w:tcPr>
          <w:p w:rsidR="00CD64F7" w:rsidRDefault="00CD64F7">
            <w:pPr>
              <w:rPr>
                <w:sz w:val="20"/>
                <w:szCs w:val="20"/>
              </w:rPr>
            </w:pPr>
          </w:p>
        </w:tc>
        <w:tc>
          <w:tcPr>
            <w:tcW w:w="4865" w:type="dxa"/>
            <w:gridSpan w:val="3"/>
            <w:noWrap/>
            <w:vAlign w:val="center"/>
            <w:hideMark/>
          </w:tcPr>
          <w:p w:rsidR="00CD64F7" w:rsidRDefault="00CD64F7">
            <w:pPr>
              <w:rPr>
                <w:sz w:val="20"/>
                <w:szCs w:val="20"/>
              </w:rPr>
            </w:pPr>
          </w:p>
        </w:tc>
        <w:tc>
          <w:tcPr>
            <w:tcW w:w="1351" w:type="dxa"/>
            <w:gridSpan w:val="2"/>
            <w:tcBorders>
              <w:top w:val="nil"/>
              <w:left w:val="nil"/>
              <w:bottom w:val="single" w:sz="8" w:space="0" w:color="auto"/>
              <w:right w:val="nil"/>
            </w:tcBorders>
            <w:vAlign w:val="bottom"/>
            <w:hideMark/>
          </w:tcPr>
          <w:p w:rsidR="00CD64F7" w:rsidRDefault="00CD64F7">
            <w:pPr>
              <w:jc w:val="center"/>
              <w:rPr>
                <w:rFonts w:ascii="SWISS" w:hAnsi="SWISS" w:cs="Arial"/>
                <w:b/>
                <w:bCs/>
                <w:color w:val="000000"/>
                <w:sz w:val="20"/>
                <w:szCs w:val="20"/>
              </w:rPr>
            </w:pPr>
            <w:r>
              <w:rPr>
                <w:rFonts w:ascii="SWISS" w:hAnsi="SWISS" w:cs="Arial"/>
                <w:b/>
                <w:bCs/>
                <w:color w:val="000000"/>
                <w:sz w:val="20"/>
                <w:szCs w:val="20"/>
              </w:rPr>
              <w:t>CIAC</w:t>
            </w:r>
          </w:p>
          <w:p w:rsidR="00CD64F7" w:rsidRDefault="00CD64F7">
            <w:pPr>
              <w:jc w:val="center"/>
              <w:rPr>
                <w:rFonts w:ascii="SWISS" w:hAnsi="SWISS" w:cs="Arial"/>
                <w:b/>
                <w:bCs/>
                <w:color w:val="000000"/>
                <w:sz w:val="20"/>
                <w:szCs w:val="20"/>
              </w:rPr>
            </w:pPr>
            <w:r>
              <w:rPr>
                <w:rFonts w:ascii="SWISS" w:hAnsi="SWISS" w:cs="Arial"/>
                <w:b/>
                <w:bCs/>
                <w:color w:val="000000"/>
                <w:sz w:val="20"/>
                <w:szCs w:val="20"/>
              </w:rPr>
              <w:t xml:space="preserve"> AMORT.</w:t>
            </w:r>
          </w:p>
          <w:p w:rsidR="00CD64F7" w:rsidRDefault="00CD64F7">
            <w:pPr>
              <w:jc w:val="center"/>
              <w:rPr>
                <w:rFonts w:ascii="SWISS" w:hAnsi="SWISS" w:cs="Arial"/>
                <w:b/>
                <w:bCs/>
                <w:color w:val="000000"/>
                <w:sz w:val="20"/>
                <w:szCs w:val="20"/>
              </w:rPr>
            </w:pPr>
            <w:r>
              <w:rPr>
                <w:rFonts w:ascii="SWISS" w:hAnsi="SWISS" w:cs="Arial"/>
                <w:b/>
                <w:bCs/>
                <w:color w:val="000000"/>
                <w:sz w:val="20"/>
                <w:szCs w:val="20"/>
              </w:rPr>
              <w:t>7/31/2015 (DEBIT)*</w:t>
            </w:r>
          </w:p>
        </w:tc>
        <w:tc>
          <w:tcPr>
            <w:tcW w:w="1279" w:type="dxa"/>
            <w:tcBorders>
              <w:top w:val="nil"/>
              <w:left w:val="nil"/>
              <w:bottom w:val="single" w:sz="8" w:space="0" w:color="auto"/>
              <w:right w:val="single" w:sz="8" w:space="0" w:color="auto"/>
            </w:tcBorders>
            <w:vAlign w:val="bottom"/>
            <w:hideMark/>
          </w:tcPr>
          <w:p w:rsidR="00CD64F7" w:rsidRDefault="00CD64F7">
            <w:pPr>
              <w:jc w:val="center"/>
              <w:rPr>
                <w:rFonts w:ascii="SWISS" w:hAnsi="SWISS" w:cs="Arial"/>
                <w:b/>
                <w:bCs/>
                <w:color w:val="000000"/>
                <w:sz w:val="20"/>
                <w:szCs w:val="20"/>
              </w:rPr>
            </w:pPr>
            <w:r>
              <w:rPr>
                <w:rFonts w:ascii="SWISS" w:hAnsi="SWISS" w:cs="Arial"/>
                <w:b/>
                <w:bCs/>
                <w:color w:val="000000"/>
                <w:sz w:val="20"/>
                <w:szCs w:val="20"/>
              </w:rPr>
              <w:t>CIAC</w:t>
            </w:r>
          </w:p>
          <w:p w:rsidR="00CD64F7" w:rsidRDefault="00CD64F7">
            <w:pPr>
              <w:jc w:val="center"/>
              <w:rPr>
                <w:rFonts w:ascii="SWISS" w:hAnsi="SWISS" w:cs="Arial"/>
                <w:b/>
                <w:bCs/>
                <w:color w:val="000000"/>
                <w:sz w:val="20"/>
                <w:szCs w:val="20"/>
              </w:rPr>
            </w:pPr>
            <w:r>
              <w:rPr>
                <w:rFonts w:ascii="SWISS" w:hAnsi="SWISS" w:cs="Arial"/>
                <w:b/>
                <w:bCs/>
                <w:color w:val="000000"/>
                <w:sz w:val="20"/>
                <w:szCs w:val="20"/>
              </w:rPr>
              <w:t xml:space="preserve"> 7/31/2015 (CREDIT)</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rPr>
                <w:sz w:val="20"/>
                <w:szCs w:val="20"/>
              </w:rPr>
            </w:pPr>
          </w:p>
        </w:tc>
        <w:tc>
          <w:tcPr>
            <w:tcW w:w="1168" w:type="dxa"/>
            <w:gridSpan w:val="2"/>
            <w:noWrap/>
            <w:vAlign w:val="center"/>
            <w:hideMark/>
          </w:tcPr>
          <w:p w:rsidR="00CD64F7" w:rsidRDefault="00CD64F7">
            <w:pPr>
              <w:rPr>
                <w:sz w:val="20"/>
                <w:szCs w:val="20"/>
              </w:rPr>
            </w:pPr>
          </w:p>
        </w:tc>
        <w:tc>
          <w:tcPr>
            <w:tcW w:w="4865" w:type="dxa"/>
            <w:gridSpan w:val="3"/>
            <w:noWrap/>
            <w:vAlign w:val="center"/>
            <w:hideMark/>
          </w:tcPr>
          <w:p w:rsidR="00CD64F7" w:rsidRDefault="00CD64F7">
            <w:pPr>
              <w:rPr>
                <w:sz w:val="20"/>
                <w:szCs w:val="20"/>
              </w:rPr>
            </w:pPr>
          </w:p>
        </w:tc>
        <w:tc>
          <w:tcPr>
            <w:tcW w:w="1351" w:type="dxa"/>
            <w:gridSpan w:val="2"/>
            <w:tcBorders>
              <w:top w:val="single" w:sz="8" w:space="0" w:color="auto"/>
              <w:left w:val="nil"/>
              <w:bottom w:val="nil"/>
              <w:right w:val="nil"/>
            </w:tcBorders>
            <w:noWrap/>
            <w:vAlign w:val="center"/>
            <w:hideMark/>
          </w:tcPr>
          <w:p w:rsidR="00CD64F7" w:rsidRDefault="00CD64F7">
            <w:pPr>
              <w:rPr>
                <w:sz w:val="20"/>
                <w:szCs w:val="20"/>
              </w:rPr>
            </w:pPr>
          </w:p>
        </w:tc>
        <w:tc>
          <w:tcPr>
            <w:tcW w:w="1279" w:type="dxa"/>
            <w:tcBorders>
              <w:top w:val="single" w:sz="8" w:space="0" w:color="auto"/>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rPr>
                <w:sz w:val="20"/>
                <w:szCs w:val="20"/>
              </w:rPr>
            </w:pPr>
          </w:p>
        </w:tc>
        <w:tc>
          <w:tcPr>
            <w:tcW w:w="1168" w:type="dxa"/>
            <w:gridSpan w:val="2"/>
            <w:noWrap/>
            <w:vAlign w:val="center"/>
            <w:hideMark/>
          </w:tcPr>
          <w:p w:rsidR="00CD64F7" w:rsidRDefault="00CD64F7">
            <w:pPr>
              <w:rPr>
                <w:sz w:val="20"/>
                <w:szCs w:val="20"/>
              </w:rPr>
            </w:pPr>
          </w:p>
        </w:tc>
        <w:tc>
          <w:tcPr>
            <w:tcW w:w="4865" w:type="dxa"/>
            <w:gridSpan w:val="3"/>
            <w:noWrap/>
            <w:vAlign w:val="center"/>
            <w:hideMark/>
          </w:tcPr>
          <w:p w:rsidR="00CD64F7" w:rsidRDefault="00CD64F7">
            <w:pPr>
              <w:rPr>
                <w:sz w:val="20"/>
                <w:szCs w:val="20"/>
              </w:rPr>
            </w:pPr>
          </w:p>
        </w:tc>
        <w:tc>
          <w:tcPr>
            <w:tcW w:w="1351" w:type="dxa"/>
            <w:gridSpan w:val="2"/>
            <w:noWrap/>
            <w:vAlign w:val="center"/>
            <w:hideMark/>
          </w:tcPr>
          <w:p w:rsidR="00CD64F7" w:rsidRDefault="00CD64F7">
            <w:pPr>
              <w:jc w:val="right"/>
              <w:rPr>
                <w:rFonts w:ascii="SWISS" w:hAnsi="SWISS" w:cs="Arial"/>
                <w:bCs/>
                <w:color w:val="000000"/>
                <w:sz w:val="20"/>
                <w:szCs w:val="20"/>
                <w:u w:val="double"/>
              </w:rPr>
            </w:pPr>
            <w:r>
              <w:rPr>
                <w:rFonts w:ascii="SWISS" w:hAnsi="SWISS" w:cs="Arial"/>
                <w:bCs/>
                <w:color w:val="000000"/>
                <w:sz w:val="20"/>
                <w:szCs w:val="20"/>
                <w:u w:val="double"/>
              </w:rPr>
              <w:t xml:space="preserve">$15,143 </w:t>
            </w: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u w:val="double"/>
              </w:rPr>
            </w:pPr>
            <w:r>
              <w:rPr>
                <w:rFonts w:ascii="SWISS" w:hAnsi="SWISS" w:cs="Arial"/>
                <w:bCs/>
                <w:color w:val="000000"/>
                <w:sz w:val="20"/>
                <w:szCs w:val="20"/>
                <w:u w:val="double"/>
              </w:rPr>
              <w:t xml:space="preserve">$29,750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rPr>
                <w:sz w:val="20"/>
                <w:szCs w:val="20"/>
              </w:rPr>
            </w:pPr>
          </w:p>
        </w:tc>
        <w:tc>
          <w:tcPr>
            <w:tcW w:w="1168" w:type="dxa"/>
            <w:gridSpan w:val="2"/>
            <w:noWrap/>
            <w:vAlign w:val="center"/>
            <w:hideMark/>
          </w:tcPr>
          <w:p w:rsidR="00CD64F7" w:rsidRDefault="00CD64F7">
            <w:pPr>
              <w:rPr>
                <w:sz w:val="20"/>
                <w:szCs w:val="20"/>
              </w:rPr>
            </w:pPr>
          </w:p>
        </w:tc>
        <w:tc>
          <w:tcPr>
            <w:tcW w:w="4865" w:type="dxa"/>
            <w:gridSpan w:val="3"/>
            <w:noWrap/>
            <w:vAlign w:val="center"/>
            <w:hideMark/>
          </w:tcPr>
          <w:p w:rsidR="00CD64F7" w:rsidRDefault="00CD64F7">
            <w:pPr>
              <w:rPr>
                <w:sz w:val="20"/>
                <w:szCs w:val="20"/>
              </w:rPr>
            </w:pPr>
          </w:p>
        </w:tc>
        <w:tc>
          <w:tcPr>
            <w:tcW w:w="1351" w:type="dxa"/>
            <w:gridSpan w:val="2"/>
            <w:noWrap/>
            <w:vAlign w:val="center"/>
            <w:hideMark/>
          </w:tcPr>
          <w:p w:rsidR="00CD64F7" w:rsidRDefault="00CD64F7">
            <w:pPr>
              <w:rPr>
                <w:sz w:val="20"/>
                <w:szCs w:val="20"/>
              </w:rPr>
            </w:pP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w:t>
            </w:r>
          </w:p>
        </w:tc>
      </w:tr>
      <w:tr w:rsidR="00CD64F7" w:rsidTr="00D70F8E">
        <w:trPr>
          <w:trHeight w:val="312"/>
        </w:trPr>
        <w:tc>
          <w:tcPr>
            <w:tcW w:w="817" w:type="dxa"/>
            <w:tcBorders>
              <w:top w:val="nil"/>
              <w:left w:val="single" w:sz="8" w:space="0" w:color="auto"/>
              <w:bottom w:val="nil"/>
              <w:right w:val="nil"/>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w:t>
            </w:r>
          </w:p>
        </w:tc>
        <w:tc>
          <w:tcPr>
            <w:tcW w:w="1168" w:type="dxa"/>
            <w:gridSpan w:val="2"/>
            <w:noWrap/>
            <w:vAlign w:val="center"/>
            <w:hideMark/>
          </w:tcPr>
          <w:p w:rsidR="00CD64F7" w:rsidRDefault="00CD64F7">
            <w:pPr>
              <w:rPr>
                <w:sz w:val="20"/>
                <w:szCs w:val="20"/>
              </w:rPr>
            </w:pPr>
          </w:p>
        </w:tc>
        <w:tc>
          <w:tcPr>
            <w:tcW w:w="4865" w:type="dxa"/>
            <w:gridSpan w:val="3"/>
            <w:noWrap/>
            <w:vAlign w:val="center"/>
            <w:hideMark/>
          </w:tcPr>
          <w:p w:rsidR="00CD64F7" w:rsidRDefault="00CD64F7">
            <w:pPr>
              <w:rPr>
                <w:sz w:val="20"/>
                <w:szCs w:val="20"/>
              </w:rPr>
            </w:pPr>
          </w:p>
        </w:tc>
        <w:tc>
          <w:tcPr>
            <w:tcW w:w="1351" w:type="dxa"/>
            <w:gridSpan w:val="2"/>
            <w:noWrap/>
            <w:vAlign w:val="center"/>
            <w:hideMark/>
          </w:tcPr>
          <w:p w:rsidR="00CD64F7" w:rsidRDefault="00CD64F7">
            <w:pPr>
              <w:rPr>
                <w:sz w:val="20"/>
                <w:szCs w:val="20"/>
              </w:rPr>
            </w:pPr>
          </w:p>
        </w:tc>
        <w:tc>
          <w:tcPr>
            <w:tcW w:w="1279" w:type="dxa"/>
            <w:tcBorders>
              <w:top w:val="nil"/>
              <w:left w:val="nil"/>
              <w:bottom w:val="nil"/>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w:t>
            </w:r>
          </w:p>
        </w:tc>
      </w:tr>
      <w:tr w:rsidR="00CD64F7" w:rsidTr="00D70F8E">
        <w:trPr>
          <w:trHeight w:val="531"/>
        </w:trPr>
        <w:tc>
          <w:tcPr>
            <w:tcW w:w="9480" w:type="dxa"/>
            <w:gridSpan w:val="9"/>
            <w:tcBorders>
              <w:top w:val="nil"/>
              <w:left w:val="single" w:sz="8" w:space="0" w:color="auto"/>
              <w:bottom w:val="nil"/>
              <w:right w:val="single" w:sz="8" w:space="0" w:color="auto"/>
            </w:tcBorders>
            <w:vAlign w:val="bottom"/>
            <w:hideMark/>
          </w:tcPr>
          <w:p w:rsidR="00CD64F7" w:rsidRDefault="00CD64F7">
            <w:pPr>
              <w:jc w:val="both"/>
              <w:rPr>
                <w:rFonts w:ascii="SWISS" w:hAnsi="SWISS" w:cs="Arial"/>
                <w:bCs/>
                <w:color w:val="000000"/>
                <w:sz w:val="20"/>
                <w:szCs w:val="20"/>
              </w:rPr>
            </w:pPr>
            <w:r>
              <w:rPr>
                <w:rFonts w:ascii="SWISS" w:hAnsi="SWISS" w:cs="Arial"/>
                <w:bCs/>
                <w:color w:val="000000"/>
                <w:sz w:val="20"/>
                <w:szCs w:val="20"/>
              </w:rPr>
              <w:t>* The plant and accumulated depreciation balances exclude the pro forma flow meter replacement. Also, the accumulated depreciation and accumulated amortization of CIAC balances exclude the staff-recommended averaging adjustments that are used only for rate setting purposes and should not be reflected on the Utility’s books.</w:t>
            </w:r>
          </w:p>
        </w:tc>
      </w:tr>
      <w:tr w:rsidR="00CD64F7" w:rsidTr="00D70F8E">
        <w:trPr>
          <w:trHeight w:val="312"/>
        </w:trPr>
        <w:tc>
          <w:tcPr>
            <w:tcW w:w="1380" w:type="dxa"/>
            <w:gridSpan w:val="2"/>
            <w:tcBorders>
              <w:top w:val="nil"/>
              <w:left w:val="single" w:sz="8" w:space="0" w:color="auto"/>
              <w:bottom w:val="single" w:sz="8" w:space="0" w:color="auto"/>
              <w:right w:val="nil"/>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w:t>
            </w:r>
          </w:p>
        </w:tc>
        <w:tc>
          <w:tcPr>
            <w:tcW w:w="1068" w:type="dxa"/>
            <w:gridSpan w:val="2"/>
            <w:tcBorders>
              <w:top w:val="nil"/>
              <w:left w:val="nil"/>
              <w:bottom w:val="single" w:sz="8" w:space="0" w:color="auto"/>
              <w:right w:val="nil"/>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w:t>
            </w:r>
          </w:p>
        </w:tc>
        <w:tc>
          <w:tcPr>
            <w:tcW w:w="3065" w:type="dxa"/>
            <w:tcBorders>
              <w:top w:val="nil"/>
              <w:left w:val="nil"/>
              <w:bottom w:val="single" w:sz="8" w:space="0" w:color="auto"/>
              <w:right w:val="nil"/>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w:t>
            </w:r>
          </w:p>
        </w:tc>
        <w:tc>
          <w:tcPr>
            <w:tcW w:w="1775" w:type="dxa"/>
            <w:gridSpan w:val="2"/>
            <w:tcBorders>
              <w:top w:val="nil"/>
              <w:left w:val="nil"/>
              <w:bottom w:val="single" w:sz="8" w:space="0" w:color="auto"/>
              <w:right w:val="nil"/>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w:t>
            </w:r>
          </w:p>
        </w:tc>
        <w:tc>
          <w:tcPr>
            <w:tcW w:w="2192" w:type="dxa"/>
            <w:gridSpan w:val="2"/>
            <w:tcBorders>
              <w:top w:val="nil"/>
              <w:left w:val="nil"/>
              <w:bottom w:val="single" w:sz="8" w:space="0" w:color="auto"/>
              <w:right w:val="single" w:sz="8" w:space="0" w:color="auto"/>
            </w:tcBorders>
            <w:noWrap/>
            <w:vAlign w:val="center"/>
            <w:hideMark/>
          </w:tcPr>
          <w:p w:rsidR="00CD64F7" w:rsidRDefault="00CD64F7">
            <w:pPr>
              <w:jc w:val="right"/>
              <w:rPr>
                <w:rFonts w:ascii="SWISS" w:hAnsi="SWISS" w:cs="Arial"/>
                <w:bCs/>
                <w:color w:val="000000"/>
                <w:sz w:val="20"/>
                <w:szCs w:val="20"/>
              </w:rPr>
            </w:pPr>
            <w:r>
              <w:rPr>
                <w:rFonts w:ascii="SWISS" w:hAnsi="SWISS" w:cs="Arial"/>
                <w:bCs/>
                <w:color w:val="000000"/>
                <w:sz w:val="20"/>
                <w:szCs w:val="20"/>
              </w:rPr>
              <w:t> </w:t>
            </w:r>
          </w:p>
        </w:tc>
      </w:tr>
    </w:tbl>
    <w:p w:rsidR="00C37D97" w:rsidRPr="00C37D97" w:rsidRDefault="00C37D97" w:rsidP="00CD64F7"/>
    <w:sectPr w:rsidR="00C37D97" w:rsidRPr="00C37D97" w:rsidSect="0068481F">
      <w:headerReference w:type="default" r:id="rId2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B9" w:rsidRDefault="008900B9">
      <w:r>
        <w:separator/>
      </w:r>
    </w:p>
  </w:endnote>
  <w:endnote w:type="continuationSeparator" w:id="0">
    <w:p w:rsidR="008900B9" w:rsidRDefault="0089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WIS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FD5A60">
    <w:pPr>
      <w:pStyle w:val="Footer"/>
      <w:tabs>
        <w:tab w:val="left" w:pos="4350"/>
        <w:tab w:val="center" w:pos="4680"/>
      </w:tabs>
    </w:pPr>
    <w:r>
      <w:tab/>
    </w:r>
    <w:r>
      <w:tab/>
      <w:t>-</w:t>
    </w:r>
    <w:sdt>
      <w:sdtPr>
        <w:id w:val="14399578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w:t>
        </w:r>
        <w:r>
          <w:rPr>
            <w:noProof/>
          </w:rPr>
          <w:fldChar w:fldCharType="end"/>
        </w:r>
        <w:r>
          <w:rPr>
            <w:noProof/>
          </w:rPr>
          <w:t>-</w:t>
        </w:r>
      </w:sdtContent>
    </w:sdt>
  </w:p>
  <w:p w:rsidR="008900B9" w:rsidRDefault="008900B9">
    <w:pPr>
      <w:pStyle w:val="Footer"/>
      <w:tabs>
        <w:tab w:val="clear" w:pos="4320"/>
        <w:tab w:val="clear" w:pos="8640"/>
        <w:tab w:val="center" w:pos="4674"/>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51357"/>
      <w:docPartObj>
        <w:docPartGallery w:val="Page Numbers (Bottom of Page)"/>
        <w:docPartUnique/>
      </w:docPartObj>
    </w:sdtPr>
    <w:sdtEndPr>
      <w:rPr>
        <w:noProof/>
      </w:rPr>
    </w:sdtEndPr>
    <w:sdtContent>
      <w:p w:rsidR="008900B9" w:rsidRDefault="005251FA">
        <w:pPr>
          <w:pStyle w:val="Footer"/>
          <w:jc w:val="center"/>
        </w:pPr>
      </w:p>
    </w:sdtContent>
  </w:sdt>
  <w:p w:rsidR="008900B9" w:rsidRDefault="008900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FD5A60">
    <w:pPr>
      <w:pStyle w:val="Footer"/>
      <w:tabs>
        <w:tab w:val="left" w:pos="4350"/>
        <w:tab w:val="center" w:pos="4680"/>
      </w:tabs>
    </w:pPr>
    <w:r>
      <w:tab/>
    </w:r>
    <w:r>
      <w:tab/>
      <w:t>-</w:t>
    </w:r>
    <w:sdt>
      <w:sdtPr>
        <w:id w:val="16463978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4813">
          <w:rPr>
            <w:noProof/>
          </w:rPr>
          <w:t>i</w:t>
        </w:r>
        <w:r>
          <w:rPr>
            <w:noProof/>
          </w:rPr>
          <w:fldChar w:fldCharType="end"/>
        </w:r>
        <w:r>
          <w:rPr>
            <w:noProof/>
          </w:rPr>
          <w:t>-</w:t>
        </w:r>
      </w:sdtContent>
    </w:sdt>
  </w:p>
  <w:p w:rsidR="008900B9" w:rsidRDefault="008900B9">
    <w:pPr>
      <w:pStyle w:val="Footer"/>
      <w:tabs>
        <w:tab w:val="clear" w:pos="4320"/>
        <w:tab w:val="clear" w:pos="8640"/>
        <w:tab w:val="center" w:pos="4674"/>
        <w:tab w:val="righ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0B4537">
    <w:pPr>
      <w:pStyle w:val="Footer"/>
      <w:tabs>
        <w:tab w:val="clear" w:pos="4320"/>
        <w:tab w:val="clear" w:pos="8640"/>
        <w:tab w:val="left" w:pos="3747"/>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1A5AEE">
    <w:pPr>
      <w:pStyle w:val="Footer"/>
      <w:tabs>
        <w:tab w:val="left" w:pos="4350"/>
        <w:tab w:val="center" w:pos="4680"/>
      </w:tabs>
      <w:jc w:val="center"/>
    </w:pPr>
    <w:r>
      <w:t>-</w:t>
    </w:r>
    <w:sdt>
      <w:sdtPr>
        <w:id w:val="16731443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4813">
          <w:rPr>
            <w:noProof/>
          </w:rPr>
          <w:t>33</w:t>
        </w:r>
        <w:r>
          <w:rPr>
            <w:noProof/>
          </w:rPr>
          <w:fldChar w:fldCharType="end"/>
        </w:r>
        <w:r>
          <w:rPr>
            <w:noProof/>
          </w:rPr>
          <w:t>-</w:t>
        </w:r>
      </w:sdtContent>
    </w:sdt>
  </w:p>
  <w:p w:rsidR="008900B9" w:rsidRDefault="008900B9">
    <w:pPr>
      <w:pStyle w:val="Footer"/>
      <w:tabs>
        <w:tab w:val="clear" w:pos="4320"/>
        <w:tab w:val="clear" w:pos="8640"/>
        <w:tab w:val="center" w:pos="4674"/>
        <w:tab w:val="right" w:pos="93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0B4537">
    <w:pPr>
      <w:pStyle w:val="Footer"/>
      <w:tabs>
        <w:tab w:val="clear" w:pos="4320"/>
        <w:tab w:val="clear" w:pos="8640"/>
        <w:tab w:val="left" w:pos="3747"/>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B9" w:rsidRDefault="008900B9">
      <w:r>
        <w:separator/>
      </w:r>
    </w:p>
  </w:footnote>
  <w:footnote w:type="continuationSeparator" w:id="0">
    <w:p w:rsidR="008900B9" w:rsidRDefault="008900B9">
      <w:r>
        <w:continuationSeparator/>
      </w:r>
    </w:p>
  </w:footnote>
  <w:footnote w:id="1">
    <w:p w:rsidR="008900B9" w:rsidRDefault="008900B9" w:rsidP="00443FEC">
      <w:pPr>
        <w:pStyle w:val="FootnoteText"/>
        <w:rPr>
          <w:i/>
        </w:rPr>
      </w:pPr>
      <w:r>
        <w:rPr>
          <w:rStyle w:val="FootnoteReference"/>
        </w:rPr>
        <w:footnoteRef/>
      </w:r>
      <w:r>
        <w:t xml:space="preserve">Order No. 18131, issued September 8, 1987, in Docket No. 870796-WU, </w:t>
      </w:r>
      <w:r>
        <w:rPr>
          <w:i/>
        </w:rPr>
        <w:t>In re: Petition of Raintree Harbor Phase 1 for determination of exempt status of a water facility in Lake County.</w:t>
      </w:r>
    </w:p>
  </w:footnote>
  <w:footnote w:id="2">
    <w:p w:rsidR="008900B9" w:rsidRDefault="008900B9" w:rsidP="00443FEC">
      <w:pPr>
        <w:pStyle w:val="FootnoteText"/>
      </w:pPr>
      <w:r>
        <w:rPr>
          <w:rStyle w:val="FootnoteReference"/>
        </w:rPr>
        <w:footnoteRef/>
      </w:r>
      <w:r>
        <w:t xml:space="preserve">Order No. PSC-92-0019-FOF-WU, issued March 10, 1992, in Docket No. 911039-WU, </w:t>
      </w:r>
      <w:r>
        <w:rPr>
          <w:i/>
        </w:rPr>
        <w:t>In re: Application of Raintree Utilities, Inc. for a water certificate in Lake County, Florida.</w:t>
      </w:r>
    </w:p>
  </w:footnote>
  <w:footnote w:id="3">
    <w:p w:rsidR="008900B9" w:rsidRDefault="008900B9" w:rsidP="00443FEC">
      <w:pPr>
        <w:pStyle w:val="FootnoteText"/>
        <w:rPr>
          <w:rFonts w:ascii="Calibri" w:hAnsi="Calibri"/>
        </w:rPr>
      </w:pPr>
      <w:r>
        <w:rPr>
          <w:rStyle w:val="FootnoteReference"/>
        </w:rPr>
        <w:footnoteRef/>
      </w:r>
      <w:r>
        <w:t xml:space="preserve">Order No. PSC-08-0483-PAA-WU, issued July 25, 2008, in Docket No. 070627-WU, </w:t>
      </w:r>
      <w:r>
        <w:rPr>
          <w:i/>
        </w:rPr>
        <w:t>In re: Application for staff-assisted rate case in Lake County by Raintree Utilities, Inc.</w:t>
      </w:r>
    </w:p>
  </w:footnote>
  <w:footnote w:id="4">
    <w:p w:rsidR="008900B9" w:rsidRDefault="008900B9" w:rsidP="00443FEC">
      <w:pPr>
        <w:pStyle w:val="FootnoteText"/>
      </w:pPr>
      <w:r>
        <w:rPr>
          <w:rStyle w:val="FootnoteReference"/>
        </w:rPr>
        <w:footnoteRef/>
      </w:r>
      <w:r>
        <w:t xml:space="preserve">Order No. PSC-12-0260-PAA-WU, issued May 29, 2012, in Docket No. 110302-WU, </w:t>
      </w:r>
      <w:r>
        <w:rPr>
          <w:i/>
        </w:rPr>
        <w:t>In re: Application by Raintree Utilities, Inc. in Lake County for the transfer of the Bentwood water facilities to the Bentwood Homeowners Association, Inc., and the transfer of the Raintree Harbor water facilities and Certificate No. 539-W to Raintree Harbor Utilities, LLC.</w:t>
      </w:r>
    </w:p>
  </w:footnote>
  <w:footnote w:id="5">
    <w:p w:rsidR="008900B9" w:rsidRDefault="008900B9" w:rsidP="00443FEC">
      <w:pPr>
        <w:pStyle w:val="FootnoteText"/>
      </w:pPr>
      <w:r>
        <w:rPr>
          <w:rStyle w:val="FootnoteReference"/>
        </w:rPr>
        <w:footnoteRef/>
      </w:r>
      <w:r>
        <w:t>Order No. PSC-14-0692-PAA-WU, issued December 15, 2014, in Docket No. 140121-WU,</w:t>
      </w:r>
      <w:r>
        <w:rPr>
          <w:i/>
        </w:rPr>
        <w:t xml:space="preserve"> In re: Application for approval of transfer of Certificate No. 539-W from Raintree Harbor Utilities, LLC to Raintree Waterworks, Inc. in Lake County.</w:t>
      </w:r>
    </w:p>
  </w:footnote>
  <w:footnote w:id="6">
    <w:p w:rsidR="008900B9" w:rsidRDefault="008900B9" w:rsidP="00443FEC">
      <w:pPr>
        <w:pStyle w:val="FootnoteText"/>
      </w:pPr>
      <w:r>
        <w:rPr>
          <w:rStyle w:val="FootnoteReference"/>
        </w:rPr>
        <w:footnoteRef/>
      </w:r>
      <w:r>
        <w:t>Raintree Waterworks, Inc. 2015 Annual Report filed March 8, 2016, with the Commission.</w:t>
      </w:r>
    </w:p>
    <w:p w:rsidR="008900B9" w:rsidRPr="00534564" w:rsidRDefault="005251FA" w:rsidP="00443FEC">
      <w:pPr>
        <w:pStyle w:val="FootnoteText"/>
      </w:pPr>
      <w:hyperlink r:id="rId1" w:history="1">
        <w:r w:rsidR="008900B9" w:rsidRPr="00945BC4">
          <w:rPr>
            <w:rStyle w:val="Hyperlink"/>
          </w:rPr>
          <w:t>http://www.floridapsc.com/library/financials/WU969-DOCS/ANNUAL-REPORTS/WU969-15-AR.PDF</w:t>
        </w:r>
      </w:hyperlink>
    </w:p>
  </w:footnote>
  <w:footnote w:id="7">
    <w:p w:rsidR="008900B9" w:rsidRDefault="008900B9">
      <w:pPr>
        <w:pStyle w:val="FootnoteText"/>
      </w:pPr>
      <w:r>
        <w:rPr>
          <w:rStyle w:val="FootnoteReference"/>
        </w:rPr>
        <w:footnoteRef/>
      </w:r>
      <w:r>
        <w:t xml:space="preserve">Order No. </w:t>
      </w:r>
      <w:r w:rsidRPr="00F61F80">
        <w:t>PSC-93-0455-NOR-WS</w:t>
      </w:r>
      <w:r>
        <w:t xml:space="preserve">, issued on March 24, 1993, in Docket No. 911082-WS, </w:t>
      </w:r>
      <w:r w:rsidRPr="00CC7C59">
        <w:rPr>
          <w:i/>
        </w:rPr>
        <w:t>In re: Proposed revisions to Rules 25-22.0406, 25-30.020, 25-30.025, 25-30.030, 25-30.032 through 25-30.037, 25-30.060, 25-30.110, 25-30.111, 25-30.135, 25-30.255, 25-30.320, 25-30.335, 25-30.360, 25-30.430, 25-30.436, 25-30.437, 25-30.443, 25-30.455, 25-30.515, 25-30.565; adoption of Rules 25-22.0407, 25-22.0408, 25-22.0371, 25-30.038, 25-30.039, 25-30.090, 25-30.117, 25-30.432 through 25-30.435, 25-30.4385, 25-30.4415, 25-30.456, 25-30.460, 25-30.465, 25-30.470, 25-30.475; and repeal of Rule 25-30.441, F.A.C., pertaining to water and wastewater regulation</w:t>
      </w:r>
      <w:r>
        <w:t>, at p. 102</w:t>
      </w:r>
      <w:r w:rsidRPr="00F61F80">
        <w:t>.</w:t>
      </w:r>
    </w:p>
  </w:footnote>
  <w:footnote w:id="8">
    <w:p w:rsidR="008900B9" w:rsidRDefault="008900B9" w:rsidP="00B3069B">
      <w:pPr>
        <w:pStyle w:val="FootnoteText"/>
      </w:pPr>
      <w:r>
        <w:rPr>
          <w:rStyle w:val="FootnoteReference"/>
        </w:rPr>
        <w:footnoteRef/>
      </w:r>
      <w:r>
        <w:t xml:space="preserve">Order No. PSC-14-0692-PAA-WU, issued December 15, 2014, in Docket No. 140121-WU, </w:t>
      </w:r>
      <w:r>
        <w:rPr>
          <w:i/>
        </w:rPr>
        <w:t>In re: Application for approval of transfer of Certificate No. 539-W from Raintree Harbor Utilities, LLC to Raintree Waterworks, Inc. in Lake County</w:t>
      </w:r>
      <w:r>
        <w:t>.</w:t>
      </w:r>
    </w:p>
  </w:footnote>
  <w:footnote w:id="9">
    <w:p w:rsidR="008900B9" w:rsidRDefault="008900B9" w:rsidP="00B3069B">
      <w:pPr>
        <w:pStyle w:val="FootnoteText"/>
      </w:pPr>
      <w:r>
        <w:rPr>
          <w:rStyle w:val="FootnoteReference"/>
        </w:rPr>
        <w:footnoteRef/>
      </w:r>
      <w:r>
        <w:t xml:space="preserve">Order No. PSC-08-0483-PAA-WU, issued July 25, 2008, in Docket No. 070627-WU, </w:t>
      </w:r>
      <w:r>
        <w:rPr>
          <w:i/>
        </w:rPr>
        <w:t>In re: Application for staff-assisted rate case in Lake County by Raintree Utilities, Inc.</w:t>
      </w:r>
    </w:p>
  </w:footnote>
  <w:footnote w:id="10">
    <w:p w:rsidR="008900B9" w:rsidRDefault="008900B9" w:rsidP="00B3069B">
      <w:pPr>
        <w:pStyle w:val="FootnoteText"/>
      </w:pPr>
      <w:r>
        <w:rPr>
          <w:rStyle w:val="FootnoteReference"/>
        </w:rPr>
        <w:footnoteRef/>
      </w:r>
      <w:r>
        <w:t>Document No. 00750-16, filed on February 8, 2016, in Docket No. 150199-WU.</w:t>
      </w:r>
    </w:p>
  </w:footnote>
  <w:footnote w:id="11">
    <w:p w:rsidR="008900B9" w:rsidRDefault="008900B9" w:rsidP="00C22AC8">
      <w:pPr>
        <w:pStyle w:val="FootnoteText"/>
      </w:pPr>
      <w:r>
        <w:rPr>
          <w:rStyle w:val="FootnoteReference"/>
        </w:rPr>
        <w:footnoteRef/>
      </w:r>
      <w:r>
        <w:t xml:space="preserve">Order No. PSC-15-0259-PAA-WS, issued July 2, 2015, in Docket No. 150006-WS, </w:t>
      </w:r>
      <w:r>
        <w:rPr>
          <w:i/>
        </w:rPr>
        <w:t>In re: Water and wastewater industry annual reestablishment of authorized range of return on common equity for water and wastewater utilities pursuant to Section 367.081(4)(f), F.S.</w:t>
      </w:r>
    </w:p>
  </w:footnote>
  <w:footnote w:id="12">
    <w:p w:rsidR="008900B9" w:rsidRDefault="008900B9" w:rsidP="00F72B50">
      <w:pPr>
        <w:pStyle w:val="FootnoteText"/>
        <w:rPr>
          <w:rFonts w:eastAsiaTheme="minorHAnsi"/>
        </w:rPr>
      </w:pPr>
      <w:r>
        <w:rPr>
          <w:rStyle w:val="FootnoteReference"/>
        </w:rPr>
        <w:footnoteRef/>
      </w:r>
      <w:r>
        <w:t xml:space="preserve">Order No. </w:t>
      </w:r>
      <w:bookmarkStart w:id="77" w:name="OrderNo0190"/>
      <w:r>
        <w:t>PSC-15-0190-TRF-WU</w:t>
      </w:r>
      <w:bookmarkEnd w:id="77"/>
      <w:r>
        <w:t>, issued May 6, 2015,</w:t>
      </w:r>
      <w:r>
        <w:rPr>
          <w:i/>
        </w:rPr>
        <w:t xml:space="preserve"> </w:t>
      </w:r>
      <w:r>
        <w:t xml:space="preserve">in Docket No. 150062-WU, </w:t>
      </w:r>
      <w:r>
        <w:rPr>
          <w:i/>
        </w:rPr>
        <w:t xml:space="preserve">In re: </w:t>
      </w:r>
      <w:bookmarkStart w:id="78" w:name="SSInRe"/>
      <w:bookmarkEnd w:id="78"/>
      <w:r>
        <w:rPr>
          <w:i/>
        </w:rPr>
        <w:t>Request for approval of amendment to tariff for miscellaneous service charges in Lake County by Raintree Waterworks, Inc.</w:t>
      </w:r>
    </w:p>
  </w:footnote>
  <w:footnote w:id="13">
    <w:p w:rsidR="008900B9" w:rsidRDefault="008900B9" w:rsidP="00B353D0">
      <w:pPr>
        <w:pStyle w:val="FootnoteText"/>
      </w:pPr>
      <w:r>
        <w:rPr>
          <w:rStyle w:val="FootnoteReference"/>
        </w:rPr>
        <w:footnoteRef/>
      </w:r>
      <w:r>
        <w:t xml:space="preserve">Order No. PSC-14-0413-PAA-WS, issued August 14, 2014, in Docket No. 130153-WS, </w:t>
      </w:r>
      <w:r>
        <w:rPr>
          <w:i/>
        </w:rPr>
        <w:t>In re: Application for staff-assisted rate case in Highlands County, by L.P. Utilities Corporation c/o LP Waterworks, Inc.</w:t>
      </w:r>
      <w:r>
        <w:t xml:space="preserve">; Order No. PSC-15-0013-PAA-WS, issued January 2, 2015, in Docket No. 130194-WS, </w:t>
      </w:r>
      <w:r>
        <w:rPr>
          <w:i/>
        </w:rPr>
        <w:t>In re: Application for staff-assisted rate case in Lake County by Lakeside Waterworks, Inc.</w:t>
      </w:r>
      <w:r>
        <w:t xml:space="preserve">; Order No. PSC-15-0282-PAA-WS, issued July 8, 2015, in Docket No. 140158-WS, </w:t>
      </w:r>
      <w:r>
        <w:rPr>
          <w:i/>
        </w:rPr>
        <w:t>In re: Application for increase in water/wastewater rates in Highlands County by HC Waterworks, Inc.</w:t>
      </w:r>
      <w:r>
        <w:t xml:space="preserve">; Order No. PSC-15-0329-PAA-WU, issued August 14, 2015, in Docket No. 140186-WU, </w:t>
      </w:r>
      <w:r>
        <w:rPr>
          <w:i/>
        </w:rPr>
        <w:t>In re: Application for staff-assisted rate case in Brevard County by Brevard Waterworks, Inc.</w:t>
      </w:r>
      <w:r>
        <w:t xml:space="preserve">; Order No. PSC-15-0335-PAA-WS, issued August 20, 2015, in Docket No. 140147-WS, </w:t>
      </w:r>
      <w:r>
        <w:rPr>
          <w:i/>
        </w:rPr>
        <w:t>In re: Application for staff-assisted rate case in Sumter County by Jumper Creek Utility Company</w:t>
      </w:r>
      <w:r>
        <w:t>.</w:t>
      </w:r>
    </w:p>
  </w:footnote>
  <w:footnote w:id="14">
    <w:p w:rsidR="008900B9" w:rsidRDefault="008900B9" w:rsidP="00B353D0">
      <w:pPr>
        <w:pStyle w:val="FootnoteText"/>
      </w:pPr>
      <w:r>
        <w:rPr>
          <w:rStyle w:val="FootnoteReference"/>
        </w:rPr>
        <w:footnoteRef/>
      </w:r>
      <w:r>
        <w:t>Order No. PSC-15-0282-PAA-WS; Order No. PSC-15-0329-PAA-WU; and Order No. PSC-15-0335-PAA-WS.</w:t>
      </w:r>
    </w:p>
  </w:footnote>
  <w:footnote w:id="15">
    <w:p w:rsidR="008900B9" w:rsidRDefault="008900B9" w:rsidP="00B353D0">
      <w:pPr>
        <w:pStyle w:val="FootnoteText"/>
      </w:pPr>
      <w:r>
        <w:rPr>
          <w:rStyle w:val="FootnoteReference"/>
        </w:rPr>
        <w:footnoteRef/>
      </w:r>
      <w:r>
        <w:t>Document No. 02483-16, filed on April 26, 2016, in Docket No. 150199-WU.</w:t>
      </w:r>
    </w:p>
  </w:footnote>
  <w:footnote w:id="16">
    <w:p w:rsidR="008900B9" w:rsidRDefault="008900B9" w:rsidP="00B353D0">
      <w:pPr>
        <w:pStyle w:val="FootnoteText"/>
      </w:pPr>
      <w:r>
        <w:rPr>
          <w:rStyle w:val="FootnoteReference"/>
        </w:rPr>
        <w:footnoteRef/>
      </w:r>
      <w:r>
        <w:t>Document No. 02483-16.</w:t>
      </w:r>
    </w:p>
  </w:footnote>
  <w:footnote w:id="17">
    <w:p w:rsidR="008900B9" w:rsidRDefault="008900B9" w:rsidP="00B353D0">
      <w:pPr>
        <w:pStyle w:val="FootnoteText"/>
      </w:pPr>
      <w:r>
        <w:rPr>
          <w:rStyle w:val="FootnoteReference"/>
        </w:rPr>
        <w:footnoteRef/>
      </w:r>
      <w:r>
        <w:t>Order No. PSC-15-0282-PAA-WS.</w:t>
      </w:r>
    </w:p>
  </w:footnote>
  <w:footnote w:id="18">
    <w:p w:rsidR="008900B9" w:rsidRDefault="008900B9" w:rsidP="00B353D0">
      <w:pPr>
        <w:pStyle w:val="FootnoteText"/>
      </w:pPr>
      <w:r>
        <w:rPr>
          <w:rStyle w:val="FootnoteReference"/>
        </w:rPr>
        <w:footnoteRef/>
      </w:r>
      <w:r>
        <w:t>Section 367.0816, F.S., is still in effect at this time, but will be repealed effective July 1, 2016, pursuant to HB 491.</w:t>
      </w:r>
    </w:p>
  </w:footnote>
  <w:footnote w:id="19">
    <w:p w:rsidR="008900B9" w:rsidRDefault="008900B9" w:rsidP="00B353D0">
      <w:pPr>
        <w:pStyle w:val="FootnoteText"/>
      </w:pPr>
      <w:r>
        <w:rPr>
          <w:rStyle w:val="FootnoteReference"/>
        </w:rPr>
        <w:footnoteRef/>
      </w:r>
      <w:r>
        <w:t>Raintree Waterworks, Inc. 2014 Annual Report.</w:t>
      </w:r>
    </w:p>
  </w:footnote>
  <w:footnote w:id="20">
    <w:p w:rsidR="008900B9" w:rsidRDefault="008900B9" w:rsidP="00B353D0">
      <w:pPr>
        <w:pStyle w:val="FootnoteText"/>
      </w:pPr>
      <w:r>
        <w:rPr>
          <w:rStyle w:val="FootnoteReference"/>
        </w:rPr>
        <w:footnoteRef/>
      </w:r>
      <w:r>
        <w:t>Raintree Waterworks, Inc. 2015 Annual Report.</w:t>
      </w:r>
    </w:p>
  </w:footnote>
  <w:footnote w:id="21">
    <w:p w:rsidR="008900B9" w:rsidRDefault="008900B9" w:rsidP="00B353D0">
      <w:pPr>
        <w:pStyle w:val="FootnoteText"/>
      </w:pPr>
      <w:r>
        <w:rPr>
          <w:rStyle w:val="FootnoteReference"/>
        </w:rPr>
        <w:footnoteRef/>
      </w:r>
      <w:r>
        <w:t>Document No. 02483-16.</w:t>
      </w:r>
    </w:p>
  </w:footnote>
  <w:footnote w:id="22">
    <w:p w:rsidR="008900B9" w:rsidRDefault="008900B9" w:rsidP="00305F26">
      <w:pPr>
        <w:pStyle w:val="FootnoteText"/>
      </w:pPr>
      <w:r>
        <w:rPr>
          <w:rStyle w:val="FootnoteReference"/>
        </w:rPr>
        <w:footnoteRef/>
      </w:r>
      <w:r>
        <w:t>Section 367.0816, F.S., is still in effect at this time, but will be repealed effective July 1, 2016, pursuant to HB 491.</w:t>
      </w:r>
    </w:p>
  </w:footnote>
  <w:footnote w:id="23">
    <w:p w:rsidR="008900B9" w:rsidRDefault="008900B9" w:rsidP="00021973">
      <w:pPr>
        <w:pStyle w:val="FootnoteText"/>
        <w:rPr>
          <w:rFonts w:eastAsiaTheme="minorHAnsi"/>
        </w:rPr>
      </w:pPr>
      <w:r>
        <w:rPr>
          <w:rStyle w:val="FootnoteReference"/>
        </w:rPr>
        <w:footnoteRef/>
      </w:r>
      <w:r>
        <w:t xml:space="preserve">Order Nos. PSC-13-0611-PAA-WS, issued November 19, 2013, in Docket No. 130010-WS, </w:t>
      </w:r>
      <w:r>
        <w:rPr>
          <w:i/>
        </w:rPr>
        <w:t>In re: Application for increase in water rates in Lee County and wastewater rates in Pasco County by Ni Florida, LLC</w:t>
      </w:r>
      <w:r>
        <w:t xml:space="preserve">. and PSC-14-0016-TRF-WU, issued January 6, 2014, in Docket No. 130251-WU, </w:t>
      </w:r>
      <w:r>
        <w:rPr>
          <w:i/>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150199-WU</w:t>
    </w:r>
    <w:bookmarkEnd w:id="13"/>
  </w:p>
  <w:p w:rsidR="008900B9" w:rsidRDefault="008900B9">
    <w:pPr>
      <w:pStyle w:val="Header"/>
    </w:pPr>
    <w:r>
      <w:t xml:space="preserve">Date: </w:t>
    </w:r>
    <w:r w:rsidR="005251FA">
      <w:fldChar w:fldCharType="begin"/>
    </w:r>
    <w:r w:rsidR="005251FA">
      <w:instrText xml:space="preserve"> REF FilingDate </w:instrText>
    </w:r>
    <w:r w:rsidR="005251FA">
      <w:fldChar w:fldCharType="separate"/>
    </w:r>
    <w:r w:rsidR="000A550E">
      <w:t>May 26, 2016</w:t>
    </w:r>
    <w:r w:rsidR="005251FA">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220732">
    <w:pPr>
      <w:pStyle w:val="Header"/>
      <w:tabs>
        <w:tab w:val="clear" w:pos="4320"/>
        <w:tab w:val="clear" w:pos="8640"/>
        <w:tab w:val="right" w:pos="9360"/>
      </w:tabs>
    </w:pPr>
    <w:r>
      <w:fldChar w:fldCharType="begin"/>
    </w:r>
    <w:r>
      <w:instrText xml:space="preserve"> REF DocketLabel</w:instrText>
    </w:r>
    <w:r>
      <w:fldChar w:fldCharType="separate"/>
    </w:r>
    <w:r w:rsidR="000A550E">
      <w:t>Docket No.</w:t>
    </w:r>
    <w:r>
      <w:fldChar w:fldCharType="end"/>
    </w:r>
    <w:r>
      <w:t xml:space="preserve"> </w:t>
    </w:r>
    <w:r>
      <w:fldChar w:fldCharType="begin"/>
    </w:r>
    <w:r>
      <w:instrText xml:space="preserve"> REF DocketList</w:instrText>
    </w:r>
    <w:r>
      <w:fldChar w:fldCharType="separate"/>
    </w:r>
    <w:r w:rsidR="000A550E">
      <w:t>150199-WU</w:t>
    </w:r>
    <w:r>
      <w:fldChar w:fldCharType="end"/>
    </w:r>
    <w:r>
      <w:tab/>
      <w:t>Schedule No. 3-C</w:t>
    </w:r>
  </w:p>
  <w:p w:rsidR="008900B9" w:rsidRDefault="008900B9" w:rsidP="008B54FD">
    <w:pPr>
      <w:pStyle w:val="Header"/>
      <w:tabs>
        <w:tab w:val="clear" w:pos="4320"/>
        <w:tab w:val="clear" w:pos="8640"/>
        <w:tab w:val="right" w:pos="9360"/>
      </w:tabs>
    </w:pPr>
    <w:r>
      <w:t xml:space="preserve">Date: </w:t>
    </w:r>
    <w:r w:rsidR="005251FA">
      <w:fldChar w:fldCharType="begin"/>
    </w:r>
    <w:r w:rsidR="005251FA">
      <w:instrText xml:space="preserve"> REF FilingDate </w:instrText>
    </w:r>
    <w:r w:rsidR="005251FA">
      <w:fldChar w:fldCharType="separate"/>
    </w:r>
    <w:r w:rsidR="000A550E">
      <w:t>May 26, 2016</w:t>
    </w:r>
    <w:r w:rsidR="005251FA">
      <w:fldChar w:fldCharType="end"/>
    </w:r>
    <w:r>
      <w:tab/>
      <w:t>1 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220732">
    <w:pPr>
      <w:pStyle w:val="Header"/>
      <w:tabs>
        <w:tab w:val="clear" w:pos="4320"/>
        <w:tab w:val="clear" w:pos="8640"/>
        <w:tab w:val="right" w:pos="9360"/>
      </w:tabs>
    </w:pPr>
    <w:r>
      <w:fldChar w:fldCharType="begin"/>
    </w:r>
    <w:r>
      <w:instrText xml:space="preserve"> REF DocketLabel</w:instrText>
    </w:r>
    <w:r>
      <w:fldChar w:fldCharType="separate"/>
    </w:r>
    <w:r w:rsidR="000A550E">
      <w:t>Docket No.</w:t>
    </w:r>
    <w:r>
      <w:fldChar w:fldCharType="end"/>
    </w:r>
    <w:r>
      <w:t xml:space="preserve"> </w:t>
    </w:r>
    <w:r>
      <w:fldChar w:fldCharType="begin"/>
    </w:r>
    <w:r>
      <w:instrText xml:space="preserve"> REF DocketList</w:instrText>
    </w:r>
    <w:r>
      <w:fldChar w:fldCharType="separate"/>
    </w:r>
    <w:r w:rsidR="000A550E">
      <w:t>150199-WU</w:t>
    </w:r>
    <w:r>
      <w:fldChar w:fldCharType="end"/>
    </w:r>
    <w:r>
      <w:tab/>
      <w:t>Schedule No. 4</w:t>
    </w:r>
  </w:p>
  <w:p w:rsidR="008900B9" w:rsidRDefault="008900B9" w:rsidP="009638AB">
    <w:pPr>
      <w:pStyle w:val="Header"/>
      <w:tabs>
        <w:tab w:val="clear" w:pos="4320"/>
        <w:tab w:val="clear" w:pos="8640"/>
        <w:tab w:val="right" w:pos="9360"/>
      </w:tabs>
    </w:pPr>
    <w:r>
      <w:t xml:space="preserve">Date: </w:t>
    </w:r>
    <w:r w:rsidR="005251FA">
      <w:fldChar w:fldCharType="begin"/>
    </w:r>
    <w:r w:rsidR="005251FA">
      <w:instrText xml:space="preserve"> REF FilingDate </w:instrText>
    </w:r>
    <w:r w:rsidR="005251FA">
      <w:fldChar w:fldCharType="separate"/>
    </w:r>
    <w:r w:rsidR="000A550E">
      <w:t>May 26, 2016</w:t>
    </w:r>
    <w:r w:rsidR="005251FA">
      <w:fldChar w:fldCharType="end"/>
    </w:r>
    <w:r>
      <w:tab/>
      <w:t>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220732">
    <w:pPr>
      <w:pStyle w:val="Header"/>
      <w:tabs>
        <w:tab w:val="clear" w:pos="4320"/>
        <w:tab w:val="clear" w:pos="8640"/>
        <w:tab w:val="right" w:pos="9360"/>
      </w:tabs>
    </w:pPr>
    <w:r>
      <w:fldChar w:fldCharType="begin"/>
    </w:r>
    <w:r>
      <w:instrText xml:space="preserve"> REF DocketLabel</w:instrText>
    </w:r>
    <w:r>
      <w:fldChar w:fldCharType="separate"/>
    </w:r>
    <w:r w:rsidR="000A550E">
      <w:t>Docket No.</w:t>
    </w:r>
    <w:r>
      <w:fldChar w:fldCharType="end"/>
    </w:r>
    <w:r>
      <w:t xml:space="preserve"> </w:t>
    </w:r>
    <w:r>
      <w:fldChar w:fldCharType="begin"/>
    </w:r>
    <w:r>
      <w:instrText xml:space="preserve"> REF DocketList</w:instrText>
    </w:r>
    <w:r>
      <w:fldChar w:fldCharType="separate"/>
    </w:r>
    <w:r w:rsidR="000A550E">
      <w:t>150199-WU</w:t>
    </w:r>
    <w:r>
      <w:fldChar w:fldCharType="end"/>
    </w:r>
    <w:r>
      <w:tab/>
      <w:t>Schedule No. 5</w:t>
    </w:r>
  </w:p>
  <w:p w:rsidR="008900B9" w:rsidRDefault="008900B9" w:rsidP="009A5FE5">
    <w:pPr>
      <w:pStyle w:val="Header"/>
      <w:tabs>
        <w:tab w:val="clear" w:pos="4320"/>
        <w:tab w:val="clear" w:pos="8640"/>
        <w:tab w:val="right" w:pos="9360"/>
      </w:tabs>
    </w:pPr>
    <w:r>
      <w:t xml:space="preserve">Date: </w:t>
    </w:r>
    <w:r w:rsidR="005251FA">
      <w:fldChar w:fldCharType="begin"/>
    </w:r>
    <w:r w:rsidR="005251FA">
      <w:instrText xml:space="preserve"> REF FilingDate </w:instrText>
    </w:r>
    <w:r w:rsidR="005251FA">
      <w:fldChar w:fldCharType="separate"/>
    </w:r>
    <w:r w:rsidR="000A550E">
      <w:t>May 26, 2016</w:t>
    </w:r>
    <w:r w:rsidR="005251FA">
      <w:fldChar w:fldCharType="end"/>
    </w:r>
    <w:r>
      <w:tab/>
      <w:t>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220732">
    <w:pPr>
      <w:pStyle w:val="Header"/>
      <w:tabs>
        <w:tab w:val="clear" w:pos="4320"/>
        <w:tab w:val="clear" w:pos="8640"/>
        <w:tab w:val="right" w:pos="9360"/>
      </w:tabs>
    </w:pPr>
    <w:r>
      <w:fldChar w:fldCharType="begin"/>
    </w:r>
    <w:r>
      <w:instrText xml:space="preserve"> REF DocketLabel</w:instrText>
    </w:r>
    <w:r>
      <w:fldChar w:fldCharType="separate"/>
    </w:r>
    <w:r w:rsidR="000A550E">
      <w:t>Docket No.</w:t>
    </w:r>
    <w:r>
      <w:fldChar w:fldCharType="end"/>
    </w:r>
    <w:r>
      <w:t xml:space="preserve"> </w:t>
    </w:r>
    <w:r>
      <w:fldChar w:fldCharType="begin"/>
    </w:r>
    <w:r>
      <w:instrText xml:space="preserve"> REF DocketList</w:instrText>
    </w:r>
    <w:r>
      <w:fldChar w:fldCharType="separate"/>
    </w:r>
    <w:r w:rsidR="000A550E">
      <w:t>150199-WU</w:t>
    </w:r>
    <w:r>
      <w:fldChar w:fldCharType="end"/>
    </w:r>
    <w:r>
      <w:tab/>
      <w:t xml:space="preserve">Issue </w:t>
    </w:r>
    <w:r w:rsidR="005251FA">
      <w:fldChar w:fldCharType="begin"/>
    </w:r>
    <w:r w:rsidR="005251FA">
      <w:instrText xml:space="preserve"> Seq Issue \c \* Arabic </w:instrText>
    </w:r>
    <w:r w:rsidR="005251FA">
      <w:fldChar w:fldCharType="separate"/>
    </w:r>
    <w:r w:rsidR="00F24813">
      <w:rPr>
        <w:noProof/>
      </w:rPr>
      <w:t>13</w:t>
    </w:r>
    <w:r w:rsidR="005251FA">
      <w:rPr>
        <w:noProof/>
      </w:rPr>
      <w:fldChar w:fldCharType="end"/>
    </w:r>
  </w:p>
  <w:p w:rsidR="008900B9" w:rsidRDefault="008900B9">
    <w:pPr>
      <w:pStyle w:val="Header"/>
    </w:pPr>
    <w:r>
      <w:t xml:space="preserve">Date: </w:t>
    </w:r>
    <w:r w:rsidR="005251FA">
      <w:fldChar w:fldCharType="begin"/>
    </w:r>
    <w:r w:rsidR="005251FA">
      <w:instrText xml:space="preserve"> REF FilingDate </w:instrText>
    </w:r>
    <w:r w:rsidR="005251FA">
      <w:fldChar w:fldCharType="separate"/>
    </w:r>
    <w:r w:rsidR="000A550E">
      <w:t>May 26, 2016</w:t>
    </w:r>
    <w:r w:rsidR="005251FA">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220732">
    <w:pPr>
      <w:pStyle w:val="Header"/>
      <w:tabs>
        <w:tab w:val="clear" w:pos="4320"/>
        <w:tab w:val="clear" w:pos="8640"/>
        <w:tab w:val="right" w:pos="9360"/>
      </w:tabs>
    </w:pPr>
    <w:r>
      <w:fldChar w:fldCharType="begin"/>
    </w:r>
    <w:r>
      <w:instrText xml:space="preserve"> REF DocketLabel</w:instrText>
    </w:r>
    <w:r>
      <w:fldChar w:fldCharType="separate"/>
    </w:r>
    <w:r w:rsidR="000A550E">
      <w:t>Docket No.</w:t>
    </w:r>
    <w:r>
      <w:fldChar w:fldCharType="end"/>
    </w:r>
    <w:r>
      <w:t xml:space="preserve"> </w:t>
    </w:r>
    <w:r>
      <w:fldChar w:fldCharType="begin"/>
    </w:r>
    <w:r>
      <w:instrText xml:space="preserve"> REF DocketList</w:instrText>
    </w:r>
    <w:r>
      <w:fldChar w:fldCharType="separate"/>
    </w:r>
    <w:r w:rsidR="000A550E">
      <w:t>150199-WU</w:t>
    </w:r>
    <w:r>
      <w:fldChar w:fldCharType="end"/>
    </w:r>
    <w:r>
      <w:tab/>
      <w:t>Schedule No. 1-A</w:t>
    </w:r>
  </w:p>
  <w:p w:rsidR="008900B9" w:rsidRDefault="008900B9" w:rsidP="007415E3">
    <w:pPr>
      <w:pStyle w:val="Header"/>
      <w:tabs>
        <w:tab w:val="clear" w:pos="4320"/>
        <w:tab w:val="clear" w:pos="8640"/>
        <w:tab w:val="right" w:pos="9360"/>
      </w:tabs>
    </w:pPr>
    <w:r>
      <w:t xml:space="preserve">Date: </w:t>
    </w:r>
    <w:r w:rsidR="005251FA">
      <w:fldChar w:fldCharType="begin"/>
    </w:r>
    <w:r w:rsidR="005251FA">
      <w:instrText xml:space="preserve"> REF FilingDate </w:instrText>
    </w:r>
    <w:r w:rsidR="005251FA">
      <w:fldChar w:fldCharType="separate"/>
    </w:r>
    <w:r w:rsidR="000A550E">
      <w:t>May 26, 2016</w:t>
    </w:r>
    <w:r w:rsidR="005251FA">
      <w:fldChar w:fldCharType="end"/>
    </w:r>
    <w:r>
      <w:tab/>
    </w:r>
    <w:r>
      <w:fldChar w:fldCharType="begin"/>
    </w:r>
    <w:r>
      <w:instrText xml:space="preserve"> =</w:instrText>
    </w:r>
    <w:r>
      <w:fldChar w:fldCharType="begin"/>
    </w:r>
    <w:r>
      <w:instrText xml:space="preserve">page  </w:instrText>
    </w:r>
    <w:r>
      <w:fldChar w:fldCharType="separate"/>
    </w:r>
    <w:r w:rsidR="00F24813">
      <w:rPr>
        <w:noProof/>
      </w:rPr>
      <w:instrText>26</w:instrText>
    </w:r>
    <w:r>
      <w:fldChar w:fldCharType="end"/>
    </w:r>
    <w:r>
      <w:instrText xml:space="preserve">-25 </w:instrText>
    </w:r>
    <w:r>
      <w:fldChar w:fldCharType="separate"/>
    </w:r>
    <w:r w:rsidR="00F24813">
      <w:rPr>
        <w:noProof/>
      </w:rPr>
      <w:t>1</w:t>
    </w:r>
    <w:r>
      <w:fldChar w:fldCharType="end"/>
    </w:r>
    <w:r>
      <w:t xml:space="preserve">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220732">
    <w:pPr>
      <w:pStyle w:val="Header"/>
      <w:tabs>
        <w:tab w:val="clear" w:pos="4320"/>
        <w:tab w:val="clear" w:pos="8640"/>
        <w:tab w:val="right" w:pos="9360"/>
      </w:tabs>
    </w:pPr>
    <w:r>
      <w:fldChar w:fldCharType="begin"/>
    </w:r>
    <w:r>
      <w:instrText xml:space="preserve"> REF DocketLabel</w:instrText>
    </w:r>
    <w:r>
      <w:fldChar w:fldCharType="separate"/>
    </w:r>
    <w:r w:rsidR="000A550E">
      <w:t>Docket No.</w:t>
    </w:r>
    <w:r>
      <w:fldChar w:fldCharType="end"/>
    </w:r>
    <w:r>
      <w:t xml:space="preserve"> </w:t>
    </w:r>
    <w:r>
      <w:fldChar w:fldCharType="begin"/>
    </w:r>
    <w:r>
      <w:instrText xml:space="preserve"> REF DocketList</w:instrText>
    </w:r>
    <w:r>
      <w:fldChar w:fldCharType="separate"/>
    </w:r>
    <w:r w:rsidR="000A550E">
      <w:t>150199-WU</w:t>
    </w:r>
    <w:r>
      <w:fldChar w:fldCharType="end"/>
    </w:r>
    <w:r>
      <w:tab/>
      <w:t>Schedule No. 1-B</w:t>
    </w:r>
  </w:p>
  <w:p w:rsidR="008900B9" w:rsidRDefault="008900B9" w:rsidP="007415E3">
    <w:pPr>
      <w:pStyle w:val="Header"/>
      <w:tabs>
        <w:tab w:val="clear" w:pos="4320"/>
        <w:tab w:val="clear" w:pos="8640"/>
        <w:tab w:val="right" w:pos="9360"/>
      </w:tabs>
    </w:pPr>
    <w:r>
      <w:t xml:space="preserve">Date: </w:t>
    </w:r>
    <w:r w:rsidR="005251FA">
      <w:fldChar w:fldCharType="begin"/>
    </w:r>
    <w:r w:rsidR="005251FA">
      <w:instrText xml:space="preserve"> REF FilingDate </w:instrText>
    </w:r>
    <w:r w:rsidR="005251FA">
      <w:fldChar w:fldCharType="separate"/>
    </w:r>
    <w:r w:rsidR="000A550E">
      <w:t>May 26, 2016</w:t>
    </w:r>
    <w:r w:rsidR="005251FA">
      <w:fldChar w:fldCharType="end"/>
    </w:r>
    <w:r>
      <w:tab/>
    </w:r>
    <w:r>
      <w:fldChar w:fldCharType="begin"/>
    </w:r>
    <w:r>
      <w:instrText xml:space="preserve">= </w:instrText>
    </w:r>
    <w:r>
      <w:fldChar w:fldCharType="begin"/>
    </w:r>
    <w:r>
      <w:instrText xml:space="preserve">page  </w:instrText>
    </w:r>
    <w:r>
      <w:fldChar w:fldCharType="separate"/>
    </w:r>
    <w:r w:rsidR="00F24813">
      <w:rPr>
        <w:noProof/>
      </w:rPr>
      <w:instrText>27</w:instrText>
    </w:r>
    <w:r>
      <w:fldChar w:fldCharType="end"/>
    </w:r>
    <w:r>
      <w:instrText xml:space="preserve">-26 </w:instrText>
    </w:r>
    <w:r>
      <w:fldChar w:fldCharType="separate"/>
    </w:r>
    <w:r w:rsidR="00F24813">
      <w:rPr>
        <w:noProof/>
      </w:rPr>
      <w:t>1</w:t>
    </w:r>
    <w:r>
      <w:fldChar w:fldCharType="end"/>
    </w:r>
    <w:r>
      <w:t xml:space="preserve">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EF23A0">
    <w:pPr>
      <w:pStyle w:val="Header"/>
      <w:tabs>
        <w:tab w:val="clear" w:pos="4320"/>
        <w:tab w:val="clear" w:pos="8640"/>
        <w:tab w:val="right" w:pos="9360"/>
        <w:tab w:val="right" w:pos="12816"/>
      </w:tabs>
    </w:pPr>
    <w:r>
      <w:fldChar w:fldCharType="begin"/>
    </w:r>
    <w:r>
      <w:instrText xml:space="preserve"> REF DocketLabel</w:instrText>
    </w:r>
    <w:r>
      <w:fldChar w:fldCharType="separate"/>
    </w:r>
    <w:r w:rsidR="000A550E">
      <w:t>Docket No.</w:t>
    </w:r>
    <w:r>
      <w:fldChar w:fldCharType="end"/>
    </w:r>
    <w:r>
      <w:t xml:space="preserve"> </w:t>
    </w:r>
    <w:r>
      <w:fldChar w:fldCharType="begin"/>
    </w:r>
    <w:r>
      <w:instrText xml:space="preserve"> REF DocketList</w:instrText>
    </w:r>
    <w:r>
      <w:fldChar w:fldCharType="separate"/>
    </w:r>
    <w:r w:rsidR="000A550E">
      <w:t>150199-WU</w:t>
    </w:r>
    <w:r>
      <w:fldChar w:fldCharType="end"/>
    </w:r>
    <w:r>
      <w:tab/>
      <w:t xml:space="preserve">                </w:t>
    </w:r>
    <w:r>
      <w:tab/>
      <w:t xml:space="preserve">  Schedule No. 2</w:t>
    </w:r>
  </w:p>
  <w:p w:rsidR="008900B9" w:rsidRDefault="008900B9" w:rsidP="00EF23A0">
    <w:pPr>
      <w:pStyle w:val="Header"/>
      <w:tabs>
        <w:tab w:val="clear" w:pos="4320"/>
        <w:tab w:val="clear" w:pos="8640"/>
        <w:tab w:val="right" w:pos="9360"/>
      </w:tabs>
    </w:pPr>
    <w:r>
      <w:t xml:space="preserve">Date: </w:t>
    </w:r>
    <w:r w:rsidR="005251FA">
      <w:fldChar w:fldCharType="begin"/>
    </w:r>
    <w:r w:rsidR="005251FA">
      <w:instrText xml:space="preserve"> REF FilingDate </w:instrText>
    </w:r>
    <w:r w:rsidR="005251FA">
      <w:fldChar w:fldCharType="separate"/>
    </w:r>
    <w:r w:rsidR="000A550E">
      <w:t>May 26, 2016</w:t>
    </w:r>
    <w:r w:rsidR="005251FA">
      <w:fldChar w:fldCharType="end"/>
    </w:r>
    <w:r>
      <w:tab/>
    </w:r>
    <w:r>
      <w:tab/>
      <w:t xml:space="preserve">                                   </w:t>
    </w:r>
    <w:r>
      <w:fldChar w:fldCharType="begin"/>
    </w:r>
    <w:r>
      <w:instrText xml:space="preserve">= </w:instrText>
    </w:r>
    <w:r>
      <w:fldChar w:fldCharType="begin"/>
    </w:r>
    <w:r>
      <w:instrText xml:space="preserve"> page </w:instrText>
    </w:r>
    <w:r>
      <w:fldChar w:fldCharType="separate"/>
    </w:r>
    <w:r w:rsidR="00F24813">
      <w:rPr>
        <w:noProof/>
      </w:rPr>
      <w:instrText>28</w:instrText>
    </w:r>
    <w:r>
      <w:fldChar w:fldCharType="end"/>
    </w:r>
    <w:r>
      <w:instrText xml:space="preserve">-27 </w:instrText>
    </w:r>
    <w:r>
      <w:fldChar w:fldCharType="separate"/>
    </w:r>
    <w:r w:rsidR="00F24813">
      <w:rPr>
        <w:noProof/>
      </w:rPr>
      <w:t>1</w:t>
    </w:r>
    <w:r>
      <w:fldChar w:fldCharType="end"/>
    </w:r>
    <w:r>
      <w:t xml:space="preserve"> of 1</w:t>
    </w:r>
  </w:p>
  <w:p w:rsidR="008900B9" w:rsidRDefault="008900B9" w:rsidP="00EF23A0">
    <w:pPr>
      <w:pStyle w:val="Header"/>
      <w:tabs>
        <w:tab w:val="clear" w:pos="4320"/>
        <w:tab w:val="clear" w:pos="8640"/>
        <w:tab w:val="right" w:pos="9360"/>
        <w:tab w:val="right" w:pos="1281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183FB5">
    <w:pPr>
      <w:pStyle w:val="Header"/>
      <w:tabs>
        <w:tab w:val="clear" w:pos="4320"/>
        <w:tab w:val="clear" w:pos="8640"/>
      </w:tabs>
    </w:pPr>
    <w:r>
      <w:fldChar w:fldCharType="begin"/>
    </w:r>
    <w:r>
      <w:instrText xml:space="preserve"> REF DocketLabel</w:instrText>
    </w:r>
    <w:r>
      <w:fldChar w:fldCharType="separate"/>
    </w:r>
    <w:r w:rsidR="000A550E">
      <w:t>Docket No.</w:t>
    </w:r>
    <w:r>
      <w:fldChar w:fldCharType="end"/>
    </w:r>
    <w:r>
      <w:t xml:space="preserve"> </w:t>
    </w:r>
    <w:r>
      <w:fldChar w:fldCharType="begin"/>
    </w:r>
    <w:r>
      <w:instrText xml:space="preserve"> REF DocketList</w:instrText>
    </w:r>
    <w:r>
      <w:fldChar w:fldCharType="separate"/>
    </w:r>
    <w:r w:rsidR="000A550E">
      <w:t>150199-WU</w:t>
    </w:r>
    <w:r>
      <w:fldChar w:fldCharType="end"/>
    </w:r>
    <w:r>
      <w:tab/>
      <w:t xml:space="preserve">   </w:t>
    </w:r>
    <w:r>
      <w:tab/>
      <w:t xml:space="preserve">                                                                                                                           Schedule No. 3-A</w:t>
    </w:r>
  </w:p>
  <w:p w:rsidR="008900B9" w:rsidRDefault="008900B9" w:rsidP="00183FB5">
    <w:pPr>
      <w:pStyle w:val="Header"/>
      <w:tabs>
        <w:tab w:val="clear" w:pos="4320"/>
        <w:tab w:val="clear" w:pos="8640"/>
      </w:tabs>
    </w:pPr>
    <w:r>
      <w:t>Date: May 26, 2016</w:t>
    </w:r>
    <w:r>
      <w:tab/>
      <w:t xml:space="preserve">                                                                                                                                                                   </w:t>
    </w:r>
    <w:r w:rsidR="00486AB3">
      <w:t xml:space="preserve"> </w:t>
    </w:r>
    <w:r>
      <w:t xml:space="preserve">  1 of 1              </w:t>
    </w:r>
  </w:p>
  <w:p w:rsidR="008900B9" w:rsidRDefault="008900B9" w:rsidP="008B54FD">
    <w:pPr>
      <w:pStyle w:val="Header"/>
      <w:tabs>
        <w:tab w:val="clear" w:pos="4320"/>
        <w:tab w:val="clear" w:pos="8640"/>
        <w:tab w:val="right" w:pos="936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B9" w:rsidRDefault="008900B9" w:rsidP="00220732">
    <w:pPr>
      <w:pStyle w:val="Header"/>
      <w:tabs>
        <w:tab w:val="clear" w:pos="4320"/>
        <w:tab w:val="clear" w:pos="8640"/>
        <w:tab w:val="right" w:pos="9360"/>
      </w:tabs>
    </w:pPr>
    <w:r>
      <w:fldChar w:fldCharType="begin"/>
    </w:r>
    <w:r>
      <w:instrText xml:space="preserve"> REF DocketLabel</w:instrText>
    </w:r>
    <w:r>
      <w:fldChar w:fldCharType="separate"/>
    </w:r>
    <w:r w:rsidR="000A550E">
      <w:t>Docket No.</w:t>
    </w:r>
    <w:r>
      <w:fldChar w:fldCharType="end"/>
    </w:r>
    <w:r>
      <w:t xml:space="preserve"> </w:t>
    </w:r>
    <w:r>
      <w:fldChar w:fldCharType="begin"/>
    </w:r>
    <w:r>
      <w:instrText xml:space="preserve"> REF DocketList</w:instrText>
    </w:r>
    <w:r>
      <w:fldChar w:fldCharType="separate"/>
    </w:r>
    <w:r w:rsidR="000A550E">
      <w:t>150199-WU</w:t>
    </w:r>
    <w:r>
      <w:fldChar w:fldCharType="end"/>
    </w:r>
    <w:r>
      <w:tab/>
      <w:t>Schedule No. 3-B</w:t>
    </w:r>
  </w:p>
  <w:p w:rsidR="008900B9" w:rsidRDefault="008900B9" w:rsidP="008B54FD">
    <w:pPr>
      <w:pStyle w:val="Header"/>
      <w:tabs>
        <w:tab w:val="clear" w:pos="4320"/>
        <w:tab w:val="clear" w:pos="8640"/>
        <w:tab w:val="right" w:pos="9360"/>
      </w:tabs>
    </w:pPr>
    <w:r>
      <w:t xml:space="preserve">Date: </w:t>
    </w:r>
    <w:r w:rsidR="005251FA">
      <w:fldChar w:fldCharType="begin"/>
    </w:r>
    <w:r w:rsidR="005251FA">
      <w:instrText xml:space="preserve"> REF FilingDate </w:instrText>
    </w:r>
    <w:r w:rsidR="005251FA">
      <w:fldChar w:fldCharType="separate"/>
    </w:r>
    <w:r w:rsidR="000A550E">
      <w:t>May 26, 2016</w:t>
    </w:r>
    <w:r w:rsidR="005251FA">
      <w:fldChar w:fldCharType="end"/>
    </w:r>
    <w:r>
      <w:tab/>
      <w:t>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191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6716D"/>
    <w:rsid w:val="00010E37"/>
    <w:rsid w:val="00020286"/>
    <w:rsid w:val="00021973"/>
    <w:rsid w:val="000247C5"/>
    <w:rsid w:val="00025483"/>
    <w:rsid w:val="000277C2"/>
    <w:rsid w:val="00034EDA"/>
    <w:rsid w:val="00035B48"/>
    <w:rsid w:val="00036CE2"/>
    <w:rsid w:val="00037E16"/>
    <w:rsid w:val="000437FE"/>
    <w:rsid w:val="000513BE"/>
    <w:rsid w:val="000648C0"/>
    <w:rsid w:val="00065A06"/>
    <w:rsid w:val="000666F3"/>
    <w:rsid w:val="00070DCB"/>
    <w:rsid w:val="00073120"/>
    <w:rsid w:val="000738FF"/>
    <w:rsid w:val="00074716"/>
    <w:rsid w:val="000764D0"/>
    <w:rsid w:val="000800C8"/>
    <w:rsid w:val="000828D3"/>
    <w:rsid w:val="000835CB"/>
    <w:rsid w:val="000936B2"/>
    <w:rsid w:val="000A09C4"/>
    <w:rsid w:val="000A2B57"/>
    <w:rsid w:val="000A418B"/>
    <w:rsid w:val="000A550E"/>
    <w:rsid w:val="000B1A2F"/>
    <w:rsid w:val="000B4537"/>
    <w:rsid w:val="000B6E77"/>
    <w:rsid w:val="000C2F1C"/>
    <w:rsid w:val="000C4431"/>
    <w:rsid w:val="000D4319"/>
    <w:rsid w:val="000D5DB7"/>
    <w:rsid w:val="000E4CD1"/>
    <w:rsid w:val="000F1690"/>
    <w:rsid w:val="000F374A"/>
    <w:rsid w:val="000F6C52"/>
    <w:rsid w:val="001038F8"/>
    <w:rsid w:val="001133A5"/>
    <w:rsid w:val="00116C80"/>
    <w:rsid w:val="00117C8C"/>
    <w:rsid w:val="001216EE"/>
    <w:rsid w:val="00124E2E"/>
    <w:rsid w:val="00125ED4"/>
    <w:rsid w:val="001305E9"/>
    <w:rsid w:val="001307AF"/>
    <w:rsid w:val="00135687"/>
    <w:rsid w:val="00163031"/>
    <w:rsid w:val="00171A90"/>
    <w:rsid w:val="00171F3A"/>
    <w:rsid w:val="00180254"/>
    <w:rsid w:val="00183FB5"/>
    <w:rsid w:val="00191E1F"/>
    <w:rsid w:val="00192943"/>
    <w:rsid w:val="001A5AEE"/>
    <w:rsid w:val="001A6C1F"/>
    <w:rsid w:val="001A7406"/>
    <w:rsid w:val="001B4FEE"/>
    <w:rsid w:val="001B51C5"/>
    <w:rsid w:val="001B6F3F"/>
    <w:rsid w:val="001C1199"/>
    <w:rsid w:val="001C265C"/>
    <w:rsid w:val="001C52B5"/>
    <w:rsid w:val="001D0D3E"/>
    <w:rsid w:val="001E03AB"/>
    <w:rsid w:val="001E42F7"/>
    <w:rsid w:val="001F2245"/>
    <w:rsid w:val="001F6DA1"/>
    <w:rsid w:val="00201D4E"/>
    <w:rsid w:val="00202083"/>
    <w:rsid w:val="002044E6"/>
    <w:rsid w:val="00205C82"/>
    <w:rsid w:val="00205DC2"/>
    <w:rsid w:val="002163B6"/>
    <w:rsid w:val="00216A81"/>
    <w:rsid w:val="00220732"/>
    <w:rsid w:val="00221D32"/>
    <w:rsid w:val="00225C3F"/>
    <w:rsid w:val="00231129"/>
    <w:rsid w:val="00242462"/>
    <w:rsid w:val="00243299"/>
    <w:rsid w:val="00243A20"/>
    <w:rsid w:val="002456CF"/>
    <w:rsid w:val="002468EA"/>
    <w:rsid w:val="00261CD9"/>
    <w:rsid w:val="00263D44"/>
    <w:rsid w:val="002702AD"/>
    <w:rsid w:val="00285192"/>
    <w:rsid w:val="00290326"/>
    <w:rsid w:val="00292D82"/>
    <w:rsid w:val="002963CB"/>
    <w:rsid w:val="002A3A1F"/>
    <w:rsid w:val="002B00A2"/>
    <w:rsid w:val="002C40D0"/>
    <w:rsid w:val="002D226D"/>
    <w:rsid w:val="002E3847"/>
    <w:rsid w:val="002F6030"/>
    <w:rsid w:val="002F76DE"/>
    <w:rsid w:val="003037E1"/>
    <w:rsid w:val="00305F26"/>
    <w:rsid w:val="00307E51"/>
    <w:rsid w:val="003103EC"/>
    <w:rsid w:val="003144EF"/>
    <w:rsid w:val="00322F74"/>
    <w:rsid w:val="00330D2F"/>
    <w:rsid w:val="00340073"/>
    <w:rsid w:val="003451F3"/>
    <w:rsid w:val="00361D31"/>
    <w:rsid w:val="00365967"/>
    <w:rsid w:val="00367248"/>
    <w:rsid w:val="00372805"/>
    <w:rsid w:val="00373180"/>
    <w:rsid w:val="003734C8"/>
    <w:rsid w:val="00374614"/>
    <w:rsid w:val="00375AB9"/>
    <w:rsid w:val="00376DB0"/>
    <w:rsid w:val="00377D0A"/>
    <w:rsid w:val="003821A0"/>
    <w:rsid w:val="00385B04"/>
    <w:rsid w:val="003864CF"/>
    <w:rsid w:val="00391F7D"/>
    <w:rsid w:val="00393CE3"/>
    <w:rsid w:val="003A179D"/>
    <w:rsid w:val="003A22A6"/>
    <w:rsid w:val="003A2EA3"/>
    <w:rsid w:val="003A5494"/>
    <w:rsid w:val="003B2510"/>
    <w:rsid w:val="003B6192"/>
    <w:rsid w:val="003C2CC4"/>
    <w:rsid w:val="003D499B"/>
    <w:rsid w:val="003E0A42"/>
    <w:rsid w:val="003E0EFC"/>
    <w:rsid w:val="003E1F22"/>
    <w:rsid w:val="003E3ACC"/>
    <w:rsid w:val="003E4A2B"/>
    <w:rsid w:val="003E76C2"/>
    <w:rsid w:val="003F07A9"/>
    <w:rsid w:val="003F1679"/>
    <w:rsid w:val="003F4A35"/>
    <w:rsid w:val="003F60D5"/>
    <w:rsid w:val="003F7FDD"/>
    <w:rsid w:val="00402481"/>
    <w:rsid w:val="004042B4"/>
    <w:rsid w:val="00412DAE"/>
    <w:rsid w:val="004178B4"/>
    <w:rsid w:val="00431598"/>
    <w:rsid w:val="00434853"/>
    <w:rsid w:val="0044119D"/>
    <w:rsid w:val="004426B8"/>
    <w:rsid w:val="00443FEC"/>
    <w:rsid w:val="00444432"/>
    <w:rsid w:val="004679D6"/>
    <w:rsid w:val="00471860"/>
    <w:rsid w:val="004724A0"/>
    <w:rsid w:val="00475E0C"/>
    <w:rsid w:val="00476644"/>
    <w:rsid w:val="0047761C"/>
    <w:rsid w:val="00486AB3"/>
    <w:rsid w:val="00493FFC"/>
    <w:rsid w:val="004A308E"/>
    <w:rsid w:val="004B3538"/>
    <w:rsid w:val="004B60BD"/>
    <w:rsid w:val="004B6D0D"/>
    <w:rsid w:val="004C3150"/>
    <w:rsid w:val="004C3641"/>
    <w:rsid w:val="004C4390"/>
    <w:rsid w:val="004C4AF7"/>
    <w:rsid w:val="004C7378"/>
    <w:rsid w:val="004D2881"/>
    <w:rsid w:val="004D385F"/>
    <w:rsid w:val="004D5B39"/>
    <w:rsid w:val="004E330D"/>
    <w:rsid w:val="004E3504"/>
    <w:rsid w:val="004E5147"/>
    <w:rsid w:val="004E6BA0"/>
    <w:rsid w:val="004F4425"/>
    <w:rsid w:val="005013AA"/>
    <w:rsid w:val="0050264E"/>
    <w:rsid w:val="0050652D"/>
    <w:rsid w:val="00506C03"/>
    <w:rsid w:val="00515845"/>
    <w:rsid w:val="00516496"/>
    <w:rsid w:val="00524DE6"/>
    <w:rsid w:val="0052572A"/>
    <w:rsid w:val="005258B6"/>
    <w:rsid w:val="00534564"/>
    <w:rsid w:val="00536B3A"/>
    <w:rsid w:val="00543CB3"/>
    <w:rsid w:val="00554A22"/>
    <w:rsid w:val="00560FF0"/>
    <w:rsid w:val="005614BD"/>
    <w:rsid w:val="0057154F"/>
    <w:rsid w:val="00580196"/>
    <w:rsid w:val="00581CA3"/>
    <w:rsid w:val="00587A44"/>
    <w:rsid w:val="005961A8"/>
    <w:rsid w:val="00597730"/>
    <w:rsid w:val="005977EC"/>
    <w:rsid w:val="00597DE7"/>
    <w:rsid w:val="005A4AA2"/>
    <w:rsid w:val="005A7B21"/>
    <w:rsid w:val="005B34B6"/>
    <w:rsid w:val="005B6C8F"/>
    <w:rsid w:val="005B7300"/>
    <w:rsid w:val="005C3820"/>
    <w:rsid w:val="005D0F74"/>
    <w:rsid w:val="005D2E7D"/>
    <w:rsid w:val="005D4A8F"/>
    <w:rsid w:val="005D561B"/>
    <w:rsid w:val="005E14C3"/>
    <w:rsid w:val="005E2E4A"/>
    <w:rsid w:val="005F468D"/>
    <w:rsid w:val="005F69A3"/>
    <w:rsid w:val="006029F4"/>
    <w:rsid w:val="006029F6"/>
    <w:rsid w:val="00615423"/>
    <w:rsid w:val="006165B2"/>
    <w:rsid w:val="00617276"/>
    <w:rsid w:val="00625D97"/>
    <w:rsid w:val="00625F1C"/>
    <w:rsid w:val="0062740E"/>
    <w:rsid w:val="00627F10"/>
    <w:rsid w:val="00630CEB"/>
    <w:rsid w:val="00632264"/>
    <w:rsid w:val="006470BC"/>
    <w:rsid w:val="00667036"/>
    <w:rsid w:val="00673BDB"/>
    <w:rsid w:val="006771B8"/>
    <w:rsid w:val="0068481F"/>
    <w:rsid w:val="00691018"/>
    <w:rsid w:val="006929D1"/>
    <w:rsid w:val="00694E05"/>
    <w:rsid w:val="00696F5D"/>
    <w:rsid w:val="00697249"/>
    <w:rsid w:val="006B3947"/>
    <w:rsid w:val="006B4293"/>
    <w:rsid w:val="006B624F"/>
    <w:rsid w:val="006C1BC5"/>
    <w:rsid w:val="006C31E3"/>
    <w:rsid w:val="006D33DD"/>
    <w:rsid w:val="006E08CB"/>
    <w:rsid w:val="006E598D"/>
    <w:rsid w:val="006E7245"/>
    <w:rsid w:val="0070437D"/>
    <w:rsid w:val="00705B04"/>
    <w:rsid w:val="007076B8"/>
    <w:rsid w:val="00734820"/>
    <w:rsid w:val="007349DC"/>
    <w:rsid w:val="007415E3"/>
    <w:rsid w:val="0074365E"/>
    <w:rsid w:val="007515FD"/>
    <w:rsid w:val="00760D80"/>
    <w:rsid w:val="00780113"/>
    <w:rsid w:val="00780C09"/>
    <w:rsid w:val="00780DDF"/>
    <w:rsid w:val="007834E9"/>
    <w:rsid w:val="00787DBC"/>
    <w:rsid w:val="00791A2F"/>
    <w:rsid w:val="00792935"/>
    <w:rsid w:val="007A04A1"/>
    <w:rsid w:val="007A1840"/>
    <w:rsid w:val="007A1912"/>
    <w:rsid w:val="007A7FBC"/>
    <w:rsid w:val="007C0528"/>
    <w:rsid w:val="007C3D38"/>
    <w:rsid w:val="007D0F35"/>
    <w:rsid w:val="007D4FEB"/>
    <w:rsid w:val="007D5CF3"/>
    <w:rsid w:val="007D6146"/>
    <w:rsid w:val="007D6B47"/>
    <w:rsid w:val="007E0CE7"/>
    <w:rsid w:val="007E4325"/>
    <w:rsid w:val="007F1193"/>
    <w:rsid w:val="007F3905"/>
    <w:rsid w:val="007F417F"/>
    <w:rsid w:val="008042BD"/>
    <w:rsid w:val="008055C7"/>
    <w:rsid w:val="00812648"/>
    <w:rsid w:val="00816624"/>
    <w:rsid w:val="00822427"/>
    <w:rsid w:val="00822562"/>
    <w:rsid w:val="008234BD"/>
    <w:rsid w:val="00823663"/>
    <w:rsid w:val="00832DDC"/>
    <w:rsid w:val="00837777"/>
    <w:rsid w:val="00843A29"/>
    <w:rsid w:val="00850BAC"/>
    <w:rsid w:val="00854A3E"/>
    <w:rsid w:val="00855D08"/>
    <w:rsid w:val="00861801"/>
    <w:rsid w:val="0086716D"/>
    <w:rsid w:val="00874344"/>
    <w:rsid w:val="00876B65"/>
    <w:rsid w:val="00880A2D"/>
    <w:rsid w:val="00882155"/>
    <w:rsid w:val="0088233B"/>
    <w:rsid w:val="0088599E"/>
    <w:rsid w:val="00886A87"/>
    <w:rsid w:val="00886C37"/>
    <w:rsid w:val="008900B9"/>
    <w:rsid w:val="00892D99"/>
    <w:rsid w:val="00897AD6"/>
    <w:rsid w:val="008A1B74"/>
    <w:rsid w:val="008B3F84"/>
    <w:rsid w:val="008B54FD"/>
    <w:rsid w:val="008B62AE"/>
    <w:rsid w:val="008B6307"/>
    <w:rsid w:val="008C04B5"/>
    <w:rsid w:val="008C14FA"/>
    <w:rsid w:val="008D4057"/>
    <w:rsid w:val="008E043F"/>
    <w:rsid w:val="008E1F19"/>
    <w:rsid w:val="008E35D1"/>
    <w:rsid w:val="008E5D58"/>
    <w:rsid w:val="008F03B4"/>
    <w:rsid w:val="008F2262"/>
    <w:rsid w:val="008F2A66"/>
    <w:rsid w:val="008F7736"/>
    <w:rsid w:val="0090019E"/>
    <w:rsid w:val="00901086"/>
    <w:rsid w:val="00901C8A"/>
    <w:rsid w:val="00905886"/>
    <w:rsid w:val="009070D6"/>
    <w:rsid w:val="009076C6"/>
    <w:rsid w:val="00907FC2"/>
    <w:rsid w:val="0091019E"/>
    <w:rsid w:val="009106F1"/>
    <w:rsid w:val="00912AF5"/>
    <w:rsid w:val="009145D6"/>
    <w:rsid w:val="00916E9C"/>
    <w:rsid w:val="00920E64"/>
    <w:rsid w:val="00922002"/>
    <w:rsid w:val="00924020"/>
    <w:rsid w:val="009271A7"/>
    <w:rsid w:val="0093658B"/>
    <w:rsid w:val="009429FF"/>
    <w:rsid w:val="00945BD6"/>
    <w:rsid w:val="00946004"/>
    <w:rsid w:val="00946065"/>
    <w:rsid w:val="009479FB"/>
    <w:rsid w:val="00951C45"/>
    <w:rsid w:val="009638AB"/>
    <w:rsid w:val="009656F2"/>
    <w:rsid w:val="00966A08"/>
    <w:rsid w:val="00971207"/>
    <w:rsid w:val="009736F7"/>
    <w:rsid w:val="00975CB4"/>
    <w:rsid w:val="00975E2E"/>
    <w:rsid w:val="00976C5A"/>
    <w:rsid w:val="00977B85"/>
    <w:rsid w:val="009863B0"/>
    <w:rsid w:val="00987DE1"/>
    <w:rsid w:val="00990571"/>
    <w:rsid w:val="0099673A"/>
    <w:rsid w:val="0099720A"/>
    <w:rsid w:val="009A079C"/>
    <w:rsid w:val="009A3330"/>
    <w:rsid w:val="009A5FE5"/>
    <w:rsid w:val="009A7C96"/>
    <w:rsid w:val="009B28F6"/>
    <w:rsid w:val="009C3DB9"/>
    <w:rsid w:val="009D0579"/>
    <w:rsid w:val="009D2E8B"/>
    <w:rsid w:val="009D46E5"/>
    <w:rsid w:val="009D568A"/>
    <w:rsid w:val="009E5B0A"/>
    <w:rsid w:val="009F04EC"/>
    <w:rsid w:val="009F3B36"/>
    <w:rsid w:val="009F5F02"/>
    <w:rsid w:val="00A003BE"/>
    <w:rsid w:val="00A019B9"/>
    <w:rsid w:val="00A12508"/>
    <w:rsid w:val="00A1282B"/>
    <w:rsid w:val="00A13A27"/>
    <w:rsid w:val="00A13F9B"/>
    <w:rsid w:val="00A14698"/>
    <w:rsid w:val="00A175B6"/>
    <w:rsid w:val="00A21107"/>
    <w:rsid w:val="00A21835"/>
    <w:rsid w:val="00A27D6E"/>
    <w:rsid w:val="00A328EC"/>
    <w:rsid w:val="00A33A51"/>
    <w:rsid w:val="00A41CA6"/>
    <w:rsid w:val="00A4434F"/>
    <w:rsid w:val="00A47927"/>
    <w:rsid w:val="00A47FFC"/>
    <w:rsid w:val="00A52CCB"/>
    <w:rsid w:val="00A5442F"/>
    <w:rsid w:val="00A54FF9"/>
    <w:rsid w:val="00A56765"/>
    <w:rsid w:val="00A62B35"/>
    <w:rsid w:val="00A6726A"/>
    <w:rsid w:val="00A675AC"/>
    <w:rsid w:val="00A7581F"/>
    <w:rsid w:val="00A848EF"/>
    <w:rsid w:val="00A92FB1"/>
    <w:rsid w:val="00A951D6"/>
    <w:rsid w:val="00A9595F"/>
    <w:rsid w:val="00A95A0C"/>
    <w:rsid w:val="00AA2765"/>
    <w:rsid w:val="00AA77B5"/>
    <w:rsid w:val="00AB2A0C"/>
    <w:rsid w:val="00AB3C3D"/>
    <w:rsid w:val="00AB6C5D"/>
    <w:rsid w:val="00AC110F"/>
    <w:rsid w:val="00AC51A7"/>
    <w:rsid w:val="00AC6640"/>
    <w:rsid w:val="00AD444B"/>
    <w:rsid w:val="00AD6C78"/>
    <w:rsid w:val="00AD6FE8"/>
    <w:rsid w:val="00AE2EAB"/>
    <w:rsid w:val="00AE42C2"/>
    <w:rsid w:val="00AE437E"/>
    <w:rsid w:val="00AE6F0E"/>
    <w:rsid w:val="00AF5F89"/>
    <w:rsid w:val="00AF73CB"/>
    <w:rsid w:val="00B002D6"/>
    <w:rsid w:val="00B05B51"/>
    <w:rsid w:val="00B12EC7"/>
    <w:rsid w:val="00B15370"/>
    <w:rsid w:val="00B16F6B"/>
    <w:rsid w:val="00B17BEB"/>
    <w:rsid w:val="00B21A3C"/>
    <w:rsid w:val="00B223C0"/>
    <w:rsid w:val="00B2278F"/>
    <w:rsid w:val="00B234ED"/>
    <w:rsid w:val="00B25CA3"/>
    <w:rsid w:val="00B3069B"/>
    <w:rsid w:val="00B31FFD"/>
    <w:rsid w:val="00B32CD9"/>
    <w:rsid w:val="00B34531"/>
    <w:rsid w:val="00B353D0"/>
    <w:rsid w:val="00B37F51"/>
    <w:rsid w:val="00B41EBD"/>
    <w:rsid w:val="00B54795"/>
    <w:rsid w:val="00B57A6A"/>
    <w:rsid w:val="00B74181"/>
    <w:rsid w:val="00B760F1"/>
    <w:rsid w:val="00B7669E"/>
    <w:rsid w:val="00B77DA1"/>
    <w:rsid w:val="00B86875"/>
    <w:rsid w:val="00B975BF"/>
    <w:rsid w:val="00BA0D55"/>
    <w:rsid w:val="00BA37B3"/>
    <w:rsid w:val="00BA4758"/>
    <w:rsid w:val="00BA4CC6"/>
    <w:rsid w:val="00BB3493"/>
    <w:rsid w:val="00BB7468"/>
    <w:rsid w:val="00BC188A"/>
    <w:rsid w:val="00BC2023"/>
    <w:rsid w:val="00BE1432"/>
    <w:rsid w:val="00BE64C1"/>
    <w:rsid w:val="00BE6CE2"/>
    <w:rsid w:val="00BF5010"/>
    <w:rsid w:val="00C10247"/>
    <w:rsid w:val="00C13791"/>
    <w:rsid w:val="00C20BF7"/>
    <w:rsid w:val="00C22AC8"/>
    <w:rsid w:val="00C31BB3"/>
    <w:rsid w:val="00C36977"/>
    <w:rsid w:val="00C37D97"/>
    <w:rsid w:val="00C40C5B"/>
    <w:rsid w:val="00C477D9"/>
    <w:rsid w:val="00C52822"/>
    <w:rsid w:val="00C57337"/>
    <w:rsid w:val="00C60BA3"/>
    <w:rsid w:val="00C623F7"/>
    <w:rsid w:val="00C63591"/>
    <w:rsid w:val="00C7055C"/>
    <w:rsid w:val="00C81670"/>
    <w:rsid w:val="00C81773"/>
    <w:rsid w:val="00C82861"/>
    <w:rsid w:val="00C86896"/>
    <w:rsid w:val="00C907A8"/>
    <w:rsid w:val="00C93211"/>
    <w:rsid w:val="00C942EC"/>
    <w:rsid w:val="00C96047"/>
    <w:rsid w:val="00C96CB4"/>
    <w:rsid w:val="00C979D0"/>
    <w:rsid w:val="00CA0818"/>
    <w:rsid w:val="00CA2C8F"/>
    <w:rsid w:val="00CA30DA"/>
    <w:rsid w:val="00CA3A24"/>
    <w:rsid w:val="00CB0B65"/>
    <w:rsid w:val="00CB1777"/>
    <w:rsid w:val="00CB224B"/>
    <w:rsid w:val="00CB33E9"/>
    <w:rsid w:val="00CC10A9"/>
    <w:rsid w:val="00CC7043"/>
    <w:rsid w:val="00CC7C59"/>
    <w:rsid w:val="00CD0CE8"/>
    <w:rsid w:val="00CD64F7"/>
    <w:rsid w:val="00CE0190"/>
    <w:rsid w:val="00CE2BF8"/>
    <w:rsid w:val="00CE484E"/>
    <w:rsid w:val="00CF0DA8"/>
    <w:rsid w:val="00CF2E25"/>
    <w:rsid w:val="00CF4453"/>
    <w:rsid w:val="00CF5D94"/>
    <w:rsid w:val="00D034D7"/>
    <w:rsid w:val="00D03C7E"/>
    <w:rsid w:val="00D048CA"/>
    <w:rsid w:val="00D04BE4"/>
    <w:rsid w:val="00D12565"/>
    <w:rsid w:val="00D14127"/>
    <w:rsid w:val="00D22896"/>
    <w:rsid w:val="00D34E8C"/>
    <w:rsid w:val="00D60F02"/>
    <w:rsid w:val="00D611E0"/>
    <w:rsid w:val="00D63624"/>
    <w:rsid w:val="00D66E49"/>
    <w:rsid w:val="00D70F8E"/>
    <w:rsid w:val="00D72F74"/>
    <w:rsid w:val="00D8036F"/>
    <w:rsid w:val="00D81563"/>
    <w:rsid w:val="00D82295"/>
    <w:rsid w:val="00D85907"/>
    <w:rsid w:val="00D9073E"/>
    <w:rsid w:val="00D9221D"/>
    <w:rsid w:val="00D928D5"/>
    <w:rsid w:val="00D958DF"/>
    <w:rsid w:val="00D96DA1"/>
    <w:rsid w:val="00D9767E"/>
    <w:rsid w:val="00DA1784"/>
    <w:rsid w:val="00DA4E8F"/>
    <w:rsid w:val="00DA51E7"/>
    <w:rsid w:val="00DB1C78"/>
    <w:rsid w:val="00DB3D30"/>
    <w:rsid w:val="00DB7D96"/>
    <w:rsid w:val="00DC23FE"/>
    <w:rsid w:val="00DC59E6"/>
    <w:rsid w:val="00DD150B"/>
    <w:rsid w:val="00DD5025"/>
    <w:rsid w:val="00DD6C18"/>
    <w:rsid w:val="00DD7FEC"/>
    <w:rsid w:val="00DE4D3E"/>
    <w:rsid w:val="00DE7AE4"/>
    <w:rsid w:val="00DF1510"/>
    <w:rsid w:val="00DF5B2C"/>
    <w:rsid w:val="00E06484"/>
    <w:rsid w:val="00E122DC"/>
    <w:rsid w:val="00E20A7D"/>
    <w:rsid w:val="00E24445"/>
    <w:rsid w:val="00E275D8"/>
    <w:rsid w:val="00E3118D"/>
    <w:rsid w:val="00E375CA"/>
    <w:rsid w:val="00E37994"/>
    <w:rsid w:val="00E4216D"/>
    <w:rsid w:val="00E567E8"/>
    <w:rsid w:val="00E62AAE"/>
    <w:rsid w:val="00E62E04"/>
    <w:rsid w:val="00E64679"/>
    <w:rsid w:val="00E65EBC"/>
    <w:rsid w:val="00E73432"/>
    <w:rsid w:val="00E77B0C"/>
    <w:rsid w:val="00E77FB8"/>
    <w:rsid w:val="00E80467"/>
    <w:rsid w:val="00E838B0"/>
    <w:rsid w:val="00E84FA1"/>
    <w:rsid w:val="00E86A7C"/>
    <w:rsid w:val="00E878E1"/>
    <w:rsid w:val="00E87F2C"/>
    <w:rsid w:val="00E95278"/>
    <w:rsid w:val="00E963D9"/>
    <w:rsid w:val="00EA20EB"/>
    <w:rsid w:val="00EA2273"/>
    <w:rsid w:val="00EA4CD7"/>
    <w:rsid w:val="00EB2DB3"/>
    <w:rsid w:val="00EB6581"/>
    <w:rsid w:val="00EC0903"/>
    <w:rsid w:val="00EC3FBB"/>
    <w:rsid w:val="00EC4277"/>
    <w:rsid w:val="00EC6877"/>
    <w:rsid w:val="00EC6B7A"/>
    <w:rsid w:val="00ED1C6F"/>
    <w:rsid w:val="00ED3A87"/>
    <w:rsid w:val="00ED5B67"/>
    <w:rsid w:val="00EE1B70"/>
    <w:rsid w:val="00EF23A0"/>
    <w:rsid w:val="00EF264C"/>
    <w:rsid w:val="00EF3FEE"/>
    <w:rsid w:val="00F04B59"/>
    <w:rsid w:val="00F100E0"/>
    <w:rsid w:val="00F11741"/>
    <w:rsid w:val="00F12B1C"/>
    <w:rsid w:val="00F13CF8"/>
    <w:rsid w:val="00F15855"/>
    <w:rsid w:val="00F24813"/>
    <w:rsid w:val="00F32978"/>
    <w:rsid w:val="00F43B4C"/>
    <w:rsid w:val="00F45CB2"/>
    <w:rsid w:val="00F544C0"/>
    <w:rsid w:val="00F5487C"/>
    <w:rsid w:val="00F55332"/>
    <w:rsid w:val="00F61F80"/>
    <w:rsid w:val="00F65519"/>
    <w:rsid w:val="00F713C0"/>
    <w:rsid w:val="00F72B50"/>
    <w:rsid w:val="00F75DDC"/>
    <w:rsid w:val="00F7790F"/>
    <w:rsid w:val="00F7792F"/>
    <w:rsid w:val="00F805D8"/>
    <w:rsid w:val="00F842AA"/>
    <w:rsid w:val="00F8476F"/>
    <w:rsid w:val="00F853E1"/>
    <w:rsid w:val="00F856BF"/>
    <w:rsid w:val="00F94B7A"/>
    <w:rsid w:val="00FA17AC"/>
    <w:rsid w:val="00FA30B9"/>
    <w:rsid w:val="00FA32DE"/>
    <w:rsid w:val="00FA3382"/>
    <w:rsid w:val="00FA59CD"/>
    <w:rsid w:val="00FB1740"/>
    <w:rsid w:val="00FB50A1"/>
    <w:rsid w:val="00FC5469"/>
    <w:rsid w:val="00FC6D7D"/>
    <w:rsid w:val="00FD16B0"/>
    <w:rsid w:val="00FD4FED"/>
    <w:rsid w:val="00FD5A60"/>
    <w:rsid w:val="00FD60A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qFormat/>
    <w:rsid w:val="005C3820"/>
    <w:rPr>
      <w:bCs/>
    </w:r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uiPriority w:val="39"/>
    <w:qFormat/>
    <w:pPr>
      <w:spacing w:before="0"/>
      <w:ind w:left="240"/>
    </w:pPr>
    <w:rPr>
      <w:b/>
      <w:bCs w:val="0"/>
    </w:rPr>
  </w:style>
  <w:style w:type="paragraph" w:styleId="TOC2">
    <w:name w:val="toc 2"/>
    <w:basedOn w:val="TOC1"/>
    <w:next w:val="Normal"/>
    <w:uiPriority w:val="39"/>
    <w:qFormat/>
    <w:pPr>
      <w:spacing w:before="240"/>
    </w:pPr>
    <w:rPr>
      <w:rFonts w:asciiTheme="minorHAnsi" w:hAnsiTheme="minorHAnsi"/>
      <w:caps/>
      <w:sz w:val="20"/>
      <w:szCs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480"/>
    </w:pPr>
    <w:rPr>
      <w:rFonts w:asciiTheme="minorHAnsi" w:hAnsiTheme="minorHAnsi"/>
      <w:sz w:val="20"/>
      <w:szCs w:val="20"/>
    </w:rPr>
  </w:style>
  <w:style w:type="paragraph" w:styleId="TOC5">
    <w:name w:val="toc 5"/>
    <w:basedOn w:val="Normal"/>
    <w:next w:val="Normal"/>
    <w:autoRedefine/>
    <w:semiHidden/>
    <w:pPr>
      <w:ind w:left="720"/>
    </w:pPr>
    <w:rPr>
      <w:rFonts w:asciiTheme="minorHAnsi" w:hAnsiTheme="minorHAnsi"/>
      <w:sz w:val="20"/>
      <w:szCs w:val="20"/>
    </w:rPr>
  </w:style>
  <w:style w:type="paragraph" w:styleId="TOC6">
    <w:name w:val="toc 6"/>
    <w:basedOn w:val="Normal"/>
    <w:next w:val="Normal"/>
    <w:autoRedefine/>
    <w:semiHidden/>
    <w:pPr>
      <w:ind w:left="960"/>
    </w:pPr>
    <w:rPr>
      <w:rFonts w:asciiTheme="minorHAnsi" w:hAnsiTheme="minorHAnsi"/>
      <w:sz w:val="20"/>
      <w:szCs w:val="20"/>
    </w:rPr>
  </w:style>
  <w:style w:type="paragraph" w:styleId="TOC9">
    <w:name w:val="toc 9"/>
    <w:basedOn w:val="TOC1"/>
    <w:next w:val="Normal"/>
    <w:autoRedefine/>
    <w:pPr>
      <w:ind w:left="1680"/>
    </w:pPr>
    <w:rPr>
      <w:rFonts w:asciiTheme="minorHAnsi" w:hAnsiTheme="minorHAnsi"/>
      <w:b/>
      <w:bCs w:val="0"/>
      <w:caps/>
      <w:sz w:val="20"/>
      <w:szCs w:val="20"/>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TOCHeading">
    <w:name w:val="TOC Heading"/>
    <w:basedOn w:val="Heading1"/>
    <w:next w:val="Normal"/>
    <w:uiPriority w:val="39"/>
    <w:semiHidden/>
    <w:unhideWhenUsed/>
    <w:qFormat/>
    <w:rsid w:val="00FD60AD"/>
    <w:pPr>
      <w:keepLines/>
      <w:spacing w:before="480" w:after="0" w:line="276" w:lineRule="auto"/>
      <w:jc w:val="left"/>
      <w:outlineLvl w:val="9"/>
    </w:pPr>
    <w:rPr>
      <w:rFonts w:ascii="Cambria" w:eastAsia="MS Gothic" w:hAnsi="Cambria" w:cs="Times New Roman"/>
      <w:b/>
      <w:color w:val="365F91"/>
      <w:kern w:val="0"/>
      <w:sz w:val="28"/>
      <w:szCs w:val="28"/>
      <w:lang w:eastAsia="ja-JP"/>
    </w:rPr>
  </w:style>
  <w:style w:type="paragraph" w:styleId="TOC7">
    <w:name w:val="toc 7"/>
    <w:basedOn w:val="Normal"/>
    <w:next w:val="Normal"/>
    <w:autoRedefine/>
    <w:rsid w:val="00365967"/>
    <w:pPr>
      <w:ind w:left="1200"/>
    </w:pPr>
    <w:rPr>
      <w:rFonts w:asciiTheme="minorHAnsi" w:hAnsiTheme="minorHAnsi"/>
      <w:sz w:val="20"/>
      <w:szCs w:val="20"/>
    </w:rPr>
  </w:style>
  <w:style w:type="paragraph" w:styleId="TOC8">
    <w:name w:val="toc 8"/>
    <w:basedOn w:val="Normal"/>
    <w:next w:val="Normal"/>
    <w:autoRedefine/>
    <w:rsid w:val="00365967"/>
    <w:pPr>
      <w:ind w:left="1440"/>
    </w:pPr>
    <w:rPr>
      <w:rFonts w:asciiTheme="minorHAnsi" w:hAnsiTheme="minorHAnsi"/>
      <w:sz w:val="20"/>
      <w:szCs w:val="20"/>
    </w:rPr>
  </w:style>
  <w:style w:type="character" w:customStyle="1" w:styleId="FooterChar">
    <w:name w:val="Footer Char"/>
    <w:basedOn w:val="DefaultParagraphFont"/>
    <w:link w:val="Footer"/>
    <w:uiPriority w:val="99"/>
    <w:rsid w:val="004A308E"/>
    <w:rPr>
      <w:sz w:val="24"/>
      <w:szCs w:val="24"/>
    </w:rPr>
  </w:style>
  <w:style w:type="character" w:customStyle="1" w:styleId="FootnoteTextChar">
    <w:name w:val="Footnote Text Char"/>
    <w:basedOn w:val="DefaultParagraphFont"/>
    <w:link w:val="FootnoteText"/>
    <w:uiPriority w:val="99"/>
    <w:rsid w:val="00443FEC"/>
  </w:style>
  <w:style w:type="character" w:styleId="FootnoteReference">
    <w:name w:val="footnote reference"/>
    <w:basedOn w:val="DefaultParagraphFont"/>
    <w:uiPriority w:val="99"/>
    <w:unhideWhenUsed/>
    <w:rsid w:val="00443FEC"/>
    <w:rPr>
      <w:vertAlign w:val="superscript"/>
    </w:rPr>
  </w:style>
  <w:style w:type="numbering" w:styleId="111111">
    <w:name w:val="Outline List 2"/>
    <w:basedOn w:val="NoList"/>
    <w:rsid w:val="00B31FFD"/>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qFormat/>
    <w:rsid w:val="005C3820"/>
    <w:rPr>
      <w:bCs/>
    </w:r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uiPriority w:val="39"/>
    <w:qFormat/>
    <w:pPr>
      <w:spacing w:before="0"/>
      <w:ind w:left="240"/>
    </w:pPr>
    <w:rPr>
      <w:b/>
      <w:bCs w:val="0"/>
    </w:rPr>
  </w:style>
  <w:style w:type="paragraph" w:styleId="TOC2">
    <w:name w:val="toc 2"/>
    <w:basedOn w:val="TOC1"/>
    <w:next w:val="Normal"/>
    <w:uiPriority w:val="39"/>
    <w:qFormat/>
    <w:pPr>
      <w:spacing w:before="240"/>
    </w:pPr>
    <w:rPr>
      <w:rFonts w:asciiTheme="minorHAnsi" w:hAnsiTheme="minorHAnsi"/>
      <w:caps/>
      <w:sz w:val="20"/>
      <w:szCs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480"/>
    </w:pPr>
    <w:rPr>
      <w:rFonts w:asciiTheme="minorHAnsi" w:hAnsiTheme="minorHAnsi"/>
      <w:sz w:val="20"/>
      <w:szCs w:val="20"/>
    </w:rPr>
  </w:style>
  <w:style w:type="paragraph" w:styleId="TOC5">
    <w:name w:val="toc 5"/>
    <w:basedOn w:val="Normal"/>
    <w:next w:val="Normal"/>
    <w:autoRedefine/>
    <w:semiHidden/>
    <w:pPr>
      <w:ind w:left="720"/>
    </w:pPr>
    <w:rPr>
      <w:rFonts w:asciiTheme="minorHAnsi" w:hAnsiTheme="minorHAnsi"/>
      <w:sz w:val="20"/>
      <w:szCs w:val="20"/>
    </w:rPr>
  </w:style>
  <w:style w:type="paragraph" w:styleId="TOC6">
    <w:name w:val="toc 6"/>
    <w:basedOn w:val="Normal"/>
    <w:next w:val="Normal"/>
    <w:autoRedefine/>
    <w:semiHidden/>
    <w:pPr>
      <w:ind w:left="960"/>
    </w:pPr>
    <w:rPr>
      <w:rFonts w:asciiTheme="minorHAnsi" w:hAnsiTheme="minorHAnsi"/>
      <w:sz w:val="20"/>
      <w:szCs w:val="20"/>
    </w:rPr>
  </w:style>
  <w:style w:type="paragraph" w:styleId="TOC9">
    <w:name w:val="toc 9"/>
    <w:basedOn w:val="TOC1"/>
    <w:next w:val="Normal"/>
    <w:autoRedefine/>
    <w:pPr>
      <w:ind w:left="1680"/>
    </w:pPr>
    <w:rPr>
      <w:rFonts w:asciiTheme="minorHAnsi" w:hAnsiTheme="minorHAnsi"/>
      <w:b/>
      <w:bCs w:val="0"/>
      <w:caps/>
      <w:sz w:val="20"/>
      <w:szCs w:val="20"/>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TOCHeading">
    <w:name w:val="TOC Heading"/>
    <w:basedOn w:val="Heading1"/>
    <w:next w:val="Normal"/>
    <w:uiPriority w:val="39"/>
    <w:semiHidden/>
    <w:unhideWhenUsed/>
    <w:qFormat/>
    <w:rsid w:val="00FD60AD"/>
    <w:pPr>
      <w:keepLines/>
      <w:spacing w:before="480" w:after="0" w:line="276" w:lineRule="auto"/>
      <w:jc w:val="left"/>
      <w:outlineLvl w:val="9"/>
    </w:pPr>
    <w:rPr>
      <w:rFonts w:ascii="Cambria" w:eastAsia="MS Gothic" w:hAnsi="Cambria" w:cs="Times New Roman"/>
      <w:b/>
      <w:color w:val="365F91"/>
      <w:kern w:val="0"/>
      <w:sz w:val="28"/>
      <w:szCs w:val="28"/>
      <w:lang w:eastAsia="ja-JP"/>
    </w:rPr>
  </w:style>
  <w:style w:type="paragraph" w:styleId="TOC7">
    <w:name w:val="toc 7"/>
    <w:basedOn w:val="Normal"/>
    <w:next w:val="Normal"/>
    <w:autoRedefine/>
    <w:rsid w:val="00365967"/>
    <w:pPr>
      <w:ind w:left="1200"/>
    </w:pPr>
    <w:rPr>
      <w:rFonts w:asciiTheme="minorHAnsi" w:hAnsiTheme="minorHAnsi"/>
      <w:sz w:val="20"/>
      <w:szCs w:val="20"/>
    </w:rPr>
  </w:style>
  <w:style w:type="paragraph" w:styleId="TOC8">
    <w:name w:val="toc 8"/>
    <w:basedOn w:val="Normal"/>
    <w:next w:val="Normal"/>
    <w:autoRedefine/>
    <w:rsid w:val="00365967"/>
    <w:pPr>
      <w:ind w:left="1440"/>
    </w:pPr>
    <w:rPr>
      <w:rFonts w:asciiTheme="minorHAnsi" w:hAnsiTheme="minorHAnsi"/>
      <w:sz w:val="20"/>
      <w:szCs w:val="20"/>
    </w:rPr>
  </w:style>
  <w:style w:type="character" w:customStyle="1" w:styleId="FooterChar">
    <w:name w:val="Footer Char"/>
    <w:basedOn w:val="DefaultParagraphFont"/>
    <w:link w:val="Footer"/>
    <w:uiPriority w:val="99"/>
    <w:rsid w:val="004A308E"/>
    <w:rPr>
      <w:sz w:val="24"/>
      <w:szCs w:val="24"/>
    </w:rPr>
  </w:style>
  <w:style w:type="character" w:customStyle="1" w:styleId="FootnoteTextChar">
    <w:name w:val="Footnote Text Char"/>
    <w:basedOn w:val="DefaultParagraphFont"/>
    <w:link w:val="FootnoteText"/>
    <w:uiPriority w:val="99"/>
    <w:rsid w:val="00443FEC"/>
  </w:style>
  <w:style w:type="character" w:styleId="FootnoteReference">
    <w:name w:val="footnote reference"/>
    <w:basedOn w:val="DefaultParagraphFont"/>
    <w:uiPriority w:val="99"/>
    <w:unhideWhenUsed/>
    <w:rsid w:val="00443FEC"/>
    <w:rPr>
      <w:vertAlign w:val="superscript"/>
    </w:rPr>
  </w:style>
  <w:style w:type="numbering" w:styleId="111111">
    <w:name w:val="Outline List 2"/>
    <w:basedOn w:val="NoList"/>
    <w:rsid w:val="00B31FF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9986">
      <w:bodyDiv w:val="1"/>
      <w:marLeft w:val="0"/>
      <w:marRight w:val="0"/>
      <w:marTop w:val="0"/>
      <w:marBottom w:val="0"/>
      <w:divBdr>
        <w:top w:val="none" w:sz="0" w:space="0" w:color="auto"/>
        <w:left w:val="none" w:sz="0" w:space="0" w:color="auto"/>
        <w:bottom w:val="none" w:sz="0" w:space="0" w:color="auto"/>
        <w:right w:val="none" w:sz="0" w:space="0" w:color="auto"/>
      </w:divBdr>
    </w:div>
    <w:div w:id="172301534">
      <w:bodyDiv w:val="1"/>
      <w:marLeft w:val="0"/>
      <w:marRight w:val="0"/>
      <w:marTop w:val="0"/>
      <w:marBottom w:val="0"/>
      <w:divBdr>
        <w:top w:val="none" w:sz="0" w:space="0" w:color="auto"/>
        <w:left w:val="none" w:sz="0" w:space="0" w:color="auto"/>
        <w:bottom w:val="none" w:sz="0" w:space="0" w:color="auto"/>
        <w:right w:val="none" w:sz="0" w:space="0" w:color="auto"/>
      </w:divBdr>
    </w:div>
    <w:div w:id="204946893">
      <w:bodyDiv w:val="1"/>
      <w:marLeft w:val="0"/>
      <w:marRight w:val="0"/>
      <w:marTop w:val="0"/>
      <w:marBottom w:val="0"/>
      <w:divBdr>
        <w:top w:val="none" w:sz="0" w:space="0" w:color="auto"/>
        <w:left w:val="none" w:sz="0" w:space="0" w:color="auto"/>
        <w:bottom w:val="none" w:sz="0" w:space="0" w:color="auto"/>
        <w:right w:val="none" w:sz="0" w:space="0" w:color="auto"/>
      </w:divBdr>
    </w:div>
    <w:div w:id="254437873">
      <w:bodyDiv w:val="1"/>
      <w:marLeft w:val="0"/>
      <w:marRight w:val="0"/>
      <w:marTop w:val="0"/>
      <w:marBottom w:val="0"/>
      <w:divBdr>
        <w:top w:val="none" w:sz="0" w:space="0" w:color="auto"/>
        <w:left w:val="none" w:sz="0" w:space="0" w:color="auto"/>
        <w:bottom w:val="none" w:sz="0" w:space="0" w:color="auto"/>
        <w:right w:val="none" w:sz="0" w:space="0" w:color="auto"/>
      </w:divBdr>
    </w:div>
    <w:div w:id="404883659">
      <w:bodyDiv w:val="1"/>
      <w:marLeft w:val="0"/>
      <w:marRight w:val="0"/>
      <w:marTop w:val="0"/>
      <w:marBottom w:val="0"/>
      <w:divBdr>
        <w:top w:val="none" w:sz="0" w:space="0" w:color="auto"/>
        <w:left w:val="none" w:sz="0" w:space="0" w:color="auto"/>
        <w:bottom w:val="none" w:sz="0" w:space="0" w:color="auto"/>
        <w:right w:val="none" w:sz="0" w:space="0" w:color="auto"/>
      </w:divBdr>
    </w:div>
    <w:div w:id="487668768">
      <w:bodyDiv w:val="1"/>
      <w:marLeft w:val="0"/>
      <w:marRight w:val="0"/>
      <w:marTop w:val="0"/>
      <w:marBottom w:val="0"/>
      <w:divBdr>
        <w:top w:val="none" w:sz="0" w:space="0" w:color="auto"/>
        <w:left w:val="none" w:sz="0" w:space="0" w:color="auto"/>
        <w:bottom w:val="none" w:sz="0" w:space="0" w:color="auto"/>
        <w:right w:val="none" w:sz="0" w:space="0" w:color="auto"/>
      </w:divBdr>
    </w:div>
    <w:div w:id="567691410">
      <w:bodyDiv w:val="1"/>
      <w:marLeft w:val="0"/>
      <w:marRight w:val="0"/>
      <w:marTop w:val="0"/>
      <w:marBottom w:val="0"/>
      <w:divBdr>
        <w:top w:val="none" w:sz="0" w:space="0" w:color="auto"/>
        <w:left w:val="none" w:sz="0" w:space="0" w:color="auto"/>
        <w:bottom w:val="none" w:sz="0" w:space="0" w:color="auto"/>
        <w:right w:val="none" w:sz="0" w:space="0" w:color="auto"/>
      </w:divBdr>
    </w:div>
    <w:div w:id="623081330">
      <w:bodyDiv w:val="1"/>
      <w:marLeft w:val="0"/>
      <w:marRight w:val="0"/>
      <w:marTop w:val="0"/>
      <w:marBottom w:val="0"/>
      <w:divBdr>
        <w:top w:val="none" w:sz="0" w:space="0" w:color="auto"/>
        <w:left w:val="none" w:sz="0" w:space="0" w:color="auto"/>
        <w:bottom w:val="none" w:sz="0" w:space="0" w:color="auto"/>
        <w:right w:val="none" w:sz="0" w:space="0" w:color="auto"/>
      </w:divBdr>
    </w:div>
    <w:div w:id="701055408">
      <w:bodyDiv w:val="1"/>
      <w:marLeft w:val="0"/>
      <w:marRight w:val="0"/>
      <w:marTop w:val="0"/>
      <w:marBottom w:val="0"/>
      <w:divBdr>
        <w:top w:val="none" w:sz="0" w:space="0" w:color="auto"/>
        <w:left w:val="none" w:sz="0" w:space="0" w:color="auto"/>
        <w:bottom w:val="none" w:sz="0" w:space="0" w:color="auto"/>
        <w:right w:val="none" w:sz="0" w:space="0" w:color="auto"/>
      </w:divBdr>
    </w:div>
    <w:div w:id="716197466">
      <w:bodyDiv w:val="1"/>
      <w:marLeft w:val="0"/>
      <w:marRight w:val="0"/>
      <w:marTop w:val="0"/>
      <w:marBottom w:val="0"/>
      <w:divBdr>
        <w:top w:val="none" w:sz="0" w:space="0" w:color="auto"/>
        <w:left w:val="none" w:sz="0" w:space="0" w:color="auto"/>
        <w:bottom w:val="none" w:sz="0" w:space="0" w:color="auto"/>
        <w:right w:val="none" w:sz="0" w:space="0" w:color="auto"/>
      </w:divBdr>
    </w:div>
    <w:div w:id="810831889">
      <w:bodyDiv w:val="1"/>
      <w:marLeft w:val="0"/>
      <w:marRight w:val="0"/>
      <w:marTop w:val="0"/>
      <w:marBottom w:val="0"/>
      <w:divBdr>
        <w:top w:val="none" w:sz="0" w:space="0" w:color="auto"/>
        <w:left w:val="none" w:sz="0" w:space="0" w:color="auto"/>
        <w:bottom w:val="none" w:sz="0" w:space="0" w:color="auto"/>
        <w:right w:val="none" w:sz="0" w:space="0" w:color="auto"/>
      </w:divBdr>
    </w:div>
    <w:div w:id="881942501">
      <w:bodyDiv w:val="1"/>
      <w:marLeft w:val="0"/>
      <w:marRight w:val="0"/>
      <w:marTop w:val="0"/>
      <w:marBottom w:val="0"/>
      <w:divBdr>
        <w:top w:val="none" w:sz="0" w:space="0" w:color="auto"/>
        <w:left w:val="none" w:sz="0" w:space="0" w:color="auto"/>
        <w:bottom w:val="none" w:sz="0" w:space="0" w:color="auto"/>
        <w:right w:val="none" w:sz="0" w:space="0" w:color="auto"/>
      </w:divBdr>
    </w:div>
    <w:div w:id="1047532289">
      <w:bodyDiv w:val="1"/>
      <w:marLeft w:val="0"/>
      <w:marRight w:val="0"/>
      <w:marTop w:val="0"/>
      <w:marBottom w:val="0"/>
      <w:divBdr>
        <w:top w:val="none" w:sz="0" w:space="0" w:color="auto"/>
        <w:left w:val="none" w:sz="0" w:space="0" w:color="auto"/>
        <w:bottom w:val="none" w:sz="0" w:space="0" w:color="auto"/>
        <w:right w:val="none" w:sz="0" w:space="0" w:color="auto"/>
      </w:divBdr>
    </w:div>
    <w:div w:id="1080295942">
      <w:bodyDiv w:val="1"/>
      <w:marLeft w:val="0"/>
      <w:marRight w:val="0"/>
      <w:marTop w:val="0"/>
      <w:marBottom w:val="0"/>
      <w:divBdr>
        <w:top w:val="none" w:sz="0" w:space="0" w:color="auto"/>
        <w:left w:val="none" w:sz="0" w:space="0" w:color="auto"/>
        <w:bottom w:val="none" w:sz="0" w:space="0" w:color="auto"/>
        <w:right w:val="none" w:sz="0" w:space="0" w:color="auto"/>
      </w:divBdr>
    </w:div>
    <w:div w:id="1236430989">
      <w:bodyDiv w:val="1"/>
      <w:marLeft w:val="0"/>
      <w:marRight w:val="0"/>
      <w:marTop w:val="0"/>
      <w:marBottom w:val="0"/>
      <w:divBdr>
        <w:top w:val="none" w:sz="0" w:space="0" w:color="auto"/>
        <w:left w:val="none" w:sz="0" w:space="0" w:color="auto"/>
        <w:bottom w:val="none" w:sz="0" w:space="0" w:color="auto"/>
        <w:right w:val="none" w:sz="0" w:space="0" w:color="auto"/>
      </w:divBdr>
    </w:div>
    <w:div w:id="1255674669">
      <w:bodyDiv w:val="1"/>
      <w:marLeft w:val="0"/>
      <w:marRight w:val="0"/>
      <w:marTop w:val="0"/>
      <w:marBottom w:val="0"/>
      <w:divBdr>
        <w:top w:val="none" w:sz="0" w:space="0" w:color="auto"/>
        <w:left w:val="none" w:sz="0" w:space="0" w:color="auto"/>
        <w:bottom w:val="none" w:sz="0" w:space="0" w:color="auto"/>
        <w:right w:val="none" w:sz="0" w:space="0" w:color="auto"/>
      </w:divBdr>
    </w:div>
    <w:div w:id="1264221685">
      <w:bodyDiv w:val="1"/>
      <w:marLeft w:val="0"/>
      <w:marRight w:val="0"/>
      <w:marTop w:val="0"/>
      <w:marBottom w:val="0"/>
      <w:divBdr>
        <w:top w:val="none" w:sz="0" w:space="0" w:color="auto"/>
        <w:left w:val="none" w:sz="0" w:space="0" w:color="auto"/>
        <w:bottom w:val="none" w:sz="0" w:space="0" w:color="auto"/>
        <w:right w:val="none" w:sz="0" w:space="0" w:color="auto"/>
      </w:divBdr>
    </w:div>
    <w:div w:id="1271358325">
      <w:bodyDiv w:val="1"/>
      <w:marLeft w:val="0"/>
      <w:marRight w:val="0"/>
      <w:marTop w:val="0"/>
      <w:marBottom w:val="0"/>
      <w:divBdr>
        <w:top w:val="none" w:sz="0" w:space="0" w:color="auto"/>
        <w:left w:val="none" w:sz="0" w:space="0" w:color="auto"/>
        <w:bottom w:val="none" w:sz="0" w:space="0" w:color="auto"/>
        <w:right w:val="none" w:sz="0" w:space="0" w:color="auto"/>
      </w:divBdr>
    </w:div>
    <w:div w:id="1347902082">
      <w:bodyDiv w:val="1"/>
      <w:marLeft w:val="0"/>
      <w:marRight w:val="0"/>
      <w:marTop w:val="0"/>
      <w:marBottom w:val="0"/>
      <w:divBdr>
        <w:top w:val="none" w:sz="0" w:space="0" w:color="auto"/>
        <w:left w:val="none" w:sz="0" w:space="0" w:color="auto"/>
        <w:bottom w:val="none" w:sz="0" w:space="0" w:color="auto"/>
        <w:right w:val="none" w:sz="0" w:space="0" w:color="auto"/>
      </w:divBdr>
    </w:div>
    <w:div w:id="1382024060">
      <w:bodyDiv w:val="1"/>
      <w:marLeft w:val="0"/>
      <w:marRight w:val="0"/>
      <w:marTop w:val="0"/>
      <w:marBottom w:val="0"/>
      <w:divBdr>
        <w:top w:val="none" w:sz="0" w:space="0" w:color="auto"/>
        <w:left w:val="none" w:sz="0" w:space="0" w:color="auto"/>
        <w:bottom w:val="none" w:sz="0" w:space="0" w:color="auto"/>
        <w:right w:val="none" w:sz="0" w:space="0" w:color="auto"/>
      </w:divBdr>
    </w:div>
    <w:div w:id="1382442376">
      <w:bodyDiv w:val="1"/>
      <w:marLeft w:val="0"/>
      <w:marRight w:val="0"/>
      <w:marTop w:val="0"/>
      <w:marBottom w:val="0"/>
      <w:divBdr>
        <w:top w:val="none" w:sz="0" w:space="0" w:color="auto"/>
        <w:left w:val="none" w:sz="0" w:space="0" w:color="auto"/>
        <w:bottom w:val="none" w:sz="0" w:space="0" w:color="auto"/>
        <w:right w:val="none" w:sz="0" w:space="0" w:color="auto"/>
      </w:divBdr>
    </w:div>
    <w:div w:id="1396779179">
      <w:bodyDiv w:val="1"/>
      <w:marLeft w:val="0"/>
      <w:marRight w:val="0"/>
      <w:marTop w:val="0"/>
      <w:marBottom w:val="0"/>
      <w:divBdr>
        <w:top w:val="none" w:sz="0" w:space="0" w:color="auto"/>
        <w:left w:val="none" w:sz="0" w:space="0" w:color="auto"/>
        <w:bottom w:val="none" w:sz="0" w:space="0" w:color="auto"/>
        <w:right w:val="none" w:sz="0" w:space="0" w:color="auto"/>
      </w:divBdr>
    </w:div>
    <w:div w:id="1495414835">
      <w:bodyDiv w:val="1"/>
      <w:marLeft w:val="0"/>
      <w:marRight w:val="0"/>
      <w:marTop w:val="0"/>
      <w:marBottom w:val="0"/>
      <w:divBdr>
        <w:top w:val="none" w:sz="0" w:space="0" w:color="auto"/>
        <w:left w:val="none" w:sz="0" w:space="0" w:color="auto"/>
        <w:bottom w:val="none" w:sz="0" w:space="0" w:color="auto"/>
        <w:right w:val="none" w:sz="0" w:space="0" w:color="auto"/>
      </w:divBdr>
    </w:div>
    <w:div w:id="1564758674">
      <w:bodyDiv w:val="1"/>
      <w:marLeft w:val="0"/>
      <w:marRight w:val="0"/>
      <w:marTop w:val="0"/>
      <w:marBottom w:val="0"/>
      <w:divBdr>
        <w:top w:val="none" w:sz="0" w:space="0" w:color="auto"/>
        <w:left w:val="none" w:sz="0" w:space="0" w:color="auto"/>
        <w:bottom w:val="none" w:sz="0" w:space="0" w:color="auto"/>
        <w:right w:val="none" w:sz="0" w:space="0" w:color="auto"/>
      </w:divBdr>
    </w:div>
    <w:div w:id="1600528761">
      <w:bodyDiv w:val="1"/>
      <w:marLeft w:val="0"/>
      <w:marRight w:val="0"/>
      <w:marTop w:val="0"/>
      <w:marBottom w:val="0"/>
      <w:divBdr>
        <w:top w:val="none" w:sz="0" w:space="0" w:color="auto"/>
        <w:left w:val="none" w:sz="0" w:space="0" w:color="auto"/>
        <w:bottom w:val="none" w:sz="0" w:space="0" w:color="auto"/>
        <w:right w:val="none" w:sz="0" w:space="0" w:color="auto"/>
      </w:divBdr>
    </w:div>
    <w:div w:id="1655141865">
      <w:bodyDiv w:val="1"/>
      <w:marLeft w:val="0"/>
      <w:marRight w:val="0"/>
      <w:marTop w:val="0"/>
      <w:marBottom w:val="0"/>
      <w:divBdr>
        <w:top w:val="none" w:sz="0" w:space="0" w:color="auto"/>
        <w:left w:val="none" w:sz="0" w:space="0" w:color="auto"/>
        <w:bottom w:val="none" w:sz="0" w:space="0" w:color="auto"/>
        <w:right w:val="none" w:sz="0" w:space="0" w:color="auto"/>
      </w:divBdr>
    </w:div>
    <w:div w:id="1789471729">
      <w:bodyDiv w:val="1"/>
      <w:marLeft w:val="0"/>
      <w:marRight w:val="0"/>
      <w:marTop w:val="0"/>
      <w:marBottom w:val="0"/>
      <w:divBdr>
        <w:top w:val="none" w:sz="0" w:space="0" w:color="auto"/>
        <w:left w:val="none" w:sz="0" w:space="0" w:color="auto"/>
        <w:bottom w:val="none" w:sz="0" w:space="0" w:color="auto"/>
        <w:right w:val="none" w:sz="0" w:space="0" w:color="auto"/>
      </w:divBdr>
    </w:div>
    <w:div w:id="1858156843">
      <w:bodyDiv w:val="1"/>
      <w:marLeft w:val="0"/>
      <w:marRight w:val="0"/>
      <w:marTop w:val="0"/>
      <w:marBottom w:val="0"/>
      <w:divBdr>
        <w:top w:val="none" w:sz="0" w:space="0" w:color="auto"/>
        <w:left w:val="none" w:sz="0" w:space="0" w:color="auto"/>
        <w:bottom w:val="none" w:sz="0" w:space="0" w:color="auto"/>
        <w:right w:val="none" w:sz="0" w:space="0" w:color="auto"/>
      </w:divBdr>
    </w:div>
    <w:div w:id="1892378847">
      <w:bodyDiv w:val="1"/>
      <w:marLeft w:val="0"/>
      <w:marRight w:val="0"/>
      <w:marTop w:val="0"/>
      <w:marBottom w:val="0"/>
      <w:divBdr>
        <w:top w:val="none" w:sz="0" w:space="0" w:color="auto"/>
        <w:left w:val="none" w:sz="0" w:space="0" w:color="auto"/>
        <w:bottom w:val="none" w:sz="0" w:space="0" w:color="auto"/>
        <w:right w:val="none" w:sz="0" w:space="0" w:color="auto"/>
      </w:divBdr>
    </w:div>
    <w:div w:id="1907648863">
      <w:bodyDiv w:val="1"/>
      <w:marLeft w:val="0"/>
      <w:marRight w:val="0"/>
      <w:marTop w:val="0"/>
      <w:marBottom w:val="0"/>
      <w:divBdr>
        <w:top w:val="none" w:sz="0" w:space="0" w:color="auto"/>
        <w:left w:val="none" w:sz="0" w:space="0" w:color="auto"/>
        <w:bottom w:val="none" w:sz="0" w:space="0" w:color="auto"/>
        <w:right w:val="none" w:sz="0" w:space="0" w:color="auto"/>
      </w:divBdr>
    </w:div>
    <w:div w:id="2039042490">
      <w:bodyDiv w:val="1"/>
      <w:marLeft w:val="0"/>
      <w:marRight w:val="0"/>
      <w:marTop w:val="0"/>
      <w:marBottom w:val="0"/>
      <w:divBdr>
        <w:top w:val="none" w:sz="0" w:space="0" w:color="auto"/>
        <w:left w:val="none" w:sz="0" w:space="0" w:color="auto"/>
        <w:bottom w:val="none" w:sz="0" w:space="0" w:color="auto"/>
        <w:right w:val="none" w:sz="0" w:space="0" w:color="auto"/>
      </w:divBdr>
    </w:div>
    <w:div w:id="21433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loridapsc.com/library/financials/WU969-DOCS/ANNUAL-REPORTS/WU969-15-A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D204-690B-48CB-9B5D-D8EBC9C0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35</Pages>
  <Words>9319</Words>
  <Characters>55915</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2016-05-25T18:56:00Z</cp:lastPrinted>
  <dcterms:created xsi:type="dcterms:W3CDTF">2016-05-26T15:30:00Z</dcterms:created>
  <dcterms:modified xsi:type="dcterms:W3CDTF">2016-05-26T15:30:00Z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150199-WU</vt:lpwstr>
  </property>
  <property fmtid="{D5CDD505-2E9C-101B-9397-08002B2CF9AE}" pid="3" name="MasterDocument">
    <vt:bool>false</vt:bool>
  </property>
</Properties>
</file>