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C6B0B">
            <w:pPr>
              <w:jc w:val="center"/>
            </w:pPr>
            <w:r>
              <w:rPr>
                <w:noProof/>
              </w:rPr>
              <w:drawing>
                <wp:inline distT="0" distB="0" distL="0" distR="0">
                  <wp:extent cx="923925" cy="914400"/>
                  <wp:effectExtent l="0" t="0" r="9525" b="0"/>
                  <wp:docPr id="5"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1042E">
            <w:pPr>
              <w:pStyle w:val="MemoHeading"/>
            </w:pPr>
            <w:bookmarkStart w:id="1" w:name="FilingDate"/>
            <w:r>
              <w:t>May 26,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1042E" w:rsidRDefault="0041042E">
            <w:pPr>
              <w:pStyle w:val="MemoHeading"/>
            </w:pPr>
            <w:bookmarkStart w:id="2" w:name="From"/>
            <w:r>
              <w:t>Division of Accounting and Finance (Buys, Archer, Bulecza-Banks, Cicchetti, Yeazel)</w:t>
            </w:r>
          </w:p>
          <w:p w:rsidR="007C0528" w:rsidRDefault="0041042E">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1042E">
            <w:pPr>
              <w:pStyle w:val="MemoHeadingRe"/>
            </w:pPr>
            <w:bookmarkStart w:id="3" w:name="Re"/>
            <w:r>
              <w:t>Docket No. 160006-WS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1042E" w:rsidP="002D7154">
            <w:pPr>
              <w:pStyle w:val="MemoHeading"/>
            </w:pPr>
            <w:bookmarkStart w:id="4" w:name="AgendaDate"/>
            <w:r>
              <w:t>06/09/16</w:t>
            </w:r>
            <w:bookmarkEnd w:id="4"/>
            <w:r w:rsidR="007C0528">
              <w:t xml:space="preserve"> – </w:t>
            </w:r>
            <w:bookmarkStart w:id="5" w:name="PermittedStatus"/>
            <w:r>
              <w:t xml:space="preserve">Regular Agenda – </w:t>
            </w:r>
            <w:r w:rsidR="002D7154">
              <w:t xml:space="preserve">Proposed Agency Action </w:t>
            </w:r>
            <w:r w:rsidR="002D7154" w:rsidRPr="002D7154">
              <w:t xml:space="preserve"> – </w:t>
            </w:r>
            <w:r w:rsidR="002D7154">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1042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1042E">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1042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1042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1042E" w:rsidRPr="0041042E" w:rsidRDefault="0041042E" w:rsidP="0041042E">
      <w:pPr>
        <w:pStyle w:val="BodyText"/>
      </w:pPr>
      <w:r w:rsidRPr="0041042E">
        <w:t xml:space="preserve">Section 367.081(4)(f), Florida Statutes (F.S.), authorizes the Commission to establish, not less than once each year, a leverage formula to calculate a reasonable range of returns on equity (ROE) for water and wastewater (WAW) utilities. The leverage formula methodology currently in use was established in Order No. </w:t>
      </w:r>
      <w:proofErr w:type="gramStart"/>
      <w:r w:rsidRPr="0041042E">
        <w:t>PSC-01-2514-FOF-WS.</w:t>
      </w:r>
      <w:proofErr w:type="gramEnd"/>
      <w:r w:rsidRPr="0041042E">
        <w:rPr>
          <w:vertAlign w:val="superscript"/>
        </w:rPr>
        <w:footnoteReference w:id="1"/>
      </w:r>
      <w:r w:rsidRPr="0041042E">
        <w:t xml:space="preserve"> On October 23, 2008, the Commission held a formal hearing in Docket No. 080006-WS to allow interested parties to </w:t>
      </w:r>
      <w:r w:rsidRPr="0041042E">
        <w:lastRenderedPageBreak/>
        <w:t>provide testimony regarding the validity of the leverage formula.</w:t>
      </w:r>
      <w:r w:rsidRPr="0041042E">
        <w:rPr>
          <w:vertAlign w:val="superscript"/>
        </w:rPr>
        <w:footnoteReference w:id="2"/>
      </w:r>
      <w:r w:rsidRPr="0041042E">
        <w:t xml:space="preserve"> Based on the record in that proceeding, the Commission approved the 2008 leverage formula in Order No. </w:t>
      </w:r>
      <w:proofErr w:type="gramStart"/>
      <w:r w:rsidRPr="0041042E">
        <w:t>PSC-08-0846-FOF-WS.</w:t>
      </w:r>
      <w:proofErr w:type="gramEnd"/>
      <w:r w:rsidRPr="0041042E">
        <w:rPr>
          <w:vertAlign w:val="superscript"/>
        </w:rPr>
        <w:footnoteReference w:id="3"/>
      </w:r>
      <w:r w:rsidRPr="0041042E">
        <w:t xml:space="preserve"> In that order, the Commission reaffirmed the methodology that was previously approved in Order No. </w:t>
      </w:r>
      <w:proofErr w:type="gramStart"/>
      <w:r w:rsidRPr="0041042E">
        <w:t>PSC-01-2514-FOF-WS.</w:t>
      </w:r>
      <w:proofErr w:type="gramEnd"/>
      <w:r w:rsidRPr="0041042E">
        <w:t xml:space="preserve"> </w:t>
      </w:r>
    </w:p>
    <w:p w:rsidR="0041042E" w:rsidRPr="0041042E" w:rsidRDefault="0041042E" w:rsidP="0041042E">
      <w:pPr>
        <w:pStyle w:val="BodyText"/>
      </w:pPr>
      <w:r w:rsidRPr="0041042E">
        <w:t xml:space="preserve">Staff continues to use the leverage formula methodology established in Order No. </w:t>
      </w:r>
      <w:proofErr w:type="gramStart"/>
      <w:r w:rsidRPr="0041042E">
        <w:t>PSC-01-2514-FOF-WS and reaffirmed in Order No.</w:t>
      </w:r>
      <w:proofErr w:type="gramEnd"/>
      <w:r w:rsidRPr="0041042E">
        <w:t xml:space="preserve"> </w:t>
      </w:r>
      <w:proofErr w:type="gramStart"/>
      <w:r w:rsidRPr="0041042E">
        <w:t>PSC-08-0846-FOF-WS.</w:t>
      </w:r>
      <w:proofErr w:type="gramEnd"/>
      <w:r w:rsidRPr="0041042E">
        <w:t xml:space="preserve"> This methodology uses ROEs derived from financial models applied to an index of natural gas utilities. Based on the results of staff’s annual review, there are an insufficient number of WAW utilities that meet the requisite criteria to assemble an appropriate proxy group using only WAW utilities. Therefore, since 2001, the Commission has used natural gas utilities as the proxy companies for the leverage formula. There are many natural gas utilities that have actively traded stocks and forecasted financial data. Staff uses natural gas utilities that derive at least 49 percent of their revenue from regulated rates. These utilities have market power and are influenced significantly by economic regulation. As explained in Issue 1, the model results based on natural gas utilities are adjusted to reflect the risks faced by Florida WAW utilities. </w:t>
      </w:r>
    </w:p>
    <w:p w:rsidR="0068481F" w:rsidRDefault="0041042E" w:rsidP="0041042E">
      <w:pPr>
        <w:pStyle w:val="BodyText"/>
      </w:pPr>
      <w:r w:rsidRPr="0041042E">
        <w:t xml:space="preserve">The Commission approved the current leverage formula in 2011 by Order No. </w:t>
      </w:r>
      <w:proofErr w:type="gramStart"/>
      <w:r w:rsidRPr="0041042E">
        <w:t>PSC-11-0287-PAA-WS.</w:t>
      </w:r>
      <w:proofErr w:type="gramEnd"/>
      <w:r w:rsidRPr="0041042E">
        <w:rPr>
          <w:vertAlign w:val="superscript"/>
        </w:rPr>
        <w:footnoteReference w:id="4"/>
      </w:r>
      <w:r w:rsidRPr="0041042E">
        <w:t xml:space="preserve"> In 2012,</w:t>
      </w:r>
      <w:r w:rsidRPr="0041042E">
        <w:rPr>
          <w:vertAlign w:val="superscript"/>
        </w:rPr>
        <w:footnoteReference w:id="5"/>
      </w:r>
      <w:r w:rsidRPr="0041042E">
        <w:t xml:space="preserve"> 2013,</w:t>
      </w:r>
      <w:r w:rsidRPr="0041042E">
        <w:rPr>
          <w:vertAlign w:val="superscript"/>
        </w:rPr>
        <w:footnoteReference w:id="6"/>
      </w:r>
      <w:r w:rsidRPr="0041042E">
        <w:t xml:space="preserve"> 2014,</w:t>
      </w:r>
      <w:r w:rsidRPr="0041042E">
        <w:rPr>
          <w:vertAlign w:val="superscript"/>
        </w:rPr>
        <w:footnoteReference w:id="7"/>
      </w:r>
      <w:r w:rsidRPr="0041042E">
        <w:t xml:space="preserve"> and 2015</w:t>
      </w:r>
      <w:r w:rsidRPr="0041042E">
        <w:rPr>
          <w:vertAlign w:val="superscript"/>
        </w:rPr>
        <w:footnoteReference w:id="8"/>
      </w:r>
      <w:r w:rsidRPr="0041042E">
        <w:t xml:space="preserve"> the Commission approved staff’s recommendations to continue to use the 2011 leverage formula for establishing the authorized ROE for WAW utilities. In 2012, 2013, 2014, and 2015, the Commission found that the range of returns on equity derived from the annual leverage formulas were not optimal for determining the appropriate authorized ROE for WAW utilities due to Federal Reserve monetary policies that resulted in historically low interest rates. Consequently, the Commission decided that the range of returns on equity of 8.74 percent to 11.16 percent from the 2011 leverage formula was more </w:t>
      </w:r>
      <w:proofErr w:type="gramStart"/>
      <w:r w:rsidRPr="0041042E">
        <w:t>reasonable</w:t>
      </w:r>
      <w:proofErr w:type="gramEnd"/>
      <w:r w:rsidRPr="0041042E">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1042E" w:rsidRDefault="0041042E">
      <w:pPr>
        <w:pStyle w:val="IssueHeading"/>
        <w:rPr>
          <w:vanish/>
          <w:specVanish/>
        </w:rPr>
      </w:pPr>
      <w:r w:rsidRPr="004C3641">
        <w:t xml:space="preserve">Issue </w:t>
      </w:r>
      <w:r w:rsidR="00435E2E">
        <w:fldChar w:fldCharType="begin"/>
      </w:r>
      <w:r w:rsidR="00435E2E">
        <w:instrText xml:space="preserve"> SEQ Issue \* MERGEFORMAT </w:instrText>
      </w:r>
      <w:r w:rsidR="00435E2E">
        <w:fldChar w:fldCharType="separate"/>
      </w:r>
      <w:r w:rsidR="00D77270">
        <w:rPr>
          <w:noProof/>
        </w:rPr>
        <w:t>1</w:t>
      </w:r>
      <w:r w:rsidR="00435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77270">
        <w:rPr>
          <w:noProof/>
        </w:rPr>
        <w:instrText>1</w:instrText>
      </w:r>
      <w:r>
        <w:fldChar w:fldCharType="end"/>
      </w:r>
      <w:r>
        <w:tab/>
        <w:instrText xml:space="preserve">(Archer, Yeazel)" \l 1 </w:instrText>
      </w:r>
      <w:r>
        <w:fldChar w:fldCharType="end"/>
      </w:r>
      <w:r>
        <w:t> </w:t>
      </w:r>
    </w:p>
    <w:p w:rsidR="0041042E" w:rsidRPr="0041042E" w:rsidRDefault="0041042E" w:rsidP="0041042E">
      <w:pPr>
        <w:pStyle w:val="BodyText"/>
      </w:pPr>
      <w:r>
        <w:t> </w:t>
      </w:r>
      <w:r w:rsidRPr="0041042E">
        <w:t>What is the appropriate range of returns on common equity for water and wastewater utilities pursuant to Section 367.081(4</w:t>
      </w:r>
      <w:proofErr w:type="gramStart"/>
      <w:r w:rsidRPr="0041042E">
        <w:t>)(</w:t>
      </w:r>
      <w:proofErr w:type="gramEnd"/>
      <w:r w:rsidRPr="0041042E">
        <w:t>f), Florida Statutes?</w:t>
      </w:r>
    </w:p>
    <w:p w:rsidR="0041042E" w:rsidRPr="004C3641" w:rsidRDefault="0041042E">
      <w:pPr>
        <w:pStyle w:val="IssueSubsectionHeading"/>
        <w:rPr>
          <w:vanish/>
          <w:specVanish/>
        </w:rPr>
      </w:pPr>
      <w:r w:rsidRPr="004C3641">
        <w:t>Recommendation: </w:t>
      </w:r>
    </w:p>
    <w:p w:rsidR="0041042E" w:rsidRPr="0041042E" w:rsidRDefault="0041042E" w:rsidP="0041042E">
      <w:pPr>
        <w:pStyle w:val="BodyText"/>
        <w:rPr>
          <w:bCs/>
          <w:iCs/>
        </w:rPr>
      </w:pPr>
      <w:r>
        <w:t> </w:t>
      </w:r>
      <w:r w:rsidRPr="0041042E">
        <w:rPr>
          <w:bCs/>
          <w:iCs/>
        </w:rPr>
        <w:t xml:space="preserve">Staff recommends that the current leverage formula approved by the Commission in Order No. </w:t>
      </w:r>
      <w:r w:rsidRPr="0041042E">
        <w:t>PSC-15-0259-PAA-WS</w:t>
      </w:r>
      <w:r w:rsidRPr="0041042E">
        <w:rPr>
          <w:bCs/>
          <w:iCs/>
        </w:rPr>
        <w:t xml:space="preserve"> continue to be used until the leverage formula is readdressed in 2017. Accordingly, staff recommends the following leverage formula:</w:t>
      </w:r>
    </w:p>
    <w:p w:rsidR="0041042E" w:rsidRPr="0041042E" w:rsidRDefault="0041042E" w:rsidP="0041042E">
      <w:pPr>
        <w:spacing w:after="240"/>
        <w:ind w:left="720" w:firstLine="720"/>
        <w:jc w:val="both"/>
      </w:pPr>
      <w:r w:rsidRPr="0041042E">
        <w:t xml:space="preserve">Return on Common Equity </w:t>
      </w:r>
      <w:proofErr w:type="gramStart"/>
      <w:r w:rsidRPr="0041042E">
        <w:t>=  7.13</w:t>
      </w:r>
      <w:proofErr w:type="gramEnd"/>
      <w:r w:rsidRPr="0041042E">
        <w:t>% + (1.610 ÷ Equity Ratio)</w:t>
      </w:r>
    </w:p>
    <w:p w:rsidR="0041042E" w:rsidRPr="0041042E" w:rsidRDefault="0041042E" w:rsidP="0041042E">
      <w:pPr>
        <w:spacing w:after="240"/>
        <w:jc w:val="both"/>
      </w:pPr>
      <w:r w:rsidRPr="0041042E">
        <w:t>Where the Equity Ratio = Common Equity ÷ (Common Equity + Preferred Equity + Long-Term and Short-Term Debt)</w:t>
      </w:r>
    </w:p>
    <w:p w:rsidR="0041042E" w:rsidRPr="0041042E" w:rsidRDefault="0041042E" w:rsidP="0041042E">
      <w:pPr>
        <w:spacing w:after="240"/>
        <w:ind w:firstLine="720"/>
        <w:jc w:val="both"/>
      </w:pPr>
      <w:r w:rsidRPr="0041042E">
        <w:tab/>
        <w:t>Range: 8.74% @ 100% equity to 11.16% @ 40% equity</w:t>
      </w:r>
    </w:p>
    <w:p w:rsidR="0041042E" w:rsidRDefault="0041042E" w:rsidP="0041042E">
      <w:pPr>
        <w:pStyle w:val="BodyText"/>
      </w:pPr>
      <w:r w:rsidRPr="0041042E">
        <w:t xml:space="preserve">Additionally, staff recommends that the Commission cap returns on common equity at 11.16 percent for all WAW utilities with equity ratios less than 40 percent. Staff believes this will discourage imprudent financial risk. This cap is consistent with the methodology in Order No. </w:t>
      </w:r>
      <w:proofErr w:type="gramStart"/>
      <w:r w:rsidRPr="0041042E">
        <w:t>PSC-08-0846-FOF-WS.</w:t>
      </w:r>
      <w:proofErr w:type="gramEnd"/>
      <w:r>
        <w:t xml:space="preserve"> (Archer, Yeazel)</w:t>
      </w:r>
    </w:p>
    <w:p w:rsidR="0041042E" w:rsidRPr="004C3641" w:rsidRDefault="0041042E">
      <w:pPr>
        <w:pStyle w:val="IssueSubsectionHeading"/>
        <w:rPr>
          <w:vanish/>
          <w:specVanish/>
        </w:rPr>
      </w:pPr>
      <w:r w:rsidRPr="004C3641">
        <w:t>Staff Analysis: </w:t>
      </w:r>
    </w:p>
    <w:p w:rsidR="0041042E" w:rsidRPr="0041042E" w:rsidRDefault="0041042E" w:rsidP="0041042E">
      <w:pPr>
        <w:pStyle w:val="BodyText"/>
      </w:pPr>
      <w:r>
        <w:t> </w:t>
      </w:r>
      <w:r w:rsidRPr="0041042E">
        <w:t>Section 367.081(4</w:t>
      </w:r>
      <w:proofErr w:type="gramStart"/>
      <w:r w:rsidRPr="0041042E">
        <w:t>)(</w:t>
      </w:r>
      <w:proofErr w:type="gramEnd"/>
      <w:r w:rsidRPr="0041042E">
        <w:t>f), F.S., authorizes the Commission to establish a leverage formula to calculate a reasonable range of returns on common equity for WAW utilities. The Commission must establish this leverage formula not less than once a year. For administrative efficiency, the leverage formula is used to determine the appropriate return for an average Florida WAW utility. Traditionally, the Commission has applied the same leverage formula to all WAW utilities. As is the case with other regulated companies under the Commission’s jurisdiction, the Commission has discretion in the determination of the appropriate ROE based on the evidentiary record in any proceeding. If one or more parties file testimony in opposition to the use of the leverage formula, the Commission will determine the appropriate ROE based on the evidentiary record in that proceeding.</w:t>
      </w:r>
    </w:p>
    <w:p w:rsidR="0041042E" w:rsidRDefault="0041042E" w:rsidP="0041042E">
      <w:pPr>
        <w:pStyle w:val="First-LevelSubheading"/>
      </w:pPr>
      <w:r>
        <w:t>Methodology</w:t>
      </w:r>
    </w:p>
    <w:p w:rsidR="0041042E" w:rsidRPr="0041042E" w:rsidRDefault="0041042E" w:rsidP="0041042E">
      <w:pPr>
        <w:pStyle w:val="BodyText"/>
      </w:pPr>
      <w:r w:rsidRPr="0041042E">
        <w:t>The leverage formula relies on two ROE models. Staff adjusts the results of these models to reflect differences in risk and debt cost between the index of companies used in the models and the average Florida WAW utility. Both models include a four percent adjustment for flotation costs. The models are as follows:</w:t>
      </w:r>
    </w:p>
    <w:p w:rsidR="0041042E" w:rsidRPr="0041042E" w:rsidRDefault="0041042E" w:rsidP="0041042E">
      <w:pPr>
        <w:pStyle w:val="BodyText"/>
        <w:numPr>
          <w:ilvl w:val="0"/>
          <w:numId w:val="11"/>
        </w:numPr>
      </w:pPr>
      <w:r w:rsidRPr="0041042E">
        <w:t xml:space="preserve">A Discounted Cash Flow (DCF) model applied to an index of natural gas utilities that have publicly traded stock and are followed by the Value Line Investment Survey (Value Line). This DCF model is an annual model and uses prospective growth rates. </w:t>
      </w:r>
    </w:p>
    <w:p w:rsidR="0041042E" w:rsidRPr="0041042E" w:rsidRDefault="0041042E" w:rsidP="0041042E">
      <w:pPr>
        <w:pStyle w:val="BodyText"/>
        <w:numPr>
          <w:ilvl w:val="0"/>
          <w:numId w:val="11"/>
        </w:numPr>
      </w:pPr>
      <w:r w:rsidRPr="0041042E">
        <w:t xml:space="preserve">The index consists of eight natural gas companies that derive at least 49 percent of their total revenue from gas distribution service. These companies have a median Standard and Poor’s bond rating of A-. </w:t>
      </w:r>
    </w:p>
    <w:p w:rsidR="0041042E" w:rsidRPr="0041042E" w:rsidRDefault="0041042E" w:rsidP="0041042E">
      <w:pPr>
        <w:pStyle w:val="BodyText"/>
        <w:numPr>
          <w:ilvl w:val="0"/>
          <w:numId w:val="11"/>
        </w:numPr>
      </w:pPr>
      <w:r w:rsidRPr="0041042E">
        <w:lastRenderedPageBreak/>
        <w:t>A Capital Asset Pricing Model (CAPM) using a market return for companies followed by Value Line, the average yield on the Treasury’s long-term bonds projected by the Blue Chip Financial Forecasts, and the average beta for the index of natural gas utilities. The market return for the 2016 leverage formula was calculated using a quarterly DCF model with stock prices as of May 12, 2015.</w:t>
      </w:r>
    </w:p>
    <w:p w:rsidR="0041042E" w:rsidRPr="0041042E" w:rsidRDefault="0041042E" w:rsidP="0041042E">
      <w:pPr>
        <w:pStyle w:val="BodyText"/>
      </w:pPr>
      <w:r w:rsidRPr="0041042E">
        <w:t>Staff averages the indicated returns of the above models and adjusted the result as follows:</w:t>
      </w:r>
    </w:p>
    <w:p w:rsidR="0041042E" w:rsidRPr="0041042E" w:rsidRDefault="0041042E" w:rsidP="0041042E">
      <w:pPr>
        <w:pStyle w:val="BodyText"/>
        <w:numPr>
          <w:ilvl w:val="0"/>
          <w:numId w:val="13"/>
        </w:numPr>
      </w:pPr>
      <w:r w:rsidRPr="0041042E">
        <w:t>A bond yield differential of 45 basis points is added to reflect the difference in yields between an A-</w:t>
      </w:r>
      <w:proofErr w:type="gramStart"/>
      <w:r w:rsidRPr="0041042E">
        <w:t>/A3</w:t>
      </w:r>
      <w:proofErr w:type="gramEnd"/>
      <w:r w:rsidRPr="0041042E">
        <w:t xml:space="preserve"> rated bond, which is the median bond rating for the natural gas utility index, and a BBB-/Baa3 rated bond. Florida WAW utilities are assumed to be comparable to companies with the lowest investment grade bond rating, which is Baa3. This adjustment compensates for the difference between the credit quality of “A-” rated debt and the credit quality of the minimum investment grade rating.</w:t>
      </w:r>
    </w:p>
    <w:p w:rsidR="0041042E" w:rsidRPr="0041042E" w:rsidRDefault="0041042E" w:rsidP="0041042E">
      <w:pPr>
        <w:pStyle w:val="BodyText"/>
        <w:numPr>
          <w:ilvl w:val="0"/>
          <w:numId w:val="13"/>
        </w:numPr>
      </w:pPr>
      <w:r w:rsidRPr="0041042E">
        <w:t>A private placement premium of 50 basis points is added to reflect the difference in yields on publicly traded debt and privately placed debt, which is illiquid. Investors require a premium for the lack of liquidity of privately placed debt.</w:t>
      </w:r>
    </w:p>
    <w:p w:rsidR="0041042E" w:rsidRPr="0041042E" w:rsidRDefault="0041042E" w:rsidP="0041042E">
      <w:pPr>
        <w:pStyle w:val="BodyText"/>
        <w:numPr>
          <w:ilvl w:val="0"/>
          <w:numId w:val="13"/>
        </w:numPr>
      </w:pPr>
      <w:r w:rsidRPr="0041042E">
        <w:t>A small utility risk premium of 50 basis points is added because the average Florida WAW utility is too small to qualify for privately placed debt.</w:t>
      </w:r>
    </w:p>
    <w:p w:rsidR="0041042E" w:rsidRPr="0041042E" w:rsidRDefault="0041042E" w:rsidP="0041042E">
      <w:pPr>
        <w:pStyle w:val="BodyText"/>
      </w:pPr>
      <w:r w:rsidRPr="0041042E">
        <w:t xml:space="preserve">After the above adjustments, the resulting cost of equity estimate is included in the average capital structure for the natural gas utilities. </w:t>
      </w:r>
    </w:p>
    <w:p w:rsidR="0041042E" w:rsidRPr="0041042E" w:rsidRDefault="0041042E" w:rsidP="0041042E">
      <w:pPr>
        <w:pStyle w:val="BodyText"/>
      </w:pPr>
      <w:r w:rsidRPr="0041042E">
        <w:t>Staff notes that the leverage formula depends on four basic assumptions:</w:t>
      </w:r>
    </w:p>
    <w:p w:rsidR="0041042E" w:rsidRPr="0041042E" w:rsidRDefault="0041042E" w:rsidP="0041042E">
      <w:pPr>
        <w:pStyle w:val="BodyText"/>
        <w:numPr>
          <w:ilvl w:val="0"/>
          <w:numId w:val="12"/>
        </w:numPr>
      </w:pPr>
      <w:r w:rsidRPr="0041042E">
        <w:t>Business risk is similar for all WAW utilities;</w:t>
      </w:r>
    </w:p>
    <w:p w:rsidR="0041042E" w:rsidRPr="0041042E" w:rsidRDefault="0041042E" w:rsidP="0041042E">
      <w:pPr>
        <w:pStyle w:val="BodyText"/>
        <w:numPr>
          <w:ilvl w:val="0"/>
          <w:numId w:val="12"/>
        </w:numPr>
      </w:pPr>
      <w:r w:rsidRPr="0041042E">
        <w:t>The cost of equity is an exponential function of the equity ratio but a linear function of the debt to equity ratio over the relevant range;</w:t>
      </w:r>
    </w:p>
    <w:p w:rsidR="0041042E" w:rsidRPr="0041042E" w:rsidRDefault="0041042E" w:rsidP="0041042E">
      <w:pPr>
        <w:pStyle w:val="BodyText"/>
        <w:numPr>
          <w:ilvl w:val="0"/>
          <w:numId w:val="12"/>
        </w:numPr>
      </w:pPr>
      <w:r w:rsidRPr="0041042E">
        <w:t>The marginal weighted average cost of investor capital is constant over the equity ratio range of 40 percent to 100 percent; and</w:t>
      </w:r>
    </w:p>
    <w:p w:rsidR="0041042E" w:rsidRPr="0041042E" w:rsidRDefault="0041042E" w:rsidP="0041042E">
      <w:pPr>
        <w:pStyle w:val="BodyText"/>
        <w:numPr>
          <w:ilvl w:val="0"/>
          <w:numId w:val="12"/>
        </w:numPr>
      </w:pPr>
      <w:r w:rsidRPr="0041042E">
        <w:t>The debt cost rate at an assumed Moody’s Baa3 bond rating, plus a 50 basis point private placement premium and a 50 basis point small utility risk premium, represents the average marginal cost of debt to a Florida WAW utility over an equity ratio range of 40 percent to 100 percent.</w:t>
      </w:r>
    </w:p>
    <w:p w:rsidR="0041042E" w:rsidRPr="0041042E" w:rsidRDefault="0041042E" w:rsidP="0041042E">
      <w:pPr>
        <w:pStyle w:val="BodyText"/>
      </w:pPr>
      <w:r w:rsidRPr="0041042E">
        <w:t>For these reasons, the leverage formula is assumed to be appropriate for the average Florida WAW utility.</w:t>
      </w:r>
    </w:p>
    <w:p w:rsidR="0041042E" w:rsidRDefault="0041042E" w:rsidP="0041042E">
      <w:pPr>
        <w:pStyle w:val="First-LevelSubheading"/>
      </w:pPr>
      <w:r>
        <w:t>Updated Leverage Formula</w:t>
      </w:r>
    </w:p>
    <w:p w:rsidR="0041042E" w:rsidRPr="0041042E" w:rsidRDefault="0041042E" w:rsidP="0041042E">
      <w:pPr>
        <w:spacing w:after="240"/>
        <w:jc w:val="both"/>
      </w:pPr>
      <w:r w:rsidRPr="0041042E">
        <w:t xml:space="preserve">In the instant docket, staff updated the leverage formula using the most recent 2016 financial data and the Commission approved methodology. The derivation of the leverage formula using the current methodology with updated financial information is presented in Attachment 1 of this recommendation. </w:t>
      </w:r>
    </w:p>
    <w:p w:rsidR="0041042E" w:rsidRPr="0041042E" w:rsidRDefault="0041042E" w:rsidP="0041042E">
      <w:pPr>
        <w:spacing w:after="240"/>
        <w:jc w:val="both"/>
      </w:pPr>
      <w:r w:rsidRPr="0041042E">
        <w:lastRenderedPageBreak/>
        <w:t xml:space="preserve">Using the updated financial data in the leverage formula decreases both the lower end of the current allowed ROE range by 111 basis points and the upper end of the range by 53 basis points. Overall, the spread between the </w:t>
      </w:r>
      <w:proofErr w:type="gramStart"/>
      <w:r w:rsidRPr="0041042E">
        <w:t>range</w:t>
      </w:r>
      <w:proofErr w:type="gramEnd"/>
      <w:r w:rsidRPr="0041042E">
        <w:t xml:space="preserve"> of returns on equity based on the updated leverage formula is 300 basis points (7.63 percent to 10.63 percent). In comparison, the spread in the range of returns on equity for the existing leverage formula is 242 basis points (8.74 percent to 11.16 percent). The 300 basis point spread reflected in the updated leverage formula is significantly greater than the 20-year average spread of 187 basis points.</w:t>
      </w:r>
    </w:p>
    <w:p w:rsidR="0041042E" w:rsidRPr="0041042E" w:rsidRDefault="0041042E" w:rsidP="0041042E">
      <w:pPr>
        <w:spacing w:after="240"/>
        <w:jc w:val="both"/>
      </w:pPr>
      <w:r w:rsidRPr="0041042E">
        <w:t>The inflated ROE spread relative to the 2011 leverage formula is caused by the very low bond rates resulting from the Federal Reserve’s various monetary policies and quantitative easing programs, which are largely still in effect. In its press release dated April 27, 2016, the Federal Reserve stated:</w:t>
      </w:r>
      <w:r w:rsidRPr="0041042E">
        <w:rPr>
          <w:vertAlign w:val="superscript"/>
        </w:rPr>
        <w:footnoteReference w:id="9"/>
      </w:r>
    </w:p>
    <w:p w:rsidR="0041042E" w:rsidRPr="0041042E" w:rsidRDefault="0041042E" w:rsidP="0041042E">
      <w:pPr>
        <w:spacing w:after="240"/>
        <w:ind w:left="720" w:right="720"/>
        <w:jc w:val="both"/>
      </w:pPr>
      <w:r w:rsidRPr="0041042E">
        <w:t>Consistent with its statutory mandate, the Committee seeks to foster maximum employment and price stability. The Committee currently expects that, with gradual adjustments in the stance of monetary policy, economic activity will expand at a moderate pace and labor market indicators will continue to strengthen. Inflation is expected to remain low in the near term, in part because of earlier declines in energy prices, but to rise to 2 percent over the medium term as the transitory effects of declines in energy and import prices dissipate and the labor market strengthens further. The Committee continues to closely monitor inflation indicators and global economic and financial developments.</w:t>
      </w:r>
    </w:p>
    <w:p w:rsidR="0041042E" w:rsidRPr="0041042E" w:rsidRDefault="0041042E" w:rsidP="0041042E">
      <w:pPr>
        <w:spacing w:after="240"/>
        <w:ind w:left="720" w:right="720"/>
        <w:jc w:val="both"/>
      </w:pPr>
      <w:r w:rsidRPr="0041042E">
        <w:t>Against this backdrop, the Committee decided to maintain the target range for the federal funds rate at 1/4 to 1/2 percent. The stance of monetary policy remains accommodative, thereby supporting further improvement in labor market conditions and a return to 2 percent inflation.</w:t>
      </w:r>
    </w:p>
    <w:p w:rsidR="0041042E" w:rsidRPr="0041042E" w:rsidRDefault="0041042E" w:rsidP="0041042E">
      <w:pPr>
        <w:spacing w:after="240"/>
        <w:ind w:left="720" w:right="720"/>
        <w:jc w:val="both"/>
      </w:pPr>
      <w:r w:rsidRPr="0041042E">
        <w:t>In determining the timing and size of future adjustments to the target range for the federal funds rate, the Committee will assess realized and expected economic conditions relative to its objectives of maximum employment and 2 percent inflation. This assessment will take into account a wide range of information, including measures of labor market conditions, indicators of inflation pressures and inflation expectations, and readings on financial and international developments. In light of the current shortfall of inflation from 2 percent, the Committee will carefully monitor actual and expected progress toward its inflation goal. The Committee expects that economic conditions will evolve in a manner that will warrant only gradual increases in the federal funds rate; the federal funds rate is likely to remain, for some time, below levels that are expected to prevail in the longer run. However, the actual path of the federal funds rate will depend on the economic outlook as informed by incoming data.</w:t>
      </w:r>
    </w:p>
    <w:p w:rsidR="0041042E" w:rsidRPr="0041042E" w:rsidRDefault="0041042E" w:rsidP="0041042E">
      <w:pPr>
        <w:spacing w:after="120"/>
        <w:jc w:val="both"/>
        <w:rPr>
          <w:highlight w:val="yellow"/>
        </w:rPr>
      </w:pPr>
      <w:r w:rsidRPr="0041042E">
        <w:t xml:space="preserve">The most recent assumed Baa3 bond rate of 5.63 percent used in the updated leverage formula calculation, which includes a 50 basis point adjustment for small company risk and a 50 basis </w:t>
      </w:r>
      <w:r w:rsidRPr="0041042E">
        <w:lastRenderedPageBreak/>
        <w:t>point adjustment for a private placement premium, remains low relative to historic levels. In comparison, the assumed Baa3 bond rate used in the existing leverage formula is 7.13 percent.</w:t>
      </w:r>
    </w:p>
    <w:p w:rsidR="0041042E" w:rsidRPr="0041042E" w:rsidRDefault="0041042E" w:rsidP="00640599">
      <w:pPr>
        <w:spacing w:after="240"/>
        <w:jc w:val="both"/>
      </w:pPr>
      <w:r w:rsidRPr="0041042E">
        <w:t>Because interest rates are at historically low levels, thereby increasing the slope of the leverage formula relative to prior years, staff believes the range of returns on equity produced from the updated leverage formula is not optimal for determining the appropriate authorized ROE for Florida WAW utilities at this time. An increase in the slope of the leverage formula means a given change in the equity ratio will result in a greater change to the cost of equity. The results of this year’s leverage formula produced a slope consistent with the slopes produced by financial data for 2012 through 2015. As shown on the following page, Chart 1-1 illustrates the change in the slope of the 2016 leverage formula compared to the current leverage formula.</w:t>
      </w:r>
    </w:p>
    <w:p w:rsidR="0041042E" w:rsidRPr="0041042E" w:rsidRDefault="0041042E" w:rsidP="0041042E">
      <w:pPr>
        <w:jc w:val="center"/>
        <w:rPr>
          <w:rFonts w:ascii="Arial" w:hAnsi="Arial" w:cs="Arial"/>
          <w:b/>
        </w:rPr>
      </w:pPr>
      <w:r w:rsidRPr="0041042E">
        <w:rPr>
          <w:rFonts w:ascii="Arial" w:hAnsi="Arial" w:cs="Arial"/>
          <w:b/>
        </w:rPr>
        <w:t>Chart 1-1</w:t>
      </w:r>
    </w:p>
    <w:p w:rsidR="0041042E" w:rsidRPr="0041042E" w:rsidRDefault="0041042E" w:rsidP="0041042E">
      <w:pPr>
        <w:spacing w:after="120"/>
        <w:jc w:val="center"/>
        <w:rPr>
          <w:rFonts w:ascii="Arial" w:hAnsi="Arial" w:cs="Arial"/>
          <w:b/>
          <w:noProof/>
        </w:rPr>
      </w:pPr>
      <w:r w:rsidRPr="0041042E">
        <w:rPr>
          <w:rFonts w:ascii="Arial" w:hAnsi="Arial" w:cs="Arial"/>
          <w:b/>
        </w:rPr>
        <w:t>Comparison of Annual Leverage Formulas</w:t>
      </w:r>
    </w:p>
    <w:p w:rsidR="0041042E" w:rsidRPr="0041042E" w:rsidRDefault="00BC6B0B" w:rsidP="0041042E">
      <w:pPr>
        <w:jc w:val="center"/>
      </w:pPr>
      <w:r>
        <w:rPr>
          <w:noProof/>
        </w:rPr>
        <w:drawing>
          <wp:inline distT="0" distB="0" distL="0" distR="0">
            <wp:extent cx="6048375" cy="317182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3171825"/>
                    </a:xfrm>
                    <a:prstGeom prst="rect">
                      <a:avLst/>
                    </a:prstGeom>
                    <a:noFill/>
                    <a:ln>
                      <a:noFill/>
                    </a:ln>
                  </pic:spPr>
                </pic:pic>
              </a:graphicData>
            </a:graphic>
          </wp:inline>
        </w:drawing>
      </w:r>
    </w:p>
    <w:p w:rsidR="0041042E" w:rsidRPr="0041042E" w:rsidRDefault="0041042E" w:rsidP="0041042E">
      <w:pPr>
        <w:spacing w:after="120"/>
      </w:pPr>
      <w:r w:rsidRPr="0041042E">
        <w:t>Source: FPSC Staff Analysis</w:t>
      </w:r>
    </w:p>
    <w:p w:rsidR="0041042E" w:rsidRPr="0041042E" w:rsidRDefault="0041042E" w:rsidP="002D7154">
      <w:pPr>
        <w:spacing w:after="200" w:line="276" w:lineRule="auto"/>
      </w:pPr>
      <w:r w:rsidRPr="0041042E">
        <w:br w:type="page"/>
      </w:r>
      <w:r w:rsidRPr="0041042E">
        <w:lastRenderedPageBreak/>
        <w:t>Chart 1-2 illustrates the change in the slope of the leverage formula for the six years 2011 through 2016.</w:t>
      </w:r>
    </w:p>
    <w:p w:rsidR="0041042E" w:rsidRPr="0041042E" w:rsidRDefault="0041042E" w:rsidP="0041042E">
      <w:pPr>
        <w:jc w:val="center"/>
        <w:rPr>
          <w:rFonts w:ascii="Arial" w:hAnsi="Arial" w:cs="Arial"/>
          <w:b/>
        </w:rPr>
      </w:pPr>
      <w:r w:rsidRPr="0041042E">
        <w:rPr>
          <w:rFonts w:ascii="Arial" w:hAnsi="Arial" w:cs="Arial"/>
          <w:b/>
        </w:rPr>
        <w:t>Chart 1-2</w:t>
      </w:r>
    </w:p>
    <w:p w:rsidR="002D7154" w:rsidRDefault="0041042E" w:rsidP="002D7154">
      <w:pPr>
        <w:spacing w:after="120"/>
        <w:jc w:val="center"/>
        <w:rPr>
          <w:rFonts w:ascii="Arial" w:hAnsi="Arial" w:cs="Arial"/>
          <w:b/>
        </w:rPr>
      </w:pPr>
      <w:r w:rsidRPr="0041042E">
        <w:rPr>
          <w:rFonts w:ascii="Arial" w:hAnsi="Arial" w:cs="Arial"/>
          <w:b/>
        </w:rPr>
        <w:t xml:space="preserve">Comparison of Annual Leverage Formulas </w:t>
      </w:r>
      <w:proofErr w:type="gramStart"/>
      <w:r w:rsidRPr="0041042E">
        <w:rPr>
          <w:rFonts w:ascii="Arial" w:hAnsi="Arial" w:cs="Arial"/>
          <w:b/>
        </w:rPr>
        <w:t>since</w:t>
      </w:r>
      <w:r w:rsidR="002D7154">
        <w:rPr>
          <w:rFonts w:ascii="Arial" w:hAnsi="Arial" w:cs="Arial"/>
          <w:b/>
        </w:rPr>
        <w:t xml:space="preserve"> </w:t>
      </w:r>
      <w:r w:rsidRPr="0041042E">
        <w:rPr>
          <w:rFonts w:ascii="Arial" w:hAnsi="Arial" w:cs="Arial"/>
          <w:b/>
        </w:rPr>
        <w:t xml:space="preserve"> </w:t>
      </w:r>
      <w:r>
        <w:rPr>
          <w:rFonts w:ascii="Arial" w:hAnsi="Arial" w:cs="Arial"/>
          <w:b/>
        </w:rPr>
        <w:t>2011</w:t>
      </w:r>
      <w:proofErr w:type="gramEnd"/>
    </w:p>
    <w:p w:rsidR="0041042E" w:rsidRDefault="00BC6B0B" w:rsidP="00640599">
      <w:pPr>
        <w:spacing w:after="240"/>
      </w:pPr>
      <w:r>
        <w:rPr>
          <w:noProof/>
        </w:rPr>
        <w:drawing>
          <wp:inline distT="0" distB="0" distL="0" distR="0">
            <wp:extent cx="6057900" cy="31813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3181350"/>
                    </a:xfrm>
                    <a:prstGeom prst="rect">
                      <a:avLst/>
                    </a:prstGeom>
                    <a:noFill/>
                    <a:ln>
                      <a:noFill/>
                    </a:ln>
                  </pic:spPr>
                </pic:pic>
              </a:graphicData>
            </a:graphic>
          </wp:inline>
        </w:drawing>
      </w:r>
      <w:r w:rsidR="0041042E" w:rsidRPr="0041042E">
        <w:t>Source: FPSC Staff Analysis</w:t>
      </w:r>
    </w:p>
    <w:p w:rsidR="0041042E" w:rsidRPr="0041042E" w:rsidRDefault="0041042E" w:rsidP="0041042E">
      <w:pPr>
        <w:spacing w:after="120"/>
        <w:jc w:val="both"/>
        <w:rPr>
          <w:highlight w:val="yellow"/>
        </w:rPr>
      </w:pPr>
      <w:proofErr w:type="gramStart"/>
      <w:r w:rsidRPr="0041042E">
        <w:t>In 2015, by Order No.</w:t>
      </w:r>
      <w:proofErr w:type="gramEnd"/>
      <w:r w:rsidRPr="0041042E">
        <w:t xml:space="preserve"> PSC-15-0259-PAA-WS, the Commission approved staff’s recommendation to continue to use the leverage formula initially approved in 2011. The Commission kept the 2011 leverage formula in place because Federal Reserve monetary policies lowered interest rates to historically low levels, thereby increasing the slope of the leverage formula graph relative to previous years. The Federal Reserve’s monetary policies and resulting capital market conditions that existed in 2012 through 2015 are expected to continue in 2016.</w:t>
      </w:r>
      <w:r w:rsidRPr="0041042E">
        <w:rPr>
          <w:vertAlign w:val="superscript"/>
        </w:rPr>
        <w:footnoteReference w:id="10"/>
      </w:r>
      <w:r w:rsidRPr="0041042E">
        <w:t xml:space="preserve"> </w:t>
      </w:r>
    </w:p>
    <w:p w:rsidR="0041042E" w:rsidRPr="0041042E" w:rsidRDefault="0041042E" w:rsidP="0041042E">
      <w:pPr>
        <w:spacing w:after="240"/>
        <w:jc w:val="both"/>
      </w:pPr>
      <w:r w:rsidRPr="0041042E">
        <w:t>Although staff recommends the current leverage formula remain in place, staff has provided the updated leverage formula using the most recent financial information should the Commission decide to not continue to use the current in-place leverage formula and approve the updated leverage formula. In developing the leverage formula, staff used the same methodologies used in the 2011 docket. The updated model produced the following leverage formula:</w:t>
      </w:r>
    </w:p>
    <w:p w:rsidR="0041042E" w:rsidRPr="0041042E" w:rsidRDefault="0041042E" w:rsidP="0041042E">
      <w:pPr>
        <w:spacing w:after="240"/>
        <w:ind w:left="1440"/>
        <w:jc w:val="both"/>
      </w:pPr>
      <w:r w:rsidRPr="0041042E">
        <w:t xml:space="preserve">Return on Common Equity </w:t>
      </w:r>
      <w:proofErr w:type="gramStart"/>
      <w:r w:rsidRPr="0041042E">
        <w:t>=  5.63</w:t>
      </w:r>
      <w:proofErr w:type="gramEnd"/>
      <w:r w:rsidRPr="0041042E">
        <w:t>% + (2.001 ÷ Equity Ratio)</w:t>
      </w:r>
    </w:p>
    <w:p w:rsidR="0041042E" w:rsidRPr="0041042E" w:rsidRDefault="0041042E" w:rsidP="0041042E">
      <w:pPr>
        <w:spacing w:after="240"/>
        <w:jc w:val="both"/>
      </w:pPr>
      <w:r w:rsidRPr="0041042E">
        <w:t>Where the Equity Ratio = Common Equity ÷ (Common Equity + Preferred Equity + Long-Term and Short-Term Debt)</w:t>
      </w:r>
    </w:p>
    <w:p w:rsidR="0041042E" w:rsidRPr="0041042E" w:rsidRDefault="0041042E" w:rsidP="0041042E">
      <w:pPr>
        <w:spacing w:after="240"/>
        <w:ind w:firstLine="720"/>
        <w:jc w:val="both"/>
      </w:pPr>
      <w:r w:rsidRPr="0041042E">
        <w:tab/>
        <w:t>Range:  7.63% @ 100% equity to 10.63% @ 40% equity</w:t>
      </w:r>
    </w:p>
    <w:p w:rsidR="0041042E" w:rsidRPr="0041042E" w:rsidRDefault="0041042E" w:rsidP="0041042E">
      <w:pPr>
        <w:spacing w:after="240"/>
        <w:jc w:val="both"/>
        <w:rPr>
          <w:rFonts w:ascii="Arial" w:hAnsi="Arial" w:cs="Arial"/>
          <w:b/>
        </w:rPr>
      </w:pPr>
      <w:r w:rsidRPr="0041042E">
        <w:lastRenderedPageBreak/>
        <w:t xml:space="preserve">In conjunction with the updated leverage formula, if the Commission decides to approve the updated leverage formula, the returns on common equity should be capped at 10.63 percent for all WAW utilities with equity ratios less than 40 percent to discourage imprudent financial risk. This cap is consistent with the methodology in Order No. </w:t>
      </w:r>
      <w:proofErr w:type="gramStart"/>
      <w:r w:rsidRPr="0041042E">
        <w:t>PSC-08-0846-FOF-WS.</w:t>
      </w:r>
      <w:proofErr w:type="gramEnd"/>
    </w:p>
    <w:p w:rsidR="0041042E" w:rsidRDefault="0041042E" w:rsidP="0041042E">
      <w:pPr>
        <w:pStyle w:val="First-LevelSubheading"/>
      </w:pPr>
      <w:r>
        <w:t>Conclusion</w:t>
      </w:r>
    </w:p>
    <w:p w:rsidR="0041042E" w:rsidRPr="0041042E" w:rsidRDefault="0041042E" w:rsidP="0041042E">
      <w:pPr>
        <w:spacing w:after="240"/>
        <w:jc w:val="both"/>
      </w:pPr>
      <w:r w:rsidRPr="0041042E">
        <w:t>In staff’s opinion, the existing leverage formula range of 8.74 percent to 11.16 percent initially approved in 2011 is still reasonable for WAW utilities. Staff believes retaining the use of the current in-place leverage formula until the leverage formula is addressed again in 2017 is a reasonable alternative to updating the formula using current 2016 financial information.</w:t>
      </w:r>
    </w:p>
    <w:p w:rsidR="0041042E" w:rsidRPr="0041042E" w:rsidRDefault="0041042E" w:rsidP="0041042E">
      <w:pPr>
        <w:spacing w:after="240"/>
        <w:jc w:val="both"/>
      </w:pPr>
      <w:r w:rsidRPr="0041042E">
        <w:t>Staff continues to believe the leverage formula is a sound, workable methodology that reduces the costs and administrative burdens in WAW rate cases by eliminating the need for cost of equity testimony. Many of the WAW utilities under the Commission’s jurisdiction are small operations that find it beneficial to avoid the costs associated with presenting cost of equity testimony.</w:t>
      </w:r>
    </w:p>
    <w:p w:rsidR="0041042E" w:rsidRPr="0041042E" w:rsidRDefault="0041042E" w:rsidP="0041042E">
      <w:pPr>
        <w:spacing w:after="240"/>
        <w:jc w:val="both"/>
      </w:pPr>
      <w:r w:rsidRPr="0041042E">
        <w:t>Based on the aforementioned, s</w:t>
      </w:r>
      <w:r w:rsidRPr="0041042E">
        <w:rPr>
          <w:bCs/>
          <w:iCs/>
        </w:rPr>
        <w:t xml:space="preserve">taff recommends that the current leverage formula approved by the Commission in Order No. </w:t>
      </w:r>
      <w:r w:rsidRPr="0041042E">
        <w:t>PSC-15-0259-PAA-WS</w:t>
      </w:r>
      <w:r w:rsidRPr="0041042E">
        <w:rPr>
          <w:bCs/>
          <w:iCs/>
        </w:rPr>
        <w:t xml:space="preserve"> continue to be used until the leverage formula is readdressed in 2017. </w:t>
      </w:r>
    </w:p>
    <w:p w:rsidR="0041042E" w:rsidRDefault="0041042E">
      <w:pPr>
        <w:pStyle w:val="BodyText"/>
      </w:pPr>
    </w:p>
    <w:p w:rsidR="002D7154" w:rsidRDefault="002D7154">
      <w:pPr>
        <w:pStyle w:val="IssueHeading"/>
        <w:rPr>
          <w:vanish/>
          <w:specVanish/>
        </w:rPr>
      </w:pPr>
      <w:r w:rsidRPr="004C3641">
        <w:rPr>
          <w:b w:val="0"/>
          <w:i w:val="0"/>
        </w:rPr>
        <w:br w:type="page"/>
      </w:r>
      <w:r w:rsidRPr="004C3641">
        <w:lastRenderedPageBreak/>
        <w:t xml:space="preserve">Issue </w:t>
      </w:r>
      <w:r w:rsidR="00435E2E">
        <w:fldChar w:fldCharType="begin"/>
      </w:r>
      <w:r w:rsidR="00435E2E">
        <w:instrText xml:space="preserve"> SEQ Issue \* MERGEFORMAT </w:instrText>
      </w:r>
      <w:r w:rsidR="00435E2E">
        <w:fldChar w:fldCharType="separate"/>
      </w:r>
      <w:r w:rsidR="00D77270">
        <w:rPr>
          <w:noProof/>
        </w:rPr>
        <w:t>2</w:t>
      </w:r>
      <w:r w:rsidR="00435E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77270">
        <w:rPr>
          <w:noProof/>
        </w:rPr>
        <w:instrText>2</w:instrText>
      </w:r>
      <w:r>
        <w:fldChar w:fldCharType="end"/>
      </w:r>
      <w:r>
        <w:tab/>
        <w:instrText xml:space="preserve">(Leathers)" \l 1 </w:instrText>
      </w:r>
      <w:r>
        <w:fldChar w:fldCharType="end"/>
      </w:r>
      <w:r>
        <w:t> </w:t>
      </w:r>
    </w:p>
    <w:p w:rsidR="002D7154" w:rsidRDefault="002D7154">
      <w:pPr>
        <w:pStyle w:val="BodyText"/>
      </w:pPr>
      <w:r>
        <w:t> </w:t>
      </w:r>
      <w:r w:rsidRPr="002D7154">
        <w:t>Should this docket be closed?</w:t>
      </w:r>
    </w:p>
    <w:p w:rsidR="002D7154" w:rsidRPr="004C3641" w:rsidRDefault="002D7154">
      <w:pPr>
        <w:pStyle w:val="IssueSubsectionHeading"/>
        <w:rPr>
          <w:vanish/>
          <w:specVanish/>
        </w:rPr>
      </w:pPr>
      <w:r w:rsidRPr="004C3641">
        <w:t>Recommendation: </w:t>
      </w:r>
    </w:p>
    <w:p w:rsidR="002D7154" w:rsidRDefault="002D7154">
      <w:pPr>
        <w:pStyle w:val="BodyText"/>
      </w:pPr>
      <w:r>
        <w:t> </w:t>
      </w:r>
      <w:r w:rsidRPr="002D7154">
        <w:t>No. 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t xml:space="preserve"> (Leathers)</w:t>
      </w:r>
    </w:p>
    <w:p w:rsidR="002D7154" w:rsidRPr="004C3641" w:rsidRDefault="002D7154">
      <w:pPr>
        <w:pStyle w:val="IssueSubsectionHeading"/>
        <w:rPr>
          <w:vanish/>
          <w:specVanish/>
        </w:rPr>
      </w:pPr>
      <w:r w:rsidRPr="004C3641">
        <w:t>Staff Analysis: </w:t>
      </w:r>
    </w:p>
    <w:p w:rsidR="007C1680" w:rsidRDefault="002D7154" w:rsidP="00E275D8">
      <w:pPr>
        <w:pStyle w:val="BodyText"/>
        <w:sectPr w:rsidR="007C1680"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r>
        <w:t> </w:t>
      </w:r>
      <w:r w:rsidRPr="002D7154">
        <w:t>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p>
    <w:p w:rsidR="00E06484" w:rsidRDefault="007C1680" w:rsidP="007C1680">
      <w:pPr>
        <w:pStyle w:val="BodyText"/>
        <w:spacing w:after="0"/>
        <w:jc w:val="right"/>
      </w:pPr>
      <w:r>
        <w:lastRenderedPageBreak/>
        <w:t>Attachment 1</w:t>
      </w:r>
    </w:p>
    <w:p w:rsidR="007C1680" w:rsidRDefault="007C1680" w:rsidP="007C1680">
      <w:pPr>
        <w:pStyle w:val="BodyText"/>
        <w:jc w:val="right"/>
      </w:pPr>
      <w:r>
        <w:t>Page 1 of 6</w:t>
      </w:r>
    </w:p>
    <w:p w:rsidR="00BC6B0B" w:rsidRDefault="00BC6B0B" w:rsidP="007C1680">
      <w:pPr>
        <w:pStyle w:val="BodyText"/>
        <w:jc w:val="right"/>
      </w:pPr>
    </w:p>
    <w:tbl>
      <w:tblPr>
        <w:tblW w:w="0" w:type="auto"/>
        <w:jc w:val="center"/>
        <w:tblLayout w:type="fixed"/>
        <w:tblCellMar>
          <w:left w:w="120" w:type="dxa"/>
          <w:right w:w="120" w:type="dxa"/>
        </w:tblCellMar>
        <w:tblLook w:val="0000" w:firstRow="0" w:lastRow="0" w:firstColumn="0" w:lastColumn="0" w:noHBand="0" w:noVBand="0"/>
      </w:tblPr>
      <w:tblGrid>
        <w:gridCol w:w="5220"/>
        <w:gridCol w:w="414"/>
        <w:gridCol w:w="18"/>
        <w:gridCol w:w="1216"/>
        <w:gridCol w:w="1737"/>
      </w:tblGrid>
      <w:tr w:rsidR="007C1680" w:rsidRPr="007C1680" w:rsidTr="007C1680">
        <w:trPr>
          <w:cantSplit/>
          <w:jc w:val="center"/>
        </w:trPr>
        <w:tc>
          <w:tcPr>
            <w:tcW w:w="8605" w:type="dxa"/>
            <w:gridSpan w:val="5"/>
          </w:tcPr>
          <w:p w:rsidR="007C1680" w:rsidRPr="007C1680" w:rsidRDefault="007C1680" w:rsidP="007C1680">
            <w:pPr>
              <w:jc w:val="center"/>
            </w:pPr>
            <w:r w:rsidRPr="007C1680">
              <w:rPr>
                <w:bCs/>
              </w:rPr>
              <w:t>SUMMARY OF LEVERAGE FORMULA RESULTS</w:t>
            </w:r>
          </w:p>
        </w:tc>
      </w:tr>
      <w:tr w:rsidR="007C1680" w:rsidRPr="007C1680" w:rsidTr="007C1680">
        <w:trPr>
          <w:cantSplit/>
          <w:jc w:val="center"/>
        </w:trPr>
        <w:tc>
          <w:tcPr>
            <w:tcW w:w="8605" w:type="dxa"/>
            <w:gridSpan w:val="5"/>
          </w:tcPr>
          <w:p w:rsidR="007C1680" w:rsidRPr="007C1680" w:rsidRDefault="007C1680" w:rsidP="007C1680">
            <w:pPr>
              <w:jc w:val="center"/>
            </w:pPr>
          </w:p>
        </w:tc>
      </w:tr>
      <w:tr w:rsidR="007C1680" w:rsidRPr="007C1680" w:rsidTr="007C1680">
        <w:trPr>
          <w:cantSplit/>
          <w:jc w:val="center"/>
        </w:trPr>
        <w:tc>
          <w:tcPr>
            <w:tcW w:w="5652" w:type="dxa"/>
            <w:gridSpan w:val="3"/>
          </w:tcPr>
          <w:p w:rsidR="007C1680" w:rsidRPr="007C1680" w:rsidRDefault="007C1680" w:rsidP="007C1680"/>
        </w:tc>
        <w:tc>
          <w:tcPr>
            <w:tcW w:w="1216" w:type="dxa"/>
            <w:vAlign w:val="center"/>
          </w:tcPr>
          <w:p w:rsidR="007C1680" w:rsidRPr="007C1680" w:rsidRDefault="007C1680" w:rsidP="007C1680">
            <w:pPr>
              <w:jc w:val="center"/>
              <w:rPr>
                <w:u w:val="single"/>
              </w:rPr>
            </w:pPr>
          </w:p>
        </w:tc>
        <w:tc>
          <w:tcPr>
            <w:tcW w:w="1737" w:type="dxa"/>
          </w:tcPr>
          <w:p w:rsidR="007C1680" w:rsidRPr="007C1680" w:rsidRDefault="007C1680" w:rsidP="007C1680">
            <w:pPr>
              <w:rPr>
                <w:u w:val="single"/>
              </w:rPr>
            </w:pPr>
          </w:p>
        </w:tc>
      </w:tr>
      <w:tr w:rsidR="007C1680" w:rsidRPr="007C1680" w:rsidTr="007C1680">
        <w:trPr>
          <w:cantSplit/>
          <w:jc w:val="center"/>
        </w:trPr>
        <w:tc>
          <w:tcPr>
            <w:tcW w:w="5652" w:type="dxa"/>
            <w:gridSpan w:val="3"/>
          </w:tcPr>
          <w:p w:rsidR="007C1680" w:rsidRPr="007C1680" w:rsidRDefault="007C1680" w:rsidP="007C1680"/>
        </w:tc>
        <w:tc>
          <w:tcPr>
            <w:tcW w:w="1216" w:type="dxa"/>
            <w:vAlign w:val="center"/>
          </w:tcPr>
          <w:p w:rsidR="007C1680" w:rsidRPr="007C1680" w:rsidRDefault="007C1680" w:rsidP="007C1680">
            <w:pPr>
              <w:jc w:val="center"/>
            </w:pPr>
            <w:r w:rsidRPr="007C1680">
              <w:t xml:space="preserve">Updated     Results </w:t>
            </w:r>
            <w:r w:rsidRPr="007C1680">
              <w:rPr>
                <w:u w:val="single"/>
              </w:rPr>
              <w:t>(2016)</w:t>
            </w:r>
          </w:p>
        </w:tc>
        <w:tc>
          <w:tcPr>
            <w:tcW w:w="1737" w:type="dxa"/>
          </w:tcPr>
          <w:p w:rsidR="007C1680" w:rsidRPr="007C1680" w:rsidRDefault="007C1680" w:rsidP="007C1680">
            <w:pPr>
              <w:jc w:val="center"/>
            </w:pPr>
            <w:r w:rsidRPr="007C1680">
              <w:t xml:space="preserve">Currently       in Effect     </w:t>
            </w:r>
            <w:r w:rsidRPr="007C1680">
              <w:rPr>
                <w:u w:val="single"/>
              </w:rPr>
              <w:t>(2011)</w:t>
            </w:r>
          </w:p>
        </w:tc>
      </w:tr>
      <w:tr w:rsidR="007C1680" w:rsidRPr="007C1680" w:rsidTr="007C1680">
        <w:trPr>
          <w:cantSplit/>
          <w:jc w:val="center"/>
        </w:trPr>
        <w:tc>
          <w:tcPr>
            <w:tcW w:w="5634" w:type="dxa"/>
            <w:gridSpan w:val="2"/>
          </w:tcPr>
          <w:p w:rsidR="007C1680" w:rsidRPr="007C1680" w:rsidRDefault="007C1680" w:rsidP="007C1680"/>
        </w:tc>
        <w:tc>
          <w:tcPr>
            <w:tcW w:w="1234" w:type="dxa"/>
            <w:gridSpan w:val="2"/>
            <w:vAlign w:val="center"/>
          </w:tcPr>
          <w:p w:rsidR="007C1680" w:rsidRPr="007C1680" w:rsidRDefault="007C1680" w:rsidP="007C1680"/>
        </w:tc>
        <w:tc>
          <w:tcPr>
            <w:tcW w:w="1737" w:type="dxa"/>
            <w:vAlign w:val="center"/>
          </w:tcPr>
          <w:p w:rsidR="007C1680" w:rsidRPr="007C1680" w:rsidRDefault="007C1680" w:rsidP="007C1680"/>
        </w:tc>
      </w:tr>
      <w:tr w:rsidR="007C1680" w:rsidRPr="007C1680" w:rsidTr="007C1680">
        <w:trPr>
          <w:cantSplit/>
          <w:jc w:val="center"/>
        </w:trPr>
        <w:tc>
          <w:tcPr>
            <w:tcW w:w="5634" w:type="dxa"/>
            <w:gridSpan w:val="2"/>
          </w:tcPr>
          <w:p w:rsidR="007C1680" w:rsidRPr="007C1680" w:rsidRDefault="007C1680" w:rsidP="007C1680">
            <w:r w:rsidRPr="007C1680">
              <w:t xml:space="preserve">(A) DCF ROE for Natural Gas Utility Index </w:t>
            </w:r>
          </w:p>
        </w:tc>
        <w:tc>
          <w:tcPr>
            <w:tcW w:w="1234" w:type="dxa"/>
            <w:gridSpan w:val="2"/>
            <w:vAlign w:val="bottom"/>
          </w:tcPr>
          <w:p w:rsidR="007C1680" w:rsidRPr="007C1680" w:rsidRDefault="007C1680" w:rsidP="007C1680">
            <w:pPr>
              <w:jc w:val="center"/>
            </w:pPr>
            <w:r w:rsidRPr="007C1680">
              <w:t xml:space="preserve">  7.62%</w:t>
            </w:r>
          </w:p>
        </w:tc>
        <w:tc>
          <w:tcPr>
            <w:tcW w:w="1737" w:type="dxa"/>
            <w:vAlign w:val="center"/>
          </w:tcPr>
          <w:p w:rsidR="007C1680" w:rsidRPr="007C1680" w:rsidRDefault="007C1680" w:rsidP="007C1680">
            <w:pPr>
              <w:jc w:val="center"/>
            </w:pPr>
            <w:r w:rsidRPr="007C1680">
              <w:t>8.25%</w:t>
            </w:r>
          </w:p>
        </w:tc>
      </w:tr>
      <w:tr w:rsidR="007C1680" w:rsidRPr="007C1680" w:rsidTr="007C1680">
        <w:trPr>
          <w:cantSplit/>
          <w:jc w:val="center"/>
        </w:trPr>
        <w:tc>
          <w:tcPr>
            <w:tcW w:w="5634" w:type="dxa"/>
            <w:gridSpan w:val="2"/>
          </w:tcPr>
          <w:p w:rsidR="007C1680" w:rsidRPr="007C1680" w:rsidRDefault="007C1680" w:rsidP="007C1680">
            <w:r w:rsidRPr="007C1680">
              <w:t>(B) CAPM ROE for Natural Gas Utility Index</w:t>
            </w:r>
          </w:p>
        </w:tc>
        <w:tc>
          <w:tcPr>
            <w:tcW w:w="1234" w:type="dxa"/>
            <w:gridSpan w:val="2"/>
            <w:vAlign w:val="bottom"/>
          </w:tcPr>
          <w:p w:rsidR="007C1680" w:rsidRPr="007C1680" w:rsidRDefault="007C1680" w:rsidP="007C1680">
            <w:pPr>
              <w:jc w:val="center"/>
              <w:rPr>
                <w:u w:val="single"/>
              </w:rPr>
            </w:pPr>
            <w:r w:rsidRPr="007C1680">
              <w:rPr>
                <w:u w:val="single"/>
              </w:rPr>
              <w:t>9.39%</w:t>
            </w:r>
          </w:p>
        </w:tc>
        <w:tc>
          <w:tcPr>
            <w:tcW w:w="1737" w:type="dxa"/>
            <w:vAlign w:val="center"/>
          </w:tcPr>
          <w:p w:rsidR="007C1680" w:rsidRPr="007C1680" w:rsidRDefault="007C1680" w:rsidP="007C1680">
            <w:pPr>
              <w:jc w:val="center"/>
              <w:rPr>
                <w:u w:val="single"/>
              </w:rPr>
            </w:pPr>
            <w:r w:rsidRPr="007C1680">
              <w:rPr>
                <w:u w:val="single"/>
              </w:rPr>
              <w:t>9.40%</w:t>
            </w:r>
          </w:p>
        </w:tc>
      </w:tr>
      <w:tr w:rsidR="007C1680" w:rsidRPr="007C1680" w:rsidTr="007C1680">
        <w:trPr>
          <w:cantSplit/>
          <w:jc w:val="center"/>
        </w:trPr>
        <w:tc>
          <w:tcPr>
            <w:tcW w:w="5634" w:type="dxa"/>
            <w:gridSpan w:val="2"/>
          </w:tcPr>
          <w:p w:rsidR="007C1680" w:rsidRPr="007C1680" w:rsidRDefault="007C1680" w:rsidP="007C1680">
            <w:r w:rsidRPr="007C1680">
              <w:t>AVERAGE</w:t>
            </w:r>
            <w:r w:rsidRPr="007C1680">
              <w:tab/>
            </w:r>
          </w:p>
        </w:tc>
        <w:tc>
          <w:tcPr>
            <w:tcW w:w="1234" w:type="dxa"/>
            <w:gridSpan w:val="2"/>
            <w:vAlign w:val="bottom"/>
          </w:tcPr>
          <w:p w:rsidR="007C1680" w:rsidRPr="007C1680" w:rsidRDefault="007C1680" w:rsidP="007C1680">
            <w:pPr>
              <w:jc w:val="center"/>
              <w:rPr>
                <w:u w:val="double"/>
              </w:rPr>
            </w:pPr>
            <w:r w:rsidRPr="007C1680">
              <w:t xml:space="preserve">  </w:t>
            </w:r>
            <w:r w:rsidRPr="007C1680">
              <w:rPr>
                <w:u w:val="double"/>
              </w:rPr>
              <w:t>8.51%</w:t>
            </w:r>
          </w:p>
        </w:tc>
        <w:tc>
          <w:tcPr>
            <w:tcW w:w="1737" w:type="dxa"/>
            <w:vAlign w:val="center"/>
          </w:tcPr>
          <w:p w:rsidR="007C1680" w:rsidRPr="007C1680" w:rsidRDefault="007C1680" w:rsidP="007C1680">
            <w:pPr>
              <w:jc w:val="center"/>
              <w:rPr>
                <w:u w:val="double"/>
              </w:rPr>
            </w:pPr>
            <w:r w:rsidRPr="007C1680">
              <w:rPr>
                <w:u w:val="double"/>
              </w:rPr>
              <w:t>8.83%</w:t>
            </w:r>
          </w:p>
        </w:tc>
      </w:tr>
      <w:tr w:rsidR="007C1680" w:rsidRPr="007C1680" w:rsidTr="007C1680">
        <w:trPr>
          <w:cantSplit/>
          <w:jc w:val="center"/>
        </w:trPr>
        <w:tc>
          <w:tcPr>
            <w:tcW w:w="5634" w:type="dxa"/>
            <w:gridSpan w:val="2"/>
          </w:tcPr>
          <w:p w:rsidR="007C1680" w:rsidRPr="007C1680" w:rsidRDefault="007C1680" w:rsidP="007C1680"/>
        </w:tc>
        <w:tc>
          <w:tcPr>
            <w:tcW w:w="1234" w:type="dxa"/>
            <w:gridSpan w:val="2"/>
            <w:vAlign w:val="bottom"/>
          </w:tcPr>
          <w:p w:rsidR="007C1680" w:rsidRPr="007C1680" w:rsidRDefault="007C1680" w:rsidP="007C1680">
            <w:pPr>
              <w:jc w:val="center"/>
            </w:pPr>
          </w:p>
        </w:tc>
        <w:tc>
          <w:tcPr>
            <w:tcW w:w="1737" w:type="dxa"/>
            <w:vAlign w:val="center"/>
          </w:tcPr>
          <w:p w:rsidR="007C1680" w:rsidRPr="007C1680" w:rsidRDefault="007C1680" w:rsidP="007C1680">
            <w:pPr>
              <w:jc w:val="center"/>
            </w:pPr>
          </w:p>
        </w:tc>
      </w:tr>
      <w:tr w:rsidR="007C1680" w:rsidRPr="007C1680" w:rsidTr="007C1680">
        <w:trPr>
          <w:cantSplit/>
          <w:jc w:val="center"/>
        </w:trPr>
        <w:tc>
          <w:tcPr>
            <w:tcW w:w="5634" w:type="dxa"/>
            <w:gridSpan w:val="2"/>
          </w:tcPr>
          <w:p w:rsidR="007C1680" w:rsidRPr="007C1680" w:rsidRDefault="007C1680" w:rsidP="007C1680">
            <w:r w:rsidRPr="007C1680">
              <w:t>Bond Yield Differential</w:t>
            </w:r>
          </w:p>
        </w:tc>
        <w:tc>
          <w:tcPr>
            <w:tcW w:w="1234" w:type="dxa"/>
            <w:gridSpan w:val="2"/>
            <w:vAlign w:val="bottom"/>
          </w:tcPr>
          <w:p w:rsidR="007C1680" w:rsidRPr="007C1680" w:rsidRDefault="007C1680" w:rsidP="007C1680">
            <w:pPr>
              <w:jc w:val="center"/>
            </w:pPr>
            <w:r w:rsidRPr="007C1680">
              <w:t xml:space="preserve">  0.45%</w:t>
            </w:r>
          </w:p>
        </w:tc>
        <w:tc>
          <w:tcPr>
            <w:tcW w:w="1737" w:type="dxa"/>
            <w:vAlign w:val="center"/>
          </w:tcPr>
          <w:p w:rsidR="007C1680" w:rsidRPr="007C1680" w:rsidRDefault="007C1680" w:rsidP="007C1680">
            <w:pPr>
              <w:jc w:val="center"/>
            </w:pPr>
            <w:r w:rsidRPr="007C1680">
              <w:t>0.57%</w:t>
            </w:r>
          </w:p>
        </w:tc>
      </w:tr>
      <w:tr w:rsidR="007C1680" w:rsidRPr="007C1680" w:rsidTr="007C1680">
        <w:trPr>
          <w:cantSplit/>
          <w:jc w:val="center"/>
        </w:trPr>
        <w:tc>
          <w:tcPr>
            <w:tcW w:w="5634" w:type="dxa"/>
            <w:gridSpan w:val="2"/>
          </w:tcPr>
          <w:p w:rsidR="007C1680" w:rsidRPr="007C1680" w:rsidRDefault="007C1680" w:rsidP="007C1680">
            <w:r w:rsidRPr="007C1680">
              <w:t>Private Placement Premium</w:t>
            </w:r>
          </w:p>
        </w:tc>
        <w:tc>
          <w:tcPr>
            <w:tcW w:w="1234" w:type="dxa"/>
            <w:gridSpan w:val="2"/>
            <w:vAlign w:val="bottom"/>
          </w:tcPr>
          <w:p w:rsidR="007C1680" w:rsidRPr="007C1680" w:rsidRDefault="007C1680" w:rsidP="007C1680">
            <w:pPr>
              <w:jc w:val="center"/>
            </w:pPr>
            <w:r w:rsidRPr="007C1680">
              <w:t xml:space="preserve">  0.50%</w:t>
            </w:r>
          </w:p>
        </w:tc>
        <w:tc>
          <w:tcPr>
            <w:tcW w:w="1737" w:type="dxa"/>
            <w:vAlign w:val="center"/>
          </w:tcPr>
          <w:p w:rsidR="007C1680" w:rsidRPr="007C1680" w:rsidRDefault="007C1680" w:rsidP="007C1680">
            <w:pPr>
              <w:jc w:val="center"/>
            </w:pPr>
            <w:r w:rsidRPr="007C1680">
              <w:t>0.50%</w:t>
            </w:r>
          </w:p>
        </w:tc>
      </w:tr>
      <w:tr w:rsidR="007C1680" w:rsidRPr="007C1680" w:rsidTr="007C1680">
        <w:trPr>
          <w:cantSplit/>
          <w:jc w:val="center"/>
        </w:trPr>
        <w:tc>
          <w:tcPr>
            <w:tcW w:w="5634" w:type="dxa"/>
            <w:gridSpan w:val="2"/>
          </w:tcPr>
          <w:p w:rsidR="007C1680" w:rsidRPr="007C1680" w:rsidRDefault="007C1680" w:rsidP="007C1680">
            <w:r w:rsidRPr="007C1680">
              <w:t>Small-Utility Risk Premium</w:t>
            </w:r>
          </w:p>
        </w:tc>
        <w:tc>
          <w:tcPr>
            <w:tcW w:w="1234" w:type="dxa"/>
            <w:gridSpan w:val="2"/>
            <w:vAlign w:val="bottom"/>
          </w:tcPr>
          <w:p w:rsidR="007C1680" w:rsidRPr="007C1680" w:rsidRDefault="007C1680" w:rsidP="007C1680">
            <w:pPr>
              <w:jc w:val="center"/>
            </w:pPr>
            <w:r w:rsidRPr="007C1680">
              <w:t xml:space="preserve">  0.50%</w:t>
            </w:r>
          </w:p>
        </w:tc>
        <w:tc>
          <w:tcPr>
            <w:tcW w:w="1737" w:type="dxa"/>
            <w:vAlign w:val="center"/>
          </w:tcPr>
          <w:p w:rsidR="007C1680" w:rsidRPr="007C1680" w:rsidRDefault="007C1680" w:rsidP="007C1680">
            <w:pPr>
              <w:jc w:val="center"/>
            </w:pPr>
            <w:r w:rsidRPr="007C1680">
              <w:t>0.50%</w:t>
            </w:r>
          </w:p>
        </w:tc>
      </w:tr>
      <w:tr w:rsidR="007C1680" w:rsidRPr="007C1680" w:rsidTr="007C1680">
        <w:trPr>
          <w:cantSplit/>
          <w:jc w:val="center"/>
        </w:trPr>
        <w:tc>
          <w:tcPr>
            <w:tcW w:w="5634" w:type="dxa"/>
            <w:gridSpan w:val="2"/>
          </w:tcPr>
          <w:p w:rsidR="007C1680" w:rsidRPr="007C1680" w:rsidRDefault="007C1680" w:rsidP="007C1680">
            <w:r w:rsidRPr="007C1680">
              <w:t>Adjustment to Reflect ROE at 40% Equity Ratio</w:t>
            </w:r>
          </w:p>
        </w:tc>
        <w:tc>
          <w:tcPr>
            <w:tcW w:w="1234" w:type="dxa"/>
            <w:gridSpan w:val="2"/>
            <w:vAlign w:val="bottom"/>
          </w:tcPr>
          <w:p w:rsidR="007C1680" w:rsidRPr="007C1680" w:rsidRDefault="007C1680" w:rsidP="007C1680">
            <w:pPr>
              <w:jc w:val="center"/>
              <w:rPr>
                <w:u w:val="single"/>
              </w:rPr>
            </w:pPr>
            <w:r w:rsidRPr="007C1680">
              <w:rPr>
                <w:u w:val="single"/>
              </w:rPr>
              <w:t xml:space="preserve">  0.67%</w:t>
            </w:r>
          </w:p>
        </w:tc>
        <w:tc>
          <w:tcPr>
            <w:tcW w:w="1737" w:type="dxa"/>
            <w:vAlign w:val="center"/>
          </w:tcPr>
          <w:p w:rsidR="007C1680" w:rsidRPr="007C1680" w:rsidRDefault="007C1680" w:rsidP="007C1680">
            <w:pPr>
              <w:jc w:val="center"/>
            </w:pPr>
            <w:r w:rsidRPr="007C1680">
              <w:rPr>
                <w:u w:val="single"/>
              </w:rPr>
              <w:t>0.76%</w:t>
            </w:r>
          </w:p>
        </w:tc>
      </w:tr>
      <w:tr w:rsidR="007C1680" w:rsidRPr="007C1680" w:rsidTr="007C1680">
        <w:trPr>
          <w:cantSplit/>
          <w:jc w:val="center"/>
        </w:trPr>
        <w:tc>
          <w:tcPr>
            <w:tcW w:w="5634" w:type="dxa"/>
            <w:gridSpan w:val="2"/>
          </w:tcPr>
          <w:p w:rsidR="007C1680" w:rsidRPr="007C1680" w:rsidRDefault="007C1680" w:rsidP="007C1680"/>
        </w:tc>
        <w:tc>
          <w:tcPr>
            <w:tcW w:w="1234" w:type="dxa"/>
            <w:gridSpan w:val="2"/>
            <w:vAlign w:val="bottom"/>
          </w:tcPr>
          <w:p w:rsidR="007C1680" w:rsidRPr="007C1680" w:rsidRDefault="007C1680" w:rsidP="007C1680">
            <w:pPr>
              <w:jc w:val="center"/>
              <w:rPr>
                <w:color w:val="000000"/>
                <w:u w:val="single"/>
              </w:rPr>
            </w:pPr>
          </w:p>
        </w:tc>
        <w:tc>
          <w:tcPr>
            <w:tcW w:w="1737" w:type="dxa"/>
            <w:vAlign w:val="center"/>
          </w:tcPr>
          <w:p w:rsidR="007C1680" w:rsidRPr="007C1680" w:rsidRDefault="007C1680" w:rsidP="007C1680">
            <w:pPr>
              <w:jc w:val="center"/>
            </w:pPr>
          </w:p>
        </w:tc>
      </w:tr>
      <w:tr w:rsidR="007C1680" w:rsidRPr="007C1680" w:rsidTr="007C1680">
        <w:trPr>
          <w:cantSplit/>
          <w:jc w:val="center"/>
        </w:trPr>
        <w:tc>
          <w:tcPr>
            <w:tcW w:w="5634" w:type="dxa"/>
            <w:gridSpan w:val="2"/>
          </w:tcPr>
          <w:p w:rsidR="007C1680" w:rsidRPr="007C1680" w:rsidRDefault="007C1680" w:rsidP="007C1680">
            <w:r w:rsidRPr="007C1680">
              <w:t>Cost of Equity for Average Florida WAW Utility</w:t>
            </w:r>
          </w:p>
        </w:tc>
        <w:tc>
          <w:tcPr>
            <w:tcW w:w="1234" w:type="dxa"/>
            <w:gridSpan w:val="2"/>
            <w:vAlign w:val="bottom"/>
          </w:tcPr>
          <w:p w:rsidR="007C1680" w:rsidRPr="007C1680" w:rsidRDefault="007C1680" w:rsidP="007C1680">
            <w:pPr>
              <w:jc w:val="center"/>
            </w:pPr>
          </w:p>
        </w:tc>
        <w:tc>
          <w:tcPr>
            <w:tcW w:w="1737" w:type="dxa"/>
            <w:vAlign w:val="center"/>
          </w:tcPr>
          <w:p w:rsidR="007C1680" w:rsidRPr="007C1680" w:rsidRDefault="007C1680" w:rsidP="007C1680">
            <w:pPr>
              <w:jc w:val="center"/>
            </w:pPr>
          </w:p>
        </w:tc>
      </w:tr>
      <w:tr w:rsidR="007C1680" w:rsidRPr="007C1680" w:rsidTr="007C1680">
        <w:trPr>
          <w:cantSplit/>
          <w:jc w:val="center"/>
        </w:trPr>
        <w:tc>
          <w:tcPr>
            <w:tcW w:w="5634" w:type="dxa"/>
            <w:gridSpan w:val="2"/>
          </w:tcPr>
          <w:p w:rsidR="007C1680" w:rsidRPr="007C1680" w:rsidRDefault="007C1680" w:rsidP="007C1680">
            <w:r w:rsidRPr="007C1680">
              <w:t>with a capital structure containing a 40% Equity Ratio</w:t>
            </w:r>
          </w:p>
        </w:tc>
        <w:tc>
          <w:tcPr>
            <w:tcW w:w="1234" w:type="dxa"/>
            <w:gridSpan w:val="2"/>
            <w:vAlign w:val="bottom"/>
          </w:tcPr>
          <w:p w:rsidR="007C1680" w:rsidRPr="007C1680" w:rsidRDefault="007C1680" w:rsidP="007C1680">
            <w:pPr>
              <w:jc w:val="center"/>
              <w:rPr>
                <w:u w:val="double"/>
              </w:rPr>
            </w:pPr>
            <w:r w:rsidRPr="007C1680">
              <w:t xml:space="preserve">  </w:t>
            </w:r>
            <w:r w:rsidRPr="007C1680">
              <w:rPr>
                <w:u w:val="double"/>
              </w:rPr>
              <w:t>10.63%</w:t>
            </w:r>
          </w:p>
        </w:tc>
        <w:tc>
          <w:tcPr>
            <w:tcW w:w="1737" w:type="dxa"/>
            <w:vAlign w:val="center"/>
          </w:tcPr>
          <w:p w:rsidR="007C1680" w:rsidRPr="007C1680" w:rsidRDefault="007C1680" w:rsidP="007C1680">
            <w:pPr>
              <w:jc w:val="center"/>
              <w:rPr>
                <w:u w:val="double"/>
              </w:rPr>
            </w:pPr>
            <w:r w:rsidRPr="007C1680">
              <w:rPr>
                <w:u w:val="double"/>
              </w:rPr>
              <w:t>11.16%</w:t>
            </w:r>
          </w:p>
        </w:tc>
      </w:tr>
      <w:tr w:rsidR="007C1680" w:rsidRPr="007C1680" w:rsidTr="007C1680">
        <w:trPr>
          <w:cantSplit/>
          <w:jc w:val="center"/>
        </w:trPr>
        <w:tc>
          <w:tcPr>
            <w:tcW w:w="8605" w:type="dxa"/>
            <w:gridSpan w:val="5"/>
          </w:tcPr>
          <w:p w:rsidR="007C1680" w:rsidRPr="007C1680" w:rsidRDefault="007C1680" w:rsidP="007C1680">
            <w:pPr>
              <w:rPr>
                <w:u w:val="single"/>
              </w:rPr>
            </w:pPr>
          </w:p>
          <w:p w:rsidR="007C1680" w:rsidRPr="007C1680" w:rsidRDefault="007C1680" w:rsidP="007C1680">
            <w:pPr>
              <w:rPr>
                <w:u w:val="single"/>
              </w:rPr>
            </w:pPr>
          </w:p>
          <w:p w:rsidR="007C1680" w:rsidRPr="007C1680" w:rsidRDefault="007C1680" w:rsidP="007C1680">
            <w:pPr>
              <w:rPr>
                <w:u w:val="single"/>
              </w:rPr>
            </w:pPr>
            <w:r w:rsidRPr="007C1680">
              <w:rPr>
                <w:u w:val="single"/>
              </w:rPr>
              <w:t xml:space="preserve">2011 Leverage Formula (Currently in Effect)             </w:t>
            </w:r>
          </w:p>
        </w:tc>
      </w:tr>
      <w:tr w:rsidR="007C1680" w:rsidRPr="007C1680" w:rsidTr="007C1680">
        <w:trPr>
          <w:cantSplit/>
          <w:jc w:val="center"/>
        </w:trPr>
        <w:tc>
          <w:tcPr>
            <w:tcW w:w="5220" w:type="dxa"/>
            <w:vAlign w:val="center"/>
          </w:tcPr>
          <w:p w:rsidR="007C1680" w:rsidRPr="007C1680" w:rsidRDefault="007C1680" w:rsidP="007C1680">
            <w:r w:rsidRPr="007C1680">
              <w:t>Return on Common Equity                              =</w:t>
            </w:r>
          </w:p>
        </w:tc>
        <w:tc>
          <w:tcPr>
            <w:tcW w:w="3385" w:type="dxa"/>
            <w:gridSpan w:val="4"/>
          </w:tcPr>
          <w:p w:rsidR="007C1680" w:rsidRPr="007C1680" w:rsidRDefault="007C1680" w:rsidP="007C1680">
            <w:r w:rsidRPr="007C1680">
              <w:t>7.13% + (1.610  ÷ Equity Ratio)</w:t>
            </w:r>
          </w:p>
        </w:tc>
      </w:tr>
      <w:tr w:rsidR="007C1680" w:rsidRPr="007C1680" w:rsidTr="007C1680">
        <w:trPr>
          <w:cantSplit/>
          <w:jc w:val="center"/>
        </w:trPr>
        <w:tc>
          <w:tcPr>
            <w:tcW w:w="5220" w:type="dxa"/>
            <w:vAlign w:val="center"/>
          </w:tcPr>
          <w:p w:rsidR="007C1680" w:rsidRPr="007C1680" w:rsidRDefault="007C1680" w:rsidP="007C1680">
            <w:r w:rsidRPr="007C1680">
              <w:t>Range of Returns on Equity (100% to 40%)   =</w:t>
            </w:r>
          </w:p>
        </w:tc>
        <w:tc>
          <w:tcPr>
            <w:tcW w:w="3385" w:type="dxa"/>
            <w:gridSpan w:val="4"/>
          </w:tcPr>
          <w:p w:rsidR="007C1680" w:rsidRPr="007C1680" w:rsidRDefault="007C1680" w:rsidP="007C1680">
            <w:r w:rsidRPr="007C1680">
              <w:t>8.74% to 11.16%</w:t>
            </w:r>
          </w:p>
        </w:tc>
      </w:tr>
      <w:tr w:rsidR="007C1680" w:rsidRPr="007C1680" w:rsidTr="007C1680">
        <w:trPr>
          <w:cantSplit/>
          <w:jc w:val="center"/>
        </w:trPr>
        <w:tc>
          <w:tcPr>
            <w:tcW w:w="8605" w:type="dxa"/>
            <w:gridSpan w:val="5"/>
          </w:tcPr>
          <w:p w:rsidR="007C1680" w:rsidRPr="007C1680" w:rsidRDefault="007C1680" w:rsidP="007C1680">
            <w:pPr>
              <w:rPr>
                <w:u w:val="single"/>
              </w:rPr>
            </w:pPr>
          </w:p>
          <w:p w:rsidR="007C1680" w:rsidRPr="007C1680" w:rsidRDefault="007C1680" w:rsidP="007C1680">
            <w:pPr>
              <w:rPr>
                <w:u w:val="single"/>
              </w:rPr>
            </w:pPr>
            <w:r w:rsidRPr="007C1680">
              <w:rPr>
                <w:u w:val="single"/>
              </w:rPr>
              <w:t xml:space="preserve">2016 Leverage Formula (Using Current Data)            </w:t>
            </w:r>
          </w:p>
        </w:tc>
      </w:tr>
      <w:tr w:rsidR="007C1680" w:rsidRPr="007C1680" w:rsidTr="007C1680">
        <w:trPr>
          <w:cantSplit/>
          <w:jc w:val="center"/>
        </w:trPr>
        <w:tc>
          <w:tcPr>
            <w:tcW w:w="5220" w:type="dxa"/>
            <w:vAlign w:val="center"/>
          </w:tcPr>
          <w:p w:rsidR="007C1680" w:rsidRPr="007C1680" w:rsidRDefault="007C1680" w:rsidP="007C1680">
            <w:r w:rsidRPr="007C1680">
              <w:t>Return on Common Equity                              =</w:t>
            </w:r>
          </w:p>
        </w:tc>
        <w:tc>
          <w:tcPr>
            <w:tcW w:w="3385" w:type="dxa"/>
            <w:gridSpan w:val="4"/>
          </w:tcPr>
          <w:p w:rsidR="007C1680" w:rsidRPr="007C1680" w:rsidRDefault="007C1680" w:rsidP="007C1680">
            <w:r w:rsidRPr="007C1680">
              <w:t>5.63% + (2.011 ÷ Equity Ratio)</w:t>
            </w:r>
          </w:p>
        </w:tc>
      </w:tr>
      <w:tr w:rsidR="007C1680" w:rsidRPr="007C1680" w:rsidTr="007C1680">
        <w:trPr>
          <w:cantSplit/>
          <w:trHeight w:val="274"/>
          <w:jc w:val="center"/>
        </w:trPr>
        <w:tc>
          <w:tcPr>
            <w:tcW w:w="5220" w:type="dxa"/>
            <w:vAlign w:val="center"/>
          </w:tcPr>
          <w:p w:rsidR="007C1680" w:rsidRPr="007C1680" w:rsidRDefault="007C1680" w:rsidP="007C1680">
            <w:r w:rsidRPr="007C1680">
              <w:t>Range of Returns on Equity (100% to 40%)   =</w:t>
            </w:r>
          </w:p>
        </w:tc>
        <w:tc>
          <w:tcPr>
            <w:tcW w:w="3385" w:type="dxa"/>
            <w:gridSpan w:val="4"/>
          </w:tcPr>
          <w:p w:rsidR="007C1680" w:rsidRPr="007C1680" w:rsidRDefault="007C1680" w:rsidP="007C1680">
            <w:r w:rsidRPr="007C1680">
              <w:t>7.63% to 10.63%</w:t>
            </w:r>
          </w:p>
        </w:tc>
      </w:tr>
    </w:tbl>
    <w:p w:rsidR="007C1680" w:rsidRDefault="007C1680" w:rsidP="007C1680">
      <w:pPr>
        <w:pStyle w:val="BodyText"/>
        <w:jc w:val="center"/>
      </w:pPr>
    </w:p>
    <w:p w:rsidR="007C1680" w:rsidRPr="007C1680" w:rsidRDefault="007C1680" w:rsidP="007C1680">
      <w:pPr>
        <w:jc w:val="right"/>
      </w:pPr>
      <w:r>
        <w:br w:type="page"/>
      </w:r>
      <w:r w:rsidRPr="007C1680">
        <w:lastRenderedPageBreak/>
        <w:t>Attachment 1</w:t>
      </w:r>
    </w:p>
    <w:p w:rsidR="007C1680" w:rsidRPr="007C1680" w:rsidRDefault="007C1680" w:rsidP="007C1680">
      <w:pPr>
        <w:jc w:val="right"/>
      </w:pPr>
      <w:r w:rsidRPr="007C1680">
        <w:t>Page 2 of 6</w:t>
      </w:r>
    </w:p>
    <w:p w:rsidR="007C1680" w:rsidRPr="007C1680" w:rsidRDefault="007C1680" w:rsidP="007C1680">
      <w:pPr>
        <w:spacing w:after="240"/>
        <w:ind w:firstLine="720"/>
        <w:jc w:val="both"/>
      </w:pPr>
    </w:p>
    <w:p w:rsidR="007C1680" w:rsidRPr="007C1680" w:rsidRDefault="007C1680" w:rsidP="007C1680">
      <w:pPr>
        <w:jc w:val="center"/>
      </w:pPr>
    </w:p>
    <w:p w:rsidR="007C1680" w:rsidRPr="007C1680" w:rsidRDefault="007C1680" w:rsidP="007C1680">
      <w:pPr>
        <w:jc w:val="center"/>
        <w:rPr>
          <w:rFonts w:cs="Courier New"/>
        </w:rPr>
      </w:pPr>
      <w:r w:rsidRPr="007C1680">
        <w:rPr>
          <w:rFonts w:cs="Courier New"/>
        </w:rPr>
        <w:t>MARGINAL COST OF INVESTOR CAPITAL</w:t>
      </w:r>
    </w:p>
    <w:p w:rsidR="007C1680" w:rsidRPr="007C1680" w:rsidRDefault="007C1680" w:rsidP="007C1680">
      <w:pPr>
        <w:jc w:val="center"/>
        <w:rPr>
          <w:rFonts w:cs="Courier New"/>
        </w:rPr>
      </w:pPr>
      <w:r w:rsidRPr="007C1680">
        <w:rPr>
          <w:rFonts w:cs="Courier New"/>
        </w:rPr>
        <w:t>(2016 Leverage Formula Result)</w:t>
      </w:r>
    </w:p>
    <w:p w:rsidR="007C1680" w:rsidRPr="007C1680" w:rsidRDefault="007C1680" w:rsidP="007C1680">
      <w:pPr>
        <w:jc w:val="center"/>
        <w:rPr>
          <w:rFonts w:cs="Courier New"/>
          <w:u w:val="single"/>
        </w:rPr>
      </w:pPr>
    </w:p>
    <w:p w:rsidR="007C1680" w:rsidRPr="007C1680" w:rsidRDefault="007C1680" w:rsidP="007C1680">
      <w:pPr>
        <w:rPr>
          <w:rFonts w:cs="Courier New"/>
        </w:rPr>
      </w:pPr>
      <w:r w:rsidRPr="007C1680">
        <w:rPr>
          <w:rFonts w:cs="Courier New"/>
          <w:u w:val="single"/>
        </w:rPr>
        <w:t>Average Marginal Cost Rate of the Natural Gas Utility Index</w:t>
      </w:r>
    </w:p>
    <w:p w:rsidR="007C1680" w:rsidRPr="007C1680" w:rsidRDefault="007C1680" w:rsidP="007C1680">
      <w:pPr>
        <w:jc w:val="both"/>
        <w:rPr>
          <w:rFonts w:cs="Courier New"/>
        </w:rPr>
      </w:pP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t>Weighted</w:t>
      </w:r>
    </w:p>
    <w:p w:rsidR="007C1680" w:rsidRPr="007C1680" w:rsidRDefault="007C1680" w:rsidP="007C1680">
      <w:pPr>
        <w:jc w:val="both"/>
        <w:rPr>
          <w:rFonts w:cs="Courier New"/>
        </w:rPr>
      </w:pP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t>Marginal</w:t>
      </w:r>
      <w:r w:rsidRPr="007C1680">
        <w:rPr>
          <w:rFonts w:cs="Courier New"/>
        </w:rPr>
        <w:tab/>
        <w:t xml:space="preserve"> </w:t>
      </w:r>
      <w:r w:rsidRPr="007C1680">
        <w:rPr>
          <w:rFonts w:cs="Courier New"/>
        </w:rPr>
        <w:tab/>
      </w:r>
      <w:proofErr w:type="spellStart"/>
      <w:r w:rsidRPr="007C1680">
        <w:rPr>
          <w:rFonts w:cs="Courier New"/>
        </w:rPr>
        <w:t>Marginal</w:t>
      </w:r>
      <w:proofErr w:type="spellEnd"/>
    </w:p>
    <w:p w:rsidR="007C1680" w:rsidRPr="007C1680" w:rsidRDefault="007C1680" w:rsidP="007C1680">
      <w:pPr>
        <w:ind w:firstLine="720"/>
        <w:jc w:val="both"/>
        <w:rPr>
          <w:rFonts w:cs="Courier New"/>
        </w:rPr>
      </w:pPr>
      <w:r w:rsidRPr="007C1680">
        <w:rPr>
          <w:rFonts w:cs="Courier New"/>
          <w:u w:val="single"/>
        </w:rPr>
        <w:t>Capital Component</w:t>
      </w:r>
      <w:r w:rsidRPr="007C1680">
        <w:rPr>
          <w:rFonts w:cs="Courier New"/>
        </w:rPr>
        <w:tab/>
      </w:r>
      <w:r w:rsidRPr="007C1680">
        <w:rPr>
          <w:rFonts w:cs="Courier New"/>
        </w:rPr>
        <w:tab/>
      </w:r>
      <w:r w:rsidRPr="007C1680">
        <w:rPr>
          <w:rFonts w:cs="Courier New"/>
          <w:u w:val="single"/>
        </w:rPr>
        <w:t>Ratio</w:t>
      </w:r>
      <w:r w:rsidRPr="007C1680">
        <w:rPr>
          <w:rFonts w:cs="Courier New"/>
        </w:rPr>
        <w:tab/>
      </w:r>
      <w:r w:rsidRPr="007C1680">
        <w:rPr>
          <w:rFonts w:cs="Courier New"/>
        </w:rPr>
        <w:tab/>
      </w:r>
      <w:r w:rsidRPr="007C1680">
        <w:rPr>
          <w:rFonts w:cs="Courier New"/>
        </w:rPr>
        <w:tab/>
      </w:r>
      <w:r w:rsidRPr="007C1680">
        <w:rPr>
          <w:rFonts w:cs="Courier New"/>
          <w:u w:val="single"/>
        </w:rPr>
        <w:t>Cost Rate</w:t>
      </w:r>
      <w:r w:rsidRPr="007C1680">
        <w:rPr>
          <w:rFonts w:cs="Courier New"/>
        </w:rPr>
        <w:tab/>
      </w:r>
      <w:r w:rsidRPr="007C1680">
        <w:rPr>
          <w:rFonts w:cs="Courier New"/>
        </w:rPr>
        <w:tab/>
      </w:r>
      <w:r w:rsidRPr="007C1680">
        <w:rPr>
          <w:rFonts w:cs="Courier New"/>
          <w:u w:val="single"/>
        </w:rPr>
        <w:t>Cost Rate</w:t>
      </w:r>
    </w:p>
    <w:p w:rsidR="007C1680" w:rsidRPr="007C1680" w:rsidRDefault="007C1680" w:rsidP="007C1680">
      <w:pPr>
        <w:jc w:val="both"/>
        <w:rPr>
          <w:rFonts w:cs="Courier New"/>
        </w:rPr>
      </w:pPr>
    </w:p>
    <w:p w:rsidR="007C1680" w:rsidRPr="007C1680" w:rsidRDefault="007C1680" w:rsidP="007C1680">
      <w:pPr>
        <w:ind w:firstLine="720"/>
        <w:jc w:val="both"/>
        <w:rPr>
          <w:rFonts w:cs="Courier New"/>
          <w:u w:val="single"/>
        </w:rPr>
      </w:pPr>
      <w:r w:rsidRPr="007C1680">
        <w:rPr>
          <w:rFonts w:cs="Courier New"/>
        </w:rPr>
        <w:t>Common Equity</w:t>
      </w:r>
      <w:r w:rsidRPr="007C1680">
        <w:rPr>
          <w:rFonts w:cs="Courier New"/>
        </w:rPr>
        <w:tab/>
        <w:t xml:space="preserve"> </w:t>
      </w:r>
      <w:r w:rsidRPr="007C1680">
        <w:rPr>
          <w:rFonts w:cs="Courier New"/>
        </w:rPr>
        <w:tab/>
        <w:t>46.22%</w:t>
      </w:r>
      <w:r w:rsidRPr="007C1680">
        <w:rPr>
          <w:rFonts w:cs="Courier New"/>
        </w:rPr>
        <w:tab/>
      </w:r>
      <w:r w:rsidRPr="007C1680">
        <w:rPr>
          <w:rFonts w:cs="Courier New"/>
        </w:rPr>
        <w:tab/>
        <w:t xml:space="preserve"> 9.96%</w:t>
      </w:r>
      <w:r w:rsidRPr="007C1680">
        <w:rPr>
          <w:rFonts w:cs="Courier New"/>
        </w:rPr>
        <w:tab/>
      </w:r>
      <w:r w:rsidRPr="007C1680">
        <w:rPr>
          <w:rFonts w:cs="Courier New"/>
        </w:rPr>
        <w:tab/>
        <w:t xml:space="preserve">            4.60%</w:t>
      </w:r>
      <w:r w:rsidRPr="007C1680">
        <w:rPr>
          <w:rFonts w:cs="Courier New"/>
        </w:rPr>
        <w:tab/>
      </w:r>
    </w:p>
    <w:p w:rsidR="007C1680" w:rsidRPr="007C1680" w:rsidRDefault="007C1680" w:rsidP="007C1680">
      <w:pPr>
        <w:ind w:firstLine="720"/>
        <w:jc w:val="both"/>
        <w:rPr>
          <w:rFonts w:cs="Courier New"/>
          <w:u w:val="single"/>
        </w:rPr>
      </w:pPr>
      <w:r w:rsidRPr="007C1680">
        <w:rPr>
          <w:rFonts w:cs="Courier New"/>
        </w:rPr>
        <w:t>Total Debt</w:t>
      </w:r>
      <w:r w:rsidRPr="007C1680">
        <w:rPr>
          <w:rFonts w:cs="Courier New"/>
        </w:rPr>
        <w:tab/>
      </w:r>
      <w:r w:rsidRPr="007C1680">
        <w:rPr>
          <w:rFonts w:cs="Courier New"/>
        </w:rPr>
        <w:tab/>
      </w:r>
      <w:r w:rsidRPr="007C1680">
        <w:rPr>
          <w:rFonts w:cs="Courier New"/>
        </w:rPr>
        <w:tab/>
      </w:r>
      <w:r w:rsidRPr="007C1680">
        <w:rPr>
          <w:rFonts w:cs="Courier New"/>
          <w:u w:val="single"/>
        </w:rPr>
        <w:t>53.78%</w:t>
      </w:r>
      <w:r w:rsidRPr="007C1680">
        <w:rPr>
          <w:rFonts w:cs="Courier New"/>
        </w:rPr>
        <w:tab/>
        <w:t xml:space="preserve"> </w:t>
      </w:r>
      <w:r w:rsidRPr="007C1680">
        <w:rPr>
          <w:rFonts w:cs="Courier New"/>
        </w:rPr>
        <w:tab/>
        <w:t xml:space="preserve"> 5.63% *</w:t>
      </w:r>
      <w:r w:rsidRPr="007C1680">
        <w:rPr>
          <w:rFonts w:cs="Courier New"/>
        </w:rPr>
        <w:tab/>
      </w:r>
      <w:r w:rsidRPr="007C1680">
        <w:rPr>
          <w:rFonts w:cs="Courier New"/>
        </w:rPr>
        <w:tab/>
      </w:r>
      <w:r w:rsidRPr="007C1680">
        <w:rPr>
          <w:rFonts w:cs="Courier New"/>
          <w:u w:val="single"/>
        </w:rPr>
        <w:t>3.03%</w:t>
      </w:r>
    </w:p>
    <w:p w:rsidR="007C1680" w:rsidRPr="007C1680" w:rsidRDefault="007C1680" w:rsidP="007C1680">
      <w:pPr>
        <w:jc w:val="both"/>
        <w:rPr>
          <w:rFonts w:cs="Courier New"/>
        </w:rPr>
      </w:pP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t>100.0%</w:t>
      </w:r>
      <w:r w:rsidRPr="007C1680">
        <w:rPr>
          <w:rFonts w:cs="Courier New"/>
        </w:rPr>
        <w:tab/>
      </w:r>
      <w:r w:rsidRPr="007C1680">
        <w:rPr>
          <w:rFonts w:cs="Courier New"/>
        </w:rPr>
        <w:tab/>
        <w:t xml:space="preserve"> </w:t>
      </w:r>
      <w:r w:rsidRPr="007C1680">
        <w:rPr>
          <w:rFonts w:cs="Courier New"/>
        </w:rPr>
        <w:tab/>
      </w:r>
      <w:r w:rsidRPr="007C1680">
        <w:rPr>
          <w:rFonts w:cs="Courier New"/>
        </w:rPr>
        <w:tab/>
      </w:r>
      <w:r w:rsidRPr="007C1680">
        <w:rPr>
          <w:rFonts w:cs="Courier New"/>
        </w:rPr>
        <w:tab/>
        <w:t>7.63%</w:t>
      </w:r>
    </w:p>
    <w:p w:rsidR="007C1680" w:rsidRPr="007C1680" w:rsidRDefault="007C1680" w:rsidP="007C1680">
      <w:pPr>
        <w:rPr>
          <w:rFonts w:cs="Courier New"/>
          <w:u w:val="single"/>
        </w:rPr>
      </w:pPr>
    </w:p>
    <w:p w:rsidR="007C1680" w:rsidRPr="007C1680" w:rsidRDefault="007C1680" w:rsidP="007C1680">
      <w:pPr>
        <w:rPr>
          <w:rFonts w:cs="Courier New"/>
          <w:u w:val="single"/>
        </w:rPr>
      </w:pPr>
    </w:p>
    <w:p w:rsidR="007C1680" w:rsidRPr="007C1680" w:rsidRDefault="007C1680" w:rsidP="007C1680">
      <w:pPr>
        <w:rPr>
          <w:rFonts w:cs="Courier New"/>
        </w:rPr>
      </w:pPr>
      <w:r w:rsidRPr="007C1680">
        <w:rPr>
          <w:rFonts w:cs="Courier New"/>
          <w:u w:val="single"/>
        </w:rPr>
        <w:t>Average Marginal Cost Rate at a 40% Equity Ratio</w:t>
      </w:r>
    </w:p>
    <w:p w:rsidR="007C1680" w:rsidRPr="007C1680" w:rsidRDefault="007C1680" w:rsidP="007C1680">
      <w:pPr>
        <w:jc w:val="both"/>
        <w:rPr>
          <w:rFonts w:cs="Courier New"/>
        </w:rPr>
      </w:pPr>
    </w:p>
    <w:p w:rsidR="007C1680" w:rsidRPr="007C1680" w:rsidRDefault="007C1680" w:rsidP="007C1680">
      <w:pPr>
        <w:jc w:val="both"/>
        <w:rPr>
          <w:rFonts w:cs="Courier New"/>
        </w:rPr>
      </w:pPr>
      <w:r w:rsidRPr="007C1680">
        <w:rPr>
          <w:rFonts w:cs="Courier New"/>
        </w:rPr>
        <w:t xml:space="preserve">A 40% equity ratio is the floor for calculating the required return on common equity. The return on equity at a 40% equity ratio is 5.63% + (2.001 </w:t>
      </w:r>
      <w:r w:rsidRPr="007C1680">
        <w:t>÷ 0</w:t>
      </w:r>
      <w:r w:rsidRPr="007C1680">
        <w:rPr>
          <w:rFonts w:cs="Courier New"/>
        </w:rPr>
        <w:t>.40) = 10.63%</w:t>
      </w:r>
    </w:p>
    <w:p w:rsidR="007C1680" w:rsidRPr="007C1680" w:rsidRDefault="007C1680" w:rsidP="007C1680">
      <w:pPr>
        <w:jc w:val="both"/>
        <w:rPr>
          <w:rFonts w:cs="Courier New"/>
        </w:rPr>
      </w:pP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t xml:space="preserve">Weighted </w:t>
      </w:r>
    </w:p>
    <w:p w:rsidR="007C1680" w:rsidRPr="007C1680" w:rsidRDefault="007C1680" w:rsidP="007C1680">
      <w:pPr>
        <w:jc w:val="both"/>
        <w:rPr>
          <w:rFonts w:cs="Courier New"/>
        </w:rPr>
      </w:pP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t>Marginal</w:t>
      </w:r>
      <w:r w:rsidRPr="007C1680">
        <w:rPr>
          <w:rFonts w:cs="Courier New"/>
        </w:rPr>
        <w:tab/>
        <w:t xml:space="preserve"> </w:t>
      </w:r>
      <w:r w:rsidRPr="007C1680">
        <w:rPr>
          <w:rFonts w:cs="Courier New"/>
        </w:rPr>
        <w:tab/>
      </w:r>
      <w:proofErr w:type="spellStart"/>
      <w:r w:rsidRPr="007C1680">
        <w:rPr>
          <w:rFonts w:cs="Courier New"/>
        </w:rPr>
        <w:t>Marginal</w:t>
      </w:r>
      <w:proofErr w:type="spellEnd"/>
    </w:p>
    <w:p w:rsidR="007C1680" w:rsidRPr="007C1680" w:rsidRDefault="007C1680" w:rsidP="007C1680">
      <w:pPr>
        <w:ind w:firstLine="720"/>
        <w:jc w:val="both"/>
        <w:rPr>
          <w:rFonts w:cs="Courier New"/>
        </w:rPr>
      </w:pPr>
      <w:r w:rsidRPr="007C1680">
        <w:rPr>
          <w:rFonts w:cs="Courier New"/>
          <w:u w:val="single"/>
        </w:rPr>
        <w:t>Capital Component</w:t>
      </w:r>
      <w:r w:rsidRPr="007C1680">
        <w:rPr>
          <w:rFonts w:cs="Courier New"/>
        </w:rPr>
        <w:tab/>
      </w:r>
      <w:r w:rsidRPr="007C1680">
        <w:rPr>
          <w:rFonts w:cs="Courier New"/>
        </w:rPr>
        <w:tab/>
      </w:r>
      <w:r w:rsidRPr="007C1680">
        <w:rPr>
          <w:rFonts w:cs="Courier New"/>
          <w:u w:val="single"/>
        </w:rPr>
        <w:t xml:space="preserve"> Ratio</w:t>
      </w:r>
      <w:r w:rsidRPr="007C1680">
        <w:rPr>
          <w:rFonts w:cs="Courier New"/>
        </w:rPr>
        <w:tab/>
        <w:t xml:space="preserve">  </w:t>
      </w:r>
      <w:r w:rsidRPr="007C1680">
        <w:rPr>
          <w:rFonts w:cs="Courier New"/>
        </w:rPr>
        <w:tab/>
      </w:r>
      <w:r w:rsidRPr="007C1680">
        <w:rPr>
          <w:rFonts w:cs="Courier New"/>
        </w:rPr>
        <w:tab/>
      </w:r>
      <w:r w:rsidRPr="007C1680">
        <w:rPr>
          <w:rFonts w:cs="Courier New"/>
          <w:u w:val="single"/>
        </w:rPr>
        <w:t>Cost Rate</w:t>
      </w:r>
      <w:r w:rsidRPr="007C1680">
        <w:rPr>
          <w:rFonts w:cs="Courier New"/>
        </w:rPr>
        <w:tab/>
      </w:r>
      <w:r w:rsidRPr="007C1680">
        <w:rPr>
          <w:rFonts w:cs="Courier New"/>
        </w:rPr>
        <w:tab/>
      </w:r>
      <w:r w:rsidRPr="007C1680">
        <w:rPr>
          <w:rFonts w:cs="Courier New"/>
          <w:u w:val="single"/>
        </w:rPr>
        <w:t>Cost Rate</w:t>
      </w:r>
    </w:p>
    <w:p w:rsidR="007C1680" w:rsidRPr="007C1680" w:rsidRDefault="007C1680" w:rsidP="007C1680">
      <w:pPr>
        <w:jc w:val="both"/>
        <w:rPr>
          <w:rFonts w:cs="Courier New"/>
        </w:rPr>
      </w:pPr>
    </w:p>
    <w:p w:rsidR="007C1680" w:rsidRPr="007C1680" w:rsidRDefault="007C1680" w:rsidP="007C1680">
      <w:pPr>
        <w:ind w:firstLine="720"/>
        <w:jc w:val="both"/>
        <w:rPr>
          <w:rFonts w:cs="Courier New"/>
        </w:rPr>
      </w:pPr>
      <w:r w:rsidRPr="007C1680">
        <w:rPr>
          <w:rFonts w:cs="Courier New"/>
        </w:rPr>
        <w:t>Common Equity</w:t>
      </w:r>
      <w:r w:rsidRPr="007C1680">
        <w:rPr>
          <w:rFonts w:cs="Courier New"/>
        </w:rPr>
        <w:tab/>
        <w:t xml:space="preserve">     </w:t>
      </w:r>
      <w:r w:rsidRPr="007C1680">
        <w:rPr>
          <w:rFonts w:cs="Courier New"/>
        </w:rPr>
        <w:tab/>
        <w:t xml:space="preserve"> 40.00% </w:t>
      </w:r>
      <w:r w:rsidRPr="007C1680">
        <w:rPr>
          <w:rFonts w:cs="Courier New"/>
        </w:rPr>
        <w:tab/>
        <w:t xml:space="preserve">     </w:t>
      </w:r>
      <w:r w:rsidRPr="007C1680">
        <w:rPr>
          <w:rFonts w:cs="Courier New"/>
        </w:rPr>
        <w:tab/>
        <w:t>10.63%</w:t>
      </w:r>
      <w:r w:rsidRPr="007C1680">
        <w:rPr>
          <w:rFonts w:cs="Courier New"/>
        </w:rPr>
        <w:tab/>
      </w:r>
      <w:r w:rsidRPr="007C1680">
        <w:rPr>
          <w:rFonts w:cs="Courier New"/>
        </w:rPr>
        <w:tab/>
        <w:t>4.25%</w:t>
      </w:r>
    </w:p>
    <w:p w:rsidR="007C1680" w:rsidRPr="007C1680" w:rsidRDefault="007C1680" w:rsidP="007C1680">
      <w:pPr>
        <w:ind w:firstLine="720"/>
        <w:jc w:val="both"/>
        <w:rPr>
          <w:rFonts w:cs="Courier New"/>
        </w:rPr>
      </w:pPr>
      <w:r w:rsidRPr="007C1680">
        <w:rPr>
          <w:rFonts w:cs="Courier New"/>
        </w:rPr>
        <w:t>Total Debt</w:t>
      </w:r>
      <w:r w:rsidRPr="007C1680">
        <w:rPr>
          <w:rFonts w:cs="Courier New"/>
        </w:rPr>
        <w:tab/>
        <w:t xml:space="preserve">    </w:t>
      </w:r>
      <w:r w:rsidRPr="007C1680">
        <w:rPr>
          <w:rFonts w:cs="Courier New"/>
        </w:rPr>
        <w:tab/>
      </w:r>
      <w:r w:rsidRPr="007C1680">
        <w:rPr>
          <w:rFonts w:cs="Courier New"/>
        </w:rPr>
        <w:tab/>
      </w:r>
      <w:r w:rsidRPr="007C1680">
        <w:rPr>
          <w:rFonts w:cs="Courier New"/>
          <w:u w:val="single"/>
        </w:rPr>
        <w:t xml:space="preserve"> 60.00%</w:t>
      </w:r>
      <w:r w:rsidRPr="007C1680">
        <w:rPr>
          <w:rFonts w:cs="Courier New"/>
        </w:rPr>
        <w:t xml:space="preserve"> </w:t>
      </w:r>
      <w:r w:rsidRPr="007C1680">
        <w:rPr>
          <w:rFonts w:cs="Courier New"/>
        </w:rPr>
        <w:tab/>
        <w:t xml:space="preserve">     </w:t>
      </w:r>
      <w:r w:rsidRPr="007C1680">
        <w:rPr>
          <w:rFonts w:cs="Courier New"/>
        </w:rPr>
        <w:tab/>
        <w:t>5.63%*</w:t>
      </w:r>
      <w:r w:rsidRPr="007C1680">
        <w:rPr>
          <w:rFonts w:cs="Courier New"/>
        </w:rPr>
        <w:tab/>
      </w:r>
      <w:r w:rsidRPr="007C1680">
        <w:rPr>
          <w:rFonts w:cs="Courier New"/>
        </w:rPr>
        <w:tab/>
      </w:r>
      <w:r w:rsidRPr="007C1680">
        <w:rPr>
          <w:rFonts w:cs="Courier New"/>
          <w:u w:val="single"/>
        </w:rPr>
        <w:t xml:space="preserve">3.38% </w:t>
      </w:r>
    </w:p>
    <w:p w:rsidR="007C1680" w:rsidRPr="007C1680" w:rsidRDefault="007C1680" w:rsidP="007C1680">
      <w:pPr>
        <w:jc w:val="both"/>
        <w:rPr>
          <w:rFonts w:cs="Courier New"/>
        </w:rPr>
      </w:pP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t>100.00%</w:t>
      </w:r>
      <w:r w:rsidRPr="007C1680">
        <w:rPr>
          <w:rFonts w:cs="Courier New"/>
        </w:rPr>
        <w:tab/>
      </w:r>
      <w:r w:rsidRPr="007C1680">
        <w:rPr>
          <w:rFonts w:cs="Courier New"/>
        </w:rPr>
        <w:tab/>
      </w:r>
      <w:r w:rsidRPr="007C1680">
        <w:rPr>
          <w:rFonts w:cs="Courier New"/>
        </w:rPr>
        <w:tab/>
      </w:r>
      <w:r w:rsidRPr="007C1680">
        <w:rPr>
          <w:rFonts w:cs="Courier New"/>
        </w:rPr>
        <w:tab/>
      </w:r>
      <w:r w:rsidRPr="007C1680">
        <w:rPr>
          <w:rFonts w:cs="Courier New"/>
        </w:rPr>
        <w:tab/>
        <w:t>7.63%</w:t>
      </w:r>
    </w:p>
    <w:p w:rsidR="007C1680" w:rsidRPr="007C1680" w:rsidRDefault="007C1680" w:rsidP="007C1680">
      <w:pPr>
        <w:jc w:val="both"/>
        <w:rPr>
          <w:rFonts w:cs="Courier New"/>
        </w:rPr>
      </w:pPr>
    </w:p>
    <w:p w:rsidR="007C1680" w:rsidRPr="007C1680" w:rsidRDefault="007C1680" w:rsidP="007C1680">
      <w:pPr>
        <w:jc w:val="both"/>
        <w:rPr>
          <w:rFonts w:cs="Courier New"/>
        </w:rPr>
      </w:pPr>
      <w:r w:rsidRPr="007C1680">
        <w:rPr>
          <w:rFonts w:cs="Courier New"/>
        </w:rPr>
        <w:t xml:space="preserve">Common Equity Ratio = Common Equity </w:t>
      </w:r>
      <w:r w:rsidRPr="007C1680">
        <w:t>÷</w:t>
      </w:r>
      <w:r w:rsidRPr="007C1680">
        <w:rPr>
          <w:rFonts w:cs="Courier New"/>
        </w:rPr>
        <w:t xml:space="preserve"> (Common Equity + Preferred Equity + Long-Term Debt + Short-Term Debt)</w:t>
      </w:r>
    </w:p>
    <w:p w:rsidR="007C1680" w:rsidRPr="007C1680" w:rsidRDefault="007C1680" w:rsidP="007C1680">
      <w:pPr>
        <w:jc w:val="both"/>
        <w:rPr>
          <w:rFonts w:cs="Courier New"/>
        </w:rPr>
      </w:pPr>
    </w:p>
    <w:p w:rsidR="007C1680" w:rsidRPr="007C1680" w:rsidRDefault="007C1680" w:rsidP="007C1680">
      <w:pPr>
        <w:tabs>
          <w:tab w:val="left" w:pos="0"/>
        </w:tabs>
        <w:jc w:val="both"/>
        <w:rPr>
          <w:rFonts w:cs="Courier New"/>
        </w:rPr>
      </w:pPr>
      <w:r w:rsidRPr="007C1680">
        <w:rPr>
          <w:rFonts w:cs="Courier New"/>
        </w:rPr>
        <w:t>*Assumed 120-month average Baa3 rate as of April 2016 (4.63%) plus a 50 basis point private placement premium and a 50 basis point small utility risk premium.</w:t>
      </w:r>
    </w:p>
    <w:p w:rsidR="007C1680" w:rsidRPr="007C1680" w:rsidRDefault="007C1680" w:rsidP="007C1680">
      <w:pPr>
        <w:jc w:val="both"/>
        <w:rPr>
          <w:rFonts w:cs="Courier New"/>
        </w:rPr>
      </w:pPr>
    </w:p>
    <w:p w:rsidR="007C1680" w:rsidRDefault="007C1680" w:rsidP="007C1680">
      <w:pPr>
        <w:rPr>
          <w:rFonts w:cs="Courier New"/>
        </w:rPr>
        <w:sectPr w:rsidR="007C1680" w:rsidSect="0068481F">
          <w:headerReference w:type="default" r:id="rId16"/>
          <w:pgSz w:w="12240" w:h="15840" w:code="1"/>
          <w:pgMar w:top="1584" w:right="1440" w:bottom="1440" w:left="1440" w:header="720" w:footer="720" w:gutter="0"/>
          <w:cols w:space="720"/>
          <w:formProt w:val="0"/>
          <w:docGrid w:linePitch="360"/>
        </w:sectPr>
      </w:pPr>
      <w:r w:rsidRPr="007C1680">
        <w:rPr>
          <w:rFonts w:cs="Courier New"/>
        </w:rPr>
        <w:t>Sources: Moody's Credit Perspectives and Value Line Selection and Opinion</w:t>
      </w:r>
    </w:p>
    <w:p w:rsidR="007C1680" w:rsidRPr="007C1680" w:rsidRDefault="007C1680" w:rsidP="007C1680">
      <w:pPr>
        <w:autoSpaceDE w:val="0"/>
        <w:autoSpaceDN w:val="0"/>
        <w:adjustRightInd w:val="0"/>
        <w:jc w:val="right"/>
      </w:pPr>
      <w:r w:rsidRPr="007C1680">
        <w:lastRenderedPageBreak/>
        <w:t>Attachment 1</w:t>
      </w:r>
    </w:p>
    <w:p w:rsidR="007C1680" w:rsidRPr="007C1680" w:rsidRDefault="007C1680" w:rsidP="007C1680">
      <w:pPr>
        <w:autoSpaceDE w:val="0"/>
        <w:autoSpaceDN w:val="0"/>
        <w:adjustRightInd w:val="0"/>
        <w:jc w:val="right"/>
      </w:pPr>
      <w:r w:rsidRPr="007C1680">
        <w:t>Page 3 of 6</w:t>
      </w:r>
    </w:p>
    <w:p w:rsidR="007C1680" w:rsidRPr="007C1680" w:rsidRDefault="007C1680" w:rsidP="007C1680">
      <w:pPr>
        <w:autoSpaceDE w:val="0"/>
        <w:autoSpaceDN w:val="0"/>
        <w:adjustRightInd w:val="0"/>
      </w:pPr>
    </w:p>
    <w:p w:rsidR="007C1680" w:rsidRPr="007C1680" w:rsidRDefault="007C1680" w:rsidP="007C1680">
      <w:pPr>
        <w:autoSpaceDE w:val="0"/>
        <w:autoSpaceDN w:val="0"/>
        <w:adjustRightInd w:val="0"/>
        <w:jc w:val="center"/>
      </w:pPr>
      <w:r w:rsidRPr="007C1680">
        <w:t>ANNUAL DISCOUNTED CASH FLOW MODEL</w:t>
      </w:r>
    </w:p>
    <w:p w:rsidR="007C1680" w:rsidRPr="007C1680" w:rsidRDefault="007C1680" w:rsidP="007C1680">
      <w:pPr>
        <w:autoSpaceDE w:val="0"/>
        <w:autoSpaceDN w:val="0"/>
        <w:adjustRightInd w:val="0"/>
      </w:pPr>
    </w:p>
    <w:tbl>
      <w:tblPr>
        <w:tblW w:w="12150" w:type="dxa"/>
        <w:tblInd w:w="108" w:type="dxa"/>
        <w:tblLook w:val="04A0" w:firstRow="1" w:lastRow="0" w:firstColumn="1" w:lastColumn="0" w:noHBand="0" w:noVBand="1"/>
      </w:tblPr>
      <w:tblGrid>
        <w:gridCol w:w="2122"/>
        <w:gridCol w:w="736"/>
        <w:gridCol w:w="776"/>
        <w:gridCol w:w="776"/>
        <w:gridCol w:w="776"/>
        <w:gridCol w:w="776"/>
        <w:gridCol w:w="776"/>
        <w:gridCol w:w="776"/>
        <w:gridCol w:w="776"/>
        <w:gridCol w:w="776"/>
        <w:gridCol w:w="656"/>
        <w:gridCol w:w="808"/>
        <w:gridCol w:w="720"/>
        <w:gridCol w:w="900"/>
      </w:tblGrid>
      <w:tr w:rsidR="007C1680" w:rsidRPr="007C1680" w:rsidTr="007C1680">
        <w:trPr>
          <w:trHeight w:val="225"/>
        </w:trPr>
        <w:tc>
          <w:tcPr>
            <w:tcW w:w="2858" w:type="dxa"/>
            <w:gridSpan w:val="2"/>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NATURAL GAS UTILITY INDEX</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2428" w:type="dxa"/>
            <w:gridSpan w:val="3"/>
            <w:tcBorders>
              <w:top w:val="nil"/>
              <w:left w:val="nil"/>
              <w:bottom w:val="nil"/>
              <w:right w:val="nil"/>
            </w:tcBorders>
            <w:shd w:val="clear" w:color="000000" w:fill="FFFFFF"/>
            <w:noWrap/>
            <w:vAlign w:val="bottom"/>
            <w:hideMark/>
          </w:tcPr>
          <w:p w:rsidR="007C1680" w:rsidRPr="007C1680" w:rsidRDefault="007C1680" w:rsidP="007C1680">
            <w:pPr>
              <w:jc w:val="center"/>
              <w:rPr>
                <w:sz w:val="16"/>
                <w:szCs w:val="16"/>
              </w:rPr>
            </w:pPr>
            <w:r w:rsidRPr="007C1680">
              <w:rPr>
                <w:sz w:val="16"/>
                <w:szCs w:val="16"/>
              </w:rPr>
              <w:t>STOCK PRICE</w:t>
            </w:r>
          </w:p>
        </w:tc>
      </w:tr>
      <w:tr w:rsidR="007C1680" w:rsidRPr="007C1680" w:rsidTr="007C1680">
        <w:trPr>
          <w:trHeight w:val="270"/>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2428" w:type="dxa"/>
            <w:gridSpan w:val="3"/>
            <w:tcBorders>
              <w:top w:val="nil"/>
              <w:left w:val="nil"/>
              <w:bottom w:val="single" w:sz="8" w:space="0" w:color="auto"/>
              <w:right w:val="nil"/>
            </w:tcBorders>
            <w:shd w:val="clear" w:color="000000" w:fill="FFFFFF"/>
            <w:noWrap/>
            <w:vAlign w:val="bottom"/>
            <w:hideMark/>
          </w:tcPr>
          <w:p w:rsidR="007C1680" w:rsidRPr="007C1680" w:rsidRDefault="007C1680" w:rsidP="007C1680">
            <w:pPr>
              <w:jc w:val="center"/>
              <w:rPr>
                <w:sz w:val="16"/>
                <w:szCs w:val="16"/>
              </w:rPr>
            </w:pPr>
            <w:r w:rsidRPr="007C1680">
              <w:rPr>
                <w:sz w:val="16"/>
                <w:szCs w:val="16"/>
              </w:rPr>
              <w:t>APRIL 1, 2016 - APRIL 30, 2016</w:t>
            </w:r>
          </w:p>
        </w:tc>
      </w:tr>
      <w:tr w:rsidR="007C1680" w:rsidRPr="007C1680" w:rsidTr="007C1680">
        <w:trPr>
          <w:trHeight w:val="22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u w:val="single"/>
              </w:rPr>
            </w:pPr>
            <w:r w:rsidRPr="007C1680">
              <w:rPr>
                <w:sz w:val="16"/>
                <w:szCs w:val="16"/>
                <w:u w:val="single"/>
              </w:rPr>
              <w:t>COMPANY</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jc w:val="right"/>
              <w:rPr>
                <w:sz w:val="14"/>
                <w:szCs w:val="14"/>
              </w:rPr>
            </w:pPr>
            <w:r w:rsidRPr="007C1680">
              <w:rPr>
                <w:sz w:val="14"/>
                <w:szCs w:val="14"/>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DIV0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DIV1</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DIV2</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DIV3</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DIV4</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EPS4</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ROE4</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GR1-4</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GR4+</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HI-PR</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LO-PR</w:t>
            </w:r>
          </w:p>
        </w:tc>
        <w:tc>
          <w:tcPr>
            <w:tcW w:w="900" w:type="dxa"/>
            <w:tcBorders>
              <w:top w:val="nil"/>
              <w:left w:val="nil"/>
              <w:bottom w:val="nil"/>
              <w:right w:val="nil"/>
            </w:tcBorders>
            <w:shd w:val="clear" w:color="auto" w:fill="auto"/>
            <w:noWrap/>
            <w:vAlign w:val="bottom"/>
            <w:hideMark/>
          </w:tcPr>
          <w:p w:rsidR="007C1680" w:rsidRPr="007C1680" w:rsidRDefault="007C1680" w:rsidP="007C1680">
            <w:pPr>
              <w:jc w:val="right"/>
              <w:rPr>
                <w:sz w:val="16"/>
                <w:szCs w:val="16"/>
              </w:rPr>
            </w:pPr>
            <w:r w:rsidRPr="007C1680">
              <w:rPr>
                <w:sz w:val="16"/>
                <w:szCs w:val="16"/>
              </w:rPr>
              <w:t>AVG-PR</w:t>
            </w:r>
          </w:p>
        </w:tc>
      </w:tr>
      <w:tr w:rsidR="007C1680" w:rsidRPr="007C1680" w:rsidTr="007C1680">
        <w:trPr>
          <w:trHeight w:val="22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r>
      <w:tr w:rsidR="007C1680" w:rsidRPr="007C1680" w:rsidTr="007C1680">
        <w:trPr>
          <w:trHeight w:val="25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AGL RESOURCES INC.</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rPr>
                <w:rFonts w:ascii="Arial" w:hAnsi="Arial" w:cs="Arial"/>
                <w:sz w:val="20"/>
                <w:szCs w:val="20"/>
              </w:rPr>
            </w:pPr>
            <w:r w:rsidRPr="007C1680">
              <w:rPr>
                <w:rFonts w:ascii="Arial" w:hAnsi="Arial" w:cs="Arial"/>
                <w:sz w:val="20"/>
                <w:szCs w:val="20"/>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2.12</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2.16</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2.24</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2.32</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2.40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4.65</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11.50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1.0357</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1.0556</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65.95</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64.71</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65.330</w:t>
            </w:r>
          </w:p>
        </w:tc>
      </w:tr>
      <w:tr w:rsidR="007C1680" w:rsidRPr="007C1680" w:rsidTr="007C1680">
        <w:trPr>
          <w:trHeight w:val="255"/>
        </w:trPr>
        <w:tc>
          <w:tcPr>
            <w:tcW w:w="2858" w:type="dxa"/>
            <w:gridSpan w:val="2"/>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xml:space="preserve">ATMOS ENERGY CORPORATION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1.68</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1.80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1.91</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2.03</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2.20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4.00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11.00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1.0610</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1.0509</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74.86</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70.41</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72.635</w:t>
            </w:r>
          </w:p>
        </w:tc>
      </w:tr>
      <w:tr w:rsidR="007C1680" w:rsidRPr="007C1680" w:rsidTr="007C1680">
        <w:trPr>
          <w:trHeight w:val="25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LACLEDE GROUP, INC.</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rPr>
                <w:rFonts w:ascii="Arial" w:hAnsi="Arial" w:cs="Arial"/>
                <w:sz w:val="20"/>
                <w:szCs w:val="20"/>
              </w:rPr>
            </w:pPr>
            <w:r w:rsidRPr="007C1680">
              <w:rPr>
                <w:rFonts w:ascii="Arial" w:hAnsi="Arial" w:cs="Arial"/>
                <w:sz w:val="20"/>
                <w:szCs w:val="20"/>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1.92</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1.96</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2.04</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2.12</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2.20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4.20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9.50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1.0393</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1.0452</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68.40</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62.65</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65.525</w:t>
            </w:r>
          </w:p>
        </w:tc>
      </w:tr>
      <w:tr w:rsidR="007C1680" w:rsidRPr="007C1680" w:rsidTr="007C1680">
        <w:trPr>
          <w:trHeight w:val="255"/>
        </w:trPr>
        <w:tc>
          <w:tcPr>
            <w:tcW w:w="2858" w:type="dxa"/>
            <w:gridSpan w:val="2"/>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NORTHWEST NATURAL GAS CO.</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1.87</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1.91</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1.96</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2.00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2.05</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3.15</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9.00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1.0239</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1.0314</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54.29</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49.46</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51.875</w:t>
            </w:r>
          </w:p>
        </w:tc>
      </w:tr>
      <w:tr w:rsidR="007C1680" w:rsidRPr="007C1680" w:rsidTr="007C1680">
        <w:trPr>
          <w:trHeight w:val="255"/>
        </w:trPr>
        <w:tc>
          <w:tcPr>
            <w:tcW w:w="2858" w:type="dxa"/>
            <w:gridSpan w:val="2"/>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xml:space="preserve">PIEDMONT NATURAL GAS CO., INC.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1.35</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1.39</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1.43</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1.47</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1.51</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2.20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10.50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1.0280</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1.0329</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60.00</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59.43</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59.715</w:t>
            </w:r>
          </w:p>
        </w:tc>
      </w:tr>
      <w:tr w:rsidR="007C1680" w:rsidRPr="007C1680" w:rsidTr="007C1680">
        <w:trPr>
          <w:trHeight w:val="255"/>
        </w:trPr>
        <w:tc>
          <w:tcPr>
            <w:tcW w:w="2858" w:type="dxa"/>
            <w:gridSpan w:val="2"/>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xml:space="preserve">SOUTH JERSEY INDUSTRIES, INC.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1.08</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1.15</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1.23</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1.31</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1.40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2.20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11.50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1.0678</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1.0418</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28.55</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27.17</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27.860</w:t>
            </w:r>
          </w:p>
        </w:tc>
      </w:tr>
      <w:tr w:rsidR="007C1680" w:rsidRPr="007C1680" w:rsidTr="007C1680">
        <w:trPr>
          <w:trHeight w:val="255"/>
        </w:trPr>
        <w:tc>
          <w:tcPr>
            <w:tcW w:w="2858" w:type="dxa"/>
            <w:gridSpan w:val="2"/>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xml:space="preserve">SOUTHWEST GAS CORPORATION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1.80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1.92</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2.04</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2.17</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2.30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4.80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13.00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1.0620</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1.0677</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66.60</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62.75</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64.675</w:t>
            </w:r>
          </w:p>
        </w:tc>
      </w:tr>
      <w:tr w:rsidR="007C1680" w:rsidRPr="007C1680" w:rsidTr="007C1680">
        <w:trPr>
          <w:trHeight w:val="25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xml:space="preserve">WGL HOLDINGS, INC. </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rPr>
                <w:rFonts w:ascii="Arial" w:hAnsi="Arial" w:cs="Arial"/>
                <w:sz w:val="20"/>
                <w:szCs w:val="20"/>
              </w:rPr>
            </w:pPr>
            <w:r w:rsidRPr="007C1680">
              <w:rPr>
                <w:rFonts w:ascii="Arial" w:hAnsi="Arial" w:cs="Arial"/>
                <w:sz w:val="20"/>
                <w:szCs w:val="20"/>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1.87</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1.93</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1.96</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2.00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2.03</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3.55</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11.00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1.0170</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1.0471</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72.84</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65.00</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68.920</w:t>
            </w:r>
          </w:p>
        </w:tc>
      </w:tr>
      <w:tr w:rsidR="007C1680" w:rsidRPr="007C1680" w:rsidTr="007C1680">
        <w:trPr>
          <w:trHeight w:val="22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r>
      <w:tr w:rsidR="007C1680" w:rsidRPr="007C1680" w:rsidTr="007C1680">
        <w:trPr>
          <w:trHeight w:val="22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AVERAGE</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1.7113</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1.7775</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1.8498</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1.9256</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2.0050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3.5938</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10.8750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1.0418</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1.0466</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59.5669</w:t>
            </w:r>
          </w:p>
        </w:tc>
      </w:tr>
      <w:tr w:rsidR="007C1680" w:rsidRPr="007C1680" w:rsidTr="007C1680">
        <w:trPr>
          <w:trHeight w:val="22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2.0984</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3736" w:type="dxa"/>
            <w:gridSpan w:val="5"/>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Stock price including a four percent flotation cost:</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jc w:val="right"/>
              <w:rPr>
                <w:b/>
                <w:bCs/>
                <w:sz w:val="16"/>
                <w:szCs w:val="16"/>
              </w:rPr>
            </w:pPr>
            <w:r w:rsidRPr="007C1680">
              <w:rPr>
                <w:b/>
                <w:bCs/>
                <w:sz w:val="16"/>
                <w:szCs w:val="16"/>
              </w:rPr>
              <w:t>57.1842</w:t>
            </w:r>
          </w:p>
        </w:tc>
      </w:tr>
      <w:tr w:rsidR="007C1680" w:rsidRPr="007C1680" w:rsidTr="007C1680">
        <w:trPr>
          <w:trHeight w:val="22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auto" w:fill="auto"/>
            <w:noWrap/>
            <w:vAlign w:val="bottom"/>
            <w:hideMark/>
          </w:tcPr>
          <w:p w:rsidR="007C1680" w:rsidRPr="007C1680" w:rsidRDefault="007C1680" w:rsidP="007C1680">
            <w:pPr>
              <w:rPr>
                <w:sz w:val="16"/>
                <w:szCs w:val="16"/>
              </w:rPr>
            </w:pPr>
          </w:p>
        </w:tc>
        <w:tc>
          <w:tcPr>
            <w:tcW w:w="1552" w:type="dxa"/>
            <w:gridSpan w:val="2"/>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Annual DCF Result:</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b/>
                <w:bCs/>
                <w:sz w:val="16"/>
                <w:szCs w:val="16"/>
              </w:rPr>
            </w:pPr>
            <w:r w:rsidRPr="007C1680">
              <w:rPr>
                <w:b/>
                <w:bCs/>
                <w:sz w:val="16"/>
                <w:szCs w:val="16"/>
              </w:rPr>
              <w:t>7.62%</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r>
      <w:tr w:rsidR="007C1680" w:rsidRPr="007C1680" w:rsidTr="007C1680">
        <w:trPr>
          <w:trHeight w:val="225"/>
        </w:trPr>
        <w:tc>
          <w:tcPr>
            <w:tcW w:w="2122" w:type="dxa"/>
            <w:tcBorders>
              <w:top w:val="nil"/>
              <w:left w:val="nil"/>
              <w:bottom w:val="nil"/>
              <w:right w:val="nil"/>
            </w:tcBorders>
            <w:shd w:val="clear" w:color="auto" w:fill="auto"/>
            <w:noWrap/>
            <w:vAlign w:val="bottom"/>
            <w:hideMark/>
          </w:tcPr>
          <w:p w:rsidR="007C1680" w:rsidRPr="007C1680" w:rsidRDefault="007C1680" w:rsidP="007C1680">
            <w:pPr>
              <w:rPr>
                <w:sz w:val="16"/>
                <w:szCs w:val="16"/>
              </w:rPr>
            </w:pP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b/>
                <w:bCs/>
                <w:sz w:val="16"/>
                <w:szCs w:val="16"/>
              </w:rPr>
            </w:pPr>
            <w:r w:rsidRPr="007C1680">
              <w:rPr>
                <w:b/>
                <w:bCs/>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b/>
                <w:bCs/>
                <w:sz w:val="16"/>
                <w:szCs w:val="16"/>
              </w:rPr>
            </w:pPr>
            <w:r w:rsidRPr="007C1680">
              <w:rPr>
                <w:b/>
                <w:bCs/>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r>
      <w:tr w:rsidR="007C1680" w:rsidRPr="007C1680" w:rsidTr="007C1680">
        <w:trPr>
          <w:trHeight w:val="22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Cash Flows</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1.6055</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1.5503</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1.4992</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1.4503</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1.4050</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49.6739</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656" w:type="dxa"/>
            <w:tcBorders>
              <w:top w:val="nil"/>
              <w:left w:val="nil"/>
              <w:bottom w:val="nil"/>
              <w:right w:val="nil"/>
            </w:tcBorders>
            <w:shd w:val="clear" w:color="auto" w:fill="auto"/>
            <w:noWrap/>
            <w:vAlign w:val="bottom"/>
            <w:hideMark/>
          </w:tcPr>
          <w:p w:rsidR="007C1680" w:rsidRPr="007C1680" w:rsidRDefault="007C1680" w:rsidP="007C1680">
            <w:pPr>
              <w:jc w:val="right"/>
              <w:rPr>
                <w:sz w:val="16"/>
                <w:szCs w:val="16"/>
              </w:rPr>
            </w:pP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r>
      <w:tr w:rsidR="007C1680" w:rsidRPr="007C1680" w:rsidTr="007C1680">
        <w:trPr>
          <w:trHeight w:val="225"/>
        </w:trPr>
        <w:tc>
          <w:tcPr>
            <w:tcW w:w="2122"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Present Value of Cash Flows</w:t>
            </w:r>
          </w:p>
        </w:tc>
        <w:tc>
          <w:tcPr>
            <w:tcW w:w="736"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57.1842</w:t>
            </w:r>
          </w:p>
        </w:tc>
        <w:tc>
          <w:tcPr>
            <w:tcW w:w="776" w:type="dxa"/>
            <w:tcBorders>
              <w:top w:val="nil"/>
              <w:left w:val="nil"/>
              <w:bottom w:val="nil"/>
              <w:right w:val="nil"/>
            </w:tcBorders>
            <w:shd w:val="clear" w:color="auto" w:fill="auto"/>
            <w:noWrap/>
            <w:vAlign w:val="bottom"/>
            <w:hideMark/>
          </w:tcPr>
          <w:p w:rsidR="007C1680" w:rsidRPr="007C1680" w:rsidRDefault="007C1680" w:rsidP="007C1680">
            <w:pPr>
              <w:rPr>
                <w:sz w:val="16"/>
                <w:szCs w:val="16"/>
              </w:rPr>
            </w:pP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7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656"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808"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20" w:type="dxa"/>
            <w:tcBorders>
              <w:top w:val="nil"/>
              <w:left w:val="nil"/>
              <w:bottom w:val="nil"/>
              <w:right w:val="nil"/>
            </w:tcBorders>
            <w:shd w:val="clear" w:color="000000" w:fill="FFFFFF"/>
            <w:noWrap/>
            <w:vAlign w:val="bottom"/>
            <w:hideMark/>
          </w:tcPr>
          <w:p w:rsidR="007C1680" w:rsidRPr="007C1680" w:rsidRDefault="007C1680" w:rsidP="007C1680">
            <w:pPr>
              <w:jc w:val="right"/>
              <w:rPr>
                <w:sz w:val="16"/>
                <w:szCs w:val="16"/>
              </w:rPr>
            </w:pPr>
            <w:r w:rsidRPr="007C1680">
              <w:rPr>
                <w:sz w:val="16"/>
                <w:szCs w:val="16"/>
              </w:rPr>
              <w:t> </w:t>
            </w:r>
          </w:p>
        </w:tc>
        <w:tc>
          <w:tcPr>
            <w:tcW w:w="900" w:type="dxa"/>
            <w:tcBorders>
              <w:top w:val="nil"/>
              <w:left w:val="nil"/>
              <w:bottom w:val="nil"/>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r>
    </w:tbl>
    <w:p w:rsidR="007C1680" w:rsidRPr="007C1680" w:rsidRDefault="007C1680" w:rsidP="007C1680">
      <w:pPr>
        <w:autoSpaceDE w:val="0"/>
        <w:autoSpaceDN w:val="0"/>
        <w:adjustRightInd w:val="0"/>
      </w:pPr>
    </w:p>
    <w:p w:rsidR="007C1680" w:rsidRPr="007C1680" w:rsidRDefault="007C1680" w:rsidP="007C1680">
      <w:pPr>
        <w:autoSpaceDE w:val="0"/>
        <w:autoSpaceDN w:val="0"/>
        <w:adjustRightInd w:val="0"/>
        <w:rPr>
          <w:sz w:val="20"/>
          <w:szCs w:val="20"/>
        </w:rPr>
      </w:pPr>
      <w:r w:rsidRPr="007C1680">
        <w:rPr>
          <w:sz w:val="20"/>
          <w:szCs w:val="20"/>
        </w:rPr>
        <w:t xml:space="preserve">NOTE: The cash flows for this multi-stage DCF Model are derived using the average forecasted dividends and the near term and long term growth rates. </w:t>
      </w:r>
    </w:p>
    <w:p w:rsidR="007C1680" w:rsidRPr="007C1680" w:rsidRDefault="007C1680" w:rsidP="007C1680">
      <w:pPr>
        <w:autoSpaceDE w:val="0"/>
        <w:autoSpaceDN w:val="0"/>
        <w:adjustRightInd w:val="0"/>
        <w:rPr>
          <w:sz w:val="20"/>
          <w:szCs w:val="20"/>
        </w:rPr>
      </w:pPr>
      <w:r w:rsidRPr="007C1680">
        <w:rPr>
          <w:sz w:val="20"/>
          <w:szCs w:val="20"/>
        </w:rPr>
        <w:t xml:space="preserve">The discount rate equates the cash flows with the average stock price less flotation cost. </w:t>
      </w:r>
    </w:p>
    <w:p w:rsidR="007C1680" w:rsidRPr="007C1680" w:rsidRDefault="007C1680" w:rsidP="007C1680">
      <w:pPr>
        <w:autoSpaceDE w:val="0"/>
        <w:autoSpaceDN w:val="0"/>
        <w:adjustRightInd w:val="0"/>
        <w:rPr>
          <w:sz w:val="20"/>
          <w:szCs w:val="20"/>
        </w:rPr>
      </w:pPr>
      <w:r w:rsidRPr="007C1680">
        <w:rPr>
          <w:sz w:val="20"/>
          <w:szCs w:val="20"/>
        </w:rPr>
        <w:t xml:space="preserve">$57.184 = Average stock price from April 1, 2015, through April 30, 2016, with a 4 percent flotation cost. </w:t>
      </w:r>
    </w:p>
    <w:p w:rsidR="007C1680" w:rsidRPr="007C1680" w:rsidRDefault="007C1680" w:rsidP="007C1680">
      <w:pPr>
        <w:autoSpaceDE w:val="0"/>
        <w:autoSpaceDN w:val="0"/>
        <w:adjustRightInd w:val="0"/>
        <w:rPr>
          <w:sz w:val="20"/>
          <w:szCs w:val="20"/>
        </w:rPr>
      </w:pPr>
      <w:r w:rsidRPr="007C1680">
        <w:rPr>
          <w:sz w:val="20"/>
          <w:szCs w:val="20"/>
        </w:rPr>
        <w:t>7.62</w:t>
      </w:r>
      <w:proofErr w:type="gramStart"/>
      <w:r w:rsidRPr="007C1680">
        <w:rPr>
          <w:sz w:val="20"/>
          <w:szCs w:val="20"/>
        </w:rPr>
        <w:t>%  =</w:t>
      </w:r>
      <w:proofErr w:type="gramEnd"/>
      <w:r w:rsidRPr="007C1680">
        <w:rPr>
          <w:sz w:val="20"/>
          <w:szCs w:val="20"/>
        </w:rPr>
        <w:t xml:space="preserve"> Cost of equity required to match the current stock price with the expected cash flows.</w:t>
      </w:r>
    </w:p>
    <w:p w:rsidR="007C1680" w:rsidRPr="007C1680" w:rsidRDefault="007C1680" w:rsidP="007C1680">
      <w:pPr>
        <w:tabs>
          <w:tab w:val="left" w:pos="12240"/>
        </w:tabs>
        <w:autoSpaceDE w:val="0"/>
        <w:autoSpaceDN w:val="0"/>
        <w:adjustRightInd w:val="0"/>
        <w:rPr>
          <w:sz w:val="20"/>
          <w:szCs w:val="20"/>
        </w:rPr>
      </w:pPr>
      <w:r w:rsidRPr="007C1680">
        <w:rPr>
          <w:sz w:val="20"/>
          <w:szCs w:val="20"/>
        </w:rPr>
        <w:t>Sources:</w:t>
      </w:r>
    </w:p>
    <w:p w:rsidR="007C1680" w:rsidRPr="007C1680" w:rsidRDefault="007C1680" w:rsidP="007C1680">
      <w:pPr>
        <w:autoSpaceDE w:val="0"/>
        <w:autoSpaceDN w:val="0"/>
        <w:adjustRightInd w:val="0"/>
        <w:rPr>
          <w:sz w:val="20"/>
          <w:szCs w:val="20"/>
        </w:rPr>
      </w:pPr>
      <w:r w:rsidRPr="007C1680">
        <w:rPr>
          <w:sz w:val="20"/>
          <w:szCs w:val="20"/>
        </w:rPr>
        <w:t>1. Stock Prices - Yahoo Finance.</w:t>
      </w:r>
    </w:p>
    <w:p w:rsidR="007C1680" w:rsidRPr="007C1680" w:rsidRDefault="007C1680" w:rsidP="007C1680">
      <w:pPr>
        <w:rPr>
          <w:sz w:val="20"/>
          <w:szCs w:val="20"/>
        </w:rPr>
      </w:pPr>
      <w:r w:rsidRPr="007C1680">
        <w:rPr>
          <w:sz w:val="20"/>
          <w:szCs w:val="20"/>
        </w:rPr>
        <w:t xml:space="preserve">2. Dividends (DIV), Dividends </w:t>
      </w:r>
      <w:proofErr w:type="gramStart"/>
      <w:r w:rsidRPr="007C1680">
        <w:rPr>
          <w:sz w:val="20"/>
          <w:szCs w:val="20"/>
        </w:rPr>
        <w:t>Per</w:t>
      </w:r>
      <w:proofErr w:type="gramEnd"/>
      <w:r w:rsidRPr="007C1680">
        <w:rPr>
          <w:sz w:val="20"/>
          <w:szCs w:val="20"/>
        </w:rPr>
        <w:t xml:space="preserve"> Share (DPS), Earnings Per Share (EPS), ROE - Value Line Ratings and Reports issued March 4, 2016.</w:t>
      </w:r>
    </w:p>
    <w:p w:rsidR="007C1680" w:rsidRDefault="007C1680" w:rsidP="007C1680">
      <w:pPr>
        <w:rPr>
          <w:rFonts w:cs="Courier New"/>
        </w:rPr>
        <w:sectPr w:rsidR="007C1680" w:rsidSect="007C1680">
          <w:pgSz w:w="15840" w:h="12240" w:orient="landscape" w:code="1"/>
          <w:pgMar w:top="1440" w:right="1584" w:bottom="1440" w:left="1440" w:header="720" w:footer="720" w:gutter="0"/>
          <w:cols w:space="720"/>
          <w:formProt w:val="0"/>
          <w:docGrid w:linePitch="360"/>
        </w:sectPr>
      </w:pPr>
    </w:p>
    <w:p w:rsidR="007C1680" w:rsidRPr="007C1680" w:rsidRDefault="007C1680" w:rsidP="007C1680">
      <w:pPr>
        <w:jc w:val="right"/>
        <w:rPr>
          <w:rFonts w:cs="Courier New"/>
        </w:rPr>
      </w:pPr>
      <w:r w:rsidRPr="007C1680">
        <w:rPr>
          <w:rFonts w:cs="Courier New"/>
        </w:rPr>
        <w:lastRenderedPageBreak/>
        <w:t>Attachment 1</w:t>
      </w:r>
    </w:p>
    <w:p w:rsidR="007C1680" w:rsidRPr="007C1680" w:rsidRDefault="007C1680" w:rsidP="007C1680">
      <w:pPr>
        <w:jc w:val="right"/>
        <w:rPr>
          <w:rFonts w:cs="Courier New"/>
        </w:rPr>
      </w:pPr>
      <w:r w:rsidRPr="007C1680">
        <w:rPr>
          <w:rFonts w:cs="Courier New"/>
        </w:rPr>
        <w:t>Page 4 of 6</w:t>
      </w:r>
    </w:p>
    <w:p w:rsidR="007C1680" w:rsidRPr="007C1680" w:rsidRDefault="007C1680" w:rsidP="007C1680">
      <w:pPr>
        <w:jc w:val="center"/>
        <w:rPr>
          <w:rFonts w:cs="Courier New"/>
          <w:u w:val="single"/>
        </w:rPr>
      </w:pPr>
    </w:p>
    <w:p w:rsidR="007C1680" w:rsidRPr="007C1680" w:rsidRDefault="007C1680" w:rsidP="007C1680">
      <w:pPr>
        <w:jc w:val="center"/>
        <w:rPr>
          <w:rFonts w:cs="Courier New"/>
        </w:rPr>
      </w:pPr>
      <w:r w:rsidRPr="007C1680">
        <w:rPr>
          <w:rFonts w:cs="Courier New"/>
        </w:rPr>
        <w:t>CAPITAL ASSET PRICING MODEL</w:t>
      </w:r>
    </w:p>
    <w:p w:rsidR="007C1680" w:rsidRPr="007C1680" w:rsidRDefault="007C1680" w:rsidP="007C1680">
      <w:pPr>
        <w:spacing w:line="480" w:lineRule="auto"/>
        <w:ind w:firstLine="720"/>
        <w:rPr>
          <w:rFonts w:cs="Courier New"/>
        </w:rPr>
      </w:pPr>
    </w:p>
    <w:p w:rsidR="007C1680" w:rsidRPr="007C1680" w:rsidRDefault="007C1680" w:rsidP="007C1680">
      <w:pPr>
        <w:spacing w:line="480" w:lineRule="auto"/>
        <w:ind w:firstLine="720"/>
        <w:rPr>
          <w:rFonts w:cs="Courier New"/>
          <w:u w:val="single"/>
        </w:rPr>
      </w:pPr>
      <w:r w:rsidRPr="007C1680">
        <w:rPr>
          <w:rFonts w:cs="Courier New"/>
          <w:u w:val="single"/>
        </w:rPr>
        <w:t>CAPM Analysis Formula</w:t>
      </w:r>
    </w:p>
    <w:p w:rsidR="007C1680" w:rsidRPr="007C1680" w:rsidRDefault="007C1680" w:rsidP="007C1680">
      <w:pPr>
        <w:spacing w:line="480" w:lineRule="auto"/>
        <w:ind w:firstLine="720"/>
        <w:rPr>
          <w:rFonts w:cs="Courier New"/>
        </w:rPr>
      </w:pPr>
      <w:r w:rsidRPr="007C1680">
        <w:rPr>
          <w:rFonts w:cs="Courier New"/>
        </w:rPr>
        <w:t xml:space="preserve">K </w:t>
      </w:r>
      <w:r w:rsidRPr="007C1680">
        <w:rPr>
          <w:rFonts w:cs="Courier New"/>
        </w:rPr>
        <w:tab/>
        <w:t>=</w:t>
      </w:r>
      <w:r w:rsidRPr="007C1680">
        <w:rPr>
          <w:rFonts w:cs="Courier New"/>
        </w:rPr>
        <w:tab/>
        <w:t xml:space="preserve">RF + </w:t>
      </w:r>
      <w:proofErr w:type="gramStart"/>
      <w:r w:rsidRPr="007C1680">
        <w:rPr>
          <w:rFonts w:cs="Courier New"/>
        </w:rPr>
        <w:t>Beta(</w:t>
      </w:r>
      <w:proofErr w:type="gramEnd"/>
      <w:r w:rsidRPr="007C1680">
        <w:rPr>
          <w:rFonts w:cs="Courier New"/>
        </w:rPr>
        <w:t>MR - RF)</w:t>
      </w:r>
    </w:p>
    <w:p w:rsidR="007C1680" w:rsidRPr="007C1680" w:rsidRDefault="007C1680" w:rsidP="007C1680">
      <w:pPr>
        <w:spacing w:line="480" w:lineRule="auto"/>
        <w:ind w:firstLine="720"/>
        <w:rPr>
          <w:rFonts w:cs="Courier New"/>
        </w:rPr>
      </w:pPr>
      <w:r w:rsidRPr="007C1680">
        <w:rPr>
          <w:rFonts w:cs="Courier New"/>
        </w:rPr>
        <w:t xml:space="preserve">K </w:t>
      </w:r>
      <w:r w:rsidRPr="007C1680">
        <w:rPr>
          <w:rFonts w:cs="Courier New"/>
        </w:rPr>
        <w:tab/>
        <w:t>=</w:t>
      </w:r>
      <w:r w:rsidRPr="007C1680">
        <w:rPr>
          <w:rFonts w:cs="Courier New"/>
        </w:rPr>
        <w:tab/>
        <w:t>Investor's required rate of return</w:t>
      </w:r>
    </w:p>
    <w:p w:rsidR="007C1680" w:rsidRPr="007C1680" w:rsidRDefault="007C1680" w:rsidP="007C1680">
      <w:pPr>
        <w:spacing w:line="480" w:lineRule="auto"/>
        <w:ind w:firstLine="720"/>
        <w:rPr>
          <w:rFonts w:cs="Courier New"/>
        </w:rPr>
      </w:pPr>
      <w:r w:rsidRPr="007C1680">
        <w:rPr>
          <w:rFonts w:cs="Courier New"/>
        </w:rPr>
        <w:t xml:space="preserve">RF </w:t>
      </w:r>
      <w:r w:rsidRPr="007C1680">
        <w:rPr>
          <w:rFonts w:cs="Courier New"/>
        </w:rPr>
        <w:tab/>
        <w:t>=</w:t>
      </w:r>
      <w:r w:rsidRPr="007C1680">
        <w:rPr>
          <w:rFonts w:cs="Courier New"/>
        </w:rPr>
        <w:tab/>
        <w:t xml:space="preserve">Risk-free rate (Blue Chip forecast for Long-term Treasury bond, </w:t>
      </w:r>
    </w:p>
    <w:p w:rsidR="007C1680" w:rsidRPr="007C1680" w:rsidRDefault="007C1680" w:rsidP="007C1680">
      <w:pPr>
        <w:spacing w:line="480" w:lineRule="auto"/>
        <w:ind w:firstLine="720"/>
        <w:rPr>
          <w:rFonts w:cs="Courier New"/>
        </w:rPr>
      </w:pPr>
      <w:r w:rsidRPr="007C1680">
        <w:rPr>
          <w:rFonts w:cs="Courier New"/>
        </w:rPr>
        <w:tab/>
      </w:r>
      <w:r w:rsidRPr="007C1680">
        <w:rPr>
          <w:rFonts w:cs="Courier New"/>
        </w:rPr>
        <w:tab/>
        <w:t>May 1, 2016)</w:t>
      </w:r>
    </w:p>
    <w:p w:rsidR="007C1680" w:rsidRPr="007C1680" w:rsidRDefault="007C1680" w:rsidP="007C1680">
      <w:pPr>
        <w:tabs>
          <w:tab w:val="left" w:pos="720"/>
          <w:tab w:val="left" w:pos="1440"/>
          <w:tab w:val="left" w:pos="9918"/>
        </w:tabs>
        <w:spacing w:line="480" w:lineRule="auto"/>
        <w:ind w:left="2160" w:hanging="1483"/>
        <w:rPr>
          <w:rFonts w:cs="Courier New"/>
        </w:rPr>
      </w:pPr>
      <w:r w:rsidRPr="007C1680">
        <w:rPr>
          <w:rFonts w:cs="Courier New"/>
        </w:rPr>
        <w:tab/>
        <w:t xml:space="preserve">Beta    </w:t>
      </w:r>
      <w:r w:rsidRPr="007C1680">
        <w:rPr>
          <w:rFonts w:cs="Courier New"/>
        </w:rPr>
        <w:tab/>
        <w:t>=</w:t>
      </w:r>
      <w:r w:rsidRPr="007C1680">
        <w:rPr>
          <w:rFonts w:cs="Courier New"/>
        </w:rPr>
        <w:tab/>
        <w:t>Measure of industry-specific risk (Average for natural gas utilities followed by Value Line)</w:t>
      </w:r>
    </w:p>
    <w:p w:rsidR="007C1680" w:rsidRPr="007C1680" w:rsidRDefault="007C1680" w:rsidP="007C1680">
      <w:pPr>
        <w:spacing w:line="480" w:lineRule="auto"/>
        <w:ind w:left="2160" w:hanging="1483"/>
        <w:rPr>
          <w:rFonts w:cs="Courier New"/>
        </w:rPr>
      </w:pPr>
      <w:r w:rsidRPr="007C1680">
        <w:rPr>
          <w:rFonts w:cs="Courier New"/>
        </w:rPr>
        <w:t>MR       =</w:t>
      </w:r>
      <w:r w:rsidRPr="007C1680">
        <w:rPr>
          <w:rFonts w:cs="Courier New"/>
        </w:rPr>
        <w:tab/>
        <w:t>Market return (Value Line Investment Analyzer Web Browser, as of May 12, 2016)</w:t>
      </w:r>
    </w:p>
    <w:p w:rsidR="007C1680" w:rsidRPr="007C1680" w:rsidRDefault="007C1680" w:rsidP="007C1680">
      <w:pPr>
        <w:spacing w:line="480" w:lineRule="auto"/>
        <w:ind w:firstLine="720"/>
        <w:rPr>
          <w:rFonts w:cs="Courier New"/>
          <w:b/>
        </w:rPr>
      </w:pPr>
      <w:r w:rsidRPr="007C1680">
        <w:rPr>
          <w:rFonts w:cs="Courier New"/>
        </w:rPr>
        <w:tab/>
      </w:r>
      <w:r w:rsidRPr="007C1680">
        <w:rPr>
          <w:rFonts w:cs="Courier New"/>
        </w:rPr>
        <w:tab/>
      </w:r>
      <w:r w:rsidRPr="007C1680">
        <w:rPr>
          <w:rFonts w:cs="Courier New"/>
          <w:b/>
        </w:rPr>
        <w:t>9.39% = 3.22% + 0.744(11.25% - 3.22%) + 0.20%</w:t>
      </w:r>
    </w:p>
    <w:p w:rsidR="007C1680" w:rsidRPr="007C1680" w:rsidRDefault="007C1680" w:rsidP="007C1680">
      <w:pPr>
        <w:ind w:left="720"/>
        <w:jc w:val="both"/>
        <w:rPr>
          <w:rFonts w:cs="Courier New"/>
          <w:bCs/>
        </w:rPr>
      </w:pPr>
      <w:r w:rsidRPr="007C1680">
        <w:rPr>
          <w:rFonts w:cs="Courier New"/>
          <w:bCs/>
        </w:rPr>
        <w:t>Note:  Staff calculated the market return using a quarterly DCF model for a large number of dividend paying stocks followed by Value Line. As of May 12, 2016, the result was 11.25%. Staff also added 20 basis points to the CAPM result to allow for a four-percent flotation cost.</w:t>
      </w:r>
    </w:p>
    <w:p w:rsidR="007C1680" w:rsidRPr="007C1680" w:rsidRDefault="007C1680" w:rsidP="007C1680">
      <w:pPr>
        <w:jc w:val="right"/>
      </w:pPr>
      <w:r>
        <w:rPr>
          <w:rFonts w:cs="Courier New"/>
        </w:rPr>
        <w:br w:type="page"/>
      </w:r>
      <w:r w:rsidRPr="007C1680">
        <w:lastRenderedPageBreak/>
        <w:t>Attachment 1</w:t>
      </w:r>
    </w:p>
    <w:p w:rsidR="007C1680" w:rsidRPr="007C1680" w:rsidRDefault="007C1680" w:rsidP="007C1680">
      <w:pPr>
        <w:jc w:val="right"/>
      </w:pPr>
      <w:r w:rsidRPr="007C1680">
        <w:t>Page 5 of 6</w:t>
      </w:r>
    </w:p>
    <w:p w:rsidR="007C1680" w:rsidRPr="007C1680" w:rsidRDefault="007C1680" w:rsidP="007C1680"/>
    <w:p w:rsidR="007C1680" w:rsidRPr="007C1680" w:rsidRDefault="007C1680" w:rsidP="007C1680">
      <w:pPr>
        <w:jc w:val="center"/>
      </w:pPr>
      <w:r w:rsidRPr="007C1680">
        <w:t>BOND YIELD DIFFERENTIALS</w:t>
      </w:r>
    </w:p>
    <w:p w:rsidR="007C1680" w:rsidRPr="007C1680" w:rsidRDefault="007C1680" w:rsidP="007C1680"/>
    <w:tbl>
      <w:tblPr>
        <w:tblW w:w="10284" w:type="dxa"/>
        <w:jc w:val="center"/>
        <w:tblLook w:val="04A0" w:firstRow="1" w:lastRow="0" w:firstColumn="1" w:lastColumn="0" w:noHBand="0" w:noVBand="1"/>
      </w:tblPr>
      <w:tblGrid>
        <w:gridCol w:w="2180"/>
        <w:gridCol w:w="756"/>
        <w:gridCol w:w="1020"/>
        <w:gridCol w:w="756"/>
        <w:gridCol w:w="1020"/>
        <w:gridCol w:w="756"/>
        <w:gridCol w:w="1020"/>
        <w:gridCol w:w="880"/>
        <w:gridCol w:w="1020"/>
        <w:gridCol w:w="996"/>
      </w:tblGrid>
      <w:tr w:rsidR="007C1680" w:rsidRPr="007C1680" w:rsidTr="007C1680">
        <w:trPr>
          <w:trHeight w:val="276"/>
          <w:jc w:val="center"/>
        </w:trPr>
        <w:tc>
          <w:tcPr>
            <w:tcW w:w="10284"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1680" w:rsidRPr="007C1680" w:rsidRDefault="007C1680" w:rsidP="007C1680">
            <w:pPr>
              <w:jc w:val="center"/>
            </w:pPr>
            <w:r w:rsidRPr="007C1680">
              <w:t>Public Utility Long Term Bond Yield Averages</w:t>
            </w:r>
          </w:p>
        </w:tc>
      </w:tr>
      <w:tr w:rsidR="007C1680" w:rsidRPr="007C1680" w:rsidTr="007C1680">
        <w:trPr>
          <w:trHeight w:val="315"/>
          <w:jc w:val="center"/>
        </w:trPr>
        <w:tc>
          <w:tcPr>
            <w:tcW w:w="10284" w:type="dxa"/>
            <w:gridSpan w:val="10"/>
            <w:vMerge/>
            <w:tcBorders>
              <w:top w:val="single" w:sz="4" w:space="0" w:color="auto"/>
              <w:left w:val="single" w:sz="4" w:space="0" w:color="auto"/>
              <w:bottom w:val="single" w:sz="4" w:space="0" w:color="auto"/>
              <w:right w:val="single" w:sz="4" w:space="0" w:color="auto"/>
            </w:tcBorders>
            <w:vAlign w:val="center"/>
            <w:hideMark/>
          </w:tcPr>
          <w:p w:rsidR="007C1680" w:rsidRPr="007C1680" w:rsidRDefault="007C1680" w:rsidP="007C1680"/>
        </w:tc>
      </w:tr>
      <w:tr w:rsidR="007C1680" w:rsidRPr="007C1680" w:rsidTr="007C1680">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center"/>
            <w:hideMark/>
          </w:tcPr>
          <w:p w:rsidR="007C1680" w:rsidRPr="007C1680" w:rsidRDefault="007C1680" w:rsidP="007C1680">
            <w:pPr>
              <w:jc w:val="right"/>
            </w:pPr>
            <w:r w:rsidRPr="007C1680">
              <w:t xml:space="preserve">Month, Year </w:t>
            </w:r>
          </w:p>
        </w:tc>
        <w:tc>
          <w:tcPr>
            <w:tcW w:w="756"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A2</w:t>
            </w:r>
          </w:p>
        </w:tc>
        <w:tc>
          <w:tcPr>
            <w:tcW w:w="1020"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Spread</w:t>
            </w:r>
          </w:p>
        </w:tc>
        <w:tc>
          <w:tcPr>
            <w:tcW w:w="756"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A3</w:t>
            </w:r>
          </w:p>
        </w:tc>
        <w:tc>
          <w:tcPr>
            <w:tcW w:w="1020"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Spread</w:t>
            </w:r>
          </w:p>
        </w:tc>
        <w:tc>
          <w:tcPr>
            <w:tcW w:w="756"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Baa1</w:t>
            </w:r>
          </w:p>
        </w:tc>
        <w:tc>
          <w:tcPr>
            <w:tcW w:w="1020"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Spread</w:t>
            </w:r>
          </w:p>
        </w:tc>
        <w:tc>
          <w:tcPr>
            <w:tcW w:w="880"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Baa2</w:t>
            </w:r>
          </w:p>
        </w:tc>
        <w:tc>
          <w:tcPr>
            <w:tcW w:w="1020"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Spread</w:t>
            </w:r>
          </w:p>
        </w:tc>
        <w:tc>
          <w:tcPr>
            <w:tcW w:w="876"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rPr>
                <w:b/>
                <w:bCs/>
              </w:rPr>
            </w:pPr>
            <w:r w:rsidRPr="007C1680">
              <w:rPr>
                <w:b/>
                <w:bCs/>
              </w:rPr>
              <w:t>Baa3</w:t>
            </w:r>
          </w:p>
        </w:tc>
      </w:tr>
      <w:tr w:rsidR="007C1680" w:rsidRPr="007C1680" w:rsidTr="007C1680">
        <w:trPr>
          <w:trHeight w:val="315"/>
          <w:jc w:val="center"/>
        </w:trPr>
        <w:tc>
          <w:tcPr>
            <w:tcW w:w="2180" w:type="dxa"/>
            <w:tcBorders>
              <w:top w:val="nil"/>
              <w:left w:val="single" w:sz="4" w:space="0" w:color="auto"/>
              <w:bottom w:val="single" w:sz="4" w:space="0" w:color="auto"/>
              <w:right w:val="nil"/>
            </w:tcBorders>
            <w:shd w:val="clear" w:color="000000" w:fill="FFFFFF"/>
            <w:vAlign w:val="center"/>
            <w:hideMark/>
          </w:tcPr>
          <w:p w:rsidR="007C1680" w:rsidRPr="007C1680" w:rsidRDefault="007C1680" w:rsidP="007C1680">
            <w:pPr>
              <w:jc w:val="right"/>
            </w:pPr>
            <w:r w:rsidRPr="007C1680">
              <w:t> </w:t>
            </w:r>
          </w:p>
        </w:tc>
        <w:tc>
          <w:tcPr>
            <w:tcW w:w="756" w:type="dxa"/>
            <w:tcBorders>
              <w:top w:val="nil"/>
              <w:left w:val="nil"/>
              <w:bottom w:val="single" w:sz="4" w:space="0" w:color="auto"/>
              <w:right w:val="nil"/>
            </w:tcBorders>
            <w:shd w:val="clear" w:color="000000" w:fill="FFFFFF"/>
            <w:vAlign w:val="center"/>
            <w:hideMark/>
          </w:tcPr>
          <w:p w:rsidR="007C1680" w:rsidRPr="007C1680" w:rsidRDefault="007C1680" w:rsidP="007C1680">
            <w:pPr>
              <w:jc w:val="center"/>
            </w:pPr>
            <w:r w:rsidRPr="007C1680">
              <w:t> </w:t>
            </w:r>
          </w:p>
        </w:tc>
        <w:tc>
          <w:tcPr>
            <w:tcW w:w="1020" w:type="dxa"/>
            <w:tcBorders>
              <w:top w:val="nil"/>
              <w:left w:val="nil"/>
              <w:bottom w:val="single" w:sz="4" w:space="0" w:color="auto"/>
              <w:right w:val="nil"/>
            </w:tcBorders>
            <w:shd w:val="clear" w:color="000000" w:fill="FFFFFF"/>
            <w:vAlign w:val="center"/>
            <w:hideMark/>
          </w:tcPr>
          <w:p w:rsidR="007C1680" w:rsidRPr="007C1680" w:rsidRDefault="007C1680" w:rsidP="007C1680">
            <w:pPr>
              <w:jc w:val="right"/>
            </w:pPr>
            <w:r w:rsidRPr="007C1680">
              <w:t> </w:t>
            </w:r>
          </w:p>
        </w:tc>
        <w:tc>
          <w:tcPr>
            <w:tcW w:w="756" w:type="dxa"/>
            <w:tcBorders>
              <w:top w:val="nil"/>
              <w:left w:val="nil"/>
              <w:bottom w:val="single" w:sz="4" w:space="0" w:color="auto"/>
              <w:right w:val="nil"/>
            </w:tcBorders>
            <w:shd w:val="clear" w:color="000000" w:fill="FFFFFF"/>
            <w:vAlign w:val="center"/>
            <w:hideMark/>
          </w:tcPr>
          <w:p w:rsidR="007C1680" w:rsidRPr="007C1680" w:rsidRDefault="007C1680" w:rsidP="007C1680">
            <w:pPr>
              <w:jc w:val="center"/>
            </w:pPr>
            <w:r w:rsidRPr="007C1680">
              <w:t> </w:t>
            </w:r>
          </w:p>
        </w:tc>
        <w:tc>
          <w:tcPr>
            <w:tcW w:w="1020" w:type="dxa"/>
            <w:tcBorders>
              <w:top w:val="nil"/>
              <w:left w:val="nil"/>
              <w:bottom w:val="single" w:sz="4" w:space="0" w:color="auto"/>
              <w:right w:val="nil"/>
            </w:tcBorders>
            <w:shd w:val="clear" w:color="000000" w:fill="FFFFFF"/>
            <w:vAlign w:val="center"/>
            <w:hideMark/>
          </w:tcPr>
          <w:p w:rsidR="007C1680" w:rsidRPr="007C1680" w:rsidRDefault="007C1680" w:rsidP="007C1680">
            <w:pPr>
              <w:jc w:val="right"/>
            </w:pPr>
            <w:r w:rsidRPr="007C1680">
              <w:t> </w:t>
            </w:r>
          </w:p>
        </w:tc>
        <w:tc>
          <w:tcPr>
            <w:tcW w:w="756" w:type="dxa"/>
            <w:tcBorders>
              <w:top w:val="nil"/>
              <w:left w:val="nil"/>
              <w:bottom w:val="single" w:sz="4" w:space="0" w:color="auto"/>
              <w:right w:val="nil"/>
            </w:tcBorders>
            <w:shd w:val="clear" w:color="000000" w:fill="FFFFFF"/>
            <w:vAlign w:val="center"/>
            <w:hideMark/>
          </w:tcPr>
          <w:p w:rsidR="007C1680" w:rsidRPr="007C1680" w:rsidRDefault="007C1680" w:rsidP="007C1680">
            <w:pPr>
              <w:jc w:val="center"/>
            </w:pPr>
            <w:r w:rsidRPr="007C1680">
              <w:t> </w:t>
            </w:r>
          </w:p>
        </w:tc>
        <w:tc>
          <w:tcPr>
            <w:tcW w:w="1020" w:type="dxa"/>
            <w:tcBorders>
              <w:top w:val="nil"/>
              <w:left w:val="nil"/>
              <w:bottom w:val="single" w:sz="4" w:space="0" w:color="auto"/>
              <w:right w:val="nil"/>
            </w:tcBorders>
            <w:shd w:val="clear" w:color="000000" w:fill="FFFFFF"/>
            <w:vAlign w:val="center"/>
            <w:hideMark/>
          </w:tcPr>
          <w:p w:rsidR="007C1680" w:rsidRPr="007C1680" w:rsidRDefault="007C1680" w:rsidP="007C1680">
            <w:pPr>
              <w:jc w:val="right"/>
            </w:pPr>
            <w:r w:rsidRPr="007C1680">
              <w:t> </w:t>
            </w:r>
          </w:p>
        </w:tc>
        <w:tc>
          <w:tcPr>
            <w:tcW w:w="880" w:type="dxa"/>
            <w:tcBorders>
              <w:top w:val="nil"/>
              <w:left w:val="nil"/>
              <w:bottom w:val="single" w:sz="4" w:space="0" w:color="auto"/>
              <w:right w:val="nil"/>
            </w:tcBorders>
            <w:shd w:val="clear" w:color="000000" w:fill="FFFFFF"/>
            <w:vAlign w:val="center"/>
            <w:hideMark/>
          </w:tcPr>
          <w:p w:rsidR="007C1680" w:rsidRPr="007C1680" w:rsidRDefault="007C1680" w:rsidP="007C1680">
            <w:pPr>
              <w:jc w:val="center"/>
            </w:pPr>
            <w:r w:rsidRPr="007C1680">
              <w:t> </w:t>
            </w:r>
          </w:p>
        </w:tc>
        <w:tc>
          <w:tcPr>
            <w:tcW w:w="1020" w:type="dxa"/>
            <w:tcBorders>
              <w:top w:val="nil"/>
              <w:left w:val="nil"/>
              <w:bottom w:val="single" w:sz="4" w:space="0" w:color="auto"/>
              <w:right w:val="nil"/>
            </w:tcBorders>
            <w:shd w:val="clear" w:color="000000" w:fill="FFFFFF"/>
            <w:vAlign w:val="center"/>
            <w:hideMark/>
          </w:tcPr>
          <w:p w:rsidR="007C1680" w:rsidRPr="007C1680" w:rsidRDefault="007C1680" w:rsidP="007C1680">
            <w:pPr>
              <w:jc w:val="right"/>
            </w:pPr>
            <w:r w:rsidRPr="007C1680">
              <w:t> </w:t>
            </w:r>
          </w:p>
        </w:tc>
        <w:tc>
          <w:tcPr>
            <w:tcW w:w="876"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 </w:t>
            </w:r>
          </w:p>
        </w:tc>
      </w:tr>
      <w:tr w:rsidR="007C1680" w:rsidRPr="007C1680" w:rsidTr="007C1680">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center"/>
            <w:hideMark/>
          </w:tcPr>
          <w:p w:rsidR="007C1680" w:rsidRPr="007C1680" w:rsidRDefault="007C1680" w:rsidP="007C1680">
            <w:pPr>
              <w:jc w:val="right"/>
            </w:pPr>
            <w:r w:rsidRPr="007C1680">
              <w:t>April, 2016</w:t>
            </w:r>
          </w:p>
        </w:tc>
        <w:tc>
          <w:tcPr>
            <w:tcW w:w="756" w:type="dxa"/>
            <w:tcBorders>
              <w:top w:val="nil"/>
              <w:left w:val="nil"/>
              <w:bottom w:val="single" w:sz="4" w:space="0" w:color="auto"/>
              <w:right w:val="single" w:sz="4" w:space="0" w:color="auto"/>
            </w:tcBorders>
            <w:shd w:val="clear" w:color="000000" w:fill="FFFFFF"/>
            <w:vAlign w:val="bottom"/>
            <w:hideMark/>
          </w:tcPr>
          <w:p w:rsidR="007C1680" w:rsidRPr="007C1680" w:rsidRDefault="007C1680" w:rsidP="007C1680">
            <w:pPr>
              <w:jc w:val="right"/>
              <w:rPr>
                <w:rFonts w:ascii="SWISS" w:hAnsi="SWISS" w:cs="Arial"/>
                <w:color w:val="0000FF"/>
              </w:rPr>
            </w:pPr>
            <w:r w:rsidRPr="007C1680">
              <w:rPr>
                <w:rFonts w:ascii="SWISS" w:hAnsi="SWISS" w:cs="Arial"/>
              </w:rPr>
              <w:t>3.970</w:t>
            </w:r>
          </w:p>
        </w:tc>
        <w:tc>
          <w:tcPr>
            <w:tcW w:w="1020" w:type="dxa"/>
            <w:tcBorders>
              <w:top w:val="nil"/>
              <w:left w:val="nil"/>
              <w:bottom w:val="single" w:sz="4" w:space="0" w:color="auto"/>
              <w:right w:val="single" w:sz="4" w:space="0" w:color="auto"/>
            </w:tcBorders>
            <w:shd w:val="clear" w:color="000000" w:fill="FFFFFF"/>
            <w:vAlign w:val="bottom"/>
            <w:hideMark/>
          </w:tcPr>
          <w:p w:rsidR="007C1680" w:rsidRPr="007C1680" w:rsidRDefault="007C1680" w:rsidP="007C1680">
            <w:pPr>
              <w:jc w:val="right"/>
              <w:rPr>
                <w:rFonts w:ascii="SWISS" w:hAnsi="SWISS" w:cs="Arial"/>
                <w:color w:val="000000"/>
              </w:rPr>
            </w:pPr>
            <w:r w:rsidRPr="007C1680">
              <w:rPr>
                <w:rFonts w:ascii="SWISS" w:hAnsi="SWISS" w:cs="Arial"/>
                <w:color w:val="000000"/>
              </w:rPr>
              <w:t>0.170</w:t>
            </w:r>
          </w:p>
        </w:tc>
        <w:tc>
          <w:tcPr>
            <w:tcW w:w="756" w:type="dxa"/>
            <w:tcBorders>
              <w:top w:val="nil"/>
              <w:left w:val="nil"/>
              <w:bottom w:val="single" w:sz="4" w:space="0" w:color="auto"/>
              <w:right w:val="single" w:sz="4" w:space="0" w:color="auto"/>
            </w:tcBorders>
            <w:shd w:val="clear" w:color="000000" w:fill="FFFFFF"/>
            <w:vAlign w:val="bottom"/>
            <w:hideMark/>
          </w:tcPr>
          <w:p w:rsidR="007C1680" w:rsidRPr="007C1680" w:rsidRDefault="007C1680" w:rsidP="007C1680">
            <w:pPr>
              <w:jc w:val="right"/>
              <w:rPr>
                <w:rFonts w:ascii="SWISS" w:hAnsi="SWISS" w:cs="Arial"/>
                <w:color w:val="000000"/>
              </w:rPr>
            </w:pPr>
            <w:r w:rsidRPr="007C1680">
              <w:rPr>
                <w:rFonts w:ascii="SWISS" w:hAnsi="SWISS" w:cs="Arial"/>
                <w:color w:val="000000"/>
              </w:rPr>
              <w:t>4.140</w:t>
            </w:r>
          </w:p>
        </w:tc>
        <w:tc>
          <w:tcPr>
            <w:tcW w:w="1020" w:type="dxa"/>
            <w:tcBorders>
              <w:top w:val="nil"/>
              <w:left w:val="nil"/>
              <w:bottom w:val="single" w:sz="4" w:space="0" w:color="auto"/>
              <w:right w:val="single" w:sz="4" w:space="0" w:color="auto"/>
            </w:tcBorders>
            <w:shd w:val="clear" w:color="000000" w:fill="FFFFFF"/>
            <w:vAlign w:val="bottom"/>
            <w:hideMark/>
          </w:tcPr>
          <w:p w:rsidR="007C1680" w:rsidRPr="007C1680" w:rsidRDefault="007C1680" w:rsidP="007C1680">
            <w:pPr>
              <w:jc w:val="right"/>
              <w:rPr>
                <w:rFonts w:ascii="SWISS" w:hAnsi="SWISS" w:cs="Arial"/>
                <w:color w:val="000000"/>
              </w:rPr>
            </w:pPr>
            <w:r w:rsidRPr="007C1680">
              <w:rPr>
                <w:rFonts w:ascii="SWISS" w:hAnsi="SWISS" w:cs="Arial"/>
                <w:color w:val="000000"/>
              </w:rPr>
              <w:t>0.170</w:t>
            </w:r>
          </w:p>
        </w:tc>
        <w:tc>
          <w:tcPr>
            <w:tcW w:w="756" w:type="dxa"/>
            <w:tcBorders>
              <w:top w:val="nil"/>
              <w:left w:val="nil"/>
              <w:bottom w:val="single" w:sz="4" w:space="0" w:color="auto"/>
              <w:right w:val="single" w:sz="4" w:space="0" w:color="auto"/>
            </w:tcBorders>
            <w:shd w:val="clear" w:color="000000" w:fill="FFFFFF"/>
            <w:vAlign w:val="bottom"/>
            <w:hideMark/>
          </w:tcPr>
          <w:p w:rsidR="007C1680" w:rsidRPr="007C1680" w:rsidRDefault="007C1680" w:rsidP="007C1680">
            <w:pPr>
              <w:jc w:val="right"/>
              <w:rPr>
                <w:rFonts w:ascii="SWISS" w:hAnsi="SWISS" w:cs="Arial"/>
                <w:color w:val="000000"/>
              </w:rPr>
            </w:pPr>
            <w:r w:rsidRPr="007C1680">
              <w:rPr>
                <w:rFonts w:ascii="SWISS" w:hAnsi="SWISS" w:cs="Arial"/>
                <w:color w:val="000000"/>
              </w:rPr>
              <w:t>4.310</w:t>
            </w:r>
          </w:p>
        </w:tc>
        <w:tc>
          <w:tcPr>
            <w:tcW w:w="1020" w:type="dxa"/>
            <w:tcBorders>
              <w:top w:val="nil"/>
              <w:left w:val="nil"/>
              <w:bottom w:val="single" w:sz="4" w:space="0" w:color="auto"/>
              <w:right w:val="single" w:sz="4" w:space="0" w:color="auto"/>
            </w:tcBorders>
            <w:shd w:val="clear" w:color="000000" w:fill="FFFFFF"/>
            <w:vAlign w:val="bottom"/>
            <w:hideMark/>
          </w:tcPr>
          <w:p w:rsidR="007C1680" w:rsidRPr="007C1680" w:rsidRDefault="007C1680" w:rsidP="007C1680">
            <w:pPr>
              <w:jc w:val="right"/>
              <w:rPr>
                <w:rFonts w:ascii="SWISS" w:hAnsi="SWISS" w:cs="Arial"/>
                <w:color w:val="000000"/>
              </w:rPr>
            </w:pPr>
            <w:r w:rsidRPr="007C1680">
              <w:rPr>
                <w:rFonts w:ascii="SWISS" w:hAnsi="SWISS" w:cs="Arial"/>
                <w:color w:val="000000"/>
              </w:rPr>
              <w:t>0.170</w:t>
            </w:r>
          </w:p>
        </w:tc>
        <w:tc>
          <w:tcPr>
            <w:tcW w:w="880" w:type="dxa"/>
            <w:tcBorders>
              <w:top w:val="nil"/>
              <w:left w:val="nil"/>
              <w:bottom w:val="single" w:sz="4" w:space="0" w:color="auto"/>
              <w:right w:val="single" w:sz="4" w:space="0" w:color="auto"/>
            </w:tcBorders>
            <w:shd w:val="clear" w:color="000000" w:fill="FFFFFF"/>
            <w:vAlign w:val="bottom"/>
            <w:hideMark/>
          </w:tcPr>
          <w:p w:rsidR="007C1680" w:rsidRPr="007C1680" w:rsidRDefault="007C1680" w:rsidP="007C1680">
            <w:pPr>
              <w:jc w:val="right"/>
              <w:rPr>
                <w:rFonts w:ascii="SWISS" w:hAnsi="SWISS" w:cs="Arial"/>
                <w:color w:val="0000FF"/>
              </w:rPr>
            </w:pPr>
            <w:r w:rsidRPr="007C1680">
              <w:rPr>
                <w:rFonts w:ascii="SWISS" w:hAnsi="SWISS" w:cs="Arial"/>
              </w:rPr>
              <w:t>4.480</w:t>
            </w:r>
          </w:p>
        </w:tc>
        <w:tc>
          <w:tcPr>
            <w:tcW w:w="1020" w:type="dxa"/>
            <w:tcBorders>
              <w:top w:val="nil"/>
              <w:left w:val="nil"/>
              <w:bottom w:val="single" w:sz="4" w:space="0" w:color="auto"/>
              <w:right w:val="single" w:sz="4" w:space="0" w:color="auto"/>
            </w:tcBorders>
            <w:shd w:val="clear" w:color="000000" w:fill="FFFFFF"/>
            <w:vAlign w:val="bottom"/>
            <w:hideMark/>
          </w:tcPr>
          <w:p w:rsidR="007C1680" w:rsidRPr="007C1680" w:rsidRDefault="007C1680" w:rsidP="007C1680">
            <w:pPr>
              <w:jc w:val="right"/>
              <w:rPr>
                <w:rFonts w:ascii="SWISS" w:hAnsi="SWISS" w:cs="Arial"/>
                <w:color w:val="000000"/>
              </w:rPr>
            </w:pPr>
            <w:r w:rsidRPr="007C1680">
              <w:rPr>
                <w:rFonts w:ascii="SWISS" w:hAnsi="SWISS" w:cs="Arial"/>
                <w:color w:val="000000"/>
              </w:rPr>
              <w:t>0.170</w:t>
            </w:r>
          </w:p>
        </w:tc>
        <w:tc>
          <w:tcPr>
            <w:tcW w:w="876" w:type="dxa"/>
            <w:tcBorders>
              <w:top w:val="nil"/>
              <w:left w:val="nil"/>
              <w:bottom w:val="single" w:sz="4" w:space="0" w:color="auto"/>
              <w:right w:val="single" w:sz="4" w:space="0" w:color="auto"/>
            </w:tcBorders>
            <w:shd w:val="clear" w:color="000000" w:fill="FFFFFF"/>
            <w:vAlign w:val="bottom"/>
            <w:hideMark/>
          </w:tcPr>
          <w:p w:rsidR="007C1680" w:rsidRPr="007C1680" w:rsidRDefault="007C1680" w:rsidP="007C1680">
            <w:pPr>
              <w:jc w:val="right"/>
              <w:rPr>
                <w:rFonts w:ascii="SWISS" w:hAnsi="SWISS" w:cs="Arial"/>
                <w:color w:val="000000"/>
              </w:rPr>
            </w:pPr>
            <w:r w:rsidRPr="007C1680">
              <w:rPr>
                <w:rFonts w:ascii="SWISS" w:hAnsi="SWISS" w:cs="Arial"/>
                <w:color w:val="000000"/>
              </w:rPr>
              <w:t>4.650</w:t>
            </w:r>
          </w:p>
        </w:tc>
      </w:tr>
      <w:tr w:rsidR="007C1680" w:rsidRPr="007C1680" w:rsidTr="007C1680">
        <w:trPr>
          <w:trHeight w:val="315"/>
          <w:jc w:val="center"/>
        </w:trPr>
        <w:tc>
          <w:tcPr>
            <w:tcW w:w="10284"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7C1680" w:rsidRPr="007C1680" w:rsidRDefault="007C1680" w:rsidP="007C1680">
            <w:r w:rsidRPr="007C1680">
              <w:t> </w:t>
            </w:r>
          </w:p>
        </w:tc>
      </w:tr>
      <w:tr w:rsidR="007C1680" w:rsidRPr="007C1680" w:rsidTr="007C1680">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center"/>
            <w:hideMark/>
          </w:tcPr>
          <w:p w:rsidR="007C1680" w:rsidRPr="007C1680" w:rsidRDefault="007C1680" w:rsidP="007C1680">
            <w:pPr>
              <w:jc w:val="right"/>
            </w:pPr>
            <w:r w:rsidRPr="007C1680">
              <w:t>120-Month Average</w:t>
            </w:r>
          </w:p>
        </w:tc>
        <w:tc>
          <w:tcPr>
            <w:tcW w:w="756" w:type="dxa"/>
            <w:tcBorders>
              <w:top w:val="nil"/>
              <w:left w:val="nil"/>
              <w:bottom w:val="single" w:sz="4" w:space="0" w:color="auto"/>
              <w:right w:val="nil"/>
            </w:tcBorders>
            <w:shd w:val="clear" w:color="000000" w:fill="FFFFFF"/>
            <w:noWrap/>
            <w:vAlign w:val="center"/>
            <w:hideMark/>
          </w:tcPr>
          <w:p w:rsidR="007C1680" w:rsidRPr="007C1680" w:rsidRDefault="007C1680" w:rsidP="007C1680">
            <w:r w:rsidRPr="007C1680">
              <w:t> </w:t>
            </w:r>
          </w:p>
        </w:tc>
        <w:tc>
          <w:tcPr>
            <w:tcW w:w="1020" w:type="dxa"/>
            <w:tcBorders>
              <w:top w:val="nil"/>
              <w:left w:val="nil"/>
              <w:bottom w:val="single" w:sz="4" w:space="0" w:color="auto"/>
              <w:right w:val="nil"/>
            </w:tcBorders>
            <w:shd w:val="clear" w:color="000000" w:fill="FFFFFF"/>
            <w:vAlign w:val="center"/>
            <w:hideMark/>
          </w:tcPr>
          <w:p w:rsidR="007C1680" w:rsidRPr="007C1680" w:rsidRDefault="007C1680" w:rsidP="007C1680">
            <w:pPr>
              <w:jc w:val="center"/>
            </w:pPr>
            <w:r w:rsidRPr="007C1680">
              <w:t> </w:t>
            </w:r>
          </w:p>
        </w:tc>
        <w:tc>
          <w:tcPr>
            <w:tcW w:w="756" w:type="dxa"/>
            <w:tcBorders>
              <w:top w:val="nil"/>
              <w:left w:val="nil"/>
              <w:bottom w:val="single" w:sz="4" w:space="0" w:color="auto"/>
              <w:right w:val="nil"/>
            </w:tcBorders>
            <w:shd w:val="clear" w:color="000000" w:fill="FFFFFF"/>
            <w:vAlign w:val="center"/>
            <w:hideMark/>
          </w:tcPr>
          <w:p w:rsidR="007C1680" w:rsidRPr="007C1680" w:rsidRDefault="007C1680" w:rsidP="007C1680">
            <w:pPr>
              <w:jc w:val="center"/>
            </w:pPr>
            <w:r w:rsidRPr="007C1680">
              <w:t> </w:t>
            </w:r>
          </w:p>
        </w:tc>
        <w:tc>
          <w:tcPr>
            <w:tcW w:w="1020" w:type="dxa"/>
            <w:tcBorders>
              <w:top w:val="nil"/>
              <w:left w:val="nil"/>
              <w:bottom w:val="single" w:sz="4" w:space="0" w:color="auto"/>
              <w:right w:val="nil"/>
            </w:tcBorders>
            <w:shd w:val="clear" w:color="000000" w:fill="FFFFFF"/>
            <w:vAlign w:val="center"/>
            <w:hideMark/>
          </w:tcPr>
          <w:p w:rsidR="007C1680" w:rsidRPr="007C1680" w:rsidRDefault="007C1680" w:rsidP="007C1680">
            <w:pPr>
              <w:jc w:val="center"/>
            </w:pPr>
            <w:r w:rsidRPr="007C1680">
              <w:t> </w:t>
            </w:r>
          </w:p>
        </w:tc>
        <w:tc>
          <w:tcPr>
            <w:tcW w:w="756" w:type="dxa"/>
            <w:tcBorders>
              <w:top w:val="nil"/>
              <w:left w:val="nil"/>
              <w:bottom w:val="single" w:sz="4" w:space="0" w:color="auto"/>
              <w:right w:val="nil"/>
            </w:tcBorders>
            <w:shd w:val="clear" w:color="000000" w:fill="FFFFFF"/>
            <w:vAlign w:val="center"/>
            <w:hideMark/>
          </w:tcPr>
          <w:p w:rsidR="007C1680" w:rsidRPr="007C1680" w:rsidRDefault="007C1680" w:rsidP="007C1680">
            <w:pPr>
              <w:jc w:val="center"/>
            </w:pPr>
            <w:r w:rsidRPr="007C1680">
              <w:t> </w:t>
            </w:r>
          </w:p>
        </w:tc>
        <w:tc>
          <w:tcPr>
            <w:tcW w:w="1020"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 </w:t>
            </w:r>
          </w:p>
        </w:tc>
        <w:tc>
          <w:tcPr>
            <w:tcW w:w="880"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4.480</w:t>
            </w:r>
          </w:p>
        </w:tc>
        <w:tc>
          <w:tcPr>
            <w:tcW w:w="1020"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pPr>
            <w:r w:rsidRPr="007C1680">
              <w:t>0.1509</w:t>
            </w:r>
          </w:p>
        </w:tc>
        <w:tc>
          <w:tcPr>
            <w:tcW w:w="876" w:type="dxa"/>
            <w:tcBorders>
              <w:top w:val="nil"/>
              <w:left w:val="nil"/>
              <w:bottom w:val="single" w:sz="4" w:space="0" w:color="auto"/>
              <w:right w:val="single" w:sz="4" w:space="0" w:color="auto"/>
            </w:tcBorders>
            <w:shd w:val="clear" w:color="000000" w:fill="FFFFFF"/>
            <w:vAlign w:val="center"/>
            <w:hideMark/>
          </w:tcPr>
          <w:p w:rsidR="007C1680" w:rsidRPr="007C1680" w:rsidRDefault="007C1680" w:rsidP="007C1680">
            <w:pPr>
              <w:jc w:val="center"/>
              <w:rPr>
                <w:b/>
                <w:bCs/>
              </w:rPr>
            </w:pPr>
            <w:r w:rsidRPr="007C1680">
              <w:rPr>
                <w:b/>
                <w:bCs/>
              </w:rPr>
              <w:t>4.631%</w:t>
            </w:r>
          </w:p>
        </w:tc>
      </w:tr>
      <w:tr w:rsidR="007C1680" w:rsidRPr="007C1680" w:rsidTr="007C1680">
        <w:trPr>
          <w:trHeight w:val="315"/>
          <w:jc w:val="center"/>
        </w:trPr>
        <w:tc>
          <w:tcPr>
            <w:tcW w:w="2180" w:type="dxa"/>
            <w:tcBorders>
              <w:top w:val="nil"/>
              <w:left w:val="single" w:sz="4" w:space="0" w:color="auto"/>
              <w:bottom w:val="single" w:sz="4" w:space="0" w:color="auto"/>
              <w:right w:val="nil"/>
            </w:tcBorders>
            <w:shd w:val="clear" w:color="000000" w:fill="FFFFFF"/>
            <w:noWrap/>
            <w:vAlign w:val="bottom"/>
            <w:hideMark/>
          </w:tcPr>
          <w:p w:rsidR="007C1680" w:rsidRPr="007C1680" w:rsidRDefault="007C1680" w:rsidP="007C1680">
            <w:pPr>
              <w:rPr>
                <w:sz w:val="16"/>
                <w:szCs w:val="16"/>
              </w:rPr>
            </w:pPr>
            <w:r w:rsidRPr="007C1680">
              <w:rPr>
                <w:sz w:val="16"/>
                <w:szCs w:val="16"/>
              </w:rPr>
              <w:t> </w:t>
            </w:r>
          </w:p>
        </w:tc>
        <w:tc>
          <w:tcPr>
            <w:tcW w:w="756" w:type="dxa"/>
            <w:tcBorders>
              <w:top w:val="nil"/>
              <w:left w:val="nil"/>
              <w:bottom w:val="single" w:sz="4" w:space="0" w:color="auto"/>
              <w:right w:val="nil"/>
            </w:tcBorders>
            <w:shd w:val="clear" w:color="000000" w:fill="FFFFFF"/>
            <w:noWrap/>
            <w:vAlign w:val="bottom"/>
            <w:hideMark/>
          </w:tcPr>
          <w:p w:rsidR="007C1680" w:rsidRPr="007C1680" w:rsidRDefault="007C1680" w:rsidP="007C1680">
            <w:pPr>
              <w:rPr>
                <w:u w:val="double"/>
              </w:rPr>
            </w:pPr>
            <w:r w:rsidRPr="007C1680">
              <w:rPr>
                <w:u w:val="single"/>
              </w:rPr>
              <w:t> </w:t>
            </w:r>
          </w:p>
        </w:tc>
        <w:tc>
          <w:tcPr>
            <w:tcW w:w="1020" w:type="dxa"/>
            <w:tcBorders>
              <w:top w:val="nil"/>
              <w:left w:val="nil"/>
              <w:bottom w:val="single" w:sz="4" w:space="0" w:color="auto"/>
              <w:right w:val="nil"/>
            </w:tcBorders>
            <w:shd w:val="clear" w:color="000000" w:fill="FFFFFF"/>
            <w:noWrap/>
            <w:vAlign w:val="bottom"/>
            <w:hideMark/>
          </w:tcPr>
          <w:p w:rsidR="007C1680" w:rsidRPr="007C1680" w:rsidRDefault="007C1680" w:rsidP="007C1680">
            <w:r w:rsidRPr="007C1680">
              <w:t> </w:t>
            </w:r>
          </w:p>
        </w:tc>
        <w:tc>
          <w:tcPr>
            <w:tcW w:w="756" w:type="dxa"/>
            <w:tcBorders>
              <w:top w:val="nil"/>
              <w:left w:val="nil"/>
              <w:bottom w:val="single" w:sz="4" w:space="0" w:color="auto"/>
              <w:right w:val="nil"/>
            </w:tcBorders>
            <w:shd w:val="clear" w:color="000000" w:fill="FFFFFF"/>
            <w:noWrap/>
            <w:vAlign w:val="bottom"/>
            <w:hideMark/>
          </w:tcPr>
          <w:p w:rsidR="007C1680" w:rsidRPr="007C1680" w:rsidRDefault="007C1680" w:rsidP="007C1680">
            <w:pPr>
              <w:rPr>
                <w:rFonts w:ascii="Arial" w:hAnsi="Arial" w:cs="Arial"/>
                <w:sz w:val="20"/>
                <w:szCs w:val="20"/>
              </w:rPr>
            </w:pPr>
            <w:r w:rsidRPr="007C1680">
              <w:rPr>
                <w:rFonts w:ascii="Arial" w:hAnsi="Arial" w:cs="Arial"/>
                <w:sz w:val="20"/>
                <w:szCs w:val="20"/>
              </w:rPr>
              <w:t> </w:t>
            </w:r>
          </w:p>
        </w:tc>
        <w:tc>
          <w:tcPr>
            <w:tcW w:w="1020" w:type="dxa"/>
            <w:tcBorders>
              <w:top w:val="nil"/>
              <w:left w:val="nil"/>
              <w:bottom w:val="single" w:sz="4" w:space="0" w:color="auto"/>
              <w:right w:val="nil"/>
            </w:tcBorders>
            <w:shd w:val="clear" w:color="000000" w:fill="FFFFFF"/>
            <w:noWrap/>
            <w:vAlign w:val="bottom"/>
            <w:hideMark/>
          </w:tcPr>
          <w:p w:rsidR="007C1680" w:rsidRPr="007C1680" w:rsidRDefault="007C1680" w:rsidP="007C1680">
            <w:r w:rsidRPr="007C1680">
              <w:t> </w:t>
            </w:r>
          </w:p>
        </w:tc>
        <w:tc>
          <w:tcPr>
            <w:tcW w:w="756" w:type="dxa"/>
            <w:tcBorders>
              <w:top w:val="nil"/>
              <w:left w:val="nil"/>
              <w:bottom w:val="single" w:sz="4" w:space="0" w:color="auto"/>
              <w:right w:val="nil"/>
            </w:tcBorders>
            <w:shd w:val="clear" w:color="000000" w:fill="FFFFFF"/>
            <w:noWrap/>
            <w:vAlign w:val="bottom"/>
            <w:hideMark/>
          </w:tcPr>
          <w:p w:rsidR="007C1680" w:rsidRPr="007C1680" w:rsidRDefault="007C1680" w:rsidP="007C1680">
            <w:r w:rsidRPr="007C1680">
              <w:t> </w:t>
            </w:r>
          </w:p>
        </w:tc>
        <w:tc>
          <w:tcPr>
            <w:tcW w:w="1020" w:type="dxa"/>
            <w:tcBorders>
              <w:top w:val="nil"/>
              <w:left w:val="nil"/>
              <w:bottom w:val="single" w:sz="4" w:space="0" w:color="auto"/>
              <w:right w:val="nil"/>
            </w:tcBorders>
            <w:shd w:val="clear" w:color="000000" w:fill="FFFFFF"/>
            <w:noWrap/>
            <w:vAlign w:val="bottom"/>
            <w:hideMark/>
          </w:tcPr>
          <w:p w:rsidR="007C1680" w:rsidRPr="007C1680" w:rsidRDefault="007C1680" w:rsidP="007C1680">
            <w:r w:rsidRPr="007C1680">
              <w:t> </w:t>
            </w:r>
          </w:p>
        </w:tc>
        <w:tc>
          <w:tcPr>
            <w:tcW w:w="880" w:type="dxa"/>
            <w:tcBorders>
              <w:top w:val="nil"/>
              <w:left w:val="nil"/>
              <w:bottom w:val="single" w:sz="4" w:space="0" w:color="auto"/>
              <w:right w:val="nil"/>
            </w:tcBorders>
            <w:shd w:val="clear" w:color="000000" w:fill="FFFFFF"/>
            <w:noWrap/>
            <w:vAlign w:val="bottom"/>
            <w:hideMark/>
          </w:tcPr>
          <w:p w:rsidR="007C1680" w:rsidRPr="007C1680" w:rsidRDefault="007C1680" w:rsidP="007C1680">
            <w:pPr>
              <w:rPr>
                <w:color w:val="0000FF"/>
                <w:sz w:val="16"/>
                <w:szCs w:val="16"/>
              </w:rPr>
            </w:pPr>
            <w:r w:rsidRPr="007C1680">
              <w:rPr>
                <w:color w:val="0000FF"/>
                <w:sz w:val="16"/>
                <w:szCs w:val="16"/>
              </w:rPr>
              <w:t> </w:t>
            </w:r>
          </w:p>
        </w:tc>
        <w:tc>
          <w:tcPr>
            <w:tcW w:w="1020" w:type="dxa"/>
            <w:tcBorders>
              <w:top w:val="nil"/>
              <w:left w:val="nil"/>
              <w:bottom w:val="single" w:sz="4" w:space="0" w:color="auto"/>
              <w:right w:val="nil"/>
            </w:tcBorders>
            <w:shd w:val="clear" w:color="000000" w:fill="FFFFFF"/>
            <w:noWrap/>
            <w:vAlign w:val="bottom"/>
            <w:hideMark/>
          </w:tcPr>
          <w:p w:rsidR="007C1680" w:rsidRPr="007C1680" w:rsidRDefault="007C1680" w:rsidP="007C1680">
            <w:r w:rsidRPr="007C1680">
              <w:t> </w:t>
            </w:r>
          </w:p>
        </w:tc>
        <w:tc>
          <w:tcPr>
            <w:tcW w:w="876" w:type="dxa"/>
            <w:tcBorders>
              <w:top w:val="nil"/>
              <w:left w:val="nil"/>
              <w:bottom w:val="single" w:sz="4" w:space="0" w:color="auto"/>
              <w:right w:val="single" w:sz="4" w:space="0" w:color="auto"/>
            </w:tcBorders>
            <w:shd w:val="clear" w:color="000000" w:fill="FFFFFF"/>
            <w:noWrap/>
            <w:vAlign w:val="bottom"/>
            <w:hideMark/>
          </w:tcPr>
          <w:p w:rsidR="007C1680" w:rsidRPr="007C1680" w:rsidRDefault="007C1680" w:rsidP="007C1680">
            <w:r w:rsidRPr="007C1680">
              <w:t> </w:t>
            </w:r>
          </w:p>
        </w:tc>
      </w:tr>
      <w:tr w:rsidR="007C1680" w:rsidRPr="007C1680" w:rsidTr="007C1680">
        <w:trPr>
          <w:trHeight w:val="315"/>
          <w:jc w:val="center"/>
        </w:trPr>
        <w:tc>
          <w:tcPr>
            <w:tcW w:w="6488"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7C1680" w:rsidRPr="007C1680" w:rsidRDefault="007C1680" w:rsidP="007C1680">
            <w:pPr>
              <w:rPr>
                <w:sz w:val="20"/>
                <w:szCs w:val="20"/>
              </w:rPr>
            </w:pPr>
            <w:r w:rsidRPr="007C1680">
              <w:rPr>
                <w:sz w:val="20"/>
                <w:szCs w:val="20"/>
              </w:rPr>
              <w:t>Sources: Moody's Credit Perspectives and Value Line Selection &amp; Opinion</w:t>
            </w:r>
          </w:p>
        </w:tc>
        <w:tc>
          <w:tcPr>
            <w:tcW w:w="1020" w:type="dxa"/>
            <w:tcBorders>
              <w:top w:val="nil"/>
              <w:left w:val="nil"/>
              <w:bottom w:val="single" w:sz="4" w:space="0" w:color="auto"/>
              <w:right w:val="nil"/>
            </w:tcBorders>
            <w:shd w:val="clear" w:color="000000" w:fill="FFFFFF"/>
            <w:noWrap/>
            <w:vAlign w:val="bottom"/>
            <w:hideMark/>
          </w:tcPr>
          <w:p w:rsidR="007C1680" w:rsidRPr="007C1680" w:rsidRDefault="007C1680" w:rsidP="007C1680">
            <w:pPr>
              <w:rPr>
                <w:color w:val="000000"/>
                <w:sz w:val="16"/>
                <w:szCs w:val="16"/>
              </w:rPr>
            </w:pPr>
            <w:r w:rsidRPr="007C1680">
              <w:rPr>
                <w:color w:val="000000"/>
                <w:sz w:val="16"/>
                <w:szCs w:val="16"/>
              </w:rPr>
              <w:t> </w:t>
            </w:r>
          </w:p>
        </w:tc>
        <w:tc>
          <w:tcPr>
            <w:tcW w:w="880" w:type="dxa"/>
            <w:tcBorders>
              <w:top w:val="nil"/>
              <w:left w:val="nil"/>
              <w:bottom w:val="single" w:sz="4" w:space="0" w:color="auto"/>
              <w:right w:val="nil"/>
            </w:tcBorders>
            <w:shd w:val="clear" w:color="000000" w:fill="FFFFFF"/>
            <w:noWrap/>
            <w:vAlign w:val="bottom"/>
            <w:hideMark/>
          </w:tcPr>
          <w:p w:rsidR="007C1680" w:rsidRPr="007C1680" w:rsidRDefault="007C1680" w:rsidP="007C1680">
            <w:pPr>
              <w:rPr>
                <w:color w:val="0000FF"/>
                <w:sz w:val="16"/>
                <w:szCs w:val="16"/>
              </w:rPr>
            </w:pPr>
            <w:r w:rsidRPr="007C1680">
              <w:rPr>
                <w:color w:val="0000FF"/>
                <w:sz w:val="16"/>
                <w:szCs w:val="16"/>
              </w:rPr>
              <w:t> </w:t>
            </w:r>
          </w:p>
        </w:tc>
        <w:tc>
          <w:tcPr>
            <w:tcW w:w="1020" w:type="dxa"/>
            <w:tcBorders>
              <w:top w:val="nil"/>
              <w:left w:val="nil"/>
              <w:bottom w:val="single" w:sz="4" w:space="0" w:color="auto"/>
              <w:right w:val="nil"/>
            </w:tcBorders>
            <w:shd w:val="clear" w:color="000000" w:fill="FFFFFF"/>
            <w:noWrap/>
            <w:vAlign w:val="bottom"/>
            <w:hideMark/>
          </w:tcPr>
          <w:p w:rsidR="007C1680" w:rsidRPr="007C1680" w:rsidRDefault="007C1680" w:rsidP="007C1680">
            <w:pPr>
              <w:rPr>
                <w:color w:val="0000FF"/>
                <w:sz w:val="16"/>
                <w:szCs w:val="16"/>
              </w:rPr>
            </w:pPr>
            <w:r w:rsidRPr="007C1680">
              <w:rPr>
                <w:color w:val="0000FF"/>
                <w:sz w:val="16"/>
                <w:szCs w:val="16"/>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7C1680" w:rsidRPr="007C1680" w:rsidRDefault="007C1680" w:rsidP="007C1680">
            <w:pPr>
              <w:rPr>
                <w:color w:val="0000FF"/>
                <w:sz w:val="16"/>
                <w:szCs w:val="16"/>
              </w:rPr>
            </w:pPr>
            <w:r w:rsidRPr="007C1680">
              <w:rPr>
                <w:color w:val="0000FF"/>
                <w:sz w:val="16"/>
                <w:szCs w:val="16"/>
              </w:rPr>
              <w:t> </w:t>
            </w:r>
          </w:p>
        </w:tc>
      </w:tr>
    </w:tbl>
    <w:p w:rsidR="007C1680" w:rsidRDefault="007C1680" w:rsidP="007C1680">
      <w:pPr>
        <w:rPr>
          <w:rFonts w:cs="Courier New"/>
        </w:rPr>
      </w:pPr>
    </w:p>
    <w:p w:rsidR="007C1680" w:rsidRPr="007C1680" w:rsidRDefault="007C1680" w:rsidP="007C1680">
      <w:pPr>
        <w:jc w:val="right"/>
      </w:pPr>
      <w:r>
        <w:br w:type="page"/>
      </w:r>
      <w:r w:rsidRPr="007C1680">
        <w:lastRenderedPageBreak/>
        <w:t>Attachment 1</w:t>
      </w:r>
    </w:p>
    <w:p w:rsidR="007C1680" w:rsidRPr="007C1680" w:rsidRDefault="007C1680" w:rsidP="007C1680">
      <w:pPr>
        <w:jc w:val="right"/>
      </w:pPr>
      <w:r w:rsidRPr="007C1680">
        <w:t>Page 6 of 6</w:t>
      </w:r>
    </w:p>
    <w:p w:rsidR="007C1680" w:rsidRPr="007C1680" w:rsidRDefault="007C1680" w:rsidP="007C1680">
      <w:pPr>
        <w:jc w:val="right"/>
      </w:pPr>
    </w:p>
    <w:p w:rsidR="007C1680" w:rsidRPr="007C1680" w:rsidRDefault="007C1680" w:rsidP="007C1680">
      <w:pPr>
        <w:jc w:val="center"/>
      </w:pPr>
      <w:r w:rsidRPr="007C1680">
        <w:t>UTILITY INDEX STATISTICS AND FACTS</w:t>
      </w:r>
    </w:p>
    <w:p w:rsidR="007C1680" w:rsidRPr="007C1680" w:rsidRDefault="007C1680" w:rsidP="007C168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900"/>
        <w:gridCol w:w="1080"/>
        <w:gridCol w:w="1890"/>
        <w:gridCol w:w="1080"/>
        <w:gridCol w:w="1350"/>
      </w:tblGrid>
      <w:tr w:rsidR="007C1680" w:rsidRPr="007C1680" w:rsidTr="007C1680">
        <w:trPr>
          <w:trHeight w:val="945"/>
        </w:trPr>
        <w:tc>
          <w:tcPr>
            <w:tcW w:w="3258" w:type="dxa"/>
            <w:shd w:val="clear" w:color="auto" w:fill="auto"/>
            <w:vAlign w:val="bottom"/>
            <w:hideMark/>
          </w:tcPr>
          <w:p w:rsidR="007C1680" w:rsidRPr="007C1680" w:rsidRDefault="007C1680" w:rsidP="007C1680">
            <w:pPr>
              <w:jc w:val="center"/>
            </w:pPr>
            <w:r w:rsidRPr="007C1680">
              <w:t>Natural Gas Distribution Utility Companies</w:t>
            </w:r>
          </w:p>
        </w:tc>
        <w:tc>
          <w:tcPr>
            <w:tcW w:w="900" w:type="dxa"/>
            <w:shd w:val="clear" w:color="auto" w:fill="auto"/>
            <w:vAlign w:val="bottom"/>
            <w:hideMark/>
          </w:tcPr>
          <w:p w:rsidR="007C1680" w:rsidRPr="007C1680" w:rsidRDefault="007C1680" w:rsidP="007C1680">
            <w:pPr>
              <w:jc w:val="center"/>
            </w:pPr>
            <w:r w:rsidRPr="007C1680">
              <w:t>S&amp;P</w:t>
            </w:r>
          </w:p>
          <w:p w:rsidR="007C1680" w:rsidRPr="007C1680" w:rsidRDefault="007C1680" w:rsidP="007C1680">
            <w:pPr>
              <w:jc w:val="center"/>
            </w:pPr>
            <w:r w:rsidRPr="007C1680">
              <w:t>Bond Rating</w:t>
            </w:r>
          </w:p>
        </w:tc>
        <w:tc>
          <w:tcPr>
            <w:tcW w:w="1080" w:type="dxa"/>
            <w:shd w:val="clear" w:color="auto" w:fill="auto"/>
            <w:vAlign w:val="bottom"/>
            <w:hideMark/>
          </w:tcPr>
          <w:p w:rsidR="007C1680" w:rsidRPr="007C1680" w:rsidRDefault="007C1680" w:rsidP="007C1680">
            <w:pPr>
              <w:jc w:val="center"/>
            </w:pPr>
            <w:r w:rsidRPr="007C1680">
              <w:t>% of Gas Revenue</w:t>
            </w:r>
          </w:p>
        </w:tc>
        <w:tc>
          <w:tcPr>
            <w:tcW w:w="1890" w:type="dxa"/>
            <w:shd w:val="clear" w:color="auto" w:fill="auto"/>
            <w:vAlign w:val="bottom"/>
            <w:hideMark/>
          </w:tcPr>
          <w:p w:rsidR="007C1680" w:rsidRPr="007C1680" w:rsidRDefault="007C1680" w:rsidP="007C1680">
            <w:pPr>
              <w:jc w:val="center"/>
            </w:pPr>
            <w:r w:rsidRPr="007C1680">
              <w:t>Value Line Market Capital    (millions)</w:t>
            </w:r>
          </w:p>
        </w:tc>
        <w:tc>
          <w:tcPr>
            <w:tcW w:w="1080" w:type="dxa"/>
            <w:shd w:val="clear" w:color="auto" w:fill="auto"/>
            <w:vAlign w:val="bottom"/>
            <w:hideMark/>
          </w:tcPr>
          <w:p w:rsidR="007C1680" w:rsidRPr="007C1680" w:rsidRDefault="007C1680" w:rsidP="007C1680">
            <w:pPr>
              <w:jc w:val="center"/>
            </w:pPr>
            <w:r w:rsidRPr="007C1680">
              <w:t>Equity Ratio</w:t>
            </w:r>
          </w:p>
        </w:tc>
        <w:tc>
          <w:tcPr>
            <w:tcW w:w="1350" w:type="dxa"/>
            <w:shd w:val="clear" w:color="auto" w:fill="auto"/>
            <w:vAlign w:val="bottom"/>
            <w:hideMark/>
          </w:tcPr>
          <w:p w:rsidR="007C1680" w:rsidRPr="007C1680" w:rsidRDefault="007C1680" w:rsidP="007C1680">
            <w:pPr>
              <w:jc w:val="center"/>
            </w:pPr>
            <w:r w:rsidRPr="007C1680">
              <w:t>Value Line   Beta</w:t>
            </w:r>
          </w:p>
        </w:tc>
      </w:tr>
      <w:tr w:rsidR="007C1680" w:rsidRPr="007C1680" w:rsidTr="007C1680">
        <w:trPr>
          <w:trHeight w:val="315"/>
        </w:trPr>
        <w:tc>
          <w:tcPr>
            <w:tcW w:w="3258" w:type="dxa"/>
            <w:shd w:val="clear" w:color="auto" w:fill="auto"/>
            <w:hideMark/>
          </w:tcPr>
          <w:p w:rsidR="007C1680" w:rsidRPr="007C1680" w:rsidRDefault="007C1680" w:rsidP="007C1680">
            <w:r w:rsidRPr="007C1680">
              <w:t> </w:t>
            </w:r>
          </w:p>
        </w:tc>
        <w:tc>
          <w:tcPr>
            <w:tcW w:w="900" w:type="dxa"/>
            <w:shd w:val="clear" w:color="auto" w:fill="auto"/>
            <w:hideMark/>
          </w:tcPr>
          <w:p w:rsidR="007C1680" w:rsidRPr="007C1680" w:rsidRDefault="007C1680" w:rsidP="007C1680">
            <w:r w:rsidRPr="007C1680">
              <w:t> </w:t>
            </w:r>
          </w:p>
        </w:tc>
        <w:tc>
          <w:tcPr>
            <w:tcW w:w="1080" w:type="dxa"/>
            <w:shd w:val="clear" w:color="auto" w:fill="auto"/>
            <w:hideMark/>
          </w:tcPr>
          <w:p w:rsidR="007C1680" w:rsidRPr="007C1680" w:rsidRDefault="007C1680" w:rsidP="007C1680">
            <w:r w:rsidRPr="007C1680">
              <w:t> </w:t>
            </w:r>
          </w:p>
        </w:tc>
        <w:tc>
          <w:tcPr>
            <w:tcW w:w="1890" w:type="dxa"/>
            <w:shd w:val="clear" w:color="auto" w:fill="auto"/>
            <w:hideMark/>
          </w:tcPr>
          <w:p w:rsidR="007C1680" w:rsidRPr="007C1680" w:rsidRDefault="007C1680" w:rsidP="007C1680">
            <w:r w:rsidRPr="007C1680">
              <w:t> </w:t>
            </w:r>
          </w:p>
        </w:tc>
        <w:tc>
          <w:tcPr>
            <w:tcW w:w="1080" w:type="dxa"/>
            <w:shd w:val="clear" w:color="auto" w:fill="auto"/>
            <w:hideMark/>
          </w:tcPr>
          <w:p w:rsidR="007C1680" w:rsidRPr="007C1680" w:rsidRDefault="007C1680" w:rsidP="007C1680">
            <w:r w:rsidRPr="007C1680">
              <w:t> </w:t>
            </w:r>
          </w:p>
        </w:tc>
        <w:tc>
          <w:tcPr>
            <w:tcW w:w="1350" w:type="dxa"/>
            <w:shd w:val="clear" w:color="auto" w:fill="auto"/>
            <w:hideMark/>
          </w:tcPr>
          <w:p w:rsidR="007C1680" w:rsidRPr="007C1680" w:rsidRDefault="007C1680" w:rsidP="007C1680">
            <w:r w:rsidRPr="007C1680">
              <w:t> </w:t>
            </w:r>
          </w:p>
        </w:tc>
      </w:tr>
      <w:tr w:rsidR="007C1680" w:rsidRPr="007C1680" w:rsidTr="007C1680">
        <w:trPr>
          <w:trHeight w:val="315"/>
        </w:trPr>
        <w:tc>
          <w:tcPr>
            <w:tcW w:w="3258" w:type="dxa"/>
            <w:shd w:val="clear" w:color="auto" w:fill="auto"/>
            <w:hideMark/>
          </w:tcPr>
          <w:p w:rsidR="007C1680" w:rsidRPr="007C1680" w:rsidRDefault="007C1680" w:rsidP="007C1680">
            <w:r w:rsidRPr="007C1680">
              <w:t>AGL Resources Inc.</w:t>
            </w:r>
          </w:p>
        </w:tc>
        <w:tc>
          <w:tcPr>
            <w:tcW w:w="900" w:type="dxa"/>
            <w:shd w:val="clear" w:color="auto" w:fill="auto"/>
            <w:noWrap/>
            <w:hideMark/>
          </w:tcPr>
          <w:p w:rsidR="007C1680" w:rsidRPr="007C1680" w:rsidRDefault="007C1680" w:rsidP="007C1680">
            <w:pPr>
              <w:jc w:val="center"/>
            </w:pPr>
            <w:r w:rsidRPr="007C1680">
              <w:t>BBB+</w:t>
            </w:r>
          </w:p>
        </w:tc>
        <w:tc>
          <w:tcPr>
            <w:tcW w:w="1080" w:type="dxa"/>
            <w:shd w:val="clear" w:color="auto" w:fill="auto"/>
            <w:noWrap/>
            <w:hideMark/>
          </w:tcPr>
          <w:p w:rsidR="007C1680" w:rsidRPr="007C1680" w:rsidRDefault="007C1680" w:rsidP="007C1680">
            <w:pPr>
              <w:jc w:val="center"/>
            </w:pPr>
            <w:r w:rsidRPr="007C1680">
              <w:t>73%</w:t>
            </w:r>
          </w:p>
        </w:tc>
        <w:tc>
          <w:tcPr>
            <w:tcW w:w="1890" w:type="dxa"/>
            <w:shd w:val="clear" w:color="auto" w:fill="auto"/>
            <w:noWrap/>
            <w:hideMark/>
          </w:tcPr>
          <w:p w:rsidR="007C1680" w:rsidRPr="007C1680" w:rsidRDefault="007C1680" w:rsidP="007C1680">
            <w:r w:rsidRPr="007C1680">
              <w:t xml:space="preserve"> $ 7,859.41 </w:t>
            </w:r>
          </w:p>
        </w:tc>
        <w:tc>
          <w:tcPr>
            <w:tcW w:w="1080" w:type="dxa"/>
            <w:shd w:val="clear" w:color="auto" w:fill="auto"/>
            <w:noWrap/>
            <w:hideMark/>
          </w:tcPr>
          <w:p w:rsidR="007C1680" w:rsidRPr="007C1680" w:rsidRDefault="007C1680" w:rsidP="007C1680">
            <w:pPr>
              <w:jc w:val="right"/>
            </w:pPr>
            <w:r w:rsidRPr="007C1680">
              <w:t>44.86%</w:t>
            </w:r>
          </w:p>
        </w:tc>
        <w:tc>
          <w:tcPr>
            <w:tcW w:w="1350" w:type="dxa"/>
            <w:shd w:val="clear" w:color="auto" w:fill="auto"/>
            <w:noWrap/>
            <w:hideMark/>
          </w:tcPr>
          <w:p w:rsidR="007C1680" w:rsidRPr="007C1680" w:rsidRDefault="007C1680" w:rsidP="007C1680">
            <w:pPr>
              <w:jc w:val="center"/>
            </w:pPr>
            <w:r w:rsidRPr="007C1680">
              <w:t>0.60</w:t>
            </w:r>
          </w:p>
        </w:tc>
      </w:tr>
      <w:tr w:rsidR="007C1680" w:rsidRPr="007C1680" w:rsidTr="007C1680">
        <w:trPr>
          <w:trHeight w:val="315"/>
        </w:trPr>
        <w:tc>
          <w:tcPr>
            <w:tcW w:w="3258" w:type="dxa"/>
            <w:shd w:val="clear" w:color="auto" w:fill="auto"/>
            <w:hideMark/>
          </w:tcPr>
          <w:p w:rsidR="007C1680" w:rsidRPr="007C1680" w:rsidRDefault="007C1680" w:rsidP="007C1680">
            <w:proofErr w:type="spellStart"/>
            <w:r w:rsidRPr="007C1680">
              <w:t>Atmos</w:t>
            </w:r>
            <w:proofErr w:type="spellEnd"/>
            <w:r w:rsidRPr="007C1680">
              <w:t xml:space="preserve"> Energy Corporation </w:t>
            </w:r>
          </w:p>
        </w:tc>
        <w:tc>
          <w:tcPr>
            <w:tcW w:w="900" w:type="dxa"/>
            <w:shd w:val="clear" w:color="auto" w:fill="auto"/>
            <w:noWrap/>
            <w:hideMark/>
          </w:tcPr>
          <w:p w:rsidR="007C1680" w:rsidRPr="007C1680" w:rsidRDefault="007C1680" w:rsidP="007C1680">
            <w:pPr>
              <w:jc w:val="center"/>
            </w:pPr>
            <w:r w:rsidRPr="007C1680">
              <w:t>A-</w:t>
            </w:r>
          </w:p>
        </w:tc>
        <w:tc>
          <w:tcPr>
            <w:tcW w:w="1080" w:type="dxa"/>
            <w:shd w:val="clear" w:color="auto" w:fill="auto"/>
            <w:noWrap/>
            <w:hideMark/>
          </w:tcPr>
          <w:p w:rsidR="007C1680" w:rsidRPr="007C1680" w:rsidRDefault="007C1680" w:rsidP="007C1680">
            <w:pPr>
              <w:jc w:val="center"/>
            </w:pPr>
            <w:r w:rsidRPr="007C1680">
              <w:t>71%</w:t>
            </w:r>
          </w:p>
        </w:tc>
        <w:tc>
          <w:tcPr>
            <w:tcW w:w="1890" w:type="dxa"/>
            <w:shd w:val="clear" w:color="auto" w:fill="auto"/>
            <w:noWrap/>
            <w:hideMark/>
          </w:tcPr>
          <w:p w:rsidR="007C1680" w:rsidRPr="007C1680" w:rsidRDefault="007C1680" w:rsidP="007C1680">
            <w:r w:rsidRPr="007C1680">
              <w:t xml:space="preserve"> $ 7,461.98 </w:t>
            </w:r>
          </w:p>
        </w:tc>
        <w:tc>
          <w:tcPr>
            <w:tcW w:w="1080" w:type="dxa"/>
            <w:shd w:val="clear" w:color="auto" w:fill="auto"/>
            <w:noWrap/>
            <w:hideMark/>
          </w:tcPr>
          <w:p w:rsidR="007C1680" w:rsidRPr="007C1680" w:rsidRDefault="007C1680" w:rsidP="007C1680">
            <w:pPr>
              <w:jc w:val="right"/>
            </w:pPr>
            <w:r w:rsidRPr="007C1680">
              <w:t>52.30%</w:t>
            </w:r>
          </w:p>
        </w:tc>
        <w:tc>
          <w:tcPr>
            <w:tcW w:w="1350" w:type="dxa"/>
            <w:shd w:val="clear" w:color="auto" w:fill="auto"/>
            <w:noWrap/>
            <w:hideMark/>
          </w:tcPr>
          <w:p w:rsidR="007C1680" w:rsidRPr="007C1680" w:rsidRDefault="007C1680" w:rsidP="007C1680">
            <w:pPr>
              <w:jc w:val="center"/>
            </w:pPr>
            <w:r w:rsidRPr="007C1680">
              <w:t>0.80</w:t>
            </w:r>
          </w:p>
        </w:tc>
      </w:tr>
      <w:tr w:rsidR="007C1680" w:rsidRPr="007C1680" w:rsidTr="007C1680">
        <w:trPr>
          <w:trHeight w:val="315"/>
        </w:trPr>
        <w:tc>
          <w:tcPr>
            <w:tcW w:w="3258" w:type="dxa"/>
            <w:shd w:val="clear" w:color="auto" w:fill="auto"/>
            <w:hideMark/>
          </w:tcPr>
          <w:p w:rsidR="007C1680" w:rsidRPr="007C1680" w:rsidRDefault="007C1680" w:rsidP="007C1680">
            <w:r w:rsidRPr="007C1680">
              <w:t>Laclede Group, Inc.</w:t>
            </w:r>
          </w:p>
        </w:tc>
        <w:tc>
          <w:tcPr>
            <w:tcW w:w="900" w:type="dxa"/>
            <w:shd w:val="clear" w:color="auto" w:fill="auto"/>
            <w:noWrap/>
            <w:hideMark/>
          </w:tcPr>
          <w:p w:rsidR="007C1680" w:rsidRPr="007C1680" w:rsidRDefault="007C1680" w:rsidP="007C1680">
            <w:pPr>
              <w:jc w:val="center"/>
            </w:pPr>
            <w:r w:rsidRPr="007C1680">
              <w:t>A-</w:t>
            </w:r>
          </w:p>
        </w:tc>
        <w:tc>
          <w:tcPr>
            <w:tcW w:w="1080" w:type="dxa"/>
            <w:shd w:val="clear" w:color="auto" w:fill="auto"/>
            <w:noWrap/>
            <w:hideMark/>
          </w:tcPr>
          <w:p w:rsidR="007C1680" w:rsidRPr="007C1680" w:rsidRDefault="007C1680" w:rsidP="007C1680">
            <w:pPr>
              <w:jc w:val="center"/>
            </w:pPr>
            <w:r w:rsidRPr="007C1680">
              <w:t>97%</w:t>
            </w:r>
          </w:p>
        </w:tc>
        <w:tc>
          <w:tcPr>
            <w:tcW w:w="1890" w:type="dxa"/>
            <w:shd w:val="clear" w:color="auto" w:fill="auto"/>
            <w:noWrap/>
            <w:hideMark/>
          </w:tcPr>
          <w:p w:rsidR="007C1680" w:rsidRPr="007C1680" w:rsidRDefault="007C1680" w:rsidP="007C1680">
            <w:r w:rsidRPr="007C1680">
              <w:t xml:space="preserve"> $ 2,897.38 </w:t>
            </w:r>
          </w:p>
        </w:tc>
        <w:tc>
          <w:tcPr>
            <w:tcW w:w="1080" w:type="dxa"/>
            <w:shd w:val="clear" w:color="auto" w:fill="auto"/>
            <w:noWrap/>
            <w:hideMark/>
          </w:tcPr>
          <w:p w:rsidR="007C1680" w:rsidRPr="007C1680" w:rsidRDefault="007C1680" w:rsidP="007C1680">
            <w:pPr>
              <w:jc w:val="right"/>
            </w:pPr>
            <w:r w:rsidRPr="007C1680">
              <w:t>42.72%</w:t>
            </w:r>
          </w:p>
        </w:tc>
        <w:tc>
          <w:tcPr>
            <w:tcW w:w="1350" w:type="dxa"/>
            <w:shd w:val="clear" w:color="auto" w:fill="auto"/>
            <w:noWrap/>
            <w:hideMark/>
          </w:tcPr>
          <w:p w:rsidR="007C1680" w:rsidRPr="007C1680" w:rsidRDefault="007C1680" w:rsidP="007C1680">
            <w:pPr>
              <w:jc w:val="center"/>
            </w:pPr>
            <w:r w:rsidRPr="007C1680">
              <w:t>0.70</w:t>
            </w:r>
          </w:p>
        </w:tc>
      </w:tr>
      <w:tr w:rsidR="007C1680" w:rsidRPr="007C1680" w:rsidTr="007C1680">
        <w:trPr>
          <w:trHeight w:val="315"/>
        </w:trPr>
        <w:tc>
          <w:tcPr>
            <w:tcW w:w="3258" w:type="dxa"/>
            <w:shd w:val="clear" w:color="auto" w:fill="auto"/>
            <w:hideMark/>
          </w:tcPr>
          <w:p w:rsidR="007C1680" w:rsidRPr="007C1680" w:rsidRDefault="007C1680" w:rsidP="007C1680">
            <w:r w:rsidRPr="007C1680">
              <w:t>Northwest Natural Gas Co.</w:t>
            </w:r>
          </w:p>
        </w:tc>
        <w:tc>
          <w:tcPr>
            <w:tcW w:w="900" w:type="dxa"/>
            <w:shd w:val="clear" w:color="auto" w:fill="auto"/>
            <w:noWrap/>
            <w:hideMark/>
          </w:tcPr>
          <w:p w:rsidR="007C1680" w:rsidRPr="007C1680" w:rsidRDefault="007C1680" w:rsidP="007C1680">
            <w:pPr>
              <w:jc w:val="center"/>
            </w:pPr>
            <w:r w:rsidRPr="007C1680">
              <w:t>A+</w:t>
            </w:r>
          </w:p>
        </w:tc>
        <w:tc>
          <w:tcPr>
            <w:tcW w:w="1080" w:type="dxa"/>
            <w:shd w:val="clear" w:color="auto" w:fill="auto"/>
            <w:noWrap/>
            <w:hideMark/>
          </w:tcPr>
          <w:p w:rsidR="007C1680" w:rsidRPr="007C1680" w:rsidRDefault="007C1680" w:rsidP="007C1680">
            <w:pPr>
              <w:jc w:val="center"/>
            </w:pPr>
            <w:r w:rsidRPr="007C1680">
              <w:t>97%</w:t>
            </w:r>
          </w:p>
        </w:tc>
        <w:tc>
          <w:tcPr>
            <w:tcW w:w="1890" w:type="dxa"/>
            <w:shd w:val="clear" w:color="auto" w:fill="auto"/>
            <w:noWrap/>
            <w:hideMark/>
          </w:tcPr>
          <w:p w:rsidR="007C1680" w:rsidRPr="007C1680" w:rsidRDefault="007C1680" w:rsidP="007C1680">
            <w:r w:rsidRPr="007C1680">
              <w:t xml:space="preserve"> $ 1,403.93 </w:t>
            </w:r>
          </w:p>
        </w:tc>
        <w:tc>
          <w:tcPr>
            <w:tcW w:w="1080" w:type="dxa"/>
            <w:shd w:val="clear" w:color="auto" w:fill="auto"/>
            <w:noWrap/>
            <w:hideMark/>
          </w:tcPr>
          <w:p w:rsidR="007C1680" w:rsidRPr="007C1680" w:rsidRDefault="007C1680" w:rsidP="007C1680">
            <w:pPr>
              <w:jc w:val="right"/>
            </w:pPr>
            <w:r w:rsidRPr="007C1680">
              <w:t>47.25%</w:t>
            </w:r>
          </w:p>
        </w:tc>
        <w:tc>
          <w:tcPr>
            <w:tcW w:w="1350" w:type="dxa"/>
            <w:shd w:val="clear" w:color="auto" w:fill="auto"/>
            <w:noWrap/>
            <w:hideMark/>
          </w:tcPr>
          <w:p w:rsidR="007C1680" w:rsidRPr="007C1680" w:rsidRDefault="007C1680" w:rsidP="007C1680">
            <w:pPr>
              <w:jc w:val="center"/>
            </w:pPr>
            <w:r w:rsidRPr="007C1680">
              <w:t>0.65</w:t>
            </w:r>
          </w:p>
        </w:tc>
      </w:tr>
      <w:tr w:rsidR="007C1680" w:rsidRPr="007C1680" w:rsidTr="007C1680">
        <w:trPr>
          <w:trHeight w:val="315"/>
        </w:trPr>
        <w:tc>
          <w:tcPr>
            <w:tcW w:w="3258" w:type="dxa"/>
            <w:shd w:val="clear" w:color="auto" w:fill="auto"/>
            <w:hideMark/>
          </w:tcPr>
          <w:p w:rsidR="007C1680" w:rsidRPr="007C1680" w:rsidRDefault="007C1680" w:rsidP="007C1680">
            <w:r w:rsidRPr="007C1680">
              <w:t xml:space="preserve">Piedmont Natural Gas Co., Inc. </w:t>
            </w:r>
          </w:p>
        </w:tc>
        <w:tc>
          <w:tcPr>
            <w:tcW w:w="900" w:type="dxa"/>
            <w:shd w:val="clear" w:color="auto" w:fill="auto"/>
            <w:noWrap/>
            <w:hideMark/>
          </w:tcPr>
          <w:p w:rsidR="007C1680" w:rsidRPr="007C1680" w:rsidRDefault="007C1680" w:rsidP="007C1680">
            <w:pPr>
              <w:jc w:val="center"/>
            </w:pPr>
            <w:r w:rsidRPr="007C1680">
              <w:t>A</w:t>
            </w:r>
          </w:p>
        </w:tc>
        <w:tc>
          <w:tcPr>
            <w:tcW w:w="1080" w:type="dxa"/>
            <w:shd w:val="clear" w:color="auto" w:fill="auto"/>
            <w:noWrap/>
            <w:hideMark/>
          </w:tcPr>
          <w:p w:rsidR="007C1680" w:rsidRPr="007C1680" w:rsidRDefault="007C1680" w:rsidP="007C1680">
            <w:pPr>
              <w:jc w:val="center"/>
            </w:pPr>
            <w:r w:rsidRPr="007C1680">
              <w:t>93%</w:t>
            </w:r>
          </w:p>
        </w:tc>
        <w:tc>
          <w:tcPr>
            <w:tcW w:w="1890" w:type="dxa"/>
            <w:shd w:val="clear" w:color="auto" w:fill="auto"/>
            <w:noWrap/>
            <w:hideMark/>
          </w:tcPr>
          <w:p w:rsidR="007C1680" w:rsidRPr="007C1680" w:rsidRDefault="007C1680" w:rsidP="007C1680">
            <w:r w:rsidRPr="007C1680">
              <w:t xml:space="preserve"> $ 4,848.11 </w:t>
            </w:r>
          </w:p>
        </w:tc>
        <w:tc>
          <w:tcPr>
            <w:tcW w:w="1080" w:type="dxa"/>
            <w:shd w:val="clear" w:color="auto" w:fill="auto"/>
            <w:noWrap/>
            <w:hideMark/>
          </w:tcPr>
          <w:p w:rsidR="007C1680" w:rsidRPr="007C1680" w:rsidRDefault="007C1680" w:rsidP="007C1680">
            <w:pPr>
              <w:jc w:val="right"/>
            </w:pPr>
            <w:r w:rsidRPr="007C1680">
              <w:t>42.83%</w:t>
            </w:r>
          </w:p>
        </w:tc>
        <w:tc>
          <w:tcPr>
            <w:tcW w:w="1350" w:type="dxa"/>
            <w:shd w:val="clear" w:color="auto" w:fill="auto"/>
            <w:noWrap/>
            <w:hideMark/>
          </w:tcPr>
          <w:p w:rsidR="007C1680" w:rsidRPr="007C1680" w:rsidRDefault="007C1680" w:rsidP="007C1680">
            <w:pPr>
              <w:jc w:val="center"/>
            </w:pPr>
            <w:r w:rsidRPr="007C1680">
              <w:t>0.75</w:t>
            </w:r>
          </w:p>
        </w:tc>
      </w:tr>
      <w:tr w:rsidR="007C1680" w:rsidRPr="007C1680" w:rsidTr="007C1680">
        <w:trPr>
          <w:trHeight w:val="315"/>
        </w:trPr>
        <w:tc>
          <w:tcPr>
            <w:tcW w:w="3258" w:type="dxa"/>
            <w:shd w:val="clear" w:color="auto" w:fill="auto"/>
            <w:hideMark/>
          </w:tcPr>
          <w:p w:rsidR="007C1680" w:rsidRPr="007C1680" w:rsidRDefault="007C1680" w:rsidP="007C1680">
            <w:r w:rsidRPr="007C1680">
              <w:t xml:space="preserve">South Jersey Industries, Inc. </w:t>
            </w:r>
          </w:p>
        </w:tc>
        <w:tc>
          <w:tcPr>
            <w:tcW w:w="900" w:type="dxa"/>
            <w:shd w:val="clear" w:color="auto" w:fill="auto"/>
            <w:noWrap/>
            <w:hideMark/>
          </w:tcPr>
          <w:p w:rsidR="007C1680" w:rsidRPr="007C1680" w:rsidRDefault="007C1680" w:rsidP="007C1680">
            <w:pPr>
              <w:jc w:val="center"/>
            </w:pPr>
            <w:r w:rsidRPr="007C1680">
              <w:t>BBB+</w:t>
            </w:r>
          </w:p>
        </w:tc>
        <w:tc>
          <w:tcPr>
            <w:tcW w:w="1080" w:type="dxa"/>
            <w:shd w:val="clear" w:color="auto" w:fill="auto"/>
            <w:noWrap/>
            <w:hideMark/>
          </w:tcPr>
          <w:p w:rsidR="007C1680" w:rsidRPr="007C1680" w:rsidRDefault="007C1680" w:rsidP="007C1680">
            <w:pPr>
              <w:jc w:val="center"/>
            </w:pPr>
            <w:r w:rsidRPr="007C1680">
              <w:t>57%</w:t>
            </w:r>
          </w:p>
        </w:tc>
        <w:tc>
          <w:tcPr>
            <w:tcW w:w="1890" w:type="dxa"/>
            <w:shd w:val="clear" w:color="auto" w:fill="auto"/>
            <w:noWrap/>
            <w:hideMark/>
          </w:tcPr>
          <w:p w:rsidR="007C1680" w:rsidRPr="007C1680" w:rsidRDefault="007C1680" w:rsidP="007C1680">
            <w:r w:rsidRPr="007C1680">
              <w:t xml:space="preserve"> $ 1,897.55 </w:t>
            </w:r>
          </w:p>
        </w:tc>
        <w:tc>
          <w:tcPr>
            <w:tcW w:w="1080" w:type="dxa"/>
            <w:shd w:val="clear" w:color="auto" w:fill="auto"/>
            <w:noWrap/>
            <w:hideMark/>
          </w:tcPr>
          <w:p w:rsidR="007C1680" w:rsidRPr="007C1680" w:rsidRDefault="007C1680" w:rsidP="007C1680">
            <w:pPr>
              <w:jc w:val="right"/>
            </w:pPr>
            <w:r w:rsidRPr="007C1680">
              <w:t>41.42%</w:t>
            </w:r>
          </w:p>
        </w:tc>
        <w:tc>
          <w:tcPr>
            <w:tcW w:w="1350" w:type="dxa"/>
            <w:shd w:val="clear" w:color="auto" w:fill="auto"/>
            <w:noWrap/>
            <w:hideMark/>
          </w:tcPr>
          <w:p w:rsidR="007C1680" w:rsidRPr="007C1680" w:rsidRDefault="007C1680" w:rsidP="007C1680">
            <w:pPr>
              <w:jc w:val="center"/>
            </w:pPr>
            <w:r w:rsidRPr="007C1680">
              <w:t>0.85</w:t>
            </w:r>
          </w:p>
        </w:tc>
      </w:tr>
      <w:tr w:rsidR="007C1680" w:rsidRPr="007C1680" w:rsidTr="007C1680">
        <w:trPr>
          <w:trHeight w:val="315"/>
        </w:trPr>
        <w:tc>
          <w:tcPr>
            <w:tcW w:w="3258" w:type="dxa"/>
            <w:shd w:val="clear" w:color="auto" w:fill="auto"/>
            <w:hideMark/>
          </w:tcPr>
          <w:p w:rsidR="007C1680" w:rsidRPr="007C1680" w:rsidRDefault="007C1680" w:rsidP="007C1680">
            <w:r w:rsidRPr="007C1680">
              <w:t xml:space="preserve">Southwest Gas Corporation </w:t>
            </w:r>
          </w:p>
        </w:tc>
        <w:tc>
          <w:tcPr>
            <w:tcW w:w="900" w:type="dxa"/>
            <w:tcBorders>
              <w:bottom w:val="single" w:sz="4" w:space="0" w:color="auto"/>
            </w:tcBorders>
            <w:shd w:val="clear" w:color="auto" w:fill="auto"/>
            <w:noWrap/>
            <w:hideMark/>
          </w:tcPr>
          <w:p w:rsidR="007C1680" w:rsidRPr="007C1680" w:rsidRDefault="007C1680" w:rsidP="007C1680">
            <w:pPr>
              <w:jc w:val="center"/>
            </w:pPr>
            <w:r w:rsidRPr="007C1680">
              <w:t>BBB+</w:t>
            </w:r>
          </w:p>
        </w:tc>
        <w:tc>
          <w:tcPr>
            <w:tcW w:w="1080" w:type="dxa"/>
            <w:shd w:val="clear" w:color="auto" w:fill="auto"/>
            <w:noWrap/>
            <w:hideMark/>
          </w:tcPr>
          <w:p w:rsidR="007C1680" w:rsidRPr="007C1680" w:rsidRDefault="007C1680" w:rsidP="007C1680">
            <w:pPr>
              <w:jc w:val="center"/>
            </w:pPr>
            <w:r w:rsidRPr="007C1680">
              <w:t>61%</w:t>
            </w:r>
          </w:p>
        </w:tc>
        <w:tc>
          <w:tcPr>
            <w:tcW w:w="1890" w:type="dxa"/>
            <w:shd w:val="clear" w:color="auto" w:fill="auto"/>
            <w:noWrap/>
            <w:hideMark/>
          </w:tcPr>
          <w:p w:rsidR="007C1680" w:rsidRPr="007C1680" w:rsidRDefault="007C1680" w:rsidP="007C1680">
            <w:r w:rsidRPr="007C1680">
              <w:t xml:space="preserve"> $ 3,036.87 </w:t>
            </w:r>
          </w:p>
        </w:tc>
        <w:tc>
          <w:tcPr>
            <w:tcW w:w="1080" w:type="dxa"/>
            <w:shd w:val="clear" w:color="auto" w:fill="auto"/>
            <w:noWrap/>
            <w:hideMark/>
          </w:tcPr>
          <w:p w:rsidR="007C1680" w:rsidRPr="007C1680" w:rsidRDefault="007C1680" w:rsidP="007C1680">
            <w:pPr>
              <w:jc w:val="right"/>
            </w:pPr>
            <w:r w:rsidRPr="007C1680">
              <w:t>50.06%</w:t>
            </w:r>
          </w:p>
        </w:tc>
        <w:tc>
          <w:tcPr>
            <w:tcW w:w="1350" w:type="dxa"/>
            <w:shd w:val="clear" w:color="auto" w:fill="auto"/>
            <w:noWrap/>
            <w:hideMark/>
          </w:tcPr>
          <w:p w:rsidR="007C1680" w:rsidRPr="007C1680" w:rsidRDefault="007C1680" w:rsidP="007C1680">
            <w:pPr>
              <w:jc w:val="center"/>
            </w:pPr>
            <w:r w:rsidRPr="007C1680">
              <w:t>0.80</w:t>
            </w:r>
          </w:p>
        </w:tc>
      </w:tr>
      <w:tr w:rsidR="007C1680" w:rsidRPr="007C1680" w:rsidTr="007C1680">
        <w:trPr>
          <w:trHeight w:val="315"/>
        </w:trPr>
        <w:tc>
          <w:tcPr>
            <w:tcW w:w="3258" w:type="dxa"/>
            <w:tcBorders>
              <w:bottom w:val="single" w:sz="4" w:space="0" w:color="auto"/>
            </w:tcBorders>
            <w:shd w:val="clear" w:color="auto" w:fill="auto"/>
            <w:hideMark/>
          </w:tcPr>
          <w:p w:rsidR="007C1680" w:rsidRPr="007C1680" w:rsidRDefault="007C1680" w:rsidP="007C1680">
            <w:r w:rsidRPr="007C1680">
              <w:t xml:space="preserve">WGL Holdings, Inc. </w:t>
            </w:r>
          </w:p>
        </w:tc>
        <w:tc>
          <w:tcPr>
            <w:tcW w:w="900" w:type="dxa"/>
            <w:tcBorders>
              <w:bottom w:val="single" w:sz="4" w:space="0" w:color="auto"/>
            </w:tcBorders>
            <w:shd w:val="clear" w:color="auto" w:fill="auto"/>
            <w:noWrap/>
            <w:hideMark/>
          </w:tcPr>
          <w:p w:rsidR="007C1680" w:rsidRPr="007C1680" w:rsidRDefault="007C1680" w:rsidP="007C1680">
            <w:pPr>
              <w:jc w:val="center"/>
            </w:pPr>
            <w:r w:rsidRPr="007C1680">
              <w:t>A+</w:t>
            </w:r>
          </w:p>
        </w:tc>
        <w:tc>
          <w:tcPr>
            <w:tcW w:w="1080" w:type="dxa"/>
            <w:tcBorders>
              <w:bottom w:val="single" w:sz="4" w:space="0" w:color="auto"/>
            </w:tcBorders>
            <w:shd w:val="clear" w:color="auto" w:fill="auto"/>
            <w:noWrap/>
            <w:hideMark/>
          </w:tcPr>
          <w:p w:rsidR="007C1680" w:rsidRPr="007C1680" w:rsidRDefault="007C1680" w:rsidP="007C1680">
            <w:pPr>
              <w:jc w:val="center"/>
            </w:pPr>
            <w:r w:rsidRPr="007C1680">
              <w:t>49%</w:t>
            </w:r>
          </w:p>
        </w:tc>
        <w:tc>
          <w:tcPr>
            <w:tcW w:w="1890" w:type="dxa"/>
            <w:tcBorders>
              <w:bottom w:val="single" w:sz="4" w:space="0" w:color="auto"/>
            </w:tcBorders>
            <w:shd w:val="clear" w:color="auto" w:fill="auto"/>
            <w:noWrap/>
            <w:hideMark/>
          </w:tcPr>
          <w:p w:rsidR="007C1680" w:rsidRPr="007C1680" w:rsidRDefault="007C1680" w:rsidP="007C1680">
            <w:r w:rsidRPr="007C1680">
              <w:t xml:space="preserve"> $ 3,421.07 </w:t>
            </w:r>
          </w:p>
        </w:tc>
        <w:tc>
          <w:tcPr>
            <w:tcW w:w="1080" w:type="dxa"/>
            <w:tcBorders>
              <w:bottom w:val="single" w:sz="4" w:space="0" w:color="auto"/>
            </w:tcBorders>
            <w:shd w:val="clear" w:color="auto" w:fill="auto"/>
            <w:noWrap/>
            <w:hideMark/>
          </w:tcPr>
          <w:p w:rsidR="007C1680" w:rsidRPr="007C1680" w:rsidRDefault="007C1680" w:rsidP="007C1680">
            <w:pPr>
              <w:jc w:val="right"/>
            </w:pPr>
            <w:r w:rsidRPr="007C1680">
              <w:t>48.33%</w:t>
            </w:r>
          </w:p>
        </w:tc>
        <w:tc>
          <w:tcPr>
            <w:tcW w:w="1350" w:type="dxa"/>
            <w:tcBorders>
              <w:bottom w:val="single" w:sz="4" w:space="0" w:color="auto"/>
            </w:tcBorders>
            <w:shd w:val="clear" w:color="auto" w:fill="auto"/>
            <w:noWrap/>
            <w:hideMark/>
          </w:tcPr>
          <w:p w:rsidR="007C1680" w:rsidRPr="007C1680" w:rsidRDefault="007C1680" w:rsidP="007C1680">
            <w:pPr>
              <w:jc w:val="center"/>
            </w:pPr>
            <w:r w:rsidRPr="007C1680">
              <w:t>0.80</w:t>
            </w:r>
          </w:p>
        </w:tc>
      </w:tr>
      <w:tr w:rsidR="007C1680" w:rsidRPr="007C1680" w:rsidTr="007C1680">
        <w:trPr>
          <w:trHeight w:val="640"/>
        </w:trPr>
        <w:tc>
          <w:tcPr>
            <w:tcW w:w="3258" w:type="dxa"/>
            <w:tcBorders>
              <w:top w:val="single" w:sz="4" w:space="0" w:color="auto"/>
              <w:left w:val="single" w:sz="4" w:space="0" w:color="auto"/>
              <w:bottom w:val="single" w:sz="4" w:space="0" w:color="auto"/>
              <w:right w:val="nil"/>
            </w:tcBorders>
            <w:shd w:val="clear" w:color="auto" w:fill="auto"/>
            <w:vAlign w:val="center"/>
            <w:hideMark/>
          </w:tcPr>
          <w:p w:rsidR="007C1680" w:rsidRPr="007C1680" w:rsidRDefault="007C1680" w:rsidP="007C1680">
            <w:r w:rsidRPr="007C1680">
              <w:rPr>
                <w:bCs/>
              </w:rPr>
              <w:t>Average:</w:t>
            </w:r>
          </w:p>
        </w:tc>
        <w:tc>
          <w:tcPr>
            <w:tcW w:w="900" w:type="dxa"/>
            <w:tcBorders>
              <w:top w:val="single" w:sz="4" w:space="0" w:color="auto"/>
              <w:left w:val="nil"/>
              <w:bottom w:val="single" w:sz="4" w:space="0" w:color="auto"/>
              <w:right w:val="nil"/>
            </w:tcBorders>
            <w:shd w:val="clear" w:color="auto" w:fill="auto"/>
            <w:vAlign w:val="center"/>
            <w:hideMark/>
          </w:tcPr>
          <w:p w:rsidR="007C1680" w:rsidRPr="007C1680" w:rsidRDefault="007C1680" w:rsidP="007C1680">
            <w:pPr>
              <w:jc w:val="center"/>
              <w:rPr>
                <w:bCs/>
                <w:color w:val="000000"/>
              </w:rPr>
            </w:pPr>
            <w:r w:rsidRPr="007C1680">
              <w:rPr>
                <w:bCs/>
                <w:color w:val="000000"/>
              </w:rPr>
              <w:t>A-</w:t>
            </w:r>
          </w:p>
        </w:tc>
        <w:tc>
          <w:tcPr>
            <w:tcW w:w="1080" w:type="dxa"/>
            <w:tcBorders>
              <w:top w:val="single" w:sz="4" w:space="0" w:color="auto"/>
              <w:left w:val="nil"/>
              <w:bottom w:val="single" w:sz="4" w:space="0" w:color="auto"/>
              <w:right w:val="nil"/>
            </w:tcBorders>
            <w:shd w:val="clear" w:color="auto" w:fill="auto"/>
            <w:vAlign w:val="center"/>
          </w:tcPr>
          <w:p w:rsidR="007C1680" w:rsidRPr="007C1680" w:rsidRDefault="007C1680" w:rsidP="007C1680">
            <w:pPr>
              <w:jc w:val="center"/>
              <w:rPr>
                <w:bCs/>
                <w:color w:val="000000"/>
              </w:rPr>
            </w:pPr>
            <w:r w:rsidRPr="007C1680">
              <w:rPr>
                <w:bCs/>
                <w:color w:val="000000"/>
              </w:rPr>
              <w:t>75%</w:t>
            </w:r>
          </w:p>
        </w:tc>
        <w:tc>
          <w:tcPr>
            <w:tcW w:w="1890" w:type="dxa"/>
            <w:tcBorders>
              <w:top w:val="single" w:sz="4" w:space="0" w:color="auto"/>
              <w:left w:val="nil"/>
              <w:bottom w:val="single" w:sz="4" w:space="0" w:color="auto"/>
              <w:right w:val="nil"/>
            </w:tcBorders>
            <w:shd w:val="clear" w:color="auto" w:fill="auto"/>
            <w:vAlign w:val="center"/>
          </w:tcPr>
          <w:p w:rsidR="007C1680" w:rsidRPr="007C1680" w:rsidRDefault="007C1680" w:rsidP="007C1680">
            <w:pPr>
              <w:jc w:val="center"/>
              <w:rPr>
                <w:bCs/>
                <w:color w:val="000000"/>
              </w:rPr>
            </w:pPr>
            <w:r w:rsidRPr="007C1680">
              <w:rPr>
                <w:bCs/>
                <w:color w:val="000000"/>
              </w:rPr>
              <w:t>$ 4,103.29</w:t>
            </w:r>
          </w:p>
        </w:tc>
        <w:tc>
          <w:tcPr>
            <w:tcW w:w="1080" w:type="dxa"/>
            <w:tcBorders>
              <w:top w:val="single" w:sz="4" w:space="0" w:color="auto"/>
              <w:left w:val="nil"/>
              <w:bottom w:val="single" w:sz="4" w:space="0" w:color="auto"/>
              <w:right w:val="nil"/>
            </w:tcBorders>
            <w:shd w:val="clear" w:color="auto" w:fill="auto"/>
            <w:vAlign w:val="center"/>
            <w:hideMark/>
          </w:tcPr>
          <w:p w:rsidR="007C1680" w:rsidRPr="007C1680" w:rsidRDefault="007C1680" w:rsidP="007C1680">
            <w:pPr>
              <w:jc w:val="center"/>
              <w:rPr>
                <w:bCs/>
                <w:color w:val="000000"/>
              </w:rPr>
            </w:pPr>
            <w:r w:rsidRPr="007C1680">
              <w:rPr>
                <w:bCs/>
                <w:color w:val="000000"/>
              </w:rPr>
              <w:t>46.22%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C1680" w:rsidRPr="007C1680" w:rsidRDefault="007C1680" w:rsidP="007C1680">
            <w:pPr>
              <w:jc w:val="center"/>
              <w:rPr>
                <w:bCs/>
              </w:rPr>
            </w:pPr>
            <w:r w:rsidRPr="007C1680">
              <w:rPr>
                <w:bCs/>
              </w:rPr>
              <w:t>0.744</w:t>
            </w:r>
          </w:p>
        </w:tc>
      </w:tr>
    </w:tbl>
    <w:p w:rsidR="007C1680" w:rsidRPr="007C1680" w:rsidRDefault="007C1680" w:rsidP="007C1680"/>
    <w:p w:rsidR="007C1680" w:rsidRPr="007C1680" w:rsidRDefault="007C1680" w:rsidP="007C1680">
      <w:pPr>
        <w:rPr>
          <w:u w:val="single"/>
        </w:rPr>
      </w:pPr>
      <w:r w:rsidRPr="007C1680">
        <w:rPr>
          <w:u w:val="single"/>
        </w:rPr>
        <w:t>Sources</w:t>
      </w:r>
      <w:r w:rsidRPr="007C1680">
        <w:t>:</w:t>
      </w:r>
    </w:p>
    <w:p w:rsidR="007C1680" w:rsidRPr="007C1680" w:rsidRDefault="007C1680" w:rsidP="007C1680">
      <w:r w:rsidRPr="007C1680">
        <w:t>Value Line Investment Analyzer Web Browser, May 2016</w:t>
      </w:r>
    </w:p>
    <w:p w:rsidR="007C1680" w:rsidRPr="007C1680" w:rsidRDefault="007C1680" w:rsidP="007C1680">
      <w:r w:rsidRPr="007C1680">
        <w:t>S.E.C. Forms 10Q and 10K for the natural gas utility companies</w:t>
      </w:r>
    </w:p>
    <w:p w:rsidR="007C1680" w:rsidRPr="007C1680" w:rsidRDefault="007C1680" w:rsidP="007C1680">
      <w:r w:rsidRPr="007C1680">
        <w:t>AUS Utilities Report, issued May, 2016</w:t>
      </w:r>
    </w:p>
    <w:p w:rsidR="007C1680" w:rsidRPr="007C1680" w:rsidRDefault="007C1680" w:rsidP="007C1680">
      <w:r w:rsidRPr="007C1680">
        <w:t xml:space="preserve">Standard &amp; Poor’s </w:t>
      </w:r>
      <w:proofErr w:type="spellStart"/>
      <w:r w:rsidRPr="007C1680">
        <w:t>RatingsDirect</w:t>
      </w:r>
      <w:proofErr w:type="spellEnd"/>
    </w:p>
    <w:p w:rsidR="007C1680" w:rsidRDefault="007C1680" w:rsidP="007C1680"/>
    <w:sectPr w:rsidR="007C1680" w:rsidSect="007C168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80" w:rsidRDefault="007C1680">
      <w:r>
        <w:separator/>
      </w:r>
    </w:p>
  </w:endnote>
  <w:endnote w:type="continuationSeparator" w:id="0">
    <w:p w:rsidR="007C1680" w:rsidRDefault="007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80" w:rsidRDefault="007C168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6132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80" w:rsidRDefault="007C1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80" w:rsidRDefault="007C1680">
      <w:r>
        <w:separator/>
      </w:r>
    </w:p>
  </w:footnote>
  <w:footnote w:type="continuationSeparator" w:id="0">
    <w:p w:rsidR="007C1680" w:rsidRDefault="007C1680">
      <w:r>
        <w:continuationSeparator/>
      </w:r>
    </w:p>
  </w:footnote>
  <w:footnote w:id="1">
    <w:p w:rsidR="007C1680" w:rsidRPr="00111BC8" w:rsidRDefault="007C1680" w:rsidP="0041042E">
      <w:pPr>
        <w:pStyle w:val="FootnoteText"/>
        <w:rPr>
          <w:i/>
        </w:rPr>
      </w:pPr>
      <w:r>
        <w:rPr>
          <w:rStyle w:val="FootnoteReference"/>
        </w:rPr>
        <w:footnoteRef/>
      </w:r>
      <w:r>
        <w:t xml:space="preserve"> </w:t>
      </w:r>
      <w:proofErr w:type="gramStart"/>
      <w:r>
        <w:t>Order No.</w:t>
      </w:r>
      <w:proofErr w:type="gramEnd"/>
      <w:r>
        <w:t xml:space="preserve"> PSC-01-2514-FOF-WS, issued December 24, 2001, in </w:t>
      </w:r>
      <w:r w:rsidRPr="00484C59">
        <w:t>Docket No. 0</w:t>
      </w:r>
      <w:r>
        <w:t>1</w:t>
      </w:r>
      <w:r w:rsidRPr="00484C59">
        <w:t>0</w:t>
      </w:r>
      <w:r>
        <w:t>006</w:t>
      </w:r>
      <w:r w:rsidRPr="00484C59">
        <w:t xml:space="preserve">-WS, </w:t>
      </w:r>
      <w:r w:rsidRPr="00111BC8">
        <w:rPr>
          <w:i/>
        </w:rPr>
        <w:t>In re: Water and wastewater industry annual reestablishment of authorized range of return on common equity for water and wastewater utilities pursuant to Section 367.081(4</w:t>
      </w:r>
      <w:proofErr w:type="gramStart"/>
      <w:r w:rsidRPr="00111BC8">
        <w:rPr>
          <w:i/>
        </w:rPr>
        <w:t>)(</w:t>
      </w:r>
      <w:proofErr w:type="gramEnd"/>
      <w:r w:rsidRPr="00111BC8">
        <w:rPr>
          <w:i/>
        </w:rPr>
        <w:t>f), F.S.</w:t>
      </w:r>
    </w:p>
  </w:footnote>
  <w:footnote w:id="2">
    <w:p w:rsidR="007C1680" w:rsidRDefault="007C1680" w:rsidP="0041042E">
      <w:pPr>
        <w:pStyle w:val="FootnoteText"/>
      </w:pPr>
      <w:r>
        <w:rPr>
          <w:rStyle w:val="FootnoteReference"/>
        </w:rPr>
        <w:footnoteRef/>
      </w:r>
      <w:r>
        <w:t xml:space="preserve"> At the May 20, 2008, Commission Conference, upon request of the Office of Public Counsel, the Commission voted to set the establishment of the appropriate leverage formula directly for hearing.</w:t>
      </w:r>
    </w:p>
  </w:footnote>
  <w:footnote w:id="3">
    <w:p w:rsidR="007C1680" w:rsidRPr="004F4AE2" w:rsidRDefault="007C1680" w:rsidP="0041042E">
      <w:pPr>
        <w:pStyle w:val="FootnoteText"/>
        <w:rPr>
          <w:i/>
        </w:rPr>
      </w:pPr>
      <w:r w:rsidRPr="004F4AE2">
        <w:rPr>
          <w:rStyle w:val="FootnoteReference"/>
        </w:rPr>
        <w:footnoteRef/>
      </w:r>
      <w:r w:rsidRPr="004F4AE2">
        <w:t xml:space="preserve"> </w:t>
      </w:r>
      <w:proofErr w:type="gramStart"/>
      <w:r w:rsidRPr="004F4AE2">
        <w:t>Order No.</w:t>
      </w:r>
      <w:proofErr w:type="gramEnd"/>
      <w:r w:rsidRPr="004F4AE2">
        <w:t xml:space="preserve"> PSC-08-0846-FOF-WS, issued December 31, 2008, in Docket No. 080006-WS, </w:t>
      </w:r>
      <w:r w:rsidRPr="004F4AE2">
        <w:rPr>
          <w:i/>
        </w:rPr>
        <w:t>In re: Water and wastewater industry annual reestablishment of authorized range of return on common equity for water and wastewater utilities pursuant to Section 367.081(4</w:t>
      </w:r>
      <w:proofErr w:type="gramStart"/>
      <w:r w:rsidRPr="004F4AE2">
        <w:rPr>
          <w:i/>
        </w:rPr>
        <w:t>)(</w:t>
      </w:r>
      <w:proofErr w:type="gramEnd"/>
      <w:r w:rsidRPr="004F4AE2">
        <w:rPr>
          <w:i/>
        </w:rPr>
        <w:t>f), F.S.</w:t>
      </w:r>
    </w:p>
  </w:footnote>
  <w:footnote w:id="4">
    <w:p w:rsidR="007C1680" w:rsidRPr="004F4AE2" w:rsidRDefault="007C1680" w:rsidP="0041042E">
      <w:pPr>
        <w:pStyle w:val="FootnoteText"/>
        <w:rPr>
          <w:i/>
        </w:rPr>
      </w:pPr>
      <w:r w:rsidRPr="004F4AE2">
        <w:rPr>
          <w:rStyle w:val="FootnoteReference"/>
        </w:rPr>
        <w:footnoteRef/>
      </w:r>
      <w:r w:rsidRPr="004F4AE2">
        <w:t xml:space="preserve"> </w:t>
      </w:r>
      <w:proofErr w:type="gramStart"/>
      <w:r w:rsidRPr="004F4AE2">
        <w:t>Order No.</w:t>
      </w:r>
      <w:proofErr w:type="gramEnd"/>
      <w:r w:rsidRPr="004F4AE2">
        <w:t xml:space="preserve"> PSC-11-0287-PAA-WS, issued July 5, 2011, in Docket No. 110006-WS, </w:t>
      </w:r>
      <w:r w:rsidRPr="004F4AE2">
        <w:rPr>
          <w:i/>
        </w:rPr>
        <w:t>In re: Water and wastewater industry annual reestablishment of authorized range of return on common equity for water and wastewater utilities pursuant to Section 367.081(4</w:t>
      </w:r>
      <w:proofErr w:type="gramStart"/>
      <w:r w:rsidRPr="004F4AE2">
        <w:rPr>
          <w:i/>
        </w:rPr>
        <w:t>)(</w:t>
      </w:r>
      <w:proofErr w:type="gramEnd"/>
      <w:r w:rsidRPr="004F4AE2">
        <w:rPr>
          <w:i/>
        </w:rPr>
        <w:t>f), F.S.</w:t>
      </w:r>
    </w:p>
  </w:footnote>
  <w:footnote w:id="5">
    <w:p w:rsidR="007C1680" w:rsidRPr="004F4AE2" w:rsidRDefault="007C1680" w:rsidP="0041042E">
      <w:pPr>
        <w:pStyle w:val="FootnoteText"/>
        <w:rPr>
          <w:i/>
        </w:rPr>
      </w:pPr>
      <w:r w:rsidRPr="004F4AE2">
        <w:rPr>
          <w:rStyle w:val="FootnoteReference"/>
        </w:rPr>
        <w:footnoteRef/>
      </w:r>
      <w:r w:rsidRPr="004F4AE2">
        <w:t xml:space="preserve"> </w:t>
      </w:r>
      <w:proofErr w:type="gramStart"/>
      <w:r w:rsidRPr="004F4AE2">
        <w:t>Order No.</w:t>
      </w:r>
      <w:proofErr w:type="gramEnd"/>
      <w:r w:rsidRPr="004F4AE2">
        <w:t xml:space="preserve"> PSC-12-0339-PAA-WS, issued June 28, 2012, in Docket No. 120006-WS, </w:t>
      </w:r>
      <w:r w:rsidRPr="004F4AE2">
        <w:rPr>
          <w:i/>
        </w:rPr>
        <w:t>In re: Water and wastewater industry annual reestablishment of authorized range of return on common equity for water and wastewater utilities pursuant to Section 367.081(4</w:t>
      </w:r>
      <w:proofErr w:type="gramStart"/>
      <w:r w:rsidRPr="004F4AE2">
        <w:rPr>
          <w:i/>
        </w:rPr>
        <w:t>)(</w:t>
      </w:r>
      <w:proofErr w:type="gramEnd"/>
      <w:r w:rsidRPr="004F4AE2">
        <w:rPr>
          <w:i/>
        </w:rPr>
        <w:t xml:space="preserve">f), F.S. </w:t>
      </w:r>
    </w:p>
  </w:footnote>
  <w:footnote w:id="6">
    <w:p w:rsidR="007C1680" w:rsidRPr="004F4AE2" w:rsidRDefault="007C1680" w:rsidP="0041042E">
      <w:pPr>
        <w:pStyle w:val="FootnoteText"/>
        <w:rPr>
          <w:i/>
        </w:rPr>
      </w:pPr>
      <w:r w:rsidRPr="004F4AE2">
        <w:rPr>
          <w:rStyle w:val="FootnoteReference"/>
        </w:rPr>
        <w:footnoteRef/>
      </w:r>
      <w:r w:rsidRPr="004F4AE2">
        <w:t xml:space="preserve"> </w:t>
      </w:r>
      <w:proofErr w:type="gramStart"/>
      <w:r w:rsidRPr="004F4AE2">
        <w:t>Order No.</w:t>
      </w:r>
      <w:proofErr w:type="gramEnd"/>
      <w:r w:rsidRPr="004F4AE2">
        <w:t xml:space="preserve"> PSC-13-0241-PAA-WS, issued June 3, 2013, in Docket No. 130006-WS, </w:t>
      </w:r>
      <w:r w:rsidRPr="004F4AE2">
        <w:rPr>
          <w:i/>
        </w:rPr>
        <w:t>In re: Water and wastewater industry annual reestablishment of authorized range of return on common equity for water and wastewater utilities pursuant to Section 367.081(4</w:t>
      </w:r>
      <w:proofErr w:type="gramStart"/>
      <w:r w:rsidRPr="004F4AE2">
        <w:rPr>
          <w:i/>
        </w:rPr>
        <w:t>)(</w:t>
      </w:r>
      <w:proofErr w:type="gramEnd"/>
      <w:r w:rsidRPr="004F4AE2">
        <w:rPr>
          <w:i/>
        </w:rPr>
        <w:t>f), F.S.</w:t>
      </w:r>
    </w:p>
  </w:footnote>
  <w:footnote w:id="7">
    <w:p w:rsidR="007C1680" w:rsidRPr="004F4AE2" w:rsidRDefault="007C1680" w:rsidP="0041042E">
      <w:pPr>
        <w:pStyle w:val="FootnoteText"/>
        <w:rPr>
          <w:i/>
        </w:rPr>
      </w:pPr>
      <w:r w:rsidRPr="004F4AE2">
        <w:rPr>
          <w:rStyle w:val="FootnoteReference"/>
        </w:rPr>
        <w:footnoteRef/>
      </w:r>
      <w:r w:rsidRPr="004F4AE2">
        <w:t xml:space="preserve"> </w:t>
      </w:r>
      <w:proofErr w:type="gramStart"/>
      <w:r w:rsidRPr="004F4AE2">
        <w:t>Order No.</w:t>
      </w:r>
      <w:proofErr w:type="gramEnd"/>
      <w:r w:rsidRPr="004F4AE2">
        <w:t xml:space="preserve"> PSC-14-0272-PAA-WS, issued May 29, 2014, in Docket No. 140006-WS, </w:t>
      </w:r>
      <w:r w:rsidRPr="004F4AE2">
        <w:rPr>
          <w:i/>
        </w:rPr>
        <w:t>In re: Water and wastewater industry annual reestablishment of authorized range of return on common equity for water and wastewater utilities pursuant to Section 367.081(4</w:t>
      </w:r>
      <w:proofErr w:type="gramStart"/>
      <w:r w:rsidRPr="004F4AE2">
        <w:rPr>
          <w:i/>
        </w:rPr>
        <w:t>)(</w:t>
      </w:r>
      <w:proofErr w:type="gramEnd"/>
      <w:r w:rsidRPr="004F4AE2">
        <w:rPr>
          <w:i/>
        </w:rPr>
        <w:t>f), F.S.</w:t>
      </w:r>
    </w:p>
  </w:footnote>
  <w:footnote w:id="8">
    <w:p w:rsidR="007C1680" w:rsidRPr="008C2DCF" w:rsidRDefault="007C1680" w:rsidP="0041042E">
      <w:pPr>
        <w:pStyle w:val="FootnoteText"/>
        <w:rPr>
          <w:i/>
        </w:rPr>
      </w:pPr>
      <w:r w:rsidRPr="004F4AE2">
        <w:rPr>
          <w:rStyle w:val="FootnoteReference"/>
        </w:rPr>
        <w:footnoteRef/>
      </w:r>
      <w:r w:rsidRPr="004F4AE2">
        <w:t xml:space="preserve"> </w:t>
      </w:r>
      <w:proofErr w:type="gramStart"/>
      <w:r w:rsidRPr="004F4AE2">
        <w:t>Order No.</w:t>
      </w:r>
      <w:proofErr w:type="gramEnd"/>
      <w:r w:rsidRPr="004F4AE2">
        <w:t xml:space="preserve"> PSC-15-0259-PAA-WS, issued July 2, 2015, in Docket No. 150006-WS, </w:t>
      </w:r>
      <w:r w:rsidRPr="004F4AE2">
        <w:rPr>
          <w:i/>
        </w:rPr>
        <w:t>In re: Water and wastewater industry annual reestablishment of authorized range of return on common equity for water and wastewater utilities pursuant to Section 367.081(4</w:t>
      </w:r>
      <w:proofErr w:type="gramStart"/>
      <w:r w:rsidRPr="004F4AE2">
        <w:rPr>
          <w:i/>
        </w:rPr>
        <w:t>)(</w:t>
      </w:r>
      <w:proofErr w:type="gramEnd"/>
      <w:r w:rsidRPr="004F4AE2">
        <w:rPr>
          <w:i/>
        </w:rPr>
        <w:t>f), F.S.</w:t>
      </w:r>
    </w:p>
  </w:footnote>
  <w:footnote w:id="9">
    <w:p w:rsidR="007C1680" w:rsidRDefault="007C1680" w:rsidP="0041042E">
      <w:pPr>
        <w:pStyle w:val="FootnoteText"/>
      </w:pPr>
      <w:r>
        <w:rPr>
          <w:rStyle w:val="FootnoteReference"/>
        </w:rPr>
        <w:footnoteRef/>
      </w:r>
      <w:r>
        <w:t xml:space="preserve"> </w:t>
      </w:r>
      <w:r w:rsidRPr="00D23502">
        <w:rPr>
          <w:u w:val="single"/>
        </w:rPr>
        <w:t>See</w:t>
      </w:r>
      <w:r w:rsidRPr="00D23502">
        <w:t xml:space="preserve"> Federal Reserve System, statement of the Federal Open Market Committee on April 26-27, 2016, available at</w:t>
      </w:r>
      <w:r w:rsidRPr="00C81181">
        <w:rPr>
          <w:highlight w:val="yellow"/>
        </w:rPr>
        <w:t xml:space="preserve"> </w:t>
      </w:r>
      <w:r w:rsidRPr="00D23502">
        <w:t>https://www.federalreserve.gov/monetarypolicy/files/monetary20160427a1.pdf</w:t>
      </w:r>
      <w:r>
        <w:t>.</w:t>
      </w:r>
    </w:p>
  </w:footnote>
  <w:footnote w:id="10">
    <w:p w:rsidR="007C1680" w:rsidRDefault="007C1680" w:rsidP="0041042E">
      <w:pPr>
        <w:pStyle w:val="FootnoteText"/>
      </w:pPr>
      <w:r w:rsidRPr="00D23502">
        <w:rPr>
          <w:rStyle w:val="FootnoteReference"/>
        </w:rPr>
        <w:footnoteRef/>
      </w:r>
      <w:r w:rsidRPr="00D23502">
        <w:t xml:space="preserve"> </w:t>
      </w:r>
      <w:r w:rsidRPr="009333FB">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80" w:rsidRDefault="007C1680" w:rsidP="00220732">
    <w:pPr>
      <w:pStyle w:val="Header"/>
      <w:tabs>
        <w:tab w:val="clear" w:pos="4320"/>
        <w:tab w:val="clear" w:pos="8640"/>
        <w:tab w:val="right" w:pos="9360"/>
      </w:tabs>
    </w:pPr>
    <w:bookmarkStart w:id="14" w:name="DocketLabel"/>
    <w:r>
      <w:t>Docket No.</w:t>
    </w:r>
    <w:bookmarkEnd w:id="14"/>
    <w:r>
      <w:t xml:space="preserve"> </w:t>
    </w:r>
    <w:bookmarkStart w:id="15" w:name="DocketList"/>
    <w:r>
      <w:t>160006-WS</w:t>
    </w:r>
    <w:bookmarkEnd w:id="15"/>
  </w:p>
  <w:p w:rsidR="007C1680" w:rsidRDefault="007C1680">
    <w:pPr>
      <w:pStyle w:val="Header"/>
    </w:pPr>
    <w:r>
      <w:t xml:space="preserve">Date: </w:t>
    </w:r>
    <w:fldSimple w:instr=" REF FilingDate ">
      <w:r w:rsidR="00D77270">
        <w:t>May 26,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80" w:rsidRDefault="007C1680" w:rsidP="00220732">
    <w:pPr>
      <w:pStyle w:val="Header"/>
      <w:tabs>
        <w:tab w:val="clear" w:pos="4320"/>
        <w:tab w:val="clear" w:pos="8640"/>
        <w:tab w:val="right" w:pos="9360"/>
      </w:tabs>
    </w:pPr>
    <w:r>
      <w:fldChar w:fldCharType="begin"/>
    </w:r>
    <w:r>
      <w:instrText xml:space="preserve"> REF DocketLabel</w:instrText>
    </w:r>
    <w:r>
      <w:fldChar w:fldCharType="separate"/>
    </w:r>
    <w:r w:rsidR="00D77270">
      <w:t>Docket No.</w:t>
    </w:r>
    <w:r>
      <w:fldChar w:fldCharType="end"/>
    </w:r>
    <w:r>
      <w:t xml:space="preserve"> </w:t>
    </w:r>
    <w:r>
      <w:fldChar w:fldCharType="begin"/>
    </w:r>
    <w:r>
      <w:instrText xml:space="preserve"> REF DocketList</w:instrText>
    </w:r>
    <w:r>
      <w:fldChar w:fldCharType="separate"/>
    </w:r>
    <w:r w:rsidR="00D77270">
      <w:t>160006-WS</w:t>
    </w:r>
    <w:r>
      <w:fldChar w:fldCharType="end"/>
    </w:r>
    <w:r>
      <w:tab/>
      <w:t xml:space="preserve">Issue </w:t>
    </w:r>
    <w:fldSimple w:instr=" Seq Issue \c \* Arabic ">
      <w:r w:rsidR="00B6132C">
        <w:rPr>
          <w:noProof/>
        </w:rPr>
        <w:t>1</w:t>
      </w:r>
    </w:fldSimple>
  </w:p>
  <w:p w:rsidR="007C1680" w:rsidRDefault="007C1680">
    <w:pPr>
      <w:pStyle w:val="Header"/>
    </w:pPr>
    <w:r>
      <w:t xml:space="preserve">Date: </w:t>
    </w:r>
    <w:fldSimple w:instr=" REF FilingDate ">
      <w:r w:rsidR="00D77270">
        <w:t>May 26,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80" w:rsidRDefault="007C16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80" w:rsidRDefault="007C1680" w:rsidP="00220732">
    <w:pPr>
      <w:pStyle w:val="Header"/>
      <w:tabs>
        <w:tab w:val="clear" w:pos="4320"/>
        <w:tab w:val="clear" w:pos="8640"/>
        <w:tab w:val="right" w:pos="9360"/>
      </w:tabs>
    </w:pPr>
    <w:r>
      <w:fldChar w:fldCharType="begin"/>
    </w:r>
    <w:r>
      <w:instrText xml:space="preserve"> REF DocketLabel</w:instrText>
    </w:r>
    <w:r>
      <w:fldChar w:fldCharType="separate"/>
    </w:r>
    <w:r w:rsidR="00D77270">
      <w:t>Docket No.</w:t>
    </w:r>
    <w:r>
      <w:fldChar w:fldCharType="end"/>
    </w:r>
    <w:r>
      <w:t xml:space="preserve"> </w:t>
    </w:r>
    <w:r>
      <w:fldChar w:fldCharType="begin"/>
    </w:r>
    <w:r>
      <w:instrText xml:space="preserve"> REF DocketList</w:instrText>
    </w:r>
    <w:r>
      <w:fldChar w:fldCharType="separate"/>
    </w:r>
    <w:r w:rsidR="00D77270">
      <w:t>160006-WS</w:t>
    </w:r>
    <w:r>
      <w:fldChar w:fldCharType="end"/>
    </w:r>
    <w:r>
      <w:tab/>
    </w:r>
  </w:p>
  <w:p w:rsidR="007C1680" w:rsidRDefault="007C1680">
    <w:pPr>
      <w:pStyle w:val="Header"/>
    </w:pPr>
    <w:r>
      <w:t xml:space="preserve">Date: </w:t>
    </w:r>
    <w:fldSimple w:instr=" REF FilingDate ">
      <w:r w:rsidR="00D77270">
        <w:t>May 26,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8F57C9A"/>
    <w:multiLevelType w:val="hybridMultilevel"/>
    <w:tmpl w:val="D57E000A"/>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12D3A"/>
    <w:multiLevelType w:val="hybridMultilevel"/>
    <w:tmpl w:val="962CA6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7642BA"/>
    <w:multiLevelType w:val="hybridMultilevel"/>
    <w:tmpl w:val="9A4E1CC4"/>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1042E"/>
    <w:rsid w:val="00010E37"/>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5687"/>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63D44"/>
    <w:rsid w:val="002702AD"/>
    <w:rsid w:val="00292D82"/>
    <w:rsid w:val="002963CB"/>
    <w:rsid w:val="002D226D"/>
    <w:rsid w:val="002D7154"/>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042E"/>
    <w:rsid w:val="00412DAE"/>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0599"/>
    <w:rsid w:val="006470BC"/>
    <w:rsid w:val="00667036"/>
    <w:rsid w:val="00673BDB"/>
    <w:rsid w:val="006771B8"/>
    <w:rsid w:val="0068481F"/>
    <w:rsid w:val="00696F5D"/>
    <w:rsid w:val="00697249"/>
    <w:rsid w:val="006B3947"/>
    <w:rsid w:val="006B4293"/>
    <w:rsid w:val="006B624F"/>
    <w:rsid w:val="006C31E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1680"/>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5370"/>
    <w:rsid w:val="00B17BEB"/>
    <w:rsid w:val="00B21A3C"/>
    <w:rsid w:val="00B223C0"/>
    <w:rsid w:val="00B234ED"/>
    <w:rsid w:val="00B25CA3"/>
    <w:rsid w:val="00B57A6A"/>
    <w:rsid w:val="00B6132C"/>
    <w:rsid w:val="00B760F1"/>
    <w:rsid w:val="00B7669E"/>
    <w:rsid w:val="00B77DA1"/>
    <w:rsid w:val="00BA0D55"/>
    <w:rsid w:val="00BA37B3"/>
    <w:rsid w:val="00BA4CC6"/>
    <w:rsid w:val="00BB3493"/>
    <w:rsid w:val="00BB7468"/>
    <w:rsid w:val="00BC188A"/>
    <w:rsid w:val="00BC6B0B"/>
    <w:rsid w:val="00BF5010"/>
    <w:rsid w:val="00C13791"/>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77270"/>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41042E"/>
    <w:rPr>
      <w:vertAlign w:val="superscript"/>
    </w:rPr>
  </w:style>
  <w:style w:type="character" w:customStyle="1" w:styleId="HeaderChar">
    <w:name w:val="Header Char"/>
    <w:link w:val="Header"/>
    <w:uiPriority w:val="99"/>
    <w:rsid w:val="00BC6B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41042E"/>
    <w:rPr>
      <w:vertAlign w:val="superscript"/>
    </w:rPr>
  </w:style>
  <w:style w:type="character" w:customStyle="1" w:styleId="HeaderChar">
    <w:name w:val="Header Char"/>
    <w:link w:val="Header"/>
    <w:uiPriority w:val="99"/>
    <w:rsid w:val="00BC6B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15</Pages>
  <Words>3469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Andrea Mick</cp:lastModifiedBy>
  <cp:revision>2</cp:revision>
  <cp:lastPrinted>2016-05-26T16:14:00Z</cp:lastPrinted>
  <dcterms:created xsi:type="dcterms:W3CDTF">2016-05-26T17:22:00Z</dcterms:created>
  <dcterms:modified xsi:type="dcterms:W3CDTF">2016-05-26T17:22:00Z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160006-WS</vt:lpwstr>
  </property>
  <property fmtid="{D5CDD505-2E9C-101B-9397-08002B2CF9AE}" pid="3" name="MasterDocument">
    <vt:bool>false</vt:bool>
  </property>
</Properties>
</file>