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7127" w:rsidP="000F7127">
      <w:pPr>
        <w:pStyle w:val="OrderHeading"/>
      </w:pPr>
      <w:bookmarkStart w:id="0" w:name="_GoBack"/>
      <w:bookmarkEnd w:id="0"/>
      <w:r>
        <w:t>BEFORE THE FLORIDA PUBLIC SERVICE COMMISSION</w:t>
      </w:r>
    </w:p>
    <w:p w:rsidR="000F7127" w:rsidRDefault="000F7127" w:rsidP="000F7127">
      <w:pPr>
        <w:pStyle w:val="OrderHeading"/>
      </w:pPr>
    </w:p>
    <w:p w:rsidR="000F7127" w:rsidRDefault="0006123C" w:rsidP="0006123C">
      <w:pPr>
        <w:pStyle w:val="OrderBody"/>
        <w:tabs>
          <w:tab w:val="left" w:pos="8250"/>
        </w:tabs>
      </w:pPr>
      <w:r>
        <w:tab/>
      </w:r>
    </w:p>
    <w:tbl>
      <w:tblPr>
        <w:tblW w:w="0" w:type="auto"/>
        <w:tblBorders>
          <w:insideV w:val="double" w:sz="4" w:space="0" w:color="auto"/>
        </w:tblBorders>
        <w:tblLook w:val="01E0" w:firstRow="1" w:lastRow="1" w:firstColumn="1" w:lastColumn="1" w:noHBand="0" w:noVBand="0"/>
      </w:tblPr>
      <w:tblGrid>
        <w:gridCol w:w="4788"/>
        <w:gridCol w:w="4788"/>
      </w:tblGrid>
      <w:tr w:rsidR="000F7127" w:rsidRPr="00C63FCF" w:rsidTr="00C63FCF">
        <w:trPr>
          <w:trHeight w:val="828"/>
        </w:trPr>
        <w:tc>
          <w:tcPr>
            <w:tcW w:w="4788" w:type="dxa"/>
            <w:tcBorders>
              <w:bottom w:val="nil"/>
              <w:right w:val="double" w:sz="6" w:space="0" w:color="auto"/>
            </w:tcBorders>
            <w:shd w:val="clear" w:color="auto" w:fill="auto"/>
          </w:tcPr>
          <w:p w:rsidR="000F7127" w:rsidRDefault="000F7127" w:rsidP="00C63FCF">
            <w:pPr>
              <w:pStyle w:val="OrderBody"/>
              <w:tabs>
                <w:tab w:val="center" w:pos="4320"/>
                <w:tab w:val="right" w:pos="8640"/>
              </w:tabs>
              <w:jc w:val="left"/>
            </w:pPr>
            <w:r>
              <w:t xml:space="preserve">In re: </w:t>
            </w:r>
            <w:bookmarkStart w:id="1" w:name="SMInRe"/>
            <w:bookmarkEnd w:id="1"/>
            <w:r>
              <w:t>Petition for rate increase by Florida Power &amp; Light Company.</w:t>
            </w:r>
          </w:p>
          <w:p w:rsidR="000F7127" w:rsidRDefault="000F712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F7127" w:rsidRDefault="000F7127" w:rsidP="00C63FCF">
            <w:pPr>
              <w:pStyle w:val="OrderBody"/>
              <w:tabs>
                <w:tab w:val="center" w:pos="4320"/>
                <w:tab w:val="right" w:pos="8640"/>
              </w:tabs>
              <w:jc w:val="left"/>
            </w:pPr>
            <w:r>
              <w:t xml:space="preserve">DOCKET NO. </w:t>
            </w:r>
            <w:bookmarkStart w:id="2" w:name="SMDocketNo"/>
            <w:bookmarkEnd w:id="2"/>
            <w:r>
              <w:t>160021-EI</w:t>
            </w:r>
          </w:p>
        </w:tc>
      </w:tr>
      <w:tr w:rsidR="000F7127" w:rsidRPr="00C63FCF" w:rsidTr="00C63FCF">
        <w:trPr>
          <w:trHeight w:val="828"/>
        </w:trPr>
        <w:tc>
          <w:tcPr>
            <w:tcW w:w="4788" w:type="dxa"/>
            <w:tcBorders>
              <w:bottom w:val="nil"/>
              <w:right w:val="double" w:sz="6" w:space="0" w:color="auto"/>
            </w:tcBorders>
            <w:shd w:val="clear" w:color="auto" w:fill="auto"/>
          </w:tcPr>
          <w:p w:rsidR="000F7127" w:rsidRDefault="000F7127" w:rsidP="00C63FCF">
            <w:pPr>
              <w:pStyle w:val="OrderBody"/>
              <w:tabs>
                <w:tab w:val="center" w:pos="4320"/>
                <w:tab w:val="right" w:pos="8640"/>
              </w:tabs>
              <w:jc w:val="left"/>
            </w:pPr>
            <w:r>
              <w:t>In re: Petition for approval of 2016-2018 storm hardening plan, by Florida Power &amp; Light Company.</w:t>
            </w:r>
          </w:p>
          <w:p w:rsidR="000F7127" w:rsidRDefault="000F712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F7127" w:rsidRDefault="000F7127" w:rsidP="00C63FCF">
            <w:pPr>
              <w:pStyle w:val="OrderBody"/>
              <w:tabs>
                <w:tab w:val="center" w:pos="4320"/>
                <w:tab w:val="right" w:pos="8640"/>
              </w:tabs>
              <w:jc w:val="left"/>
            </w:pPr>
            <w:r>
              <w:t>DOCKET NO. 160061-EI</w:t>
            </w:r>
          </w:p>
          <w:p w:rsidR="000F7127" w:rsidRDefault="000F7127" w:rsidP="00C63FCF">
            <w:pPr>
              <w:pStyle w:val="OrderBody"/>
              <w:tabs>
                <w:tab w:val="center" w:pos="4320"/>
                <w:tab w:val="right" w:pos="8640"/>
              </w:tabs>
              <w:jc w:val="left"/>
            </w:pPr>
          </w:p>
        </w:tc>
      </w:tr>
      <w:tr w:rsidR="000F7127" w:rsidRPr="00C63FCF" w:rsidTr="00C63FCF">
        <w:trPr>
          <w:trHeight w:val="828"/>
        </w:trPr>
        <w:tc>
          <w:tcPr>
            <w:tcW w:w="4788" w:type="dxa"/>
            <w:tcBorders>
              <w:bottom w:val="nil"/>
              <w:right w:val="double" w:sz="6" w:space="0" w:color="auto"/>
            </w:tcBorders>
            <w:shd w:val="clear" w:color="auto" w:fill="auto"/>
          </w:tcPr>
          <w:p w:rsidR="000F7127" w:rsidRDefault="000F7127" w:rsidP="00C63FCF">
            <w:pPr>
              <w:pStyle w:val="OrderBody"/>
              <w:tabs>
                <w:tab w:val="center" w:pos="4320"/>
                <w:tab w:val="right" w:pos="8640"/>
              </w:tabs>
              <w:jc w:val="left"/>
            </w:pPr>
            <w:r>
              <w:t>In re: 2016 depreciation and dismantlement study by Florida Power &amp; Light Company.</w:t>
            </w:r>
          </w:p>
          <w:p w:rsidR="000F7127" w:rsidRDefault="000F712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F7127" w:rsidRDefault="000F7127" w:rsidP="00C63FCF">
            <w:pPr>
              <w:pStyle w:val="OrderBody"/>
              <w:tabs>
                <w:tab w:val="center" w:pos="4320"/>
                <w:tab w:val="right" w:pos="8640"/>
              </w:tabs>
              <w:jc w:val="left"/>
            </w:pPr>
            <w:r>
              <w:t>DOCKET NO. 160062-EI</w:t>
            </w:r>
          </w:p>
          <w:p w:rsidR="000F7127" w:rsidRDefault="000F7127" w:rsidP="00C63FCF">
            <w:pPr>
              <w:pStyle w:val="OrderBody"/>
              <w:tabs>
                <w:tab w:val="center" w:pos="4320"/>
                <w:tab w:val="right" w:pos="8640"/>
              </w:tabs>
              <w:jc w:val="left"/>
            </w:pPr>
          </w:p>
        </w:tc>
      </w:tr>
      <w:tr w:rsidR="000F7127" w:rsidRPr="00C63FCF" w:rsidTr="00C63FCF">
        <w:trPr>
          <w:trHeight w:val="828"/>
        </w:trPr>
        <w:tc>
          <w:tcPr>
            <w:tcW w:w="4788" w:type="dxa"/>
            <w:tcBorders>
              <w:top w:val="nil"/>
              <w:bottom w:val="single" w:sz="8" w:space="0" w:color="auto"/>
              <w:right w:val="double" w:sz="6" w:space="0" w:color="auto"/>
            </w:tcBorders>
            <w:shd w:val="clear" w:color="auto" w:fill="auto"/>
          </w:tcPr>
          <w:p w:rsidR="000F7127" w:rsidRDefault="000F7127"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0F7127" w:rsidRDefault="000F7127" w:rsidP="000F7127">
            <w:pPr>
              <w:pStyle w:val="OrderBody"/>
            </w:pPr>
            <w:r>
              <w:t xml:space="preserve">DOCKET NO. </w:t>
            </w:r>
            <w:bookmarkStart w:id="3" w:name="SMDocketNo2"/>
            <w:bookmarkEnd w:id="3"/>
            <w:r>
              <w:t>160088-EI</w:t>
            </w:r>
          </w:p>
          <w:p w:rsidR="000F7127" w:rsidRDefault="000F7127" w:rsidP="00C63FCF">
            <w:pPr>
              <w:pStyle w:val="OrderBody"/>
              <w:tabs>
                <w:tab w:val="center" w:pos="4320"/>
                <w:tab w:val="right" w:pos="8640"/>
              </w:tabs>
              <w:jc w:val="left"/>
            </w:pPr>
            <w:r>
              <w:t xml:space="preserve">ORDER NO. </w:t>
            </w:r>
            <w:bookmarkStart w:id="4" w:name="OrderNo0323"/>
            <w:r w:rsidR="009611BC">
              <w:t>PSC-16-0323-PCO-EI</w:t>
            </w:r>
            <w:bookmarkEnd w:id="4"/>
          </w:p>
          <w:p w:rsidR="000F7127" w:rsidRDefault="000F7127" w:rsidP="00C63FCF">
            <w:pPr>
              <w:pStyle w:val="OrderBody"/>
              <w:tabs>
                <w:tab w:val="center" w:pos="4320"/>
                <w:tab w:val="right" w:pos="8640"/>
              </w:tabs>
              <w:jc w:val="left"/>
            </w:pPr>
            <w:r>
              <w:t xml:space="preserve">ISSUED: </w:t>
            </w:r>
            <w:r w:rsidR="009611BC">
              <w:t>August 9, 2016</w:t>
            </w:r>
          </w:p>
          <w:p w:rsidR="000F7127" w:rsidRDefault="000F7127" w:rsidP="00C63FCF">
            <w:pPr>
              <w:pStyle w:val="OrderBody"/>
              <w:tabs>
                <w:tab w:val="center" w:pos="4320"/>
                <w:tab w:val="right" w:pos="8640"/>
              </w:tabs>
              <w:jc w:val="left"/>
            </w:pPr>
          </w:p>
        </w:tc>
      </w:tr>
    </w:tbl>
    <w:p w:rsidR="000F7127" w:rsidRDefault="000F7127" w:rsidP="000F7127"/>
    <w:p w:rsidR="00CB5276" w:rsidRDefault="000F7127" w:rsidP="000F7127">
      <w:pPr>
        <w:pStyle w:val="CenterUnderline"/>
      </w:pPr>
      <w:bookmarkStart w:id="5" w:name="Commissioners"/>
      <w:bookmarkEnd w:id="5"/>
      <w:r>
        <w:t>ORDER</w:t>
      </w:r>
      <w:bookmarkStart w:id="6" w:name="OrderTitle"/>
      <w:r>
        <w:t xml:space="preserve"> GRANTING INTERVENTION </w:t>
      </w:r>
      <w:bookmarkEnd w:id="6"/>
      <w:r w:rsidR="007670EA">
        <w:t xml:space="preserve"> AND GRANTING</w:t>
      </w:r>
    </w:p>
    <w:p w:rsidR="007670EA" w:rsidRDefault="007670EA" w:rsidP="000F7127">
      <w:pPr>
        <w:pStyle w:val="CenterUnderline"/>
      </w:pPr>
      <w:r>
        <w:t>FLORIDA POWER &amp; LIGHT COMPANY’S MOTION TO STRIKE</w:t>
      </w:r>
    </w:p>
    <w:p w:rsidR="000F7127" w:rsidRDefault="000F7127" w:rsidP="000F7127">
      <w:pPr>
        <w:pStyle w:val="CenterUnderline"/>
      </w:pPr>
    </w:p>
    <w:p w:rsidR="002A17FE" w:rsidRDefault="002A17FE" w:rsidP="002A17FE">
      <w:pPr>
        <w:ind w:firstLine="720"/>
        <w:jc w:val="both"/>
      </w:pPr>
      <w:r>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  The hearing for the FPL rate case is scheduled on August 22 through September 2, 2016.</w:t>
      </w:r>
    </w:p>
    <w:p w:rsidR="002A17FE" w:rsidRDefault="002A17FE" w:rsidP="002A17FE">
      <w:pPr>
        <w:pStyle w:val="OrderBody"/>
        <w:rPr>
          <w:u w:val="single"/>
        </w:rPr>
      </w:pPr>
    </w:p>
    <w:p w:rsidR="006C36BE" w:rsidRDefault="002A17FE" w:rsidP="002A17FE">
      <w:pPr>
        <w:pStyle w:val="OrderBody"/>
      </w:pPr>
      <w:r>
        <w:tab/>
        <w:t xml:space="preserve">On July 22, 2016, Daniel R. Larson and Alexandria Larson (Larsons), filed a Petition to Intervene (Petition). </w:t>
      </w:r>
      <w:r w:rsidR="00EA2AE4">
        <w:t>The Larsons state that they are residential customers of FPL and therefore will be directly and substantially affected by the rate increase FPL is proposing over a four year period in this proceeding.  Specifically, the Larsons are contesting the necessity for any rate increase at this time and the Return on Equity (ROE) requested by FPL.</w:t>
      </w:r>
    </w:p>
    <w:p w:rsidR="006C36BE" w:rsidRDefault="006C36BE" w:rsidP="002A17FE">
      <w:pPr>
        <w:pStyle w:val="OrderBody"/>
      </w:pPr>
    </w:p>
    <w:p w:rsidR="002A17FE" w:rsidRDefault="006C36BE" w:rsidP="002A17FE">
      <w:pPr>
        <w:pStyle w:val="OrderBody"/>
      </w:pPr>
      <w:r>
        <w:tab/>
      </w:r>
      <w:r w:rsidR="00EA2AE4">
        <w:t xml:space="preserve">FPL filed its </w:t>
      </w:r>
      <w:r w:rsidR="00A44EDF">
        <w:t xml:space="preserve">Response in Opposition to </w:t>
      </w:r>
      <w:r w:rsidR="00EA2AE4">
        <w:t xml:space="preserve">Larsons’ </w:t>
      </w:r>
      <w:r w:rsidR="00A44EDF">
        <w:t xml:space="preserve">Petition to Intervene </w:t>
      </w:r>
      <w:r w:rsidR="007670EA">
        <w:t>(</w:t>
      </w:r>
      <w:r w:rsidR="00A44EDF">
        <w:t>Objection</w:t>
      </w:r>
      <w:r w:rsidR="007670EA">
        <w:t>)</w:t>
      </w:r>
      <w:r w:rsidR="00EA2AE4">
        <w:t xml:space="preserve"> on </w:t>
      </w:r>
      <w:r w:rsidR="00484BC4">
        <w:t>July 29, 2016</w:t>
      </w:r>
      <w:r w:rsidR="00A44EDF">
        <w:t>.  In its Objection, FPL argues several points.  First, that the Larsons have alleged no substantial interests that are unique to them</w:t>
      </w:r>
      <w:r>
        <w:t xml:space="preserve"> or are not otherwise being addressed</w:t>
      </w:r>
      <w:r w:rsidR="00A44EDF">
        <w:t>, i.e., different in any way from that of other residential ratepayers.</w:t>
      </w:r>
      <w:r>
        <w:t xml:space="preserve">  [Objection at 1-2]   </w:t>
      </w:r>
      <w:r w:rsidR="00A44EDF">
        <w:t xml:space="preserve">Second, that the Office of Public Counsel (OPC), the entity authorized by statute to represent FPL’s ratepayers, is actively litigating this case and through its prefiled testimony has addressed every primary issue </w:t>
      </w:r>
      <w:r>
        <w:t xml:space="preserve">raised by the Larsons </w:t>
      </w:r>
      <w:r w:rsidR="00A44EDF">
        <w:t xml:space="preserve">in the rate case.  </w:t>
      </w:r>
      <w:r>
        <w:t xml:space="preserve">[Objection at 2]  </w:t>
      </w:r>
      <w:r w:rsidR="00A44EDF">
        <w:t>Third, that in addition to OPC</w:t>
      </w:r>
      <w:r>
        <w:t>,</w:t>
      </w:r>
      <w:r w:rsidR="00A44EDF">
        <w:t xml:space="preserve"> the American Association of Retired Persons (AARP), Federal Executive Agencies (FEA) and Florida Industrial Power Users Group (FIPUG) have also intervened and filed testimony in this case </w:t>
      </w:r>
      <w:r>
        <w:t xml:space="preserve">likewise addressing all of the issues raised by the Larsons.  [Objection at 2]  Fourth, the Larsons, taking the case as they now find it, are unable to file any testimony.  Further, FPL points out that </w:t>
      </w:r>
      <w:r w:rsidR="00AE695F">
        <w:t xml:space="preserve">each </w:t>
      </w:r>
      <w:r>
        <w:t xml:space="preserve">of the Larsons testified at the customer service hearings held in West Palm </w:t>
      </w:r>
      <w:r>
        <w:lastRenderedPageBreak/>
        <w:t>Beach and expressed their concerns.  [Objection at 3]  Finally, FPL contends that the Larsons</w:t>
      </w:r>
      <w:r w:rsidR="00A64B96">
        <w:t>’</w:t>
      </w:r>
      <w:r>
        <w:t xml:space="preserve"> participation “may result in the waste of time and resources of the parties and the Commission by raising and debating duplicative issues.”  The net result</w:t>
      </w:r>
      <w:r w:rsidR="0056395D">
        <w:t xml:space="preserve">, according to FPL, </w:t>
      </w:r>
      <w:r>
        <w:t>being higher rate case expense costs than would otherwise be the case.</w:t>
      </w:r>
      <w:r w:rsidR="0056395D">
        <w:t xml:space="preserve">  [Objection at 3]</w:t>
      </w:r>
      <w:r>
        <w:t xml:space="preserve"> </w:t>
      </w:r>
      <w:r w:rsidR="00A64B96">
        <w:t xml:space="preserve"> On August </w:t>
      </w:r>
      <w:r w:rsidR="0006123C">
        <w:t>1</w:t>
      </w:r>
      <w:r w:rsidR="00A64B96">
        <w:t>, 2016, the Larsons filed a Reply to FPL’s Response in Opposition to Larsons’ Petition to Intervene</w:t>
      </w:r>
      <w:r w:rsidR="0006123C">
        <w:t xml:space="preserve"> and filed a “corrected” </w:t>
      </w:r>
      <w:r w:rsidR="00AE695F">
        <w:t xml:space="preserve">copy of this same document </w:t>
      </w:r>
      <w:r w:rsidR="0006123C">
        <w:t>on August 2, 2016</w:t>
      </w:r>
      <w:r w:rsidR="00A64B96">
        <w:t>.</w:t>
      </w:r>
      <w:r w:rsidR="007670EA">
        <w:t xml:space="preserve">  On August 4, 2016, FPL filed its Motion to Strike Larsons’ Unauthorized Replies (Motion).</w:t>
      </w:r>
      <w:r w:rsidR="00A64B96">
        <w:t xml:space="preserve"> </w:t>
      </w:r>
      <w:r>
        <w:t xml:space="preserve">      </w:t>
      </w:r>
      <w:r w:rsidR="002A17FE">
        <w:t xml:space="preserve"> </w:t>
      </w:r>
    </w:p>
    <w:p w:rsidR="002A17FE" w:rsidRDefault="002A17FE" w:rsidP="002A17FE">
      <w:pPr>
        <w:jc w:val="both"/>
      </w:pPr>
    </w:p>
    <w:p w:rsidR="007670EA" w:rsidRDefault="007670EA" w:rsidP="007670EA">
      <w:pPr>
        <w:jc w:val="center"/>
        <w:rPr>
          <w:u w:val="single"/>
        </w:rPr>
      </w:pPr>
      <w:r w:rsidRPr="007670EA">
        <w:rPr>
          <w:u w:val="single"/>
        </w:rPr>
        <w:t>MOTION TO STRIKE</w:t>
      </w:r>
    </w:p>
    <w:p w:rsidR="007670EA" w:rsidRDefault="007670EA" w:rsidP="007670EA">
      <w:pPr>
        <w:jc w:val="center"/>
        <w:rPr>
          <w:u w:val="single"/>
        </w:rPr>
      </w:pPr>
    </w:p>
    <w:p w:rsidR="00ED2C69" w:rsidRDefault="007670EA" w:rsidP="007670EA">
      <w:pPr>
        <w:jc w:val="both"/>
      </w:pPr>
      <w:r>
        <w:tab/>
        <w:t xml:space="preserve">In its Motion, FPL argues that Rule 28-106.204, F.A.C., does not </w:t>
      </w:r>
      <w:r w:rsidR="00A543FE">
        <w:t xml:space="preserve">contemplate </w:t>
      </w:r>
      <w:r>
        <w:t xml:space="preserve">supplemental filings beyond a motion and response.  FPL further states that the Commission has consistently disallowed </w:t>
      </w:r>
      <w:r w:rsidR="00A543FE">
        <w:t xml:space="preserve">subsequently filed </w:t>
      </w:r>
      <w:r>
        <w:t>“replies” in its proceedings since “the pleadings cycle must stop at a reasonable point.”</w:t>
      </w:r>
      <w:r>
        <w:rPr>
          <w:rStyle w:val="FootnoteReference"/>
        </w:rPr>
        <w:footnoteReference w:id="1"/>
      </w:r>
      <w:r>
        <w:t xml:space="preserve"> </w:t>
      </w:r>
      <w:r w:rsidR="00A543FE">
        <w:t xml:space="preserve"> I agree.  Therefore, FPL’s Motion to Strike Larsons’ Unauthorized Replies is granted</w:t>
      </w:r>
      <w:r w:rsidR="00ED2C69">
        <w:t xml:space="preserve"> and the Larsons’ repl</w:t>
      </w:r>
      <w:r w:rsidR="0006123C">
        <w:t>ies</w:t>
      </w:r>
      <w:r w:rsidR="00ED2C69">
        <w:t xml:space="preserve"> will not be addressed in this order.</w:t>
      </w:r>
    </w:p>
    <w:p w:rsidR="00ED2C69" w:rsidRDefault="00ED2C69" w:rsidP="007670EA">
      <w:pPr>
        <w:jc w:val="both"/>
      </w:pPr>
    </w:p>
    <w:p w:rsidR="007670EA" w:rsidRPr="00ED2C69" w:rsidRDefault="00ED2C69" w:rsidP="00ED2C69">
      <w:pPr>
        <w:jc w:val="center"/>
        <w:rPr>
          <w:u w:val="single"/>
        </w:rPr>
      </w:pPr>
      <w:r w:rsidRPr="00ED2C69">
        <w:rPr>
          <w:u w:val="single"/>
        </w:rPr>
        <w:t xml:space="preserve">INTERVENTION </w:t>
      </w:r>
    </w:p>
    <w:p w:rsidR="002A17FE" w:rsidRDefault="002A17FE" w:rsidP="002A17FE">
      <w:pPr>
        <w:jc w:val="both"/>
        <w:rPr>
          <w:u w:val="single"/>
        </w:rPr>
      </w:pPr>
      <w:r>
        <w:rPr>
          <w:u w:val="single"/>
        </w:rPr>
        <w:t>Standards for Intervention</w:t>
      </w:r>
    </w:p>
    <w:p w:rsidR="002A17FE" w:rsidRDefault="002A17FE" w:rsidP="002A17FE">
      <w:pPr>
        <w:jc w:val="both"/>
        <w:rPr>
          <w:u w:val="single"/>
        </w:rPr>
      </w:pPr>
    </w:p>
    <w:p w:rsidR="002A17FE" w:rsidRDefault="002A17FE" w:rsidP="002A17FE">
      <w:pPr>
        <w:jc w:val="both"/>
      </w:pPr>
      <w:r>
        <w:tab/>
        <w:t>Pursuant to Rule 25-22.039, F.A.C.,</w:t>
      </w:r>
    </w:p>
    <w:p w:rsidR="002A17FE" w:rsidRDefault="002A17FE" w:rsidP="002A17FE">
      <w:pPr>
        <w:jc w:val="both"/>
      </w:pPr>
    </w:p>
    <w:p w:rsidR="002A17FE" w:rsidRDefault="002A17FE" w:rsidP="002A17FE">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2A17FE" w:rsidRDefault="002A17FE" w:rsidP="002A17FE">
      <w:pPr>
        <w:jc w:val="both"/>
        <w:rPr>
          <w:u w:val="single"/>
        </w:rPr>
      </w:pPr>
    </w:p>
    <w:p w:rsidR="002A17FE" w:rsidRDefault="002A17FE" w:rsidP="002A17FE">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w:t>
      </w:r>
      <w:r>
        <w:lastRenderedPageBreak/>
        <w:t xml:space="preserve">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2A17FE" w:rsidRDefault="002A17FE" w:rsidP="002A17FE">
      <w:pPr>
        <w:ind w:firstLine="720"/>
        <w:jc w:val="both"/>
      </w:pPr>
    </w:p>
    <w:p w:rsidR="002A17FE" w:rsidRDefault="002A17FE" w:rsidP="002A17FE">
      <w:pPr>
        <w:jc w:val="both"/>
      </w:pPr>
      <w:r>
        <w:rPr>
          <w:u w:val="single"/>
        </w:rPr>
        <w:t>Analysis &amp; Ruling</w:t>
      </w:r>
    </w:p>
    <w:p w:rsidR="002A17FE" w:rsidRDefault="002A17FE" w:rsidP="002A17FE">
      <w:pPr>
        <w:jc w:val="both"/>
      </w:pPr>
    </w:p>
    <w:p w:rsidR="00EF345F" w:rsidRDefault="0056395D" w:rsidP="002A17FE">
      <w:pPr>
        <w:jc w:val="both"/>
      </w:pPr>
      <w:r>
        <w:tab/>
        <w:t>I</w:t>
      </w:r>
      <w:r w:rsidR="002A17FE">
        <w:t xml:space="preserve">t appears that </w:t>
      </w:r>
      <w:r w:rsidR="00EA2AE4">
        <w:t xml:space="preserve">the Larsons </w:t>
      </w:r>
      <w:r w:rsidR="002A17FE">
        <w:t xml:space="preserve">meet the two-prong standing test in </w:t>
      </w:r>
      <w:r w:rsidR="002A17FE">
        <w:rPr>
          <w:u w:val="single"/>
        </w:rPr>
        <w:t>Agrico</w:t>
      </w:r>
      <w:r>
        <w:t xml:space="preserve">, since they are customers of </w:t>
      </w:r>
      <w:smartTag w:uri="urn:schemas-microsoft-com:office:smarttags" w:element="stockticker">
        <w:r>
          <w:t>FPL</w:t>
        </w:r>
      </w:smartTag>
      <w:r>
        <w:t xml:space="preserve"> whose interests may be substantially affected by this proceeding.  </w:t>
      </w:r>
      <w:r w:rsidR="00EF345F">
        <w:t xml:space="preserve">Additionally, </w:t>
      </w:r>
      <w:r>
        <w:t>this Commission has a long history of granting intervention to residential customers of utilities subject to its regulation.</w:t>
      </w:r>
      <w:r>
        <w:rPr>
          <w:rStyle w:val="FootnoteReference"/>
        </w:rPr>
        <w:footnoteReference w:id="2"/>
      </w:r>
      <w:r w:rsidR="00EF345F">
        <w:t xml:space="preserve">  </w:t>
      </w:r>
      <w:r>
        <w:t xml:space="preserve">I do not find it necessary for the Larsons to specifically allege which of their specific interests OPC or other intervenors may </w:t>
      </w:r>
      <w:r w:rsidR="006B435B">
        <w:t xml:space="preserve">or may </w:t>
      </w:r>
      <w:r>
        <w:t>not represent.  Therefore, b</w:t>
      </w:r>
      <w:r w:rsidR="002A17FE">
        <w:t xml:space="preserve">ecause </w:t>
      </w:r>
      <w:r w:rsidR="00EA2AE4">
        <w:t xml:space="preserve">the Larsons </w:t>
      </w:r>
      <w:r w:rsidR="002A17FE">
        <w:t xml:space="preserve">meet the two-prong standing test established in </w:t>
      </w:r>
      <w:r w:rsidR="002A17FE">
        <w:rPr>
          <w:u w:val="single"/>
        </w:rPr>
        <w:t>Agrico</w:t>
      </w:r>
      <w:r w:rsidR="002A17FE">
        <w:t xml:space="preserve">, </w:t>
      </w:r>
      <w:r w:rsidR="00EA2AE4">
        <w:t>the Larson</w:t>
      </w:r>
      <w:r w:rsidR="002A17FE" w:rsidRPr="0031011D">
        <w:t>s</w:t>
      </w:r>
      <w:r w:rsidR="00EA2AE4">
        <w:t>’</w:t>
      </w:r>
      <w:r w:rsidR="002A17FE">
        <w:t xml:space="preserve"> petition for intervention shall be granted.</w:t>
      </w:r>
    </w:p>
    <w:p w:rsidR="00EF345F" w:rsidRDefault="00EF345F" w:rsidP="002A17FE">
      <w:pPr>
        <w:jc w:val="both"/>
      </w:pPr>
    </w:p>
    <w:p w:rsidR="002A17FE" w:rsidRDefault="00EF345F" w:rsidP="002A17FE">
      <w:pPr>
        <w:jc w:val="both"/>
      </w:pPr>
      <w:r>
        <w:tab/>
      </w:r>
      <w:r w:rsidR="002A17FE">
        <w:t xml:space="preserve">Pursuant to Rule 25-22.039, F.A.C., </w:t>
      </w:r>
      <w:r w:rsidR="00EA2AE4">
        <w:t xml:space="preserve">the Larsons </w:t>
      </w:r>
      <w:r w:rsidR="002A17FE">
        <w:t xml:space="preserve">take the case as </w:t>
      </w:r>
      <w:r w:rsidR="00EA2AE4">
        <w:t xml:space="preserve">they </w:t>
      </w:r>
      <w:r w:rsidR="002A17FE">
        <w:t>find it.</w:t>
      </w:r>
      <w:r>
        <w:t xml:space="preserve">  This includes, but is not limited to, the timelines established in the First Order Revising Order Establishing Procedure and Order Granting Motion to Consolidate</w:t>
      </w:r>
      <w:r w:rsidR="008E455E">
        <w:rPr>
          <w:rStyle w:val="FootnoteReference"/>
        </w:rPr>
        <w:footnoteReference w:id="3"/>
      </w:r>
      <w:r>
        <w:t xml:space="preserve"> as outlined below:</w:t>
      </w:r>
    </w:p>
    <w:p w:rsidR="00EF345F" w:rsidRDefault="00EF345F" w:rsidP="002A17FE">
      <w:pPr>
        <w:jc w:val="both"/>
      </w:pPr>
    </w:p>
    <w:p w:rsidR="00EF345F" w:rsidRDefault="00EF345F" w:rsidP="00EF345F">
      <w:pPr>
        <w:ind w:left="720" w:right="720"/>
        <w:jc w:val="both"/>
      </w:pPr>
      <w:r>
        <w:t>(1)</w:t>
      </w:r>
      <w:r>
        <w:tab/>
        <w:t>Discovery deadline for direct and intervenor</w:t>
      </w:r>
      <w:r>
        <w:tab/>
      </w:r>
      <w:r>
        <w:tab/>
        <w:t>August 12, 2016</w:t>
      </w:r>
    </w:p>
    <w:p w:rsidR="00EF345F" w:rsidRDefault="00EF345F" w:rsidP="00EF345F">
      <w:pPr>
        <w:ind w:left="720" w:right="720"/>
        <w:jc w:val="both"/>
      </w:pPr>
      <w:r>
        <w:tab/>
      </w:r>
      <w:r w:rsidR="008E455E">
        <w:t>t</w:t>
      </w:r>
      <w:r>
        <w:t>estimony</w:t>
      </w:r>
    </w:p>
    <w:p w:rsidR="002A17FE" w:rsidRDefault="00EF345F" w:rsidP="002A17FE">
      <w:pPr>
        <w:jc w:val="both"/>
      </w:pPr>
      <w:r>
        <w:tab/>
      </w:r>
      <w:r>
        <w:tab/>
        <w:t>Discovery deadline for rebuttal testimony</w:t>
      </w:r>
      <w:r>
        <w:tab/>
      </w:r>
      <w:r>
        <w:tab/>
        <w:t>August 16, 2016</w:t>
      </w:r>
    </w:p>
    <w:p w:rsidR="00EF345F" w:rsidRDefault="00EF345F" w:rsidP="002A17FE">
      <w:pPr>
        <w:jc w:val="both"/>
      </w:pPr>
      <w:r>
        <w:tab/>
        <w:t>(2)</w:t>
      </w:r>
      <w:r>
        <w:tab/>
        <w:t xml:space="preserve">Hearing </w:t>
      </w:r>
      <w:r>
        <w:tab/>
      </w:r>
      <w:r>
        <w:tab/>
      </w:r>
      <w:r>
        <w:tab/>
      </w:r>
      <w:r>
        <w:tab/>
      </w:r>
      <w:r>
        <w:tab/>
      </w:r>
      <w:r>
        <w:tab/>
        <w:t>August 22</w:t>
      </w:r>
      <w:r w:rsidR="008E455E">
        <w:t>-</w:t>
      </w:r>
      <w:r>
        <w:t>September 2, 2016</w:t>
      </w:r>
    </w:p>
    <w:p w:rsidR="00EF345F" w:rsidRDefault="00EF345F" w:rsidP="002A17FE">
      <w:pPr>
        <w:jc w:val="both"/>
      </w:pPr>
      <w:r>
        <w:tab/>
        <w:t>(3)</w:t>
      </w:r>
      <w:r>
        <w:tab/>
        <w:t>Briefs</w:t>
      </w:r>
      <w:r>
        <w:tab/>
      </w:r>
      <w:r>
        <w:tab/>
      </w:r>
      <w:r>
        <w:tab/>
      </w:r>
      <w:r>
        <w:tab/>
      </w:r>
      <w:r>
        <w:tab/>
      </w:r>
      <w:r>
        <w:tab/>
      </w:r>
      <w:r>
        <w:tab/>
        <w:t>September 16, 2016</w:t>
      </w:r>
    </w:p>
    <w:p w:rsidR="00EF345F" w:rsidRDefault="00EF345F" w:rsidP="002A17FE">
      <w:pPr>
        <w:jc w:val="both"/>
      </w:pPr>
    </w:p>
    <w:p w:rsidR="008E455E" w:rsidRDefault="00EF345F" w:rsidP="002A17FE">
      <w:pPr>
        <w:jc w:val="both"/>
      </w:pPr>
      <w:r>
        <w:tab/>
        <w:t>I note that although the discovery deadline</w:t>
      </w:r>
      <w:r w:rsidR="006D38EC">
        <w:t>s</w:t>
      </w:r>
      <w:r>
        <w:t xml:space="preserve"> ha</w:t>
      </w:r>
      <w:r w:rsidR="006D38EC">
        <w:t>ve</w:t>
      </w:r>
      <w:r>
        <w:t xml:space="preserve"> not yet passed, the late filing of the petition </w:t>
      </w:r>
      <w:r w:rsidR="008E455E">
        <w:t>for intervention will limit the Larsons’ ability to conduct discovery through the issuance of interrogatories and requests for production of documents.  Further, since most, if not all, notices and cross notices of taking depositions have been issued, any desired depositions must be noticed by close of business the date after the issuance of this Order.</w:t>
      </w:r>
    </w:p>
    <w:p w:rsidR="00EF345F" w:rsidRDefault="008E455E" w:rsidP="002A17FE">
      <w:pPr>
        <w:jc w:val="both"/>
      </w:pPr>
      <w:r>
        <w:t xml:space="preserve"> </w:t>
      </w:r>
    </w:p>
    <w:p w:rsidR="00ED2C69" w:rsidRDefault="00ED2C69">
      <w:r>
        <w:br w:type="page"/>
      </w:r>
    </w:p>
    <w:p w:rsidR="002A17FE" w:rsidRDefault="002A17FE" w:rsidP="002A17FE">
      <w:pPr>
        <w:jc w:val="both"/>
      </w:pPr>
      <w:r>
        <w:lastRenderedPageBreak/>
        <w:tab/>
        <w:t>Based on the foregoing, it is</w:t>
      </w:r>
    </w:p>
    <w:p w:rsidR="002A17FE" w:rsidRDefault="002A17FE" w:rsidP="002A17FE">
      <w:pPr>
        <w:jc w:val="both"/>
      </w:pPr>
    </w:p>
    <w:p w:rsidR="002A17FE" w:rsidRDefault="002A17FE" w:rsidP="002A17FE">
      <w:pPr>
        <w:jc w:val="both"/>
      </w:pPr>
      <w:r>
        <w:tab/>
        <w:t xml:space="preserve">ORDERED by Commissioner Lisa Polak Edgar, as Prehearing Officer, that the Petition to Intervene filed by </w:t>
      </w:r>
      <w:r w:rsidR="00EA2AE4">
        <w:t>Daniel R</w:t>
      </w:r>
      <w:r w:rsidR="00AE695F">
        <w:t>.</w:t>
      </w:r>
      <w:r w:rsidR="00EA2AE4">
        <w:t xml:space="preserve"> and Alexandria Larson</w:t>
      </w:r>
      <w:r>
        <w:t>, is hereby granted as set forth in the body of this Order.  It is further</w:t>
      </w:r>
    </w:p>
    <w:p w:rsidR="0006123C" w:rsidRDefault="0006123C" w:rsidP="002A17FE">
      <w:pPr>
        <w:jc w:val="both"/>
      </w:pPr>
    </w:p>
    <w:p w:rsidR="0006123C" w:rsidRDefault="0006123C" w:rsidP="002A17FE">
      <w:pPr>
        <w:jc w:val="both"/>
      </w:pPr>
      <w:r>
        <w:tab/>
        <w:t xml:space="preserve">ORDERED that Florida Power &amp; Light Company’s Motion to Strike Larsons’ Unauthorized Replies is hereby granted.  It is further </w:t>
      </w:r>
    </w:p>
    <w:p w:rsidR="002A17FE" w:rsidRDefault="002A17FE" w:rsidP="002A17FE">
      <w:pPr>
        <w:jc w:val="both"/>
      </w:pPr>
    </w:p>
    <w:p w:rsidR="002A17FE" w:rsidRDefault="002A17FE" w:rsidP="002A17FE">
      <w:pPr>
        <w:ind w:firstLine="720"/>
        <w:jc w:val="both"/>
      </w:pPr>
      <w:r>
        <w:t>ORDERED that all parties to this proceeding shall furnish copies of all testimony, exhibits, pleadings and other documents which may hereinafter be filed in this proceeding to:</w:t>
      </w:r>
    </w:p>
    <w:p w:rsidR="002A17FE" w:rsidRDefault="002A17FE" w:rsidP="002A17FE">
      <w:pPr>
        <w:ind w:firstLine="720"/>
        <w:jc w:val="both"/>
      </w:pPr>
    </w:p>
    <w:p w:rsidR="00AE695F" w:rsidRDefault="002A17FE" w:rsidP="00AA5E03">
      <w:r>
        <w:tab/>
      </w:r>
      <w:r>
        <w:tab/>
      </w:r>
      <w:r w:rsidR="00AA5E03">
        <w:t>Nathan A. Skop</w:t>
      </w:r>
    </w:p>
    <w:p w:rsidR="00AA5E03" w:rsidRDefault="00AA5E03" w:rsidP="00AA5E03">
      <w:r>
        <w:tab/>
      </w:r>
      <w:r>
        <w:tab/>
        <w:t>420 NW 50</w:t>
      </w:r>
      <w:r w:rsidRPr="00AA5E03">
        <w:rPr>
          <w:vertAlign w:val="superscript"/>
        </w:rPr>
        <w:t>th</w:t>
      </w:r>
      <w:r>
        <w:t xml:space="preserve"> Blvd.</w:t>
      </w:r>
    </w:p>
    <w:p w:rsidR="00AA5E03" w:rsidRDefault="00AA5E03" w:rsidP="00AA5E03">
      <w:r>
        <w:tab/>
      </w:r>
      <w:r>
        <w:tab/>
        <w:t>Gainesville, Florida 32607</w:t>
      </w:r>
    </w:p>
    <w:p w:rsidR="00AA5E03" w:rsidRDefault="00AA5E03" w:rsidP="00AA5E03">
      <w:r>
        <w:tab/>
      </w:r>
      <w:r>
        <w:tab/>
        <w:t>Phone: (561) 222-7455</w:t>
      </w:r>
    </w:p>
    <w:p w:rsidR="00AA5E03" w:rsidRDefault="00AA5E03" w:rsidP="00AA5E03">
      <w:pPr>
        <w:rPr>
          <w:rStyle w:val="Hyperlink"/>
        </w:rPr>
      </w:pPr>
      <w:r>
        <w:tab/>
        <w:t xml:space="preserve"> </w:t>
      </w:r>
      <w:r>
        <w:tab/>
        <w:t xml:space="preserve">E-mail: </w:t>
      </w:r>
      <w:hyperlink r:id="rId8" w:history="1">
        <w:r w:rsidRPr="008737C2">
          <w:rPr>
            <w:rStyle w:val="Hyperlink"/>
          </w:rPr>
          <w:t>n_skop@hotmail.com</w:t>
        </w:r>
      </w:hyperlink>
    </w:p>
    <w:p w:rsidR="0056395D" w:rsidRDefault="0056395D" w:rsidP="00AA5E03"/>
    <w:p w:rsidR="00925F2C" w:rsidRDefault="00AA5E03" w:rsidP="00AA5E03">
      <w:pPr>
        <w:keepNext/>
        <w:keepLines/>
      </w:pPr>
      <w:r>
        <w:tab/>
        <w:t xml:space="preserve">By ORDER of Commissioner Lisa Polak Edgar, as Prehearing Officer, this </w:t>
      </w:r>
      <w:bookmarkStart w:id="7" w:name="replaceDate"/>
      <w:bookmarkEnd w:id="7"/>
      <w:r w:rsidR="009611BC">
        <w:rPr>
          <w:u w:val="single"/>
        </w:rPr>
        <w:t>9th</w:t>
      </w:r>
      <w:r w:rsidR="009611BC">
        <w:t xml:space="preserve"> day of </w:t>
      </w:r>
      <w:r w:rsidR="009611BC">
        <w:rPr>
          <w:u w:val="single"/>
        </w:rPr>
        <w:t>August</w:t>
      </w:r>
      <w:r w:rsidR="009611BC">
        <w:t xml:space="preserve">, </w:t>
      </w:r>
      <w:r w:rsidR="009611BC">
        <w:rPr>
          <w:u w:val="single"/>
        </w:rPr>
        <w:t>2016</w:t>
      </w:r>
      <w:r w:rsidR="009611BC">
        <w:t>.</w:t>
      </w:r>
    </w:p>
    <w:p w:rsidR="009611BC" w:rsidRPr="009611BC" w:rsidRDefault="009611BC" w:rsidP="00AA5E03">
      <w:pPr>
        <w:keepNext/>
        <w:keepLines/>
      </w:pPr>
    </w:p>
    <w:p w:rsidR="00925F2C" w:rsidRDefault="00925F2C" w:rsidP="00AA5E03">
      <w:pPr>
        <w:keepNext/>
        <w:keepLines/>
      </w:pPr>
    </w:p>
    <w:p w:rsidR="00925F2C" w:rsidRDefault="00925F2C" w:rsidP="00AA5E03">
      <w:pPr>
        <w:keepNext/>
        <w:keepLines/>
      </w:pPr>
    </w:p>
    <w:tbl>
      <w:tblPr>
        <w:tblW w:w="4720" w:type="dxa"/>
        <w:tblInd w:w="3800" w:type="dxa"/>
        <w:tblLayout w:type="fixed"/>
        <w:tblLook w:val="0000" w:firstRow="0" w:lastRow="0" w:firstColumn="0" w:lastColumn="0" w:noHBand="0" w:noVBand="0"/>
      </w:tblPr>
      <w:tblGrid>
        <w:gridCol w:w="686"/>
        <w:gridCol w:w="4034"/>
      </w:tblGrid>
      <w:tr w:rsidR="00AA5E03" w:rsidTr="00AA5E03">
        <w:tc>
          <w:tcPr>
            <w:tcW w:w="720" w:type="dxa"/>
            <w:shd w:val="clear" w:color="auto" w:fill="auto"/>
          </w:tcPr>
          <w:p w:rsidR="006D38EC" w:rsidRDefault="006D38EC" w:rsidP="00AA5E03">
            <w:pPr>
              <w:keepNext/>
              <w:keepLines/>
            </w:pPr>
            <w:bookmarkStart w:id="8" w:name="bkmrkSignature" w:colFirst="0" w:colLast="0"/>
          </w:p>
        </w:tc>
        <w:tc>
          <w:tcPr>
            <w:tcW w:w="4320" w:type="dxa"/>
            <w:tcBorders>
              <w:bottom w:val="single" w:sz="4" w:space="0" w:color="auto"/>
            </w:tcBorders>
            <w:shd w:val="clear" w:color="auto" w:fill="auto"/>
          </w:tcPr>
          <w:p w:rsidR="00AA5E03" w:rsidRDefault="009611BC" w:rsidP="00AA5E03">
            <w:pPr>
              <w:keepNext/>
              <w:keepLines/>
            </w:pPr>
            <w:r>
              <w:t>/s/ Lisa Polak Edgar</w:t>
            </w:r>
          </w:p>
        </w:tc>
      </w:tr>
      <w:bookmarkEnd w:id="8"/>
      <w:tr w:rsidR="00AA5E03" w:rsidTr="00AA5E03">
        <w:tc>
          <w:tcPr>
            <w:tcW w:w="720" w:type="dxa"/>
            <w:shd w:val="clear" w:color="auto" w:fill="auto"/>
          </w:tcPr>
          <w:p w:rsidR="00AA5E03" w:rsidRDefault="00AA5E03" w:rsidP="00AA5E03">
            <w:pPr>
              <w:keepNext/>
              <w:keepLines/>
            </w:pPr>
          </w:p>
        </w:tc>
        <w:tc>
          <w:tcPr>
            <w:tcW w:w="4320" w:type="dxa"/>
            <w:tcBorders>
              <w:top w:val="single" w:sz="4" w:space="0" w:color="auto"/>
            </w:tcBorders>
            <w:shd w:val="clear" w:color="auto" w:fill="auto"/>
          </w:tcPr>
          <w:p w:rsidR="00AA5E03" w:rsidRDefault="00AA5E03" w:rsidP="00AA5E03">
            <w:pPr>
              <w:keepNext/>
              <w:keepLines/>
            </w:pPr>
            <w:r>
              <w:t>LISA POLAK EDGAR</w:t>
            </w:r>
          </w:p>
          <w:p w:rsidR="00AA5E03" w:rsidRDefault="00AA5E03" w:rsidP="00AA5E03">
            <w:pPr>
              <w:keepNext/>
              <w:keepLines/>
            </w:pPr>
            <w:r>
              <w:t>Commissioner and Prehearing Officer</w:t>
            </w:r>
          </w:p>
        </w:tc>
      </w:tr>
    </w:tbl>
    <w:p w:rsidR="00AA5E03" w:rsidRDefault="00AA5E03" w:rsidP="00AA5E03">
      <w:pPr>
        <w:pStyle w:val="OrderSigInfo"/>
        <w:keepNext/>
        <w:keepLines/>
      </w:pPr>
      <w:r>
        <w:t>Florida Public Service Commission</w:t>
      </w:r>
    </w:p>
    <w:p w:rsidR="00AA5E03" w:rsidRDefault="00AA5E03" w:rsidP="00AA5E03">
      <w:pPr>
        <w:pStyle w:val="OrderSigInfo"/>
        <w:keepNext/>
        <w:keepLines/>
      </w:pPr>
      <w:r>
        <w:t>2540 Shumard Oak Boulevard</w:t>
      </w:r>
    </w:p>
    <w:p w:rsidR="00AA5E03" w:rsidRDefault="00AA5E03" w:rsidP="00AA5E03">
      <w:pPr>
        <w:pStyle w:val="OrderSigInfo"/>
        <w:keepNext/>
        <w:keepLines/>
      </w:pPr>
      <w:r>
        <w:t>Tallahassee, Florida  32399</w:t>
      </w:r>
    </w:p>
    <w:p w:rsidR="00AA5E03" w:rsidRDefault="00AA5E03" w:rsidP="00AA5E03">
      <w:pPr>
        <w:pStyle w:val="OrderSigInfo"/>
        <w:keepNext/>
        <w:keepLines/>
      </w:pPr>
      <w:r>
        <w:t>(850) 413</w:t>
      </w:r>
      <w:r>
        <w:noBreakHyphen/>
        <w:t>6770</w:t>
      </w:r>
    </w:p>
    <w:p w:rsidR="00AA5E03" w:rsidRDefault="00AA5E03" w:rsidP="00AA5E03">
      <w:pPr>
        <w:pStyle w:val="OrderSigInfo"/>
        <w:keepNext/>
        <w:keepLines/>
      </w:pPr>
      <w:r>
        <w:t>www.floridapsc.com</w:t>
      </w:r>
    </w:p>
    <w:p w:rsidR="00AA5E03" w:rsidRDefault="00AA5E03" w:rsidP="00AA5E03">
      <w:pPr>
        <w:pStyle w:val="OrderSigInfo"/>
        <w:keepNext/>
        <w:keepLines/>
      </w:pPr>
    </w:p>
    <w:p w:rsidR="00AA5E03" w:rsidRDefault="00AA5E03" w:rsidP="00AA5E03">
      <w:pPr>
        <w:pStyle w:val="OrderSigInfo"/>
        <w:keepNext/>
        <w:keepLines/>
      </w:pPr>
      <w:r>
        <w:t>Copies furnished:  A copy of this document is provided to the parties of record at the time of issuance and, if applicable, interested persons.</w:t>
      </w:r>
    </w:p>
    <w:p w:rsidR="00AA5E03" w:rsidRDefault="00AA5E03" w:rsidP="00AA5E03">
      <w:r>
        <w:t>SBr</w:t>
      </w:r>
    </w:p>
    <w:p w:rsidR="006D38EC" w:rsidRDefault="006D38EC" w:rsidP="006D38EC"/>
    <w:p w:rsidR="00AA5E03" w:rsidRPr="006D38EC" w:rsidRDefault="00AA5E03" w:rsidP="006D38EC">
      <w:pPr>
        <w:jc w:val="center"/>
        <w:rPr>
          <w:u w:val="single"/>
        </w:rPr>
      </w:pPr>
      <w:r w:rsidRPr="006D38EC">
        <w:rPr>
          <w:u w:val="single"/>
        </w:rPr>
        <w:t>NOTICE OF FURTHER PROCEEDINGS OR JUDICIAL REVIEW</w:t>
      </w:r>
    </w:p>
    <w:p w:rsidR="00AA5E03" w:rsidRDefault="00AA5E03" w:rsidP="00AA5E03">
      <w:pPr>
        <w:pStyle w:val="CenterUnderline"/>
      </w:pPr>
    </w:p>
    <w:p w:rsidR="00AA5E03" w:rsidRDefault="00AA5E03" w:rsidP="00AA5E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5E03" w:rsidRDefault="00AA5E03" w:rsidP="00AA5E03">
      <w:pPr>
        <w:pStyle w:val="OrderBody"/>
      </w:pPr>
    </w:p>
    <w:p w:rsidR="00AA5E03" w:rsidRDefault="00AA5E03" w:rsidP="00AA5E03">
      <w:pPr>
        <w:pStyle w:val="OrderBody"/>
      </w:pPr>
      <w:r>
        <w:lastRenderedPageBreak/>
        <w:tab/>
        <w:t>Mediation may be available on a case-by-case basis.  If mediation is conducted, it does not affect a substantially interested person's right to a hearing.</w:t>
      </w:r>
    </w:p>
    <w:p w:rsidR="00AA5E03" w:rsidRDefault="00AA5E03" w:rsidP="00AA5E03">
      <w:pPr>
        <w:pStyle w:val="OrderBody"/>
      </w:pPr>
    </w:p>
    <w:p w:rsidR="00AA5E03" w:rsidRDefault="00AA5E03" w:rsidP="00AA5E0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5E03" w:rsidRDefault="00AA5E03" w:rsidP="00AA5E03">
      <w:pPr>
        <w:pStyle w:val="OrderBody"/>
      </w:pPr>
    </w:p>
    <w:p w:rsidR="00AA5E03" w:rsidRDefault="00AA5E03" w:rsidP="00AA5E03">
      <w:pPr>
        <w:pStyle w:val="OrderBody"/>
      </w:pPr>
    </w:p>
    <w:p w:rsidR="00AA5E03" w:rsidRDefault="00AA5E03" w:rsidP="00AA5E03">
      <w:pPr>
        <w:pStyle w:val="OrderBody"/>
      </w:pPr>
    </w:p>
    <w:p w:rsidR="000F7127" w:rsidRDefault="000F7127" w:rsidP="000F7127">
      <w:pPr>
        <w:pStyle w:val="CenterUnderline"/>
        <w:jc w:val="both"/>
      </w:pPr>
    </w:p>
    <w:sectPr w:rsidR="000F712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27" w:rsidRDefault="000F7127">
      <w:r>
        <w:separator/>
      </w:r>
    </w:p>
  </w:endnote>
  <w:endnote w:type="continuationSeparator" w:id="0">
    <w:p w:rsidR="000F7127" w:rsidRDefault="000F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27" w:rsidRDefault="000F7127">
      <w:r>
        <w:separator/>
      </w:r>
    </w:p>
  </w:footnote>
  <w:footnote w:type="continuationSeparator" w:id="0">
    <w:p w:rsidR="000F7127" w:rsidRDefault="000F7127">
      <w:r>
        <w:continuationSeparator/>
      </w:r>
    </w:p>
  </w:footnote>
  <w:footnote w:id="1">
    <w:p w:rsidR="007670EA" w:rsidRPr="007670EA" w:rsidRDefault="007670EA">
      <w:pPr>
        <w:pStyle w:val="FootnoteText"/>
        <w:rPr>
          <w:u w:val="single"/>
        </w:rPr>
      </w:pPr>
      <w:r>
        <w:rPr>
          <w:rStyle w:val="FootnoteReference"/>
        </w:rPr>
        <w:footnoteRef/>
      </w:r>
      <w:r>
        <w:t xml:space="preserve"> Order No. PSC-11-0359-PCO-TP, issued on August 26, 2011, in Docket No. 110056-TP, </w:t>
      </w:r>
      <w:r>
        <w:rPr>
          <w:u w:val="single"/>
        </w:rPr>
        <w:t>In re</w:t>
      </w:r>
      <w:r w:rsidR="00A543FE">
        <w:rPr>
          <w:u w:val="single"/>
        </w:rPr>
        <w:t xml:space="preserve"> Complaint against Verizon Florida, LLC and MCI Communications services, Inc. d/b/a/ Verizon Business Services for failure to pay intrastate access charges for the origination and termination of intrastate interexchange telecommunications service, by Bright House Networks Information Services (Florida), LLC.</w:t>
      </w:r>
      <w:r w:rsidR="00A543FE" w:rsidRPr="00A543FE">
        <w:t>, at p. 1</w:t>
      </w:r>
      <w:r w:rsidR="00A543FE">
        <w:t>, n. 2.</w:t>
      </w:r>
      <w:r>
        <w:rPr>
          <w:u w:val="single"/>
        </w:rPr>
        <w:t xml:space="preserve"> </w:t>
      </w:r>
    </w:p>
  </w:footnote>
  <w:footnote w:id="2">
    <w:p w:rsidR="0056395D" w:rsidRPr="006B435B" w:rsidRDefault="0056395D" w:rsidP="0056395D">
      <w:pPr>
        <w:pStyle w:val="FootnoteText"/>
        <w:rPr>
          <w:u w:val="single"/>
        </w:rPr>
      </w:pPr>
      <w:r>
        <w:rPr>
          <w:rStyle w:val="FootnoteReference"/>
        </w:rPr>
        <w:footnoteRef/>
      </w:r>
      <w:r>
        <w:t xml:space="preserve"> Order No. PSC-11-0148-PCO-EU, Issued March 3, 2011, in Docket No. 110018-EU, </w:t>
      </w:r>
      <w:r>
        <w:rPr>
          <w:u w:val="single"/>
        </w:rPr>
        <w:t>In re: Joint petition for modification to determination of need for expansion of an existing renewable energy electrical power plant in Palm Beach County by Solid Waste Authority of Palm Beach County and Florida Power &amp; Light Company, and for approval of associated regulatory accounting and purchased power agreement cost recovery</w:t>
      </w:r>
      <w:r>
        <w:t xml:space="preserve"> (granting Larsons intervention based on standing as residential customers); Order No. PSC-10-0137-PCO-EM, Issued March 8, 2010, in Docket No. 090451-EM, </w:t>
      </w:r>
      <w:r>
        <w:rPr>
          <w:u w:val="single"/>
        </w:rPr>
        <w:t>In re: Joint petition to determine need for Gainesville Renewable Energy Center in Alachua County, by Gainesville Regional Utilities and Gainesville Renewable Energy Center, LLC.</w:t>
      </w:r>
      <w:r>
        <w:t xml:space="preserve"> (granting intervention to residential customer of electric utility); Order No. PSC-01-1121-PCO-WU, Issued May 16, 2001, in Docket No. 010503-WU, </w:t>
      </w:r>
      <w:r>
        <w:rPr>
          <w:u w:val="single"/>
        </w:rPr>
        <w:t>In re: Application for increase in water rates for Seven Springs System in Pasco County by Aloha Utilities, Inc.</w:t>
      </w:r>
      <w:r>
        <w:t xml:space="preserve"> (granting intervention to residential customer based on possibility of higher rates); Order No. PSC-12-0221-PCO-EI, issued on April 26, 2012, in Docket No. 120015-EI, </w:t>
      </w:r>
      <w:r w:rsidRPr="006B435B">
        <w:rPr>
          <w:u w:val="single"/>
        </w:rPr>
        <w:t>In re: Petition for increase in rates by Florida Power &amp; Light Company</w:t>
      </w:r>
      <w:r w:rsidR="006B435B">
        <w:t xml:space="preserve"> (granting Larsons intervention as residential customers of utility).</w:t>
      </w:r>
      <w:r w:rsidRPr="006B435B">
        <w:rPr>
          <w:u w:val="single"/>
        </w:rPr>
        <w:t xml:space="preserve"> </w:t>
      </w:r>
    </w:p>
  </w:footnote>
  <w:footnote w:id="3">
    <w:p w:rsidR="008E455E" w:rsidRPr="008E455E" w:rsidRDefault="008E455E">
      <w:pPr>
        <w:pStyle w:val="FootnoteText"/>
        <w:rPr>
          <w:u w:val="single"/>
        </w:rPr>
      </w:pPr>
      <w:r>
        <w:rPr>
          <w:rStyle w:val="FootnoteReference"/>
        </w:rPr>
        <w:footnoteRef/>
      </w:r>
      <w:r>
        <w:t xml:space="preserve"> Order No. PSC-16-0182-PCO-EI, issued on May 4, 2016, in Docket No. 160021-EI, </w:t>
      </w:r>
      <w:r>
        <w:rPr>
          <w:u w:val="single"/>
        </w:rPr>
        <w:t>In re: Petition for rate increase by Florida Power &amp; Light Company</w:t>
      </w:r>
      <w:r w:rsidR="006D38EC">
        <w:t xml:space="preserve">; </w:t>
      </w:r>
      <w:r w:rsidRPr="008E455E">
        <w:t xml:space="preserve">Docket No. 160061-EI, </w:t>
      </w:r>
      <w:r>
        <w:rPr>
          <w:u w:val="single"/>
        </w:rPr>
        <w:t>In re: Petition for approval of 2016-2018 storm hardening plan, by Florida Power &amp; Light Company</w:t>
      </w:r>
      <w:r>
        <w:t xml:space="preserve">; Docket No. 160062-EI, </w:t>
      </w:r>
      <w:r w:rsidR="006D38EC">
        <w:rPr>
          <w:u w:val="single"/>
        </w:rPr>
        <w:t>In re: 2016 deprecation and dismantlement study by Florida Power &amp; Light Company</w:t>
      </w:r>
      <w:r w:rsidR="006D38EC">
        <w:t xml:space="preserve">; Docket No. 160088-EI, </w:t>
      </w:r>
      <w:r w:rsidR="006D38EC">
        <w:rPr>
          <w:u w:val="single"/>
        </w:rPr>
        <w:t>In re: Petition for limited proceeding to modify and continue incentive mechanism, by Florida Power &amp; Light Company</w:t>
      </w:r>
      <w:r w:rsidR="006D38EC">
        <w:t>.</w:t>
      </w:r>
      <w:r>
        <w:rPr>
          <w:i/>
        </w:rPr>
        <w:t xml:space="preserve"> </w:t>
      </w:r>
      <w:r>
        <w:rPr>
          <w:u w:val="single"/>
        </w:rPr>
        <w:t xml:space="preserve">  </w:t>
      </w:r>
      <w:r w:rsidRPr="008E455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F5F1B">
      <w:fldChar w:fldCharType="begin"/>
    </w:r>
    <w:r w:rsidR="007F5F1B">
      <w:instrText xml:space="preserve"> REF OrderNo0323 </w:instrText>
    </w:r>
    <w:r w:rsidR="007F5F1B">
      <w:fldChar w:fldCharType="separate"/>
    </w:r>
    <w:r w:rsidR="007F5F1B">
      <w:t>PSC-16-0323-PCO-EI</w:t>
    </w:r>
    <w:r w:rsidR="007F5F1B">
      <w:fldChar w:fldCharType="end"/>
    </w:r>
  </w:p>
  <w:p w:rsidR="00FA6EFD" w:rsidRDefault="000F7127">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5F1B">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0F7127"/>
    <w:rsid w:val="000022B8"/>
    <w:rsid w:val="00053AB9"/>
    <w:rsid w:val="00056229"/>
    <w:rsid w:val="0006123C"/>
    <w:rsid w:val="00065FC2"/>
    <w:rsid w:val="00090AFC"/>
    <w:rsid w:val="000D06E8"/>
    <w:rsid w:val="000E344D"/>
    <w:rsid w:val="000E3F75"/>
    <w:rsid w:val="000F3B2C"/>
    <w:rsid w:val="000F7127"/>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17FE"/>
    <w:rsid w:val="002A6F30"/>
    <w:rsid w:val="002D7D15"/>
    <w:rsid w:val="002E27EB"/>
    <w:rsid w:val="00303FDE"/>
    <w:rsid w:val="003140E8"/>
    <w:rsid w:val="003231C7"/>
    <w:rsid w:val="00331ED0"/>
    <w:rsid w:val="0035495B"/>
    <w:rsid w:val="003744F5"/>
    <w:rsid w:val="00390DD8"/>
    <w:rsid w:val="00392449"/>
    <w:rsid w:val="00394DC6"/>
    <w:rsid w:val="00397C3E"/>
    <w:rsid w:val="003C2558"/>
    <w:rsid w:val="003D4CCA"/>
    <w:rsid w:val="003D6416"/>
    <w:rsid w:val="003E1D48"/>
    <w:rsid w:val="0042527B"/>
    <w:rsid w:val="00457DC7"/>
    <w:rsid w:val="004601AA"/>
    <w:rsid w:val="00472BCC"/>
    <w:rsid w:val="00484BC4"/>
    <w:rsid w:val="004A25CD"/>
    <w:rsid w:val="004A26CC"/>
    <w:rsid w:val="004B2108"/>
    <w:rsid w:val="004B3A2B"/>
    <w:rsid w:val="004C63B0"/>
    <w:rsid w:val="004D2D1B"/>
    <w:rsid w:val="004E66F6"/>
    <w:rsid w:val="004F2DDE"/>
    <w:rsid w:val="0050097F"/>
    <w:rsid w:val="00514B1F"/>
    <w:rsid w:val="00556A10"/>
    <w:rsid w:val="0056395D"/>
    <w:rsid w:val="005963C2"/>
    <w:rsid w:val="005B45F7"/>
    <w:rsid w:val="005B63EA"/>
    <w:rsid w:val="00660774"/>
    <w:rsid w:val="00665CC7"/>
    <w:rsid w:val="006A0BF3"/>
    <w:rsid w:val="006A3947"/>
    <w:rsid w:val="006B0DA6"/>
    <w:rsid w:val="006B435B"/>
    <w:rsid w:val="006C36BE"/>
    <w:rsid w:val="006C547E"/>
    <w:rsid w:val="006D38EC"/>
    <w:rsid w:val="00704C5D"/>
    <w:rsid w:val="00715275"/>
    <w:rsid w:val="00733B6B"/>
    <w:rsid w:val="0076170F"/>
    <w:rsid w:val="0076669C"/>
    <w:rsid w:val="007670EA"/>
    <w:rsid w:val="007865E9"/>
    <w:rsid w:val="00792383"/>
    <w:rsid w:val="007A060F"/>
    <w:rsid w:val="007D3D20"/>
    <w:rsid w:val="007E3AFD"/>
    <w:rsid w:val="007F5F1B"/>
    <w:rsid w:val="00803189"/>
    <w:rsid w:val="00804E7A"/>
    <w:rsid w:val="00805FBB"/>
    <w:rsid w:val="008169A4"/>
    <w:rsid w:val="008278FE"/>
    <w:rsid w:val="00832598"/>
    <w:rsid w:val="0083397E"/>
    <w:rsid w:val="0083534B"/>
    <w:rsid w:val="00863A66"/>
    <w:rsid w:val="00874429"/>
    <w:rsid w:val="00883D9A"/>
    <w:rsid w:val="008919EF"/>
    <w:rsid w:val="008A59C0"/>
    <w:rsid w:val="008C6A5B"/>
    <w:rsid w:val="008E26A5"/>
    <w:rsid w:val="008E42D2"/>
    <w:rsid w:val="008E455E"/>
    <w:rsid w:val="009040EE"/>
    <w:rsid w:val="009057FD"/>
    <w:rsid w:val="00922A7F"/>
    <w:rsid w:val="00923A5E"/>
    <w:rsid w:val="00925F2C"/>
    <w:rsid w:val="009611BC"/>
    <w:rsid w:val="009924CF"/>
    <w:rsid w:val="00994100"/>
    <w:rsid w:val="009D4C29"/>
    <w:rsid w:val="00A44EDF"/>
    <w:rsid w:val="00A543FE"/>
    <w:rsid w:val="00A62DAB"/>
    <w:rsid w:val="00A64B96"/>
    <w:rsid w:val="00A726A6"/>
    <w:rsid w:val="00A97535"/>
    <w:rsid w:val="00AA5E03"/>
    <w:rsid w:val="00AA73F1"/>
    <w:rsid w:val="00AB0E1A"/>
    <w:rsid w:val="00AB1A30"/>
    <w:rsid w:val="00AD1ED3"/>
    <w:rsid w:val="00AE695F"/>
    <w:rsid w:val="00B0777D"/>
    <w:rsid w:val="00B13DA9"/>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97943"/>
    <w:rsid w:val="00DC1D94"/>
    <w:rsid w:val="00DE057F"/>
    <w:rsid w:val="00DE2082"/>
    <w:rsid w:val="00DE2289"/>
    <w:rsid w:val="00E04410"/>
    <w:rsid w:val="00E11351"/>
    <w:rsid w:val="00EA172C"/>
    <w:rsid w:val="00EA259B"/>
    <w:rsid w:val="00EA2AE4"/>
    <w:rsid w:val="00EA35A3"/>
    <w:rsid w:val="00EA3E6A"/>
    <w:rsid w:val="00EB18EF"/>
    <w:rsid w:val="00ED2C69"/>
    <w:rsid w:val="00EE17DF"/>
    <w:rsid w:val="00EF345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0F7127"/>
    <w:rPr>
      <w:color w:val="0000FF"/>
      <w:u w:val="single"/>
    </w:rPr>
  </w:style>
  <w:style w:type="character" w:styleId="FollowedHyperlink">
    <w:name w:val="FollowedHyperlink"/>
    <w:basedOn w:val="DefaultParagraphFont"/>
    <w:rsid w:val="00AA5E03"/>
    <w:rPr>
      <w:color w:val="800080" w:themeColor="followedHyperlink"/>
      <w:u w:val="single"/>
    </w:rPr>
  </w:style>
  <w:style w:type="paragraph" w:styleId="BalloonText">
    <w:name w:val="Balloon Text"/>
    <w:basedOn w:val="Normal"/>
    <w:link w:val="BalloonTextChar"/>
    <w:rsid w:val="003C2558"/>
    <w:rPr>
      <w:rFonts w:ascii="Tahoma" w:hAnsi="Tahoma" w:cs="Tahoma"/>
      <w:sz w:val="16"/>
      <w:szCs w:val="16"/>
    </w:rPr>
  </w:style>
  <w:style w:type="character" w:customStyle="1" w:styleId="BalloonTextChar">
    <w:name w:val="Balloon Text Char"/>
    <w:basedOn w:val="DefaultParagraphFont"/>
    <w:link w:val="BalloonText"/>
    <w:rsid w:val="003C2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0F7127"/>
    <w:rPr>
      <w:color w:val="0000FF"/>
      <w:u w:val="single"/>
    </w:rPr>
  </w:style>
  <w:style w:type="character" w:styleId="FollowedHyperlink">
    <w:name w:val="FollowedHyperlink"/>
    <w:basedOn w:val="DefaultParagraphFont"/>
    <w:rsid w:val="00AA5E03"/>
    <w:rPr>
      <w:color w:val="800080" w:themeColor="followedHyperlink"/>
      <w:u w:val="single"/>
    </w:rPr>
  </w:style>
  <w:style w:type="paragraph" w:styleId="BalloonText">
    <w:name w:val="Balloon Text"/>
    <w:basedOn w:val="Normal"/>
    <w:link w:val="BalloonTextChar"/>
    <w:rsid w:val="003C2558"/>
    <w:rPr>
      <w:rFonts w:ascii="Tahoma" w:hAnsi="Tahoma" w:cs="Tahoma"/>
      <w:sz w:val="16"/>
      <w:szCs w:val="16"/>
    </w:rPr>
  </w:style>
  <w:style w:type="character" w:customStyle="1" w:styleId="BalloonTextChar">
    <w:name w:val="Balloon Text Char"/>
    <w:basedOn w:val="DefaultParagraphFont"/>
    <w:link w:val="BalloonText"/>
    <w:rsid w:val="003C2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_skop@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EDEA-A0D3-4D20-B972-EB1DD7DA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1530</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2016-08-09T19:23:00Z</dcterms:created>
  <dcterms:modified xsi:type="dcterms:W3CDTF">2016-08-09T19:35:00Z</dcterms:modified>
</cp:coreProperties>
</file>