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F095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07DAC">
            <w:pPr>
              <w:pStyle w:val="MemoHeading"/>
            </w:pPr>
            <w:bookmarkStart w:id="1" w:name="FilingDate"/>
            <w:r>
              <w:t>August 31</w:t>
            </w:r>
            <w:r w:rsidR="00EF0951">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F0951" w:rsidRDefault="00EF0951">
            <w:pPr>
              <w:pStyle w:val="MemoHeading"/>
            </w:pPr>
            <w:bookmarkStart w:id="2" w:name="From"/>
            <w:r>
              <w:t>Division of Economics (Ollila)</w:t>
            </w:r>
          </w:p>
          <w:p w:rsidR="00EF0951" w:rsidRDefault="00EF0951">
            <w:pPr>
              <w:pStyle w:val="MemoHeading"/>
            </w:pPr>
            <w:r>
              <w:t>Division of Engineering (Wooten)</w:t>
            </w:r>
          </w:p>
          <w:p w:rsidR="007C0528" w:rsidRDefault="00EF0951">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F0951">
            <w:pPr>
              <w:pStyle w:val="MemoHeadingRe"/>
            </w:pPr>
            <w:bookmarkStart w:id="3" w:name="Re"/>
            <w:r>
              <w:t>Docket No. 160071-EI – Petition for approval of 2016 revisions to underground residential and commercial differential tariffs,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F0951" w:rsidP="00807DAC">
            <w:pPr>
              <w:pStyle w:val="MemoHeading"/>
            </w:pPr>
            <w:bookmarkStart w:id="4" w:name="AgendaDate"/>
            <w:r>
              <w:t>0</w:t>
            </w:r>
            <w:r w:rsidR="00807DAC">
              <w:t>9</w:t>
            </w:r>
            <w:r>
              <w:t>/</w:t>
            </w:r>
            <w:r w:rsidR="00807DAC">
              <w:t>13</w:t>
            </w:r>
            <w:r>
              <w:t>/16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F095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F0951">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85909">
            <w:pPr>
              <w:pStyle w:val="MemoHeading"/>
            </w:pPr>
            <w:bookmarkStart w:id="9" w:name="CriticalDates"/>
            <w:r>
              <w:t>12/01</w:t>
            </w:r>
            <w:r w:rsidR="00EF0951">
              <w:t>/16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F095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42A74" w:rsidRDefault="00EF0951" w:rsidP="006E00DC">
      <w:pPr>
        <w:pStyle w:val="BodyText"/>
      </w:pPr>
      <w:r>
        <w:t xml:space="preserve">On April 1, 2016, Florida Power &amp; Light Company (FPL) filed a petition </w:t>
      </w:r>
      <w:r w:rsidR="000F4895">
        <w:t>for approval of</w:t>
      </w:r>
      <w:r w:rsidR="006E00DC">
        <w:t xml:space="preserve"> </w:t>
      </w:r>
      <w:r w:rsidR="000F4895">
        <w:t>revisions to its underground residential differential</w:t>
      </w:r>
      <w:r w:rsidR="002054D7">
        <w:t xml:space="preserve"> (URD)</w:t>
      </w:r>
      <w:r w:rsidR="000F4895">
        <w:t xml:space="preserve"> and underground commercial differential </w:t>
      </w:r>
      <w:r w:rsidR="002054D7">
        <w:t xml:space="preserve">(UCD) </w:t>
      </w:r>
      <w:r w:rsidR="000F4895">
        <w:t xml:space="preserve">tariffs. </w:t>
      </w:r>
      <w:r w:rsidR="00C072CC">
        <w:t xml:space="preserve">The URD and UCD tariffs apply to new residential and commercial developments and represent the additional costs FPL incurs to provide underground distribution </w:t>
      </w:r>
      <w:proofErr w:type="gramStart"/>
      <w:r w:rsidR="00C072CC">
        <w:t>service</w:t>
      </w:r>
      <w:proofErr w:type="gramEnd"/>
      <w:r w:rsidR="00C072CC">
        <w:t xml:space="preserve"> in place of overhead service. </w:t>
      </w:r>
      <w:r w:rsidR="007A4B2A">
        <w:t>The proposed</w:t>
      </w:r>
      <w:r w:rsidR="009C0861">
        <w:t xml:space="preserve"> URD</w:t>
      </w:r>
      <w:r w:rsidR="007A4B2A">
        <w:t xml:space="preserve"> tariffs are </w:t>
      </w:r>
      <w:r w:rsidR="00720FF8" w:rsidRPr="003D775F">
        <w:t>contained</w:t>
      </w:r>
      <w:r w:rsidR="007A4B2A" w:rsidRPr="003D775F">
        <w:t xml:space="preserve"> in Attachment 1</w:t>
      </w:r>
      <w:r w:rsidR="00720FF8" w:rsidRPr="003D775F">
        <w:t xml:space="preserve"> </w:t>
      </w:r>
      <w:r w:rsidR="0036425E" w:rsidRPr="003D775F">
        <w:t>to</w:t>
      </w:r>
      <w:r w:rsidR="00720FF8" w:rsidRPr="003D775F">
        <w:t xml:space="preserve"> the recommendation</w:t>
      </w:r>
      <w:r w:rsidR="007A4B2A">
        <w:t xml:space="preserve">. </w:t>
      </w:r>
      <w:r w:rsidR="008B416F">
        <w:t xml:space="preserve">FPL’s current charges were approved in Order No. </w:t>
      </w:r>
      <w:proofErr w:type="gramStart"/>
      <w:r w:rsidR="008B416F">
        <w:t>PSC-14-0467-TRF-EI (2014 order).</w:t>
      </w:r>
      <w:proofErr w:type="gramEnd"/>
      <w:r w:rsidR="008B416F">
        <w:rPr>
          <w:rStyle w:val="FootnoteReference"/>
        </w:rPr>
        <w:footnoteReference w:id="1"/>
      </w:r>
    </w:p>
    <w:p w:rsidR="000F4895" w:rsidRDefault="008A6F1B">
      <w:pPr>
        <w:pStyle w:val="BodyText"/>
      </w:pPr>
      <w:r>
        <w:lastRenderedPageBreak/>
        <w:t xml:space="preserve">The Commission suspended FPL’s proposed tariffs in Order No. </w:t>
      </w:r>
      <w:proofErr w:type="gramStart"/>
      <w:r>
        <w:t>PSC-16</w:t>
      </w:r>
      <w:r w:rsidR="004C4748">
        <w:t>-0208-PCO-EI</w:t>
      </w:r>
      <w:r>
        <w:t>.</w:t>
      </w:r>
      <w:proofErr w:type="gramEnd"/>
      <w:r w:rsidR="004C4748">
        <w:rPr>
          <w:rStyle w:val="FootnoteReference"/>
        </w:rPr>
        <w:footnoteReference w:id="2"/>
      </w:r>
      <w:r w:rsidR="00134A67">
        <w:t xml:space="preserve"> </w:t>
      </w:r>
      <w:r w:rsidR="00B94783">
        <w:t>FPL responded to staff’s first data request on May 10, 2016, and to staff’s second data request on June 1,</w:t>
      </w:r>
      <w:r w:rsidR="008B245F">
        <w:t xml:space="preserve"> </w:t>
      </w:r>
      <w:r w:rsidR="00B94783">
        <w:t>2016.</w:t>
      </w:r>
      <w:r w:rsidR="008B245F">
        <w:t xml:space="preserve"> </w:t>
      </w:r>
      <w:r w:rsidR="00C1205D">
        <w:t>On July 29, 2016, FPL file</w:t>
      </w:r>
      <w:r w:rsidR="00E178C6">
        <w:t>d</w:t>
      </w:r>
      <w:r w:rsidR="00C1205D">
        <w:t xml:space="preserve"> an amend</w:t>
      </w:r>
      <w:r w:rsidR="002F0637">
        <w:t>ed</w:t>
      </w:r>
      <w:r w:rsidR="00C1205D">
        <w:t xml:space="preserve"> petition and </w:t>
      </w:r>
      <w:r w:rsidR="00535A9A">
        <w:t>revised tariff pages</w:t>
      </w:r>
      <w:r w:rsidR="00EE0E50">
        <w:t xml:space="preserve">. The </w:t>
      </w:r>
      <w:r w:rsidR="002F0637">
        <w:t>amended petition</w:t>
      </w:r>
      <w:r w:rsidR="002F77C2">
        <w:t xml:space="preserve"> removed a new provision FPL</w:t>
      </w:r>
      <w:r w:rsidR="002F0637">
        <w:t xml:space="preserve"> proposed </w:t>
      </w:r>
      <w:r w:rsidR="002F77C2">
        <w:t>in its original petition</w:t>
      </w:r>
      <w:r w:rsidR="00C1205D">
        <w:t xml:space="preserve">. </w:t>
      </w:r>
      <w:r w:rsidR="000F4895">
        <w:t>The Commission has jurisdiction over this matter pursuant to Sections 366.03, 366.04, 366.05, and 366.06, Florida Statutes.</w:t>
      </w:r>
    </w:p>
    <w:p w:rsidR="007C0528" w:rsidRDefault="007C0528" w:rsidP="0068481F"/>
    <w:bookmarkEnd w:id="12"/>
    <w:p w:rsidR="0098244C" w:rsidRPr="0098244C" w:rsidRDefault="0098244C" w:rsidP="0098244C">
      <w:pPr>
        <w:pStyle w:val="BodyText"/>
        <w:sectPr w:rsidR="0098244C" w:rsidRPr="0098244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E00DC" w:rsidRDefault="006E00DC">
      <w:pPr>
        <w:rPr>
          <w:rFonts w:ascii="Arial" w:hAnsi="Arial" w:cs="Arial"/>
          <w:b/>
          <w:bCs/>
          <w:i/>
          <w:kern w:val="32"/>
          <w:szCs w:val="32"/>
        </w:rPr>
      </w:pPr>
    </w:p>
    <w:p w:rsidR="00EF0951" w:rsidRDefault="00EF0951">
      <w:pPr>
        <w:pStyle w:val="IssueHeading"/>
        <w:rPr>
          <w:vanish/>
          <w:specVanish/>
        </w:rPr>
      </w:pPr>
      <w:r w:rsidRPr="004C3641">
        <w:t xml:space="preserve">Issue </w:t>
      </w:r>
      <w:r w:rsidR="00546DE3">
        <w:fldChar w:fldCharType="begin"/>
      </w:r>
      <w:r w:rsidR="00546DE3">
        <w:instrText xml:space="preserve"> SEQ Issue \* MERGEFORMAT </w:instrText>
      </w:r>
      <w:r w:rsidR="00546DE3">
        <w:fldChar w:fldCharType="separate"/>
      </w:r>
      <w:r w:rsidR="00BC26FE">
        <w:rPr>
          <w:noProof/>
        </w:rPr>
        <w:t>1</w:t>
      </w:r>
      <w:r w:rsidR="00546D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C26FE">
        <w:rPr>
          <w:noProof/>
        </w:rPr>
        <w:instrText>1</w:instrText>
      </w:r>
      <w:r>
        <w:fldChar w:fldCharType="end"/>
      </w:r>
      <w:r>
        <w:tab/>
        <w:instrText xml:space="preserve">(Ollila)" \l 1 </w:instrText>
      </w:r>
      <w:r>
        <w:fldChar w:fldCharType="end"/>
      </w:r>
      <w:r>
        <w:t> </w:t>
      </w:r>
    </w:p>
    <w:p w:rsidR="00EF0951" w:rsidRDefault="00EF0951">
      <w:pPr>
        <w:pStyle w:val="BodyText"/>
      </w:pPr>
      <w:r>
        <w:t> Should the Commission approve FPL's proposed URD tariff and associated charges</w:t>
      </w:r>
      <w:r w:rsidR="00DE1287">
        <w:t xml:space="preserve"> filed in the amended petition</w:t>
      </w:r>
      <w:r>
        <w:t>?</w:t>
      </w:r>
    </w:p>
    <w:p w:rsidR="00EF0951" w:rsidRPr="004C3641" w:rsidRDefault="00EF0951">
      <w:pPr>
        <w:pStyle w:val="IssueSubsectionHeading"/>
        <w:rPr>
          <w:vanish/>
          <w:specVanish/>
        </w:rPr>
      </w:pPr>
      <w:r w:rsidRPr="004C3641">
        <w:t>Recommendation: </w:t>
      </w:r>
    </w:p>
    <w:p w:rsidR="00EF0951" w:rsidRDefault="00EF0951">
      <w:pPr>
        <w:pStyle w:val="BodyText"/>
      </w:pPr>
      <w:r>
        <w:t> Yes</w:t>
      </w:r>
      <w:r w:rsidR="006E00DC">
        <w:t xml:space="preserve">. </w:t>
      </w:r>
      <w:r w:rsidR="0020282B">
        <w:t xml:space="preserve">The Commission should approve FPL’s proposed URD tariffs and associated charges </w:t>
      </w:r>
      <w:r w:rsidR="006F5161">
        <w:t xml:space="preserve">filed in the amended petition, </w:t>
      </w:r>
      <w:r w:rsidR="00720216">
        <w:t>effective</w:t>
      </w:r>
      <w:r w:rsidR="008B416F">
        <w:t xml:space="preserve"> </w:t>
      </w:r>
      <w:r w:rsidR="0022576A">
        <w:t>October 13</w:t>
      </w:r>
      <w:r w:rsidR="008B416F">
        <w:t>, 2016</w:t>
      </w:r>
      <w:r w:rsidR="006E00DC">
        <w:t>.</w:t>
      </w:r>
      <w:r>
        <w:t xml:space="preserve"> (Ollila</w:t>
      </w:r>
      <w:r w:rsidR="00783024">
        <w:t>, Wooten</w:t>
      </w:r>
      <w:r>
        <w:t>)</w:t>
      </w:r>
    </w:p>
    <w:p w:rsidR="00EF0951" w:rsidRPr="004C3641" w:rsidRDefault="00EF0951">
      <w:pPr>
        <w:pStyle w:val="IssueSubsectionHeading"/>
        <w:rPr>
          <w:vanish/>
          <w:specVanish/>
        </w:rPr>
      </w:pPr>
      <w:r w:rsidRPr="004C3641">
        <w:t>Staff Analysis: </w:t>
      </w:r>
    </w:p>
    <w:p w:rsidR="00242A74" w:rsidRDefault="00EF0951" w:rsidP="00242A74">
      <w:pPr>
        <w:pStyle w:val="BodyText"/>
      </w:pPr>
      <w:r>
        <w:t> </w:t>
      </w:r>
      <w:r w:rsidR="00514A85">
        <w:t xml:space="preserve"> </w:t>
      </w:r>
      <w:r w:rsidR="00242A74">
        <w:t>Rule 25-6.078, Florida Administrative Code (F.A.C.), defines investor-owned utilities’</w:t>
      </w:r>
      <w:r w:rsidR="00720FF8">
        <w:t xml:space="preserve"> </w:t>
      </w:r>
      <w:r w:rsidR="00242A74">
        <w:t xml:space="preserve">(IOU) responsibilities for filing updated URD tariffs. IOUs are required </w:t>
      </w:r>
      <w:r w:rsidR="005B2244">
        <w:t xml:space="preserve">to </w:t>
      </w:r>
      <w:r w:rsidR="00242A74">
        <w:t xml:space="preserve">file supporting data and analyses for URD tariffs at least once every three years. </w:t>
      </w:r>
      <w:r w:rsidR="009D39B1" w:rsidRPr="00413B4C">
        <w:t>In October of each year</w:t>
      </w:r>
      <w:r w:rsidR="00624DF1" w:rsidRPr="00413B4C">
        <w:t xml:space="preserve">, </w:t>
      </w:r>
      <w:r w:rsidR="00242A74" w:rsidRPr="00413B4C">
        <w:t xml:space="preserve">IOUs are required to file </w:t>
      </w:r>
      <w:r w:rsidR="009049CF" w:rsidRPr="00413B4C">
        <w:t xml:space="preserve">an </w:t>
      </w:r>
      <w:r w:rsidR="00D82EB8" w:rsidRPr="00413B4C">
        <w:t xml:space="preserve">updated </w:t>
      </w:r>
      <w:r w:rsidR="00242A74" w:rsidRPr="00413B4C">
        <w:t>cost differential</w:t>
      </w:r>
      <w:r w:rsidR="00D82EB8" w:rsidRPr="00413B4C">
        <w:t xml:space="preserve"> using current labor and material costs</w:t>
      </w:r>
      <w:r w:rsidR="00242A74" w:rsidRPr="00413B4C">
        <w:t>. If the October cost differential var</w:t>
      </w:r>
      <w:r w:rsidR="009049CF" w:rsidRPr="00413B4C">
        <w:t>ies</w:t>
      </w:r>
      <w:r w:rsidR="00242A74" w:rsidRPr="00413B4C">
        <w:t xml:space="preserve"> from the C</w:t>
      </w:r>
      <w:r w:rsidR="009049CF" w:rsidRPr="00413B4C">
        <w:t>ommission-approved differential</w:t>
      </w:r>
      <w:r w:rsidR="00242A74" w:rsidRPr="00413B4C">
        <w:t xml:space="preserve"> by plus or minus 10 percent or more, then the IOU must file revised tariffs, supporting data and analyses the following April even if it has been less than three years. In its October 2015 filing, FPL reported that the updated cost differential</w:t>
      </w:r>
      <w:r w:rsidR="009049CF" w:rsidRPr="00413B4C">
        <w:t>,</w:t>
      </w:r>
      <w:r w:rsidR="00242A74" w:rsidRPr="00413B4C">
        <w:t xml:space="preserve"> </w:t>
      </w:r>
      <w:r w:rsidR="009049CF" w:rsidRPr="00413B4C">
        <w:t>when compared to</w:t>
      </w:r>
      <w:r w:rsidR="00242A74" w:rsidRPr="00413B4C">
        <w:t xml:space="preserve"> the 2014 order</w:t>
      </w:r>
      <w:r w:rsidR="009049CF" w:rsidRPr="00413B4C">
        <w:t>,</w:t>
      </w:r>
      <w:r w:rsidR="00242A74" w:rsidRPr="00413B4C">
        <w:t xml:space="preserve"> </w:t>
      </w:r>
      <w:r w:rsidR="009049CF" w:rsidRPr="00413B4C">
        <w:t xml:space="preserve">decreased </w:t>
      </w:r>
      <w:r w:rsidR="00242A74" w:rsidRPr="00413B4C">
        <w:t xml:space="preserve">by </w:t>
      </w:r>
      <w:r w:rsidR="00E9411B" w:rsidRPr="00413B4C">
        <w:t>more than</w:t>
      </w:r>
      <w:r w:rsidR="00242A74" w:rsidRPr="00413B4C">
        <w:t xml:space="preserve"> 10 percent; therefore, FPL filed the instant petition.</w:t>
      </w:r>
    </w:p>
    <w:p w:rsidR="00EF0951" w:rsidRDefault="00514A85">
      <w:pPr>
        <w:pStyle w:val="BodyText"/>
      </w:pPr>
      <w:r>
        <w:t>The URD tariffs provide standard charges for underground service in new residential subdivisions and represent the additional costs</w:t>
      </w:r>
      <w:r w:rsidR="00E9411B">
        <w:t>,</w:t>
      </w:r>
      <w:r>
        <w:t xml:space="preserve"> </w:t>
      </w:r>
      <w:r w:rsidR="00E9411B">
        <w:t xml:space="preserve">if </w:t>
      </w:r>
      <w:proofErr w:type="gramStart"/>
      <w:r w:rsidR="00E9411B">
        <w:t>any,</w:t>
      </w:r>
      <w:proofErr w:type="gramEnd"/>
      <w:r w:rsidR="00E9411B">
        <w:t xml:space="preserve"> </w:t>
      </w:r>
      <w:r>
        <w:t>the utility incurs to provide underground service in place of standard overhead service. The cost of standard overhead construction is recovered through base rates from all ratepayers. In lieu of overhead construction, customers have the option of requesting underground facilities</w:t>
      </w:r>
      <w:r w:rsidR="006B659E">
        <w:t xml:space="preserve">. </w:t>
      </w:r>
      <w:r w:rsidR="00E9411B">
        <w:t>Any</w:t>
      </w:r>
      <w:r>
        <w:t xml:space="preserve"> additional cost is paid by the customer as contribution-in-aid-of construction (CIAC). Typically, the URD customer is the develop</w:t>
      </w:r>
      <w:r w:rsidR="00D56CC5">
        <w:t>er</w:t>
      </w:r>
      <w:r>
        <w:t xml:space="preserve"> of </w:t>
      </w:r>
      <w:r w:rsidR="002F0637">
        <w:t>a</w:t>
      </w:r>
      <w:r>
        <w:t xml:space="preserve"> subdivision.</w:t>
      </w:r>
    </w:p>
    <w:p w:rsidR="00444120" w:rsidRDefault="00720FF8" w:rsidP="00444120">
      <w:pPr>
        <w:pStyle w:val="IssueHeading"/>
      </w:pPr>
      <w:r w:rsidRPr="00FF293B">
        <w:rPr>
          <w:rFonts w:ascii="Times New Roman" w:hAnsi="Times New Roman" w:cs="Times New Roman"/>
          <w:b w:val="0"/>
          <w:i w:val="0"/>
        </w:rPr>
        <w:t>Traditionally, t</w:t>
      </w:r>
      <w:r w:rsidR="008B416F" w:rsidRPr="00FF293B">
        <w:rPr>
          <w:rFonts w:ascii="Times New Roman" w:hAnsi="Times New Roman" w:cs="Times New Roman"/>
          <w:b w:val="0"/>
          <w:i w:val="0"/>
        </w:rPr>
        <w:t>hree standard model subdivision designs have been the basis u</w:t>
      </w:r>
      <w:r w:rsidR="008B416F" w:rsidRPr="00444120">
        <w:rPr>
          <w:rFonts w:ascii="Times New Roman" w:hAnsi="Times New Roman" w:cs="Times New Roman"/>
          <w:b w:val="0"/>
          <w:i w:val="0"/>
        </w:rPr>
        <w:t>pon which each IOU</w:t>
      </w:r>
      <w:r w:rsidR="0060714F" w:rsidRPr="00444120">
        <w:rPr>
          <w:rFonts w:ascii="Times New Roman" w:hAnsi="Times New Roman" w:cs="Times New Roman"/>
          <w:b w:val="0"/>
          <w:i w:val="0"/>
        </w:rPr>
        <w:t xml:space="preserve"> submits</w:t>
      </w:r>
      <w:r w:rsidR="008B416F" w:rsidRPr="00444120">
        <w:rPr>
          <w:rFonts w:ascii="Times New Roman" w:hAnsi="Times New Roman" w:cs="Times New Roman"/>
          <w:b w:val="0"/>
          <w:i w:val="0"/>
        </w:rPr>
        <w:t xml:space="preserve"> URD tariff changes for Commission approval</w:t>
      </w:r>
      <w:r w:rsidR="005A31FC">
        <w:rPr>
          <w:rFonts w:ascii="Times New Roman" w:hAnsi="Times New Roman" w:cs="Times New Roman"/>
          <w:b w:val="0"/>
          <w:i w:val="0"/>
        </w:rPr>
        <w:t xml:space="preserve">: </w:t>
      </w:r>
      <w:r w:rsidR="008B416F" w:rsidRPr="00444120">
        <w:rPr>
          <w:rFonts w:ascii="Times New Roman" w:hAnsi="Times New Roman" w:cs="Times New Roman"/>
          <w:b w:val="0"/>
          <w:i w:val="0"/>
        </w:rPr>
        <w:t>low density</w:t>
      </w:r>
      <w:r w:rsidR="005A31FC">
        <w:rPr>
          <w:rFonts w:ascii="Times New Roman" w:hAnsi="Times New Roman" w:cs="Times New Roman"/>
          <w:b w:val="0"/>
          <w:i w:val="0"/>
        </w:rPr>
        <w:t xml:space="preserve">, </w:t>
      </w:r>
      <w:r w:rsidR="008B416F" w:rsidRPr="00444120">
        <w:rPr>
          <w:rFonts w:ascii="Times New Roman" w:hAnsi="Times New Roman" w:cs="Times New Roman"/>
          <w:b w:val="0"/>
          <w:i w:val="0"/>
        </w:rPr>
        <w:t>high density</w:t>
      </w:r>
      <w:r w:rsidR="005A31FC">
        <w:rPr>
          <w:rFonts w:ascii="Times New Roman" w:hAnsi="Times New Roman" w:cs="Times New Roman"/>
          <w:b w:val="0"/>
          <w:i w:val="0"/>
        </w:rPr>
        <w:t xml:space="preserve">, and </w:t>
      </w:r>
      <w:r w:rsidR="008B416F" w:rsidRPr="00444120">
        <w:rPr>
          <w:rFonts w:ascii="Times New Roman" w:hAnsi="Times New Roman" w:cs="Times New Roman"/>
          <w:b w:val="0"/>
          <w:i w:val="0"/>
        </w:rPr>
        <w:t xml:space="preserve">a high </w:t>
      </w:r>
      <w:r w:rsidR="0060714F" w:rsidRPr="00444120">
        <w:rPr>
          <w:rFonts w:ascii="Times New Roman" w:hAnsi="Times New Roman" w:cs="Times New Roman"/>
          <w:b w:val="0"/>
          <w:i w:val="0"/>
        </w:rPr>
        <w:t>density</w:t>
      </w:r>
      <w:r w:rsidR="008B416F" w:rsidRPr="00444120">
        <w:rPr>
          <w:rFonts w:ascii="Times New Roman" w:hAnsi="Times New Roman" w:cs="Times New Roman"/>
          <w:b w:val="0"/>
          <w:i w:val="0"/>
        </w:rPr>
        <w:t xml:space="preserve"> subdivi</w:t>
      </w:r>
      <w:r w:rsidR="0060714F" w:rsidRPr="00444120">
        <w:rPr>
          <w:rFonts w:ascii="Times New Roman" w:hAnsi="Times New Roman" w:cs="Times New Roman"/>
          <w:b w:val="0"/>
          <w:i w:val="0"/>
        </w:rPr>
        <w:t xml:space="preserve">sion </w:t>
      </w:r>
      <w:r w:rsidR="005A31FC">
        <w:rPr>
          <w:rFonts w:ascii="Times New Roman" w:hAnsi="Times New Roman" w:cs="Times New Roman"/>
          <w:b w:val="0"/>
          <w:i w:val="0"/>
        </w:rPr>
        <w:t xml:space="preserve">where </w:t>
      </w:r>
      <w:r w:rsidR="0060714F" w:rsidRPr="00444120">
        <w:rPr>
          <w:rFonts w:ascii="Times New Roman" w:hAnsi="Times New Roman" w:cs="Times New Roman"/>
          <w:b w:val="0"/>
          <w:i w:val="0"/>
        </w:rPr>
        <w:t xml:space="preserve">dwelling units </w:t>
      </w:r>
      <w:r w:rsidR="005A31FC">
        <w:rPr>
          <w:rFonts w:ascii="Times New Roman" w:hAnsi="Times New Roman" w:cs="Times New Roman"/>
          <w:b w:val="0"/>
          <w:i w:val="0"/>
        </w:rPr>
        <w:t>take</w:t>
      </w:r>
      <w:r w:rsidR="0060714F" w:rsidRPr="00444120">
        <w:rPr>
          <w:rFonts w:ascii="Times New Roman" w:hAnsi="Times New Roman" w:cs="Times New Roman"/>
          <w:b w:val="0"/>
          <w:i w:val="0"/>
        </w:rPr>
        <w:t xml:space="preserve"> service at ganged meter pedestals</w:t>
      </w:r>
      <w:r w:rsidR="00DD28BB">
        <w:rPr>
          <w:rFonts w:ascii="Times New Roman" w:hAnsi="Times New Roman" w:cs="Times New Roman"/>
          <w:b w:val="0"/>
          <w:i w:val="0"/>
        </w:rPr>
        <w:t xml:space="preserve"> </w:t>
      </w:r>
      <w:r w:rsidR="00DD28BB" w:rsidRPr="00DD28BB">
        <w:rPr>
          <w:rFonts w:ascii="Times New Roman" w:hAnsi="Times New Roman" w:cs="Times New Roman"/>
          <w:b w:val="0"/>
          <w:i w:val="0"/>
        </w:rPr>
        <w:t>(groups of meters at the same physical location)</w:t>
      </w:r>
      <w:r w:rsidR="0060714F" w:rsidRPr="00DD28BB">
        <w:rPr>
          <w:rFonts w:ascii="Times New Roman" w:hAnsi="Times New Roman" w:cs="Times New Roman"/>
          <w:b w:val="0"/>
          <w:i w:val="0"/>
        </w:rPr>
        <w:t>.</w:t>
      </w:r>
      <w:r w:rsidR="0060714F" w:rsidRPr="00444120">
        <w:rPr>
          <w:rFonts w:ascii="Times New Roman" w:hAnsi="Times New Roman" w:cs="Times New Roman"/>
          <w:b w:val="0"/>
          <w:i w:val="0"/>
        </w:rPr>
        <w:t xml:space="preserve"> Examples of this last subdivision type include mobile home and recreational vehicle parks.</w:t>
      </w:r>
      <w:r w:rsidR="00E9411B">
        <w:rPr>
          <w:rFonts w:ascii="Times New Roman" w:hAnsi="Times New Roman" w:cs="Times New Roman"/>
          <w:b w:val="0"/>
          <w:i w:val="0"/>
        </w:rPr>
        <w:t xml:space="preserve"> </w:t>
      </w:r>
      <w:r w:rsidR="0060714F" w:rsidRPr="00444120">
        <w:rPr>
          <w:rFonts w:ascii="Times New Roman" w:hAnsi="Times New Roman" w:cs="Times New Roman"/>
          <w:b w:val="0"/>
          <w:i w:val="0"/>
        </w:rPr>
        <w:t>While actual construction may differ from the model subdivisions</w:t>
      </w:r>
      <w:r w:rsidR="002F0637">
        <w:rPr>
          <w:rFonts w:ascii="Times New Roman" w:hAnsi="Times New Roman" w:cs="Times New Roman"/>
          <w:b w:val="0"/>
          <w:i w:val="0"/>
        </w:rPr>
        <w:t>,</w:t>
      </w:r>
      <w:r w:rsidR="0060714F" w:rsidRPr="00444120">
        <w:rPr>
          <w:rFonts w:ascii="Times New Roman" w:hAnsi="Times New Roman" w:cs="Times New Roman"/>
          <w:b w:val="0"/>
          <w:i w:val="0"/>
        </w:rPr>
        <w:t xml:space="preserve"> the model subdivisions are designed to reflect average overhead and underground subdivisions.</w:t>
      </w:r>
    </w:p>
    <w:p w:rsidR="009C0861" w:rsidRDefault="006B659E">
      <w:pPr>
        <w:pStyle w:val="BodyText"/>
      </w:pPr>
      <w:r>
        <w:t xml:space="preserve">Table 1-1 shows the current and proposed per </w:t>
      </w:r>
      <w:r w:rsidR="00223F89">
        <w:t>service lateral</w:t>
      </w:r>
      <w:r>
        <w:t xml:space="preserve"> URD differential charges for the low and high density subdivisions.</w:t>
      </w:r>
      <w:r w:rsidR="004E3073" w:rsidRPr="004E3073">
        <w:t xml:space="preserve"> </w:t>
      </w:r>
      <w:r>
        <w:t xml:space="preserve">The current and proposed URD differential </w:t>
      </w:r>
      <w:r w:rsidR="004E3073">
        <w:t>for a ganged meter installation</w:t>
      </w:r>
      <w:r>
        <w:t xml:space="preserve"> is $0.</w:t>
      </w:r>
      <w:r w:rsidR="00E9411B">
        <w:t xml:space="preserve"> As shown in Table 1-1, the proposed URD differentials show a decrease for all subdivisions.</w:t>
      </w:r>
      <w:r w:rsidR="002F0637">
        <w:t xml:space="preserve"> The primary </w:t>
      </w:r>
      <w:proofErr w:type="gramStart"/>
      <w:r w:rsidR="002F0637">
        <w:t>reason for the decrease in the URD differential</w:t>
      </w:r>
      <w:r w:rsidR="00962BAA">
        <w:t>s</w:t>
      </w:r>
      <w:r w:rsidR="002F0637">
        <w:t xml:space="preserve"> are</w:t>
      </w:r>
      <w:proofErr w:type="gramEnd"/>
      <w:r w:rsidR="002F0637">
        <w:t xml:space="preserve"> larger increases in overhead labor and material costs than in underground labor and material costs.</w:t>
      </w:r>
    </w:p>
    <w:p w:rsidR="00DE1287" w:rsidRDefault="00DE1287">
      <w:pPr>
        <w:pStyle w:val="BodyText"/>
      </w:pPr>
    </w:p>
    <w:p w:rsidR="00DE1287" w:rsidRDefault="00DE1287">
      <w:pPr>
        <w:pStyle w:val="BodyText"/>
      </w:pPr>
    </w:p>
    <w:p w:rsidR="00F70F83" w:rsidRDefault="00F70F83" w:rsidP="00F70F83">
      <w:pPr>
        <w:pStyle w:val="TableNumber"/>
        <w:keepNext/>
      </w:pPr>
      <w:r>
        <w:lastRenderedPageBreak/>
        <w:t xml:space="preserve">Table </w:t>
      </w:r>
      <w:r w:rsidR="00546DE3">
        <w:fldChar w:fldCharType="begin"/>
      </w:r>
      <w:r w:rsidR="00546DE3">
        <w:instrText xml:space="preserve"> SEQ Issue \c </w:instrText>
      </w:r>
      <w:r w:rsidR="00546DE3">
        <w:fldChar w:fldCharType="separate"/>
      </w:r>
      <w:r w:rsidR="00BC26FE">
        <w:rPr>
          <w:noProof/>
        </w:rPr>
        <w:t>1</w:t>
      </w:r>
      <w:r w:rsidR="00546DE3">
        <w:rPr>
          <w:noProof/>
        </w:rPr>
        <w:fldChar w:fldCharType="end"/>
      </w:r>
      <w:r>
        <w:t>-1</w:t>
      </w:r>
    </w:p>
    <w:p w:rsidR="00F70F83" w:rsidRDefault="00F70F83" w:rsidP="00561D8E">
      <w:pPr>
        <w:pStyle w:val="TableTitle"/>
        <w:keepNext/>
      </w:pPr>
      <w:r>
        <w:t xml:space="preserve">Comparison of Differential </w:t>
      </w:r>
      <w:proofErr w:type="gramStart"/>
      <w:r>
        <w:t>Per</w:t>
      </w:r>
      <w:proofErr w:type="gramEnd"/>
      <w:r>
        <w:t xml:space="preserve"> </w:t>
      </w:r>
      <w:r w:rsidR="00223F89">
        <w:t>Service Lateral</w:t>
      </w:r>
    </w:p>
    <w:tbl>
      <w:tblPr>
        <w:tblStyle w:val="TableGrid"/>
        <w:tblW w:w="0" w:type="auto"/>
        <w:tblLook w:val="04A0" w:firstRow="1" w:lastRow="0" w:firstColumn="1" w:lastColumn="0" w:noHBand="0" w:noVBand="1"/>
      </w:tblPr>
      <w:tblGrid>
        <w:gridCol w:w="2394"/>
        <w:gridCol w:w="2664"/>
        <w:gridCol w:w="2250"/>
        <w:gridCol w:w="2268"/>
      </w:tblGrid>
      <w:tr w:rsidR="00F70F83" w:rsidTr="00962BAA">
        <w:trPr>
          <w:trHeight w:val="791"/>
        </w:trPr>
        <w:tc>
          <w:tcPr>
            <w:tcW w:w="2394" w:type="dxa"/>
            <w:vAlign w:val="center"/>
          </w:tcPr>
          <w:p w:rsidR="000F3EF7" w:rsidRDefault="000F3EF7" w:rsidP="00962BAA">
            <w:pPr>
              <w:rPr>
                <w:b/>
              </w:rPr>
            </w:pPr>
          </w:p>
          <w:p w:rsidR="00F70F83" w:rsidRPr="00541E05" w:rsidRDefault="00F70F83" w:rsidP="00962BAA">
            <w:pPr>
              <w:rPr>
                <w:b/>
              </w:rPr>
            </w:pPr>
            <w:r w:rsidRPr="00541E05">
              <w:rPr>
                <w:b/>
              </w:rPr>
              <w:t>Types of Subdivision</w:t>
            </w:r>
          </w:p>
        </w:tc>
        <w:tc>
          <w:tcPr>
            <w:tcW w:w="2664" w:type="dxa"/>
            <w:vAlign w:val="center"/>
          </w:tcPr>
          <w:p w:rsidR="00F70F83" w:rsidRPr="00541E05" w:rsidRDefault="00F70F83" w:rsidP="00962BAA">
            <w:pPr>
              <w:jc w:val="center"/>
              <w:rPr>
                <w:b/>
              </w:rPr>
            </w:pPr>
            <w:r w:rsidRPr="00541E05">
              <w:rPr>
                <w:b/>
              </w:rPr>
              <w:t>Number of</w:t>
            </w:r>
            <w:r w:rsidR="000F3EF7">
              <w:rPr>
                <w:b/>
              </w:rPr>
              <w:t xml:space="preserve"> Service</w:t>
            </w:r>
            <w:r w:rsidRPr="00541E05">
              <w:rPr>
                <w:b/>
              </w:rPr>
              <w:t xml:space="preserve"> </w:t>
            </w:r>
            <w:r w:rsidR="000F3EF7">
              <w:rPr>
                <w:b/>
              </w:rPr>
              <w:t>Laterals</w:t>
            </w:r>
            <w:r w:rsidRPr="00541E05">
              <w:rPr>
                <w:b/>
              </w:rPr>
              <w:t xml:space="preserve"> in Subdivision</w:t>
            </w:r>
          </w:p>
        </w:tc>
        <w:tc>
          <w:tcPr>
            <w:tcW w:w="2250" w:type="dxa"/>
            <w:vAlign w:val="center"/>
          </w:tcPr>
          <w:p w:rsidR="00F70F83" w:rsidRPr="00541E05" w:rsidRDefault="00F70F83" w:rsidP="00561D8E">
            <w:pPr>
              <w:jc w:val="center"/>
              <w:rPr>
                <w:b/>
              </w:rPr>
            </w:pPr>
            <w:r w:rsidRPr="00541E05">
              <w:rPr>
                <w:b/>
              </w:rPr>
              <w:t>Current URD Differential</w:t>
            </w:r>
          </w:p>
        </w:tc>
        <w:tc>
          <w:tcPr>
            <w:tcW w:w="2268" w:type="dxa"/>
            <w:vAlign w:val="center"/>
          </w:tcPr>
          <w:p w:rsidR="00F70F83" w:rsidRPr="00541E05" w:rsidRDefault="00F70F83" w:rsidP="00561D8E">
            <w:pPr>
              <w:jc w:val="center"/>
              <w:rPr>
                <w:b/>
              </w:rPr>
            </w:pPr>
            <w:r w:rsidRPr="00541E05">
              <w:rPr>
                <w:b/>
              </w:rPr>
              <w:t>Proposed URD Differential</w:t>
            </w:r>
          </w:p>
        </w:tc>
      </w:tr>
      <w:tr w:rsidR="00F70F83" w:rsidTr="00962BAA">
        <w:tc>
          <w:tcPr>
            <w:tcW w:w="2394" w:type="dxa"/>
            <w:vMerge w:val="restart"/>
            <w:vAlign w:val="center"/>
          </w:tcPr>
          <w:p w:rsidR="00F70F83" w:rsidRDefault="00F70F83" w:rsidP="00541E05">
            <w:r>
              <w:t>Low Density</w:t>
            </w:r>
          </w:p>
        </w:tc>
        <w:tc>
          <w:tcPr>
            <w:tcW w:w="2664" w:type="dxa"/>
          </w:tcPr>
          <w:p w:rsidR="00F70F83" w:rsidRDefault="00ED24E7" w:rsidP="00F70F83">
            <w:r>
              <w:t xml:space="preserve">Tier </w:t>
            </w:r>
            <w:r w:rsidR="00F70F83">
              <w:t>1 – 200 or more</w:t>
            </w:r>
          </w:p>
        </w:tc>
        <w:tc>
          <w:tcPr>
            <w:tcW w:w="2250" w:type="dxa"/>
            <w:vAlign w:val="center"/>
          </w:tcPr>
          <w:p w:rsidR="00F70F83" w:rsidRDefault="00F70F83" w:rsidP="00561D8E">
            <w:pPr>
              <w:jc w:val="center"/>
            </w:pPr>
            <w:r>
              <w:t>$165.99</w:t>
            </w:r>
          </w:p>
        </w:tc>
        <w:tc>
          <w:tcPr>
            <w:tcW w:w="2268" w:type="dxa"/>
            <w:vAlign w:val="center"/>
          </w:tcPr>
          <w:p w:rsidR="00F70F83" w:rsidRDefault="00F70F83" w:rsidP="00561D8E">
            <w:pPr>
              <w:jc w:val="center"/>
            </w:pPr>
            <w:r>
              <w:t>$0</w:t>
            </w:r>
          </w:p>
        </w:tc>
      </w:tr>
      <w:tr w:rsidR="00F70F83" w:rsidTr="00962BAA">
        <w:tc>
          <w:tcPr>
            <w:tcW w:w="2394" w:type="dxa"/>
            <w:vMerge/>
            <w:vAlign w:val="center"/>
          </w:tcPr>
          <w:p w:rsidR="00F70F83" w:rsidRDefault="00F70F83" w:rsidP="00541E05"/>
        </w:tc>
        <w:tc>
          <w:tcPr>
            <w:tcW w:w="2664" w:type="dxa"/>
          </w:tcPr>
          <w:p w:rsidR="00F70F83" w:rsidRDefault="00ED24E7" w:rsidP="00F70F83">
            <w:r>
              <w:t xml:space="preserve">Tier </w:t>
            </w:r>
            <w:r w:rsidR="00F70F83">
              <w:t>2 – 85 – 199</w:t>
            </w:r>
          </w:p>
        </w:tc>
        <w:tc>
          <w:tcPr>
            <w:tcW w:w="2250" w:type="dxa"/>
            <w:vAlign w:val="center"/>
          </w:tcPr>
          <w:p w:rsidR="00F70F83" w:rsidRDefault="00F70F83" w:rsidP="00561D8E">
            <w:pPr>
              <w:jc w:val="center"/>
            </w:pPr>
            <w:r>
              <w:t>$415.99</w:t>
            </w:r>
          </w:p>
        </w:tc>
        <w:tc>
          <w:tcPr>
            <w:tcW w:w="2268" w:type="dxa"/>
            <w:vAlign w:val="center"/>
          </w:tcPr>
          <w:p w:rsidR="00F70F83" w:rsidRDefault="00F70F83" w:rsidP="00D61C7E">
            <w:pPr>
              <w:jc w:val="center"/>
            </w:pPr>
            <w:r>
              <w:t>$183.</w:t>
            </w:r>
            <w:r w:rsidR="00D61C7E">
              <w:t>3</w:t>
            </w:r>
            <w:r>
              <w:t>5</w:t>
            </w:r>
          </w:p>
        </w:tc>
      </w:tr>
      <w:tr w:rsidR="00F70F83" w:rsidTr="00962BAA">
        <w:tc>
          <w:tcPr>
            <w:tcW w:w="2394" w:type="dxa"/>
            <w:vMerge/>
            <w:vAlign w:val="center"/>
          </w:tcPr>
          <w:p w:rsidR="00F70F83" w:rsidRDefault="00F70F83" w:rsidP="00541E05"/>
        </w:tc>
        <w:tc>
          <w:tcPr>
            <w:tcW w:w="2664" w:type="dxa"/>
          </w:tcPr>
          <w:p w:rsidR="00F70F83" w:rsidRDefault="00ED24E7" w:rsidP="00F70F83">
            <w:r>
              <w:t xml:space="preserve">Tier </w:t>
            </w:r>
            <w:r w:rsidR="00F70F83">
              <w:t>3 – less than 85</w:t>
            </w:r>
          </w:p>
        </w:tc>
        <w:tc>
          <w:tcPr>
            <w:tcW w:w="2250" w:type="dxa"/>
            <w:vAlign w:val="center"/>
          </w:tcPr>
          <w:p w:rsidR="00F70F83" w:rsidRDefault="00F70F83" w:rsidP="00887134">
            <w:pPr>
              <w:jc w:val="center"/>
            </w:pPr>
            <w:r>
              <w:t>$498.</w:t>
            </w:r>
            <w:r w:rsidR="00887134">
              <w:t>99</w:t>
            </w:r>
          </w:p>
        </w:tc>
        <w:tc>
          <w:tcPr>
            <w:tcW w:w="2268" w:type="dxa"/>
            <w:vAlign w:val="center"/>
          </w:tcPr>
          <w:p w:rsidR="00F70F83" w:rsidRDefault="00F70F83" w:rsidP="00561D8E">
            <w:pPr>
              <w:jc w:val="center"/>
            </w:pPr>
            <w:r>
              <w:t>$266.35</w:t>
            </w:r>
          </w:p>
        </w:tc>
      </w:tr>
      <w:tr w:rsidR="00F70F83" w:rsidTr="00962BAA">
        <w:tc>
          <w:tcPr>
            <w:tcW w:w="2394" w:type="dxa"/>
            <w:vMerge w:val="restart"/>
            <w:vAlign w:val="center"/>
          </w:tcPr>
          <w:p w:rsidR="00F70F83" w:rsidRDefault="00F70F83" w:rsidP="00541E05">
            <w:r>
              <w:t>High Density</w:t>
            </w:r>
          </w:p>
        </w:tc>
        <w:tc>
          <w:tcPr>
            <w:tcW w:w="2664" w:type="dxa"/>
          </w:tcPr>
          <w:p w:rsidR="00F70F83" w:rsidRDefault="00ED24E7" w:rsidP="00F70F83">
            <w:r>
              <w:t xml:space="preserve">Tier </w:t>
            </w:r>
            <w:r w:rsidR="00F70F83">
              <w:t>1 – 300 or more</w:t>
            </w:r>
          </w:p>
        </w:tc>
        <w:tc>
          <w:tcPr>
            <w:tcW w:w="2250" w:type="dxa"/>
            <w:vAlign w:val="center"/>
          </w:tcPr>
          <w:p w:rsidR="00F70F83" w:rsidRDefault="00F70F83" w:rsidP="00561D8E">
            <w:pPr>
              <w:jc w:val="center"/>
            </w:pPr>
            <w:r>
              <w:t>$0</w:t>
            </w:r>
          </w:p>
        </w:tc>
        <w:tc>
          <w:tcPr>
            <w:tcW w:w="2268" w:type="dxa"/>
            <w:vAlign w:val="center"/>
          </w:tcPr>
          <w:p w:rsidR="00F70F83" w:rsidRDefault="00C935E7" w:rsidP="00561D8E">
            <w:pPr>
              <w:jc w:val="center"/>
            </w:pPr>
            <w:r>
              <w:t>$0</w:t>
            </w:r>
          </w:p>
        </w:tc>
      </w:tr>
      <w:tr w:rsidR="00F70F83" w:rsidTr="00962BAA">
        <w:tc>
          <w:tcPr>
            <w:tcW w:w="2394" w:type="dxa"/>
            <w:vMerge/>
          </w:tcPr>
          <w:p w:rsidR="00F70F83" w:rsidRDefault="00F70F83" w:rsidP="00F70F83"/>
        </w:tc>
        <w:tc>
          <w:tcPr>
            <w:tcW w:w="2664" w:type="dxa"/>
          </w:tcPr>
          <w:p w:rsidR="00F70F83" w:rsidRDefault="00ED24E7" w:rsidP="00F70F83">
            <w:r>
              <w:t xml:space="preserve">Tier </w:t>
            </w:r>
            <w:r w:rsidR="00F70F83">
              <w:t>2 – 100-299</w:t>
            </w:r>
          </w:p>
        </w:tc>
        <w:tc>
          <w:tcPr>
            <w:tcW w:w="2250" w:type="dxa"/>
            <w:vAlign w:val="center"/>
          </w:tcPr>
          <w:p w:rsidR="00F70F83" w:rsidRDefault="00F70F83" w:rsidP="00561D8E">
            <w:pPr>
              <w:jc w:val="center"/>
            </w:pPr>
            <w:r>
              <w:t>$105.71</w:t>
            </w:r>
          </w:p>
        </w:tc>
        <w:tc>
          <w:tcPr>
            <w:tcW w:w="2268" w:type="dxa"/>
            <w:vAlign w:val="center"/>
          </w:tcPr>
          <w:p w:rsidR="00F70F83" w:rsidRDefault="00C935E7" w:rsidP="00561D8E">
            <w:pPr>
              <w:jc w:val="center"/>
            </w:pPr>
            <w:r>
              <w:t>$0</w:t>
            </w:r>
          </w:p>
        </w:tc>
      </w:tr>
      <w:tr w:rsidR="00F70F83" w:rsidTr="00962BAA">
        <w:tc>
          <w:tcPr>
            <w:tcW w:w="2394" w:type="dxa"/>
            <w:vMerge/>
          </w:tcPr>
          <w:p w:rsidR="00F70F83" w:rsidRDefault="00F70F83" w:rsidP="00F70F83"/>
        </w:tc>
        <w:tc>
          <w:tcPr>
            <w:tcW w:w="2664" w:type="dxa"/>
          </w:tcPr>
          <w:p w:rsidR="00F70F83" w:rsidRDefault="00ED24E7" w:rsidP="00F70F83">
            <w:r>
              <w:t>Tier 3</w:t>
            </w:r>
            <w:r w:rsidR="00F70F83">
              <w:t xml:space="preserve"> – less than 100</w:t>
            </w:r>
          </w:p>
        </w:tc>
        <w:tc>
          <w:tcPr>
            <w:tcW w:w="2250" w:type="dxa"/>
            <w:vAlign w:val="center"/>
          </w:tcPr>
          <w:p w:rsidR="00F70F83" w:rsidRDefault="00F70F83" w:rsidP="00561D8E">
            <w:pPr>
              <w:jc w:val="center"/>
            </w:pPr>
            <w:r>
              <w:t>$188.71</w:t>
            </w:r>
          </w:p>
        </w:tc>
        <w:tc>
          <w:tcPr>
            <w:tcW w:w="2268" w:type="dxa"/>
            <w:vAlign w:val="center"/>
          </w:tcPr>
          <w:p w:rsidR="00F70F83" w:rsidRDefault="00C935E7" w:rsidP="00561D8E">
            <w:pPr>
              <w:jc w:val="center"/>
            </w:pPr>
            <w:r>
              <w:t>$</w:t>
            </w:r>
            <w:r w:rsidR="00BD7D0E">
              <w:t>57.97</w:t>
            </w:r>
          </w:p>
        </w:tc>
      </w:tr>
      <w:tr w:rsidR="005630CF" w:rsidTr="00962BAA">
        <w:tc>
          <w:tcPr>
            <w:tcW w:w="2394" w:type="dxa"/>
          </w:tcPr>
          <w:p w:rsidR="005630CF" w:rsidRDefault="005630CF" w:rsidP="00F70F83">
            <w:r>
              <w:t>Ganged Meter</w:t>
            </w:r>
          </w:p>
        </w:tc>
        <w:tc>
          <w:tcPr>
            <w:tcW w:w="2664" w:type="dxa"/>
          </w:tcPr>
          <w:p w:rsidR="005630CF" w:rsidRDefault="005630CF" w:rsidP="00F70F83">
            <w:r>
              <w:t>All Tiers</w:t>
            </w:r>
          </w:p>
        </w:tc>
        <w:tc>
          <w:tcPr>
            <w:tcW w:w="2250" w:type="dxa"/>
            <w:vAlign w:val="center"/>
          </w:tcPr>
          <w:p w:rsidR="005630CF" w:rsidRDefault="005630CF" w:rsidP="00561D8E">
            <w:pPr>
              <w:jc w:val="center"/>
            </w:pPr>
            <w:r>
              <w:t>$0</w:t>
            </w:r>
          </w:p>
        </w:tc>
        <w:tc>
          <w:tcPr>
            <w:tcW w:w="2268" w:type="dxa"/>
            <w:vAlign w:val="center"/>
          </w:tcPr>
          <w:p w:rsidR="005630CF" w:rsidRDefault="005630CF" w:rsidP="00561D8E">
            <w:pPr>
              <w:jc w:val="center"/>
            </w:pPr>
            <w:r>
              <w:t>$0</w:t>
            </w:r>
          </w:p>
        </w:tc>
      </w:tr>
    </w:tbl>
    <w:p w:rsidR="00DA7F17" w:rsidRDefault="00F70F83" w:rsidP="00DA7F17">
      <w:pPr>
        <w:pStyle w:val="TableSource"/>
      </w:pPr>
      <w:r>
        <w:t xml:space="preserve">Source: 2014 </w:t>
      </w:r>
      <w:r w:rsidR="00D46FB9">
        <w:t>o</w:t>
      </w:r>
      <w:r>
        <w:t>rder and FPL’s 2016 filing</w:t>
      </w:r>
    </w:p>
    <w:p w:rsidR="00561D8E" w:rsidRPr="00561D8E" w:rsidRDefault="00561D8E" w:rsidP="00DA7F17">
      <w:pPr>
        <w:pStyle w:val="TableSource"/>
      </w:pPr>
      <w:r>
        <w:t>The calculation</w:t>
      </w:r>
      <w:r w:rsidR="00BF03C6">
        <w:t>s</w:t>
      </w:r>
      <w:r>
        <w:t xml:space="preserve"> of the proposed URD charges include (1) updated labor and material cost</w:t>
      </w:r>
      <w:r w:rsidR="00DA7F17">
        <w:t>s</w:t>
      </w:r>
      <w:r>
        <w:t xml:space="preserve"> and associated loading factors, and (2) operational costs. The costs are discussed below.</w:t>
      </w:r>
    </w:p>
    <w:p w:rsidR="0098244C" w:rsidRDefault="0098244C" w:rsidP="0098244C">
      <w:pPr>
        <w:pStyle w:val="First-LevelSubheading"/>
      </w:pPr>
      <w:r>
        <w:t>Labor and Material Costs</w:t>
      </w:r>
    </w:p>
    <w:p w:rsidR="00A03839" w:rsidRDefault="00A03839">
      <w:pPr>
        <w:pStyle w:val="IssueHeading"/>
        <w:rPr>
          <w:rFonts w:ascii="Times New Roman" w:hAnsi="Times New Roman" w:cs="Times New Roman"/>
          <w:b w:val="0"/>
          <w:i w:val="0"/>
        </w:rPr>
      </w:pPr>
      <w:r>
        <w:rPr>
          <w:rFonts w:ascii="Times New Roman" w:hAnsi="Times New Roman" w:cs="Times New Roman"/>
          <w:b w:val="0"/>
          <w:i w:val="0"/>
        </w:rPr>
        <w:t xml:space="preserve">The installation costs of both underground and overhead facilities include the </w:t>
      </w:r>
      <w:r w:rsidR="00CC5321">
        <w:rPr>
          <w:rFonts w:ascii="Times New Roman" w:hAnsi="Times New Roman" w:cs="Times New Roman"/>
          <w:b w:val="0"/>
          <w:i w:val="0"/>
        </w:rPr>
        <w:t>labor and material</w:t>
      </w:r>
      <w:r>
        <w:rPr>
          <w:rFonts w:ascii="Times New Roman" w:hAnsi="Times New Roman" w:cs="Times New Roman"/>
          <w:b w:val="0"/>
          <w:i w:val="0"/>
        </w:rPr>
        <w:t xml:space="preserve"> costs </w:t>
      </w:r>
      <w:r w:rsidR="00867922">
        <w:rPr>
          <w:rFonts w:ascii="Times New Roman" w:hAnsi="Times New Roman" w:cs="Times New Roman"/>
          <w:b w:val="0"/>
          <w:i w:val="0"/>
        </w:rPr>
        <w:t>t</w:t>
      </w:r>
      <w:r>
        <w:rPr>
          <w:rFonts w:ascii="Times New Roman" w:hAnsi="Times New Roman" w:cs="Times New Roman"/>
          <w:b w:val="0"/>
          <w:i w:val="0"/>
        </w:rPr>
        <w:t xml:space="preserve">o provide primary, secondary, and service distribution lines as well as transformers. The costs of poles are specific to overhead service while the costs of trenching and backfilling are specific to underground service. </w:t>
      </w:r>
      <w:r w:rsidR="00C65DEE">
        <w:rPr>
          <w:rFonts w:ascii="Times New Roman" w:hAnsi="Times New Roman" w:cs="Times New Roman"/>
          <w:b w:val="0"/>
          <w:i w:val="0"/>
        </w:rPr>
        <w:t>C</w:t>
      </w:r>
      <w:r>
        <w:rPr>
          <w:rFonts w:ascii="Times New Roman" w:hAnsi="Times New Roman" w:cs="Times New Roman"/>
          <w:b w:val="0"/>
          <w:i w:val="0"/>
        </w:rPr>
        <w:t>urrent URD charges are based on 2014 data and the proposed charges are based on 201</w:t>
      </w:r>
      <w:r w:rsidR="00212FBA">
        <w:rPr>
          <w:rFonts w:ascii="Times New Roman" w:hAnsi="Times New Roman" w:cs="Times New Roman"/>
          <w:b w:val="0"/>
          <w:i w:val="0"/>
        </w:rPr>
        <w:t>6</w:t>
      </w:r>
      <w:r>
        <w:rPr>
          <w:rFonts w:ascii="Times New Roman" w:hAnsi="Times New Roman" w:cs="Times New Roman"/>
          <w:b w:val="0"/>
          <w:i w:val="0"/>
        </w:rPr>
        <w:t xml:space="preserve"> data. </w:t>
      </w:r>
    </w:p>
    <w:p w:rsidR="00CC5321" w:rsidRDefault="00200570">
      <w:pPr>
        <w:pStyle w:val="IssueHeading"/>
        <w:rPr>
          <w:rFonts w:ascii="Times New Roman" w:hAnsi="Times New Roman" w:cs="Times New Roman"/>
          <w:b w:val="0"/>
          <w:i w:val="0"/>
        </w:rPr>
      </w:pPr>
      <w:r>
        <w:rPr>
          <w:rFonts w:ascii="Times New Roman" w:hAnsi="Times New Roman" w:cs="Times New Roman"/>
          <w:b w:val="0"/>
          <w:i w:val="0"/>
        </w:rPr>
        <w:t>The cost of l</w:t>
      </w:r>
      <w:r w:rsidR="00D61CA1">
        <w:rPr>
          <w:rFonts w:ascii="Times New Roman" w:hAnsi="Times New Roman" w:cs="Times New Roman"/>
          <w:b w:val="0"/>
          <w:i w:val="0"/>
        </w:rPr>
        <w:t>abor increased for overhead</w:t>
      </w:r>
      <w:r>
        <w:rPr>
          <w:rFonts w:ascii="Times New Roman" w:hAnsi="Times New Roman" w:cs="Times New Roman"/>
          <w:b w:val="0"/>
          <w:i w:val="0"/>
        </w:rPr>
        <w:t xml:space="preserve"> activities</w:t>
      </w:r>
      <w:r w:rsidR="00D61CA1">
        <w:rPr>
          <w:rFonts w:ascii="Times New Roman" w:hAnsi="Times New Roman" w:cs="Times New Roman"/>
          <w:b w:val="0"/>
          <w:i w:val="0"/>
        </w:rPr>
        <w:t xml:space="preserve"> at approximately twice the rate it increased for underground</w:t>
      </w:r>
      <w:r w:rsidR="00BF03C6">
        <w:rPr>
          <w:rFonts w:ascii="Times New Roman" w:hAnsi="Times New Roman" w:cs="Times New Roman"/>
          <w:b w:val="0"/>
          <w:i w:val="0"/>
        </w:rPr>
        <w:t xml:space="preserve"> </w:t>
      </w:r>
      <w:r w:rsidR="00BF03C6" w:rsidRPr="00513081">
        <w:rPr>
          <w:rFonts w:ascii="Times New Roman" w:hAnsi="Times New Roman" w:cs="Times New Roman"/>
          <w:b w:val="0"/>
          <w:i w:val="0"/>
        </w:rPr>
        <w:t>activities</w:t>
      </w:r>
      <w:r w:rsidR="00412584">
        <w:rPr>
          <w:rFonts w:ascii="Times New Roman" w:hAnsi="Times New Roman" w:cs="Times New Roman"/>
          <w:b w:val="0"/>
          <w:i w:val="0"/>
        </w:rPr>
        <w:t>, resulting in a decrease in the differential</w:t>
      </w:r>
      <w:r w:rsidR="00D61CA1">
        <w:rPr>
          <w:rFonts w:ascii="Times New Roman" w:hAnsi="Times New Roman" w:cs="Times New Roman"/>
          <w:b w:val="0"/>
          <w:i w:val="0"/>
        </w:rPr>
        <w:t xml:space="preserve">. </w:t>
      </w:r>
      <w:r w:rsidR="00212FBA">
        <w:rPr>
          <w:rFonts w:ascii="Times New Roman" w:hAnsi="Times New Roman" w:cs="Times New Roman"/>
          <w:b w:val="0"/>
          <w:i w:val="0"/>
        </w:rPr>
        <w:t xml:space="preserve">FPL </w:t>
      </w:r>
      <w:r w:rsidR="00CC5321">
        <w:rPr>
          <w:rFonts w:ascii="Times New Roman" w:hAnsi="Times New Roman" w:cs="Times New Roman"/>
          <w:b w:val="0"/>
          <w:i w:val="0"/>
        </w:rPr>
        <w:t xml:space="preserve">explained in response to </w:t>
      </w:r>
      <w:r w:rsidR="006B771E">
        <w:rPr>
          <w:rFonts w:ascii="Times New Roman" w:hAnsi="Times New Roman" w:cs="Times New Roman"/>
          <w:b w:val="0"/>
          <w:i w:val="0"/>
        </w:rPr>
        <w:t>staff’s first</w:t>
      </w:r>
      <w:r w:rsidR="00CC5321">
        <w:rPr>
          <w:rFonts w:ascii="Times New Roman" w:hAnsi="Times New Roman" w:cs="Times New Roman"/>
          <w:b w:val="0"/>
          <w:i w:val="0"/>
        </w:rPr>
        <w:t xml:space="preserve"> data request that it </w:t>
      </w:r>
      <w:r w:rsidR="00212FBA">
        <w:rPr>
          <w:rFonts w:ascii="Times New Roman" w:hAnsi="Times New Roman" w:cs="Times New Roman"/>
          <w:b w:val="0"/>
          <w:i w:val="0"/>
        </w:rPr>
        <w:t>uses a labor rate that reflects both FPL and contract</w:t>
      </w:r>
      <w:r w:rsidR="00867922">
        <w:rPr>
          <w:rFonts w:ascii="Times New Roman" w:hAnsi="Times New Roman" w:cs="Times New Roman"/>
          <w:b w:val="0"/>
          <w:i w:val="0"/>
        </w:rPr>
        <w:t>or</w:t>
      </w:r>
      <w:r w:rsidR="00212FBA">
        <w:rPr>
          <w:rFonts w:ascii="Times New Roman" w:hAnsi="Times New Roman" w:cs="Times New Roman"/>
          <w:b w:val="0"/>
          <w:i w:val="0"/>
        </w:rPr>
        <w:t xml:space="preserve"> labor rates for all overhead and underground activities, as there are no overhead or underground activities that are exclusively performed by FPL or its contractors. Contractual agreements determine the labor rates for both FPL employees and contractors. </w:t>
      </w:r>
      <w:r w:rsidR="00092D30">
        <w:rPr>
          <w:rFonts w:ascii="Times New Roman" w:hAnsi="Times New Roman" w:cs="Times New Roman"/>
          <w:b w:val="0"/>
          <w:i w:val="0"/>
        </w:rPr>
        <w:t>T</w:t>
      </w:r>
      <w:r w:rsidR="00212FBA">
        <w:rPr>
          <w:rFonts w:ascii="Times New Roman" w:hAnsi="Times New Roman" w:cs="Times New Roman"/>
          <w:b w:val="0"/>
          <w:i w:val="0"/>
        </w:rPr>
        <w:t>he overall overhead labor cost increase is primarily the result of increased overhead contractor labor rates, which have increased more than contractor underground labor rates.</w:t>
      </w:r>
      <w:r w:rsidR="004E3073">
        <w:rPr>
          <w:rFonts w:ascii="Times New Roman" w:hAnsi="Times New Roman" w:cs="Times New Roman"/>
          <w:b w:val="0"/>
          <w:i w:val="0"/>
        </w:rPr>
        <w:t xml:space="preserve"> </w:t>
      </w:r>
    </w:p>
    <w:p w:rsidR="003F17F5" w:rsidRDefault="00D61CA1">
      <w:pPr>
        <w:pStyle w:val="IssueHeading"/>
        <w:rPr>
          <w:rFonts w:ascii="Times New Roman" w:hAnsi="Times New Roman" w:cs="Times New Roman"/>
          <w:b w:val="0"/>
          <w:i w:val="0"/>
        </w:rPr>
      </w:pPr>
      <w:r w:rsidRPr="00CC5321">
        <w:rPr>
          <w:rFonts w:ascii="Times New Roman" w:hAnsi="Times New Roman" w:cs="Times New Roman"/>
          <w:b w:val="0"/>
          <w:i w:val="0"/>
        </w:rPr>
        <w:t xml:space="preserve">Material </w:t>
      </w:r>
      <w:r w:rsidR="00CC5321">
        <w:rPr>
          <w:rFonts w:ascii="Times New Roman" w:hAnsi="Times New Roman" w:cs="Times New Roman"/>
          <w:b w:val="0"/>
          <w:i w:val="0"/>
        </w:rPr>
        <w:t xml:space="preserve">costs </w:t>
      </w:r>
      <w:r w:rsidRPr="00CC5321">
        <w:rPr>
          <w:rFonts w:ascii="Times New Roman" w:hAnsi="Times New Roman" w:cs="Times New Roman"/>
          <w:b w:val="0"/>
          <w:i w:val="0"/>
        </w:rPr>
        <w:t>increas</w:t>
      </w:r>
      <w:r w:rsidR="0064798F" w:rsidRPr="00CC5321">
        <w:rPr>
          <w:rFonts w:ascii="Times New Roman" w:hAnsi="Times New Roman" w:cs="Times New Roman"/>
          <w:b w:val="0"/>
          <w:i w:val="0"/>
        </w:rPr>
        <w:t xml:space="preserve">ed for overhead </w:t>
      </w:r>
      <w:r w:rsidR="00CC5321">
        <w:rPr>
          <w:rFonts w:ascii="Times New Roman" w:hAnsi="Times New Roman" w:cs="Times New Roman"/>
          <w:b w:val="0"/>
          <w:i w:val="0"/>
        </w:rPr>
        <w:t>and</w:t>
      </w:r>
      <w:r w:rsidR="0064798F" w:rsidRPr="00CC5321">
        <w:rPr>
          <w:rFonts w:ascii="Times New Roman" w:hAnsi="Times New Roman" w:cs="Times New Roman"/>
          <w:b w:val="0"/>
          <w:i w:val="0"/>
        </w:rPr>
        <w:t xml:space="preserve"> decreased for underground</w:t>
      </w:r>
      <w:r w:rsidR="00BB2376">
        <w:rPr>
          <w:rFonts w:ascii="Times New Roman" w:hAnsi="Times New Roman" w:cs="Times New Roman"/>
          <w:b w:val="0"/>
          <w:i w:val="0"/>
        </w:rPr>
        <w:t xml:space="preserve"> from 2014 to 2016</w:t>
      </w:r>
      <w:r w:rsidR="002F0637">
        <w:rPr>
          <w:rFonts w:ascii="Times New Roman" w:hAnsi="Times New Roman" w:cs="Times New Roman"/>
          <w:b w:val="0"/>
          <w:i w:val="0"/>
        </w:rPr>
        <w:t>, further decreasing the differential</w:t>
      </w:r>
      <w:r w:rsidR="0064798F" w:rsidRPr="00CC5321">
        <w:rPr>
          <w:rFonts w:ascii="Times New Roman" w:hAnsi="Times New Roman" w:cs="Times New Roman"/>
          <w:b w:val="0"/>
          <w:i w:val="0"/>
        </w:rPr>
        <w:t xml:space="preserve">. </w:t>
      </w:r>
      <w:r w:rsidR="0093649D" w:rsidRPr="00CC5321">
        <w:rPr>
          <w:rFonts w:ascii="Times New Roman" w:hAnsi="Times New Roman" w:cs="Times New Roman"/>
          <w:b w:val="0"/>
          <w:i w:val="0"/>
        </w:rPr>
        <w:t xml:space="preserve">FPL explained in response to staff’s first data request that </w:t>
      </w:r>
      <w:r w:rsidR="00A716A2" w:rsidRPr="00CC5321">
        <w:rPr>
          <w:rFonts w:ascii="Times New Roman" w:hAnsi="Times New Roman" w:cs="Times New Roman"/>
          <w:b w:val="0"/>
          <w:i w:val="0"/>
        </w:rPr>
        <w:t>FPL’s 2016 overhead designs incorporated for the first time automated lateral switches or reclosers. These devices automatically mitigate the effects of a lateral interruption, including clearing temporary faults, isolating the impact of an outage, and avoiding field visits to replace blown fuses.</w:t>
      </w:r>
      <w:r w:rsidR="00A716A2">
        <w:rPr>
          <w:rFonts w:ascii="Times New Roman" w:hAnsi="Times New Roman" w:cs="Times New Roman"/>
          <w:b w:val="0"/>
          <w:i w:val="0"/>
        </w:rPr>
        <w:t xml:space="preserve"> Without the reclosers, 2016 overhead material costs would have been less than 2014 costs. According to FPL, the decline in underground material costs </w:t>
      </w:r>
      <w:r w:rsidR="0093649D" w:rsidRPr="00CC5321">
        <w:rPr>
          <w:rFonts w:ascii="Times New Roman" w:hAnsi="Times New Roman" w:cs="Times New Roman"/>
          <w:b w:val="0"/>
          <w:i w:val="0"/>
        </w:rPr>
        <w:t>is primarily due to prices obtained through competitive bidding and favorable automatic price adjustments from commodity price changes, for example, resin in PVC conduit.</w:t>
      </w:r>
    </w:p>
    <w:p w:rsidR="00745245" w:rsidRPr="00745245" w:rsidRDefault="00745245" w:rsidP="00745245">
      <w:pPr>
        <w:pStyle w:val="BodyText"/>
      </w:pPr>
      <w:r w:rsidRPr="0029790D">
        <w:t xml:space="preserve">FPL’s proposed URD tariff also </w:t>
      </w:r>
      <w:r w:rsidR="0029790D" w:rsidRPr="0029790D">
        <w:t>includes</w:t>
      </w:r>
      <w:r w:rsidRPr="0029790D">
        <w:t xml:space="preserve"> updated charges to reflect current labor and material costs for additional customer-requested equipment such as feeder mains or switch packages and </w:t>
      </w:r>
      <w:r w:rsidRPr="0029790D">
        <w:lastRenderedPageBreak/>
        <w:t>credits if a customer performs trenching or installs equipment</w:t>
      </w:r>
      <w:r w:rsidR="00702DAD">
        <w:t>, such as a splice box</w:t>
      </w:r>
      <w:r w:rsidRPr="0029790D">
        <w:t xml:space="preserve">. The </w:t>
      </w:r>
      <w:r w:rsidR="00380089" w:rsidRPr="0029790D">
        <w:t xml:space="preserve">proposed </w:t>
      </w:r>
      <w:r w:rsidRPr="0029790D">
        <w:t>URD tariff also update</w:t>
      </w:r>
      <w:r w:rsidR="00380089" w:rsidRPr="0029790D">
        <w:t>s</w:t>
      </w:r>
      <w:r w:rsidRPr="0029790D">
        <w:t xml:space="preserve"> charges for installing underground service laterals from overhead systems, and for the replacement of existing overhead and underground services with underground service laterals.</w:t>
      </w:r>
    </w:p>
    <w:p w:rsidR="00880C82" w:rsidRDefault="00880C82" w:rsidP="00561D8E">
      <w:pPr>
        <w:pStyle w:val="Second-LevelSubheading"/>
      </w:pPr>
    </w:p>
    <w:p w:rsidR="00561D8E" w:rsidRDefault="00561D8E" w:rsidP="00561D8E">
      <w:pPr>
        <w:pStyle w:val="Second-LevelSubheading"/>
      </w:pPr>
      <w:r>
        <w:t>Loading Factors</w:t>
      </w:r>
    </w:p>
    <w:p w:rsidR="00B60A1C" w:rsidRPr="00577A83" w:rsidRDefault="00B60A1C" w:rsidP="00577A83">
      <w:pPr>
        <w:pStyle w:val="BodyText"/>
      </w:pPr>
      <w:r>
        <w:t xml:space="preserve">The stores loading factor </w:t>
      </w:r>
      <w:r w:rsidR="00E53424">
        <w:t xml:space="preserve">is </w:t>
      </w:r>
      <w:r w:rsidR="00577A83">
        <w:t>applied to material</w:t>
      </w:r>
      <w:r w:rsidR="00561D8E">
        <w:t xml:space="preserve"> costs</w:t>
      </w:r>
      <w:r w:rsidR="00412584">
        <w:t xml:space="preserve"> and</w:t>
      </w:r>
      <w:r>
        <w:t xml:space="preserve"> declined from 9.3 percent in 2014 to 5.44 percent in this filing.</w:t>
      </w:r>
      <w:r w:rsidR="00577A83">
        <w:t xml:space="preserve"> The rate is a calculation</w:t>
      </w:r>
      <w:r w:rsidR="00A57D6A">
        <w:t>,</w:t>
      </w:r>
      <w:r w:rsidR="00577A83">
        <w:t xml:space="preserve"> which divides year-to-date stores expens</w:t>
      </w:r>
      <w:r>
        <w:t>e by the year-to-date total co</w:t>
      </w:r>
      <w:r w:rsidR="00577A83">
        <w:t xml:space="preserve">st of inventory. FPL </w:t>
      </w:r>
      <w:r>
        <w:t>explained</w:t>
      </w:r>
      <w:r w:rsidR="00577A83">
        <w:t xml:space="preserve"> in its response to staff’s first data request</w:t>
      </w:r>
      <w:r>
        <w:t xml:space="preserve"> that the decrease is mainly due to an increased level of inventory because of a higher level of construction activity.</w:t>
      </w:r>
      <w:r w:rsidR="005944D9">
        <w:t xml:space="preserve"> </w:t>
      </w:r>
      <w:r>
        <w:t>The 2016 engineering factor</w:t>
      </w:r>
      <w:r w:rsidR="00E53424">
        <w:t xml:space="preserve"> is</w:t>
      </w:r>
      <w:r>
        <w:t xml:space="preserve"> applied to labor and material</w:t>
      </w:r>
      <w:r w:rsidR="00E53424">
        <w:t>. It</w:t>
      </w:r>
      <w:r>
        <w:t xml:space="preserve"> incorporates both engineering and corporate overhead, which were </w:t>
      </w:r>
      <w:r w:rsidR="00561D8E">
        <w:t xml:space="preserve">shown </w:t>
      </w:r>
      <w:r>
        <w:t>separate</w:t>
      </w:r>
      <w:r w:rsidR="00561D8E">
        <w:t>ly</w:t>
      </w:r>
      <w:r>
        <w:t xml:space="preserve"> in the 2014 filing.</w:t>
      </w:r>
      <w:r w:rsidR="00E53424">
        <w:t xml:space="preserve"> The combined factor declined from 27.8 percent in 2014 to 26.9 percent in 2016.</w:t>
      </w:r>
    </w:p>
    <w:p w:rsidR="00DF2841" w:rsidRDefault="00CC5321" w:rsidP="00CC5321">
      <w:pPr>
        <w:pStyle w:val="BodyText"/>
      </w:pPr>
      <w:r>
        <w:t>Table 1-2 provides the labor</w:t>
      </w:r>
      <w:r w:rsidR="00605A5F">
        <w:t xml:space="preserve"> and material differential or pre-operational costs</w:t>
      </w:r>
      <w:r>
        <w:t xml:space="preserve">. </w:t>
      </w:r>
      <w:r w:rsidR="00DF2841">
        <w:t xml:space="preserve">As Table 1-2 shows, </w:t>
      </w:r>
      <w:r w:rsidR="005B2244">
        <w:t xml:space="preserve">in 2016, </w:t>
      </w:r>
      <w:r w:rsidR="00DF2841">
        <w:t>only the low density cost differential is a positive number ($141.35)</w:t>
      </w:r>
      <w:r w:rsidR="00561D8E">
        <w:t>, indicating that underground labor/material costs are higher than overhead labor/material costs for the low density subdivision</w:t>
      </w:r>
      <w:r w:rsidR="00DF2841">
        <w:t>.</w:t>
      </w:r>
    </w:p>
    <w:p w:rsidR="008E1681" w:rsidRDefault="008E1681" w:rsidP="008E1681">
      <w:pPr>
        <w:pStyle w:val="TableNumber"/>
        <w:keepNext/>
      </w:pPr>
      <w:r>
        <w:t xml:space="preserve">Table </w:t>
      </w:r>
      <w:r w:rsidR="00546DE3">
        <w:fldChar w:fldCharType="begin"/>
      </w:r>
      <w:r w:rsidR="00546DE3">
        <w:instrText xml:space="preserve"> SEQ Issue \c </w:instrText>
      </w:r>
      <w:r w:rsidR="00546DE3">
        <w:fldChar w:fldCharType="separate"/>
      </w:r>
      <w:r w:rsidR="00BC26FE">
        <w:rPr>
          <w:noProof/>
        </w:rPr>
        <w:t>1</w:t>
      </w:r>
      <w:r w:rsidR="00546DE3">
        <w:rPr>
          <w:noProof/>
        </w:rPr>
        <w:fldChar w:fldCharType="end"/>
      </w:r>
      <w:r>
        <w:t>-</w:t>
      </w:r>
      <w:r w:rsidR="00C912AA">
        <w:t>2</w:t>
      </w:r>
    </w:p>
    <w:p w:rsidR="008E1681" w:rsidRDefault="00C912AA" w:rsidP="008E1681">
      <w:pPr>
        <w:pStyle w:val="TableTitle"/>
        <w:keepNext/>
      </w:pPr>
      <w:r>
        <w:t>Labor and Material Costs (Pre-operational Costs)</w:t>
      </w:r>
    </w:p>
    <w:tbl>
      <w:tblPr>
        <w:tblStyle w:val="TableGrid"/>
        <w:tblW w:w="0" w:type="auto"/>
        <w:tblLook w:val="04A0" w:firstRow="1" w:lastRow="0" w:firstColumn="1" w:lastColumn="0" w:noHBand="0" w:noVBand="1"/>
      </w:tblPr>
      <w:tblGrid>
        <w:gridCol w:w="3888"/>
        <w:gridCol w:w="1890"/>
        <w:gridCol w:w="1980"/>
        <w:gridCol w:w="1818"/>
      </w:tblGrid>
      <w:tr w:rsidR="008E1681" w:rsidTr="00C912AA">
        <w:tc>
          <w:tcPr>
            <w:tcW w:w="3888" w:type="dxa"/>
          </w:tcPr>
          <w:p w:rsidR="008E1681" w:rsidRPr="00C912AA" w:rsidRDefault="00C912AA" w:rsidP="00C912AA">
            <w:pPr>
              <w:jc w:val="center"/>
              <w:rPr>
                <w:b/>
              </w:rPr>
            </w:pPr>
            <w:r w:rsidRPr="00C912AA">
              <w:rPr>
                <w:b/>
              </w:rPr>
              <w:t>Low Density</w:t>
            </w:r>
          </w:p>
        </w:tc>
        <w:tc>
          <w:tcPr>
            <w:tcW w:w="1890" w:type="dxa"/>
          </w:tcPr>
          <w:p w:rsidR="008E1681" w:rsidRPr="00C912AA" w:rsidRDefault="00C912AA" w:rsidP="00561D8E">
            <w:pPr>
              <w:jc w:val="center"/>
              <w:rPr>
                <w:b/>
              </w:rPr>
            </w:pPr>
            <w:r w:rsidRPr="00C912AA">
              <w:rPr>
                <w:b/>
              </w:rPr>
              <w:t>2014 Costs</w:t>
            </w:r>
          </w:p>
        </w:tc>
        <w:tc>
          <w:tcPr>
            <w:tcW w:w="1980" w:type="dxa"/>
          </w:tcPr>
          <w:p w:rsidR="008E1681" w:rsidRPr="00C912AA" w:rsidRDefault="00C912AA" w:rsidP="00561D8E">
            <w:pPr>
              <w:jc w:val="center"/>
              <w:rPr>
                <w:b/>
              </w:rPr>
            </w:pPr>
            <w:r w:rsidRPr="00C912AA">
              <w:rPr>
                <w:b/>
              </w:rPr>
              <w:t>2016 Costs</w:t>
            </w:r>
          </w:p>
        </w:tc>
        <w:tc>
          <w:tcPr>
            <w:tcW w:w="1818" w:type="dxa"/>
          </w:tcPr>
          <w:p w:rsidR="008E1681" w:rsidRPr="00C912AA" w:rsidRDefault="00C912AA" w:rsidP="00561D8E">
            <w:pPr>
              <w:jc w:val="center"/>
              <w:rPr>
                <w:b/>
              </w:rPr>
            </w:pPr>
            <w:r w:rsidRPr="00C912AA">
              <w:rPr>
                <w:b/>
              </w:rPr>
              <w:t>Difference</w:t>
            </w:r>
          </w:p>
        </w:tc>
      </w:tr>
      <w:tr w:rsidR="008E1681" w:rsidTr="00F70F83">
        <w:tc>
          <w:tcPr>
            <w:tcW w:w="3888" w:type="dxa"/>
          </w:tcPr>
          <w:p w:rsidR="008E1681" w:rsidRDefault="00C912AA" w:rsidP="00F70F83">
            <w:r>
              <w:t>Underground labor/material costs</w:t>
            </w:r>
          </w:p>
        </w:tc>
        <w:tc>
          <w:tcPr>
            <w:tcW w:w="1890" w:type="dxa"/>
            <w:vAlign w:val="center"/>
          </w:tcPr>
          <w:p w:rsidR="008E1681" w:rsidRDefault="0080663F" w:rsidP="00561D8E">
            <w:pPr>
              <w:jc w:val="center"/>
            </w:pPr>
            <w:r>
              <w:t>$2,325.60</w:t>
            </w:r>
          </w:p>
        </w:tc>
        <w:tc>
          <w:tcPr>
            <w:tcW w:w="1980" w:type="dxa"/>
            <w:vAlign w:val="center"/>
          </w:tcPr>
          <w:p w:rsidR="008E1681" w:rsidRDefault="00F70F83" w:rsidP="00561D8E">
            <w:pPr>
              <w:jc w:val="center"/>
            </w:pPr>
            <w:r>
              <w:t>$2,413.84</w:t>
            </w:r>
          </w:p>
        </w:tc>
        <w:tc>
          <w:tcPr>
            <w:tcW w:w="1818" w:type="dxa"/>
            <w:vAlign w:val="center"/>
          </w:tcPr>
          <w:p w:rsidR="008E1681" w:rsidRDefault="00F70F83" w:rsidP="00561D8E">
            <w:pPr>
              <w:jc w:val="center"/>
            </w:pPr>
            <w:r>
              <w:t>$88.24</w:t>
            </w:r>
          </w:p>
        </w:tc>
      </w:tr>
      <w:tr w:rsidR="008E1681" w:rsidTr="00F70F83">
        <w:tc>
          <w:tcPr>
            <w:tcW w:w="3888" w:type="dxa"/>
          </w:tcPr>
          <w:p w:rsidR="008E1681" w:rsidRDefault="00C912AA" w:rsidP="00F70F83">
            <w:r>
              <w:t>Overhead labor/material costs</w:t>
            </w:r>
          </w:p>
        </w:tc>
        <w:tc>
          <w:tcPr>
            <w:tcW w:w="1890" w:type="dxa"/>
            <w:vAlign w:val="center"/>
          </w:tcPr>
          <w:p w:rsidR="008E1681" w:rsidRDefault="0080663F" w:rsidP="00561D8E">
            <w:pPr>
              <w:jc w:val="center"/>
            </w:pPr>
            <w:r>
              <w:t>$1,951.61</w:t>
            </w:r>
          </w:p>
        </w:tc>
        <w:tc>
          <w:tcPr>
            <w:tcW w:w="1980" w:type="dxa"/>
            <w:vAlign w:val="center"/>
          </w:tcPr>
          <w:p w:rsidR="008E1681" w:rsidRDefault="00F70F83" w:rsidP="00561D8E">
            <w:pPr>
              <w:jc w:val="center"/>
            </w:pPr>
            <w:r>
              <w:t>$2,272.49</w:t>
            </w:r>
          </w:p>
        </w:tc>
        <w:tc>
          <w:tcPr>
            <w:tcW w:w="1818" w:type="dxa"/>
            <w:vAlign w:val="center"/>
          </w:tcPr>
          <w:p w:rsidR="008E1681" w:rsidRDefault="00F70F83" w:rsidP="00561D8E">
            <w:pPr>
              <w:jc w:val="center"/>
            </w:pPr>
            <w:r>
              <w:t>$320.88</w:t>
            </w:r>
          </w:p>
        </w:tc>
      </w:tr>
      <w:tr w:rsidR="008E1681" w:rsidTr="00F70F83">
        <w:tc>
          <w:tcPr>
            <w:tcW w:w="3888" w:type="dxa"/>
          </w:tcPr>
          <w:p w:rsidR="008E1681" w:rsidRDefault="00C912AA" w:rsidP="006A55DD">
            <w:pPr>
              <w:jc w:val="right"/>
            </w:pPr>
            <w:r>
              <w:t xml:space="preserve">Per </w:t>
            </w:r>
            <w:r w:rsidR="00A03839">
              <w:t>service lateral</w:t>
            </w:r>
            <w:r>
              <w:t xml:space="preserve"> differential</w:t>
            </w:r>
          </w:p>
        </w:tc>
        <w:tc>
          <w:tcPr>
            <w:tcW w:w="1890" w:type="dxa"/>
            <w:vAlign w:val="center"/>
          </w:tcPr>
          <w:p w:rsidR="008E1681" w:rsidRDefault="0080663F" w:rsidP="00561D8E">
            <w:pPr>
              <w:jc w:val="center"/>
            </w:pPr>
            <w:r>
              <w:t>$373.99</w:t>
            </w:r>
          </w:p>
        </w:tc>
        <w:tc>
          <w:tcPr>
            <w:tcW w:w="1980" w:type="dxa"/>
            <w:vAlign w:val="center"/>
          </w:tcPr>
          <w:p w:rsidR="008E1681" w:rsidRDefault="00F70F83" w:rsidP="00561D8E">
            <w:pPr>
              <w:jc w:val="center"/>
            </w:pPr>
            <w:r>
              <w:t>$141.35</w:t>
            </w:r>
          </w:p>
        </w:tc>
        <w:tc>
          <w:tcPr>
            <w:tcW w:w="1818" w:type="dxa"/>
            <w:vAlign w:val="center"/>
          </w:tcPr>
          <w:p w:rsidR="008E1681" w:rsidRDefault="006A55D9" w:rsidP="00561D8E">
            <w:pPr>
              <w:jc w:val="center"/>
            </w:pPr>
            <w:r>
              <w:t>(</w:t>
            </w:r>
            <w:r w:rsidR="00F70F83">
              <w:t>$232.64</w:t>
            </w:r>
            <w:r>
              <w:t>)</w:t>
            </w:r>
          </w:p>
        </w:tc>
      </w:tr>
      <w:tr w:rsidR="008E1681" w:rsidTr="00F70F83">
        <w:tc>
          <w:tcPr>
            <w:tcW w:w="3888" w:type="dxa"/>
          </w:tcPr>
          <w:p w:rsidR="008E1681" w:rsidRPr="00C912AA" w:rsidRDefault="00C912AA" w:rsidP="00C912AA">
            <w:pPr>
              <w:jc w:val="center"/>
              <w:rPr>
                <w:b/>
              </w:rPr>
            </w:pPr>
            <w:r w:rsidRPr="00C912AA">
              <w:rPr>
                <w:b/>
              </w:rPr>
              <w:t>High Density</w:t>
            </w:r>
          </w:p>
        </w:tc>
        <w:tc>
          <w:tcPr>
            <w:tcW w:w="1890" w:type="dxa"/>
            <w:vAlign w:val="center"/>
          </w:tcPr>
          <w:p w:rsidR="008E1681" w:rsidRDefault="008E1681" w:rsidP="00561D8E">
            <w:pPr>
              <w:jc w:val="center"/>
            </w:pPr>
          </w:p>
        </w:tc>
        <w:tc>
          <w:tcPr>
            <w:tcW w:w="1980" w:type="dxa"/>
            <w:vAlign w:val="center"/>
          </w:tcPr>
          <w:p w:rsidR="008E1681" w:rsidRDefault="008E1681" w:rsidP="00561D8E">
            <w:pPr>
              <w:jc w:val="center"/>
            </w:pPr>
          </w:p>
        </w:tc>
        <w:tc>
          <w:tcPr>
            <w:tcW w:w="1818" w:type="dxa"/>
            <w:vAlign w:val="center"/>
          </w:tcPr>
          <w:p w:rsidR="008E1681" w:rsidRDefault="008E1681" w:rsidP="00561D8E">
            <w:pPr>
              <w:jc w:val="center"/>
            </w:pPr>
          </w:p>
        </w:tc>
      </w:tr>
      <w:tr w:rsidR="008E1681" w:rsidTr="00F70F83">
        <w:tc>
          <w:tcPr>
            <w:tcW w:w="3888" w:type="dxa"/>
          </w:tcPr>
          <w:p w:rsidR="008E1681" w:rsidRDefault="00C912AA" w:rsidP="00F70F83">
            <w:r>
              <w:t>Underground labor/material costs</w:t>
            </w:r>
          </w:p>
        </w:tc>
        <w:tc>
          <w:tcPr>
            <w:tcW w:w="1890" w:type="dxa"/>
            <w:vAlign w:val="center"/>
          </w:tcPr>
          <w:p w:rsidR="008E1681" w:rsidRDefault="0080663F" w:rsidP="00561D8E">
            <w:pPr>
              <w:jc w:val="center"/>
            </w:pPr>
            <w:r>
              <w:t>$1,590.63</w:t>
            </w:r>
          </w:p>
        </w:tc>
        <w:tc>
          <w:tcPr>
            <w:tcW w:w="1980" w:type="dxa"/>
            <w:vAlign w:val="center"/>
          </w:tcPr>
          <w:p w:rsidR="008E1681" w:rsidRDefault="00F70F83" w:rsidP="00561D8E">
            <w:pPr>
              <w:jc w:val="center"/>
            </w:pPr>
            <w:r>
              <w:t>$1,640.45</w:t>
            </w:r>
          </w:p>
        </w:tc>
        <w:tc>
          <w:tcPr>
            <w:tcW w:w="1818" w:type="dxa"/>
            <w:vAlign w:val="center"/>
          </w:tcPr>
          <w:p w:rsidR="008E1681" w:rsidRDefault="00F70F83" w:rsidP="00561D8E">
            <w:pPr>
              <w:jc w:val="center"/>
            </w:pPr>
            <w:r>
              <w:t>$49.82</w:t>
            </w:r>
          </w:p>
        </w:tc>
      </w:tr>
      <w:tr w:rsidR="008E1681" w:rsidTr="00F70F83">
        <w:tc>
          <w:tcPr>
            <w:tcW w:w="3888" w:type="dxa"/>
          </w:tcPr>
          <w:p w:rsidR="008E1681" w:rsidRDefault="00C912AA" w:rsidP="00F70F83">
            <w:r>
              <w:t>Overhead labor/material costs</w:t>
            </w:r>
          </w:p>
        </w:tc>
        <w:tc>
          <w:tcPr>
            <w:tcW w:w="1890" w:type="dxa"/>
            <w:vAlign w:val="center"/>
          </w:tcPr>
          <w:p w:rsidR="008E1681" w:rsidRDefault="0080663F" w:rsidP="00561D8E">
            <w:pPr>
              <w:jc w:val="center"/>
            </w:pPr>
            <w:r>
              <w:t>$1,510.92</w:t>
            </w:r>
          </w:p>
        </w:tc>
        <w:tc>
          <w:tcPr>
            <w:tcW w:w="1980" w:type="dxa"/>
            <w:vAlign w:val="center"/>
          </w:tcPr>
          <w:p w:rsidR="008E1681" w:rsidRDefault="00F70F83" w:rsidP="00561D8E">
            <w:pPr>
              <w:jc w:val="center"/>
            </w:pPr>
            <w:r>
              <w:t>$1,691.48</w:t>
            </w:r>
          </w:p>
        </w:tc>
        <w:tc>
          <w:tcPr>
            <w:tcW w:w="1818" w:type="dxa"/>
            <w:vAlign w:val="center"/>
          </w:tcPr>
          <w:p w:rsidR="008E1681" w:rsidRDefault="00F70F83" w:rsidP="00561D8E">
            <w:pPr>
              <w:jc w:val="center"/>
            </w:pPr>
            <w:r>
              <w:t>$180.56</w:t>
            </w:r>
          </w:p>
        </w:tc>
      </w:tr>
      <w:tr w:rsidR="008E1681" w:rsidTr="00F70F83">
        <w:tc>
          <w:tcPr>
            <w:tcW w:w="3888" w:type="dxa"/>
          </w:tcPr>
          <w:p w:rsidR="008E1681" w:rsidRDefault="00C912AA" w:rsidP="00062FE3">
            <w:pPr>
              <w:jc w:val="right"/>
            </w:pPr>
            <w:r>
              <w:t>Per</w:t>
            </w:r>
            <w:r w:rsidR="00062FE3">
              <w:t xml:space="preserve"> service lateral </w:t>
            </w:r>
            <w:r>
              <w:t>differential</w:t>
            </w:r>
          </w:p>
        </w:tc>
        <w:tc>
          <w:tcPr>
            <w:tcW w:w="1890" w:type="dxa"/>
            <w:vAlign w:val="center"/>
          </w:tcPr>
          <w:p w:rsidR="008E1681" w:rsidRDefault="0080663F" w:rsidP="00561D8E">
            <w:pPr>
              <w:jc w:val="center"/>
            </w:pPr>
            <w:r>
              <w:t>$79.71</w:t>
            </w:r>
          </w:p>
        </w:tc>
        <w:tc>
          <w:tcPr>
            <w:tcW w:w="1980" w:type="dxa"/>
            <w:vAlign w:val="center"/>
          </w:tcPr>
          <w:p w:rsidR="008E1681" w:rsidRDefault="006A55D9" w:rsidP="00561D8E">
            <w:pPr>
              <w:jc w:val="center"/>
            </w:pPr>
            <w:r>
              <w:t>(</w:t>
            </w:r>
            <w:r w:rsidR="00F70F83">
              <w:t>$51.03</w:t>
            </w:r>
            <w:r>
              <w:t>)</w:t>
            </w:r>
          </w:p>
        </w:tc>
        <w:tc>
          <w:tcPr>
            <w:tcW w:w="1818" w:type="dxa"/>
            <w:vAlign w:val="center"/>
          </w:tcPr>
          <w:p w:rsidR="008E1681" w:rsidRDefault="006A55D9" w:rsidP="00561D8E">
            <w:pPr>
              <w:jc w:val="center"/>
            </w:pPr>
            <w:r>
              <w:t>(</w:t>
            </w:r>
            <w:r w:rsidR="00F70F83">
              <w:t>$</w:t>
            </w:r>
            <w:r w:rsidR="00A03839">
              <w:t>130.74</w:t>
            </w:r>
            <w:r>
              <w:t>)</w:t>
            </w:r>
          </w:p>
        </w:tc>
      </w:tr>
      <w:tr w:rsidR="008E1681" w:rsidTr="00F70F83">
        <w:tc>
          <w:tcPr>
            <w:tcW w:w="3888" w:type="dxa"/>
          </w:tcPr>
          <w:p w:rsidR="008E1681" w:rsidRPr="00C912AA" w:rsidRDefault="00C912AA" w:rsidP="00C912AA">
            <w:pPr>
              <w:jc w:val="center"/>
              <w:rPr>
                <w:b/>
              </w:rPr>
            </w:pPr>
            <w:r w:rsidRPr="00C912AA">
              <w:rPr>
                <w:b/>
              </w:rPr>
              <w:t>Ganged Meter</w:t>
            </w:r>
          </w:p>
        </w:tc>
        <w:tc>
          <w:tcPr>
            <w:tcW w:w="1890" w:type="dxa"/>
            <w:vAlign w:val="center"/>
          </w:tcPr>
          <w:p w:rsidR="008E1681" w:rsidRDefault="008E1681" w:rsidP="00561D8E">
            <w:pPr>
              <w:jc w:val="center"/>
            </w:pPr>
          </w:p>
        </w:tc>
        <w:tc>
          <w:tcPr>
            <w:tcW w:w="1980" w:type="dxa"/>
            <w:vAlign w:val="center"/>
          </w:tcPr>
          <w:p w:rsidR="008E1681" w:rsidRDefault="008E1681" w:rsidP="00561D8E">
            <w:pPr>
              <w:jc w:val="center"/>
            </w:pPr>
          </w:p>
        </w:tc>
        <w:tc>
          <w:tcPr>
            <w:tcW w:w="1818" w:type="dxa"/>
            <w:vAlign w:val="center"/>
          </w:tcPr>
          <w:p w:rsidR="008E1681" w:rsidRDefault="008E1681" w:rsidP="00561D8E">
            <w:pPr>
              <w:jc w:val="center"/>
            </w:pPr>
          </w:p>
        </w:tc>
      </w:tr>
      <w:tr w:rsidR="008E1681" w:rsidTr="00F70F83">
        <w:tc>
          <w:tcPr>
            <w:tcW w:w="3888" w:type="dxa"/>
          </w:tcPr>
          <w:p w:rsidR="008E1681" w:rsidRDefault="00C912AA" w:rsidP="00F70F83">
            <w:r>
              <w:t>Underground labor/material costs</w:t>
            </w:r>
          </w:p>
        </w:tc>
        <w:tc>
          <w:tcPr>
            <w:tcW w:w="1890" w:type="dxa"/>
            <w:vAlign w:val="center"/>
          </w:tcPr>
          <w:p w:rsidR="008E1681" w:rsidRDefault="0080663F" w:rsidP="00561D8E">
            <w:pPr>
              <w:jc w:val="center"/>
            </w:pPr>
            <w:r>
              <w:t>$1,052.50</w:t>
            </w:r>
          </w:p>
        </w:tc>
        <w:tc>
          <w:tcPr>
            <w:tcW w:w="1980" w:type="dxa"/>
            <w:vAlign w:val="center"/>
          </w:tcPr>
          <w:p w:rsidR="008E1681" w:rsidRDefault="00F70F83" w:rsidP="00561D8E">
            <w:pPr>
              <w:jc w:val="center"/>
            </w:pPr>
            <w:r>
              <w:t>$1,051.82</w:t>
            </w:r>
          </w:p>
        </w:tc>
        <w:tc>
          <w:tcPr>
            <w:tcW w:w="1818" w:type="dxa"/>
            <w:vAlign w:val="center"/>
          </w:tcPr>
          <w:p w:rsidR="008E1681" w:rsidRDefault="006A55D9" w:rsidP="00561D8E">
            <w:pPr>
              <w:jc w:val="center"/>
            </w:pPr>
            <w:r>
              <w:t>(</w:t>
            </w:r>
            <w:r w:rsidR="00541E05">
              <w:t>$0.68</w:t>
            </w:r>
            <w:r>
              <w:t>)</w:t>
            </w:r>
          </w:p>
        </w:tc>
      </w:tr>
      <w:tr w:rsidR="008E1681" w:rsidTr="00F70F83">
        <w:tc>
          <w:tcPr>
            <w:tcW w:w="3888" w:type="dxa"/>
          </w:tcPr>
          <w:p w:rsidR="008E1681" w:rsidRDefault="00C912AA" w:rsidP="00F70F83">
            <w:r>
              <w:t>Overhead labor/material costs</w:t>
            </w:r>
          </w:p>
        </w:tc>
        <w:tc>
          <w:tcPr>
            <w:tcW w:w="1890" w:type="dxa"/>
            <w:vAlign w:val="center"/>
          </w:tcPr>
          <w:p w:rsidR="008E1681" w:rsidRDefault="0080663F" w:rsidP="00561D8E">
            <w:pPr>
              <w:jc w:val="center"/>
            </w:pPr>
            <w:r>
              <w:t>$1,213.77</w:t>
            </w:r>
          </w:p>
        </w:tc>
        <w:tc>
          <w:tcPr>
            <w:tcW w:w="1980" w:type="dxa"/>
            <w:vAlign w:val="center"/>
          </w:tcPr>
          <w:p w:rsidR="008E1681" w:rsidRDefault="00F70F83" w:rsidP="00561D8E">
            <w:pPr>
              <w:jc w:val="center"/>
            </w:pPr>
            <w:r>
              <w:t>$1,344.17</w:t>
            </w:r>
          </w:p>
        </w:tc>
        <w:tc>
          <w:tcPr>
            <w:tcW w:w="1818" w:type="dxa"/>
            <w:vAlign w:val="center"/>
          </w:tcPr>
          <w:p w:rsidR="008E1681" w:rsidRDefault="00541E05" w:rsidP="00561D8E">
            <w:pPr>
              <w:jc w:val="center"/>
            </w:pPr>
            <w:r>
              <w:t>$130.40</w:t>
            </w:r>
          </w:p>
        </w:tc>
      </w:tr>
      <w:tr w:rsidR="008E1681" w:rsidTr="00F70F83">
        <w:tc>
          <w:tcPr>
            <w:tcW w:w="3888" w:type="dxa"/>
          </w:tcPr>
          <w:p w:rsidR="008E1681" w:rsidRDefault="00C912AA" w:rsidP="00062FE3">
            <w:pPr>
              <w:jc w:val="right"/>
            </w:pPr>
            <w:r>
              <w:t>Per</w:t>
            </w:r>
            <w:r w:rsidR="00062FE3">
              <w:t xml:space="preserve"> service lateral</w:t>
            </w:r>
            <w:r>
              <w:t xml:space="preserve"> differential</w:t>
            </w:r>
          </w:p>
        </w:tc>
        <w:tc>
          <w:tcPr>
            <w:tcW w:w="1890" w:type="dxa"/>
            <w:vAlign w:val="center"/>
          </w:tcPr>
          <w:p w:rsidR="008E1681" w:rsidRDefault="006A55D9" w:rsidP="00561D8E">
            <w:pPr>
              <w:jc w:val="center"/>
            </w:pPr>
            <w:r>
              <w:t>(</w:t>
            </w:r>
            <w:r w:rsidR="0080663F">
              <w:t>$161.27</w:t>
            </w:r>
            <w:r>
              <w:t>)</w:t>
            </w:r>
          </w:p>
        </w:tc>
        <w:tc>
          <w:tcPr>
            <w:tcW w:w="1980" w:type="dxa"/>
            <w:vAlign w:val="center"/>
          </w:tcPr>
          <w:p w:rsidR="008E1681" w:rsidRDefault="006A55D9" w:rsidP="00561D8E">
            <w:pPr>
              <w:jc w:val="center"/>
            </w:pPr>
            <w:r>
              <w:t>(</w:t>
            </w:r>
            <w:r w:rsidR="00F70F83">
              <w:t>$292.35</w:t>
            </w:r>
            <w:r>
              <w:t>)</w:t>
            </w:r>
          </w:p>
        </w:tc>
        <w:tc>
          <w:tcPr>
            <w:tcW w:w="1818" w:type="dxa"/>
            <w:vAlign w:val="center"/>
          </w:tcPr>
          <w:p w:rsidR="008E1681" w:rsidRDefault="006A55D9" w:rsidP="00561D8E">
            <w:pPr>
              <w:jc w:val="center"/>
            </w:pPr>
            <w:r>
              <w:t>(</w:t>
            </w:r>
            <w:r w:rsidR="00541E05">
              <w:t>$131.08</w:t>
            </w:r>
            <w:r>
              <w:t>)</w:t>
            </w:r>
          </w:p>
        </w:tc>
      </w:tr>
    </w:tbl>
    <w:p w:rsidR="00D32FB6" w:rsidRDefault="008E1681" w:rsidP="008E1681">
      <w:pPr>
        <w:pStyle w:val="TableSource"/>
      </w:pPr>
      <w:r>
        <w:t xml:space="preserve">Source: </w:t>
      </w:r>
      <w:r w:rsidR="00C912AA">
        <w:t>2014 Order and FPL’s 2016 filing</w:t>
      </w:r>
    </w:p>
    <w:p w:rsidR="00884D62" w:rsidRDefault="00884D62" w:rsidP="00884D62">
      <w:pPr>
        <w:pStyle w:val="First-LevelSubheading"/>
      </w:pPr>
      <w:r>
        <w:t>Operational Costs</w:t>
      </w:r>
    </w:p>
    <w:p w:rsidR="00884D62" w:rsidRDefault="00884D62" w:rsidP="00884D62">
      <w:pPr>
        <w:pStyle w:val="BodyText"/>
      </w:pPr>
      <w:r>
        <w:t xml:space="preserve">Rule 25-6.078, F.A.C., requires that the differences in net present value of operational costs between overhead and underground systems, including average historical storm restoration costs over the life of the facilities, be included in the URD charge. The non-storm operational costs represent the cost differential between maintaining and operating an underground versus an overhead </w:t>
      </w:r>
      <w:r w:rsidR="007F1BBD">
        <w:t>system</w:t>
      </w:r>
      <w:r>
        <w:t xml:space="preserve"> over the life of the facilities. The storm cost component represents storm restoration costs </w:t>
      </w:r>
      <w:r w:rsidR="00204443">
        <w:t xml:space="preserve">avoided </w:t>
      </w:r>
      <w:r>
        <w:t xml:space="preserve">when an area is </w:t>
      </w:r>
      <w:r w:rsidR="007F1BBD">
        <w:t>undergrounded</w:t>
      </w:r>
      <w:r>
        <w:t xml:space="preserve">, thereby reducing the cost to restore an </w:t>
      </w:r>
      <w:r>
        <w:lastRenderedPageBreak/>
        <w:t>overhead system.</w:t>
      </w:r>
      <w:r w:rsidR="007F1BBD">
        <w:t xml:space="preserve"> The avoided storm cost is subtracted from </w:t>
      </w:r>
      <w:r w:rsidR="007F1BBD" w:rsidRPr="00166A2B">
        <w:t xml:space="preserve">pre-operational </w:t>
      </w:r>
      <w:r w:rsidR="00BF03C6" w:rsidRPr="00166A2B">
        <w:t xml:space="preserve">and </w:t>
      </w:r>
      <w:r w:rsidR="007F1BBD" w:rsidRPr="00166A2B">
        <w:t>non-storm</w:t>
      </w:r>
      <w:r w:rsidR="007F1BBD">
        <w:t xml:space="preserve"> operational costs, thus reducing the URD differential charge.</w:t>
      </w:r>
    </w:p>
    <w:p w:rsidR="00A04524" w:rsidRDefault="000F3EF7" w:rsidP="00884D62">
      <w:pPr>
        <w:pStyle w:val="BodyText"/>
      </w:pPr>
      <w:r w:rsidRPr="00413B4C">
        <w:t>FPL’s operational costs</w:t>
      </w:r>
      <w:r w:rsidR="00395740" w:rsidRPr="00413B4C">
        <w:t>, last updated for the 2014 filing,</w:t>
      </w:r>
      <w:r w:rsidRPr="00413B4C">
        <w:t xml:space="preserve"> are a five-year average</w:t>
      </w:r>
      <w:r w:rsidR="00BF03C6" w:rsidRPr="00693DB4">
        <w:t>,</w:t>
      </w:r>
      <w:r w:rsidRPr="00413B4C">
        <w:t xml:space="preserve"> which according to FPL, </w:t>
      </w:r>
      <w:r w:rsidRPr="00693DB4">
        <w:t>mitigate</w:t>
      </w:r>
      <w:r w:rsidRPr="00413B4C">
        <w:t xml:space="preserve"> any significant future volatility.</w:t>
      </w:r>
      <w:r w:rsidR="00395740" w:rsidRPr="00413B4C">
        <w:t xml:space="preserve"> </w:t>
      </w:r>
      <w:r w:rsidRPr="00413B4C">
        <w:t>FP</w:t>
      </w:r>
      <w:r w:rsidR="00EB0881" w:rsidRPr="00413B4C">
        <w:t>L explained that average changes in the non-storm and storm operational cost per lot were approximately 2 percent and 1 percent per year, respectively, from 2007-2014.</w:t>
      </w:r>
    </w:p>
    <w:p w:rsidR="00A04524" w:rsidRDefault="004E3073" w:rsidP="00DA7F17">
      <w:pPr>
        <w:pStyle w:val="BodyText"/>
      </w:pPr>
      <w:r>
        <w:t>T</w:t>
      </w:r>
      <w:r w:rsidR="007F1BBD">
        <w:t xml:space="preserve">able 1-3 presents the pre-operational, </w:t>
      </w:r>
      <w:r w:rsidR="00166ADA">
        <w:t xml:space="preserve">non-storm </w:t>
      </w:r>
      <w:r w:rsidR="007F1BBD">
        <w:t xml:space="preserve">operational, </w:t>
      </w:r>
      <w:r w:rsidR="00D43E00">
        <w:t xml:space="preserve">and </w:t>
      </w:r>
      <w:r w:rsidR="007F1BBD">
        <w:t xml:space="preserve">the avoided storm restoration cost differentials </w:t>
      </w:r>
      <w:r w:rsidR="00DA7F17">
        <w:t>between</w:t>
      </w:r>
      <w:r w:rsidR="00D43E00">
        <w:t xml:space="preserve"> </w:t>
      </w:r>
      <w:r w:rsidR="007F1BBD">
        <w:t>overhead</w:t>
      </w:r>
      <w:r w:rsidR="00D43E00">
        <w:t xml:space="preserve"> </w:t>
      </w:r>
      <w:r w:rsidR="007F1BBD">
        <w:t>and underground systems</w:t>
      </w:r>
      <w:r w:rsidR="006A55DD">
        <w:t xml:space="preserve">. </w:t>
      </w:r>
      <w:r w:rsidR="006A55D9">
        <w:t>The</w:t>
      </w:r>
      <w:r w:rsidR="0093649D">
        <w:t xml:space="preserve"> proposed</w:t>
      </w:r>
      <w:r w:rsidR="006A55D9">
        <w:t xml:space="preserve"> differential is $0 w</w:t>
      </w:r>
      <w:r w:rsidR="006A55DD">
        <w:t xml:space="preserve">hen the </w:t>
      </w:r>
      <w:r w:rsidR="0093649D">
        <w:t>calculation results in a negative number</w:t>
      </w:r>
      <w:r w:rsidR="006A55DD">
        <w:t>.</w:t>
      </w:r>
      <w:r w:rsidR="00D43E00">
        <w:t xml:space="preserve"> </w:t>
      </w:r>
    </w:p>
    <w:p w:rsidR="006747C1" w:rsidRDefault="006747C1" w:rsidP="006747C1">
      <w:pPr>
        <w:pStyle w:val="TableNumber"/>
        <w:keepNext/>
      </w:pPr>
      <w:r>
        <w:t xml:space="preserve">Table </w:t>
      </w:r>
      <w:r w:rsidR="00546DE3">
        <w:fldChar w:fldCharType="begin"/>
      </w:r>
      <w:r w:rsidR="00546DE3">
        <w:instrText xml:space="preserve"> SEQ Issue \c </w:instrText>
      </w:r>
      <w:r w:rsidR="00546DE3">
        <w:fldChar w:fldCharType="separate"/>
      </w:r>
      <w:r w:rsidR="00BC26FE">
        <w:rPr>
          <w:noProof/>
        </w:rPr>
        <w:t>1</w:t>
      </w:r>
      <w:r w:rsidR="00546DE3">
        <w:rPr>
          <w:noProof/>
        </w:rPr>
        <w:fldChar w:fldCharType="end"/>
      </w:r>
      <w:r>
        <w:t>-3</w:t>
      </w:r>
    </w:p>
    <w:p w:rsidR="006747C1" w:rsidRDefault="006747C1" w:rsidP="006747C1">
      <w:pPr>
        <w:pStyle w:val="TableTitle"/>
        <w:keepNext/>
      </w:pPr>
      <w:r>
        <w:t>Components of the URD Charges</w:t>
      </w:r>
    </w:p>
    <w:tbl>
      <w:tblPr>
        <w:tblStyle w:val="TableGrid"/>
        <w:tblW w:w="0" w:type="auto"/>
        <w:tblLook w:val="04A0" w:firstRow="1" w:lastRow="0" w:firstColumn="1" w:lastColumn="0" w:noHBand="0" w:noVBand="1"/>
      </w:tblPr>
      <w:tblGrid>
        <w:gridCol w:w="1458"/>
        <w:gridCol w:w="2340"/>
        <w:gridCol w:w="1400"/>
        <w:gridCol w:w="1390"/>
        <w:gridCol w:w="1492"/>
        <w:gridCol w:w="1496"/>
      </w:tblGrid>
      <w:tr w:rsidR="006747C1" w:rsidTr="000F3EF7">
        <w:tc>
          <w:tcPr>
            <w:tcW w:w="1458" w:type="dxa"/>
            <w:vAlign w:val="center"/>
          </w:tcPr>
          <w:p w:rsidR="006A55DD" w:rsidRPr="006A55DD" w:rsidRDefault="006A55DD" w:rsidP="000F3EF7">
            <w:pPr>
              <w:rPr>
                <w:b/>
              </w:rPr>
            </w:pPr>
          </w:p>
          <w:p w:rsidR="006A55DD" w:rsidRPr="006A55DD" w:rsidRDefault="006A55DD" w:rsidP="000F3EF7">
            <w:pPr>
              <w:rPr>
                <w:b/>
              </w:rPr>
            </w:pPr>
          </w:p>
          <w:p w:rsidR="006747C1" w:rsidRPr="006A55DD" w:rsidRDefault="006747C1" w:rsidP="000F3EF7">
            <w:pPr>
              <w:rPr>
                <w:b/>
              </w:rPr>
            </w:pPr>
            <w:r w:rsidRPr="006A55DD">
              <w:rPr>
                <w:b/>
              </w:rPr>
              <w:t>Type of Subdivision</w:t>
            </w:r>
          </w:p>
        </w:tc>
        <w:tc>
          <w:tcPr>
            <w:tcW w:w="2340" w:type="dxa"/>
            <w:vAlign w:val="center"/>
          </w:tcPr>
          <w:p w:rsidR="000F3EF7" w:rsidRDefault="000F3EF7" w:rsidP="000F3EF7">
            <w:pPr>
              <w:rPr>
                <w:b/>
              </w:rPr>
            </w:pPr>
          </w:p>
          <w:p w:rsidR="006747C1" w:rsidRPr="006A55DD" w:rsidRDefault="006747C1" w:rsidP="000F3EF7">
            <w:pPr>
              <w:rPr>
                <w:b/>
              </w:rPr>
            </w:pPr>
            <w:r w:rsidRPr="006A55DD">
              <w:rPr>
                <w:b/>
              </w:rPr>
              <w:t>Number of Service Laterals in Subdivision</w:t>
            </w:r>
          </w:p>
        </w:tc>
        <w:tc>
          <w:tcPr>
            <w:tcW w:w="1400" w:type="dxa"/>
            <w:vAlign w:val="center"/>
          </w:tcPr>
          <w:p w:rsidR="006747C1" w:rsidRPr="006A55DD" w:rsidRDefault="006747C1" w:rsidP="000F3EF7">
            <w:pPr>
              <w:rPr>
                <w:b/>
              </w:rPr>
            </w:pPr>
            <w:r w:rsidRPr="006A55DD">
              <w:rPr>
                <w:b/>
              </w:rPr>
              <w:t>Pre-operational Costs</w:t>
            </w:r>
          </w:p>
          <w:p w:rsidR="006747C1" w:rsidRPr="006A55DD" w:rsidRDefault="006747C1" w:rsidP="000F3EF7">
            <w:pPr>
              <w:rPr>
                <w:b/>
              </w:rPr>
            </w:pPr>
            <w:r w:rsidRPr="006A55DD">
              <w:rPr>
                <w:b/>
              </w:rPr>
              <w:t>(A)</w:t>
            </w:r>
          </w:p>
        </w:tc>
        <w:tc>
          <w:tcPr>
            <w:tcW w:w="1390" w:type="dxa"/>
            <w:vAlign w:val="center"/>
          </w:tcPr>
          <w:p w:rsidR="006747C1" w:rsidRPr="006A55DD" w:rsidRDefault="006747C1" w:rsidP="000F3EF7">
            <w:pPr>
              <w:rPr>
                <w:b/>
              </w:rPr>
            </w:pPr>
            <w:r w:rsidRPr="006A55DD">
              <w:rPr>
                <w:b/>
              </w:rPr>
              <w:t>Non-storm operational costs</w:t>
            </w:r>
          </w:p>
          <w:p w:rsidR="006747C1" w:rsidRPr="006A55DD" w:rsidRDefault="006747C1" w:rsidP="000F3EF7">
            <w:pPr>
              <w:rPr>
                <w:b/>
              </w:rPr>
            </w:pPr>
            <w:r w:rsidRPr="006A55DD">
              <w:rPr>
                <w:b/>
              </w:rPr>
              <w:t>(B)</w:t>
            </w:r>
          </w:p>
        </w:tc>
        <w:tc>
          <w:tcPr>
            <w:tcW w:w="1492" w:type="dxa"/>
            <w:vAlign w:val="center"/>
          </w:tcPr>
          <w:p w:rsidR="006A55D9" w:rsidRDefault="006A55D9" w:rsidP="000F3EF7">
            <w:pPr>
              <w:rPr>
                <w:b/>
              </w:rPr>
            </w:pPr>
          </w:p>
          <w:p w:rsidR="006747C1" w:rsidRPr="006A55DD" w:rsidRDefault="006747C1" w:rsidP="000F3EF7">
            <w:pPr>
              <w:rPr>
                <w:b/>
              </w:rPr>
            </w:pPr>
            <w:r w:rsidRPr="006A55DD">
              <w:rPr>
                <w:b/>
              </w:rPr>
              <w:t>Avoided Storm costs</w:t>
            </w:r>
          </w:p>
          <w:p w:rsidR="006747C1" w:rsidRPr="006A55DD" w:rsidRDefault="006747C1" w:rsidP="000F3EF7">
            <w:pPr>
              <w:rPr>
                <w:b/>
              </w:rPr>
            </w:pPr>
            <w:r w:rsidRPr="006A55DD">
              <w:rPr>
                <w:b/>
              </w:rPr>
              <w:t>(C)</w:t>
            </w:r>
          </w:p>
        </w:tc>
        <w:tc>
          <w:tcPr>
            <w:tcW w:w="1496" w:type="dxa"/>
            <w:vAlign w:val="center"/>
          </w:tcPr>
          <w:p w:rsidR="006747C1" w:rsidRPr="006A55DD" w:rsidRDefault="006747C1" w:rsidP="000F3EF7">
            <w:pPr>
              <w:rPr>
                <w:b/>
              </w:rPr>
            </w:pPr>
            <w:r w:rsidRPr="006A55DD">
              <w:rPr>
                <w:b/>
              </w:rPr>
              <w:t>Proposed URD Differentials</w:t>
            </w:r>
          </w:p>
          <w:p w:rsidR="006747C1" w:rsidRPr="006A55DD" w:rsidRDefault="006747C1" w:rsidP="000F3EF7">
            <w:pPr>
              <w:rPr>
                <w:b/>
              </w:rPr>
            </w:pPr>
            <w:r w:rsidRPr="006A55DD">
              <w:rPr>
                <w:b/>
              </w:rPr>
              <w:t>(A)+(B)</w:t>
            </w:r>
            <w:r w:rsidR="00DA7F17">
              <w:rPr>
                <w:b/>
              </w:rPr>
              <w:t>+</w:t>
            </w:r>
            <w:r w:rsidRPr="006A55DD">
              <w:rPr>
                <w:b/>
              </w:rPr>
              <w:t>(C)</w:t>
            </w:r>
          </w:p>
        </w:tc>
      </w:tr>
      <w:tr w:rsidR="00ED24E7" w:rsidTr="006A55D9">
        <w:tc>
          <w:tcPr>
            <w:tcW w:w="1458" w:type="dxa"/>
            <w:vMerge w:val="restart"/>
            <w:vAlign w:val="center"/>
          </w:tcPr>
          <w:p w:rsidR="00ED24E7" w:rsidRPr="006A55DD" w:rsidRDefault="00ED24E7" w:rsidP="006A55D9">
            <w:r w:rsidRPr="006A55DD">
              <w:t>Low Density</w:t>
            </w:r>
          </w:p>
        </w:tc>
        <w:tc>
          <w:tcPr>
            <w:tcW w:w="2340" w:type="dxa"/>
          </w:tcPr>
          <w:p w:rsidR="00ED24E7" w:rsidRDefault="00ED24E7" w:rsidP="00561D8E">
            <w:r>
              <w:t>Tier 1 – 200 or more</w:t>
            </w:r>
          </w:p>
        </w:tc>
        <w:tc>
          <w:tcPr>
            <w:tcW w:w="1400" w:type="dxa"/>
            <w:vMerge w:val="restart"/>
            <w:vAlign w:val="center"/>
          </w:tcPr>
          <w:p w:rsidR="00ED24E7" w:rsidRDefault="00ED24E7" w:rsidP="00561D8E">
            <w:pPr>
              <w:jc w:val="center"/>
            </w:pPr>
            <w:r>
              <w:t>$141.35</w:t>
            </w:r>
          </w:p>
        </w:tc>
        <w:tc>
          <w:tcPr>
            <w:tcW w:w="1390" w:type="dxa"/>
            <w:vAlign w:val="center"/>
          </w:tcPr>
          <w:p w:rsidR="00ED24E7" w:rsidRDefault="00ED24E7" w:rsidP="00561D8E">
            <w:pPr>
              <w:jc w:val="center"/>
            </w:pPr>
            <w:r>
              <w:t>$208</w:t>
            </w:r>
          </w:p>
        </w:tc>
        <w:tc>
          <w:tcPr>
            <w:tcW w:w="1492" w:type="dxa"/>
            <w:vAlign w:val="center"/>
          </w:tcPr>
          <w:p w:rsidR="00ED24E7" w:rsidRDefault="00561D8E" w:rsidP="00561D8E">
            <w:pPr>
              <w:jc w:val="center"/>
            </w:pPr>
            <w:r>
              <w:t>(</w:t>
            </w:r>
            <w:r w:rsidR="00ED24E7">
              <w:t>$416</w:t>
            </w:r>
            <w:r w:rsidR="00DA7F17">
              <w:t>)</w:t>
            </w:r>
          </w:p>
        </w:tc>
        <w:tc>
          <w:tcPr>
            <w:tcW w:w="1496" w:type="dxa"/>
            <w:vAlign w:val="center"/>
          </w:tcPr>
          <w:p w:rsidR="00ED24E7" w:rsidRDefault="003C5DE0" w:rsidP="00561D8E">
            <w:pPr>
              <w:jc w:val="center"/>
            </w:pPr>
            <w:r>
              <w:t>$0</w:t>
            </w:r>
          </w:p>
        </w:tc>
      </w:tr>
      <w:tr w:rsidR="00ED24E7" w:rsidTr="006A55D9">
        <w:tc>
          <w:tcPr>
            <w:tcW w:w="1458" w:type="dxa"/>
            <w:vMerge/>
            <w:vAlign w:val="center"/>
          </w:tcPr>
          <w:p w:rsidR="00ED24E7" w:rsidRPr="006A55DD" w:rsidRDefault="00ED24E7" w:rsidP="006A55D9"/>
        </w:tc>
        <w:tc>
          <w:tcPr>
            <w:tcW w:w="2340" w:type="dxa"/>
          </w:tcPr>
          <w:p w:rsidR="00ED24E7" w:rsidRDefault="00ED24E7" w:rsidP="00561D8E">
            <w:r>
              <w:t>Tier 2 – 85 – 199</w:t>
            </w:r>
          </w:p>
        </w:tc>
        <w:tc>
          <w:tcPr>
            <w:tcW w:w="1400" w:type="dxa"/>
            <w:vMerge/>
            <w:vAlign w:val="center"/>
          </w:tcPr>
          <w:p w:rsidR="00ED24E7" w:rsidRDefault="00ED24E7" w:rsidP="00561D8E">
            <w:pPr>
              <w:jc w:val="center"/>
            </w:pPr>
          </w:p>
        </w:tc>
        <w:tc>
          <w:tcPr>
            <w:tcW w:w="1390" w:type="dxa"/>
            <w:vAlign w:val="center"/>
          </w:tcPr>
          <w:p w:rsidR="00ED24E7" w:rsidRDefault="00ED24E7" w:rsidP="00561D8E">
            <w:pPr>
              <w:jc w:val="center"/>
            </w:pPr>
            <w:r>
              <w:t>$208</w:t>
            </w:r>
          </w:p>
        </w:tc>
        <w:tc>
          <w:tcPr>
            <w:tcW w:w="1492" w:type="dxa"/>
            <w:vAlign w:val="center"/>
          </w:tcPr>
          <w:p w:rsidR="00ED24E7" w:rsidRDefault="00DA7F17" w:rsidP="00561D8E">
            <w:pPr>
              <w:jc w:val="center"/>
            </w:pPr>
            <w:r>
              <w:t>(</w:t>
            </w:r>
            <w:r w:rsidR="00ED24E7">
              <w:t>$166</w:t>
            </w:r>
            <w:r>
              <w:t>)</w:t>
            </w:r>
          </w:p>
        </w:tc>
        <w:tc>
          <w:tcPr>
            <w:tcW w:w="1496" w:type="dxa"/>
            <w:vAlign w:val="center"/>
          </w:tcPr>
          <w:p w:rsidR="00ED24E7" w:rsidRDefault="003C5DE0" w:rsidP="00561D8E">
            <w:pPr>
              <w:jc w:val="center"/>
            </w:pPr>
            <w:r>
              <w:t>$183.35</w:t>
            </w:r>
          </w:p>
        </w:tc>
      </w:tr>
      <w:tr w:rsidR="00ED24E7" w:rsidTr="006A55D9">
        <w:tc>
          <w:tcPr>
            <w:tcW w:w="1458" w:type="dxa"/>
            <w:vMerge/>
            <w:vAlign w:val="center"/>
          </w:tcPr>
          <w:p w:rsidR="00ED24E7" w:rsidRPr="006A55DD" w:rsidRDefault="00ED24E7" w:rsidP="006A55D9"/>
        </w:tc>
        <w:tc>
          <w:tcPr>
            <w:tcW w:w="2340" w:type="dxa"/>
          </w:tcPr>
          <w:p w:rsidR="00ED24E7" w:rsidRDefault="00ED24E7" w:rsidP="00561D8E">
            <w:r>
              <w:t>Tier 3 – less than 85</w:t>
            </w:r>
          </w:p>
        </w:tc>
        <w:tc>
          <w:tcPr>
            <w:tcW w:w="1400" w:type="dxa"/>
            <w:vMerge/>
            <w:vAlign w:val="center"/>
          </w:tcPr>
          <w:p w:rsidR="00ED24E7" w:rsidRDefault="00ED24E7" w:rsidP="00561D8E">
            <w:pPr>
              <w:jc w:val="center"/>
            </w:pPr>
          </w:p>
        </w:tc>
        <w:tc>
          <w:tcPr>
            <w:tcW w:w="1390" w:type="dxa"/>
            <w:vAlign w:val="center"/>
          </w:tcPr>
          <w:p w:rsidR="00ED24E7" w:rsidRDefault="00ED24E7" w:rsidP="00561D8E">
            <w:pPr>
              <w:jc w:val="center"/>
            </w:pPr>
            <w:r>
              <w:t>$208</w:t>
            </w:r>
          </w:p>
        </w:tc>
        <w:tc>
          <w:tcPr>
            <w:tcW w:w="1492" w:type="dxa"/>
            <w:vAlign w:val="center"/>
          </w:tcPr>
          <w:p w:rsidR="00ED24E7" w:rsidRDefault="00DA7F17" w:rsidP="00561D8E">
            <w:pPr>
              <w:jc w:val="center"/>
            </w:pPr>
            <w:r>
              <w:t>(</w:t>
            </w:r>
            <w:r w:rsidR="00ED24E7">
              <w:t>$83</w:t>
            </w:r>
            <w:r>
              <w:t>)</w:t>
            </w:r>
          </w:p>
        </w:tc>
        <w:tc>
          <w:tcPr>
            <w:tcW w:w="1496" w:type="dxa"/>
            <w:vAlign w:val="center"/>
          </w:tcPr>
          <w:p w:rsidR="00ED24E7" w:rsidRDefault="003C5DE0" w:rsidP="00561D8E">
            <w:pPr>
              <w:jc w:val="center"/>
            </w:pPr>
            <w:r>
              <w:t>$266.35</w:t>
            </w:r>
          </w:p>
        </w:tc>
      </w:tr>
      <w:tr w:rsidR="00ED24E7" w:rsidTr="006A55D9">
        <w:tc>
          <w:tcPr>
            <w:tcW w:w="1458" w:type="dxa"/>
            <w:vMerge w:val="restart"/>
            <w:vAlign w:val="center"/>
          </w:tcPr>
          <w:p w:rsidR="00ED24E7" w:rsidRPr="006A55DD" w:rsidRDefault="00ED24E7" w:rsidP="006A55D9">
            <w:r w:rsidRPr="006A55DD">
              <w:t>High Density</w:t>
            </w:r>
          </w:p>
        </w:tc>
        <w:tc>
          <w:tcPr>
            <w:tcW w:w="2340" w:type="dxa"/>
          </w:tcPr>
          <w:p w:rsidR="00ED24E7" w:rsidRDefault="00ED24E7" w:rsidP="00561D8E">
            <w:r>
              <w:t>Tier 1 – 300 or more</w:t>
            </w:r>
          </w:p>
        </w:tc>
        <w:tc>
          <w:tcPr>
            <w:tcW w:w="1400" w:type="dxa"/>
            <w:vMerge w:val="restart"/>
            <w:vAlign w:val="center"/>
          </w:tcPr>
          <w:p w:rsidR="00ED24E7" w:rsidRDefault="006A55D9" w:rsidP="00561D8E">
            <w:pPr>
              <w:jc w:val="center"/>
            </w:pPr>
            <w:r>
              <w:t>($51.03)</w:t>
            </w:r>
          </w:p>
        </w:tc>
        <w:tc>
          <w:tcPr>
            <w:tcW w:w="1390" w:type="dxa"/>
            <w:vAlign w:val="center"/>
          </w:tcPr>
          <w:p w:rsidR="00ED24E7" w:rsidRDefault="00ED24E7" w:rsidP="00561D8E">
            <w:pPr>
              <w:jc w:val="center"/>
            </w:pPr>
            <w:r>
              <w:t>$192</w:t>
            </w:r>
          </w:p>
        </w:tc>
        <w:tc>
          <w:tcPr>
            <w:tcW w:w="1492" w:type="dxa"/>
            <w:vAlign w:val="center"/>
          </w:tcPr>
          <w:p w:rsidR="00ED24E7" w:rsidRDefault="00DA7F17" w:rsidP="00561D8E">
            <w:pPr>
              <w:jc w:val="center"/>
            </w:pPr>
            <w:r>
              <w:t>(</w:t>
            </w:r>
            <w:r w:rsidR="003C5DE0">
              <w:t>$416</w:t>
            </w:r>
            <w:r>
              <w:t>)</w:t>
            </w:r>
          </w:p>
        </w:tc>
        <w:tc>
          <w:tcPr>
            <w:tcW w:w="1496" w:type="dxa"/>
            <w:vAlign w:val="center"/>
          </w:tcPr>
          <w:p w:rsidR="00ED24E7" w:rsidRDefault="003C5DE0" w:rsidP="00561D8E">
            <w:pPr>
              <w:jc w:val="center"/>
            </w:pPr>
            <w:r>
              <w:t>$0</w:t>
            </w:r>
          </w:p>
        </w:tc>
      </w:tr>
      <w:tr w:rsidR="00ED24E7" w:rsidTr="006A55D9">
        <w:tc>
          <w:tcPr>
            <w:tcW w:w="1458" w:type="dxa"/>
            <w:vMerge/>
            <w:vAlign w:val="center"/>
          </w:tcPr>
          <w:p w:rsidR="00ED24E7" w:rsidRPr="006A55DD" w:rsidRDefault="00ED24E7" w:rsidP="006A55DD">
            <w:pPr>
              <w:jc w:val="center"/>
            </w:pPr>
          </w:p>
        </w:tc>
        <w:tc>
          <w:tcPr>
            <w:tcW w:w="2340" w:type="dxa"/>
          </w:tcPr>
          <w:p w:rsidR="00ED24E7" w:rsidRDefault="00ED24E7" w:rsidP="00561D8E">
            <w:r>
              <w:t>Tier 2 – 100 – 299</w:t>
            </w:r>
          </w:p>
        </w:tc>
        <w:tc>
          <w:tcPr>
            <w:tcW w:w="1400" w:type="dxa"/>
            <w:vMerge/>
          </w:tcPr>
          <w:p w:rsidR="00ED24E7" w:rsidRDefault="00ED24E7" w:rsidP="00561D8E">
            <w:pPr>
              <w:jc w:val="center"/>
            </w:pPr>
          </w:p>
        </w:tc>
        <w:tc>
          <w:tcPr>
            <w:tcW w:w="1390" w:type="dxa"/>
            <w:vAlign w:val="center"/>
          </w:tcPr>
          <w:p w:rsidR="00ED24E7" w:rsidRDefault="00ED24E7" w:rsidP="00561D8E">
            <w:pPr>
              <w:jc w:val="center"/>
            </w:pPr>
            <w:r>
              <w:t>$192</w:t>
            </w:r>
          </w:p>
        </w:tc>
        <w:tc>
          <w:tcPr>
            <w:tcW w:w="1492" w:type="dxa"/>
            <w:vAlign w:val="center"/>
          </w:tcPr>
          <w:p w:rsidR="00ED24E7" w:rsidRDefault="00DA7F17" w:rsidP="00561D8E">
            <w:pPr>
              <w:jc w:val="center"/>
            </w:pPr>
            <w:r>
              <w:t>(</w:t>
            </w:r>
            <w:r w:rsidR="003C5DE0">
              <w:t>$166</w:t>
            </w:r>
            <w:r>
              <w:t>)</w:t>
            </w:r>
          </w:p>
        </w:tc>
        <w:tc>
          <w:tcPr>
            <w:tcW w:w="1496" w:type="dxa"/>
            <w:vAlign w:val="center"/>
          </w:tcPr>
          <w:p w:rsidR="00ED24E7" w:rsidRDefault="003C5DE0" w:rsidP="00561D8E">
            <w:pPr>
              <w:jc w:val="center"/>
            </w:pPr>
            <w:r>
              <w:t>$0</w:t>
            </w:r>
          </w:p>
        </w:tc>
      </w:tr>
      <w:tr w:rsidR="00ED24E7" w:rsidTr="006A55D9">
        <w:tc>
          <w:tcPr>
            <w:tcW w:w="1458" w:type="dxa"/>
            <w:vMerge/>
            <w:vAlign w:val="center"/>
          </w:tcPr>
          <w:p w:rsidR="00ED24E7" w:rsidRPr="006A55DD" w:rsidRDefault="00ED24E7" w:rsidP="006A55DD">
            <w:pPr>
              <w:jc w:val="center"/>
            </w:pPr>
          </w:p>
        </w:tc>
        <w:tc>
          <w:tcPr>
            <w:tcW w:w="2340" w:type="dxa"/>
          </w:tcPr>
          <w:p w:rsidR="00ED24E7" w:rsidRDefault="00ED24E7" w:rsidP="00561D8E">
            <w:r>
              <w:t>Tier 3 – less than 100</w:t>
            </w:r>
          </w:p>
        </w:tc>
        <w:tc>
          <w:tcPr>
            <w:tcW w:w="1400" w:type="dxa"/>
            <w:vMerge/>
          </w:tcPr>
          <w:p w:rsidR="00ED24E7" w:rsidRDefault="00ED24E7" w:rsidP="00561D8E">
            <w:pPr>
              <w:jc w:val="center"/>
            </w:pPr>
          </w:p>
        </w:tc>
        <w:tc>
          <w:tcPr>
            <w:tcW w:w="1390" w:type="dxa"/>
            <w:vAlign w:val="center"/>
          </w:tcPr>
          <w:p w:rsidR="00ED24E7" w:rsidRDefault="00ED24E7" w:rsidP="00561D8E">
            <w:pPr>
              <w:jc w:val="center"/>
            </w:pPr>
            <w:r>
              <w:t>$192</w:t>
            </w:r>
          </w:p>
        </w:tc>
        <w:tc>
          <w:tcPr>
            <w:tcW w:w="1492" w:type="dxa"/>
            <w:vAlign w:val="center"/>
          </w:tcPr>
          <w:p w:rsidR="00ED24E7" w:rsidRDefault="00DA7F17" w:rsidP="00561D8E">
            <w:pPr>
              <w:jc w:val="center"/>
            </w:pPr>
            <w:r>
              <w:t>(</w:t>
            </w:r>
            <w:r w:rsidR="003C5DE0">
              <w:t>$83</w:t>
            </w:r>
            <w:r>
              <w:t>)</w:t>
            </w:r>
          </w:p>
        </w:tc>
        <w:tc>
          <w:tcPr>
            <w:tcW w:w="1496" w:type="dxa"/>
            <w:vAlign w:val="center"/>
          </w:tcPr>
          <w:p w:rsidR="00ED24E7" w:rsidRDefault="003C5DE0" w:rsidP="00561D8E">
            <w:pPr>
              <w:jc w:val="center"/>
            </w:pPr>
            <w:r>
              <w:t>$57.97</w:t>
            </w:r>
          </w:p>
        </w:tc>
      </w:tr>
      <w:tr w:rsidR="00ED24E7" w:rsidTr="000F77B5">
        <w:tc>
          <w:tcPr>
            <w:tcW w:w="1458" w:type="dxa"/>
            <w:vMerge w:val="restart"/>
            <w:vAlign w:val="center"/>
          </w:tcPr>
          <w:p w:rsidR="00ED24E7" w:rsidRPr="006A55DD" w:rsidRDefault="00ED24E7" w:rsidP="006A55D9">
            <w:r w:rsidRPr="006A55DD">
              <w:t>Ganged Meter</w:t>
            </w:r>
          </w:p>
        </w:tc>
        <w:tc>
          <w:tcPr>
            <w:tcW w:w="2340" w:type="dxa"/>
          </w:tcPr>
          <w:p w:rsidR="00ED24E7" w:rsidRDefault="00ED24E7" w:rsidP="00561D8E">
            <w:r>
              <w:t>Tier 1 – 300 or more</w:t>
            </w:r>
          </w:p>
        </w:tc>
        <w:tc>
          <w:tcPr>
            <w:tcW w:w="1400" w:type="dxa"/>
            <w:vMerge w:val="restart"/>
            <w:vAlign w:val="center"/>
          </w:tcPr>
          <w:p w:rsidR="00ED24E7" w:rsidRDefault="003C5DE0" w:rsidP="00561D8E">
            <w:pPr>
              <w:jc w:val="center"/>
            </w:pPr>
            <w:r>
              <w:t>($292.35)</w:t>
            </w:r>
          </w:p>
        </w:tc>
        <w:tc>
          <w:tcPr>
            <w:tcW w:w="1390" w:type="dxa"/>
          </w:tcPr>
          <w:p w:rsidR="00ED24E7" w:rsidRDefault="00ED24E7" w:rsidP="00561D8E">
            <w:pPr>
              <w:jc w:val="center"/>
            </w:pPr>
            <w:r>
              <w:t>$192</w:t>
            </w:r>
          </w:p>
        </w:tc>
        <w:tc>
          <w:tcPr>
            <w:tcW w:w="1492" w:type="dxa"/>
          </w:tcPr>
          <w:p w:rsidR="00ED24E7" w:rsidRDefault="00DA7F17" w:rsidP="00561D8E">
            <w:pPr>
              <w:jc w:val="center"/>
            </w:pPr>
            <w:r>
              <w:t>(</w:t>
            </w:r>
            <w:r w:rsidR="003C5DE0">
              <w:t>$416</w:t>
            </w:r>
            <w:r>
              <w:t>)</w:t>
            </w:r>
          </w:p>
        </w:tc>
        <w:tc>
          <w:tcPr>
            <w:tcW w:w="1496" w:type="dxa"/>
          </w:tcPr>
          <w:p w:rsidR="00ED24E7" w:rsidRDefault="003C5DE0" w:rsidP="00561D8E">
            <w:pPr>
              <w:jc w:val="center"/>
            </w:pPr>
            <w:r>
              <w:t>$0</w:t>
            </w:r>
          </w:p>
        </w:tc>
      </w:tr>
      <w:tr w:rsidR="00ED24E7" w:rsidTr="006A55D9">
        <w:tc>
          <w:tcPr>
            <w:tcW w:w="1458" w:type="dxa"/>
            <w:vMerge/>
          </w:tcPr>
          <w:p w:rsidR="00ED24E7" w:rsidRDefault="00ED24E7" w:rsidP="006747C1"/>
        </w:tc>
        <w:tc>
          <w:tcPr>
            <w:tcW w:w="2340" w:type="dxa"/>
          </w:tcPr>
          <w:p w:rsidR="00ED24E7" w:rsidRDefault="00ED24E7" w:rsidP="00561D8E">
            <w:r>
              <w:t>Tier 2 – 100 – 299</w:t>
            </w:r>
          </w:p>
        </w:tc>
        <w:tc>
          <w:tcPr>
            <w:tcW w:w="1400" w:type="dxa"/>
            <w:vMerge/>
          </w:tcPr>
          <w:p w:rsidR="00ED24E7" w:rsidRDefault="00ED24E7" w:rsidP="00561D8E">
            <w:pPr>
              <w:jc w:val="center"/>
            </w:pPr>
          </w:p>
        </w:tc>
        <w:tc>
          <w:tcPr>
            <w:tcW w:w="1390" w:type="dxa"/>
          </w:tcPr>
          <w:p w:rsidR="00ED24E7" w:rsidRDefault="00ED24E7" w:rsidP="00561D8E">
            <w:pPr>
              <w:jc w:val="center"/>
            </w:pPr>
            <w:r>
              <w:t>$192</w:t>
            </w:r>
          </w:p>
        </w:tc>
        <w:tc>
          <w:tcPr>
            <w:tcW w:w="1492" w:type="dxa"/>
          </w:tcPr>
          <w:p w:rsidR="00ED24E7" w:rsidRDefault="00DA7F17" w:rsidP="00561D8E">
            <w:pPr>
              <w:jc w:val="center"/>
            </w:pPr>
            <w:r>
              <w:t>(</w:t>
            </w:r>
            <w:r w:rsidR="003C5DE0">
              <w:t>$166</w:t>
            </w:r>
            <w:r>
              <w:t>)</w:t>
            </w:r>
          </w:p>
        </w:tc>
        <w:tc>
          <w:tcPr>
            <w:tcW w:w="1496" w:type="dxa"/>
          </w:tcPr>
          <w:p w:rsidR="00ED24E7" w:rsidRDefault="003C5DE0" w:rsidP="00561D8E">
            <w:pPr>
              <w:jc w:val="center"/>
            </w:pPr>
            <w:r>
              <w:t>$</w:t>
            </w:r>
            <w:r w:rsidR="006A55D9">
              <w:t>0</w:t>
            </w:r>
          </w:p>
        </w:tc>
      </w:tr>
      <w:tr w:rsidR="00ED24E7" w:rsidTr="006A55D9">
        <w:tc>
          <w:tcPr>
            <w:tcW w:w="1458" w:type="dxa"/>
            <w:vMerge/>
          </w:tcPr>
          <w:p w:rsidR="00ED24E7" w:rsidRDefault="00ED24E7" w:rsidP="006747C1"/>
        </w:tc>
        <w:tc>
          <w:tcPr>
            <w:tcW w:w="2340" w:type="dxa"/>
          </w:tcPr>
          <w:p w:rsidR="00ED24E7" w:rsidRDefault="00ED24E7" w:rsidP="00561D8E">
            <w:r>
              <w:t>Tier 3 – less than 100</w:t>
            </w:r>
          </w:p>
        </w:tc>
        <w:tc>
          <w:tcPr>
            <w:tcW w:w="1400" w:type="dxa"/>
            <w:vMerge/>
          </w:tcPr>
          <w:p w:rsidR="00ED24E7" w:rsidRDefault="00ED24E7" w:rsidP="00561D8E">
            <w:pPr>
              <w:jc w:val="center"/>
            </w:pPr>
          </w:p>
        </w:tc>
        <w:tc>
          <w:tcPr>
            <w:tcW w:w="1390" w:type="dxa"/>
          </w:tcPr>
          <w:p w:rsidR="00ED24E7" w:rsidRDefault="00ED24E7" w:rsidP="00561D8E">
            <w:pPr>
              <w:jc w:val="center"/>
            </w:pPr>
            <w:r>
              <w:t>$192</w:t>
            </w:r>
          </w:p>
        </w:tc>
        <w:tc>
          <w:tcPr>
            <w:tcW w:w="1492" w:type="dxa"/>
          </w:tcPr>
          <w:p w:rsidR="00ED24E7" w:rsidRDefault="00DA7F17" w:rsidP="00561D8E">
            <w:pPr>
              <w:jc w:val="center"/>
            </w:pPr>
            <w:r>
              <w:t>(</w:t>
            </w:r>
            <w:r w:rsidR="003C5DE0">
              <w:t>$83</w:t>
            </w:r>
            <w:r>
              <w:t>)</w:t>
            </w:r>
          </w:p>
        </w:tc>
        <w:tc>
          <w:tcPr>
            <w:tcW w:w="1496" w:type="dxa"/>
          </w:tcPr>
          <w:p w:rsidR="00ED24E7" w:rsidRDefault="003C5DE0" w:rsidP="00561D8E">
            <w:pPr>
              <w:jc w:val="center"/>
            </w:pPr>
            <w:r>
              <w:t>$</w:t>
            </w:r>
            <w:r w:rsidR="006A55D9">
              <w:t>0</w:t>
            </w:r>
          </w:p>
        </w:tc>
      </w:tr>
    </w:tbl>
    <w:p w:rsidR="006747C1" w:rsidRDefault="006747C1" w:rsidP="006747C1">
      <w:pPr>
        <w:pStyle w:val="TableSource"/>
      </w:pPr>
      <w:r>
        <w:t xml:space="preserve">Source: </w:t>
      </w:r>
      <w:r w:rsidR="00ED24E7">
        <w:t>FPL’s 2016 Filing</w:t>
      </w:r>
    </w:p>
    <w:p w:rsidR="00BE1E42" w:rsidRDefault="006A55DD" w:rsidP="006A55DD">
      <w:pPr>
        <w:pStyle w:val="First-LevelSubheading"/>
      </w:pPr>
      <w:r>
        <w:t>Conclusion</w:t>
      </w:r>
    </w:p>
    <w:p w:rsidR="003F17F5" w:rsidRPr="00760B06" w:rsidRDefault="004C27EB" w:rsidP="00D15E36">
      <w:pPr>
        <w:pStyle w:val="BodyText"/>
        <w:rPr>
          <w:b/>
          <w:i/>
        </w:rPr>
      </w:pPr>
      <w:r>
        <w:t xml:space="preserve">Staff has reviewed FPL’s proposed URD </w:t>
      </w:r>
      <w:r w:rsidR="00223404">
        <w:t>tariffs and associated charges,</w:t>
      </w:r>
      <w:r>
        <w:t xml:space="preserve"> its accompanying work papers, and its responses to staff’s data requests.</w:t>
      </w:r>
      <w:r w:rsidR="00D43E00">
        <w:t xml:space="preserve"> </w:t>
      </w:r>
      <w:r>
        <w:t xml:space="preserve">Staff believes the proposed URD tariffs and </w:t>
      </w:r>
      <w:proofErr w:type="gramStart"/>
      <w:r>
        <w:t>associated charges are reasonable and recommends</w:t>
      </w:r>
      <w:proofErr w:type="gramEnd"/>
      <w:r>
        <w:t xml:space="preserve"> approval. </w:t>
      </w:r>
      <w:r w:rsidR="00D31AAB">
        <w:t>FPL requested that the tariff</w:t>
      </w:r>
      <w:r>
        <w:t>s</w:t>
      </w:r>
      <w:r w:rsidR="00D31AAB">
        <w:t xml:space="preserve"> be made effective 30 days after the Commission vote.</w:t>
      </w:r>
      <w:r w:rsidR="00DA7F17">
        <w:t xml:space="preserve"> </w:t>
      </w:r>
      <w:r w:rsidR="0020282B">
        <w:t>Staff</w:t>
      </w:r>
      <w:r w:rsidR="006A4E5A">
        <w:t xml:space="preserve"> recommends that the Commission approve</w:t>
      </w:r>
      <w:r w:rsidR="0022576A">
        <w:t xml:space="preserve"> FPL’s proposed URD </w:t>
      </w:r>
      <w:r w:rsidR="006A4E5A">
        <w:t>tariffs and associated charges</w:t>
      </w:r>
      <w:r w:rsidR="0022576A">
        <w:t xml:space="preserve"> </w:t>
      </w:r>
      <w:r w:rsidR="006F5161">
        <w:t xml:space="preserve">filed in the amended petition, </w:t>
      </w:r>
      <w:r w:rsidR="0022576A">
        <w:t xml:space="preserve">effective October 13, 2016. </w:t>
      </w:r>
    </w:p>
    <w:p w:rsidR="006E00DC" w:rsidRDefault="006E00DC">
      <w:pPr>
        <w:pStyle w:val="IssueHeading"/>
        <w:rPr>
          <w:vanish/>
          <w:specVanish/>
        </w:rPr>
      </w:pPr>
      <w:r w:rsidRPr="00760B06">
        <w:rPr>
          <w:rFonts w:ascii="Times New Roman" w:hAnsi="Times New Roman" w:cs="Times New Roman"/>
          <w:b w:val="0"/>
          <w:i w:val="0"/>
        </w:rPr>
        <w:br w:type="page"/>
      </w:r>
      <w:r w:rsidRPr="004C3641">
        <w:lastRenderedPageBreak/>
        <w:t xml:space="preserve">Issue </w:t>
      </w:r>
      <w:r w:rsidR="00546DE3">
        <w:fldChar w:fldCharType="begin"/>
      </w:r>
      <w:r w:rsidR="00546DE3">
        <w:instrText xml:space="preserve"> SEQ Issue \* MERGEFORMAT </w:instrText>
      </w:r>
      <w:r w:rsidR="00546DE3">
        <w:fldChar w:fldCharType="separate"/>
      </w:r>
      <w:r w:rsidR="00BC26FE">
        <w:rPr>
          <w:noProof/>
        </w:rPr>
        <w:t>2</w:t>
      </w:r>
      <w:r w:rsidR="00546D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C26FE">
        <w:rPr>
          <w:noProof/>
        </w:rPr>
        <w:instrText>2</w:instrText>
      </w:r>
      <w:r>
        <w:fldChar w:fldCharType="end"/>
      </w:r>
      <w:r>
        <w:tab/>
        <w:instrText xml:space="preserve">(Ollila)" \l 1 </w:instrText>
      </w:r>
      <w:r>
        <w:fldChar w:fldCharType="end"/>
      </w:r>
      <w:r>
        <w:t> </w:t>
      </w:r>
    </w:p>
    <w:p w:rsidR="006E00DC" w:rsidRDefault="006E00DC">
      <w:pPr>
        <w:pStyle w:val="BodyText"/>
      </w:pPr>
      <w:r>
        <w:t xml:space="preserve"> Should the Commission approve FPL’s proposed </w:t>
      </w:r>
      <w:r w:rsidR="002C0652">
        <w:t>U</w:t>
      </w:r>
      <w:r>
        <w:t>CD tariffs and associated charges</w:t>
      </w:r>
      <w:r w:rsidR="00F72E3B">
        <w:t xml:space="preserve"> filed in the amended petition</w:t>
      </w:r>
      <w:r>
        <w:t>?</w:t>
      </w:r>
    </w:p>
    <w:p w:rsidR="006E00DC" w:rsidRPr="004C3641" w:rsidRDefault="006E00DC">
      <w:pPr>
        <w:pStyle w:val="IssueSubsectionHeading"/>
        <w:rPr>
          <w:vanish/>
          <w:specVanish/>
        </w:rPr>
      </w:pPr>
      <w:r w:rsidRPr="004C3641">
        <w:t>Recommendation: </w:t>
      </w:r>
    </w:p>
    <w:p w:rsidR="006E00DC" w:rsidRDefault="006E00DC">
      <w:pPr>
        <w:pStyle w:val="BodyText"/>
      </w:pPr>
      <w:r>
        <w:t xml:space="preserve"> Yes. </w:t>
      </w:r>
      <w:r w:rsidR="006A4E5A">
        <w:t xml:space="preserve">The Commission should approve FPL’s </w:t>
      </w:r>
      <w:r w:rsidR="0020282B">
        <w:t xml:space="preserve">proposed UCD </w:t>
      </w:r>
      <w:r w:rsidR="006A4E5A">
        <w:t xml:space="preserve">tariffs and associated </w:t>
      </w:r>
      <w:r w:rsidR="0020282B">
        <w:t xml:space="preserve">charges </w:t>
      </w:r>
      <w:r w:rsidR="006F5161">
        <w:t xml:space="preserve">filed in the amended petition, </w:t>
      </w:r>
      <w:r w:rsidR="0020282B">
        <w:t>effective October 13, 2016</w:t>
      </w:r>
      <w:r>
        <w:t>. (Ollila</w:t>
      </w:r>
      <w:r w:rsidR="00783024">
        <w:t>, Wooten</w:t>
      </w:r>
      <w:r w:rsidR="00D31AAB">
        <w:t>)</w:t>
      </w:r>
    </w:p>
    <w:p w:rsidR="006E00DC" w:rsidRPr="004C3641" w:rsidRDefault="006E00DC">
      <w:pPr>
        <w:pStyle w:val="IssueSubsectionHeading"/>
        <w:rPr>
          <w:vanish/>
          <w:specVanish/>
        </w:rPr>
      </w:pPr>
      <w:r w:rsidRPr="004C3641">
        <w:t>Staff Analysis: </w:t>
      </w:r>
    </w:p>
    <w:p w:rsidR="00242A74" w:rsidRDefault="006E00DC" w:rsidP="00242A74">
      <w:pPr>
        <w:pStyle w:val="BodyText"/>
      </w:pPr>
      <w:r>
        <w:t> </w:t>
      </w:r>
      <w:r w:rsidR="00242A74">
        <w:t>Utilities are not required to file UCD tariffs, as they are not governed by Rule 25-6.078, F.A.C.; however, FPL has chosen to include its proposed UCD tariffs in the instant petition.</w:t>
      </w:r>
      <w:r w:rsidR="00954922">
        <w:t xml:space="preserve"> Although not required to</w:t>
      </w:r>
      <w:r w:rsidR="007C15D8">
        <w:t xml:space="preserve"> do so</w:t>
      </w:r>
      <w:r w:rsidR="00954922">
        <w:t xml:space="preserve">, FPL has incorporated the cost effects of hardening its overhead system in the calculation of the UCD charges. </w:t>
      </w:r>
    </w:p>
    <w:p w:rsidR="00954922" w:rsidRDefault="006E00DC">
      <w:pPr>
        <w:pStyle w:val="BodyText"/>
      </w:pPr>
      <w:r>
        <w:t>The</w:t>
      </w:r>
      <w:r w:rsidR="004D0300">
        <w:t xml:space="preserve"> UCD charges represent additional costs FPL incurs to provide </w:t>
      </w:r>
      <w:r w:rsidR="0020282B">
        <w:t xml:space="preserve">commercial customers with </w:t>
      </w:r>
      <w:r w:rsidR="004D0300">
        <w:t xml:space="preserve">underground distribution service </w:t>
      </w:r>
      <w:r w:rsidR="00DF74B0">
        <w:t>in place of overhead service. Generally, the UCD charges are tailored to specific equipment and material that are utilized to provide underground service to a single or limited number of commercial buildings in distinct and widely varying circumstances.</w:t>
      </w:r>
      <w:r w:rsidR="00606756">
        <w:t xml:space="preserve"> </w:t>
      </w:r>
    </w:p>
    <w:p w:rsidR="006E00DC" w:rsidRDefault="00311734">
      <w:pPr>
        <w:pStyle w:val="BodyText"/>
      </w:pPr>
      <w:r>
        <w:t>The UCD tariff</w:t>
      </w:r>
      <w:r w:rsidR="005035CA">
        <w:t>s</w:t>
      </w:r>
      <w:r>
        <w:t xml:space="preserve"> contain charges for commercial underground distribution facilities such as laterals, risers, and hand-holes. In addition, the UCD tariff</w:t>
      </w:r>
      <w:r w:rsidR="005035CA">
        <w:t>s</w:t>
      </w:r>
      <w:r>
        <w:t xml:space="preserve"> provide for credits that apply if the applicant provides trenching and backfilling.</w:t>
      </w:r>
      <w:r w:rsidR="00606756">
        <w:t xml:space="preserve"> </w:t>
      </w:r>
      <w:r>
        <w:t>The UCD charges are derived from cost estimates of underground commercial facilities and their equivalent overhead designs.</w:t>
      </w:r>
      <w:r w:rsidR="00DF74B0">
        <w:t xml:space="preserve"> </w:t>
      </w:r>
      <w:r>
        <w:t>The</w:t>
      </w:r>
      <w:r w:rsidR="004467F6">
        <w:t xml:space="preserve"> proposed char</w:t>
      </w:r>
      <w:r w:rsidR="001B74DF">
        <w:t>ges are based on FPL’s standard design, estimating practices, and costs as of 2016.</w:t>
      </w:r>
    </w:p>
    <w:p w:rsidR="006A4E5A" w:rsidRPr="00760B06" w:rsidRDefault="00954922" w:rsidP="006A4E5A">
      <w:pPr>
        <w:pStyle w:val="BodyText"/>
        <w:rPr>
          <w:b/>
          <w:i/>
        </w:rPr>
      </w:pPr>
      <w:r>
        <w:t>S</w:t>
      </w:r>
      <w:r w:rsidR="004467F6">
        <w:t xml:space="preserve">taff believes the filing of the </w:t>
      </w:r>
      <w:r w:rsidR="005035CA">
        <w:t xml:space="preserve">tariffs </w:t>
      </w:r>
      <w:r w:rsidR="007C15D8" w:rsidRPr="00BC26FE">
        <w:t>is reasonable</w:t>
      </w:r>
      <w:r w:rsidR="007C15D8">
        <w:t xml:space="preserve"> and </w:t>
      </w:r>
      <w:r w:rsidR="005035CA">
        <w:t>promotes</w:t>
      </w:r>
      <w:r w:rsidR="004467F6">
        <w:t xml:space="preserve"> transparency and efficiency</w:t>
      </w:r>
      <w:r w:rsidR="002C0652">
        <w:t xml:space="preserve"> and reduces controversy regarding the UCD charges</w:t>
      </w:r>
      <w:r w:rsidR="004467F6">
        <w:t xml:space="preserve">. </w:t>
      </w:r>
      <w:r w:rsidR="00D31AAB">
        <w:t>FPL requested that the tariff</w:t>
      </w:r>
      <w:r w:rsidR="00D03F4C">
        <w:t>s</w:t>
      </w:r>
      <w:r w:rsidR="00D31AAB">
        <w:t xml:space="preserve"> be made effective 30 days after the Commission vote.</w:t>
      </w:r>
      <w:r w:rsidR="002C0652">
        <w:t xml:space="preserve"> </w:t>
      </w:r>
      <w:r w:rsidR="006A4E5A">
        <w:t>Staff recommends that the Commission approve FPL’s proposed UCD tariffs and associated charges</w:t>
      </w:r>
      <w:r w:rsidR="006F5161">
        <w:t xml:space="preserve"> filed in the amended petition,</w:t>
      </w:r>
      <w:r w:rsidR="006A4E5A">
        <w:t xml:space="preserve"> effective October 13, 2016. </w:t>
      </w:r>
    </w:p>
    <w:p w:rsidR="00EF0951" w:rsidRDefault="00EF0951">
      <w:pPr>
        <w:pStyle w:val="IssueHeading"/>
        <w:rPr>
          <w:vanish/>
          <w:specVanish/>
        </w:rPr>
      </w:pPr>
      <w:r w:rsidRPr="004C3641">
        <w:rPr>
          <w:b w:val="0"/>
          <w:i w:val="0"/>
        </w:rPr>
        <w:br w:type="page"/>
      </w:r>
      <w:r w:rsidRPr="004C3641">
        <w:lastRenderedPageBreak/>
        <w:t xml:space="preserve">Issue </w:t>
      </w:r>
      <w:r w:rsidR="00546DE3">
        <w:fldChar w:fldCharType="begin"/>
      </w:r>
      <w:r w:rsidR="00546DE3">
        <w:instrText xml:space="preserve"> SEQ Issue \* MERGEFORMAT </w:instrText>
      </w:r>
      <w:r w:rsidR="00546DE3">
        <w:fldChar w:fldCharType="separate"/>
      </w:r>
      <w:r w:rsidR="00BC26FE">
        <w:rPr>
          <w:noProof/>
        </w:rPr>
        <w:t>3</w:t>
      </w:r>
      <w:r w:rsidR="00546DE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C26FE">
        <w:rPr>
          <w:noProof/>
        </w:rPr>
        <w:instrText>3</w:instrText>
      </w:r>
      <w:r>
        <w:fldChar w:fldCharType="end"/>
      </w:r>
      <w:r>
        <w:tab/>
        <w:instrText xml:space="preserve">" \l 1 </w:instrText>
      </w:r>
      <w:r>
        <w:fldChar w:fldCharType="end"/>
      </w:r>
      <w:r>
        <w:t> </w:t>
      </w:r>
    </w:p>
    <w:p w:rsidR="00EF0951" w:rsidRDefault="00EF0951">
      <w:pPr>
        <w:pStyle w:val="BodyText"/>
      </w:pPr>
      <w:r>
        <w:t> Should this docket be closed?</w:t>
      </w:r>
    </w:p>
    <w:p w:rsidR="00EF0951" w:rsidRPr="004C3641" w:rsidRDefault="00EF0951">
      <w:pPr>
        <w:pStyle w:val="IssueSubsectionHeading"/>
        <w:rPr>
          <w:vanish/>
          <w:specVanish/>
        </w:rPr>
      </w:pPr>
      <w:r w:rsidRPr="004C3641">
        <w:t>Recommendation: </w:t>
      </w:r>
    </w:p>
    <w:p w:rsidR="00EF0951" w:rsidRDefault="00EF0951">
      <w:pPr>
        <w:pStyle w:val="BodyText"/>
      </w:pPr>
      <w:r>
        <w:t xml:space="preserve"> If a protest is filed within 21 days of the issuance of the order, this tariff should remain in effect, with any revenues held subject to refund, pending resolution of the protest. If no timely protest is filed, this docket should be closed upon the issuance of a consummating order. (Janjic) </w:t>
      </w:r>
    </w:p>
    <w:p w:rsidR="00EF0951" w:rsidRPr="004C3641" w:rsidRDefault="00EF0951">
      <w:pPr>
        <w:pStyle w:val="IssueSubsectionHeading"/>
        <w:rPr>
          <w:vanish/>
          <w:specVanish/>
        </w:rPr>
      </w:pPr>
      <w:r w:rsidRPr="004C3641">
        <w:t>Staff Analysis: </w:t>
      </w:r>
    </w:p>
    <w:p w:rsidR="00EF0951" w:rsidRDefault="00EF0951">
      <w:pPr>
        <w:pStyle w:val="BodyText"/>
      </w:pPr>
      <w:r>
        <w:t> If a protest is filed within 21 days of the issuance of the order, this tariff should remain in effect, with any revenues held subject to refund, pending resolution of the protest. If no timely protest is filed, this docket should be closed upon the issuance of a consummating order.</w:t>
      </w:r>
    </w:p>
    <w:p w:rsidR="00DE75C6" w:rsidRDefault="00DE75C6" w:rsidP="00E275D8">
      <w:pPr>
        <w:pStyle w:val="BodyText"/>
        <w:sectPr w:rsidR="00DE75C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1142D" w:rsidRDefault="00DE75C6" w:rsidP="00E275D8">
      <w:pPr>
        <w:pStyle w:val="BodyText"/>
        <w:sectPr w:rsidR="0041142D"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2DF28350" wp14:editId="7DEDEA87">
            <wp:extent cx="6372225" cy="770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372225" cy="7705725"/>
                    </a:xfrm>
                    <a:prstGeom prst="rect">
                      <a:avLst/>
                    </a:prstGeom>
                  </pic:spPr>
                </pic:pic>
              </a:graphicData>
            </a:graphic>
          </wp:inline>
        </w:drawing>
      </w:r>
    </w:p>
    <w:p w:rsidR="009325B9" w:rsidRDefault="0041142D" w:rsidP="00E275D8">
      <w:pPr>
        <w:pStyle w:val="BodyText"/>
        <w:sectPr w:rsidR="009325B9"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2DE7C734" wp14:editId="2FD1CE76">
            <wp:extent cx="6296025" cy="7658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296025" cy="7658100"/>
                    </a:xfrm>
                    <a:prstGeom prst="rect">
                      <a:avLst/>
                    </a:prstGeom>
                  </pic:spPr>
                </pic:pic>
              </a:graphicData>
            </a:graphic>
          </wp:inline>
        </w:drawing>
      </w:r>
    </w:p>
    <w:p w:rsidR="00D77CDD" w:rsidRDefault="009325B9" w:rsidP="00E275D8">
      <w:pPr>
        <w:pStyle w:val="BodyText"/>
        <w:sectPr w:rsidR="00D77CDD"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5FD9B64" wp14:editId="0CD4B987">
            <wp:extent cx="6162675" cy="770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62675" cy="7705725"/>
                    </a:xfrm>
                    <a:prstGeom prst="rect">
                      <a:avLst/>
                    </a:prstGeom>
                  </pic:spPr>
                </pic:pic>
              </a:graphicData>
            </a:graphic>
          </wp:inline>
        </w:drawing>
      </w:r>
    </w:p>
    <w:p w:rsidR="005B2EAC" w:rsidRDefault="00D77CDD" w:rsidP="00E275D8">
      <w:pPr>
        <w:pStyle w:val="BodyText"/>
        <w:sectPr w:rsidR="005B2EAC"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26C69C51" wp14:editId="1D99611D">
            <wp:extent cx="6096000" cy="7667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096000" cy="7667625"/>
                    </a:xfrm>
                    <a:prstGeom prst="rect">
                      <a:avLst/>
                    </a:prstGeom>
                  </pic:spPr>
                </pic:pic>
              </a:graphicData>
            </a:graphic>
          </wp:inline>
        </w:drawing>
      </w:r>
    </w:p>
    <w:p w:rsidR="002E4FDF" w:rsidRDefault="005B2EAC" w:rsidP="00E275D8">
      <w:pPr>
        <w:pStyle w:val="BodyText"/>
        <w:sectPr w:rsidR="002E4FDF" w:rsidSect="0068481F">
          <w:headerReference w:type="default" r:id="rId23"/>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E7DB809" wp14:editId="0809F77B">
            <wp:extent cx="6029325" cy="7639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029325" cy="7639050"/>
                    </a:xfrm>
                    <a:prstGeom prst="rect">
                      <a:avLst/>
                    </a:prstGeom>
                  </pic:spPr>
                </pic:pic>
              </a:graphicData>
            </a:graphic>
          </wp:inline>
        </w:drawing>
      </w:r>
    </w:p>
    <w:p w:rsidR="00880C82" w:rsidRDefault="002E4FDF" w:rsidP="00E275D8">
      <w:pPr>
        <w:pStyle w:val="BodyText"/>
        <w:sectPr w:rsidR="00880C82" w:rsidSect="0068481F">
          <w:headerReference w:type="default" r:id="rId2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3099E02" wp14:editId="22FF61EF">
            <wp:extent cx="6115050" cy="7677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15050" cy="7677150"/>
                    </a:xfrm>
                    <a:prstGeom prst="rect">
                      <a:avLst/>
                    </a:prstGeom>
                  </pic:spPr>
                </pic:pic>
              </a:graphicData>
            </a:graphic>
          </wp:inline>
        </w:drawing>
      </w:r>
    </w:p>
    <w:p w:rsidR="00880C82" w:rsidRDefault="00880C82" w:rsidP="00E275D8">
      <w:pPr>
        <w:pStyle w:val="BodyText"/>
        <w:sectPr w:rsidR="00880C82" w:rsidSect="0068481F">
          <w:headerReference w:type="default" r:id="rId2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702B3FE" wp14:editId="3DC00A83">
            <wp:extent cx="6200775" cy="7677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200775" cy="7677150"/>
                    </a:xfrm>
                    <a:prstGeom prst="rect">
                      <a:avLst/>
                    </a:prstGeom>
                  </pic:spPr>
                </pic:pic>
              </a:graphicData>
            </a:graphic>
          </wp:inline>
        </w:drawing>
      </w:r>
    </w:p>
    <w:p w:rsidR="00E06484" w:rsidRDefault="00880C82" w:rsidP="00E275D8">
      <w:pPr>
        <w:pStyle w:val="BodyText"/>
      </w:pPr>
      <w:r>
        <w:rPr>
          <w:noProof/>
        </w:rPr>
        <w:lastRenderedPageBreak/>
        <w:drawing>
          <wp:inline distT="0" distB="0" distL="0" distR="0" wp14:anchorId="047357D9" wp14:editId="3DA0A664">
            <wp:extent cx="6162675" cy="7610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6162675" cy="7610475"/>
                    </a:xfrm>
                    <a:prstGeom prst="rect">
                      <a:avLst/>
                    </a:prstGeom>
                  </pic:spPr>
                </pic:pic>
              </a:graphicData>
            </a:graphic>
          </wp:inline>
        </w:drawing>
      </w:r>
    </w:p>
    <w:sectPr w:rsidR="00E06484" w:rsidSect="0068481F">
      <w:headerReference w:type="default" r:id="rId3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51" w:rsidRDefault="00EF0951">
      <w:r>
        <w:separator/>
      </w:r>
    </w:p>
  </w:endnote>
  <w:endnote w:type="continuationSeparator" w:id="0">
    <w:p w:rsidR="00EF0951" w:rsidRDefault="00EF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E4D6D">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51" w:rsidRDefault="00EF0951">
      <w:r>
        <w:separator/>
      </w:r>
    </w:p>
  </w:footnote>
  <w:footnote w:type="continuationSeparator" w:id="0">
    <w:p w:rsidR="00EF0951" w:rsidRDefault="00EF0951">
      <w:r>
        <w:continuationSeparator/>
      </w:r>
    </w:p>
  </w:footnote>
  <w:footnote w:id="1">
    <w:p w:rsidR="008B416F" w:rsidRDefault="008B416F" w:rsidP="008B416F">
      <w:pPr>
        <w:pStyle w:val="FootnoteText"/>
      </w:pPr>
      <w:r>
        <w:rPr>
          <w:rStyle w:val="FootnoteReference"/>
        </w:rPr>
        <w:footnoteRef/>
      </w:r>
      <w:r>
        <w:t xml:space="preserve"> </w:t>
      </w:r>
      <w:proofErr w:type="gramStart"/>
      <w:r>
        <w:t>Order No.</w:t>
      </w:r>
      <w:proofErr w:type="gramEnd"/>
      <w:r>
        <w:t xml:space="preserve"> PSC-14-0467-TRF-EI, issued August 29, 2014, in Docket No. 140066-EI,</w:t>
      </w:r>
      <w:r w:rsidRPr="008B245F">
        <w:rPr>
          <w:i/>
        </w:rPr>
        <w:t xml:space="preserve"> In re: Petition for approval of amendment to underground residential and commercial differential tariffs, by Florida Power &amp; Light Company</w:t>
      </w:r>
      <w:r>
        <w:t>.</w:t>
      </w:r>
      <w:r w:rsidR="004147B7">
        <w:t xml:space="preserve"> </w:t>
      </w:r>
    </w:p>
  </w:footnote>
  <w:footnote w:id="2">
    <w:p w:rsidR="004C4748" w:rsidRDefault="004C4748">
      <w:pPr>
        <w:pStyle w:val="FootnoteText"/>
      </w:pPr>
      <w:r>
        <w:rPr>
          <w:rStyle w:val="FootnoteReference"/>
        </w:rPr>
        <w:footnoteRef/>
      </w:r>
      <w:r>
        <w:t xml:space="preserve"> </w:t>
      </w:r>
      <w:proofErr w:type="gramStart"/>
      <w:r>
        <w:t>Order No.</w:t>
      </w:r>
      <w:proofErr w:type="gramEnd"/>
      <w:r>
        <w:t xml:space="preserve"> PSC-16-0208-PCO-EI, issued May 23, 2016, in Docket No. 1600</w:t>
      </w:r>
      <w:r w:rsidR="006E4818">
        <w:t>7</w:t>
      </w:r>
      <w:r>
        <w:t xml:space="preserve">1-EI, </w:t>
      </w:r>
      <w:r w:rsidRPr="004C4748">
        <w:rPr>
          <w:i/>
        </w:rPr>
        <w:t>In re: Petition for approval of 2016 revisions to underground residential and commercial differential tariffs, by Florida Power &amp; Light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EF0951"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160071-EI</w:t>
    </w:r>
    <w:bookmarkEnd w:id="15"/>
  </w:p>
  <w:p w:rsidR="004E330D" w:rsidRDefault="004E330D">
    <w:pPr>
      <w:pStyle w:val="Header"/>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82" w:rsidRDefault="00880C82"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880C82" w:rsidRDefault="00880C82"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7 of 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82" w:rsidRDefault="00880C82"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880C82" w:rsidRDefault="00880C82"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8 of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 xml:space="preserve">Issue </w:t>
    </w:r>
    <w:r w:rsidR="00546DE3">
      <w:fldChar w:fldCharType="begin"/>
    </w:r>
    <w:r w:rsidR="00546DE3">
      <w:instrText xml:space="preserve"> Seq Issue \c \* Arabic </w:instrText>
    </w:r>
    <w:r w:rsidR="00546DE3">
      <w:fldChar w:fldCharType="separate"/>
    </w:r>
    <w:r w:rsidR="004E4D6D">
      <w:rPr>
        <w:noProof/>
      </w:rPr>
      <w:t>3</w:t>
    </w:r>
    <w:r w:rsidR="00546DE3">
      <w:rPr>
        <w:noProof/>
      </w:rPr>
      <w:fldChar w:fldCharType="end"/>
    </w:r>
  </w:p>
  <w:p w:rsidR="004E330D" w:rsidRDefault="004E330D">
    <w:pPr>
      <w:pStyle w:val="Header"/>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C6" w:rsidRDefault="00DE75C6"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DE75C6" w:rsidRDefault="00DE75C6"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1 of 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2D" w:rsidRDefault="0041142D"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41142D" w:rsidRDefault="0041142D"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2 of 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B9" w:rsidRDefault="009325B9"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9325B9" w:rsidRDefault="009325B9"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3 of 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DD" w:rsidRDefault="00D77CDD"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D77CDD" w:rsidRDefault="00D77CDD"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4 of 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C" w:rsidRDefault="005B2EAC"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5B2EAC" w:rsidRDefault="005B2EAC"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5 of 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DF" w:rsidRDefault="002E4FDF" w:rsidP="00220732">
    <w:pPr>
      <w:pStyle w:val="Header"/>
      <w:tabs>
        <w:tab w:val="clear" w:pos="4320"/>
        <w:tab w:val="clear" w:pos="8640"/>
        <w:tab w:val="right" w:pos="9360"/>
      </w:tabs>
    </w:pPr>
    <w:r>
      <w:fldChar w:fldCharType="begin"/>
    </w:r>
    <w:r>
      <w:instrText xml:space="preserve"> REF DocketLabel</w:instrText>
    </w:r>
    <w:r>
      <w:fldChar w:fldCharType="separate"/>
    </w:r>
    <w:r w:rsidR="00BC26FE">
      <w:t>Docket No.</w:t>
    </w:r>
    <w:r>
      <w:fldChar w:fldCharType="end"/>
    </w:r>
    <w:r>
      <w:t xml:space="preserve"> </w:t>
    </w:r>
    <w:r>
      <w:fldChar w:fldCharType="begin"/>
    </w:r>
    <w:r>
      <w:instrText xml:space="preserve"> REF DocketList</w:instrText>
    </w:r>
    <w:r>
      <w:fldChar w:fldCharType="separate"/>
    </w:r>
    <w:r w:rsidR="00BC26FE">
      <w:t>160071-EI</w:t>
    </w:r>
    <w:r>
      <w:fldChar w:fldCharType="end"/>
    </w:r>
    <w:r>
      <w:tab/>
      <w:t>Attachment 1</w:t>
    </w:r>
  </w:p>
  <w:p w:rsidR="002E4FDF" w:rsidRDefault="002E4FDF" w:rsidP="00DE75C6">
    <w:pPr>
      <w:pStyle w:val="Header"/>
      <w:tabs>
        <w:tab w:val="clear" w:pos="8640"/>
        <w:tab w:val="right" w:pos="9360"/>
      </w:tabs>
    </w:pPr>
    <w:r>
      <w:t xml:space="preserve">Date: </w:t>
    </w:r>
    <w:r w:rsidR="00546DE3">
      <w:fldChar w:fldCharType="begin"/>
    </w:r>
    <w:r w:rsidR="00546DE3">
      <w:instrText xml:space="preserve"> REF FilingDate </w:instrText>
    </w:r>
    <w:r w:rsidR="00546DE3">
      <w:fldChar w:fldCharType="separate"/>
    </w:r>
    <w:r w:rsidR="00BC26FE">
      <w:t>August 31, 2016</w:t>
    </w:r>
    <w:r w:rsidR="00546DE3">
      <w:fldChar w:fldCharType="end"/>
    </w:r>
    <w:r>
      <w:tab/>
    </w:r>
    <w:r>
      <w:tab/>
      <w:t>Page 6 of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08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F0951"/>
    <w:rsid w:val="00010E37"/>
    <w:rsid w:val="0002364E"/>
    <w:rsid w:val="000247C5"/>
    <w:rsid w:val="00026B71"/>
    <w:rsid w:val="000277C2"/>
    <w:rsid w:val="00035B48"/>
    <w:rsid w:val="00036CE2"/>
    <w:rsid w:val="000437FE"/>
    <w:rsid w:val="000513BE"/>
    <w:rsid w:val="00062FE3"/>
    <w:rsid w:val="00065A06"/>
    <w:rsid w:val="000666F3"/>
    <w:rsid w:val="00070DCB"/>
    <w:rsid w:val="00071241"/>
    <w:rsid w:val="00073120"/>
    <w:rsid w:val="000764D0"/>
    <w:rsid w:val="000828D3"/>
    <w:rsid w:val="000833A1"/>
    <w:rsid w:val="00092D30"/>
    <w:rsid w:val="00097A11"/>
    <w:rsid w:val="000A2B57"/>
    <w:rsid w:val="000A418B"/>
    <w:rsid w:val="000C4431"/>
    <w:rsid w:val="000D4319"/>
    <w:rsid w:val="000F2F0A"/>
    <w:rsid w:val="000F374A"/>
    <w:rsid w:val="000F3EF7"/>
    <w:rsid w:val="000F4895"/>
    <w:rsid w:val="000F77B5"/>
    <w:rsid w:val="00105906"/>
    <w:rsid w:val="00114128"/>
    <w:rsid w:val="00117C8C"/>
    <w:rsid w:val="00124E2E"/>
    <w:rsid w:val="00125ED4"/>
    <w:rsid w:val="001305E9"/>
    <w:rsid w:val="001307AF"/>
    <w:rsid w:val="00134A67"/>
    <w:rsid w:val="00135687"/>
    <w:rsid w:val="00153921"/>
    <w:rsid w:val="00157C88"/>
    <w:rsid w:val="00163031"/>
    <w:rsid w:val="00166A2B"/>
    <w:rsid w:val="00166ADA"/>
    <w:rsid w:val="00171A90"/>
    <w:rsid w:val="00180254"/>
    <w:rsid w:val="00191E1F"/>
    <w:rsid w:val="00192943"/>
    <w:rsid w:val="001A7406"/>
    <w:rsid w:val="001A76A3"/>
    <w:rsid w:val="001B4FEE"/>
    <w:rsid w:val="001B51C5"/>
    <w:rsid w:val="001B6F3F"/>
    <w:rsid w:val="001B74DF"/>
    <w:rsid w:val="001C52B5"/>
    <w:rsid w:val="001D0D3E"/>
    <w:rsid w:val="001D2371"/>
    <w:rsid w:val="001E3942"/>
    <w:rsid w:val="001F0DDA"/>
    <w:rsid w:val="001F2245"/>
    <w:rsid w:val="001F6DA1"/>
    <w:rsid w:val="00200570"/>
    <w:rsid w:val="0020282B"/>
    <w:rsid w:val="00204443"/>
    <w:rsid w:val="002044E6"/>
    <w:rsid w:val="002054D7"/>
    <w:rsid w:val="00205C82"/>
    <w:rsid w:val="00205DC2"/>
    <w:rsid w:val="00212FBA"/>
    <w:rsid w:val="002163B6"/>
    <w:rsid w:val="00220732"/>
    <w:rsid w:val="00221D32"/>
    <w:rsid w:val="00223404"/>
    <w:rsid w:val="00223F89"/>
    <w:rsid w:val="0022576A"/>
    <w:rsid w:val="00225C3F"/>
    <w:rsid w:val="0023455D"/>
    <w:rsid w:val="00241350"/>
    <w:rsid w:val="00242A74"/>
    <w:rsid w:val="00246B62"/>
    <w:rsid w:val="00263D44"/>
    <w:rsid w:val="002702AD"/>
    <w:rsid w:val="002824A7"/>
    <w:rsid w:val="00292D82"/>
    <w:rsid w:val="002963CB"/>
    <w:rsid w:val="0029790D"/>
    <w:rsid w:val="002B01C2"/>
    <w:rsid w:val="002C0652"/>
    <w:rsid w:val="002D226D"/>
    <w:rsid w:val="002D3D80"/>
    <w:rsid w:val="002E4FDF"/>
    <w:rsid w:val="002F0637"/>
    <w:rsid w:val="002F6030"/>
    <w:rsid w:val="002F77C2"/>
    <w:rsid w:val="003037E1"/>
    <w:rsid w:val="00307E51"/>
    <w:rsid w:val="003103EC"/>
    <w:rsid w:val="00311734"/>
    <w:rsid w:val="003144EF"/>
    <w:rsid w:val="00321EA9"/>
    <w:rsid w:val="00322F74"/>
    <w:rsid w:val="00340073"/>
    <w:rsid w:val="003403F6"/>
    <w:rsid w:val="0036425E"/>
    <w:rsid w:val="00364D6D"/>
    <w:rsid w:val="00372805"/>
    <w:rsid w:val="00373180"/>
    <w:rsid w:val="00375AB9"/>
    <w:rsid w:val="00380089"/>
    <w:rsid w:val="003821A0"/>
    <w:rsid w:val="00385B04"/>
    <w:rsid w:val="003864CF"/>
    <w:rsid w:val="0039421E"/>
    <w:rsid w:val="00395740"/>
    <w:rsid w:val="003A22A6"/>
    <w:rsid w:val="003A5494"/>
    <w:rsid w:val="003A7176"/>
    <w:rsid w:val="003B2510"/>
    <w:rsid w:val="003C2CC4"/>
    <w:rsid w:val="003C5DE0"/>
    <w:rsid w:val="003D775F"/>
    <w:rsid w:val="003E0EFC"/>
    <w:rsid w:val="003E3869"/>
    <w:rsid w:val="003E4A2B"/>
    <w:rsid w:val="003E76C2"/>
    <w:rsid w:val="003F0000"/>
    <w:rsid w:val="003F1679"/>
    <w:rsid w:val="003F17F5"/>
    <w:rsid w:val="003F4A35"/>
    <w:rsid w:val="003F7FDD"/>
    <w:rsid w:val="00402481"/>
    <w:rsid w:val="004042B4"/>
    <w:rsid w:val="0041142D"/>
    <w:rsid w:val="00412584"/>
    <w:rsid w:val="00412DAE"/>
    <w:rsid w:val="00413B4C"/>
    <w:rsid w:val="004147B7"/>
    <w:rsid w:val="00430524"/>
    <w:rsid w:val="00431598"/>
    <w:rsid w:val="004426B8"/>
    <w:rsid w:val="00444120"/>
    <w:rsid w:val="00444365"/>
    <w:rsid w:val="00444432"/>
    <w:rsid w:val="004467F6"/>
    <w:rsid w:val="00446FBD"/>
    <w:rsid w:val="00471860"/>
    <w:rsid w:val="00485909"/>
    <w:rsid w:val="004A2A8A"/>
    <w:rsid w:val="004B60BD"/>
    <w:rsid w:val="004C27EB"/>
    <w:rsid w:val="004C3150"/>
    <w:rsid w:val="004C3641"/>
    <w:rsid w:val="004C4390"/>
    <w:rsid w:val="004C4748"/>
    <w:rsid w:val="004C4AF7"/>
    <w:rsid w:val="004D0300"/>
    <w:rsid w:val="004D2881"/>
    <w:rsid w:val="004D385F"/>
    <w:rsid w:val="004D5B39"/>
    <w:rsid w:val="004E3073"/>
    <w:rsid w:val="004E330D"/>
    <w:rsid w:val="004E4D6D"/>
    <w:rsid w:val="004E5147"/>
    <w:rsid w:val="005035CA"/>
    <w:rsid w:val="0050652D"/>
    <w:rsid w:val="00506C03"/>
    <w:rsid w:val="005121A4"/>
    <w:rsid w:val="00513081"/>
    <w:rsid w:val="00514A85"/>
    <w:rsid w:val="00516496"/>
    <w:rsid w:val="0052572A"/>
    <w:rsid w:val="00535A9A"/>
    <w:rsid w:val="00541E05"/>
    <w:rsid w:val="00543CB3"/>
    <w:rsid w:val="0055085B"/>
    <w:rsid w:val="00560FF0"/>
    <w:rsid w:val="005614BD"/>
    <w:rsid w:val="00561D8E"/>
    <w:rsid w:val="005630CF"/>
    <w:rsid w:val="0057154F"/>
    <w:rsid w:val="00577A83"/>
    <w:rsid w:val="00581CA3"/>
    <w:rsid w:val="00587A44"/>
    <w:rsid w:val="005944D9"/>
    <w:rsid w:val="00597730"/>
    <w:rsid w:val="005977EC"/>
    <w:rsid w:val="00597A04"/>
    <w:rsid w:val="00597DE7"/>
    <w:rsid w:val="005A31FC"/>
    <w:rsid w:val="005A4AA2"/>
    <w:rsid w:val="005B2244"/>
    <w:rsid w:val="005B2EAC"/>
    <w:rsid w:val="005B34B6"/>
    <w:rsid w:val="005B6C8F"/>
    <w:rsid w:val="005D0F74"/>
    <w:rsid w:val="005D2E7D"/>
    <w:rsid w:val="005D4A8F"/>
    <w:rsid w:val="005D561B"/>
    <w:rsid w:val="005F468D"/>
    <w:rsid w:val="005F69A3"/>
    <w:rsid w:val="00605A5F"/>
    <w:rsid w:val="00606756"/>
    <w:rsid w:val="0060714F"/>
    <w:rsid w:val="00615423"/>
    <w:rsid w:val="006165B2"/>
    <w:rsid w:val="00617276"/>
    <w:rsid w:val="00624DF1"/>
    <w:rsid w:val="00625D97"/>
    <w:rsid w:val="00625F1C"/>
    <w:rsid w:val="00630CEB"/>
    <w:rsid w:val="00632264"/>
    <w:rsid w:val="006470BC"/>
    <w:rsid w:val="0064798F"/>
    <w:rsid w:val="00654B89"/>
    <w:rsid w:val="006551AB"/>
    <w:rsid w:val="006573CF"/>
    <w:rsid w:val="0066295B"/>
    <w:rsid w:val="00667036"/>
    <w:rsid w:val="00670AA8"/>
    <w:rsid w:val="00673BDB"/>
    <w:rsid w:val="006747C1"/>
    <w:rsid w:val="006771B8"/>
    <w:rsid w:val="0068481F"/>
    <w:rsid w:val="00692956"/>
    <w:rsid w:val="00693DB4"/>
    <w:rsid w:val="00696F5D"/>
    <w:rsid w:val="00697249"/>
    <w:rsid w:val="006A4E5A"/>
    <w:rsid w:val="006A55D9"/>
    <w:rsid w:val="006A55DD"/>
    <w:rsid w:val="006B3947"/>
    <w:rsid w:val="006B4293"/>
    <w:rsid w:val="006B624F"/>
    <w:rsid w:val="006B6332"/>
    <w:rsid w:val="006B659E"/>
    <w:rsid w:val="006B771E"/>
    <w:rsid w:val="006C31E3"/>
    <w:rsid w:val="006E00DC"/>
    <w:rsid w:val="006E08CB"/>
    <w:rsid w:val="006E4818"/>
    <w:rsid w:val="006E598D"/>
    <w:rsid w:val="006E71A3"/>
    <w:rsid w:val="006F34F5"/>
    <w:rsid w:val="006F5161"/>
    <w:rsid w:val="00702367"/>
    <w:rsid w:val="00702DAD"/>
    <w:rsid w:val="0070437D"/>
    <w:rsid w:val="00705B04"/>
    <w:rsid w:val="00720216"/>
    <w:rsid w:val="00720FF8"/>
    <w:rsid w:val="00734820"/>
    <w:rsid w:val="007349DC"/>
    <w:rsid w:val="0074365E"/>
    <w:rsid w:val="00745245"/>
    <w:rsid w:val="007515FD"/>
    <w:rsid w:val="00751BA5"/>
    <w:rsid w:val="00757FDE"/>
    <w:rsid w:val="00760B06"/>
    <w:rsid w:val="00760D80"/>
    <w:rsid w:val="00780C09"/>
    <w:rsid w:val="00780DDF"/>
    <w:rsid w:val="00783024"/>
    <w:rsid w:val="007834E9"/>
    <w:rsid w:val="00787DBC"/>
    <w:rsid w:val="00792935"/>
    <w:rsid w:val="007A04A1"/>
    <w:rsid w:val="007A1840"/>
    <w:rsid w:val="007A4B2A"/>
    <w:rsid w:val="007C0528"/>
    <w:rsid w:val="007C15D8"/>
    <w:rsid w:val="007C3D38"/>
    <w:rsid w:val="007D0F35"/>
    <w:rsid w:val="007D4FEB"/>
    <w:rsid w:val="007D6146"/>
    <w:rsid w:val="007E0CE7"/>
    <w:rsid w:val="007F074C"/>
    <w:rsid w:val="007F1193"/>
    <w:rsid w:val="007F1BBD"/>
    <w:rsid w:val="007F417F"/>
    <w:rsid w:val="008042BD"/>
    <w:rsid w:val="0080663F"/>
    <w:rsid w:val="00807DAC"/>
    <w:rsid w:val="00816624"/>
    <w:rsid w:val="00822427"/>
    <w:rsid w:val="00822562"/>
    <w:rsid w:val="00823663"/>
    <w:rsid w:val="00827552"/>
    <w:rsid w:val="00832DDC"/>
    <w:rsid w:val="00842062"/>
    <w:rsid w:val="00850BAC"/>
    <w:rsid w:val="00854A3E"/>
    <w:rsid w:val="00855D08"/>
    <w:rsid w:val="00867922"/>
    <w:rsid w:val="00871244"/>
    <w:rsid w:val="00874344"/>
    <w:rsid w:val="008746CA"/>
    <w:rsid w:val="00880C82"/>
    <w:rsid w:val="00882155"/>
    <w:rsid w:val="0088233B"/>
    <w:rsid w:val="00884D62"/>
    <w:rsid w:val="0088599E"/>
    <w:rsid w:val="00886C37"/>
    <w:rsid w:val="00887134"/>
    <w:rsid w:val="00892D99"/>
    <w:rsid w:val="008A6F1B"/>
    <w:rsid w:val="008B245F"/>
    <w:rsid w:val="008B416F"/>
    <w:rsid w:val="008B62AE"/>
    <w:rsid w:val="008C04B5"/>
    <w:rsid w:val="008C14FA"/>
    <w:rsid w:val="008D4057"/>
    <w:rsid w:val="008E1681"/>
    <w:rsid w:val="008E1F19"/>
    <w:rsid w:val="008F2262"/>
    <w:rsid w:val="008F7736"/>
    <w:rsid w:val="0090019E"/>
    <w:rsid w:val="00901086"/>
    <w:rsid w:val="00901C8A"/>
    <w:rsid w:val="009049CF"/>
    <w:rsid w:val="00905886"/>
    <w:rsid w:val="009070D6"/>
    <w:rsid w:val="009076C6"/>
    <w:rsid w:val="0091019E"/>
    <w:rsid w:val="009106F1"/>
    <w:rsid w:val="009145D6"/>
    <w:rsid w:val="00920E64"/>
    <w:rsid w:val="00922002"/>
    <w:rsid w:val="00922627"/>
    <w:rsid w:val="00924020"/>
    <w:rsid w:val="009271A7"/>
    <w:rsid w:val="009325B9"/>
    <w:rsid w:val="0093649D"/>
    <w:rsid w:val="0093658B"/>
    <w:rsid w:val="009429FF"/>
    <w:rsid w:val="00945BD6"/>
    <w:rsid w:val="009479FB"/>
    <w:rsid w:val="00947B4E"/>
    <w:rsid w:val="00951C45"/>
    <w:rsid w:val="00954922"/>
    <w:rsid w:val="00962BAA"/>
    <w:rsid w:val="009656F2"/>
    <w:rsid w:val="00966A08"/>
    <w:rsid w:val="00971207"/>
    <w:rsid w:val="00975CB4"/>
    <w:rsid w:val="0098244C"/>
    <w:rsid w:val="009863B0"/>
    <w:rsid w:val="00987DE1"/>
    <w:rsid w:val="00990571"/>
    <w:rsid w:val="0099673A"/>
    <w:rsid w:val="009A017F"/>
    <w:rsid w:val="009A3330"/>
    <w:rsid w:val="009A7C96"/>
    <w:rsid w:val="009C0861"/>
    <w:rsid w:val="009C1223"/>
    <w:rsid w:val="009C3DB9"/>
    <w:rsid w:val="009D39B1"/>
    <w:rsid w:val="009D46E5"/>
    <w:rsid w:val="009D568A"/>
    <w:rsid w:val="009F04EC"/>
    <w:rsid w:val="009F3B36"/>
    <w:rsid w:val="00A019B9"/>
    <w:rsid w:val="00A03839"/>
    <w:rsid w:val="00A04524"/>
    <w:rsid w:val="00A12508"/>
    <w:rsid w:val="00A1282B"/>
    <w:rsid w:val="00A13A27"/>
    <w:rsid w:val="00A175B6"/>
    <w:rsid w:val="00A21835"/>
    <w:rsid w:val="00A27D6E"/>
    <w:rsid w:val="00A30773"/>
    <w:rsid w:val="00A328EC"/>
    <w:rsid w:val="00A33A51"/>
    <w:rsid w:val="00A37FFC"/>
    <w:rsid w:val="00A41CA6"/>
    <w:rsid w:val="00A47927"/>
    <w:rsid w:val="00A47FFC"/>
    <w:rsid w:val="00A5442F"/>
    <w:rsid w:val="00A54FF9"/>
    <w:rsid w:val="00A56765"/>
    <w:rsid w:val="00A57D6A"/>
    <w:rsid w:val="00A675AC"/>
    <w:rsid w:val="00A716A2"/>
    <w:rsid w:val="00A7581F"/>
    <w:rsid w:val="00A91E95"/>
    <w:rsid w:val="00A92FB1"/>
    <w:rsid w:val="00A95A0C"/>
    <w:rsid w:val="00AA2765"/>
    <w:rsid w:val="00AA77B5"/>
    <w:rsid w:val="00AB6C5D"/>
    <w:rsid w:val="00AC51A7"/>
    <w:rsid w:val="00AD056D"/>
    <w:rsid w:val="00AD444B"/>
    <w:rsid w:val="00AD6C78"/>
    <w:rsid w:val="00AE2DF2"/>
    <w:rsid w:val="00AE2EAB"/>
    <w:rsid w:val="00AF0F6B"/>
    <w:rsid w:val="00AF208A"/>
    <w:rsid w:val="00AF5F89"/>
    <w:rsid w:val="00AF73CB"/>
    <w:rsid w:val="00B002D6"/>
    <w:rsid w:val="00B05B51"/>
    <w:rsid w:val="00B15370"/>
    <w:rsid w:val="00B17BEB"/>
    <w:rsid w:val="00B21A3C"/>
    <w:rsid w:val="00B223C0"/>
    <w:rsid w:val="00B234ED"/>
    <w:rsid w:val="00B25CA3"/>
    <w:rsid w:val="00B32D92"/>
    <w:rsid w:val="00B57A6A"/>
    <w:rsid w:val="00B60A1C"/>
    <w:rsid w:val="00B66757"/>
    <w:rsid w:val="00B71FEC"/>
    <w:rsid w:val="00B760F1"/>
    <w:rsid w:val="00B7669E"/>
    <w:rsid w:val="00B77DA1"/>
    <w:rsid w:val="00B940E1"/>
    <w:rsid w:val="00B94783"/>
    <w:rsid w:val="00BA0D55"/>
    <w:rsid w:val="00BA37B3"/>
    <w:rsid w:val="00BA4CC6"/>
    <w:rsid w:val="00BB2376"/>
    <w:rsid w:val="00BB3493"/>
    <w:rsid w:val="00BB7468"/>
    <w:rsid w:val="00BC188A"/>
    <w:rsid w:val="00BC26FE"/>
    <w:rsid w:val="00BD7D0E"/>
    <w:rsid w:val="00BE1E42"/>
    <w:rsid w:val="00BE6E89"/>
    <w:rsid w:val="00BF03C6"/>
    <w:rsid w:val="00BF0F6F"/>
    <w:rsid w:val="00BF5010"/>
    <w:rsid w:val="00C072CC"/>
    <w:rsid w:val="00C1205D"/>
    <w:rsid w:val="00C13791"/>
    <w:rsid w:val="00C16CFC"/>
    <w:rsid w:val="00C2464A"/>
    <w:rsid w:val="00C25886"/>
    <w:rsid w:val="00C31BB3"/>
    <w:rsid w:val="00C34DFA"/>
    <w:rsid w:val="00C36977"/>
    <w:rsid w:val="00C477D9"/>
    <w:rsid w:val="00C50826"/>
    <w:rsid w:val="00C60BA3"/>
    <w:rsid w:val="00C623F7"/>
    <w:rsid w:val="00C65DEE"/>
    <w:rsid w:val="00C81670"/>
    <w:rsid w:val="00C81773"/>
    <w:rsid w:val="00C82861"/>
    <w:rsid w:val="00C86896"/>
    <w:rsid w:val="00C907A8"/>
    <w:rsid w:val="00C912AA"/>
    <w:rsid w:val="00C93211"/>
    <w:rsid w:val="00C935E7"/>
    <w:rsid w:val="00C942EC"/>
    <w:rsid w:val="00C96047"/>
    <w:rsid w:val="00C979D0"/>
    <w:rsid w:val="00CA0818"/>
    <w:rsid w:val="00CA2C8F"/>
    <w:rsid w:val="00CA30DA"/>
    <w:rsid w:val="00CA3A24"/>
    <w:rsid w:val="00CB1777"/>
    <w:rsid w:val="00CB33E9"/>
    <w:rsid w:val="00CB6752"/>
    <w:rsid w:val="00CC10A9"/>
    <w:rsid w:val="00CC5321"/>
    <w:rsid w:val="00CE2BF8"/>
    <w:rsid w:val="00CE484E"/>
    <w:rsid w:val="00CE5166"/>
    <w:rsid w:val="00CF0DA8"/>
    <w:rsid w:val="00CF2E25"/>
    <w:rsid w:val="00CF4453"/>
    <w:rsid w:val="00CF5D94"/>
    <w:rsid w:val="00D034D7"/>
    <w:rsid w:val="00D03F4C"/>
    <w:rsid w:val="00D04BE4"/>
    <w:rsid w:val="00D12565"/>
    <w:rsid w:val="00D14127"/>
    <w:rsid w:val="00D15E36"/>
    <w:rsid w:val="00D165A5"/>
    <w:rsid w:val="00D31AAB"/>
    <w:rsid w:val="00D32CFE"/>
    <w:rsid w:val="00D32FB6"/>
    <w:rsid w:val="00D3727D"/>
    <w:rsid w:val="00D43E00"/>
    <w:rsid w:val="00D46FB9"/>
    <w:rsid w:val="00D56CC5"/>
    <w:rsid w:val="00D60F02"/>
    <w:rsid w:val="00D61C7E"/>
    <w:rsid w:val="00D61CA1"/>
    <w:rsid w:val="00D66E49"/>
    <w:rsid w:val="00D72F74"/>
    <w:rsid w:val="00D77CDD"/>
    <w:rsid w:val="00D81563"/>
    <w:rsid w:val="00D82EB8"/>
    <w:rsid w:val="00D85907"/>
    <w:rsid w:val="00D9073E"/>
    <w:rsid w:val="00D9221D"/>
    <w:rsid w:val="00D958DF"/>
    <w:rsid w:val="00D96DA1"/>
    <w:rsid w:val="00DA38D4"/>
    <w:rsid w:val="00DA51E7"/>
    <w:rsid w:val="00DA7F17"/>
    <w:rsid w:val="00DB1C78"/>
    <w:rsid w:val="00DB7D96"/>
    <w:rsid w:val="00DC1AE4"/>
    <w:rsid w:val="00DC23FE"/>
    <w:rsid w:val="00DC59E6"/>
    <w:rsid w:val="00DD150B"/>
    <w:rsid w:val="00DD28BB"/>
    <w:rsid w:val="00DD5025"/>
    <w:rsid w:val="00DE1287"/>
    <w:rsid w:val="00DE2AFB"/>
    <w:rsid w:val="00DE75C6"/>
    <w:rsid w:val="00DF1510"/>
    <w:rsid w:val="00DF2841"/>
    <w:rsid w:val="00DF74B0"/>
    <w:rsid w:val="00E06484"/>
    <w:rsid w:val="00E178C6"/>
    <w:rsid w:val="00E20A7D"/>
    <w:rsid w:val="00E275D8"/>
    <w:rsid w:val="00E340E9"/>
    <w:rsid w:val="00E375CA"/>
    <w:rsid w:val="00E53424"/>
    <w:rsid w:val="00E567E8"/>
    <w:rsid w:val="00E57A58"/>
    <w:rsid w:val="00E64679"/>
    <w:rsid w:val="00E65EBC"/>
    <w:rsid w:val="00E73432"/>
    <w:rsid w:val="00E77B0C"/>
    <w:rsid w:val="00E77FB8"/>
    <w:rsid w:val="00E838B0"/>
    <w:rsid w:val="00E86A7C"/>
    <w:rsid w:val="00E8736E"/>
    <w:rsid w:val="00E878E1"/>
    <w:rsid w:val="00E87F2C"/>
    <w:rsid w:val="00E9236B"/>
    <w:rsid w:val="00E9411B"/>
    <w:rsid w:val="00E95278"/>
    <w:rsid w:val="00EA2273"/>
    <w:rsid w:val="00EB0881"/>
    <w:rsid w:val="00EB2DB3"/>
    <w:rsid w:val="00EC3FBB"/>
    <w:rsid w:val="00EC54EF"/>
    <w:rsid w:val="00EC6B7A"/>
    <w:rsid w:val="00ED24E7"/>
    <w:rsid w:val="00ED2A0B"/>
    <w:rsid w:val="00ED3A87"/>
    <w:rsid w:val="00ED50D1"/>
    <w:rsid w:val="00ED5B67"/>
    <w:rsid w:val="00EE0E50"/>
    <w:rsid w:val="00EF0951"/>
    <w:rsid w:val="00EF264C"/>
    <w:rsid w:val="00EF3FEE"/>
    <w:rsid w:val="00F04B59"/>
    <w:rsid w:val="00F11741"/>
    <w:rsid w:val="00F12B1C"/>
    <w:rsid w:val="00F13CF8"/>
    <w:rsid w:val="00F15855"/>
    <w:rsid w:val="00F32978"/>
    <w:rsid w:val="00F45CB2"/>
    <w:rsid w:val="00F544C0"/>
    <w:rsid w:val="00F54588"/>
    <w:rsid w:val="00F55332"/>
    <w:rsid w:val="00F65519"/>
    <w:rsid w:val="00F70F83"/>
    <w:rsid w:val="00F713C0"/>
    <w:rsid w:val="00F72E3B"/>
    <w:rsid w:val="00F75DDC"/>
    <w:rsid w:val="00F76928"/>
    <w:rsid w:val="00F7792F"/>
    <w:rsid w:val="00F77FD9"/>
    <w:rsid w:val="00F842AA"/>
    <w:rsid w:val="00F8476F"/>
    <w:rsid w:val="00F853E1"/>
    <w:rsid w:val="00F86831"/>
    <w:rsid w:val="00F94B7A"/>
    <w:rsid w:val="00FA17AC"/>
    <w:rsid w:val="00FA32DE"/>
    <w:rsid w:val="00FA3382"/>
    <w:rsid w:val="00FA59CD"/>
    <w:rsid w:val="00FB1740"/>
    <w:rsid w:val="00FC5469"/>
    <w:rsid w:val="00FC6D7D"/>
    <w:rsid w:val="00FD16B0"/>
    <w:rsid w:val="00FD4FED"/>
    <w:rsid w:val="00FE0577"/>
    <w:rsid w:val="00FE59EC"/>
    <w:rsid w:val="00FF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F48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0F4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FD7F-5F65-4E24-9647-B42037A9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2121</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2016-08-29T19:44:00Z</cp:lastPrinted>
  <dcterms:created xsi:type="dcterms:W3CDTF">2016-08-31T13:43:00Z</dcterms:created>
  <dcterms:modified xsi:type="dcterms:W3CDTF">2016-08-31T13:43:00Z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160071-EI</vt:lpwstr>
  </property>
  <property fmtid="{D5CDD505-2E9C-101B-9397-08002B2CF9AE}" pid="3" name="MasterDocument">
    <vt:bool>false</vt:bool>
  </property>
</Properties>
</file>