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9421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40DF0" w:rsidP="00934C20">
            <w:pPr>
              <w:pStyle w:val="MemoHeading"/>
            </w:pPr>
            <w:bookmarkStart w:id="1" w:name="FilingDate"/>
            <w:r>
              <w:t>October</w:t>
            </w:r>
            <w:r w:rsidR="00794219">
              <w:t xml:space="preserve"> 2</w:t>
            </w:r>
            <w:r w:rsidR="00934C20">
              <w:t>0</w:t>
            </w:r>
            <w:r w:rsidR="00794219">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94219" w:rsidRDefault="00794219">
            <w:pPr>
              <w:pStyle w:val="MemoHeading"/>
            </w:pPr>
            <w:bookmarkStart w:id="2" w:name="From"/>
            <w:r>
              <w:t>Division of Economics (Bruce, Hudson)</w:t>
            </w:r>
          </w:p>
          <w:p w:rsidR="00794219" w:rsidRDefault="00794219">
            <w:pPr>
              <w:pStyle w:val="MemoHeading"/>
            </w:pPr>
            <w:r>
              <w:t>Division o</w:t>
            </w:r>
            <w:r w:rsidR="008141A3">
              <w:t>f Accounting and Finance (Brown</w:t>
            </w:r>
            <w:r>
              <w:t>)</w:t>
            </w:r>
          </w:p>
          <w:p w:rsidR="00794219" w:rsidRDefault="00794219">
            <w:pPr>
              <w:pStyle w:val="MemoHeading"/>
            </w:pPr>
            <w:r>
              <w:t>Division of Engineering (Hill)</w:t>
            </w:r>
          </w:p>
          <w:p w:rsidR="007C0528" w:rsidRDefault="00794219">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94219">
            <w:pPr>
              <w:pStyle w:val="MemoHeadingRe"/>
            </w:pPr>
            <w:bookmarkStart w:id="3" w:name="Re"/>
            <w:r>
              <w:t>Docket No. 160030-WS – Application for increase in water rates in Lee County and wastewater rates in Pasco County by Ni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A5FAA" w:rsidP="00A8147A">
            <w:pPr>
              <w:pStyle w:val="MemoHeading"/>
            </w:pPr>
            <w:bookmarkStart w:id="4" w:name="AgendaDate"/>
            <w:r>
              <w:t>11</w:t>
            </w:r>
            <w:r w:rsidR="00794219">
              <w:t>/</w:t>
            </w:r>
            <w:r>
              <w:t>01</w:t>
            </w:r>
            <w:r w:rsidR="00794219">
              <w:t>/16</w:t>
            </w:r>
            <w:bookmarkEnd w:id="4"/>
            <w:r w:rsidR="007C0528">
              <w:t xml:space="preserve"> – </w:t>
            </w:r>
            <w:bookmarkStart w:id="5" w:name="PermittedStatus"/>
            <w:r w:rsidR="00A8147A">
              <w:t>Proposed Agency Action</w:t>
            </w:r>
            <w:r w:rsidR="00794219">
              <w:t xml:space="preserve"> – </w:t>
            </w:r>
            <w:r w:rsidR="00A8147A">
              <w:t xml:space="preserve">Except Issue Nos. 15 and 20 – </w:t>
            </w:r>
            <w:r w:rsidR="00794219">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9421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94219">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Pr="00AA5FAA" w:rsidRDefault="00A8147A" w:rsidP="00A8147A">
            <w:pPr>
              <w:pStyle w:val="MemoHeading"/>
              <w:rPr>
                <w:highlight w:val="yellow"/>
              </w:rPr>
            </w:pPr>
            <w:bookmarkStart w:id="9" w:name="CriticalDates"/>
            <w:r w:rsidRPr="007948C6">
              <w:t>11/1/2016</w:t>
            </w:r>
            <w:r w:rsidR="00794219" w:rsidRPr="007948C6">
              <w:t xml:space="preserve"> (5-Month Effective Date </w:t>
            </w:r>
            <w:r w:rsidRPr="007948C6">
              <w:t>W</w:t>
            </w:r>
            <w:r w:rsidR="00794219" w:rsidRPr="007948C6">
              <w:t>aived Through November 1, 2016)</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94219" w:rsidP="004B0EBD">
            <w:pPr>
              <w:pStyle w:val="MemoHeading"/>
            </w:pPr>
            <w:bookmarkStart w:id="10" w:name="SpecialInstructions"/>
            <w:r>
              <w:t>None</w:t>
            </w:r>
            <w:bookmarkEnd w:id="10"/>
          </w:p>
        </w:tc>
      </w:tr>
    </w:tbl>
    <w:p w:rsidR="007C0528" w:rsidRDefault="007C0528">
      <w:pPr>
        <w:pStyle w:val="BodyText"/>
      </w:pPr>
    </w:p>
    <w:p w:rsidR="00937A7F" w:rsidRDefault="00937A7F" w:rsidP="00937A7F">
      <w:pPr>
        <w:pStyle w:val="RecommendationMajorSectionHeading"/>
      </w:pPr>
      <w:bookmarkStart w:id="11" w:name="RecToC"/>
      <w:bookmarkEnd w:id="11"/>
      <w:r>
        <w:br w:type="page"/>
      </w:r>
      <w:r>
        <w:lastRenderedPageBreak/>
        <w:t>Table of Contents</w:t>
      </w:r>
    </w:p>
    <w:p w:rsidR="00937A7F" w:rsidRDefault="00937A7F">
      <w:pPr>
        <w:pStyle w:val="TOCColumnHeadings"/>
      </w:pPr>
      <w:r>
        <w:t>Issue</w:t>
      </w:r>
      <w:r>
        <w:tab/>
        <w:t>Description</w:t>
      </w:r>
      <w:r>
        <w:tab/>
        <w:t>Page</w:t>
      </w:r>
    </w:p>
    <w:p w:rsidR="00B73425" w:rsidRDefault="00937A7F">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64661197" w:history="1">
        <w:r w:rsidR="00B73425" w:rsidRPr="00F563A5">
          <w:rPr>
            <w:rStyle w:val="Hyperlink"/>
            <w:noProof/>
          </w:rPr>
          <w:tab/>
          <w:t>Case Background</w:t>
        </w:r>
        <w:r w:rsidR="00B73425">
          <w:rPr>
            <w:noProof/>
            <w:webHidden/>
          </w:rPr>
          <w:tab/>
        </w:r>
        <w:r w:rsidR="00B73425">
          <w:rPr>
            <w:noProof/>
            <w:webHidden/>
          </w:rPr>
          <w:fldChar w:fldCharType="begin"/>
        </w:r>
        <w:r w:rsidR="00B73425">
          <w:rPr>
            <w:noProof/>
            <w:webHidden/>
          </w:rPr>
          <w:instrText xml:space="preserve"> PAGEREF _Toc464661197 \h </w:instrText>
        </w:r>
        <w:r w:rsidR="00B73425">
          <w:rPr>
            <w:noProof/>
            <w:webHidden/>
          </w:rPr>
        </w:r>
        <w:r w:rsidR="00B73425">
          <w:rPr>
            <w:noProof/>
            <w:webHidden/>
          </w:rPr>
          <w:fldChar w:fldCharType="separate"/>
        </w:r>
        <w:r w:rsidR="007F50C0">
          <w:rPr>
            <w:noProof/>
            <w:webHidden/>
          </w:rPr>
          <w:t>3</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198" w:history="1">
        <w:r w:rsidR="00B73425" w:rsidRPr="00F563A5">
          <w:rPr>
            <w:rStyle w:val="Hyperlink"/>
            <w:noProof/>
          </w:rPr>
          <w:t>1</w:t>
        </w:r>
        <w:r w:rsidR="00B73425" w:rsidRPr="00F563A5">
          <w:rPr>
            <w:rStyle w:val="Hyperlink"/>
            <w:noProof/>
          </w:rPr>
          <w:tab/>
          <w:t>Quality of Service</w:t>
        </w:r>
        <w:r w:rsidR="00B73425">
          <w:rPr>
            <w:noProof/>
            <w:webHidden/>
          </w:rPr>
          <w:tab/>
        </w:r>
        <w:r w:rsidR="00B73425">
          <w:rPr>
            <w:noProof/>
            <w:webHidden/>
          </w:rPr>
          <w:fldChar w:fldCharType="begin"/>
        </w:r>
        <w:r w:rsidR="00B73425">
          <w:rPr>
            <w:noProof/>
            <w:webHidden/>
          </w:rPr>
          <w:instrText xml:space="preserve"> PAGEREF _Toc464661198 \h </w:instrText>
        </w:r>
        <w:r w:rsidR="00B73425">
          <w:rPr>
            <w:noProof/>
            <w:webHidden/>
          </w:rPr>
        </w:r>
        <w:r w:rsidR="00B73425">
          <w:rPr>
            <w:noProof/>
            <w:webHidden/>
          </w:rPr>
          <w:fldChar w:fldCharType="separate"/>
        </w:r>
        <w:r w:rsidR="007F50C0">
          <w:rPr>
            <w:noProof/>
            <w:webHidden/>
          </w:rPr>
          <w:t>4</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199" w:history="1">
        <w:r w:rsidR="00B73425" w:rsidRPr="00F563A5">
          <w:rPr>
            <w:rStyle w:val="Hyperlink"/>
            <w:noProof/>
          </w:rPr>
          <w:t>2</w:t>
        </w:r>
        <w:r w:rsidR="00B73425" w:rsidRPr="00F563A5">
          <w:rPr>
            <w:rStyle w:val="Hyperlink"/>
            <w:noProof/>
          </w:rPr>
          <w:tab/>
          <w:t>Agreed Upon Audit Adjustments</w:t>
        </w:r>
        <w:r w:rsidR="00B73425">
          <w:rPr>
            <w:noProof/>
            <w:webHidden/>
          </w:rPr>
          <w:tab/>
        </w:r>
        <w:r w:rsidR="00B73425">
          <w:rPr>
            <w:noProof/>
            <w:webHidden/>
          </w:rPr>
          <w:fldChar w:fldCharType="begin"/>
        </w:r>
        <w:r w:rsidR="00B73425">
          <w:rPr>
            <w:noProof/>
            <w:webHidden/>
          </w:rPr>
          <w:instrText xml:space="preserve"> PAGEREF _Toc464661199 \h </w:instrText>
        </w:r>
        <w:r w:rsidR="00B73425">
          <w:rPr>
            <w:noProof/>
            <w:webHidden/>
          </w:rPr>
        </w:r>
        <w:r w:rsidR="00B73425">
          <w:rPr>
            <w:noProof/>
            <w:webHidden/>
          </w:rPr>
          <w:fldChar w:fldCharType="separate"/>
        </w:r>
        <w:r w:rsidR="007F50C0">
          <w:rPr>
            <w:noProof/>
            <w:webHidden/>
          </w:rPr>
          <w:t>8</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0" w:history="1">
        <w:r w:rsidR="00B73425" w:rsidRPr="00F563A5">
          <w:rPr>
            <w:rStyle w:val="Hyperlink"/>
            <w:noProof/>
          </w:rPr>
          <w:t>3</w:t>
        </w:r>
        <w:r w:rsidR="00B73425" w:rsidRPr="00F563A5">
          <w:rPr>
            <w:rStyle w:val="Hyperlink"/>
            <w:noProof/>
          </w:rPr>
          <w:tab/>
          <w:t>Contested Audit Adjustments</w:t>
        </w:r>
        <w:r w:rsidR="00B73425">
          <w:rPr>
            <w:noProof/>
            <w:webHidden/>
          </w:rPr>
          <w:tab/>
        </w:r>
        <w:r w:rsidR="00B73425">
          <w:rPr>
            <w:noProof/>
            <w:webHidden/>
          </w:rPr>
          <w:fldChar w:fldCharType="begin"/>
        </w:r>
        <w:r w:rsidR="00B73425">
          <w:rPr>
            <w:noProof/>
            <w:webHidden/>
          </w:rPr>
          <w:instrText xml:space="preserve"> PAGEREF _Toc464661200 \h </w:instrText>
        </w:r>
        <w:r w:rsidR="00B73425">
          <w:rPr>
            <w:noProof/>
            <w:webHidden/>
          </w:rPr>
        </w:r>
        <w:r w:rsidR="00B73425">
          <w:rPr>
            <w:noProof/>
            <w:webHidden/>
          </w:rPr>
          <w:fldChar w:fldCharType="separate"/>
        </w:r>
        <w:r w:rsidR="007F50C0">
          <w:rPr>
            <w:noProof/>
            <w:webHidden/>
          </w:rPr>
          <w:t>10</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1" w:history="1">
        <w:r w:rsidR="00B73425" w:rsidRPr="00F563A5">
          <w:rPr>
            <w:rStyle w:val="Hyperlink"/>
            <w:noProof/>
          </w:rPr>
          <w:t>4</w:t>
        </w:r>
        <w:r w:rsidR="00B73425" w:rsidRPr="00F563A5">
          <w:rPr>
            <w:rStyle w:val="Hyperlink"/>
            <w:noProof/>
          </w:rPr>
          <w:tab/>
          <w:t>Pro Forma Plant Additions</w:t>
        </w:r>
        <w:r w:rsidR="00B73425">
          <w:rPr>
            <w:noProof/>
            <w:webHidden/>
          </w:rPr>
          <w:tab/>
        </w:r>
        <w:r w:rsidR="00B73425">
          <w:rPr>
            <w:noProof/>
            <w:webHidden/>
          </w:rPr>
          <w:fldChar w:fldCharType="begin"/>
        </w:r>
        <w:r w:rsidR="00B73425">
          <w:rPr>
            <w:noProof/>
            <w:webHidden/>
          </w:rPr>
          <w:instrText xml:space="preserve"> PAGEREF _Toc464661201 \h </w:instrText>
        </w:r>
        <w:r w:rsidR="00B73425">
          <w:rPr>
            <w:noProof/>
            <w:webHidden/>
          </w:rPr>
        </w:r>
        <w:r w:rsidR="00B73425">
          <w:rPr>
            <w:noProof/>
            <w:webHidden/>
          </w:rPr>
          <w:fldChar w:fldCharType="separate"/>
        </w:r>
        <w:r w:rsidR="007F50C0">
          <w:rPr>
            <w:noProof/>
            <w:webHidden/>
          </w:rPr>
          <w:t>15</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2" w:history="1">
        <w:r w:rsidR="00B73425" w:rsidRPr="00F563A5">
          <w:rPr>
            <w:rStyle w:val="Hyperlink"/>
            <w:noProof/>
          </w:rPr>
          <w:t>5</w:t>
        </w:r>
        <w:r w:rsidR="00B73425" w:rsidRPr="00F563A5">
          <w:rPr>
            <w:rStyle w:val="Hyperlink"/>
            <w:noProof/>
          </w:rPr>
          <w:tab/>
          <w:t>Used and Useful</w:t>
        </w:r>
        <w:r w:rsidR="00B73425">
          <w:rPr>
            <w:noProof/>
            <w:webHidden/>
          </w:rPr>
          <w:tab/>
        </w:r>
        <w:r w:rsidR="00B73425">
          <w:rPr>
            <w:noProof/>
            <w:webHidden/>
          </w:rPr>
          <w:fldChar w:fldCharType="begin"/>
        </w:r>
        <w:r w:rsidR="00B73425">
          <w:rPr>
            <w:noProof/>
            <w:webHidden/>
          </w:rPr>
          <w:instrText xml:space="preserve"> PAGEREF _Toc464661202 \h </w:instrText>
        </w:r>
        <w:r w:rsidR="00B73425">
          <w:rPr>
            <w:noProof/>
            <w:webHidden/>
          </w:rPr>
        </w:r>
        <w:r w:rsidR="00B73425">
          <w:rPr>
            <w:noProof/>
            <w:webHidden/>
          </w:rPr>
          <w:fldChar w:fldCharType="separate"/>
        </w:r>
        <w:r w:rsidR="007F50C0">
          <w:rPr>
            <w:noProof/>
            <w:webHidden/>
          </w:rPr>
          <w:t>18</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3" w:history="1">
        <w:r w:rsidR="00B73425" w:rsidRPr="00F563A5">
          <w:rPr>
            <w:rStyle w:val="Hyperlink"/>
            <w:noProof/>
          </w:rPr>
          <w:t>6</w:t>
        </w:r>
        <w:r w:rsidR="00B73425" w:rsidRPr="00F563A5">
          <w:rPr>
            <w:rStyle w:val="Hyperlink"/>
            <w:noProof/>
          </w:rPr>
          <w:tab/>
          <w:t>Working Capital</w:t>
        </w:r>
        <w:r w:rsidR="00B73425">
          <w:rPr>
            <w:noProof/>
            <w:webHidden/>
          </w:rPr>
          <w:tab/>
        </w:r>
        <w:r w:rsidR="00B73425">
          <w:rPr>
            <w:noProof/>
            <w:webHidden/>
          </w:rPr>
          <w:fldChar w:fldCharType="begin"/>
        </w:r>
        <w:r w:rsidR="00B73425">
          <w:rPr>
            <w:noProof/>
            <w:webHidden/>
          </w:rPr>
          <w:instrText xml:space="preserve"> PAGEREF _Toc464661203 \h </w:instrText>
        </w:r>
        <w:r w:rsidR="00B73425">
          <w:rPr>
            <w:noProof/>
            <w:webHidden/>
          </w:rPr>
        </w:r>
        <w:r w:rsidR="00B73425">
          <w:rPr>
            <w:noProof/>
            <w:webHidden/>
          </w:rPr>
          <w:fldChar w:fldCharType="separate"/>
        </w:r>
        <w:r w:rsidR="007F50C0">
          <w:rPr>
            <w:noProof/>
            <w:webHidden/>
          </w:rPr>
          <w:t>20</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4" w:history="1">
        <w:r w:rsidR="00B73425" w:rsidRPr="00F563A5">
          <w:rPr>
            <w:rStyle w:val="Hyperlink"/>
            <w:noProof/>
          </w:rPr>
          <w:t>7</w:t>
        </w:r>
        <w:r w:rsidR="00B73425" w:rsidRPr="00F563A5">
          <w:rPr>
            <w:rStyle w:val="Hyperlink"/>
            <w:noProof/>
          </w:rPr>
          <w:tab/>
          <w:t>Rate Base</w:t>
        </w:r>
        <w:r w:rsidR="00B73425">
          <w:rPr>
            <w:noProof/>
            <w:webHidden/>
          </w:rPr>
          <w:tab/>
        </w:r>
        <w:r w:rsidR="00B73425">
          <w:rPr>
            <w:noProof/>
            <w:webHidden/>
          </w:rPr>
          <w:fldChar w:fldCharType="begin"/>
        </w:r>
        <w:r w:rsidR="00B73425">
          <w:rPr>
            <w:noProof/>
            <w:webHidden/>
          </w:rPr>
          <w:instrText xml:space="preserve"> PAGEREF _Toc464661204 \h </w:instrText>
        </w:r>
        <w:r w:rsidR="00B73425">
          <w:rPr>
            <w:noProof/>
            <w:webHidden/>
          </w:rPr>
        </w:r>
        <w:r w:rsidR="00B73425">
          <w:rPr>
            <w:noProof/>
            <w:webHidden/>
          </w:rPr>
          <w:fldChar w:fldCharType="separate"/>
        </w:r>
        <w:r w:rsidR="007F50C0">
          <w:rPr>
            <w:noProof/>
            <w:webHidden/>
          </w:rPr>
          <w:t>22</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5" w:history="1">
        <w:r w:rsidR="00B73425" w:rsidRPr="00F563A5">
          <w:rPr>
            <w:rStyle w:val="Hyperlink"/>
            <w:noProof/>
          </w:rPr>
          <w:t>8</w:t>
        </w:r>
        <w:r w:rsidR="00B73425" w:rsidRPr="00F563A5">
          <w:rPr>
            <w:rStyle w:val="Hyperlink"/>
            <w:noProof/>
          </w:rPr>
          <w:tab/>
          <w:t>Return on Equity</w:t>
        </w:r>
        <w:r w:rsidR="00B73425">
          <w:rPr>
            <w:noProof/>
            <w:webHidden/>
          </w:rPr>
          <w:tab/>
        </w:r>
        <w:r w:rsidR="00B73425">
          <w:rPr>
            <w:noProof/>
            <w:webHidden/>
          </w:rPr>
          <w:fldChar w:fldCharType="begin"/>
        </w:r>
        <w:r w:rsidR="00B73425">
          <w:rPr>
            <w:noProof/>
            <w:webHidden/>
          </w:rPr>
          <w:instrText xml:space="preserve"> PAGEREF _Toc464661205 \h </w:instrText>
        </w:r>
        <w:r w:rsidR="00B73425">
          <w:rPr>
            <w:noProof/>
            <w:webHidden/>
          </w:rPr>
        </w:r>
        <w:r w:rsidR="00B73425">
          <w:rPr>
            <w:noProof/>
            <w:webHidden/>
          </w:rPr>
          <w:fldChar w:fldCharType="separate"/>
        </w:r>
        <w:r w:rsidR="007F50C0">
          <w:rPr>
            <w:noProof/>
            <w:webHidden/>
          </w:rPr>
          <w:t>23</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6" w:history="1">
        <w:r w:rsidR="00B73425" w:rsidRPr="00F563A5">
          <w:rPr>
            <w:rStyle w:val="Hyperlink"/>
            <w:noProof/>
          </w:rPr>
          <w:t>9</w:t>
        </w:r>
        <w:r w:rsidR="00B73425" w:rsidRPr="00F563A5">
          <w:rPr>
            <w:rStyle w:val="Hyperlink"/>
            <w:noProof/>
          </w:rPr>
          <w:tab/>
          <w:t>Weighted Average Cost of Capital</w:t>
        </w:r>
        <w:r w:rsidR="00B73425">
          <w:rPr>
            <w:noProof/>
            <w:webHidden/>
          </w:rPr>
          <w:tab/>
        </w:r>
        <w:r w:rsidR="00B73425">
          <w:rPr>
            <w:noProof/>
            <w:webHidden/>
          </w:rPr>
          <w:fldChar w:fldCharType="begin"/>
        </w:r>
        <w:r w:rsidR="00B73425">
          <w:rPr>
            <w:noProof/>
            <w:webHidden/>
          </w:rPr>
          <w:instrText xml:space="preserve"> PAGEREF _Toc464661206 \h </w:instrText>
        </w:r>
        <w:r w:rsidR="00B73425">
          <w:rPr>
            <w:noProof/>
            <w:webHidden/>
          </w:rPr>
        </w:r>
        <w:r w:rsidR="00B73425">
          <w:rPr>
            <w:noProof/>
            <w:webHidden/>
          </w:rPr>
          <w:fldChar w:fldCharType="separate"/>
        </w:r>
        <w:r w:rsidR="007F50C0">
          <w:rPr>
            <w:noProof/>
            <w:webHidden/>
          </w:rPr>
          <w:t>24</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7" w:history="1">
        <w:r w:rsidR="00B73425" w:rsidRPr="00F563A5">
          <w:rPr>
            <w:rStyle w:val="Hyperlink"/>
            <w:noProof/>
          </w:rPr>
          <w:t>10</w:t>
        </w:r>
        <w:r w:rsidR="00B73425" w:rsidRPr="00F563A5">
          <w:rPr>
            <w:rStyle w:val="Hyperlink"/>
            <w:noProof/>
          </w:rPr>
          <w:tab/>
          <w:t>Test Year Revenues</w:t>
        </w:r>
        <w:r w:rsidR="00B73425">
          <w:rPr>
            <w:noProof/>
            <w:webHidden/>
          </w:rPr>
          <w:tab/>
        </w:r>
        <w:r w:rsidR="00B73425">
          <w:rPr>
            <w:noProof/>
            <w:webHidden/>
          </w:rPr>
          <w:fldChar w:fldCharType="begin"/>
        </w:r>
        <w:r w:rsidR="00B73425">
          <w:rPr>
            <w:noProof/>
            <w:webHidden/>
          </w:rPr>
          <w:instrText xml:space="preserve"> PAGEREF _Toc464661207 \h </w:instrText>
        </w:r>
        <w:r w:rsidR="00B73425">
          <w:rPr>
            <w:noProof/>
            <w:webHidden/>
          </w:rPr>
        </w:r>
        <w:r w:rsidR="00B73425">
          <w:rPr>
            <w:noProof/>
            <w:webHidden/>
          </w:rPr>
          <w:fldChar w:fldCharType="separate"/>
        </w:r>
        <w:r w:rsidR="007F50C0">
          <w:rPr>
            <w:noProof/>
            <w:webHidden/>
          </w:rPr>
          <w:t>25</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8" w:history="1">
        <w:r w:rsidR="00B73425" w:rsidRPr="00F563A5">
          <w:rPr>
            <w:rStyle w:val="Hyperlink"/>
            <w:noProof/>
          </w:rPr>
          <w:t>11</w:t>
        </w:r>
        <w:r w:rsidR="00B73425" w:rsidRPr="00F563A5">
          <w:rPr>
            <w:rStyle w:val="Hyperlink"/>
            <w:noProof/>
          </w:rPr>
          <w:tab/>
          <w:t>Rate Case Expense</w:t>
        </w:r>
        <w:r w:rsidR="00B73425">
          <w:rPr>
            <w:noProof/>
            <w:webHidden/>
          </w:rPr>
          <w:tab/>
        </w:r>
        <w:r w:rsidR="00B73425">
          <w:rPr>
            <w:noProof/>
            <w:webHidden/>
          </w:rPr>
          <w:fldChar w:fldCharType="begin"/>
        </w:r>
        <w:r w:rsidR="00B73425">
          <w:rPr>
            <w:noProof/>
            <w:webHidden/>
          </w:rPr>
          <w:instrText xml:space="preserve"> PAGEREF _Toc464661208 \h </w:instrText>
        </w:r>
        <w:r w:rsidR="00B73425">
          <w:rPr>
            <w:noProof/>
            <w:webHidden/>
          </w:rPr>
        </w:r>
        <w:r w:rsidR="00B73425">
          <w:rPr>
            <w:noProof/>
            <w:webHidden/>
          </w:rPr>
          <w:fldChar w:fldCharType="separate"/>
        </w:r>
        <w:r w:rsidR="007F50C0">
          <w:rPr>
            <w:noProof/>
            <w:webHidden/>
          </w:rPr>
          <w:t>27</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09" w:history="1">
        <w:r w:rsidR="00B73425" w:rsidRPr="00F563A5">
          <w:rPr>
            <w:rStyle w:val="Hyperlink"/>
            <w:noProof/>
          </w:rPr>
          <w:t>12</w:t>
        </w:r>
        <w:r w:rsidR="00B73425" w:rsidRPr="00F563A5">
          <w:rPr>
            <w:rStyle w:val="Hyperlink"/>
            <w:noProof/>
          </w:rPr>
          <w:tab/>
          <w:t>O&amp;M Expenses</w:t>
        </w:r>
        <w:r w:rsidR="00B73425">
          <w:rPr>
            <w:noProof/>
            <w:webHidden/>
          </w:rPr>
          <w:tab/>
        </w:r>
        <w:r w:rsidR="00B73425">
          <w:rPr>
            <w:noProof/>
            <w:webHidden/>
          </w:rPr>
          <w:fldChar w:fldCharType="begin"/>
        </w:r>
        <w:r w:rsidR="00B73425">
          <w:rPr>
            <w:noProof/>
            <w:webHidden/>
          </w:rPr>
          <w:instrText xml:space="preserve"> PAGEREF _Toc464661209 \h </w:instrText>
        </w:r>
        <w:r w:rsidR="00B73425">
          <w:rPr>
            <w:noProof/>
            <w:webHidden/>
          </w:rPr>
        </w:r>
        <w:r w:rsidR="00B73425">
          <w:rPr>
            <w:noProof/>
            <w:webHidden/>
          </w:rPr>
          <w:fldChar w:fldCharType="separate"/>
        </w:r>
        <w:r w:rsidR="007F50C0">
          <w:rPr>
            <w:noProof/>
            <w:webHidden/>
          </w:rPr>
          <w:t>32</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0" w:history="1">
        <w:r w:rsidR="00B73425" w:rsidRPr="00F563A5">
          <w:rPr>
            <w:rStyle w:val="Hyperlink"/>
            <w:noProof/>
          </w:rPr>
          <w:t>13</w:t>
        </w:r>
        <w:r w:rsidR="00B73425" w:rsidRPr="00F563A5">
          <w:rPr>
            <w:rStyle w:val="Hyperlink"/>
            <w:noProof/>
          </w:rPr>
          <w:tab/>
          <w:t>Revenue Requirement</w:t>
        </w:r>
        <w:r w:rsidR="00B73425">
          <w:rPr>
            <w:noProof/>
            <w:webHidden/>
          </w:rPr>
          <w:tab/>
        </w:r>
        <w:r w:rsidR="00B73425">
          <w:rPr>
            <w:noProof/>
            <w:webHidden/>
          </w:rPr>
          <w:fldChar w:fldCharType="begin"/>
        </w:r>
        <w:r w:rsidR="00B73425">
          <w:rPr>
            <w:noProof/>
            <w:webHidden/>
          </w:rPr>
          <w:instrText xml:space="preserve"> PAGEREF _Toc464661210 \h </w:instrText>
        </w:r>
        <w:r w:rsidR="00B73425">
          <w:rPr>
            <w:noProof/>
            <w:webHidden/>
          </w:rPr>
        </w:r>
        <w:r w:rsidR="00B73425">
          <w:rPr>
            <w:noProof/>
            <w:webHidden/>
          </w:rPr>
          <w:fldChar w:fldCharType="separate"/>
        </w:r>
        <w:r w:rsidR="007F50C0">
          <w:rPr>
            <w:noProof/>
            <w:webHidden/>
          </w:rPr>
          <w:t>41</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1" w:history="1">
        <w:r w:rsidR="00B73425" w:rsidRPr="00F563A5">
          <w:rPr>
            <w:rStyle w:val="Hyperlink"/>
            <w:noProof/>
          </w:rPr>
          <w:t>14</w:t>
        </w:r>
        <w:r w:rsidR="00B73425" w:rsidRPr="00F563A5">
          <w:rPr>
            <w:rStyle w:val="Hyperlink"/>
            <w:noProof/>
          </w:rPr>
          <w:tab/>
          <w:t>Appropriate Rates and Rate Structures</w:t>
        </w:r>
        <w:r w:rsidR="00B73425">
          <w:rPr>
            <w:noProof/>
            <w:webHidden/>
          </w:rPr>
          <w:tab/>
        </w:r>
        <w:r w:rsidR="00B73425">
          <w:rPr>
            <w:noProof/>
            <w:webHidden/>
          </w:rPr>
          <w:fldChar w:fldCharType="begin"/>
        </w:r>
        <w:r w:rsidR="00B73425">
          <w:rPr>
            <w:noProof/>
            <w:webHidden/>
          </w:rPr>
          <w:instrText xml:space="preserve"> PAGEREF _Toc464661211 \h </w:instrText>
        </w:r>
        <w:r w:rsidR="00B73425">
          <w:rPr>
            <w:noProof/>
            <w:webHidden/>
          </w:rPr>
        </w:r>
        <w:r w:rsidR="00B73425">
          <w:rPr>
            <w:noProof/>
            <w:webHidden/>
          </w:rPr>
          <w:fldChar w:fldCharType="separate"/>
        </w:r>
        <w:r w:rsidR="007F50C0">
          <w:rPr>
            <w:noProof/>
            <w:webHidden/>
          </w:rPr>
          <w:t>42</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2" w:history="1">
        <w:r w:rsidR="00B73425" w:rsidRPr="00F563A5">
          <w:rPr>
            <w:rStyle w:val="Hyperlink"/>
            <w:noProof/>
          </w:rPr>
          <w:t>15</w:t>
        </w:r>
        <w:r w:rsidR="00B73425" w:rsidRPr="00F563A5">
          <w:rPr>
            <w:rStyle w:val="Hyperlink"/>
            <w:noProof/>
          </w:rPr>
          <w:tab/>
          <w:t>Four-Year Rate Reduction</w:t>
        </w:r>
        <w:r w:rsidR="00B73425">
          <w:rPr>
            <w:noProof/>
            <w:webHidden/>
          </w:rPr>
          <w:tab/>
        </w:r>
        <w:r w:rsidR="00B73425">
          <w:rPr>
            <w:noProof/>
            <w:webHidden/>
          </w:rPr>
          <w:fldChar w:fldCharType="begin"/>
        </w:r>
        <w:r w:rsidR="00B73425">
          <w:rPr>
            <w:noProof/>
            <w:webHidden/>
          </w:rPr>
          <w:instrText xml:space="preserve"> PAGEREF _Toc464661212 \h </w:instrText>
        </w:r>
        <w:r w:rsidR="00B73425">
          <w:rPr>
            <w:noProof/>
            <w:webHidden/>
          </w:rPr>
        </w:r>
        <w:r w:rsidR="00B73425">
          <w:rPr>
            <w:noProof/>
            <w:webHidden/>
          </w:rPr>
          <w:fldChar w:fldCharType="separate"/>
        </w:r>
        <w:r w:rsidR="007F50C0">
          <w:rPr>
            <w:noProof/>
            <w:webHidden/>
          </w:rPr>
          <w:t>47</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3" w:history="1">
        <w:r w:rsidR="00B73425" w:rsidRPr="00F563A5">
          <w:rPr>
            <w:rStyle w:val="Hyperlink"/>
            <w:noProof/>
          </w:rPr>
          <w:t>16</w:t>
        </w:r>
        <w:r w:rsidR="00B73425" w:rsidRPr="00F563A5">
          <w:rPr>
            <w:rStyle w:val="Hyperlink"/>
            <w:noProof/>
          </w:rPr>
          <w:tab/>
          <w:t>Miscellaneous Service Charges</w:t>
        </w:r>
        <w:r w:rsidR="00B73425">
          <w:rPr>
            <w:noProof/>
            <w:webHidden/>
          </w:rPr>
          <w:tab/>
        </w:r>
        <w:r w:rsidR="00B73425">
          <w:rPr>
            <w:noProof/>
            <w:webHidden/>
          </w:rPr>
          <w:fldChar w:fldCharType="begin"/>
        </w:r>
        <w:r w:rsidR="00B73425">
          <w:rPr>
            <w:noProof/>
            <w:webHidden/>
          </w:rPr>
          <w:instrText xml:space="preserve"> PAGEREF _Toc464661213 \h </w:instrText>
        </w:r>
        <w:r w:rsidR="00B73425">
          <w:rPr>
            <w:noProof/>
            <w:webHidden/>
          </w:rPr>
        </w:r>
        <w:r w:rsidR="00B73425">
          <w:rPr>
            <w:noProof/>
            <w:webHidden/>
          </w:rPr>
          <w:fldChar w:fldCharType="separate"/>
        </w:r>
        <w:r w:rsidR="007F50C0">
          <w:rPr>
            <w:noProof/>
            <w:webHidden/>
          </w:rPr>
          <w:t>48</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4" w:history="1">
        <w:r w:rsidR="00B73425" w:rsidRPr="00F563A5">
          <w:rPr>
            <w:rStyle w:val="Hyperlink"/>
            <w:noProof/>
          </w:rPr>
          <w:t>17</w:t>
        </w:r>
        <w:r w:rsidR="00B73425" w:rsidRPr="00F563A5">
          <w:rPr>
            <w:rStyle w:val="Hyperlink"/>
            <w:noProof/>
          </w:rPr>
          <w:tab/>
          <w:t>Customer Deposits</w:t>
        </w:r>
        <w:r w:rsidR="00B73425">
          <w:rPr>
            <w:noProof/>
            <w:webHidden/>
          </w:rPr>
          <w:tab/>
        </w:r>
        <w:r w:rsidR="00B73425">
          <w:rPr>
            <w:noProof/>
            <w:webHidden/>
          </w:rPr>
          <w:fldChar w:fldCharType="begin"/>
        </w:r>
        <w:r w:rsidR="00B73425">
          <w:rPr>
            <w:noProof/>
            <w:webHidden/>
          </w:rPr>
          <w:instrText xml:space="preserve"> PAGEREF _Toc464661214 \h </w:instrText>
        </w:r>
        <w:r w:rsidR="00B73425">
          <w:rPr>
            <w:noProof/>
            <w:webHidden/>
          </w:rPr>
        </w:r>
        <w:r w:rsidR="00B73425">
          <w:rPr>
            <w:noProof/>
            <w:webHidden/>
          </w:rPr>
          <w:fldChar w:fldCharType="separate"/>
        </w:r>
        <w:r w:rsidR="007F50C0">
          <w:rPr>
            <w:noProof/>
            <w:webHidden/>
          </w:rPr>
          <w:t>49</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5" w:history="1">
        <w:r w:rsidR="00B73425" w:rsidRPr="00F563A5">
          <w:rPr>
            <w:rStyle w:val="Hyperlink"/>
            <w:noProof/>
          </w:rPr>
          <w:t>18</w:t>
        </w:r>
        <w:r w:rsidR="00B73425" w:rsidRPr="00F563A5">
          <w:rPr>
            <w:rStyle w:val="Hyperlink"/>
            <w:noProof/>
          </w:rPr>
          <w:tab/>
          <w:t>Service Availability Charges</w:t>
        </w:r>
        <w:r w:rsidR="00B73425">
          <w:rPr>
            <w:noProof/>
            <w:webHidden/>
          </w:rPr>
          <w:tab/>
        </w:r>
        <w:r w:rsidR="00B73425">
          <w:rPr>
            <w:noProof/>
            <w:webHidden/>
          </w:rPr>
          <w:fldChar w:fldCharType="begin"/>
        </w:r>
        <w:r w:rsidR="00B73425">
          <w:rPr>
            <w:noProof/>
            <w:webHidden/>
          </w:rPr>
          <w:instrText xml:space="preserve"> PAGEREF _Toc464661215 \h </w:instrText>
        </w:r>
        <w:r w:rsidR="00B73425">
          <w:rPr>
            <w:noProof/>
            <w:webHidden/>
          </w:rPr>
        </w:r>
        <w:r w:rsidR="00B73425">
          <w:rPr>
            <w:noProof/>
            <w:webHidden/>
          </w:rPr>
          <w:fldChar w:fldCharType="separate"/>
        </w:r>
        <w:r w:rsidR="007F50C0">
          <w:rPr>
            <w:noProof/>
            <w:webHidden/>
          </w:rPr>
          <w:t>50</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6" w:history="1">
        <w:r w:rsidR="00B73425" w:rsidRPr="00F563A5">
          <w:rPr>
            <w:rStyle w:val="Hyperlink"/>
            <w:noProof/>
          </w:rPr>
          <w:t>19</w:t>
        </w:r>
        <w:r w:rsidR="00B73425" w:rsidRPr="00F563A5">
          <w:rPr>
            <w:rStyle w:val="Hyperlink"/>
            <w:noProof/>
          </w:rPr>
          <w:tab/>
          <w:t>Interim Refund</w:t>
        </w:r>
        <w:r w:rsidR="00B73425">
          <w:rPr>
            <w:noProof/>
            <w:webHidden/>
          </w:rPr>
          <w:tab/>
        </w:r>
        <w:r w:rsidR="00B73425">
          <w:rPr>
            <w:noProof/>
            <w:webHidden/>
          </w:rPr>
          <w:fldChar w:fldCharType="begin"/>
        </w:r>
        <w:r w:rsidR="00B73425">
          <w:rPr>
            <w:noProof/>
            <w:webHidden/>
          </w:rPr>
          <w:instrText xml:space="preserve"> PAGEREF _Toc464661216 \h </w:instrText>
        </w:r>
        <w:r w:rsidR="00B73425">
          <w:rPr>
            <w:noProof/>
            <w:webHidden/>
          </w:rPr>
        </w:r>
        <w:r w:rsidR="00B73425">
          <w:rPr>
            <w:noProof/>
            <w:webHidden/>
          </w:rPr>
          <w:fldChar w:fldCharType="separate"/>
        </w:r>
        <w:r w:rsidR="007F50C0">
          <w:rPr>
            <w:noProof/>
            <w:webHidden/>
          </w:rPr>
          <w:t>53</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7" w:history="1">
        <w:r w:rsidR="00B73425" w:rsidRPr="00F563A5">
          <w:rPr>
            <w:rStyle w:val="Hyperlink"/>
            <w:rFonts w:cs="Arial"/>
            <w:noProof/>
          </w:rPr>
          <w:t>20</w:t>
        </w:r>
        <w:r w:rsidR="00B73425" w:rsidRPr="00F563A5">
          <w:rPr>
            <w:rStyle w:val="Hyperlink"/>
            <w:rFonts w:cs="Arial"/>
            <w:noProof/>
          </w:rPr>
          <w:tab/>
          <w:t>Proof of Adjustments</w:t>
        </w:r>
        <w:r w:rsidR="00B73425">
          <w:rPr>
            <w:noProof/>
            <w:webHidden/>
          </w:rPr>
          <w:tab/>
        </w:r>
        <w:r w:rsidR="00B73425">
          <w:rPr>
            <w:noProof/>
            <w:webHidden/>
          </w:rPr>
          <w:fldChar w:fldCharType="begin"/>
        </w:r>
        <w:r w:rsidR="00B73425">
          <w:rPr>
            <w:noProof/>
            <w:webHidden/>
          </w:rPr>
          <w:instrText xml:space="preserve"> PAGEREF _Toc464661217 \h </w:instrText>
        </w:r>
        <w:r w:rsidR="00B73425">
          <w:rPr>
            <w:noProof/>
            <w:webHidden/>
          </w:rPr>
        </w:r>
        <w:r w:rsidR="00B73425">
          <w:rPr>
            <w:noProof/>
            <w:webHidden/>
          </w:rPr>
          <w:fldChar w:fldCharType="separate"/>
        </w:r>
        <w:r w:rsidR="007F50C0">
          <w:rPr>
            <w:noProof/>
            <w:webHidden/>
          </w:rPr>
          <w:t>54</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8" w:history="1">
        <w:r w:rsidR="00B73425" w:rsidRPr="00F563A5">
          <w:rPr>
            <w:rStyle w:val="Hyperlink"/>
            <w:noProof/>
          </w:rPr>
          <w:t>21</w:t>
        </w:r>
        <w:r w:rsidR="00B73425" w:rsidRPr="00F563A5">
          <w:rPr>
            <w:rStyle w:val="Hyperlink"/>
            <w:noProof/>
          </w:rPr>
          <w:tab/>
          <w:t>Close Docket</w:t>
        </w:r>
        <w:r w:rsidR="00B73425">
          <w:rPr>
            <w:noProof/>
            <w:webHidden/>
          </w:rPr>
          <w:tab/>
        </w:r>
        <w:r w:rsidR="00B73425">
          <w:rPr>
            <w:noProof/>
            <w:webHidden/>
          </w:rPr>
          <w:fldChar w:fldCharType="begin"/>
        </w:r>
        <w:r w:rsidR="00B73425">
          <w:rPr>
            <w:noProof/>
            <w:webHidden/>
          </w:rPr>
          <w:instrText xml:space="preserve"> PAGEREF _Toc464661218 \h </w:instrText>
        </w:r>
        <w:r w:rsidR="00B73425">
          <w:rPr>
            <w:noProof/>
            <w:webHidden/>
          </w:rPr>
        </w:r>
        <w:r w:rsidR="00B73425">
          <w:rPr>
            <w:noProof/>
            <w:webHidden/>
          </w:rPr>
          <w:fldChar w:fldCharType="separate"/>
        </w:r>
        <w:r w:rsidR="007F50C0">
          <w:rPr>
            <w:noProof/>
            <w:webHidden/>
          </w:rPr>
          <w:t>55</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19" w:history="1">
        <w:r w:rsidR="00B73425" w:rsidRPr="00F563A5">
          <w:rPr>
            <w:rStyle w:val="Hyperlink"/>
            <w:noProof/>
          </w:rPr>
          <w:tab/>
          <w:t>Schedule No. 1-A Water Rate Base</w:t>
        </w:r>
        <w:r w:rsidR="00B73425">
          <w:rPr>
            <w:noProof/>
            <w:webHidden/>
          </w:rPr>
          <w:tab/>
        </w:r>
        <w:r w:rsidR="00B73425">
          <w:rPr>
            <w:noProof/>
            <w:webHidden/>
          </w:rPr>
          <w:fldChar w:fldCharType="begin"/>
        </w:r>
        <w:r w:rsidR="00B73425">
          <w:rPr>
            <w:noProof/>
            <w:webHidden/>
          </w:rPr>
          <w:instrText xml:space="preserve"> PAGEREF _Toc464661219 \h </w:instrText>
        </w:r>
        <w:r w:rsidR="00B73425">
          <w:rPr>
            <w:noProof/>
            <w:webHidden/>
          </w:rPr>
        </w:r>
        <w:r w:rsidR="00B73425">
          <w:rPr>
            <w:noProof/>
            <w:webHidden/>
          </w:rPr>
          <w:fldChar w:fldCharType="separate"/>
        </w:r>
        <w:r w:rsidR="007F50C0">
          <w:rPr>
            <w:noProof/>
            <w:webHidden/>
          </w:rPr>
          <w:t>56</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0" w:history="1">
        <w:r w:rsidR="00B73425" w:rsidRPr="00F563A5">
          <w:rPr>
            <w:rStyle w:val="Hyperlink"/>
            <w:noProof/>
          </w:rPr>
          <w:tab/>
          <w:t>Schedule No. 1-B Wastewater Rate Base</w:t>
        </w:r>
        <w:r w:rsidR="00B73425">
          <w:rPr>
            <w:noProof/>
            <w:webHidden/>
          </w:rPr>
          <w:tab/>
        </w:r>
        <w:r w:rsidR="00B73425">
          <w:rPr>
            <w:noProof/>
            <w:webHidden/>
          </w:rPr>
          <w:fldChar w:fldCharType="begin"/>
        </w:r>
        <w:r w:rsidR="00B73425">
          <w:rPr>
            <w:noProof/>
            <w:webHidden/>
          </w:rPr>
          <w:instrText xml:space="preserve"> PAGEREF _Toc464661220 \h </w:instrText>
        </w:r>
        <w:r w:rsidR="00B73425">
          <w:rPr>
            <w:noProof/>
            <w:webHidden/>
          </w:rPr>
        </w:r>
        <w:r w:rsidR="00B73425">
          <w:rPr>
            <w:noProof/>
            <w:webHidden/>
          </w:rPr>
          <w:fldChar w:fldCharType="separate"/>
        </w:r>
        <w:r w:rsidR="007F50C0">
          <w:rPr>
            <w:noProof/>
            <w:webHidden/>
          </w:rPr>
          <w:t>57</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1" w:history="1">
        <w:r w:rsidR="00B73425" w:rsidRPr="00F563A5">
          <w:rPr>
            <w:rStyle w:val="Hyperlink"/>
            <w:noProof/>
          </w:rPr>
          <w:tab/>
          <w:t>Schedule No. 1-C Adjustments to Rate Base</w:t>
        </w:r>
        <w:r w:rsidR="00B73425">
          <w:rPr>
            <w:noProof/>
            <w:webHidden/>
          </w:rPr>
          <w:tab/>
        </w:r>
        <w:r w:rsidR="00B73425">
          <w:rPr>
            <w:noProof/>
            <w:webHidden/>
          </w:rPr>
          <w:fldChar w:fldCharType="begin"/>
        </w:r>
        <w:r w:rsidR="00B73425">
          <w:rPr>
            <w:noProof/>
            <w:webHidden/>
          </w:rPr>
          <w:instrText xml:space="preserve"> PAGEREF _Toc464661221 \h </w:instrText>
        </w:r>
        <w:r w:rsidR="00B73425">
          <w:rPr>
            <w:noProof/>
            <w:webHidden/>
          </w:rPr>
        </w:r>
        <w:r w:rsidR="00B73425">
          <w:rPr>
            <w:noProof/>
            <w:webHidden/>
          </w:rPr>
          <w:fldChar w:fldCharType="separate"/>
        </w:r>
        <w:r w:rsidR="007F50C0">
          <w:rPr>
            <w:noProof/>
            <w:webHidden/>
          </w:rPr>
          <w:t>58</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2" w:history="1">
        <w:r w:rsidR="00B73425" w:rsidRPr="00F563A5">
          <w:rPr>
            <w:rStyle w:val="Hyperlink"/>
            <w:noProof/>
          </w:rPr>
          <w:tab/>
          <w:t>Schedule No. 2 Capital Structure</w:t>
        </w:r>
        <w:r w:rsidR="00B73425">
          <w:rPr>
            <w:noProof/>
            <w:webHidden/>
          </w:rPr>
          <w:tab/>
        </w:r>
        <w:r w:rsidR="00B73425">
          <w:rPr>
            <w:noProof/>
            <w:webHidden/>
          </w:rPr>
          <w:fldChar w:fldCharType="begin"/>
        </w:r>
        <w:r w:rsidR="00B73425">
          <w:rPr>
            <w:noProof/>
            <w:webHidden/>
          </w:rPr>
          <w:instrText xml:space="preserve"> PAGEREF _Toc464661222 \h </w:instrText>
        </w:r>
        <w:r w:rsidR="00B73425">
          <w:rPr>
            <w:noProof/>
            <w:webHidden/>
          </w:rPr>
        </w:r>
        <w:r w:rsidR="00B73425">
          <w:rPr>
            <w:noProof/>
            <w:webHidden/>
          </w:rPr>
          <w:fldChar w:fldCharType="separate"/>
        </w:r>
        <w:r w:rsidR="007F50C0">
          <w:rPr>
            <w:noProof/>
            <w:webHidden/>
          </w:rPr>
          <w:t>59</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3" w:history="1">
        <w:r w:rsidR="00B73425" w:rsidRPr="00F563A5">
          <w:rPr>
            <w:rStyle w:val="Hyperlink"/>
            <w:noProof/>
          </w:rPr>
          <w:tab/>
          <w:t>Schedule No. 3-A Water Operating Income</w:t>
        </w:r>
        <w:r w:rsidR="00B73425">
          <w:rPr>
            <w:noProof/>
            <w:webHidden/>
          </w:rPr>
          <w:tab/>
        </w:r>
        <w:r w:rsidR="00B73425">
          <w:rPr>
            <w:noProof/>
            <w:webHidden/>
          </w:rPr>
          <w:fldChar w:fldCharType="begin"/>
        </w:r>
        <w:r w:rsidR="00B73425">
          <w:rPr>
            <w:noProof/>
            <w:webHidden/>
          </w:rPr>
          <w:instrText xml:space="preserve"> PAGEREF _Toc464661223 \h </w:instrText>
        </w:r>
        <w:r w:rsidR="00B73425">
          <w:rPr>
            <w:noProof/>
            <w:webHidden/>
          </w:rPr>
        </w:r>
        <w:r w:rsidR="00B73425">
          <w:rPr>
            <w:noProof/>
            <w:webHidden/>
          </w:rPr>
          <w:fldChar w:fldCharType="separate"/>
        </w:r>
        <w:r w:rsidR="007F50C0">
          <w:rPr>
            <w:noProof/>
            <w:webHidden/>
          </w:rPr>
          <w:t>60</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4" w:history="1">
        <w:r w:rsidR="00B73425" w:rsidRPr="00F563A5">
          <w:rPr>
            <w:rStyle w:val="Hyperlink"/>
            <w:noProof/>
          </w:rPr>
          <w:tab/>
          <w:t>Schedule No. 3-B Wastewater Operating Income</w:t>
        </w:r>
        <w:r w:rsidR="00B73425">
          <w:rPr>
            <w:noProof/>
            <w:webHidden/>
          </w:rPr>
          <w:tab/>
        </w:r>
        <w:r w:rsidR="00B73425">
          <w:rPr>
            <w:noProof/>
            <w:webHidden/>
          </w:rPr>
          <w:fldChar w:fldCharType="begin"/>
        </w:r>
        <w:r w:rsidR="00B73425">
          <w:rPr>
            <w:noProof/>
            <w:webHidden/>
          </w:rPr>
          <w:instrText xml:space="preserve"> PAGEREF _Toc464661224 \h </w:instrText>
        </w:r>
        <w:r w:rsidR="00B73425">
          <w:rPr>
            <w:noProof/>
            <w:webHidden/>
          </w:rPr>
        </w:r>
        <w:r w:rsidR="00B73425">
          <w:rPr>
            <w:noProof/>
            <w:webHidden/>
          </w:rPr>
          <w:fldChar w:fldCharType="separate"/>
        </w:r>
        <w:r w:rsidR="007F50C0">
          <w:rPr>
            <w:noProof/>
            <w:webHidden/>
          </w:rPr>
          <w:t>61</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5" w:history="1">
        <w:r w:rsidR="00B73425" w:rsidRPr="00F563A5">
          <w:rPr>
            <w:rStyle w:val="Hyperlink"/>
            <w:noProof/>
          </w:rPr>
          <w:tab/>
          <w:t>Schedule No. 3-C Adjustments to Operating Income</w:t>
        </w:r>
        <w:r w:rsidR="00B73425">
          <w:rPr>
            <w:noProof/>
            <w:webHidden/>
          </w:rPr>
          <w:tab/>
        </w:r>
        <w:r w:rsidR="00B73425">
          <w:rPr>
            <w:noProof/>
            <w:webHidden/>
          </w:rPr>
          <w:fldChar w:fldCharType="begin"/>
        </w:r>
        <w:r w:rsidR="00B73425">
          <w:rPr>
            <w:noProof/>
            <w:webHidden/>
          </w:rPr>
          <w:instrText xml:space="preserve"> PAGEREF _Toc464661225 \h </w:instrText>
        </w:r>
        <w:r w:rsidR="00B73425">
          <w:rPr>
            <w:noProof/>
            <w:webHidden/>
          </w:rPr>
        </w:r>
        <w:r w:rsidR="00B73425">
          <w:rPr>
            <w:noProof/>
            <w:webHidden/>
          </w:rPr>
          <w:fldChar w:fldCharType="separate"/>
        </w:r>
        <w:r w:rsidR="007F50C0">
          <w:rPr>
            <w:noProof/>
            <w:webHidden/>
          </w:rPr>
          <w:t>62</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6" w:history="1">
        <w:r w:rsidR="00B73425" w:rsidRPr="00F563A5">
          <w:rPr>
            <w:rStyle w:val="Hyperlink"/>
            <w:noProof/>
          </w:rPr>
          <w:tab/>
          <w:t>Schedule No. 4-A Monthly Water Rates</w:t>
        </w:r>
        <w:r w:rsidR="00B73425">
          <w:rPr>
            <w:noProof/>
            <w:webHidden/>
          </w:rPr>
          <w:tab/>
        </w:r>
        <w:r w:rsidR="00B73425">
          <w:rPr>
            <w:noProof/>
            <w:webHidden/>
          </w:rPr>
          <w:fldChar w:fldCharType="begin"/>
        </w:r>
        <w:r w:rsidR="00B73425">
          <w:rPr>
            <w:noProof/>
            <w:webHidden/>
          </w:rPr>
          <w:instrText xml:space="preserve"> PAGEREF _Toc464661226 \h </w:instrText>
        </w:r>
        <w:r w:rsidR="00B73425">
          <w:rPr>
            <w:noProof/>
            <w:webHidden/>
          </w:rPr>
        </w:r>
        <w:r w:rsidR="00B73425">
          <w:rPr>
            <w:noProof/>
            <w:webHidden/>
          </w:rPr>
          <w:fldChar w:fldCharType="separate"/>
        </w:r>
        <w:r w:rsidR="007F50C0">
          <w:rPr>
            <w:noProof/>
            <w:webHidden/>
          </w:rPr>
          <w:t>63</w:t>
        </w:r>
        <w:r w:rsidR="00B73425">
          <w:rPr>
            <w:noProof/>
            <w:webHidden/>
          </w:rPr>
          <w:fldChar w:fldCharType="end"/>
        </w:r>
      </w:hyperlink>
    </w:p>
    <w:p w:rsidR="00B73425" w:rsidRDefault="00547E30">
      <w:pPr>
        <w:pStyle w:val="TOC1"/>
        <w:rPr>
          <w:rFonts w:asciiTheme="minorHAnsi" w:eastAsiaTheme="minorEastAsia" w:hAnsiTheme="minorHAnsi" w:cstheme="minorBidi"/>
          <w:noProof/>
          <w:sz w:val="22"/>
          <w:szCs w:val="22"/>
        </w:rPr>
      </w:pPr>
      <w:hyperlink w:anchor="_Toc464661227" w:history="1">
        <w:r w:rsidR="00B73425" w:rsidRPr="00F563A5">
          <w:rPr>
            <w:rStyle w:val="Hyperlink"/>
            <w:noProof/>
          </w:rPr>
          <w:tab/>
          <w:t>Schedule No. 4-B Monthly Wastewater Rates</w:t>
        </w:r>
        <w:r w:rsidR="00B73425">
          <w:rPr>
            <w:noProof/>
            <w:webHidden/>
          </w:rPr>
          <w:tab/>
        </w:r>
        <w:r w:rsidR="00B73425">
          <w:rPr>
            <w:noProof/>
            <w:webHidden/>
          </w:rPr>
          <w:fldChar w:fldCharType="begin"/>
        </w:r>
        <w:r w:rsidR="00B73425">
          <w:rPr>
            <w:noProof/>
            <w:webHidden/>
          </w:rPr>
          <w:instrText xml:space="preserve"> PAGEREF _Toc464661227 \h </w:instrText>
        </w:r>
        <w:r w:rsidR="00B73425">
          <w:rPr>
            <w:noProof/>
            <w:webHidden/>
          </w:rPr>
        </w:r>
        <w:r w:rsidR="00B73425">
          <w:rPr>
            <w:noProof/>
            <w:webHidden/>
          </w:rPr>
          <w:fldChar w:fldCharType="separate"/>
        </w:r>
        <w:r w:rsidR="007F50C0">
          <w:rPr>
            <w:noProof/>
            <w:webHidden/>
          </w:rPr>
          <w:t>64</w:t>
        </w:r>
        <w:r w:rsidR="00B73425">
          <w:rPr>
            <w:noProof/>
            <w:webHidden/>
          </w:rPr>
          <w:fldChar w:fldCharType="end"/>
        </w:r>
      </w:hyperlink>
    </w:p>
    <w:p w:rsidR="00937A7F" w:rsidRDefault="00937A7F">
      <w:pPr>
        <w:pStyle w:val="TOCColumnHeadings"/>
      </w:pPr>
      <w:r>
        <w:fldChar w:fldCharType="end"/>
      </w:r>
    </w:p>
    <w:p w:rsidR="007C0528" w:rsidRDefault="00937A7F">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464661197"/>
      <w:r w:rsidR="007C0528">
        <w:tab/>
        <w:instrText>Case Background</w:instrText>
      </w:r>
      <w:bookmarkEnd w:id="13"/>
      <w:r w:rsidR="007C0528">
        <w:instrText xml:space="preserve">" \l 1 </w:instrText>
      </w:r>
      <w:r w:rsidR="007C0528">
        <w:fldChar w:fldCharType="end"/>
      </w:r>
    </w:p>
    <w:p w:rsidR="00FD17F7" w:rsidRDefault="00FD17F7" w:rsidP="00FD17F7">
      <w:pPr>
        <w:pStyle w:val="BodyText"/>
      </w:pPr>
      <w:r>
        <w:t>Ni Florida, LLC (Ni Florida or utility) is a Class A u</w:t>
      </w:r>
      <w:r w:rsidR="004B0EBD">
        <w:t>tility serving approximately 745</w:t>
      </w:r>
      <w:r>
        <w:t xml:space="preserve"> water con</w:t>
      </w:r>
      <w:r w:rsidR="004B0EBD">
        <w:t>nections in Lee County and 2,757</w:t>
      </w:r>
      <w:r>
        <w:t xml:space="preserve"> wastewater connections in Pasco County. Water and wastewater rates were last established for the utility in 2013.</w:t>
      </w:r>
      <w:r>
        <w:rPr>
          <w:rStyle w:val="FootnoteReference"/>
        </w:rPr>
        <w:footnoteReference w:id="1"/>
      </w:r>
      <w:r>
        <w:t xml:space="preserve"> On April 4, 2016, Ni Florida filed its application</w:t>
      </w:r>
      <w:r w:rsidR="00F212E3">
        <w:t xml:space="preserve"> to increase rates</w:t>
      </w:r>
      <w:r>
        <w:t xml:space="preserve">. </w:t>
      </w:r>
    </w:p>
    <w:p w:rsidR="00FD17F7" w:rsidRDefault="00FD17F7" w:rsidP="00FD17F7">
      <w:pPr>
        <w:pStyle w:val="BodyText"/>
      </w:pPr>
      <w:r>
        <w:t>On May 3, 2016, staff sent the utility a letter indicating deficiencies in the filing of its minimum filing requirements (MFRs). On May 13, 2016, the utility provided corrections to the MFRs and st</w:t>
      </w:r>
      <w:r w:rsidR="004B0EBD">
        <w:t>aff determined that the MFRs were</w:t>
      </w:r>
      <w:r>
        <w:t xml:space="preserve"> complete. Therefore, the official filing date is May 13, 2016. The utility requested that the application be processed using the Proposed Agency Action (PAA) procedure and requested interim rates. The test year established for final rates is based on a 13</w:t>
      </w:r>
      <w:r w:rsidR="00C77373">
        <w:t>-</w:t>
      </w:r>
      <w:r>
        <w:t xml:space="preserve">month average for the period ended December 31, 2015. Ni Florida requested final revenue increases of $87,150 (37.1 percent) for water and $475,000 (24.6 percent) for wastewater. </w:t>
      </w:r>
    </w:p>
    <w:p w:rsidR="00FD684E" w:rsidRDefault="00587C5C" w:rsidP="00FD17F7">
      <w:pPr>
        <w:jc w:val="both"/>
      </w:pPr>
      <w:proofErr w:type="gramStart"/>
      <w:r>
        <w:t>By Order No.</w:t>
      </w:r>
      <w:proofErr w:type="gramEnd"/>
      <w:r>
        <w:t xml:space="preserve"> PSC-</w:t>
      </w:r>
      <w:r w:rsidR="0061785C">
        <w:t xml:space="preserve">16-0249-PCO-WS, issued June 29, 2016 (Interim Order), the Commission authorized the collection of interim water and wastewater rates, subject to refund, </w:t>
      </w:r>
      <w:r w:rsidR="005744C1">
        <w:t>pursuant</w:t>
      </w:r>
      <w:r w:rsidR="0061785C">
        <w:t xml:space="preserve"> to Section 367.082, Florida Statues (F.S.). The approved interim revenue requirement for water</w:t>
      </w:r>
      <w:r w:rsidR="004B0EBD">
        <w:t xml:space="preserve"> was $310,891, which represented</w:t>
      </w:r>
      <w:r w:rsidR="00B42CAD">
        <w:t xml:space="preserve"> an increase of $87,202 or </w:t>
      </w:r>
      <w:r w:rsidR="00DC22D3">
        <w:t>38.98</w:t>
      </w:r>
      <w:r w:rsidR="0033374C">
        <w:t xml:space="preserve"> percent.</w:t>
      </w:r>
      <w:r w:rsidR="00B42CAD">
        <w:t xml:space="preserve"> The approved interim revenue requirement for wastewater </w:t>
      </w:r>
      <w:r w:rsidR="004B0EBD">
        <w:t>was $2,264,770, which represented</w:t>
      </w:r>
      <w:r w:rsidR="00B42CAD">
        <w:t xml:space="preserve"> an increase of $332,619 or 17.21 percent.</w:t>
      </w:r>
    </w:p>
    <w:p w:rsidR="00FD684E" w:rsidRDefault="00FD684E" w:rsidP="00FD17F7">
      <w:pPr>
        <w:jc w:val="both"/>
      </w:pPr>
    </w:p>
    <w:p w:rsidR="00062C12" w:rsidRDefault="007948B3">
      <w:pPr>
        <w:pStyle w:val="BodyText"/>
      </w:pPr>
      <w:r>
        <w:t xml:space="preserve">The five-month statutory deadline for the Commission to vote on the utility’s </w:t>
      </w:r>
      <w:r w:rsidR="005C26F2">
        <w:t>proposed</w:t>
      </w:r>
      <w:r>
        <w:t xml:space="preserve"> rates was September 13, 2016. However, by letter dated </w:t>
      </w:r>
      <w:r w:rsidR="005F1FE9">
        <w:t xml:space="preserve">August 23, 2016, the utility agreed to </w:t>
      </w:r>
      <w:r w:rsidR="00C77373">
        <w:t>waive</w:t>
      </w:r>
      <w:r w:rsidR="005F1FE9">
        <w:t xml:space="preserve"> the time to the November 1, 2016 Commission Conference.</w:t>
      </w:r>
      <w:r w:rsidR="00062C12">
        <w:t xml:space="preserve"> The Office of the Public Counsel (OPC) is actively monitoring this docket and provided a letter of concerns and issues on August 30, 2016.</w:t>
      </w:r>
    </w:p>
    <w:p w:rsidR="00062C12" w:rsidRDefault="00062C12">
      <w:pPr>
        <w:pStyle w:val="BodyText"/>
      </w:pPr>
      <w:r>
        <w:t xml:space="preserve">This recommendation addresses Ni Florida’s request for final rates. The Commission has jurisdiction pursuant to Section </w:t>
      </w:r>
      <w:r w:rsidR="00A8147A">
        <w:t xml:space="preserve">Nos. </w:t>
      </w:r>
      <w:r>
        <w:t xml:space="preserve">367.081, </w:t>
      </w:r>
      <w:r w:rsidR="00C77373">
        <w:t xml:space="preserve">367.0816, </w:t>
      </w:r>
      <w:r w:rsidR="00A8147A">
        <w:t xml:space="preserve">and </w:t>
      </w:r>
      <w:r w:rsidR="00C77373">
        <w:t xml:space="preserve">367.091, </w:t>
      </w:r>
      <w:r>
        <w:t>F.S.</w:t>
      </w:r>
    </w:p>
    <w:p w:rsidR="007C0528" w:rsidRDefault="007C0528" w:rsidP="0068481F"/>
    <w:bookmarkEnd w:id="12"/>
    <w:p w:rsidR="00EA2273" w:rsidRDefault="00EA2273">
      <w:pPr>
        <w:pStyle w:val="RecommendationMajorSectionHeading"/>
        <w:sectPr w:rsidR="00EA2273" w:rsidSect="007762A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C67B6" w:rsidRDefault="007C67B6">
      <w:pPr>
        <w:rPr>
          <w:rFonts w:ascii="Arial" w:hAnsi="Arial" w:cs="Arial"/>
          <w:b/>
          <w:bCs/>
          <w:i/>
          <w:kern w:val="32"/>
          <w:szCs w:val="32"/>
        </w:rPr>
      </w:pPr>
    </w:p>
    <w:p w:rsidR="003049C6" w:rsidRDefault="003049C6">
      <w:pPr>
        <w:pStyle w:val="IssueHeading"/>
        <w:rPr>
          <w:vanish/>
          <w:specVanish/>
        </w:rPr>
      </w:pPr>
      <w:r w:rsidRPr="004C3641">
        <w:t xml:space="preserve">Issue </w:t>
      </w:r>
      <w:r w:rsidR="00547E30">
        <w:fldChar w:fldCharType="begin"/>
      </w:r>
      <w:r w:rsidR="00547E30">
        <w:instrText xml:space="preserve"> SEQ Issue \* MERGEFORMAT </w:instrText>
      </w:r>
      <w:r w:rsidR="00547E30">
        <w:fldChar w:fldCharType="separate"/>
      </w:r>
      <w:r w:rsidR="007F50C0">
        <w:rPr>
          <w:noProof/>
        </w:rPr>
        <w:t>1</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464661198"/>
      <w:r w:rsidR="007F50C0">
        <w:rPr>
          <w:noProof/>
        </w:rPr>
        <w:instrText>1</w:instrText>
      </w:r>
      <w:r>
        <w:fldChar w:fldCharType="end"/>
      </w:r>
      <w:r>
        <w:tab/>
      </w:r>
      <w:r w:rsidR="00937A7F">
        <w:instrText>Quality of Service</w:instrText>
      </w:r>
      <w:bookmarkEnd w:id="17"/>
      <w:r>
        <w:instrText xml:space="preserve">" \l 1 </w:instrText>
      </w:r>
      <w:r>
        <w:fldChar w:fldCharType="end"/>
      </w:r>
      <w:r>
        <w:t> </w:t>
      </w:r>
    </w:p>
    <w:p w:rsidR="003049C6" w:rsidRDefault="003049C6">
      <w:pPr>
        <w:pStyle w:val="BodyText"/>
      </w:pPr>
      <w:r>
        <w:t> Is the quality of service provided by Ni Florida satisfactory?</w:t>
      </w:r>
    </w:p>
    <w:p w:rsidR="003049C6" w:rsidRPr="004C3641" w:rsidRDefault="003049C6">
      <w:pPr>
        <w:pStyle w:val="IssueSubsectionHeading"/>
        <w:rPr>
          <w:vanish/>
          <w:specVanish/>
        </w:rPr>
      </w:pPr>
      <w:r w:rsidRPr="004C3641">
        <w:t>Recommendation: </w:t>
      </w:r>
    </w:p>
    <w:p w:rsidR="003049C6" w:rsidRDefault="003049C6">
      <w:pPr>
        <w:pStyle w:val="BodyText"/>
      </w:pPr>
      <w:r>
        <w:t> </w:t>
      </w:r>
      <w:r w:rsidR="002616BD" w:rsidRPr="00B47F1E">
        <w:t xml:space="preserve">Yes. Staff recommends that the condition of the water distribution system and wastewater collection systems are satisfactory. It also appears that the </w:t>
      </w:r>
      <w:r w:rsidR="007762A7">
        <w:t>u</w:t>
      </w:r>
      <w:r w:rsidR="002616BD" w:rsidRPr="00B47F1E">
        <w:t>tility has attempted to address customers’ concerns. Therefore, staff recommends that the overall quality of service for the Ni Florida water and wastewater systems in Lee and Pasco Counties is satisfactory.</w:t>
      </w:r>
      <w:r>
        <w:t xml:space="preserve"> (Hill)</w:t>
      </w:r>
    </w:p>
    <w:p w:rsidR="003049C6" w:rsidRPr="004C3641" w:rsidRDefault="003049C6">
      <w:pPr>
        <w:pStyle w:val="IssueSubsectionHeading"/>
        <w:rPr>
          <w:vanish/>
          <w:specVanish/>
        </w:rPr>
      </w:pPr>
      <w:r w:rsidRPr="004C3641">
        <w:t>Staff Analysis: </w:t>
      </w:r>
    </w:p>
    <w:p w:rsidR="002616BD" w:rsidRPr="002616BD" w:rsidRDefault="003049C6" w:rsidP="002616BD">
      <w:pPr>
        <w:autoSpaceDE w:val="0"/>
        <w:autoSpaceDN w:val="0"/>
        <w:adjustRightInd w:val="0"/>
        <w:jc w:val="both"/>
      </w:pPr>
      <w:r>
        <w:t> </w:t>
      </w:r>
      <w:r w:rsidR="002616BD" w:rsidRPr="002616BD">
        <w:t xml:space="preserve">Pursuant to Rule 25-30.433(1), Florida Administrative Code (F.A.C.), in water and wastewater rate cases, the Commission shall determine the overall quality of service provided by the utility. This is derived from an evaluation of three separate components of the </w:t>
      </w:r>
      <w:r w:rsidR="007762A7">
        <w:t>u</w:t>
      </w:r>
      <w:r w:rsidR="002616BD" w:rsidRPr="002616BD">
        <w:t>tility’s operations. These components are: (1) the quality of the utility’s product; (2) the operating conditions of the utility’s plant and facilities; and (3) the utility’s attempt to address customer satisfaction. The Rule further states that sanitary surveys, outstanding citations, violations, and consent orders on file with the Department of Environmental Protection (DEP) and the county health department over the preceding three-year period shall be considered. Additionally, Section 367.0812(1</w:t>
      </w:r>
      <w:proofErr w:type="gramStart"/>
      <w:r w:rsidR="002616BD" w:rsidRPr="002616BD">
        <w:t>)(</w:t>
      </w:r>
      <w:proofErr w:type="gramEnd"/>
      <w:r w:rsidR="002616BD" w:rsidRPr="002616BD">
        <w:t>c), F.S., requires the Commission to consider the extent to which the utility provides water service that meets secondary water quality standards as established by the DEP.</w:t>
      </w:r>
    </w:p>
    <w:p w:rsidR="002616BD" w:rsidRPr="002616BD" w:rsidRDefault="002616BD" w:rsidP="002616BD">
      <w:pPr>
        <w:spacing w:before="240"/>
        <w:jc w:val="both"/>
        <w:rPr>
          <w:b/>
        </w:rPr>
      </w:pPr>
      <w:r w:rsidRPr="002616BD">
        <w:rPr>
          <w:rFonts w:ascii="Arial" w:hAnsi="Arial" w:cs="Arial"/>
          <w:b/>
          <w:color w:val="000000"/>
        </w:rPr>
        <w:t>Quality of Utility’s Product and Operating Conditions of the Utility’s Facilities</w:t>
      </w:r>
    </w:p>
    <w:p w:rsidR="002616BD" w:rsidRPr="002616BD" w:rsidRDefault="002616BD" w:rsidP="002616BD">
      <w:pPr>
        <w:jc w:val="both"/>
        <w:rPr>
          <w:color w:val="000000"/>
        </w:rPr>
      </w:pPr>
      <w:r w:rsidRPr="002616BD">
        <w:t>Ni Florida’s service areas are located in Lee and Pasco Counties. Ni Florida’s water system is located in Lee County. The Utility purchases all of the water it sells to customers from Lee County Utilities. The Utility maintains and operates the distribution system that delivers the treated water to its customers. Ni Florida’s wastewater collection system is located in Pasco County. All wastewater is pumped to Pasco County Utilities for treatment and disposal pursuant to an agreement made in 1990. Similar to its water system, Ni Florida maintains and operates its wastewater collection system. Because Ni Florida does not have water or wastewater treatment plants, its existing facilities are not inspected by DEP. Staff notes however, that the</w:t>
      </w:r>
      <w:r w:rsidRPr="002616BD">
        <w:rPr>
          <w:color w:val="000000"/>
        </w:rPr>
        <w:t xml:space="preserve"> Utility’s facility operators maintain licenses issued by the DEP. </w:t>
      </w:r>
    </w:p>
    <w:p w:rsidR="002616BD" w:rsidRPr="002616BD" w:rsidRDefault="002616BD" w:rsidP="002616BD">
      <w:pPr>
        <w:jc w:val="both"/>
        <w:rPr>
          <w:color w:val="000000"/>
        </w:rPr>
      </w:pPr>
    </w:p>
    <w:p w:rsidR="002616BD" w:rsidRPr="002616BD" w:rsidRDefault="002616BD" w:rsidP="002616BD">
      <w:pPr>
        <w:jc w:val="both"/>
        <w:rPr>
          <w:color w:val="000000"/>
        </w:rPr>
      </w:pPr>
      <w:r w:rsidRPr="002616BD">
        <w:rPr>
          <w:color w:val="000000"/>
        </w:rPr>
        <w:t>Staff reviewed analyses of water samples dated December 15, 2015, and all results were deemed satisfactory by the Lee County Health Department. Based on the discussion above, staff believes that the quality of Ni Florida’s product and the condition of its facilities are satisfactory at this time.</w:t>
      </w:r>
    </w:p>
    <w:p w:rsidR="002616BD" w:rsidRPr="002616BD" w:rsidRDefault="002616BD" w:rsidP="002616BD">
      <w:pPr>
        <w:spacing w:before="240"/>
        <w:jc w:val="both"/>
        <w:rPr>
          <w:rFonts w:ascii="Arial" w:hAnsi="Arial" w:cs="Arial"/>
          <w:b/>
          <w:color w:val="000000"/>
        </w:rPr>
      </w:pPr>
      <w:r w:rsidRPr="002616BD">
        <w:rPr>
          <w:rFonts w:ascii="Arial" w:hAnsi="Arial" w:cs="Arial"/>
          <w:b/>
          <w:color w:val="000000"/>
        </w:rPr>
        <w:t>The Utility’s Attempt to Address Customer Satisfaction</w:t>
      </w:r>
    </w:p>
    <w:p w:rsidR="002616BD" w:rsidRPr="002616BD" w:rsidRDefault="002616BD" w:rsidP="002616BD">
      <w:pPr>
        <w:autoSpaceDE w:val="0"/>
        <w:autoSpaceDN w:val="0"/>
        <w:adjustRightInd w:val="0"/>
        <w:jc w:val="both"/>
        <w:rPr>
          <w:u w:val="single"/>
        </w:rPr>
      </w:pPr>
      <w:r w:rsidRPr="002616BD">
        <w:t>In Ni Florida’s last rate case, the Commission determined that the utility’s quality of service with regards to its wastewater system in Pasco County was satisfactory. The Commission found the quality of service for the utility’s water system, in Lee County, to be marginal based on the utility’s responsiveness to customers. Based on the Commission’s prior decision and the difference in the size of the customer base of Ni Florida’s two systems, staff will analyze the utility’s attempt to address its water and wastewater customer satisfaction separately.</w:t>
      </w:r>
    </w:p>
    <w:p w:rsidR="002616BD" w:rsidRPr="002616BD" w:rsidRDefault="002616BD" w:rsidP="002616BD">
      <w:pPr>
        <w:jc w:val="both"/>
      </w:pPr>
    </w:p>
    <w:p w:rsidR="002616BD" w:rsidRPr="002616BD" w:rsidRDefault="002616BD" w:rsidP="002616BD">
      <w:pPr>
        <w:jc w:val="both"/>
      </w:pPr>
    </w:p>
    <w:p w:rsidR="002616BD" w:rsidRPr="002616BD" w:rsidRDefault="002616BD" w:rsidP="002616BD">
      <w:pPr>
        <w:jc w:val="both"/>
      </w:pPr>
    </w:p>
    <w:p w:rsidR="002616BD" w:rsidRPr="002616BD" w:rsidRDefault="002616BD" w:rsidP="00105BAC">
      <w:pPr>
        <w:spacing w:before="240"/>
        <w:ind w:firstLine="720"/>
        <w:jc w:val="both"/>
        <w:rPr>
          <w:rFonts w:ascii="Arial" w:hAnsi="Arial" w:cs="Arial"/>
          <w:b/>
          <w:color w:val="000000"/>
        </w:rPr>
      </w:pPr>
      <w:r w:rsidRPr="002616BD">
        <w:rPr>
          <w:rFonts w:ascii="Arial" w:hAnsi="Arial" w:cs="Arial"/>
          <w:b/>
          <w:color w:val="000000"/>
        </w:rPr>
        <w:lastRenderedPageBreak/>
        <w:t>Wastewater</w:t>
      </w:r>
    </w:p>
    <w:p w:rsidR="002616BD" w:rsidRPr="002616BD" w:rsidRDefault="002616BD" w:rsidP="002616BD">
      <w:pPr>
        <w:spacing w:after="240"/>
        <w:jc w:val="both"/>
      </w:pPr>
      <w:r w:rsidRPr="002616BD">
        <w:t xml:space="preserve">Staff held a customer meeting for Ni Florida’s wastewater customers on July 27, 2016, in New Port Richey, Florida. No customers attended this meeting. Three wastewater customers provided written comments to the Commission (docket correspondence) expressing concern with the proposed rate increase. </w:t>
      </w:r>
    </w:p>
    <w:p w:rsidR="002616BD" w:rsidRPr="002616BD" w:rsidRDefault="002616BD" w:rsidP="002616BD">
      <w:pPr>
        <w:spacing w:after="240"/>
        <w:jc w:val="both"/>
      </w:pPr>
      <w:r w:rsidRPr="002616BD">
        <w:t>In its MFRs the utility provided customer complaints filed with the utility during the test year and four years prior. The utility provided 31 complaints as well as the utility’s resolution of each respective complaint. The majority of the complaints dealt with billing issues. Many of these complaints were resolved by the utility making an adjustment to the customer’s bill. All complaints filed with the Commission were contained in the utility’s filing. Subsequent to the test year, two complaints have been filed with the Commission, both of which have been closed. Table 1-1 below summarizes the complaints considered and reviewed by staff in evaluating the utility’s attempt to address its wastewater customers’ concerns.</w:t>
      </w:r>
    </w:p>
    <w:p w:rsidR="00D07A8C" w:rsidRPr="00D07A8C" w:rsidRDefault="002616BD" w:rsidP="00D07A8C">
      <w:pPr>
        <w:keepNext/>
        <w:jc w:val="center"/>
        <w:rPr>
          <w:rFonts w:ascii="Arial" w:hAnsi="Arial" w:cs="Arial"/>
          <w:b/>
          <w:bCs/>
        </w:rPr>
      </w:pPr>
      <w:r w:rsidRPr="00D07A8C">
        <w:rPr>
          <w:rFonts w:ascii="Arial" w:hAnsi="Arial" w:cs="Arial"/>
          <w:b/>
          <w:bCs/>
        </w:rPr>
        <w:t xml:space="preserve">Table </w:t>
      </w:r>
      <w:r w:rsidRPr="00D07A8C">
        <w:rPr>
          <w:rFonts w:ascii="Arial" w:hAnsi="Arial" w:cs="Arial"/>
          <w:b/>
          <w:bCs/>
        </w:rPr>
        <w:fldChar w:fldCharType="begin"/>
      </w:r>
      <w:r w:rsidRPr="00D07A8C">
        <w:rPr>
          <w:rFonts w:ascii="Arial" w:hAnsi="Arial" w:cs="Arial"/>
          <w:b/>
          <w:bCs/>
        </w:rPr>
        <w:instrText xml:space="preserve"> SEQ Table \* ARABIC </w:instrText>
      </w:r>
      <w:r w:rsidRPr="00D07A8C">
        <w:rPr>
          <w:rFonts w:ascii="Arial" w:hAnsi="Arial" w:cs="Arial"/>
          <w:b/>
          <w:bCs/>
        </w:rPr>
        <w:fldChar w:fldCharType="separate"/>
      </w:r>
      <w:r w:rsidR="007F50C0">
        <w:rPr>
          <w:rFonts w:ascii="Arial" w:hAnsi="Arial" w:cs="Arial"/>
          <w:b/>
          <w:bCs/>
          <w:noProof/>
        </w:rPr>
        <w:t>1</w:t>
      </w:r>
      <w:r w:rsidRPr="00D07A8C">
        <w:rPr>
          <w:rFonts w:ascii="Arial" w:hAnsi="Arial" w:cs="Arial"/>
          <w:b/>
          <w:bCs/>
        </w:rPr>
        <w:fldChar w:fldCharType="end"/>
      </w:r>
      <w:r w:rsidRPr="00D07A8C">
        <w:rPr>
          <w:rFonts w:ascii="Arial" w:hAnsi="Arial" w:cs="Arial"/>
          <w:b/>
          <w:bCs/>
        </w:rPr>
        <w:t>-1</w:t>
      </w:r>
    </w:p>
    <w:p w:rsidR="00105BAC" w:rsidRPr="002616BD" w:rsidRDefault="00105BAC" w:rsidP="00D07A8C">
      <w:pPr>
        <w:keepNext/>
        <w:jc w:val="center"/>
        <w:rPr>
          <w:rFonts w:ascii="Arial" w:hAnsi="Arial" w:cs="Arial"/>
          <w:b/>
          <w:bCs/>
        </w:rPr>
      </w:pPr>
      <w:r w:rsidRPr="00105BAC">
        <w:rPr>
          <w:rFonts w:ascii="Arial" w:hAnsi="Arial" w:cs="Arial"/>
          <w:b/>
          <w:bCs/>
        </w:rPr>
        <w:t>Summary of Wastewater Complaints</w:t>
      </w:r>
    </w:p>
    <w:tbl>
      <w:tblPr>
        <w:tblW w:w="9360" w:type="dxa"/>
        <w:tblInd w:w="93" w:type="dxa"/>
        <w:tblLook w:val="04A0" w:firstRow="1" w:lastRow="0" w:firstColumn="1" w:lastColumn="0" w:noHBand="0" w:noVBand="1"/>
      </w:tblPr>
      <w:tblGrid>
        <w:gridCol w:w="1974"/>
        <w:gridCol w:w="1764"/>
        <w:gridCol w:w="1769"/>
        <w:gridCol w:w="2037"/>
        <w:gridCol w:w="1816"/>
      </w:tblGrid>
      <w:tr w:rsidR="002616BD" w:rsidRPr="002616BD" w:rsidTr="00105BAC">
        <w:trPr>
          <w:trHeight w:val="645"/>
        </w:trPr>
        <w:tc>
          <w:tcPr>
            <w:tcW w:w="19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16BD" w:rsidRPr="00D07A8C" w:rsidRDefault="002616BD" w:rsidP="002616BD">
            <w:pPr>
              <w:jc w:val="center"/>
              <w:rPr>
                <w:rFonts w:ascii="Arial" w:hAnsi="Arial" w:cs="Arial"/>
                <w:b/>
                <w:color w:val="000000"/>
                <w:sz w:val="20"/>
                <w:szCs w:val="20"/>
              </w:rPr>
            </w:pPr>
            <w:r w:rsidRPr="00D07A8C">
              <w:rPr>
                <w:rFonts w:ascii="Arial" w:hAnsi="Arial" w:cs="Arial"/>
                <w:b/>
                <w:color w:val="000000"/>
                <w:sz w:val="20"/>
                <w:szCs w:val="20"/>
              </w:rPr>
              <w:t>Subject of Complaint</w:t>
            </w:r>
          </w:p>
        </w:tc>
        <w:tc>
          <w:tcPr>
            <w:tcW w:w="1764" w:type="dxa"/>
            <w:tcBorders>
              <w:top w:val="single" w:sz="8" w:space="0" w:color="auto"/>
              <w:left w:val="nil"/>
              <w:bottom w:val="single" w:sz="8" w:space="0" w:color="auto"/>
              <w:right w:val="single" w:sz="8" w:space="0" w:color="auto"/>
            </w:tcBorders>
            <w:shd w:val="clear" w:color="auto" w:fill="auto"/>
            <w:vAlign w:val="center"/>
            <w:hideMark/>
          </w:tcPr>
          <w:p w:rsidR="002616BD" w:rsidRPr="00D07A8C" w:rsidRDefault="002616BD" w:rsidP="002616BD">
            <w:pPr>
              <w:jc w:val="center"/>
              <w:rPr>
                <w:rFonts w:ascii="Arial" w:hAnsi="Arial" w:cs="Arial"/>
                <w:b/>
                <w:color w:val="000000"/>
                <w:sz w:val="20"/>
                <w:szCs w:val="20"/>
              </w:rPr>
            </w:pPr>
            <w:r w:rsidRPr="00D07A8C">
              <w:rPr>
                <w:rFonts w:ascii="Arial" w:hAnsi="Arial" w:cs="Arial"/>
                <w:b/>
                <w:color w:val="000000"/>
                <w:sz w:val="20"/>
                <w:szCs w:val="20"/>
              </w:rPr>
              <w:t xml:space="preserve">PSC’s Records (CATS)         </w:t>
            </w:r>
          </w:p>
        </w:tc>
        <w:tc>
          <w:tcPr>
            <w:tcW w:w="1769" w:type="dxa"/>
            <w:tcBorders>
              <w:top w:val="single" w:sz="8" w:space="0" w:color="auto"/>
              <w:left w:val="nil"/>
              <w:bottom w:val="single" w:sz="8" w:space="0" w:color="auto"/>
              <w:right w:val="single" w:sz="8" w:space="0" w:color="auto"/>
            </w:tcBorders>
            <w:shd w:val="clear" w:color="auto" w:fill="auto"/>
            <w:vAlign w:val="center"/>
            <w:hideMark/>
          </w:tcPr>
          <w:p w:rsidR="002616BD" w:rsidRPr="00D07A8C" w:rsidRDefault="002616BD" w:rsidP="002616BD">
            <w:pPr>
              <w:jc w:val="center"/>
              <w:rPr>
                <w:rFonts w:ascii="Arial" w:hAnsi="Arial" w:cs="Arial"/>
                <w:b/>
                <w:color w:val="000000"/>
                <w:sz w:val="20"/>
                <w:szCs w:val="20"/>
              </w:rPr>
            </w:pPr>
            <w:r w:rsidRPr="00D07A8C">
              <w:rPr>
                <w:rFonts w:ascii="Arial" w:hAnsi="Arial" w:cs="Arial"/>
                <w:b/>
                <w:color w:val="000000"/>
                <w:sz w:val="20"/>
                <w:szCs w:val="20"/>
              </w:rPr>
              <w:t xml:space="preserve">Utility’s Records       </w:t>
            </w:r>
          </w:p>
        </w:tc>
        <w:tc>
          <w:tcPr>
            <w:tcW w:w="2037" w:type="dxa"/>
            <w:tcBorders>
              <w:top w:val="single" w:sz="8" w:space="0" w:color="auto"/>
              <w:left w:val="nil"/>
              <w:bottom w:val="single" w:sz="8" w:space="0" w:color="auto"/>
              <w:right w:val="single" w:sz="8" w:space="0" w:color="auto"/>
            </w:tcBorders>
            <w:shd w:val="clear" w:color="auto" w:fill="auto"/>
            <w:vAlign w:val="center"/>
            <w:hideMark/>
          </w:tcPr>
          <w:p w:rsidR="002616BD" w:rsidRPr="00D07A8C" w:rsidRDefault="002616BD" w:rsidP="002616BD">
            <w:pPr>
              <w:jc w:val="center"/>
              <w:rPr>
                <w:rFonts w:ascii="Arial" w:hAnsi="Arial" w:cs="Arial"/>
                <w:b/>
                <w:color w:val="000000"/>
                <w:sz w:val="20"/>
                <w:szCs w:val="20"/>
              </w:rPr>
            </w:pPr>
            <w:r w:rsidRPr="00D07A8C">
              <w:rPr>
                <w:rFonts w:ascii="Arial" w:hAnsi="Arial" w:cs="Arial"/>
                <w:b/>
                <w:color w:val="000000"/>
                <w:sz w:val="20"/>
                <w:szCs w:val="20"/>
              </w:rPr>
              <w:t>Docket Correspondence</w:t>
            </w:r>
          </w:p>
        </w:tc>
        <w:tc>
          <w:tcPr>
            <w:tcW w:w="1816" w:type="dxa"/>
            <w:tcBorders>
              <w:top w:val="single" w:sz="8" w:space="0" w:color="auto"/>
              <w:left w:val="nil"/>
              <w:bottom w:val="single" w:sz="8" w:space="0" w:color="auto"/>
              <w:right w:val="single" w:sz="8" w:space="0" w:color="auto"/>
            </w:tcBorders>
            <w:shd w:val="clear" w:color="auto" w:fill="auto"/>
            <w:vAlign w:val="center"/>
            <w:hideMark/>
          </w:tcPr>
          <w:p w:rsidR="002616BD" w:rsidRPr="00D07A8C" w:rsidRDefault="002616BD" w:rsidP="002616BD">
            <w:pPr>
              <w:jc w:val="center"/>
              <w:rPr>
                <w:rFonts w:ascii="Arial" w:hAnsi="Arial" w:cs="Arial"/>
                <w:b/>
                <w:color w:val="000000"/>
                <w:sz w:val="20"/>
                <w:szCs w:val="20"/>
              </w:rPr>
            </w:pPr>
            <w:r w:rsidRPr="00D07A8C">
              <w:rPr>
                <w:rFonts w:ascii="Arial" w:hAnsi="Arial" w:cs="Arial"/>
                <w:b/>
                <w:color w:val="000000"/>
                <w:sz w:val="20"/>
                <w:szCs w:val="20"/>
              </w:rPr>
              <w:t>Customer Meeting</w:t>
            </w:r>
          </w:p>
        </w:tc>
      </w:tr>
      <w:tr w:rsidR="002616BD" w:rsidRPr="002616BD" w:rsidTr="00105BAC">
        <w:trPr>
          <w:trHeight w:val="33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Billing Related</w:t>
            </w:r>
          </w:p>
        </w:tc>
        <w:tc>
          <w:tcPr>
            <w:tcW w:w="1764"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25</w:t>
            </w:r>
          </w:p>
        </w:tc>
        <w:tc>
          <w:tcPr>
            <w:tcW w:w="1769" w:type="dxa"/>
            <w:tcBorders>
              <w:top w:val="nil"/>
              <w:left w:val="nil"/>
              <w:bottom w:val="single" w:sz="8" w:space="0" w:color="auto"/>
              <w:right w:val="single" w:sz="8" w:space="0" w:color="auto"/>
            </w:tcBorders>
            <w:shd w:val="clear" w:color="auto" w:fill="auto"/>
            <w:vAlign w:val="center"/>
            <w:hideMark/>
          </w:tcPr>
          <w:p w:rsidR="002616BD" w:rsidRPr="00055D8F" w:rsidRDefault="00105BAC" w:rsidP="00105BAC">
            <w:pPr>
              <w:jc w:val="center"/>
              <w:rPr>
                <w:color w:val="000000"/>
                <w:sz w:val="20"/>
                <w:szCs w:val="20"/>
              </w:rPr>
            </w:pPr>
            <w:r w:rsidRPr="00055D8F">
              <w:rPr>
                <w:color w:val="000000"/>
                <w:sz w:val="20"/>
                <w:szCs w:val="20"/>
              </w:rPr>
              <w:t>27</w:t>
            </w:r>
          </w:p>
        </w:tc>
        <w:tc>
          <w:tcPr>
            <w:tcW w:w="2037"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105BAC">
            <w:pPr>
              <w:jc w:val="center"/>
              <w:rPr>
                <w:color w:val="000000"/>
                <w:sz w:val="20"/>
                <w:szCs w:val="20"/>
              </w:rPr>
            </w:pPr>
            <w:r w:rsidRPr="00055D8F">
              <w:rPr>
                <w:color w:val="000000"/>
                <w:sz w:val="20"/>
                <w:szCs w:val="20"/>
              </w:rPr>
              <w:t>1</w:t>
            </w:r>
          </w:p>
        </w:tc>
        <w:tc>
          <w:tcPr>
            <w:tcW w:w="181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r>
      <w:tr w:rsidR="002616BD" w:rsidRPr="002616BD" w:rsidTr="00105BAC">
        <w:trPr>
          <w:trHeight w:val="33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Opposing Rate Increase</w:t>
            </w:r>
          </w:p>
        </w:tc>
        <w:tc>
          <w:tcPr>
            <w:tcW w:w="1764"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76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2037" w:type="dxa"/>
            <w:tcBorders>
              <w:top w:val="nil"/>
              <w:left w:val="nil"/>
              <w:bottom w:val="single" w:sz="8" w:space="0" w:color="auto"/>
              <w:right w:val="single" w:sz="8" w:space="0" w:color="auto"/>
            </w:tcBorders>
            <w:shd w:val="clear" w:color="auto" w:fill="auto"/>
            <w:vAlign w:val="center"/>
            <w:hideMark/>
          </w:tcPr>
          <w:p w:rsidR="002616BD" w:rsidRPr="00055D8F" w:rsidRDefault="00105BAC" w:rsidP="002616BD">
            <w:pPr>
              <w:jc w:val="center"/>
              <w:rPr>
                <w:color w:val="000000"/>
                <w:sz w:val="20"/>
                <w:szCs w:val="20"/>
              </w:rPr>
            </w:pPr>
            <w:r w:rsidRPr="00055D8F">
              <w:rPr>
                <w:color w:val="000000"/>
                <w:sz w:val="20"/>
                <w:szCs w:val="20"/>
              </w:rPr>
              <w:t>3</w:t>
            </w:r>
          </w:p>
        </w:tc>
        <w:tc>
          <w:tcPr>
            <w:tcW w:w="181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r>
      <w:tr w:rsidR="002616BD" w:rsidRPr="002616BD" w:rsidTr="00105BAC">
        <w:trPr>
          <w:trHeight w:val="33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Quality of Service</w:t>
            </w:r>
          </w:p>
        </w:tc>
        <w:tc>
          <w:tcPr>
            <w:tcW w:w="1764" w:type="dxa"/>
            <w:tcBorders>
              <w:top w:val="nil"/>
              <w:left w:val="nil"/>
              <w:bottom w:val="single" w:sz="8" w:space="0" w:color="auto"/>
              <w:right w:val="single" w:sz="8" w:space="0" w:color="auto"/>
            </w:tcBorders>
            <w:shd w:val="clear" w:color="auto" w:fill="auto"/>
            <w:vAlign w:val="center"/>
            <w:hideMark/>
          </w:tcPr>
          <w:p w:rsidR="002616BD" w:rsidRPr="00055D8F" w:rsidRDefault="00105BAC" w:rsidP="00105BAC">
            <w:pPr>
              <w:jc w:val="center"/>
              <w:rPr>
                <w:color w:val="000000"/>
                <w:sz w:val="20"/>
                <w:szCs w:val="20"/>
              </w:rPr>
            </w:pPr>
            <w:r w:rsidRPr="00055D8F">
              <w:rPr>
                <w:color w:val="000000"/>
                <w:sz w:val="20"/>
                <w:szCs w:val="20"/>
              </w:rPr>
              <w:t xml:space="preserve"> 1</w:t>
            </w:r>
          </w:p>
        </w:tc>
        <w:tc>
          <w:tcPr>
            <w:tcW w:w="176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2037"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81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r>
      <w:tr w:rsidR="002616BD" w:rsidRPr="002616BD" w:rsidTr="00105BAC">
        <w:trPr>
          <w:trHeight w:val="33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Other</w:t>
            </w:r>
          </w:p>
        </w:tc>
        <w:tc>
          <w:tcPr>
            <w:tcW w:w="1764"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105BAC">
            <w:pPr>
              <w:jc w:val="center"/>
              <w:rPr>
                <w:color w:val="000000"/>
                <w:sz w:val="20"/>
                <w:szCs w:val="20"/>
              </w:rPr>
            </w:pPr>
            <w:r w:rsidRPr="00055D8F">
              <w:rPr>
                <w:color w:val="000000"/>
                <w:sz w:val="20"/>
                <w:szCs w:val="20"/>
              </w:rPr>
              <w:t> </w:t>
            </w:r>
            <w:r w:rsidR="00105BAC" w:rsidRPr="00055D8F">
              <w:rPr>
                <w:color w:val="000000"/>
                <w:sz w:val="20"/>
                <w:szCs w:val="20"/>
              </w:rPr>
              <w:t>4</w:t>
            </w:r>
          </w:p>
        </w:tc>
        <w:tc>
          <w:tcPr>
            <w:tcW w:w="1769" w:type="dxa"/>
            <w:tcBorders>
              <w:top w:val="nil"/>
              <w:left w:val="nil"/>
              <w:bottom w:val="single" w:sz="8" w:space="0" w:color="auto"/>
              <w:right w:val="single" w:sz="8" w:space="0" w:color="auto"/>
            </w:tcBorders>
            <w:shd w:val="clear" w:color="auto" w:fill="auto"/>
            <w:vAlign w:val="center"/>
            <w:hideMark/>
          </w:tcPr>
          <w:p w:rsidR="002616BD" w:rsidRPr="00055D8F" w:rsidRDefault="00105BAC" w:rsidP="00105BAC">
            <w:pPr>
              <w:jc w:val="center"/>
              <w:rPr>
                <w:color w:val="000000"/>
                <w:sz w:val="20"/>
                <w:szCs w:val="20"/>
              </w:rPr>
            </w:pPr>
            <w:r w:rsidRPr="00055D8F">
              <w:rPr>
                <w:color w:val="000000"/>
                <w:sz w:val="20"/>
                <w:szCs w:val="20"/>
              </w:rPr>
              <w:t>4</w:t>
            </w:r>
          </w:p>
        </w:tc>
        <w:tc>
          <w:tcPr>
            <w:tcW w:w="2037"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p>
        </w:tc>
        <w:tc>
          <w:tcPr>
            <w:tcW w:w="181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r>
      <w:tr w:rsidR="002616BD" w:rsidRPr="002616BD" w:rsidTr="00105BAC">
        <w:trPr>
          <w:trHeight w:val="330"/>
        </w:trPr>
        <w:tc>
          <w:tcPr>
            <w:tcW w:w="1974"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Total*</w:t>
            </w:r>
          </w:p>
        </w:tc>
        <w:tc>
          <w:tcPr>
            <w:tcW w:w="1764"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30</w:t>
            </w:r>
          </w:p>
        </w:tc>
        <w:tc>
          <w:tcPr>
            <w:tcW w:w="176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31</w:t>
            </w:r>
          </w:p>
        </w:tc>
        <w:tc>
          <w:tcPr>
            <w:tcW w:w="2037" w:type="dxa"/>
            <w:tcBorders>
              <w:top w:val="nil"/>
              <w:left w:val="nil"/>
              <w:bottom w:val="single" w:sz="8" w:space="0" w:color="auto"/>
              <w:right w:val="single" w:sz="8" w:space="0" w:color="auto"/>
            </w:tcBorders>
            <w:shd w:val="clear" w:color="auto" w:fill="auto"/>
            <w:vAlign w:val="center"/>
            <w:hideMark/>
          </w:tcPr>
          <w:p w:rsidR="002616BD" w:rsidRPr="007762A7" w:rsidRDefault="002616BD" w:rsidP="002616BD">
            <w:pPr>
              <w:jc w:val="center"/>
              <w:rPr>
                <w:bCs/>
                <w:color w:val="000000"/>
                <w:sz w:val="20"/>
                <w:szCs w:val="20"/>
              </w:rPr>
            </w:pPr>
            <w:r w:rsidRPr="007762A7">
              <w:rPr>
                <w:bCs/>
                <w:color w:val="000000"/>
                <w:sz w:val="20"/>
                <w:szCs w:val="20"/>
              </w:rPr>
              <w:t>3</w:t>
            </w:r>
          </w:p>
        </w:tc>
        <w:tc>
          <w:tcPr>
            <w:tcW w:w="181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0</w:t>
            </w:r>
          </w:p>
        </w:tc>
      </w:tr>
    </w:tbl>
    <w:p w:rsidR="002616BD" w:rsidRPr="002616BD" w:rsidRDefault="002616BD" w:rsidP="002616BD">
      <w:pPr>
        <w:spacing w:before="120" w:after="240"/>
        <w:ind w:firstLine="720"/>
        <w:jc w:val="both"/>
        <w:rPr>
          <w:sz w:val="20"/>
          <w:szCs w:val="20"/>
        </w:rPr>
      </w:pPr>
      <w:r w:rsidRPr="002616BD">
        <w:rPr>
          <w:sz w:val="20"/>
          <w:szCs w:val="20"/>
        </w:rPr>
        <w:t>* A customer may appear twice in this table if they ma</w:t>
      </w:r>
      <w:r w:rsidR="00B76C80">
        <w:rPr>
          <w:sz w:val="20"/>
          <w:szCs w:val="20"/>
        </w:rPr>
        <w:t>d</w:t>
      </w:r>
      <w:r w:rsidRPr="002616BD">
        <w:rPr>
          <w:sz w:val="20"/>
          <w:szCs w:val="20"/>
        </w:rPr>
        <w:t>e multiple complaints.</w:t>
      </w:r>
    </w:p>
    <w:p w:rsidR="002616BD" w:rsidRPr="002616BD" w:rsidRDefault="002616BD" w:rsidP="002616BD">
      <w:pPr>
        <w:spacing w:before="240" w:after="240"/>
        <w:jc w:val="both"/>
      </w:pPr>
      <w:r w:rsidRPr="002616BD">
        <w:t xml:space="preserve">Based on the small number of complaints, considering more than 2,500 wastewater connections, it appears that Ni Florida’s wastewater customers are satisfied with the service provided by the utility. Additionally, it appears that the utility has adequately responded to customers when a complaint </w:t>
      </w:r>
      <w:r w:rsidR="00B76C80">
        <w:t>wa</w:t>
      </w:r>
      <w:r w:rsidRPr="002616BD">
        <w:t>s received. Therefore, staff believes that the Ni Florida has satisfactorily attempted to address its wastewater customers’ concerns.</w:t>
      </w:r>
    </w:p>
    <w:p w:rsidR="002616BD" w:rsidRPr="002616BD" w:rsidRDefault="002616BD" w:rsidP="00105BAC">
      <w:pPr>
        <w:spacing w:before="240"/>
        <w:ind w:firstLine="720"/>
        <w:jc w:val="both"/>
        <w:rPr>
          <w:rFonts w:ascii="Arial" w:hAnsi="Arial" w:cs="Arial"/>
          <w:b/>
          <w:color w:val="000000"/>
        </w:rPr>
      </w:pPr>
      <w:r w:rsidRPr="002616BD">
        <w:rPr>
          <w:rFonts w:ascii="Arial" w:hAnsi="Arial" w:cs="Arial"/>
          <w:b/>
          <w:color w:val="000000"/>
        </w:rPr>
        <w:t>Water</w:t>
      </w:r>
    </w:p>
    <w:p w:rsidR="002616BD" w:rsidRPr="002616BD" w:rsidRDefault="002616BD" w:rsidP="002616BD">
      <w:pPr>
        <w:spacing w:after="240"/>
        <w:jc w:val="both"/>
      </w:pPr>
      <w:r w:rsidRPr="002616BD">
        <w:t xml:space="preserve">As previously stated, in Ni Florida’s last rate case the quality of the utility’s water service was deemed marginal by the Commission. </w:t>
      </w:r>
      <w:proofErr w:type="gramStart"/>
      <w:r w:rsidRPr="002616BD">
        <w:t>Commission Order No.</w:t>
      </w:r>
      <w:proofErr w:type="gramEnd"/>
      <w:r w:rsidRPr="002616BD">
        <w:t xml:space="preserve"> PSC-13-0611-PAA-WS, specifically states “it is clear from customer comments at the service hearing and before this Commission that the Utility has continued to fail to provide timely responses and service when problems do arise in Lee County.” The Commission further stated that “[q]uality of service is totally within the control of the Utility and there is no excuse for the Utility’s continued failure to resolve billing and service problems both quickly and politely.” </w:t>
      </w:r>
    </w:p>
    <w:p w:rsidR="002616BD" w:rsidRPr="002616BD" w:rsidRDefault="002616BD" w:rsidP="002616BD">
      <w:pPr>
        <w:spacing w:after="240"/>
        <w:jc w:val="both"/>
      </w:pPr>
      <w:r w:rsidRPr="002616BD">
        <w:t>On August 30, 2016, the Office of Public Counsel (</w:t>
      </w:r>
      <w:r w:rsidRPr="002616BD">
        <w:rPr>
          <w:color w:val="000000"/>
        </w:rPr>
        <w:t>OPC)</w:t>
      </w:r>
      <w:r w:rsidRPr="002616BD">
        <w:t xml:space="preserve"> submitted a </w:t>
      </w:r>
      <w:r w:rsidRPr="002616BD">
        <w:rPr>
          <w:color w:val="000000"/>
        </w:rPr>
        <w:t>letter</w:t>
      </w:r>
      <w:r w:rsidRPr="002616BD">
        <w:rPr>
          <w:color w:val="000000"/>
          <w:vertAlign w:val="superscript"/>
        </w:rPr>
        <w:footnoteReference w:id="2"/>
      </w:r>
      <w:r w:rsidRPr="002616BD">
        <w:t xml:space="preserve"> stating that it believes that the customers continue to experience problems communicating with the </w:t>
      </w:r>
      <w:r w:rsidR="007762A7">
        <w:t>u</w:t>
      </w:r>
      <w:r w:rsidRPr="002616BD">
        <w:t xml:space="preserve">tility. </w:t>
      </w:r>
      <w:r w:rsidRPr="002616BD">
        <w:lastRenderedPageBreak/>
        <w:t xml:space="preserve">Staff’s analysis outlined below gives consideration to the Commission’s decision in Ni Florida’s previous rate case as well as the concerns expressed by OPC. </w:t>
      </w:r>
    </w:p>
    <w:p w:rsidR="002616BD" w:rsidRPr="002616BD" w:rsidRDefault="002616BD" w:rsidP="002616BD">
      <w:pPr>
        <w:spacing w:after="240"/>
        <w:jc w:val="both"/>
      </w:pPr>
      <w:r w:rsidRPr="002616BD">
        <w:t xml:space="preserve">A customer meeting was held in Fort Myers, Florida, on July 28, 2016, for the customers of Ni Florida’s water system. </w:t>
      </w:r>
      <w:r w:rsidR="00A2396A">
        <w:t xml:space="preserve">Eighty </w:t>
      </w:r>
      <w:r w:rsidRPr="002616BD">
        <w:t xml:space="preserve">customers attended the meeting and seven spoke. The concerns raised during the meeting included the amount of the rate increase and the quality of the water. Two customers expressed concern regarding the utility’s responsiveness to customer inquiries or requests and no customers asserted that the utility was impolite. In addition to the customers who spoke at the meeting, four customers have sent written comments to the Commission. These four comments address similar concerns raised at the customer meeting regarding the rate increase and the water quality. </w:t>
      </w:r>
    </w:p>
    <w:p w:rsidR="002616BD" w:rsidRPr="002616BD" w:rsidRDefault="002616BD" w:rsidP="002616BD">
      <w:pPr>
        <w:spacing w:after="240"/>
        <w:jc w:val="both"/>
      </w:pPr>
      <w:r w:rsidRPr="002616BD">
        <w:t>In its August 30, 2016, letter, OPC identified three events that it believes demonstrates that the utility continues to have issues communicating with its customers. First, in May 2016, Tamiami Village &amp; RV Park (Park) asserted it had sent a letter to the utility to coordinate future infrastructure work, and that Ni Florida had not responded. In a letter</w:t>
      </w:r>
      <w:r w:rsidRPr="002616BD">
        <w:rPr>
          <w:color w:val="000000"/>
          <w:vertAlign w:val="superscript"/>
        </w:rPr>
        <w:footnoteReference w:id="3"/>
      </w:r>
      <w:r w:rsidRPr="002616BD">
        <w:t xml:space="preserve"> responding to this specific allegation, the utility stated that, at the time the Park contacted the </w:t>
      </w:r>
      <w:r w:rsidR="007762A7">
        <w:t>u</w:t>
      </w:r>
      <w:r w:rsidRPr="002616BD">
        <w:t xml:space="preserve">tility, it had no infrastructure work to coordinate and thus had not communicated with the Park.  </w:t>
      </w:r>
    </w:p>
    <w:p w:rsidR="002616BD" w:rsidRPr="002616BD" w:rsidRDefault="002616BD" w:rsidP="002616BD">
      <w:pPr>
        <w:spacing w:after="240"/>
        <w:jc w:val="both"/>
      </w:pPr>
      <w:r w:rsidRPr="002616BD">
        <w:t xml:space="preserve">Second, at the customer meeting held on July 28, 2016, Park representatives stated that they have never met the new utility contract operator and wished to do so considering how much the Park works as a liaison between the customers and the utility. OPC states that to date the utility had not made an effort to organize such a meeting since. The utility responded that it had provided cell phone numbers for the Chief Financial Officer </w:t>
      </w:r>
      <w:r w:rsidR="007762A7">
        <w:t xml:space="preserve">of Ni America </w:t>
      </w:r>
      <w:r w:rsidRPr="002616BD">
        <w:t xml:space="preserve">and </w:t>
      </w:r>
      <w:r w:rsidR="007762A7">
        <w:t xml:space="preserve">the </w:t>
      </w:r>
      <w:r w:rsidRPr="002616BD">
        <w:t xml:space="preserve">President of the Utility Group of Florida, and that they had directed the contract operator to stop by the Park office to introduce himself to the staff at the Park. </w:t>
      </w:r>
    </w:p>
    <w:p w:rsidR="002616BD" w:rsidRPr="002616BD" w:rsidRDefault="00B76C80" w:rsidP="002616BD">
      <w:pPr>
        <w:spacing w:after="240"/>
        <w:jc w:val="both"/>
      </w:pPr>
      <w:r>
        <w:t>Thi</w:t>
      </w:r>
      <w:r w:rsidR="002616BD" w:rsidRPr="002616BD">
        <w:t>rd</w:t>
      </w:r>
      <w:r>
        <w:t>,</w:t>
      </w:r>
      <w:r w:rsidR="002616BD" w:rsidRPr="002616BD">
        <w:t xml:space="preserve"> OPC’s letter notes that the utility was not responsive when Park representatives attempted to reach it regarding flooding caused by a water main break. While the break was subsequently found to be on Lee County Utilities’ system, the Park was concerned about the contract operator’s lack of response. Ni Florida responded that it assumed Lee County would respond to the affected customers. The utility additionally stated that it would attempt to improve its communication with customers in cases where the problem is outside of the utility’s control. </w:t>
      </w:r>
    </w:p>
    <w:p w:rsidR="00DC22D3" w:rsidRDefault="002616BD" w:rsidP="002616BD">
      <w:pPr>
        <w:spacing w:after="240"/>
        <w:jc w:val="both"/>
      </w:pPr>
      <w:r w:rsidRPr="002616BD">
        <w:t>In its MFRs</w:t>
      </w:r>
      <w:r w:rsidR="00B76C80">
        <w:t>,</w:t>
      </w:r>
      <w:r w:rsidRPr="002616BD">
        <w:t xml:space="preserve"> the utility provided customer complaints filed with the utility during the test year and four years prior. The utility provided six complaints as well as the utility’s resolution of each respective complaint. All six complaints dealt with billing issues. All complaints filed with the Commission were contained in the utility’s filing and all have been closed. Table 1-2 below summarizes the complaints considered and reviewed by staff in evaluating the utility’s attempt to address its water customers’ concerns. </w:t>
      </w:r>
    </w:p>
    <w:p w:rsidR="00DC22D3" w:rsidRDefault="00DC22D3" w:rsidP="00DC22D3">
      <w:r>
        <w:br w:type="page"/>
      </w:r>
    </w:p>
    <w:p w:rsidR="002616BD" w:rsidRPr="002616BD" w:rsidRDefault="002616BD" w:rsidP="002616BD">
      <w:pPr>
        <w:spacing w:after="240"/>
        <w:jc w:val="both"/>
      </w:pPr>
    </w:p>
    <w:p w:rsidR="00055D8F" w:rsidRPr="00D07A8C" w:rsidRDefault="00055D8F" w:rsidP="00055D8F">
      <w:pPr>
        <w:keepNext/>
        <w:jc w:val="center"/>
        <w:rPr>
          <w:rFonts w:ascii="Arial" w:hAnsi="Arial" w:cs="Arial"/>
          <w:b/>
          <w:bCs/>
        </w:rPr>
      </w:pPr>
      <w:r w:rsidRPr="00D07A8C">
        <w:rPr>
          <w:rFonts w:ascii="Arial" w:hAnsi="Arial" w:cs="Arial"/>
          <w:b/>
          <w:bCs/>
        </w:rPr>
        <w:t xml:space="preserve">Table </w:t>
      </w:r>
      <w:r w:rsidR="00466DBC">
        <w:rPr>
          <w:rFonts w:ascii="Arial" w:hAnsi="Arial" w:cs="Arial"/>
          <w:b/>
          <w:bCs/>
        </w:rPr>
        <w:t>1</w:t>
      </w:r>
      <w:r>
        <w:rPr>
          <w:rFonts w:ascii="Arial" w:hAnsi="Arial" w:cs="Arial"/>
          <w:b/>
          <w:bCs/>
        </w:rPr>
        <w:t>-2</w:t>
      </w:r>
    </w:p>
    <w:p w:rsidR="00055D8F" w:rsidRPr="002616BD" w:rsidRDefault="00055D8F" w:rsidP="00055D8F">
      <w:pPr>
        <w:keepNext/>
        <w:jc w:val="center"/>
        <w:rPr>
          <w:rFonts w:ascii="Arial" w:hAnsi="Arial" w:cs="Arial"/>
          <w:b/>
          <w:bCs/>
        </w:rPr>
      </w:pPr>
      <w:r w:rsidRPr="00105BAC">
        <w:rPr>
          <w:rFonts w:ascii="Arial" w:hAnsi="Arial" w:cs="Arial"/>
          <w:b/>
          <w:bCs/>
        </w:rPr>
        <w:t>Summary of Wate</w:t>
      </w:r>
      <w:r>
        <w:rPr>
          <w:rFonts w:ascii="Arial" w:hAnsi="Arial" w:cs="Arial"/>
          <w:b/>
          <w:bCs/>
        </w:rPr>
        <w:t>r</w:t>
      </w:r>
      <w:r w:rsidRPr="00105BAC">
        <w:rPr>
          <w:rFonts w:ascii="Arial" w:hAnsi="Arial" w:cs="Arial"/>
          <w:b/>
          <w:bCs/>
        </w:rPr>
        <w:t xml:space="preserve"> Complaints</w:t>
      </w:r>
    </w:p>
    <w:tbl>
      <w:tblPr>
        <w:tblW w:w="9360" w:type="dxa"/>
        <w:tblInd w:w="93" w:type="dxa"/>
        <w:tblLook w:val="04A0" w:firstRow="1" w:lastRow="0" w:firstColumn="1" w:lastColumn="0" w:noHBand="0" w:noVBand="1"/>
      </w:tblPr>
      <w:tblGrid>
        <w:gridCol w:w="1982"/>
        <w:gridCol w:w="1786"/>
        <w:gridCol w:w="1789"/>
        <w:gridCol w:w="1980"/>
        <w:gridCol w:w="1823"/>
      </w:tblGrid>
      <w:tr w:rsidR="002616BD" w:rsidRPr="002616BD" w:rsidTr="00105BAC">
        <w:trPr>
          <w:trHeight w:val="645"/>
        </w:trPr>
        <w:tc>
          <w:tcPr>
            <w:tcW w:w="1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jc w:val="center"/>
              <w:rPr>
                <w:rFonts w:ascii="Arial" w:hAnsi="Arial" w:cs="Arial"/>
                <w:b/>
                <w:color w:val="000000"/>
                <w:sz w:val="20"/>
                <w:szCs w:val="20"/>
              </w:rPr>
            </w:pPr>
            <w:r w:rsidRPr="00055D8F">
              <w:rPr>
                <w:rFonts w:ascii="Arial" w:hAnsi="Arial" w:cs="Arial"/>
                <w:b/>
                <w:color w:val="000000"/>
                <w:sz w:val="20"/>
                <w:szCs w:val="20"/>
              </w:rPr>
              <w:t>Subject of Complaint</w:t>
            </w:r>
          </w:p>
        </w:tc>
        <w:tc>
          <w:tcPr>
            <w:tcW w:w="1786" w:type="dxa"/>
            <w:tcBorders>
              <w:top w:val="single" w:sz="8" w:space="0" w:color="auto"/>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rFonts w:ascii="Arial" w:hAnsi="Arial" w:cs="Arial"/>
                <w:b/>
                <w:color w:val="000000"/>
                <w:sz w:val="20"/>
                <w:szCs w:val="20"/>
              </w:rPr>
            </w:pPr>
            <w:r w:rsidRPr="00055D8F">
              <w:rPr>
                <w:rFonts w:ascii="Arial" w:hAnsi="Arial" w:cs="Arial"/>
                <w:b/>
                <w:color w:val="000000"/>
                <w:sz w:val="20"/>
                <w:szCs w:val="20"/>
              </w:rPr>
              <w:t xml:space="preserve">PSC’s Records (CATS)         </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rFonts w:ascii="Arial" w:hAnsi="Arial" w:cs="Arial"/>
                <w:b/>
                <w:color w:val="000000"/>
                <w:sz w:val="20"/>
                <w:szCs w:val="20"/>
              </w:rPr>
            </w:pPr>
            <w:r w:rsidRPr="00055D8F">
              <w:rPr>
                <w:rFonts w:ascii="Arial" w:hAnsi="Arial" w:cs="Arial"/>
                <w:b/>
                <w:color w:val="000000"/>
                <w:sz w:val="20"/>
                <w:szCs w:val="20"/>
              </w:rPr>
              <w:t xml:space="preserve">Utility’s Records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rFonts w:ascii="Arial" w:hAnsi="Arial" w:cs="Arial"/>
                <w:b/>
                <w:color w:val="000000"/>
                <w:sz w:val="20"/>
                <w:szCs w:val="20"/>
              </w:rPr>
            </w:pPr>
            <w:r w:rsidRPr="00055D8F">
              <w:rPr>
                <w:rFonts w:ascii="Arial" w:hAnsi="Arial" w:cs="Arial"/>
                <w:b/>
                <w:color w:val="000000"/>
                <w:sz w:val="20"/>
                <w:szCs w:val="20"/>
              </w:rPr>
              <w:t>Docket Correspondence</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rFonts w:ascii="Arial" w:hAnsi="Arial" w:cs="Arial"/>
                <w:b/>
                <w:color w:val="000000"/>
                <w:sz w:val="20"/>
                <w:szCs w:val="20"/>
              </w:rPr>
            </w:pPr>
            <w:r w:rsidRPr="00055D8F">
              <w:rPr>
                <w:rFonts w:ascii="Arial" w:hAnsi="Arial" w:cs="Arial"/>
                <w:b/>
                <w:color w:val="000000"/>
                <w:sz w:val="20"/>
                <w:szCs w:val="20"/>
              </w:rPr>
              <w:t>Customer Meeting</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Billing Related</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6</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6 </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Opposing Rate Increase</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3</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3</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Quality of Water</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1</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2</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Quality of Service</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1</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2</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Other</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 </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2</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1</w:t>
            </w:r>
          </w:p>
        </w:tc>
      </w:tr>
      <w:tr w:rsidR="002616BD" w:rsidRPr="002616BD" w:rsidTr="00105BAC">
        <w:trPr>
          <w:trHeight w:val="330"/>
        </w:trPr>
        <w:tc>
          <w:tcPr>
            <w:tcW w:w="1982" w:type="dxa"/>
            <w:tcBorders>
              <w:top w:val="nil"/>
              <w:left w:val="single" w:sz="8" w:space="0" w:color="auto"/>
              <w:bottom w:val="single" w:sz="8" w:space="0" w:color="auto"/>
              <w:right w:val="single" w:sz="8" w:space="0" w:color="auto"/>
            </w:tcBorders>
            <w:shd w:val="clear" w:color="auto" w:fill="auto"/>
            <w:vAlign w:val="center"/>
            <w:hideMark/>
          </w:tcPr>
          <w:p w:rsidR="002616BD" w:rsidRPr="00055D8F" w:rsidRDefault="002616BD" w:rsidP="002616BD">
            <w:pPr>
              <w:rPr>
                <w:color w:val="000000"/>
                <w:sz w:val="20"/>
                <w:szCs w:val="20"/>
              </w:rPr>
            </w:pPr>
            <w:r w:rsidRPr="00055D8F">
              <w:rPr>
                <w:color w:val="000000"/>
                <w:sz w:val="20"/>
                <w:szCs w:val="20"/>
              </w:rPr>
              <w:t>Total*</w:t>
            </w:r>
          </w:p>
        </w:tc>
        <w:tc>
          <w:tcPr>
            <w:tcW w:w="1786"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6</w:t>
            </w:r>
          </w:p>
        </w:tc>
        <w:tc>
          <w:tcPr>
            <w:tcW w:w="1789"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6</w:t>
            </w:r>
          </w:p>
        </w:tc>
        <w:tc>
          <w:tcPr>
            <w:tcW w:w="1980"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4</w:t>
            </w:r>
          </w:p>
        </w:tc>
        <w:tc>
          <w:tcPr>
            <w:tcW w:w="1823" w:type="dxa"/>
            <w:tcBorders>
              <w:top w:val="nil"/>
              <w:left w:val="nil"/>
              <w:bottom w:val="single" w:sz="8" w:space="0" w:color="auto"/>
              <w:right w:val="single" w:sz="8" w:space="0" w:color="auto"/>
            </w:tcBorders>
            <w:shd w:val="clear" w:color="auto" w:fill="auto"/>
            <w:vAlign w:val="center"/>
            <w:hideMark/>
          </w:tcPr>
          <w:p w:rsidR="002616BD" w:rsidRPr="00055D8F" w:rsidRDefault="002616BD" w:rsidP="002616BD">
            <w:pPr>
              <w:jc w:val="center"/>
              <w:rPr>
                <w:color w:val="000000"/>
                <w:sz w:val="20"/>
                <w:szCs w:val="20"/>
              </w:rPr>
            </w:pPr>
            <w:r w:rsidRPr="00055D8F">
              <w:rPr>
                <w:color w:val="000000"/>
                <w:sz w:val="20"/>
                <w:szCs w:val="20"/>
              </w:rPr>
              <w:t>8</w:t>
            </w:r>
          </w:p>
        </w:tc>
      </w:tr>
    </w:tbl>
    <w:p w:rsidR="002616BD" w:rsidRPr="002616BD" w:rsidRDefault="002616BD" w:rsidP="002616BD">
      <w:pPr>
        <w:spacing w:before="120" w:after="240"/>
        <w:ind w:firstLine="720"/>
        <w:jc w:val="both"/>
        <w:rPr>
          <w:sz w:val="20"/>
          <w:szCs w:val="20"/>
        </w:rPr>
      </w:pPr>
      <w:r w:rsidRPr="002616BD">
        <w:rPr>
          <w:sz w:val="20"/>
          <w:szCs w:val="20"/>
        </w:rPr>
        <w:t xml:space="preserve">* A customer may appear </w:t>
      </w:r>
      <w:r w:rsidR="00B76C80">
        <w:rPr>
          <w:sz w:val="20"/>
          <w:szCs w:val="20"/>
        </w:rPr>
        <w:t>twice in this table if they mad</w:t>
      </w:r>
      <w:r w:rsidRPr="002616BD">
        <w:rPr>
          <w:sz w:val="20"/>
          <w:szCs w:val="20"/>
        </w:rPr>
        <w:t>e multiple complaints.</w:t>
      </w:r>
    </w:p>
    <w:p w:rsidR="002616BD" w:rsidRPr="002616BD" w:rsidRDefault="002616BD" w:rsidP="002616BD">
      <w:pPr>
        <w:spacing w:after="240"/>
        <w:jc w:val="both"/>
      </w:pPr>
      <w:r w:rsidRPr="002616BD">
        <w:t xml:space="preserve">As previously discussed, no customer input in the current docket has specified that the utility’s customer service is impolite as was the circumstance in the utility’s previous rate case. Furthermore, only one complaint has been filed with Commission since the utility’s last rate case in 2013. Therefore, it is reasonable to believe that customer satisfaction has improved since the last rate case in which the utility’s quality of service was deemed marginal. Staff last notes that, the overall number of complaints is minimal considering that the utility serves more than 700 water connections. Based on this review, staff believes that utility has improved the quality of its service to water customers since its last rate case and the utility has satisfactorily attempted to address its water customer’s </w:t>
      </w:r>
      <w:r w:rsidR="00B76C80">
        <w:t>c</w:t>
      </w:r>
      <w:r w:rsidRPr="002616BD">
        <w:t>on</w:t>
      </w:r>
      <w:r w:rsidR="00B76C80">
        <w:t>cerns</w:t>
      </w:r>
      <w:r w:rsidRPr="002616BD">
        <w:t xml:space="preserve">. </w:t>
      </w:r>
    </w:p>
    <w:p w:rsidR="002616BD" w:rsidRPr="002616BD" w:rsidRDefault="002616BD" w:rsidP="002616BD">
      <w:pPr>
        <w:spacing w:before="240"/>
        <w:jc w:val="both"/>
        <w:rPr>
          <w:rFonts w:ascii="Arial" w:hAnsi="Arial" w:cs="Arial"/>
          <w:b/>
          <w:color w:val="000000"/>
        </w:rPr>
      </w:pPr>
      <w:r w:rsidRPr="002616BD">
        <w:rPr>
          <w:rFonts w:ascii="Arial" w:hAnsi="Arial" w:cs="Arial"/>
          <w:b/>
          <w:color w:val="000000"/>
        </w:rPr>
        <w:t>Summary</w:t>
      </w:r>
    </w:p>
    <w:p w:rsidR="002616BD" w:rsidRPr="002616BD" w:rsidRDefault="002616BD" w:rsidP="002616BD">
      <w:pPr>
        <w:jc w:val="both"/>
      </w:pPr>
      <w:r w:rsidRPr="002616BD">
        <w:t xml:space="preserve">Staff recommends that the condition of the water distribution system and wastewater collection systems are satisfactory. It also appears that the </w:t>
      </w:r>
      <w:r w:rsidR="007762A7">
        <w:t>u</w:t>
      </w:r>
      <w:r w:rsidRPr="002616BD">
        <w:t>tility has attempted to address customers’ concerns. Therefore, staff recommends that the overall quality of service for the Ni Florida water and wastewater systems in Lee and Pasco Counties is satisfactory.</w:t>
      </w:r>
    </w:p>
    <w:p w:rsidR="002616BD" w:rsidRPr="002616BD" w:rsidRDefault="002616BD" w:rsidP="002616BD">
      <w:pPr>
        <w:jc w:val="both"/>
      </w:pPr>
    </w:p>
    <w:p w:rsidR="003049C6" w:rsidRDefault="003049C6" w:rsidP="00891BA3">
      <w:pPr>
        <w:pStyle w:val="BodyText"/>
      </w:pPr>
    </w:p>
    <w:p w:rsidR="0086445E" w:rsidRDefault="0086445E">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2</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464661199"/>
      <w:r w:rsidR="007F50C0">
        <w:rPr>
          <w:noProof/>
        </w:rPr>
        <w:instrText>2</w:instrText>
      </w:r>
      <w:r>
        <w:fldChar w:fldCharType="end"/>
      </w:r>
      <w:r>
        <w:tab/>
      </w:r>
      <w:r w:rsidR="00937A7F">
        <w:instrText>Agreed Upon Audit Adjustments</w:instrText>
      </w:r>
      <w:bookmarkEnd w:id="18"/>
      <w:r>
        <w:instrText xml:space="preserve">" \l 1 </w:instrText>
      </w:r>
      <w:r>
        <w:fldChar w:fldCharType="end"/>
      </w:r>
      <w:r>
        <w:t> </w:t>
      </w:r>
    </w:p>
    <w:p w:rsidR="0086445E" w:rsidRDefault="0086445E">
      <w:pPr>
        <w:pStyle w:val="BodyText"/>
      </w:pPr>
      <w:r>
        <w:t xml:space="preserve"> Should the audit adjustments to </w:t>
      </w:r>
      <w:r w:rsidR="007C67B6">
        <w:t xml:space="preserve">which the </w:t>
      </w:r>
      <w:r>
        <w:t xml:space="preserve">utility </w:t>
      </w:r>
      <w:r w:rsidR="00110C9A">
        <w:t xml:space="preserve">and staff </w:t>
      </w:r>
      <w:r w:rsidR="007C67B6">
        <w:t xml:space="preserve">agree </w:t>
      </w:r>
      <w:r>
        <w:t>be made?</w:t>
      </w:r>
    </w:p>
    <w:p w:rsidR="0086445E" w:rsidRPr="004C3641" w:rsidRDefault="0086445E">
      <w:pPr>
        <w:pStyle w:val="IssueSubsectionHeading"/>
        <w:rPr>
          <w:vanish/>
          <w:specVanish/>
        </w:rPr>
      </w:pPr>
      <w:r w:rsidRPr="004C3641">
        <w:t>Recommendation: </w:t>
      </w:r>
    </w:p>
    <w:p w:rsidR="0086445E" w:rsidRPr="00C00171" w:rsidRDefault="0086445E">
      <w:pPr>
        <w:pStyle w:val="BodyText"/>
      </w:pPr>
      <w:r>
        <w:t> </w:t>
      </w:r>
      <w:r w:rsidR="00A8147A" w:rsidRPr="00A8147A">
        <w:t xml:space="preserve">Yes. Based on the audit adjustments agreed to by the </w:t>
      </w:r>
      <w:r w:rsidR="00966CD3">
        <w:t>u</w:t>
      </w:r>
      <w:r w:rsidR="00A8147A" w:rsidRPr="00A8147A">
        <w:t xml:space="preserve">tility and staff, increases of $6,568 and $3,634 should be made to wastewater </w:t>
      </w:r>
      <w:r w:rsidR="005C26F2">
        <w:t xml:space="preserve">contribution-in-aid-of </w:t>
      </w:r>
      <w:r w:rsidR="00812E1D">
        <w:t>construction</w:t>
      </w:r>
      <w:r w:rsidR="005C26F2">
        <w:t xml:space="preserve"> (</w:t>
      </w:r>
      <w:r w:rsidR="00A8147A" w:rsidRPr="00A8147A">
        <w:t>CIAC</w:t>
      </w:r>
      <w:r w:rsidR="005C26F2">
        <w:t>)</w:t>
      </w:r>
      <w:r w:rsidR="00A8147A" w:rsidRPr="00A8147A">
        <w:t xml:space="preserve"> and deferred income taxes, respectively. Wastewater operating expense should also be increased by $2,845 to reflect the appropriate level of amortization expense.</w:t>
      </w:r>
      <w:r w:rsidRPr="00C00171">
        <w:t xml:space="preserve"> (Brown)</w:t>
      </w:r>
    </w:p>
    <w:p w:rsidR="0086445E" w:rsidRPr="00C00171" w:rsidRDefault="0086445E">
      <w:pPr>
        <w:pStyle w:val="IssueSubsectionHeading"/>
        <w:rPr>
          <w:rFonts w:ascii="Times New Roman" w:hAnsi="Times New Roman" w:cs="Times New Roman"/>
          <w:vanish/>
          <w:specVanish/>
        </w:rPr>
      </w:pPr>
      <w:r w:rsidRPr="00FC75C7">
        <w:t>Staff Analysis</w:t>
      </w:r>
      <w:r w:rsidRPr="00C00171">
        <w:rPr>
          <w:rFonts w:ascii="Times New Roman" w:hAnsi="Times New Roman" w:cs="Times New Roman"/>
        </w:rPr>
        <w:t>: </w:t>
      </w:r>
    </w:p>
    <w:p w:rsidR="00A8147A" w:rsidRPr="00A8147A" w:rsidRDefault="0086445E" w:rsidP="00A8147A">
      <w:pPr>
        <w:jc w:val="both"/>
      </w:pPr>
      <w:r w:rsidRPr="00C00171">
        <w:t> </w:t>
      </w:r>
      <w:r w:rsidR="00A8147A" w:rsidRPr="00A8147A">
        <w:t xml:space="preserve">In its response to staff’s Ni Florida audit report and the audit of affiliate transactions, received September 22, 2016, the </w:t>
      </w:r>
      <w:r w:rsidR="00966CD3">
        <w:t>u</w:t>
      </w:r>
      <w:r w:rsidR="00A8147A" w:rsidRPr="00A8147A">
        <w:t>tility agreed to the audit adjustments as set forth in the table below.</w:t>
      </w:r>
    </w:p>
    <w:p w:rsidR="00A8147A" w:rsidRPr="00A8147A" w:rsidRDefault="00A8147A" w:rsidP="00A8147A">
      <w:pPr>
        <w:jc w:val="both"/>
      </w:pPr>
    </w:p>
    <w:p w:rsidR="00A8147A" w:rsidRPr="00A8147A" w:rsidRDefault="00A8147A" w:rsidP="00A8147A">
      <w:pPr>
        <w:jc w:val="center"/>
        <w:rPr>
          <w:rFonts w:ascii="Arial" w:hAnsi="Arial" w:cs="Arial"/>
          <w:b/>
        </w:rPr>
      </w:pPr>
      <w:r w:rsidRPr="00A8147A">
        <w:rPr>
          <w:rFonts w:ascii="Arial" w:hAnsi="Arial" w:cs="Arial"/>
          <w:b/>
        </w:rPr>
        <w:t>Table 2-1</w:t>
      </w:r>
    </w:p>
    <w:p w:rsidR="00A8147A" w:rsidRPr="00A8147A" w:rsidRDefault="00A8147A" w:rsidP="00A8147A">
      <w:pPr>
        <w:jc w:val="center"/>
        <w:rPr>
          <w:rFonts w:ascii="Arial" w:hAnsi="Arial" w:cs="Arial"/>
          <w:b/>
        </w:rPr>
      </w:pPr>
      <w:r w:rsidRPr="00A8147A">
        <w:rPr>
          <w:rFonts w:ascii="Arial" w:hAnsi="Arial" w:cs="Arial"/>
          <w:b/>
        </w:rPr>
        <w:t>Ni Florida Audit Adjustments</w:t>
      </w:r>
    </w:p>
    <w:tbl>
      <w:tblPr>
        <w:tblStyle w:val="TableGrid1"/>
        <w:tblW w:w="0" w:type="auto"/>
        <w:tblInd w:w="18" w:type="dxa"/>
        <w:tblLook w:val="04A0" w:firstRow="1" w:lastRow="0" w:firstColumn="1" w:lastColumn="0" w:noHBand="0" w:noVBand="1"/>
      </w:tblPr>
      <w:tblGrid>
        <w:gridCol w:w="2340"/>
        <w:gridCol w:w="7200"/>
      </w:tblGrid>
      <w:tr w:rsidR="00A8147A" w:rsidRPr="00A8147A" w:rsidTr="00A8147A">
        <w:tc>
          <w:tcPr>
            <w:tcW w:w="2340" w:type="dxa"/>
          </w:tcPr>
          <w:p w:rsidR="00A8147A" w:rsidRPr="00055D8F" w:rsidRDefault="00A8147A" w:rsidP="00A8147A">
            <w:pPr>
              <w:jc w:val="center"/>
              <w:rPr>
                <w:rFonts w:ascii="Arial" w:hAnsi="Arial" w:cs="Arial"/>
                <w:b/>
              </w:rPr>
            </w:pPr>
            <w:r w:rsidRPr="00055D8F">
              <w:rPr>
                <w:rFonts w:ascii="Arial" w:hAnsi="Arial" w:cs="Arial"/>
                <w:b/>
              </w:rPr>
              <w:t>Audit Finding</w:t>
            </w:r>
          </w:p>
        </w:tc>
        <w:tc>
          <w:tcPr>
            <w:tcW w:w="7200" w:type="dxa"/>
          </w:tcPr>
          <w:p w:rsidR="00A8147A" w:rsidRPr="00055D8F" w:rsidRDefault="00A8147A" w:rsidP="00A8147A">
            <w:pPr>
              <w:jc w:val="center"/>
              <w:rPr>
                <w:rFonts w:ascii="Arial" w:hAnsi="Arial" w:cs="Arial"/>
                <w:b/>
              </w:rPr>
            </w:pPr>
            <w:r w:rsidRPr="00055D8F">
              <w:rPr>
                <w:rFonts w:ascii="Arial" w:hAnsi="Arial" w:cs="Arial"/>
                <w:b/>
              </w:rPr>
              <w:t>Description of Adjustments</w:t>
            </w:r>
          </w:p>
        </w:tc>
      </w:tr>
      <w:tr w:rsidR="00A8147A" w:rsidRPr="00A8147A" w:rsidTr="00A8147A">
        <w:tc>
          <w:tcPr>
            <w:tcW w:w="2340" w:type="dxa"/>
          </w:tcPr>
          <w:p w:rsidR="00A8147A" w:rsidRPr="00A8147A" w:rsidRDefault="00A8147A" w:rsidP="00A8147A">
            <w:r w:rsidRPr="00A8147A">
              <w:t>Audit Finding No. 4</w:t>
            </w:r>
          </w:p>
        </w:tc>
        <w:tc>
          <w:tcPr>
            <w:tcW w:w="7200" w:type="dxa"/>
          </w:tcPr>
          <w:p w:rsidR="00A8147A" w:rsidRPr="00A8147A" w:rsidRDefault="00A8147A" w:rsidP="00966CD3">
            <w:pPr>
              <w:autoSpaceDE w:val="0"/>
              <w:autoSpaceDN w:val="0"/>
              <w:adjustRightInd w:val="0"/>
              <w:jc w:val="both"/>
            </w:pPr>
            <w:r w:rsidRPr="00A8147A">
              <w:t xml:space="preserve">This finding relates to the correction of the cost rate for customer deposits. Audit staff found that the </w:t>
            </w:r>
            <w:r w:rsidR="00966CD3">
              <w:t>u</w:t>
            </w:r>
            <w:r w:rsidRPr="00A8147A">
              <w:t xml:space="preserve">tility has been applying a cost rate of 6% instead of 2% in the MFRs. </w:t>
            </w:r>
          </w:p>
        </w:tc>
      </w:tr>
      <w:tr w:rsidR="00A8147A" w:rsidRPr="00A8147A" w:rsidTr="00A8147A">
        <w:tc>
          <w:tcPr>
            <w:tcW w:w="2340" w:type="dxa"/>
          </w:tcPr>
          <w:p w:rsidR="00A8147A" w:rsidRPr="00A8147A" w:rsidRDefault="00A8147A" w:rsidP="00A8147A">
            <w:r w:rsidRPr="00A8147A">
              <w:t>Audit Finding No. 6</w:t>
            </w:r>
          </w:p>
        </w:tc>
        <w:tc>
          <w:tcPr>
            <w:tcW w:w="7200" w:type="dxa"/>
          </w:tcPr>
          <w:p w:rsidR="00A8147A" w:rsidRPr="00A8147A" w:rsidRDefault="00A8147A" w:rsidP="00A8147A">
            <w:pPr>
              <w:jc w:val="both"/>
            </w:pPr>
            <w:r w:rsidRPr="00A8147A">
              <w:t>This finding relates to adjustments made to correct the number of customer bills for water and wastewater and to take into account a four-year rate reduction in calculating the annualized test year.</w:t>
            </w:r>
          </w:p>
        </w:tc>
      </w:tr>
    </w:tbl>
    <w:p w:rsidR="00A8147A" w:rsidRPr="00A8147A" w:rsidRDefault="00A8147A" w:rsidP="00A8147A">
      <w:r w:rsidRPr="00A8147A">
        <w:t xml:space="preserve">Source: Staff audit and </w:t>
      </w:r>
      <w:r w:rsidR="00966CD3">
        <w:t>u</w:t>
      </w:r>
      <w:r w:rsidRPr="00A8147A">
        <w:t>tility responses to audit reports</w:t>
      </w:r>
    </w:p>
    <w:p w:rsidR="00A8147A" w:rsidRPr="00A8147A" w:rsidRDefault="00A8147A" w:rsidP="00A8147A"/>
    <w:p w:rsidR="00A8147A" w:rsidRPr="00A8147A" w:rsidRDefault="00A8147A" w:rsidP="00A8147A">
      <w:pPr>
        <w:jc w:val="both"/>
      </w:pPr>
      <w:r w:rsidRPr="00A8147A">
        <w:t xml:space="preserve">Staff made the appropriate change to the customer deposit cost rate as part of Issue 9 and is reflected in Schedule No. 2. While the </w:t>
      </w:r>
      <w:r w:rsidR="00966CD3">
        <w:t>u</w:t>
      </w:r>
      <w:r w:rsidRPr="00A8147A">
        <w:t>tility agreed to Audit Finding No. 6, staff notes that a different adjustment to operating revenues is recommended in a subsequent issue.</w:t>
      </w:r>
    </w:p>
    <w:p w:rsidR="00A8147A" w:rsidRPr="00A8147A" w:rsidRDefault="00A8147A" w:rsidP="00A8147A"/>
    <w:p w:rsidR="00A8147A" w:rsidRPr="00A8147A" w:rsidRDefault="00A8147A" w:rsidP="00A8147A">
      <w:pPr>
        <w:jc w:val="both"/>
      </w:pPr>
      <w:r w:rsidRPr="00A8147A">
        <w:t xml:space="preserve">In addition to the specific findings agreed to by Ni Florida, there were several other audit adjustments that the </w:t>
      </w:r>
      <w:r w:rsidR="00966CD3">
        <w:t>u</w:t>
      </w:r>
      <w:r w:rsidRPr="00A8147A">
        <w:t xml:space="preserve">tility did not explicitly address in its audit response. Staff included discussion of those adjustments here because they were not objected to in writing. Since Ni Florida took the time to file audit responses for 8 of the 12 audit findings, staff believes that if the </w:t>
      </w:r>
      <w:r w:rsidR="00966CD3">
        <w:t>u</w:t>
      </w:r>
      <w:r w:rsidRPr="00A8147A">
        <w:t>tility had any issues or concerns with the 4 audit findings below, they would have been included with the other audit responses. As such, staff believes that the audit adjustments as set forth in the table below should be considered uncontested for purposes of this recommendation.</w:t>
      </w:r>
    </w:p>
    <w:p w:rsidR="00A8147A" w:rsidRPr="00A8147A" w:rsidRDefault="00A8147A" w:rsidP="00A8147A"/>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p>
    <w:p w:rsidR="00A8147A" w:rsidRDefault="00A8147A" w:rsidP="00A8147A">
      <w:pPr>
        <w:jc w:val="center"/>
        <w:rPr>
          <w:rFonts w:ascii="Arial" w:hAnsi="Arial" w:cs="Arial"/>
          <w:b/>
        </w:rPr>
      </w:pPr>
    </w:p>
    <w:p w:rsidR="00A8147A" w:rsidRPr="00A8147A" w:rsidRDefault="00A8147A" w:rsidP="00A8147A">
      <w:pPr>
        <w:jc w:val="center"/>
        <w:rPr>
          <w:rFonts w:ascii="Arial" w:hAnsi="Arial" w:cs="Arial"/>
          <w:b/>
        </w:rPr>
      </w:pPr>
      <w:r w:rsidRPr="00A8147A">
        <w:rPr>
          <w:rFonts w:ascii="Arial" w:hAnsi="Arial" w:cs="Arial"/>
          <w:b/>
        </w:rPr>
        <w:lastRenderedPageBreak/>
        <w:t>Table 2-2</w:t>
      </w:r>
    </w:p>
    <w:p w:rsidR="00A8147A" w:rsidRPr="00A8147A" w:rsidRDefault="00A8147A" w:rsidP="00A8147A">
      <w:pPr>
        <w:jc w:val="center"/>
        <w:rPr>
          <w:rFonts w:ascii="Arial" w:hAnsi="Arial" w:cs="Arial"/>
          <w:b/>
        </w:rPr>
      </w:pPr>
      <w:r w:rsidRPr="00A8147A">
        <w:rPr>
          <w:rFonts w:ascii="Arial" w:hAnsi="Arial" w:cs="Arial"/>
          <w:b/>
        </w:rPr>
        <w:t>Ni Florida Audit Adjustments – No Utility Response</w:t>
      </w:r>
    </w:p>
    <w:tbl>
      <w:tblPr>
        <w:tblStyle w:val="TableGrid1"/>
        <w:tblW w:w="0" w:type="auto"/>
        <w:tblInd w:w="18" w:type="dxa"/>
        <w:tblLook w:val="04A0" w:firstRow="1" w:lastRow="0" w:firstColumn="1" w:lastColumn="0" w:noHBand="0" w:noVBand="1"/>
      </w:tblPr>
      <w:tblGrid>
        <w:gridCol w:w="2700"/>
        <w:gridCol w:w="6840"/>
      </w:tblGrid>
      <w:tr w:rsidR="00A8147A" w:rsidRPr="00A8147A" w:rsidTr="00A8147A">
        <w:tc>
          <w:tcPr>
            <w:tcW w:w="2700" w:type="dxa"/>
          </w:tcPr>
          <w:p w:rsidR="00A8147A" w:rsidRPr="00A8147A" w:rsidRDefault="00A8147A" w:rsidP="00A8147A">
            <w:pPr>
              <w:jc w:val="center"/>
              <w:rPr>
                <w:b/>
              </w:rPr>
            </w:pPr>
            <w:r w:rsidRPr="00A8147A">
              <w:rPr>
                <w:b/>
              </w:rPr>
              <w:t>Audit Finding</w:t>
            </w:r>
          </w:p>
        </w:tc>
        <w:tc>
          <w:tcPr>
            <w:tcW w:w="6840" w:type="dxa"/>
          </w:tcPr>
          <w:p w:rsidR="00A8147A" w:rsidRPr="00A8147A" w:rsidRDefault="00A8147A" w:rsidP="00A8147A">
            <w:pPr>
              <w:jc w:val="center"/>
              <w:rPr>
                <w:b/>
              </w:rPr>
            </w:pPr>
            <w:r w:rsidRPr="00A8147A">
              <w:rPr>
                <w:b/>
              </w:rPr>
              <w:t>Description of Adjustments</w:t>
            </w:r>
          </w:p>
        </w:tc>
      </w:tr>
      <w:tr w:rsidR="00A8147A" w:rsidRPr="00A8147A" w:rsidTr="00A8147A">
        <w:tc>
          <w:tcPr>
            <w:tcW w:w="2700" w:type="dxa"/>
            <w:shd w:val="clear" w:color="auto" w:fill="auto"/>
          </w:tcPr>
          <w:p w:rsidR="00A8147A" w:rsidRPr="00A8147A" w:rsidRDefault="00A8147A" w:rsidP="00A8147A">
            <w:r w:rsidRPr="00A8147A">
              <w:t>Aff. Audit Finding No. 4</w:t>
            </w:r>
          </w:p>
        </w:tc>
        <w:tc>
          <w:tcPr>
            <w:tcW w:w="6840" w:type="dxa"/>
          </w:tcPr>
          <w:p w:rsidR="00A8147A" w:rsidRPr="00A8147A" w:rsidRDefault="00A8147A" w:rsidP="00A8147A">
            <w:pPr>
              <w:autoSpaceDE w:val="0"/>
              <w:autoSpaceDN w:val="0"/>
              <w:adjustRightInd w:val="0"/>
              <w:jc w:val="both"/>
            </w:pPr>
            <w:r w:rsidRPr="00A8147A">
              <w:t>This finding relates to the appropriate amount of debt and the cost rate for debt to be included in cost of capital.</w:t>
            </w:r>
          </w:p>
        </w:tc>
      </w:tr>
      <w:tr w:rsidR="00A8147A" w:rsidRPr="00A8147A" w:rsidTr="00A8147A">
        <w:tc>
          <w:tcPr>
            <w:tcW w:w="2700" w:type="dxa"/>
            <w:shd w:val="clear" w:color="auto" w:fill="auto"/>
          </w:tcPr>
          <w:p w:rsidR="00A8147A" w:rsidRPr="00A8147A" w:rsidRDefault="00A8147A" w:rsidP="00A8147A">
            <w:r w:rsidRPr="00A8147A">
              <w:t>Audit Finding No. 2</w:t>
            </w:r>
          </w:p>
        </w:tc>
        <w:tc>
          <w:tcPr>
            <w:tcW w:w="6840" w:type="dxa"/>
          </w:tcPr>
          <w:p w:rsidR="00A8147A" w:rsidRPr="00A8147A" w:rsidRDefault="00A8147A" w:rsidP="00A8147A">
            <w:pPr>
              <w:autoSpaceDE w:val="0"/>
              <w:autoSpaceDN w:val="0"/>
              <w:adjustRightInd w:val="0"/>
              <w:jc w:val="both"/>
            </w:pPr>
            <w:r w:rsidRPr="00A8147A">
              <w:t>This finding relates to the appropriate adjustment to accumulated amortization of wastewater CIAC using the current composite rate.</w:t>
            </w:r>
          </w:p>
        </w:tc>
      </w:tr>
      <w:tr w:rsidR="00A8147A" w:rsidRPr="00A8147A" w:rsidTr="00A8147A">
        <w:tc>
          <w:tcPr>
            <w:tcW w:w="2700" w:type="dxa"/>
            <w:shd w:val="clear" w:color="auto" w:fill="auto"/>
          </w:tcPr>
          <w:p w:rsidR="00A8147A" w:rsidRPr="00A8147A" w:rsidRDefault="00A8147A" w:rsidP="00A8147A">
            <w:r w:rsidRPr="00A8147A">
              <w:t>Audit Finding No. 3</w:t>
            </w:r>
          </w:p>
        </w:tc>
        <w:tc>
          <w:tcPr>
            <w:tcW w:w="6840" w:type="dxa"/>
          </w:tcPr>
          <w:p w:rsidR="00A8147A" w:rsidRPr="00A8147A" w:rsidRDefault="00A8147A" w:rsidP="00A8147A">
            <w:pPr>
              <w:autoSpaceDE w:val="0"/>
              <w:autoSpaceDN w:val="0"/>
              <w:adjustRightInd w:val="0"/>
              <w:jc w:val="both"/>
            </w:pPr>
            <w:r w:rsidRPr="00A8147A">
              <w:t xml:space="preserve">This finding relates to a $50,119 adjustment made to wastewater working capital to correct a mathematical error, prepayments, and accrued interest </w:t>
            </w:r>
          </w:p>
        </w:tc>
      </w:tr>
      <w:tr w:rsidR="00A8147A" w:rsidRPr="00A8147A" w:rsidTr="00A8147A">
        <w:tc>
          <w:tcPr>
            <w:tcW w:w="2700" w:type="dxa"/>
            <w:shd w:val="clear" w:color="auto" w:fill="auto"/>
          </w:tcPr>
          <w:p w:rsidR="00A8147A" w:rsidRPr="00A8147A" w:rsidRDefault="00A8147A" w:rsidP="00A8147A">
            <w:r w:rsidRPr="00A8147A">
              <w:t>Audit Finding No. 5</w:t>
            </w:r>
          </w:p>
        </w:tc>
        <w:tc>
          <w:tcPr>
            <w:tcW w:w="6840" w:type="dxa"/>
          </w:tcPr>
          <w:p w:rsidR="00A8147A" w:rsidRPr="00A8147A" w:rsidRDefault="00A8147A" w:rsidP="00A8147A">
            <w:pPr>
              <w:autoSpaceDE w:val="0"/>
              <w:autoSpaceDN w:val="0"/>
              <w:adjustRightInd w:val="0"/>
              <w:jc w:val="both"/>
            </w:pPr>
            <w:r w:rsidRPr="00A8147A">
              <w:t xml:space="preserve">This finding relates to the removal of a deferred income tax credit balance of $3,634 for wastewater from rate base. The amount is still reflected in the capital structure schedule. </w:t>
            </w:r>
          </w:p>
        </w:tc>
      </w:tr>
    </w:tbl>
    <w:p w:rsidR="00A8147A" w:rsidRPr="00A8147A" w:rsidRDefault="00A8147A" w:rsidP="00A8147A">
      <w:r w:rsidRPr="00A8147A">
        <w:t xml:space="preserve">Source: Staff audit and </w:t>
      </w:r>
      <w:r w:rsidR="00966CD3">
        <w:t>u</w:t>
      </w:r>
      <w:r w:rsidRPr="00A8147A">
        <w:t>tility responses to audit reports</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In Affiliate Audit Finding No. 4, audit staff found that the subsidiary included two long-term debts that were paid off during the test year and recommended that they not be included in the utility’s cost of capital calculations. However, the audit finding also noted that zero debt is reflected from March 2015 to August 2015. Starting in September 2015, the parent allocated a portion of its debt to Ni Florida in the amount $4,736,843 for September, October, and November. This amount increased to $5,000,000 in December 2015. Staff believes the amounts included in the </w:t>
      </w:r>
      <w:r w:rsidR="00966CD3">
        <w:t>u</w:t>
      </w:r>
      <w:r w:rsidRPr="00A8147A">
        <w:t xml:space="preserve">tility’s MFRs accurately reflect the capital structure and are representative of the long-term debt on the </w:t>
      </w:r>
      <w:r w:rsidR="00966CD3">
        <w:t>u</w:t>
      </w:r>
      <w:r w:rsidRPr="00A8147A">
        <w:t xml:space="preserve">tility’s books during the historic test year. Using a 13-month average, the </w:t>
      </w:r>
      <w:r w:rsidR="00966CD3">
        <w:t>u</w:t>
      </w:r>
      <w:r w:rsidRPr="00A8147A">
        <w:t>tility has reflected when debt was paid off and included new debt as it was incurred, including a several month period where the balance was zero. As such, staff believes that no audit adjustment needs to be made.</w:t>
      </w:r>
    </w:p>
    <w:p w:rsidR="00A8147A" w:rsidRPr="00A8147A" w:rsidRDefault="00A8147A" w:rsidP="00A8147A">
      <w:pPr>
        <w:jc w:val="both"/>
      </w:pPr>
    </w:p>
    <w:p w:rsidR="00A8147A" w:rsidRPr="00A8147A" w:rsidRDefault="00A8147A" w:rsidP="00A8147A">
      <w:pPr>
        <w:autoSpaceDE w:val="0"/>
        <w:autoSpaceDN w:val="0"/>
        <w:adjustRightInd w:val="0"/>
        <w:jc w:val="both"/>
      </w:pPr>
      <w:r w:rsidRPr="00A8147A">
        <w:t xml:space="preserve">In regard to Audit Finding No. 2, the </w:t>
      </w:r>
      <w:r w:rsidR="00966CD3">
        <w:t>u</w:t>
      </w:r>
      <w:r w:rsidRPr="00A8147A">
        <w:t>tility amortized wastewater CIAC using the composite rate from the previous rate case. Ni Florida should have amortized CIAC based on the plant that it is related to, which would require an updated composite rate. Audit staff calculated the current composite rate and applied that rate to amortized CIAC for wastewater. Based on the updated composite rate, the 13-month average accumulated amortization of CIAC for wastewater should be increased by $6,568 and amortization expense should be increased by $2,845.</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Staff also reduced working capital by $50,119 in Issue 6 and removed the deferred income tax credit balance of $3,634 for wastewater from rate base. Rule 25-30.433(3)</w:t>
      </w:r>
      <w:r w:rsidR="00C613F6">
        <w:t xml:space="preserve"> F.A.C.</w:t>
      </w:r>
      <w:r w:rsidRPr="00A8147A">
        <w:t xml:space="preserve"> states that a credit deferred tax balance shall be included only in capital structure. As such, staff made the appropriate adjustment.</w:t>
      </w:r>
    </w:p>
    <w:p w:rsidR="00A8147A" w:rsidRPr="00A8147A" w:rsidRDefault="00A8147A" w:rsidP="00A8147A">
      <w:pPr>
        <w:jc w:val="both"/>
      </w:pPr>
    </w:p>
    <w:p w:rsidR="000516D4" w:rsidRPr="00C00171" w:rsidRDefault="00A8147A" w:rsidP="00A8147A">
      <w:pPr>
        <w:jc w:val="both"/>
        <w:rPr>
          <w:rFonts w:eastAsiaTheme="minorHAnsi"/>
        </w:rPr>
      </w:pPr>
      <w:r w:rsidRPr="00A8147A">
        <w:t xml:space="preserve">Based on the audit adjustments agreed to by the </w:t>
      </w:r>
      <w:r w:rsidR="00966CD3">
        <w:t>u</w:t>
      </w:r>
      <w:r w:rsidRPr="00A8147A">
        <w:t>tility and staff above, staff recommends increasing wastewater CIAC by $6,568 and decreasing deferred income taxes by $3,634. Wastewater amortization expense should be reduced by $2,845.</w:t>
      </w:r>
    </w:p>
    <w:p w:rsidR="007C67B6" w:rsidRDefault="000516D4" w:rsidP="00C00171">
      <w:pPr>
        <w:rPr>
          <w:vanish/>
          <w:specVanish/>
        </w:rPr>
      </w:pPr>
      <w:r w:rsidRPr="00C00171">
        <w:rPr>
          <w:rFonts w:eastAsiaTheme="minorHAnsi"/>
        </w:rPr>
        <w:br w:type="page"/>
      </w:r>
      <w:r w:rsidR="007C67B6" w:rsidRPr="007948C6">
        <w:rPr>
          <w:rFonts w:ascii="Arial" w:hAnsi="Arial" w:cs="Arial"/>
          <w:b/>
          <w:i/>
        </w:rPr>
        <w:lastRenderedPageBreak/>
        <w:t xml:space="preserve">Issue </w:t>
      </w:r>
      <w:r w:rsidR="00D752C8" w:rsidRPr="007948C6">
        <w:rPr>
          <w:rFonts w:ascii="Arial" w:hAnsi="Arial" w:cs="Arial"/>
          <w:b/>
          <w:i/>
        </w:rPr>
        <w:fldChar w:fldCharType="begin"/>
      </w:r>
      <w:r w:rsidR="00D752C8" w:rsidRPr="007948C6">
        <w:rPr>
          <w:rFonts w:ascii="Arial" w:hAnsi="Arial" w:cs="Arial"/>
          <w:b/>
          <w:i/>
        </w:rPr>
        <w:instrText xml:space="preserve"> SEQ Issue \* MERGEFORMAT </w:instrText>
      </w:r>
      <w:r w:rsidR="00D752C8" w:rsidRPr="007948C6">
        <w:rPr>
          <w:rFonts w:ascii="Arial" w:hAnsi="Arial" w:cs="Arial"/>
          <w:b/>
          <w:i/>
        </w:rPr>
        <w:fldChar w:fldCharType="separate"/>
      </w:r>
      <w:r w:rsidR="007F50C0">
        <w:rPr>
          <w:rFonts w:ascii="Arial" w:hAnsi="Arial" w:cs="Arial"/>
          <w:b/>
          <w:i/>
          <w:noProof/>
        </w:rPr>
        <w:t>3</w:t>
      </w:r>
      <w:r w:rsidR="00D752C8" w:rsidRPr="007948C6">
        <w:rPr>
          <w:rFonts w:ascii="Arial" w:hAnsi="Arial" w:cs="Arial"/>
          <w:b/>
          <w:i/>
          <w:noProof/>
        </w:rPr>
        <w:fldChar w:fldCharType="end"/>
      </w:r>
      <w:r w:rsidR="007C67B6" w:rsidRPr="004C3641">
        <w:t>:</w:t>
      </w:r>
      <w:r w:rsidR="007C67B6">
        <w:fldChar w:fldCharType="begin"/>
      </w:r>
      <w:r w:rsidR="007C67B6">
        <w:instrText xml:space="preserve"> TC "</w:instrText>
      </w:r>
      <w:r w:rsidR="007C67B6">
        <w:fldChar w:fldCharType="begin"/>
      </w:r>
      <w:r w:rsidR="007C67B6">
        <w:instrText xml:space="preserve"> SEQ issue \c </w:instrText>
      </w:r>
      <w:r w:rsidR="007C67B6">
        <w:fldChar w:fldCharType="separate"/>
      </w:r>
      <w:bookmarkStart w:id="19" w:name="_Toc464661200"/>
      <w:r w:rsidR="007F50C0">
        <w:rPr>
          <w:noProof/>
        </w:rPr>
        <w:instrText>3</w:instrText>
      </w:r>
      <w:r w:rsidR="007C67B6">
        <w:fldChar w:fldCharType="end"/>
      </w:r>
      <w:r w:rsidR="007C67B6">
        <w:tab/>
      </w:r>
      <w:r w:rsidR="008F36C4">
        <w:instrText>Contested Audit Adjustments</w:instrText>
      </w:r>
      <w:bookmarkEnd w:id="19"/>
      <w:r w:rsidR="007C67B6">
        <w:instrText xml:space="preserve">" \l 1 </w:instrText>
      </w:r>
      <w:r w:rsidR="007C67B6">
        <w:fldChar w:fldCharType="end"/>
      </w:r>
      <w:r w:rsidR="007C67B6">
        <w:t> </w:t>
      </w:r>
    </w:p>
    <w:p w:rsidR="007C67B6" w:rsidRDefault="007C67B6">
      <w:pPr>
        <w:pStyle w:val="BodyText"/>
      </w:pPr>
      <w:r>
        <w:t xml:space="preserve"> Should any audit adjustments contested by the utility be made? </w:t>
      </w:r>
    </w:p>
    <w:p w:rsidR="007C67B6" w:rsidRPr="004C3641" w:rsidRDefault="007C67B6">
      <w:pPr>
        <w:pStyle w:val="IssueSubsectionHeading"/>
        <w:rPr>
          <w:vanish/>
          <w:specVanish/>
        </w:rPr>
      </w:pPr>
      <w:r w:rsidRPr="004C3641">
        <w:t>Recommendation: </w:t>
      </w:r>
    </w:p>
    <w:p w:rsidR="007C67B6" w:rsidRDefault="007C67B6">
      <w:pPr>
        <w:pStyle w:val="BodyText"/>
      </w:pPr>
      <w:r>
        <w:t> </w:t>
      </w:r>
      <w:r w:rsidR="00A8147A" w:rsidRPr="00A8147A">
        <w:t xml:space="preserve">Yes. Ni Florida’s test year Operations &amp; Maintenance (O&amp;M) expenses should be reduced by $10,277 for water and $39,742 for wastewater. Taxes other than income (TOTI) should be decreased by $835 for water and $1,378 for wastewater. </w:t>
      </w:r>
      <w:r>
        <w:t xml:space="preserve"> (Brown)</w:t>
      </w:r>
    </w:p>
    <w:p w:rsidR="007C67B6" w:rsidRPr="004C3641" w:rsidRDefault="007C67B6">
      <w:pPr>
        <w:pStyle w:val="IssueSubsectionHeading"/>
        <w:rPr>
          <w:vanish/>
          <w:specVanish/>
        </w:rPr>
      </w:pPr>
      <w:r w:rsidRPr="004C3641">
        <w:t>Staff Analysis: </w:t>
      </w:r>
    </w:p>
    <w:p w:rsidR="00A8147A" w:rsidRPr="00A8147A" w:rsidRDefault="007C67B6" w:rsidP="00A8147A">
      <w:pPr>
        <w:autoSpaceDE w:val="0"/>
        <w:autoSpaceDN w:val="0"/>
        <w:adjustRightInd w:val="0"/>
        <w:jc w:val="both"/>
      </w:pPr>
      <w:r>
        <w:t> </w:t>
      </w:r>
      <w:r w:rsidR="00A8147A" w:rsidRPr="00A8147A">
        <w:t>Staff’s audit reports were released on August 12, 2016,</w:t>
      </w:r>
      <w:r w:rsidR="00A8147A" w:rsidRPr="00A8147A">
        <w:rPr>
          <w:vertAlign w:val="superscript"/>
        </w:rPr>
        <w:footnoteReference w:id="4"/>
      </w:r>
      <w:r w:rsidR="00A8147A" w:rsidRPr="00A8147A">
        <w:t xml:space="preserve"> and the </w:t>
      </w:r>
      <w:r w:rsidR="00966CD3">
        <w:t>u</w:t>
      </w:r>
      <w:r w:rsidR="00A8147A" w:rsidRPr="00A8147A">
        <w:t>tility's response was received on September 22, 2016. The following recommendation addresses the contested audit adjustment and the appropriate adjustments that should be made.</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Affiliate Audit Finding No. 1</w:t>
      </w:r>
    </w:p>
    <w:p w:rsidR="00A8147A" w:rsidRPr="00A8147A" w:rsidRDefault="00A8147A" w:rsidP="00A8147A">
      <w:pPr>
        <w:autoSpaceDE w:val="0"/>
        <w:autoSpaceDN w:val="0"/>
        <w:adjustRightInd w:val="0"/>
        <w:jc w:val="both"/>
      </w:pPr>
      <w:r w:rsidRPr="00A8147A">
        <w:t xml:space="preserve">The </w:t>
      </w:r>
      <w:proofErr w:type="gramStart"/>
      <w:r w:rsidRPr="00A8147A">
        <w:t>staff audit</w:t>
      </w:r>
      <w:proofErr w:type="gramEnd"/>
      <w:r w:rsidRPr="00A8147A">
        <w:t xml:space="preserve"> report noted non-utility expense adjustments, allocated down, in the amount of $187 for water and $717 for wastewater. These adjustments consisted of late payment fees, country club membership fees, non-utility office expenses, non-supported expenses, and outside the test year expenses. The </w:t>
      </w:r>
      <w:r w:rsidR="00966CD3">
        <w:t>u</w:t>
      </w:r>
      <w:r w:rsidRPr="00A8147A">
        <w:t>tility did not specifically disagree with these adjustments and staff believes that they are appropriate. In its response to OPC’s concerns, Ni Florida also agreed to remove the cost of the country club membership for the entire year. Membership fees for the year are $2,508 ($209 per mo. x 12 months) and staff auditors had already removed approximately $1,885 as part of their review. To calculate the additional adjustment necessary, staff then allocated the difference, $623 ($2,508 - $1,885), to Ni Florida. On an allocated basis, this represents a reduction of $11 to water and $43 to wastewater. As such, staff believes that water and wastewater miscellaneous expense should be reduced by $198 and $760, respectively.</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Staff’s audit report also noted that adjustments to Director and Officer Liability (DOL) Insurance were necessary. Audit staff calculated a total annualized cost of $19,479 ($14,568 + $4,911). This amount consisted of </w:t>
      </w:r>
      <w:proofErr w:type="gramStart"/>
      <w:r w:rsidRPr="00A8147A">
        <w:t>a six</w:t>
      </w:r>
      <w:proofErr w:type="gramEnd"/>
      <w:r w:rsidRPr="00A8147A">
        <w:t>-year coverage in the amount of $4,911 ($29,464/6) and $14,568</w:t>
      </w:r>
      <w:r w:rsidR="0050338A">
        <w:t xml:space="preserve"> annually</w:t>
      </w:r>
      <w:r w:rsidRPr="00A8147A">
        <w:t xml:space="preserve"> for a DOL policy. In the </w:t>
      </w:r>
      <w:r w:rsidR="00966CD3">
        <w:t>u</w:t>
      </w:r>
      <w:r w:rsidRPr="00A8147A">
        <w:t>tility’s last rate case, the Commission determined that the cost of DOL insurance benefits both the ratepayers and the shareholders, and should be shared equally between them.</w:t>
      </w:r>
      <w:r w:rsidRPr="00A8147A">
        <w:rPr>
          <w:vertAlign w:val="superscript"/>
        </w:rPr>
        <w:footnoteReference w:id="5"/>
      </w:r>
      <w:r w:rsidRPr="00A8147A">
        <w:t xml:space="preserve"> Using that methodology, and the </w:t>
      </w:r>
      <w:r w:rsidR="00966CD3">
        <w:t>u</w:t>
      </w:r>
      <w:r w:rsidRPr="00A8147A">
        <w:t>tility’s allocation percentages, the audit report recommended DOL insurance costs of $173 for water and $665 for wastewater. The resulting audit adjustments, $610 for water and $2,340 for wastewater, reflect the allocation of the six-year coverage insurance and the removal of the shared costs.</w:t>
      </w:r>
      <w:r w:rsidR="0088268C">
        <w:t xml:space="preserve"> </w:t>
      </w:r>
      <w:r w:rsidRPr="00A8147A">
        <w:t xml:space="preserve">The </w:t>
      </w:r>
      <w:r w:rsidR="00966CD3">
        <w:t>u</w:t>
      </w:r>
      <w:r w:rsidRPr="00A8147A">
        <w:t xml:space="preserve">tility did not specifically disagree with these adjustments. Staff agrees that the appropriate amount of DOL insurance is $173 for water and $665 for wastewater. Staff’s adjustments differ slightly from the audit since it is being made to the amount included in the MFRs. According to the </w:t>
      </w:r>
      <w:r w:rsidR="00966CD3">
        <w:t>u</w:t>
      </w:r>
      <w:r w:rsidRPr="00A8147A">
        <w:t>tility, the MFRs included $851 and $3,267 for water and wastewater, respectively, for DOL insurance.</w:t>
      </w:r>
      <w:r w:rsidRPr="00A8147A">
        <w:rPr>
          <w:vertAlign w:val="superscript"/>
        </w:rPr>
        <w:footnoteReference w:id="6"/>
      </w:r>
      <w:r w:rsidRPr="00A8147A">
        <w:t xml:space="preserve"> As such, staff recommends a reduction of $678 ($173 - $851) for water and $2,602 ($665 - $3,267) for wastewater.</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In addition, audit staff recommended the reclassification of $390 to water and $13,195 to wastewater based on Ni America Operating, LLC's books. The water adjustment consisted of $390 for legal expenses, while the wastewater adjustments consisted of $3,900 for legal expenses and $9,295 for transportation expenses. These particular adjustments were the only ones the </w:t>
      </w:r>
      <w:r w:rsidR="00966CD3">
        <w:t>u</w:t>
      </w:r>
      <w:r w:rsidRPr="00A8147A">
        <w:t xml:space="preserve">tility disagreed with in its response. The </w:t>
      </w:r>
      <w:r w:rsidR="00966CD3">
        <w:t>u</w:t>
      </w:r>
      <w:r w:rsidRPr="00A8147A">
        <w:t xml:space="preserve">tility believes that this is effectively what was done </w:t>
      </w:r>
      <w:r w:rsidRPr="00A8147A">
        <w:lastRenderedPageBreak/>
        <w:t xml:space="preserve">with these costs in the specific assignment of these costs in the MFRs. Although these costs were recorded on the books of Ni America, they were specifically assigned to Ni Florida’s water and wastewater systems. Staff agrees with the </w:t>
      </w:r>
      <w:r w:rsidR="00966CD3">
        <w:t>u</w:t>
      </w:r>
      <w:r w:rsidRPr="00A8147A">
        <w:t xml:space="preserve">tility that these assignments were adequately addressed in the MFRs. As such, no reclassification is necessary. </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Based on the above analysis, </w:t>
      </w:r>
      <w:r w:rsidR="0050338A">
        <w:t xml:space="preserve">expense </w:t>
      </w:r>
      <w:r w:rsidRPr="00A8147A">
        <w:t xml:space="preserve">water should be reduced by $876 ($198 + $678) and </w:t>
      </w:r>
      <w:r w:rsidR="0050338A">
        <w:t xml:space="preserve">for </w:t>
      </w:r>
      <w:r w:rsidRPr="00A8147A">
        <w:t>wastewater should be reduced by $</w:t>
      </w:r>
      <w:proofErr w:type="gramStart"/>
      <w:r w:rsidRPr="00A8147A">
        <w:t>3,362  (</w:t>
      </w:r>
      <w:proofErr w:type="gramEnd"/>
      <w:r w:rsidRPr="00A8147A">
        <w:t>$760 + $2,602).</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Affiliate Audit Finding No. 2</w:t>
      </w:r>
    </w:p>
    <w:p w:rsidR="00A8147A" w:rsidRPr="00A8147A" w:rsidRDefault="00A8147A" w:rsidP="00A8147A">
      <w:pPr>
        <w:autoSpaceDE w:val="0"/>
        <w:autoSpaceDN w:val="0"/>
        <w:adjustRightInd w:val="0"/>
        <w:jc w:val="both"/>
      </w:pPr>
      <w:r w:rsidRPr="00A8147A">
        <w:t xml:space="preserve">Audit staff reviewed the descriptions of employee duties and responsibilities and identified five employees who appeared to work only in South Carolina or Texas. The total salaries and benefits for the employees that work in South Carolina or Texas utilities according to their job descriptions was $459,461 ($382,799 for salaries and $76,662 for benefits). In addition, 5 percent of another employee's salary was allocated to due diligence, which was disallowed in the </w:t>
      </w:r>
      <w:r w:rsidR="00966CD3">
        <w:t>u</w:t>
      </w:r>
      <w:r w:rsidRPr="00A8147A">
        <w:t>tility’s last rate case.</w:t>
      </w:r>
      <w:r w:rsidRPr="00A8147A">
        <w:rPr>
          <w:vertAlign w:val="superscript"/>
        </w:rPr>
        <w:footnoteReference w:id="7"/>
      </w:r>
      <w:r w:rsidRPr="00A8147A">
        <w:t xml:space="preserve"> In total, audit staff believed that corporate salaries and benefits were overstated by $40,349. </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jc w:val="both"/>
      </w:pPr>
      <w:r w:rsidRPr="00A8147A">
        <w:t xml:space="preserve">The </w:t>
      </w:r>
      <w:r w:rsidR="00966CD3">
        <w:t>u</w:t>
      </w:r>
      <w:r w:rsidRPr="00A8147A">
        <w:t>tility did not specifically disagree with the adjustment related to due diligence, but objected to the removal of salaries and benefits for two of the five employees identified in audit staff’s adjustments. In regard to those two employees, Ni Florida argued the following:</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ind w:left="720" w:right="720"/>
        <w:jc w:val="both"/>
      </w:pPr>
      <w:r w:rsidRPr="00A8147A">
        <w:t>Both of these employees perform corporate functions and effectively do tasks for all utilities. These employees' payroll and benefits should remain as an allocable expense.</w:t>
      </w:r>
      <w:r w:rsidRPr="00A8147A">
        <w:rPr>
          <w:vertAlign w:val="superscript"/>
        </w:rPr>
        <w:footnoteReference w:id="8"/>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pPr>
      <w:r w:rsidRPr="00A8147A">
        <w:t>The job descriptions for the contested positions at issue are included in Table 3-1, below:</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jc w:val="center"/>
        <w:rPr>
          <w:rFonts w:ascii="Arial" w:hAnsi="Arial" w:cs="Arial"/>
          <w:b/>
        </w:rPr>
      </w:pPr>
      <w:r w:rsidRPr="00A8147A">
        <w:rPr>
          <w:rFonts w:ascii="Arial" w:hAnsi="Arial" w:cs="Arial"/>
          <w:b/>
        </w:rPr>
        <w:t>Table 3-1</w:t>
      </w:r>
    </w:p>
    <w:p w:rsidR="00A8147A" w:rsidRPr="00A8147A" w:rsidRDefault="00A8147A" w:rsidP="00A8147A">
      <w:pPr>
        <w:autoSpaceDE w:val="0"/>
        <w:autoSpaceDN w:val="0"/>
        <w:adjustRightInd w:val="0"/>
        <w:jc w:val="center"/>
        <w:rPr>
          <w:rFonts w:ascii="Arial" w:hAnsi="Arial" w:cs="Arial"/>
          <w:b/>
        </w:rPr>
      </w:pPr>
      <w:r w:rsidRPr="00A8147A">
        <w:rPr>
          <w:rFonts w:ascii="Arial" w:hAnsi="Arial" w:cs="Arial"/>
          <w:b/>
        </w:rPr>
        <w:t>Title and Duties of Contested Positions</w:t>
      </w:r>
    </w:p>
    <w:tbl>
      <w:tblPr>
        <w:tblStyle w:val="TableGrid2"/>
        <w:tblW w:w="0" w:type="auto"/>
        <w:tblInd w:w="108" w:type="dxa"/>
        <w:tblLook w:val="04A0" w:firstRow="1" w:lastRow="0" w:firstColumn="1" w:lastColumn="0" w:noHBand="0" w:noVBand="1"/>
      </w:tblPr>
      <w:tblGrid>
        <w:gridCol w:w="1620"/>
        <w:gridCol w:w="7740"/>
      </w:tblGrid>
      <w:tr w:rsidR="00A8147A" w:rsidRPr="00A8147A" w:rsidTr="00A8147A">
        <w:tc>
          <w:tcPr>
            <w:tcW w:w="1620" w:type="dxa"/>
          </w:tcPr>
          <w:p w:rsidR="00A8147A" w:rsidRPr="00A8147A" w:rsidRDefault="00A8147A" w:rsidP="00A8147A">
            <w:pPr>
              <w:autoSpaceDE w:val="0"/>
              <w:autoSpaceDN w:val="0"/>
              <w:adjustRightInd w:val="0"/>
              <w:jc w:val="center"/>
            </w:pPr>
            <w:r w:rsidRPr="00A8147A">
              <w:rPr>
                <w:b/>
                <w:bCs/>
              </w:rPr>
              <w:t>Title</w:t>
            </w:r>
          </w:p>
        </w:tc>
        <w:tc>
          <w:tcPr>
            <w:tcW w:w="7740" w:type="dxa"/>
          </w:tcPr>
          <w:p w:rsidR="00A8147A" w:rsidRPr="00A8147A" w:rsidRDefault="00A8147A" w:rsidP="00A8147A">
            <w:pPr>
              <w:autoSpaceDE w:val="0"/>
              <w:autoSpaceDN w:val="0"/>
              <w:adjustRightInd w:val="0"/>
              <w:jc w:val="center"/>
            </w:pPr>
            <w:r w:rsidRPr="00A8147A">
              <w:rPr>
                <w:b/>
                <w:bCs/>
              </w:rPr>
              <w:t>Duties</w:t>
            </w:r>
          </w:p>
        </w:tc>
      </w:tr>
      <w:tr w:rsidR="00A8147A" w:rsidRPr="00A8147A" w:rsidTr="00A8147A">
        <w:tc>
          <w:tcPr>
            <w:tcW w:w="1620" w:type="dxa"/>
            <w:vAlign w:val="center"/>
          </w:tcPr>
          <w:p w:rsidR="00A8147A" w:rsidRPr="00A8147A" w:rsidRDefault="00A8147A" w:rsidP="00A8147A">
            <w:pPr>
              <w:autoSpaceDE w:val="0"/>
              <w:autoSpaceDN w:val="0"/>
              <w:adjustRightInd w:val="0"/>
            </w:pPr>
            <w:r w:rsidRPr="00A8147A">
              <w:t>Senior Analyst</w:t>
            </w:r>
          </w:p>
        </w:tc>
        <w:tc>
          <w:tcPr>
            <w:tcW w:w="7740" w:type="dxa"/>
          </w:tcPr>
          <w:p w:rsidR="00A8147A" w:rsidRPr="00A8147A" w:rsidRDefault="00A8147A" w:rsidP="00A8147A">
            <w:pPr>
              <w:autoSpaceDE w:val="0"/>
              <w:autoSpaceDN w:val="0"/>
              <w:adjustRightInd w:val="0"/>
              <w:jc w:val="both"/>
            </w:pPr>
            <w:r w:rsidRPr="00A8147A">
              <w:t>Responsible for handling general accounting for the South Carolina utilities owned by Ni America, prepares each of the utilities' monthly financial statements in accordance with U.S. GAAP. Also responsible for determining and reevaluating Equivalent Residential Customers (ERCs) for each of the South Carolina utilities owned by Ni America.</w:t>
            </w:r>
          </w:p>
        </w:tc>
      </w:tr>
      <w:tr w:rsidR="00A8147A" w:rsidRPr="00A8147A" w:rsidTr="00A8147A">
        <w:tc>
          <w:tcPr>
            <w:tcW w:w="1620" w:type="dxa"/>
            <w:vAlign w:val="center"/>
          </w:tcPr>
          <w:p w:rsidR="00A8147A" w:rsidRPr="00A8147A" w:rsidRDefault="00A8147A" w:rsidP="00A8147A">
            <w:pPr>
              <w:autoSpaceDE w:val="0"/>
              <w:autoSpaceDN w:val="0"/>
              <w:adjustRightInd w:val="0"/>
            </w:pPr>
            <w:r w:rsidRPr="00A8147A">
              <w:t>Office Manager</w:t>
            </w:r>
          </w:p>
        </w:tc>
        <w:tc>
          <w:tcPr>
            <w:tcW w:w="7740" w:type="dxa"/>
          </w:tcPr>
          <w:p w:rsidR="00A8147A" w:rsidRPr="00A8147A" w:rsidRDefault="00A8147A" w:rsidP="00A8147A">
            <w:pPr>
              <w:autoSpaceDE w:val="0"/>
              <w:autoSpaceDN w:val="0"/>
              <w:adjustRightInd w:val="0"/>
              <w:jc w:val="both"/>
            </w:pPr>
            <w:r w:rsidRPr="00A8147A">
              <w:t>Responsible for managing the South Carolina office for employees of Ni America. Orders supplies, coordinates mailroom activities, assists with making bank deposits from the personnel posting payments, and assists other employees as needed.</w:t>
            </w:r>
          </w:p>
        </w:tc>
      </w:tr>
    </w:tbl>
    <w:p w:rsidR="00A8147A" w:rsidRPr="00A8147A" w:rsidRDefault="00A8147A" w:rsidP="00A8147A">
      <w:pPr>
        <w:autoSpaceDE w:val="0"/>
        <w:autoSpaceDN w:val="0"/>
        <w:adjustRightInd w:val="0"/>
      </w:pPr>
      <w:r w:rsidRPr="00A8147A">
        <w:t>Source: Audit workpaper 44-3.3</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jc w:val="both"/>
      </w:pPr>
      <w:r w:rsidRPr="00A8147A">
        <w:t xml:space="preserve">Staff believes that both positions should be removed. The Senior Auditor position should be removed because the job duties provided above clearly reflect work activity performed for Ni America’s South Carolina utilities alone. Similarly, the Office Manager’s duties also reflect ties </w:t>
      </w:r>
      <w:r w:rsidRPr="00A8147A">
        <w:lastRenderedPageBreak/>
        <w:t xml:space="preserve">to Ni America’s South Carolina operations and provide no clear indication of how the position benefits Florida customers. Staff acknowledges that some of the office manager’s duties may also overlap with services being provided through the management services contract with </w:t>
      </w:r>
      <w:r w:rsidR="00966CD3">
        <w:t>u</w:t>
      </w:r>
      <w:r w:rsidRPr="00A8147A">
        <w:t xml:space="preserve">tility Group of Florida, LLC. Additionally, staff believes that the </w:t>
      </w:r>
      <w:r w:rsidR="00966CD3">
        <w:t>u</w:t>
      </w:r>
      <w:r w:rsidRPr="00A8147A">
        <w:t>tility’s removal of salaries and benefits from overhead for a similar position in Texas is a compelling reason to remove the salaries and benefits associated with the South Carolina Office Manager here.</w:t>
      </w:r>
      <w:r w:rsidRPr="00A8147A">
        <w:rPr>
          <w:vertAlign w:val="superscript"/>
        </w:rPr>
        <w:footnoteReference w:id="9"/>
      </w:r>
      <w:r w:rsidRPr="00A8147A">
        <w:t xml:space="preserve"> </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In its audit response, Ni Florida indicated that it identified one additional employee whose salary and benefits should be part of the reduction since their duties are limited to South Carolina. Staff agrees that it is appropriate to remove salaries and benefits for this employee as well. Because this adjustment is specific to one employee and the salary information is confidential, staff will not disclose salary and benefit information here. Staff included the employee’s salary and benefits in the reduction below.</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In total, staff believes that </w:t>
      </w:r>
      <w:r w:rsidR="0050338A">
        <w:t xml:space="preserve">allocated </w:t>
      </w:r>
      <w:r w:rsidRPr="00A8147A">
        <w:t>corporate salaries and benefits were overstated by $63,297. Staff removed $13,086 from water and $50,211 from wastewater.</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Affiliate Audit Finding No. 3</w:t>
      </w:r>
    </w:p>
    <w:p w:rsidR="00A8147A" w:rsidRPr="00A8147A" w:rsidRDefault="00A8147A" w:rsidP="00A8147A">
      <w:pPr>
        <w:autoSpaceDE w:val="0"/>
        <w:autoSpaceDN w:val="0"/>
        <w:adjustRightInd w:val="0"/>
        <w:jc w:val="both"/>
      </w:pPr>
      <w:r w:rsidRPr="00A8147A">
        <w:t xml:space="preserve">The affiliated audit recommended that depreciation expense not be allocated to Ni Florida in the amount of $1,575 because the fixed assets are not allocated to Ni Florida. The </w:t>
      </w:r>
      <w:r w:rsidR="002D6F3D">
        <w:t>u</w:t>
      </w:r>
      <w:r w:rsidRPr="00A8147A">
        <w:t xml:space="preserve">tility argued that this is likely the result of a misunderstanding in the response given by Ni Florida when asked about these assets. According to the </w:t>
      </w:r>
      <w:r w:rsidR="002D6F3D">
        <w:t>u</w:t>
      </w:r>
      <w:r w:rsidRPr="00A8147A">
        <w:t xml:space="preserve">tility, these assets are not allocated to Ni Florida, because they reside on the books of Ni America. The </w:t>
      </w:r>
      <w:r w:rsidR="002D6F3D">
        <w:t>u</w:t>
      </w:r>
      <w:r w:rsidRPr="00A8147A">
        <w:t>tility added, and staff agrees, that the assets in question support the corporate employees of Ni America; therefore, the depreciation expense of these assets should be allocated to Ni Florida, the same as is done with the payroll and benefits of these employees. As such, staff does not believe the audit adjustment should be included.</w:t>
      </w:r>
    </w:p>
    <w:p w:rsidR="00A8147A" w:rsidRPr="00A8147A" w:rsidRDefault="00A8147A" w:rsidP="00A8147A">
      <w:pPr>
        <w:autoSpaceDE w:val="0"/>
        <w:autoSpaceDN w:val="0"/>
        <w:adjustRightInd w:val="0"/>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Audit Finding No. 1</w:t>
      </w:r>
    </w:p>
    <w:p w:rsidR="00A8147A" w:rsidRPr="00A8147A" w:rsidRDefault="00A8147A" w:rsidP="00A8147A">
      <w:pPr>
        <w:autoSpaceDE w:val="0"/>
        <w:autoSpaceDN w:val="0"/>
        <w:adjustRightInd w:val="0"/>
        <w:jc w:val="both"/>
      </w:pPr>
      <w:r w:rsidRPr="00A8147A">
        <w:t xml:space="preserve">The </w:t>
      </w:r>
      <w:r w:rsidR="002D6F3D">
        <w:t>u</w:t>
      </w:r>
      <w:r w:rsidRPr="00A8147A">
        <w:t xml:space="preserve">tility began a construction project to provide utility service to an outreach center (Rhodes Road Project) in 2015. In March of the same year, the </w:t>
      </w:r>
      <w:r w:rsidR="002D6F3D">
        <w:t>u</w:t>
      </w:r>
      <w:r w:rsidRPr="00A8147A">
        <w:t xml:space="preserve">tility calculated the wastewater CIAC for this center using a residential service tariff to calculate the CIAC amount because they do not have an authorized general service tariff. Using this, the </w:t>
      </w:r>
      <w:r w:rsidR="002D6F3D">
        <w:t>u</w:t>
      </w:r>
      <w:r w:rsidRPr="00A8147A">
        <w:t xml:space="preserve">tility calculated a CIAC requirement of $77,760, which the </w:t>
      </w:r>
      <w:r w:rsidR="002D6F3D">
        <w:t>u</w:t>
      </w:r>
      <w:r w:rsidRPr="00A8147A">
        <w:t xml:space="preserve">tility booked in March 2015 and reflected in their MFRs. The project was still in construction work in progress (CWIP) at the end of 2015. The </w:t>
      </w:r>
      <w:r w:rsidR="002D6F3D">
        <w:t>u</w:t>
      </w:r>
      <w:r w:rsidRPr="00A8147A">
        <w:t xml:space="preserve">tility has not included CWIP in rate base. As such, audit staff recommended removing this amount from CIAC and the fall out amounts charged to Accumulated Amortization of CIAC and CIAC expense pending completion of the project. Ni Florida did not agree with the audit finding that the CIAC should be removed. The </w:t>
      </w:r>
      <w:r w:rsidR="002D6F3D">
        <w:t>u</w:t>
      </w:r>
      <w:r w:rsidRPr="00A8147A">
        <w:t xml:space="preserve">tility explained that in its rate filing, Ni Florida included the Rhodes Road Project CWIP as a pro forma addition to plant in service. As discussed in Issue 4, this project is currently in service. Because the </w:t>
      </w:r>
      <w:r w:rsidR="002D6F3D">
        <w:t>u</w:t>
      </w:r>
      <w:r w:rsidRPr="00A8147A">
        <w:t xml:space="preserve">tility included the project in pro forma plant and the project is now complete, staff believes that CIAC should remain in rate base as reflected in the </w:t>
      </w:r>
      <w:r w:rsidR="002D6F3D">
        <w:t>u</w:t>
      </w:r>
      <w:r w:rsidRPr="00A8147A">
        <w:t>tility’s MFRs. As such, the audit adjustment is not required.</w:t>
      </w:r>
    </w:p>
    <w:p w:rsidR="00A8147A" w:rsidRPr="00A8147A" w:rsidRDefault="00A8147A" w:rsidP="00A8147A">
      <w:pPr>
        <w:autoSpaceDE w:val="0"/>
        <w:autoSpaceDN w:val="0"/>
        <w:adjustRightInd w:val="0"/>
        <w:rPr>
          <w:rFonts w:ascii="Arial" w:hAnsi="Arial" w:cs="Arial"/>
          <w:b/>
        </w:rPr>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 xml:space="preserve">Audit Finding No. 7 </w:t>
      </w:r>
    </w:p>
    <w:p w:rsidR="00A8147A" w:rsidRPr="00A8147A" w:rsidRDefault="00A8147A" w:rsidP="00A8147A">
      <w:pPr>
        <w:autoSpaceDE w:val="0"/>
        <w:autoSpaceDN w:val="0"/>
        <w:adjustRightInd w:val="0"/>
        <w:jc w:val="both"/>
      </w:pPr>
      <w:r w:rsidRPr="00A8147A">
        <w:t xml:space="preserve">Audit staff determined that O&amp;M expenses should be $240,935 and $1,524,366 for water and wastewater, respectively, representing net increases of $2,425 for water and $8,853 for wastewater. As part of the adjustment, auditors removed out of period expenses and pollution insurance, added the current cost of a general liability insurance policy, and made several reclassification adjustments. The </w:t>
      </w:r>
      <w:r w:rsidR="002D6F3D">
        <w:t>u</w:t>
      </w:r>
      <w:r w:rsidRPr="00A8147A">
        <w:t xml:space="preserve">tility only references the removal of the pollution insurance in its audit response. Staff notes that the auditors recommended the removal of the pollution insurance because Ni Florida was not included when the policy was renewed. In its response, the </w:t>
      </w:r>
      <w:r w:rsidR="002D6F3D">
        <w:t>u</w:t>
      </w:r>
      <w:r w:rsidRPr="00A8147A">
        <w:t xml:space="preserve">tility explained that it was inadvertently left off of the Ni Pacolet Milliken Utilities policy, but has since been added. The </w:t>
      </w:r>
      <w:r w:rsidR="002D6F3D">
        <w:t>u</w:t>
      </w:r>
      <w:r w:rsidRPr="00A8147A">
        <w:t>tility provided support documentation, including premium information, in response to Staff’s 4th Data Request, Question No. 5.</w:t>
      </w:r>
      <w:r w:rsidRPr="00A8147A">
        <w:rPr>
          <w:vertAlign w:val="superscript"/>
        </w:rPr>
        <w:footnoteReference w:id="10"/>
      </w:r>
      <w:r w:rsidRPr="00A8147A">
        <w:t xml:space="preserve"> The $6,000 premium associated with adding Ni Florida to the pollution insurance policy should be allocated to water and wastewater and included in O&amp;M. This results in an increase of $574 to Account 659 for water and $2,106 to Account 759 for wastewater. Staff believes that the following audit adjustments are also appropriate:</w:t>
      </w:r>
    </w:p>
    <w:p w:rsidR="00A8147A" w:rsidRPr="00A8147A" w:rsidRDefault="00A8147A" w:rsidP="00A8147A">
      <w:pPr>
        <w:autoSpaceDE w:val="0"/>
        <w:autoSpaceDN w:val="0"/>
        <w:adjustRightInd w:val="0"/>
        <w:jc w:val="both"/>
      </w:pPr>
    </w:p>
    <w:p w:rsidR="00A8147A" w:rsidRPr="00A8147A" w:rsidRDefault="00A8147A" w:rsidP="00A8147A">
      <w:pPr>
        <w:numPr>
          <w:ilvl w:val="0"/>
          <w:numId w:val="11"/>
        </w:numPr>
        <w:autoSpaceDE w:val="0"/>
        <w:autoSpaceDN w:val="0"/>
        <w:adjustRightInd w:val="0"/>
        <w:contextualSpacing/>
        <w:jc w:val="both"/>
      </w:pPr>
      <w:r w:rsidRPr="00A8147A">
        <w:t>Increase insurance-general liability by $3,111 and $12,001 for water and wastewater respectively, to reflect current renewal policy premiums.</w:t>
      </w:r>
    </w:p>
    <w:p w:rsidR="00A8147A" w:rsidRPr="00A8147A" w:rsidRDefault="00A8147A" w:rsidP="00A8147A">
      <w:pPr>
        <w:numPr>
          <w:ilvl w:val="0"/>
          <w:numId w:val="11"/>
        </w:numPr>
        <w:autoSpaceDE w:val="0"/>
        <w:autoSpaceDN w:val="0"/>
        <w:adjustRightInd w:val="0"/>
        <w:contextualSpacing/>
        <w:jc w:val="both"/>
      </w:pPr>
      <w:r w:rsidRPr="00A8147A">
        <w:t>Remove $126 from wastewater materials and supplies for out of period costs.</w:t>
      </w:r>
    </w:p>
    <w:p w:rsidR="00A8147A" w:rsidRPr="00A8147A" w:rsidRDefault="00A8147A" w:rsidP="00A8147A">
      <w:pPr>
        <w:numPr>
          <w:ilvl w:val="0"/>
          <w:numId w:val="11"/>
        </w:numPr>
        <w:autoSpaceDE w:val="0"/>
        <w:autoSpaceDN w:val="0"/>
        <w:adjustRightInd w:val="0"/>
        <w:contextualSpacing/>
        <w:jc w:val="both"/>
      </w:pPr>
      <w:r w:rsidRPr="00A8147A">
        <w:t>Remove $150 from contractual services-testing for out of period costs.</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As such, staff increased water and wastewater O&amp;M by $3,685 ($574 + $3,111) and $13,831 ($2,106 + 12,001 - $126 - $150), respectively, for Audit Finding 7.</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rPr>
          <w:rFonts w:ascii="Arial" w:hAnsi="Arial" w:cs="Arial"/>
          <w:b/>
        </w:rPr>
      </w:pPr>
      <w:r w:rsidRPr="00A8147A">
        <w:rPr>
          <w:rFonts w:ascii="Arial" w:hAnsi="Arial" w:cs="Arial"/>
          <w:b/>
        </w:rPr>
        <w:t>Audit Finding No. 8</w:t>
      </w:r>
    </w:p>
    <w:p w:rsidR="00A8147A" w:rsidRPr="00A8147A" w:rsidRDefault="00A8147A" w:rsidP="00A8147A">
      <w:pPr>
        <w:autoSpaceDE w:val="0"/>
        <w:autoSpaceDN w:val="0"/>
        <w:adjustRightInd w:val="0"/>
        <w:jc w:val="both"/>
      </w:pPr>
      <w:r w:rsidRPr="00A8147A">
        <w:t xml:space="preserve">Staff’s audit report reduced water related Regulatory Assessment Fees (RAF) by $835, and increased wastewater RAF fees by $582. Real estate and property taxes were also reduced by $1,572 for wastewater and an additional reduction of $388 was made to remove late fees. The only portion of the audit finding that the </w:t>
      </w:r>
      <w:r w:rsidR="002D6F3D">
        <w:t>u</w:t>
      </w:r>
      <w:r w:rsidRPr="00A8147A">
        <w:t xml:space="preserve">tility appears to </w:t>
      </w:r>
      <w:proofErr w:type="gramStart"/>
      <w:r w:rsidRPr="00A8147A">
        <w:t>disagree,</w:t>
      </w:r>
      <w:proofErr w:type="gramEnd"/>
      <w:r w:rsidRPr="00A8147A">
        <w:t xml:space="preserve"> is with the portion related to the Pasco County property tax discount for early payment. The </w:t>
      </w:r>
      <w:r w:rsidR="002D6F3D">
        <w:t>u</w:t>
      </w:r>
      <w:r w:rsidRPr="00A8147A">
        <w:t xml:space="preserve">tility indicated that the bill was paid two months in advance and that Ni Florida received a 2 percent discount. It is longstanding Commission practice to recognize the maximum discount, whether the </w:t>
      </w:r>
      <w:r w:rsidR="002D6F3D">
        <w:t>u</w:t>
      </w:r>
      <w:r w:rsidRPr="00A8147A">
        <w:t xml:space="preserve">tility receives the discount or not. As such, staff agrees with the auditors that the property tax expense should reflect the maximum discount available. The maximum discount available was on November 30, 2015 and property taxes should be reduced by $1,572. The </w:t>
      </w:r>
      <w:r w:rsidR="002D6F3D">
        <w:t>u</w:t>
      </w:r>
      <w:r w:rsidRPr="00A8147A">
        <w:t>tility did not specifically address the RAF adjustment or the removal of the late fees. As such, staff reduced RAFs for water by $835 and reduced the amount for wastewater by $1,378 ($582 - $1,572 - $388).</w:t>
      </w:r>
    </w:p>
    <w:p w:rsidR="00A8147A" w:rsidRPr="00A8147A" w:rsidRDefault="00A8147A" w:rsidP="00A8147A">
      <w:pPr>
        <w:autoSpaceDE w:val="0"/>
        <w:autoSpaceDN w:val="0"/>
        <w:adjustRightInd w:val="0"/>
        <w:jc w:val="both"/>
      </w:pPr>
    </w:p>
    <w:p w:rsidR="00A8147A" w:rsidRPr="00A8147A" w:rsidRDefault="00A8147A" w:rsidP="00A8147A">
      <w:pPr>
        <w:jc w:val="both"/>
      </w:pPr>
      <w:r w:rsidRPr="00A8147A">
        <w:t>Based on the audit adjustments discussed above, staff recommends that the adjustments set forth in Table 3-2 be made.</w:t>
      </w:r>
    </w:p>
    <w:p w:rsidR="00A8147A" w:rsidRPr="00A8147A" w:rsidRDefault="00A8147A" w:rsidP="00A8147A">
      <w:pPr>
        <w:rPr>
          <w:rFonts w:ascii="Arial" w:hAnsi="Arial" w:cs="Arial"/>
          <w:b/>
        </w:rPr>
      </w:pPr>
    </w:p>
    <w:p w:rsidR="00A8147A" w:rsidRPr="00A8147A" w:rsidRDefault="00A8147A" w:rsidP="00A8147A">
      <w:pPr>
        <w:rPr>
          <w:rFonts w:ascii="Arial" w:hAnsi="Arial" w:cs="Arial"/>
          <w:b/>
        </w:rPr>
      </w:pPr>
    </w:p>
    <w:p w:rsidR="00A8147A" w:rsidRDefault="00A8147A">
      <w:pPr>
        <w:rPr>
          <w:rFonts w:ascii="Arial" w:hAnsi="Arial" w:cs="Arial"/>
          <w:b/>
        </w:rPr>
      </w:pPr>
      <w:r>
        <w:rPr>
          <w:rFonts w:ascii="Arial" w:hAnsi="Arial" w:cs="Arial"/>
          <w:b/>
        </w:rPr>
        <w:br w:type="page"/>
      </w:r>
    </w:p>
    <w:p w:rsidR="00A8147A" w:rsidRPr="00A8147A" w:rsidRDefault="00A8147A" w:rsidP="00A8147A">
      <w:pPr>
        <w:jc w:val="center"/>
        <w:rPr>
          <w:rFonts w:ascii="Arial" w:hAnsi="Arial" w:cs="Arial"/>
          <w:b/>
        </w:rPr>
      </w:pPr>
      <w:r w:rsidRPr="00A8147A">
        <w:rPr>
          <w:rFonts w:ascii="Arial" w:hAnsi="Arial" w:cs="Arial"/>
          <w:b/>
        </w:rPr>
        <w:lastRenderedPageBreak/>
        <w:t>Table 3-2</w:t>
      </w:r>
    </w:p>
    <w:p w:rsidR="00A8147A" w:rsidRPr="00A8147A" w:rsidRDefault="00A8147A" w:rsidP="00A8147A">
      <w:pPr>
        <w:autoSpaceDE w:val="0"/>
        <w:autoSpaceDN w:val="0"/>
        <w:adjustRightInd w:val="0"/>
        <w:jc w:val="center"/>
        <w:rPr>
          <w:rFonts w:ascii="Arial" w:hAnsi="Arial" w:cs="Arial"/>
          <w:b/>
        </w:rPr>
      </w:pPr>
      <w:r w:rsidRPr="00A8147A">
        <w:rPr>
          <w:rFonts w:ascii="Arial" w:hAnsi="Arial" w:cs="Arial"/>
          <w:b/>
        </w:rPr>
        <w:t>Recommended Contested Audit Adjustments</w:t>
      </w:r>
    </w:p>
    <w:tbl>
      <w:tblPr>
        <w:tblStyle w:val="TableGrid2"/>
        <w:tblW w:w="0" w:type="auto"/>
        <w:jc w:val="center"/>
        <w:tblInd w:w="1188" w:type="dxa"/>
        <w:tblLook w:val="04A0" w:firstRow="1" w:lastRow="0" w:firstColumn="1" w:lastColumn="0" w:noHBand="0" w:noVBand="1"/>
      </w:tblPr>
      <w:tblGrid>
        <w:gridCol w:w="4559"/>
        <w:gridCol w:w="1167"/>
        <w:gridCol w:w="1455"/>
      </w:tblGrid>
      <w:tr w:rsidR="00A8147A" w:rsidRPr="00A8147A" w:rsidTr="00A8147A">
        <w:trPr>
          <w:jc w:val="center"/>
        </w:trPr>
        <w:tc>
          <w:tcPr>
            <w:tcW w:w="4559" w:type="dxa"/>
          </w:tcPr>
          <w:p w:rsidR="00A8147A" w:rsidRPr="00A8147A" w:rsidRDefault="00A8147A" w:rsidP="00A8147A">
            <w:pPr>
              <w:jc w:val="center"/>
              <w:rPr>
                <w:b/>
              </w:rPr>
            </w:pPr>
            <w:r w:rsidRPr="00A8147A">
              <w:rPr>
                <w:b/>
              </w:rPr>
              <w:t>Audit Finding</w:t>
            </w:r>
          </w:p>
        </w:tc>
        <w:tc>
          <w:tcPr>
            <w:tcW w:w="1167" w:type="dxa"/>
          </w:tcPr>
          <w:p w:rsidR="00A8147A" w:rsidRPr="00A8147A" w:rsidRDefault="00A8147A" w:rsidP="00A8147A">
            <w:pPr>
              <w:jc w:val="center"/>
              <w:rPr>
                <w:b/>
              </w:rPr>
            </w:pPr>
            <w:r w:rsidRPr="00A8147A">
              <w:rPr>
                <w:b/>
              </w:rPr>
              <w:t>Water</w:t>
            </w:r>
          </w:p>
        </w:tc>
        <w:tc>
          <w:tcPr>
            <w:tcW w:w="1455" w:type="dxa"/>
          </w:tcPr>
          <w:p w:rsidR="00A8147A" w:rsidRPr="00A8147A" w:rsidRDefault="00A8147A" w:rsidP="00A8147A">
            <w:pPr>
              <w:jc w:val="center"/>
              <w:rPr>
                <w:b/>
              </w:rPr>
            </w:pPr>
            <w:r w:rsidRPr="00A8147A">
              <w:rPr>
                <w:b/>
              </w:rPr>
              <w:t>Wastewater</w:t>
            </w:r>
          </w:p>
        </w:tc>
      </w:tr>
      <w:tr w:rsidR="00A8147A" w:rsidRPr="00A8147A" w:rsidTr="00A8147A">
        <w:trPr>
          <w:jc w:val="center"/>
        </w:trPr>
        <w:tc>
          <w:tcPr>
            <w:tcW w:w="4559" w:type="dxa"/>
          </w:tcPr>
          <w:p w:rsidR="00A8147A" w:rsidRPr="00A8147A" w:rsidRDefault="00A8147A" w:rsidP="00A8147A">
            <w:r w:rsidRPr="00A8147A">
              <w:t>Affiliate Audit Finding No. 1</w:t>
            </w:r>
          </w:p>
        </w:tc>
        <w:tc>
          <w:tcPr>
            <w:tcW w:w="1167" w:type="dxa"/>
          </w:tcPr>
          <w:p w:rsidR="00A8147A" w:rsidRPr="00A8147A" w:rsidRDefault="00A8147A" w:rsidP="00A8147A">
            <w:pPr>
              <w:jc w:val="right"/>
            </w:pPr>
            <w:r w:rsidRPr="00A8147A">
              <w:t>($876)</w:t>
            </w:r>
          </w:p>
        </w:tc>
        <w:tc>
          <w:tcPr>
            <w:tcW w:w="1455" w:type="dxa"/>
          </w:tcPr>
          <w:p w:rsidR="00A8147A" w:rsidRPr="00A8147A" w:rsidRDefault="00A8147A" w:rsidP="00A8147A">
            <w:pPr>
              <w:jc w:val="right"/>
            </w:pPr>
            <w:r w:rsidRPr="00A8147A">
              <w:t>($3,362)</w:t>
            </w:r>
          </w:p>
        </w:tc>
      </w:tr>
      <w:tr w:rsidR="00A8147A" w:rsidRPr="00A8147A" w:rsidTr="00A8147A">
        <w:trPr>
          <w:jc w:val="center"/>
        </w:trPr>
        <w:tc>
          <w:tcPr>
            <w:tcW w:w="4559" w:type="dxa"/>
          </w:tcPr>
          <w:p w:rsidR="00A8147A" w:rsidRPr="00A8147A" w:rsidRDefault="00A8147A" w:rsidP="00A8147A">
            <w:r w:rsidRPr="00A8147A">
              <w:t>Affiliate Audit Finding No. 2</w:t>
            </w:r>
          </w:p>
        </w:tc>
        <w:tc>
          <w:tcPr>
            <w:tcW w:w="1167" w:type="dxa"/>
          </w:tcPr>
          <w:p w:rsidR="00A8147A" w:rsidRPr="00A8147A" w:rsidRDefault="00A8147A" w:rsidP="00A8147A">
            <w:pPr>
              <w:jc w:val="right"/>
            </w:pPr>
            <w:r w:rsidRPr="00A8147A">
              <w:t>(13,086)</w:t>
            </w:r>
          </w:p>
        </w:tc>
        <w:tc>
          <w:tcPr>
            <w:tcW w:w="1455" w:type="dxa"/>
          </w:tcPr>
          <w:p w:rsidR="00A8147A" w:rsidRPr="00A8147A" w:rsidRDefault="00A8147A" w:rsidP="00A8147A">
            <w:pPr>
              <w:jc w:val="right"/>
            </w:pPr>
            <w:r w:rsidRPr="00A8147A">
              <w:t>(50,211)</w:t>
            </w:r>
          </w:p>
        </w:tc>
      </w:tr>
      <w:tr w:rsidR="00A8147A" w:rsidRPr="00A8147A" w:rsidTr="00A8147A">
        <w:trPr>
          <w:jc w:val="center"/>
        </w:trPr>
        <w:tc>
          <w:tcPr>
            <w:tcW w:w="4559" w:type="dxa"/>
          </w:tcPr>
          <w:p w:rsidR="00A8147A" w:rsidRPr="00A8147A" w:rsidRDefault="00A8147A" w:rsidP="00A8147A">
            <w:r w:rsidRPr="00A8147A">
              <w:t>Affiliate Audit Finding No. 3</w:t>
            </w:r>
          </w:p>
        </w:tc>
        <w:tc>
          <w:tcPr>
            <w:tcW w:w="1167" w:type="dxa"/>
          </w:tcPr>
          <w:p w:rsidR="00A8147A" w:rsidRPr="00A8147A" w:rsidRDefault="00A8147A" w:rsidP="00A8147A">
            <w:pPr>
              <w:jc w:val="right"/>
            </w:pPr>
            <w:r w:rsidRPr="00A8147A">
              <w:t>0</w:t>
            </w:r>
          </w:p>
        </w:tc>
        <w:tc>
          <w:tcPr>
            <w:tcW w:w="1455" w:type="dxa"/>
          </w:tcPr>
          <w:p w:rsidR="00A8147A" w:rsidRPr="00A8147A" w:rsidRDefault="00A8147A" w:rsidP="00A8147A">
            <w:pPr>
              <w:jc w:val="right"/>
            </w:pPr>
            <w:r w:rsidRPr="00A8147A">
              <w:t>0</w:t>
            </w:r>
          </w:p>
        </w:tc>
      </w:tr>
      <w:tr w:rsidR="00A8147A" w:rsidRPr="00A8147A" w:rsidTr="00A8147A">
        <w:trPr>
          <w:jc w:val="center"/>
        </w:trPr>
        <w:tc>
          <w:tcPr>
            <w:tcW w:w="4559" w:type="dxa"/>
          </w:tcPr>
          <w:p w:rsidR="00A8147A" w:rsidRPr="00A8147A" w:rsidRDefault="00A8147A" w:rsidP="00A8147A">
            <w:r w:rsidRPr="00A8147A">
              <w:t>Audit Finding No. 1</w:t>
            </w:r>
          </w:p>
        </w:tc>
        <w:tc>
          <w:tcPr>
            <w:tcW w:w="1167" w:type="dxa"/>
          </w:tcPr>
          <w:p w:rsidR="00A8147A" w:rsidRPr="00A8147A" w:rsidRDefault="00A8147A" w:rsidP="00A8147A">
            <w:pPr>
              <w:jc w:val="right"/>
            </w:pPr>
            <w:r w:rsidRPr="00A8147A">
              <w:t>0</w:t>
            </w:r>
          </w:p>
        </w:tc>
        <w:tc>
          <w:tcPr>
            <w:tcW w:w="1455" w:type="dxa"/>
          </w:tcPr>
          <w:p w:rsidR="00A8147A" w:rsidRPr="00A8147A" w:rsidRDefault="00A8147A" w:rsidP="00A8147A">
            <w:pPr>
              <w:jc w:val="right"/>
            </w:pPr>
            <w:r w:rsidRPr="00A8147A">
              <w:t>0</w:t>
            </w:r>
          </w:p>
        </w:tc>
      </w:tr>
      <w:tr w:rsidR="00A8147A" w:rsidRPr="00A8147A" w:rsidTr="00A8147A">
        <w:trPr>
          <w:jc w:val="center"/>
        </w:trPr>
        <w:tc>
          <w:tcPr>
            <w:tcW w:w="4559" w:type="dxa"/>
          </w:tcPr>
          <w:p w:rsidR="00A8147A" w:rsidRPr="00A8147A" w:rsidRDefault="00A8147A" w:rsidP="00A8147A">
            <w:r w:rsidRPr="00A8147A">
              <w:t>Audit Finding No. 7</w:t>
            </w:r>
          </w:p>
        </w:tc>
        <w:tc>
          <w:tcPr>
            <w:tcW w:w="1167" w:type="dxa"/>
          </w:tcPr>
          <w:p w:rsidR="00A8147A" w:rsidRPr="00F54A49" w:rsidRDefault="00A8147A" w:rsidP="00A8147A">
            <w:pPr>
              <w:jc w:val="right"/>
              <w:rPr>
                <w:u w:val="single"/>
              </w:rPr>
            </w:pPr>
            <w:r w:rsidRPr="00F54A49">
              <w:rPr>
                <w:u w:val="single"/>
              </w:rPr>
              <w:t>3,685</w:t>
            </w:r>
          </w:p>
        </w:tc>
        <w:tc>
          <w:tcPr>
            <w:tcW w:w="1455" w:type="dxa"/>
          </w:tcPr>
          <w:p w:rsidR="00A8147A" w:rsidRPr="00F54A49" w:rsidRDefault="00A8147A" w:rsidP="00A8147A">
            <w:pPr>
              <w:jc w:val="right"/>
              <w:rPr>
                <w:u w:val="single"/>
              </w:rPr>
            </w:pPr>
            <w:r w:rsidRPr="00F54A49">
              <w:rPr>
                <w:u w:val="single"/>
              </w:rPr>
              <w:t>13,831</w:t>
            </w:r>
          </w:p>
        </w:tc>
      </w:tr>
      <w:tr w:rsidR="00A8147A" w:rsidRPr="00A8147A" w:rsidTr="00A8147A">
        <w:trPr>
          <w:trHeight w:val="332"/>
          <w:jc w:val="center"/>
        </w:trPr>
        <w:tc>
          <w:tcPr>
            <w:tcW w:w="4559" w:type="dxa"/>
            <w:vAlign w:val="center"/>
          </w:tcPr>
          <w:p w:rsidR="00A8147A" w:rsidRPr="00A8147A" w:rsidRDefault="00A8147A" w:rsidP="00A8147A">
            <w:pPr>
              <w:rPr>
                <w:b/>
              </w:rPr>
            </w:pPr>
            <w:r w:rsidRPr="00A8147A">
              <w:rPr>
                <w:b/>
              </w:rPr>
              <w:t xml:space="preserve">   Total O&amp;M</w:t>
            </w:r>
          </w:p>
        </w:tc>
        <w:tc>
          <w:tcPr>
            <w:tcW w:w="1167" w:type="dxa"/>
            <w:vAlign w:val="center"/>
          </w:tcPr>
          <w:p w:rsidR="00A8147A" w:rsidRPr="00860887" w:rsidRDefault="00A8147A" w:rsidP="00A8147A">
            <w:pPr>
              <w:jc w:val="right"/>
            </w:pPr>
            <w:r w:rsidRPr="001C77F9">
              <w:rPr>
                <w:u w:val="double"/>
              </w:rPr>
              <w:t>($10,277</w:t>
            </w:r>
            <w:r w:rsidRPr="00860887">
              <w:t>)</w:t>
            </w:r>
          </w:p>
        </w:tc>
        <w:tc>
          <w:tcPr>
            <w:tcW w:w="1455" w:type="dxa"/>
            <w:vAlign w:val="center"/>
          </w:tcPr>
          <w:p w:rsidR="00A8147A" w:rsidRPr="001C77F9" w:rsidRDefault="00A8147A" w:rsidP="00A8147A">
            <w:pPr>
              <w:jc w:val="right"/>
              <w:rPr>
                <w:u w:val="double"/>
              </w:rPr>
            </w:pPr>
            <w:r w:rsidRPr="001C77F9">
              <w:rPr>
                <w:u w:val="double"/>
              </w:rPr>
              <w:t>($39,742)</w:t>
            </w:r>
          </w:p>
        </w:tc>
      </w:tr>
      <w:tr w:rsidR="00A8147A" w:rsidRPr="00A8147A" w:rsidTr="00A8147A">
        <w:trPr>
          <w:jc w:val="center"/>
        </w:trPr>
        <w:tc>
          <w:tcPr>
            <w:tcW w:w="4559" w:type="dxa"/>
          </w:tcPr>
          <w:p w:rsidR="00A8147A" w:rsidRPr="00A8147A" w:rsidRDefault="00A8147A" w:rsidP="00A8147A">
            <w:r w:rsidRPr="00A8147A">
              <w:t>Audit Finding No. 8</w:t>
            </w:r>
          </w:p>
        </w:tc>
        <w:tc>
          <w:tcPr>
            <w:tcW w:w="1167" w:type="dxa"/>
          </w:tcPr>
          <w:p w:rsidR="00A8147A" w:rsidRPr="00F54A49" w:rsidRDefault="00A8147A" w:rsidP="00A8147A">
            <w:pPr>
              <w:jc w:val="right"/>
              <w:rPr>
                <w:u w:val="single"/>
              </w:rPr>
            </w:pPr>
            <w:r w:rsidRPr="00F54A49">
              <w:rPr>
                <w:u w:val="single"/>
              </w:rPr>
              <w:t>($835)</w:t>
            </w:r>
          </w:p>
        </w:tc>
        <w:tc>
          <w:tcPr>
            <w:tcW w:w="1455" w:type="dxa"/>
          </w:tcPr>
          <w:p w:rsidR="00A8147A" w:rsidRPr="001C77F9" w:rsidRDefault="00A8147A" w:rsidP="00A8147A">
            <w:pPr>
              <w:jc w:val="right"/>
              <w:rPr>
                <w:u w:val="single"/>
              </w:rPr>
            </w:pPr>
            <w:r w:rsidRPr="001C77F9">
              <w:rPr>
                <w:u w:val="single"/>
              </w:rPr>
              <w:t>($1,378)</w:t>
            </w:r>
          </w:p>
        </w:tc>
      </w:tr>
      <w:tr w:rsidR="00A8147A" w:rsidRPr="00A8147A" w:rsidTr="00A8147A">
        <w:trPr>
          <w:trHeight w:val="341"/>
          <w:jc w:val="center"/>
        </w:trPr>
        <w:tc>
          <w:tcPr>
            <w:tcW w:w="4559" w:type="dxa"/>
            <w:vAlign w:val="center"/>
          </w:tcPr>
          <w:p w:rsidR="00A8147A" w:rsidRPr="00A8147A" w:rsidRDefault="00A8147A" w:rsidP="00A8147A">
            <w:pPr>
              <w:rPr>
                <w:b/>
              </w:rPr>
            </w:pPr>
            <w:r w:rsidRPr="00A8147A">
              <w:rPr>
                <w:b/>
              </w:rPr>
              <w:t xml:space="preserve">   Total TOTI</w:t>
            </w:r>
          </w:p>
        </w:tc>
        <w:tc>
          <w:tcPr>
            <w:tcW w:w="1167" w:type="dxa"/>
            <w:vAlign w:val="center"/>
          </w:tcPr>
          <w:p w:rsidR="00A8147A" w:rsidRPr="001C77F9" w:rsidRDefault="00A8147A" w:rsidP="00A8147A">
            <w:pPr>
              <w:jc w:val="right"/>
              <w:rPr>
                <w:u w:val="double"/>
              </w:rPr>
            </w:pPr>
            <w:r w:rsidRPr="001C77F9">
              <w:rPr>
                <w:u w:val="double"/>
              </w:rPr>
              <w:t>($835)</w:t>
            </w:r>
          </w:p>
        </w:tc>
        <w:tc>
          <w:tcPr>
            <w:tcW w:w="1455" w:type="dxa"/>
            <w:vAlign w:val="center"/>
          </w:tcPr>
          <w:p w:rsidR="00A8147A" w:rsidRPr="001C77F9" w:rsidRDefault="00A8147A" w:rsidP="00A8147A">
            <w:pPr>
              <w:jc w:val="right"/>
              <w:rPr>
                <w:u w:val="double"/>
              </w:rPr>
            </w:pPr>
            <w:r w:rsidRPr="001C77F9">
              <w:rPr>
                <w:u w:val="double"/>
              </w:rPr>
              <w:t>($1,378)</w:t>
            </w:r>
          </w:p>
        </w:tc>
      </w:tr>
    </w:tbl>
    <w:p w:rsidR="00A8147A" w:rsidRPr="00A8147A" w:rsidRDefault="00A8147A" w:rsidP="00A8147A"/>
    <w:p w:rsidR="00C00171" w:rsidRPr="00C00171" w:rsidRDefault="00A8147A" w:rsidP="00A8147A">
      <w:pPr>
        <w:autoSpaceDE w:val="0"/>
        <w:autoSpaceDN w:val="0"/>
        <w:adjustRightInd w:val="0"/>
        <w:jc w:val="both"/>
        <w:rPr>
          <w:rFonts w:eastAsiaTheme="minorHAnsi"/>
        </w:rPr>
      </w:pPr>
      <w:r w:rsidRPr="00A8147A">
        <w:t>Additional O&amp;M adjustments are addressed in Issue 12.</w:t>
      </w:r>
    </w:p>
    <w:p w:rsidR="007C67B6" w:rsidRPr="00C00171" w:rsidRDefault="007C67B6">
      <w:pPr>
        <w:pStyle w:val="BodyText"/>
      </w:pPr>
    </w:p>
    <w:p w:rsidR="00E0693A" w:rsidRDefault="00E0693A">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4</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464661201"/>
      <w:r w:rsidR="007F50C0">
        <w:rPr>
          <w:noProof/>
        </w:rPr>
        <w:instrText>4</w:instrText>
      </w:r>
      <w:r>
        <w:fldChar w:fldCharType="end"/>
      </w:r>
      <w:r>
        <w:tab/>
      </w:r>
      <w:r w:rsidR="008F36C4">
        <w:instrText>Pro Forma Plant Additions</w:instrText>
      </w:r>
      <w:bookmarkEnd w:id="20"/>
      <w:r>
        <w:instrText xml:space="preserve">" \l 1 </w:instrText>
      </w:r>
      <w:r>
        <w:fldChar w:fldCharType="end"/>
      </w:r>
      <w:r>
        <w:t> </w:t>
      </w:r>
    </w:p>
    <w:p w:rsidR="00E0693A" w:rsidRDefault="00E0693A">
      <w:pPr>
        <w:pStyle w:val="BodyText"/>
      </w:pPr>
      <w:r>
        <w:t xml:space="preserve"> Should </w:t>
      </w:r>
      <w:r w:rsidR="007C67B6">
        <w:t xml:space="preserve">any </w:t>
      </w:r>
      <w:r>
        <w:t>adjustments be made to the utility's pro forma plant additions</w:t>
      </w:r>
      <w:r w:rsidR="007C67B6">
        <w:t xml:space="preserve"> and associated expenses?</w:t>
      </w:r>
    </w:p>
    <w:p w:rsidR="00E0693A" w:rsidRPr="004C3641" w:rsidRDefault="00E0693A">
      <w:pPr>
        <w:pStyle w:val="IssueSubsectionHeading"/>
        <w:rPr>
          <w:vanish/>
          <w:specVanish/>
        </w:rPr>
      </w:pPr>
      <w:r w:rsidRPr="004C3641">
        <w:t>Recommendation: </w:t>
      </w:r>
    </w:p>
    <w:p w:rsidR="00E0693A" w:rsidRDefault="00E0693A">
      <w:pPr>
        <w:pStyle w:val="BodyText"/>
      </w:pPr>
      <w:r>
        <w:t> </w:t>
      </w:r>
      <w:r w:rsidR="00A8147A" w:rsidRPr="00A8147A">
        <w:t xml:space="preserve">Yes. The appropriate amount of pro forma plant additions net of retirements is $299,194 for wastewater. Ni Florida’s wastewater pro forma plant should be increased by $32,306, accumulated depreciation reduced by $44,844, depreciation expense reduced by $735, and property taxes increased by $10,037. In addition, accumulated deferred income taxes (ADITs) should be reduced by $596. </w:t>
      </w:r>
      <w:r w:rsidR="00797DAB">
        <w:t xml:space="preserve"> </w:t>
      </w:r>
      <w:r>
        <w:t xml:space="preserve"> (</w:t>
      </w:r>
      <w:r w:rsidR="002234BC">
        <w:t xml:space="preserve">Hill, </w:t>
      </w:r>
      <w:r>
        <w:t>Brown)</w:t>
      </w:r>
    </w:p>
    <w:p w:rsidR="00E0693A" w:rsidRPr="004C3641" w:rsidRDefault="00E0693A">
      <w:pPr>
        <w:pStyle w:val="IssueSubsectionHeading"/>
        <w:rPr>
          <w:vanish/>
          <w:specVanish/>
        </w:rPr>
      </w:pPr>
      <w:r w:rsidRPr="004C3641">
        <w:t>Staff Analysis: </w:t>
      </w:r>
    </w:p>
    <w:p w:rsidR="00A8147A" w:rsidRPr="00A8147A" w:rsidRDefault="00E0693A" w:rsidP="00A8147A">
      <w:pPr>
        <w:pStyle w:val="BodyText"/>
        <w:rPr>
          <w:color w:val="000000"/>
        </w:rPr>
      </w:pPr>
      <w:r>
        <w:t> </w:t>
      </w:r>
      <w:r w:rsidR="00A8147A" w:rsidRPr="00A8147A">
        <w:rPr>
          <w:color w:val="000000"/>
        </w:rPr>
        <w:t>In its MFRs, Ni Florida reflected two pro forma wastewater additions totaling $266,889, net of retirements. The following table provides a breakdown of each pro forma plant addition.</w:t>
      </w:r>
      <w:r w:rsidR="00A8147A" w:rsidRPr="00A8147A">
        <w:rPr>
          <w:color w:val="000000"/>
        </w:rPr>
        <w:br/>
      </w:r>
    </w:p>
    <w:p w:rsidR="00A8147A" w:rsidRPr="00A8147A" w:rsidRDefault="00A8147A" w:rsidP="00A8147A">
      <w:pPr>
        <w:autoSpaceDE w:val="0"/>
        <w:autoSpaceDN w:val="0"/>
        <w:adjustRightInd w:val="0"/>
        <w:jc w:val="center"/>
        <w:rPr>
          <w:rFonts w:ascii="Arial" w:hAnsi="Arial" w:cs="Arial"/>
          <w:b/>
        </w:rPr>
      </w:pPr>
      <w:r w:rsidRPr="00A8147A">
        <w:rPr>
          <w:rFonts w:ascii="Arial" w:hAnsi="Arial" w:cs="Arial"/>
          <w:b/>
        </w:rPr>
        <w:t>Table 4-1</w:t>
      </w:r>
      <w:r w:rsidRPr="00A8147A">
        <w:rPr>
          <w:rFonts w:ascii="Arial" w:hAnsi="Arial" w:cs="Arial"/>
          <w:b/>
        </w:rPr>
        <w:br/>
        <w:t>Ni Florida’s Pro Forma Projects</w:t>
      </w:r>
    </w:p>
    <w:tbl>
      <w:tblPr>
        <w:tblW w:w="6995" w:type="dxa"/>
        <w:jc w:val="center"/>
        <w:tblInd w:w="1192" w:type="dxa"/>
        <w:tblLook w:val="04A0" w:firstRow="1" w:lastRow="0" w:firstColumn="1" w:lastColumn="0" w:noHBand="0" w:noVBand="1"/>
      </w:tblPr>
      <w:tblGrid>
        <w:gridCol w:w="5740"/>
        <w:gridCol w:w="1443"/>
      </w:tblGrid>
      <w:tr w:rsidR="00A8147A" w:rsidRPr="00860887" w:rsidTr="00A8147A">
        <w:trPr>
          <w:trHeight w:val="300"/>
          <w:jc w:val="center"/>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47A" w:rsidRPr="00860887" w:rsidRDefault="00A8147A" w:rsidP="00A8147A">
            <w:pPr>
              <w:jc w:val="center"/>
              <w:rPr>
                <w:b/>
                <w:color w:val="000000"/>
              </w:rPr>
            </w:pPr>
            <w:r w:rsidRPr="00860887">
              <w:rPr>
                <w:b/>
                <w:color w:val="000000"/>
              </w:rPr>
              <w:t>Pro Forma Projects</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A8147A" w:rsidRPr="00860887" w:rsidRDefault="00A8147A" w:rsidP="00A8147A">
            <w:pPr>
              <w:jc w:val="center"/>
              <w:rPr>
                <w:b/>
                <w:color w:val="000000"/>
              </w:rPr>
            </w:pPr>
            <w:r w:rsidRPr="00860887">
              <w:rPr>
                <w:b/>
                <w:color w:val="000000"/>
              </w:rPr>
              <w:t>Wastewater</w:t>
            </w:r>
          </w:p>
        </w:tc>
      </w:tr>
      <w:tr w:rsidR="00A8147A" w:rsidRPr="00860887" w:rsidTr="00A8147A">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A8147A" w:rsidRPr="00860887" w:rsidRDefault="00A8147A" w:rsidP="00A8147A">
            <w:pPr>
              <w:rPr>
                <w:color w:val="000000"/>
              </w:rPr>
            </w:pPr>
            <w:r w:rsidRPr="00860887">
              <w:rPr>
                <w:color w:val="000000"/>
              </w:rPr>
              <w:t>Tower Dr. Collection System Replacement Project</w:t>
            </w:r>
          </w:p>
        </w:tc>
        <w:tc>
          <w:tcPr>
            <w:tcW w:w="1255" w:type="dxa"/>
            <w:tcBorders>
              <w:top w:val="nil"/>
              <w:left w:val="nil"/>
              <w:bottom w:val="single" w:sz="4" w:space="0" w:color="auto"/>
              <w:right w:val="single" w:sz="4" w:space="0" w:color="auto"/>
            </w:tcBorders>
            <w:shd w:val="clear" w:color="auto" w:fill="auto"/>
            <w:noWrap/>
            <w:vAlign w:val="center"/>
            <w:hideMark/>
          </w:tcPr>
          <w:p w:rsidR="00A8147A" w:rsidRPr="00860887" w:rsidRDefault="00A8147A" w:rsidP="00A8147A">
            <w:pPr>
              <w:jc w:val="right"/>
              <w:rPr>
                <w:color w:val="000000"/>
              </w:rPr>
            </w:pPr>
            <w:r w:rsidRPr="00860887">
              <w:rPr>
                <w:color w:val="000000"/>
              </w:rPr>
              <w:t>$729,262</w:t>
            </w:r>
          </w:p>
        </w:tc>
      </w:tr>
      <w:tr w:rsidR="00A8147A" w:rsidRPr="00860887" w:rsidTr="00A8147A">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A8147A" w:rsidRPr="00860887" w:rsidRDefault="00A8147A" w:rsidP="00A8147A">
            <w:pPr>
              <w:rPr>
                <w:color w:val="000000"/>
              </w:rPr>
            </w:pPr>
            <w:r w:rsidRPr="00860887">
              <w:rPr>
                <w:color w:val="000000"/>
              </w:rPr>
              <w:t>Retirement for Tower Dr. Replacement Project</w:t>
            </w:r>
          </w:p>
        </w:tc>
        <w:tc>
          <w:tcPr>
            <w:tcW w:w="1255" w:type="dxa"/>
            <w:tcBorders>
              <w:top w:val="nil"/>
              <w:left w:val="nil"/>
              <w:bottom w:val="single" w:sz="4" w:space="0" w:color="auto"/>
              <w:right w:val="single" w:sz="4" w:space="0" w:color="auto"/>
            </w:tcBorders>
            <w:shd w:val="clear" w:color="auto" w:fill="auto"/>
            <w:noWrap/>
            <w:vAlign w:val="center"/>
            <w:hideMark/>
          </w:tcPr>
          <w:p w:rsidR="00A8147A" w:rsidRPr="00860887" w:rsidRDefault="00A8147A" w:rsidP="00A8147A">
            <w:pPr>
              <w:jc w:val="right"/>
            </w:pPr>
            <w:r w:rsidRPr="00860887">
              <w:t>(545,254)</w:t>
            </w:r>
          </w:p>
        </w:tc>
      </w:tr>
      <w:tr w:rsidR="00A8147A" w:rsidRPr="00860887" w:rsidTr="00A8147A">
        <w:trPr>
          <w:trHeight w:val="30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A8147A" w:rsidRPr="00860887" w:rsidRDefault="00A8147A" w:rsidP="00A8147A">
            <w:pPr>
              <w:rPr>
                <w:color w:val="000000"/>
              </w:rPr>
            </w:pPr>
            <w:r w:rsidRPr="00860887">
              <w:rPr>
                <w:color w:val="000000"/>
              </w:rPr>
              <w:t>ROPES – Rhodes Rd. Project (New Service)</w:t>
            </w:r>
          </w:p>
        </w:tc>
        <w:tc>
          <w:tcPr>
            <w:tcW w:w="1255"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u w:val="single"/>
              </w:rPr>
            </w:pPr>
            <w:r w:rsidRPr="001C77F9">
              <w:rPr>
                <w:u w:val="single"/>
              </w:rPr>
              <w:t xml:space="preserve">82,880 </w:t>
            </w:r>
          </w:p>
        </w:tc>
      </w:tr>
      <w:tr w:rsidR="00A8147A" w:rsidRPr="00A8147A" w:rsidTr="00A8147A">
        <w:trPr>
          <w:trHeight w:val="350"/>
          <w:jc w:val="center"/>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A8147A" w:rsidRPr="00860887" w:rsidRDefault="00A8147A" w:rsidP="00A8147A">
            <w:pPr>
              <w:rPr>
                <w:color w:val="000000"/>
              </w:rPr>
            </w:pPr>
            <w:r w:rsidRPr="00860887">
              <w:rPr>
                <w:color w:val="000000"/>
              </w:rPr>
              <w:t>Net Addition</w:t>
            </w:r>
          </w:p>
        </w:tc>
        <w:tc>
          <w:tcPr>
            <w:tcW w:w="1255"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u w:val="double"/>
              </w:rPr>
            </w:pPr>
            <w:r w:rsidRPr="001C77F9">
              <w:rPr>
                <w:u w:val="double"/>
              </w:rPr>
              <w:t xml:space="preserve">$266,888 </w:t>
            </w:r>
          </w:p>
        </w:tc>
      </w:tr>
    </w:tbl>
    <w:p w:rsidR="00A8147A" w:rsidRPr="00A8147A" w:rsidRDefault="00A8147A" w:rsidP="00A8147A">
      <w:pPr>
        <w:jc w:val="both"/>
        <w:rPr>
          <w:color w:val="000000"/>
        </w:rPr>
      </w:pPr>
      <w:r w:rsidRPr="00A8147A">
        <w:rPr>
          <w:color w:val="000000"/>
        </w:rPr>
        <w:t xml:space="preserve">  </w:t>
      </w:r>
      <w:r w:rsidRPr="00A8147A">
        <w:rPr>
          <w:color w:val="000000"/>
        </w:rPr>
        <w:tab/>
        <w:t xml:space="preserve">      Source: MFR Schedule No. A-3</w:t>
      </w:r>
    </w:p>
    <w:p w:rsidR="00A8147A" w:rsidRPr="00A8147A" w:rsidRDefault="00A8147A" w:rsidP="00A8147A">
      <w:pPr>
        <w:jc w:val="both"/>
        <w:rPr>
          <w:color w:val="000000"/>
        </w:rPr>
      </w:pPr>
    </w:p>
    <w:p w:rsidR="00A8147A" w:rsidRPr="00A8147A" w:rsidRDefault="00A8147A" w:rsidP="00A8147A">
      <w:pPr>
        <w:rPr>
          <w:rFonts w:ascii="Arial" w:hAnsi="Arial" w:cs="Arial"/>
          <w:b/>
        </w:rPr>
      </w:pPr>
      <w:r w:rsidRPr="00A8147A">
        <w:rPr>
          <w:rFonts w:ascii="Arial" w:hAnsi="Arial" w:cs="Arial"/>
          <w:b/>
        </w:rPr>
        <w:t>Tower Drive Project</w:t>
      </w:r>
    </w:p>
    <w:p w:rsidR="00A8147A" w:rsidRPr="00A8147A" w:rsidRDefault="00A8147A" w:rsidP="00A8147A">
      <w:pPr>
        <w:spacing w:after="120"/>
        <w:jc w:val="both"/>
        <w:rPr>
          <w:color w:val="000000"/>
        </w:rPr>
      </w:pPr>
      <w:r w:rsidRPr="00A8147A">
        <w:rPr>
          <w:color w:val="000000"/>
        </w:rPr>
        <w:t>Ni Florida’s MFRs included $729,262 for the replacement of wastewater collection lines to address inflow and infiltration along Tower Drive. There is a corresponding $545,254 retirement associated with this work, so the net impact on plant in service for this project is $184,008. On April 20, 2015, DEP authorized the construction and installation of the discussed components. Ni Florida received final clearance from DEP on June 15, 2016, and placed the project into service on September 30, 2016.</w:t>
      </w:r>
    </w:p>
    <w:p w:rsidR="00A8147A" w:rsidRPr="00A8147A" w:rsidRDefault="00A8147A" w:rsidP="00A8147A">
      <w:pPr>
        <w:jc w:val="both"/>
        <w:rPr>
          <w:color w:val="000000"/>
        </w:rPr>
      </w:pPr>
      <w:r w:rsidRPr="00A8147A">
        <w:rPr>
          <w:color w:val="000000"/>
        </w:rPr>
        <w:t xml:space="preserve">The </w:t>
      </w:r>
      <w:r w:rsidR="002D6F3D">
        <w:rPr>
          <w:color w:val="000000"/>
        </w:rPr>
        <w:t>u</w:t>
      </w:r>
      <w:r w:rsidRPr="00A8147A">
        <w:rPr>
          <w:color w:val="000000"/>
        </w:rPr>
        <w:t>tility provided staff with four bids, ranging from approximately $646,000 to $1,174,000, for the Tower Drive project. Bid information is provided below:</w:t>
      </w:r>
    </w:p>
    <w:p w:rsidR="00A8147A" w:rsidRPr="00A8147A" w:rsidRDefault="00A8147A" w:rsidP="00A8147A">
      <w:pPr>
        <w:jc w:val="both"/>
        <w:rPr>
          <w:color w:val="000000"/>
        </w:rPr>
      </w:pPr>
    </w:p>
    <w:p w:rsidR="00A8147A" w:rsidRPr="00A8147A" w:rsidRDefault="00A8147A" w:rsidP="00A8147A">
      <w:pPr>
        <w:jc w:val="center"/>
        <w:rPr>
          <w:rFonts w:ascii="Arial" w:hAnsi="Arial" w:cs="Arial"/>
          <w:b/>
          <w:color w:val="000000"/>
        </w:rPr>
      </w:pPr>
      <w:r w:rsidRPr="00A8147A">
        <w:rPr>
          <w:rFonts w:ascii="Arial" w:hAnsi="Arial" w:cs="Arial"/>
          <w:b/>
          <w:color w:val="000000"/>
        </w:rPr>
        <w:t>Table 4-2</w:t>
      </w:r>
    </w:p>
    <w:p w:rsidR="00A8147A" w:rsidRPr="00A8147A" w:rsidRDefault="00A8147A" w:rsidP="00A8147A">
      <w:pPr>
        <w:jc w:val="center"/>
        <w:rPr>
          <w:rFonts w:ascii="Arial" w:hAnsi="Arial" w:cs="Arial"/>
          <w:b/>
          <w:color w:val="000000"/>
        </w:rPr>
      </w:pPr>
      <w:r w:rsidRPr="00A8147A">
        <w:rPr>
          <w:rFonts w:ascii="Arial" w:hAnsi="Arial" w:cs="Arial"/>
          <w:b/>
          <w:color w:val="000000"/>
        </w:rPr>
        <w:t>Tower Drive Bids</w:t>
      </w:r>
    </w:p>
    <w:tbl>
      <w:tblPr>
        <w:tblStyle w:val="TableGrid3"/>
        <w:tblW w:w="0" w:type="auto"/>
        <w:jc w:val="center"/>
        <w:tblInd w:w="1627" w:type="dxa"/>
        <w:tblLook w:val="04A0" w:firstRow="1" w:lastRow="0" w:firstColumn="1" w:lastColumn="0" w:noHBand="0" w:noVBand="1"/>
      </w:tblPr>
      <w:tblGrid>
        <w:gridCol w:w="4410"/>
        <w:gridCol w:w="1710"/>
      </w:tblGrid>
      <w:tr w:rsidR="00A8147A" w:rsidRPr="00A8147A" w:rsidTr="00A8147A">
        <w:trPr>
          <w:jc w:val="center"/>
        </w:trPr>
        <w:tc>
          <w:tcPr>
            <w:tcW w:w="4410" w:type="dxa"/>
          </w:tcPr>
          <w:p w:rsidR="00A8147A" w:rsidRPr="00A8147A" w:rsidRDefault="00A8147A" w:rsidP="00A8147A">
            <w:pPr>
              <w:jc w:val="center"/>
              <w:rPr>
                <w:b/>
                <w:color w:val="000000"/>
              </w:rPr>
            </w:pPr>
            <w:r w:rsidRPr="00A8147A">
              <w:rPr>
                <w:b/>
                <w:color w:val="000000"/>
              </w:rPr>
              <w:t>Bid Provider</w:t>
            </w:r>
          </w:p>
        </w:tc>
        <w:tc>
          <w:tcPr>
            <w:tcW w:w="1710" w:type="dxa"/>
          </w:tcPr>
          <w:p w:rsidR="00A8147A" w:rsidRPr="00A8147A" w:rsidRDefault="00A8147A" w:rsidP="00A8147A">
            <w:pPr>
              <w:jc w:val="center"/>
              <w:rPr>
                <w:b/>
                <w:color w:val="000000"/>
              </w:rPr>
            </w:pPr>
            <w:r w:rsidRPr="00A8147A">
              <w:rPr>
                <w:b/>
                <w:color w:val="000000"/>
              </w:rPr>
              <w:t>Amount</w:t>
            </w:r>
          </w:p>
        </w:tc>
      </w:tr>
      <w:tr w:rsidR="00A8147A" w:rsidRPr="00A8147A" w:rsidTr="00A8147A">
        <w:trPr>
          <w:jc w:val="center"/>
        </w:trPr>
        <w:tc>
          <w:tcPr>
            <w:tcW w:w="4410" w:type="dxa"/>
          </w:tcPr>
          <w:p w:rsidR="00A8147A" w:rsidRPr="00A8147A" w:rsidRDefault="00A8147A" w:rsidP="00A8147A">
            <w:pPr>
              <w:jc w:val="both"/>
              <w:rPr>
                <w:color w:val="000000"/>
              </w:rPr>
            </w:pPr>
            <w:r w:rsidRPr="00A8147A">
              <w:rPr>
                <w:color w:val="000000"/>
              </w:rPr>
              <w:t>Flave A. Williams III Dozer Service, Inc.</w:t>
            </w:r>
          </w:p>
        </w:tc>
        <w:tc>
          <w:tcPr>
            <w:tcW w:w="1710" w:type="dxa"/>
          </w:tcPr>
          <w:p w:rsidR="00A8147A" w:rsidRPr="00A8147A" w:rsidRDefault="00A8147A" w:rsidP="00A8147A">
            <w:pPr>
              <w:jc w:val="right"/>
              <w:rPr>
                <w:color w:val="000000"/>
              </w:rPr>
            </w:pPr>
            <w:r w:rsidRPr="00A8147A">
              <w:rPr>
                <w:color w:val="000000"/>
              </w:rPr>
              <w:t>$645,937</w:t>
            </w:r>
            <w:r w:rsidRPr="00A8147A">
              <w:rPr>
                <w:color w:val="000000"/>
                <w:vertAlign w:val="superscript"/>
              </w:rPr>
              <w:footnoteReference w:id="11"/>
            </w:r>
          </w:p>
        </w:tc>
      </w:tr>
      <w:tr w:rsidR="00A8147A" w:rsidRPr="00A8147A" w:rsidTr="00A8147A">
        <w:trPr>
          <w:jc w:val="center"/>
        </w:trPr>
        <w:tc>
          <w:tcPr>
            <w:tcW w:w="4410" w:type="dxa"/>
          </w:tcPr>
          <w:p w:rsidR="00A8147A" w:rsidRPr="00A8147A" w:rsidRDefault="00A8147A" w:rsidP="00A8147A">
            <w:pPr>
              <w:jc w:val="both"/>
              <w:rPr>
                <w:color w:val="000000"/>
              </w:rPr>
            </w:pPr>
            <w:r w:rsidRPr="00A8147A">
              <w:rPr>
                <w:color w:val="000000"/>
              </w:rPr>
              <w:t>Utility Group of Florida, LLC</w:t>
            </w:r>
          </w:p>
        </w:tc>
        <w:tc>
          <w:tcPr>
            <w:tcW w:w="1710" w:type="dxa"/>
          </w:tcPr>
          <w:p w:rsidR="00A8147A" w:rsidRPr="00A8147A" w:rsidRDefault="00A8147A" w:rsidP="00A8147A">
            <w:pPr>
              <w:jc w:val="right"/>
              <w:rPr>
                <w:color w:val="000000"/>
              </w:rPr>
            </w:pPr>
            <w:r w:rsidRPr="00A8147A">
              <w:rPr>
                <w:color w:val="000000"/>
              </w:rPr>
              <w:t>$710,872</w:t>
            </w:r>
          </w:p>
        </w:tc>
      </w:tr>
      <w:tr w:rsidR="00A8147A" w:rsidRPr="00A8147A" w:rsidTr="00A8147A">
        <w:trPr>
          <w:jc w:val="center"/>
        </w:trPr>
        <w:tc>
          <w:tcPr>
            <w:tcW w:w="4410" w:type="dxa"/>
          </w:tcPr>
          <w:p w:rsidR="00A8147A" w:rsidRPr="00A8147A" w:rsidRDefault="00A8147A" w:rsidP="00A8147A">
            <w:pPr>
              <w:jc w:val="both"/>
              <w:rPr>
                <w:color w:val="000000"/>
              </w:rPr>
            </w:pPr>
            <w:r w:rsidRPr="00A8147A">
              <w:rPr>
                <w:color w:val="000000"/>
              </w:rPr>
              <w:t>JMJ Site Development Inc.</w:t>
            </w:r>
          </w:p>
        </w:tc>
        <w:tc>
          <w:tcPr>
            <w:tcW w:w="1710" w:type="dxa"/>
          </w:tcPr>
          <w:p w:rsidR="00A8147A" w:rsidRPr="00A8147A" w:rsidRDefault="00A8147A" w:rsidP="00A8147A">
            <w:pPr>
              <w:jc w:val="right"/>
              <w:rPr>
                <w:color w:val="000000"/>
              </w:rPr>
            </w:pPr>
            <w:r w:rsidRPr="00A8147A">
              <w:rPr>
                <w:color w:val="000000"/>
              </w:rPr>
              <w:t>$1,159,091</w:t>
            </w:r>
          </w:p>
        </w:tc>
      </w:tr>
      <w:tr w:rsidR="00A8147A" w:rsidRPr="00A8147A" w:rsidTr="00A8147A">
        <w:trPr>
          <w:trHeight w:val="287"/>
          <w:jc w:val="center"/>
        </w:trPr>
        <w:tc>
          <w:tcPr>
            <w:tcW w:w="4410" w:type="dxa"/>
          </w:tcPr>
          <w:p w:rsidR="00A8147A" w:rsidRPr="00A8147A" w:rsidRDefault="00A8147A" w:rsidP="00A8147A">
            <w:pPr>
              <w:jc w:val="both"/>
              <w:rPr>
                <w:color w:val="000000"/>
              </w:rPr>
            </w:pPr>
            <w:r w:rsidRPr="00A8147A">
              <w:rPr>
                <w:color w:val="000000"/>
              </w:rPr>
              <w:t>Environmental Equipment Sales, Inc.</w:t>
            </w:r>
          </w:p>
        </w:tc>
        <w:tc>
          <w:tcPr>
            <w:tcW w:w="1710" w:type="dxa"/>
          </w:tcPr>
          <w:p w:rsidR="00A8147A" w:rsidRPr="00A8147A" w:rsidRDefault="00A8147A" w:rsidP="00A8147A">
            <w:pPr>
              <w:jc w:val="right"/>
              <w:rPr>
                <w:color w:val="000000"/>
              </w:rPr>
            </w:pPr>
            <w:r w:rsidRPr="00A8147A">
              <w:rPr>
                <w:color w:val="000000"/>
              </w:rPr>
              <w:t>$1,173,430</w:t>
            </w:r>
          </w:p>
        </w:tc>
      </w:tr>
    </w:tbl>
    <w:p w:rsidR="00A8147A" w:rsidRPr="00A8147A" w:rsidRDefault="00A8147A" w:rsidP="00A8147A">
      <w:pPr>
        <w:jc w:val="both"/>
        <w:rPr>
          <w:color w:val="000000"/>
        </w:rPr>
      </w:pPr>
      <w:r w:rsidRPr="00A8147A">
        <w:rPr>
          <w:color w:val="000000"/>
        </w:rPr>
        <w:tab/>
      </w:r>
      <w:r w:rsidRPr="00A8147A">
        <w:rPr>
          <w:color w:val="000000"/>
        </w:rPr>
        <w:tab/>
        <w:t xml:space="preserve">   Source: Response to Staff’s Second Data Request</w:t>
      </w:r>
    </w:p>
    <w:p w:rsidR="00A8147A" w:rsidRPr="00A8147A" w:rsidRDefault="00A8147A" w:rsidP="00A8147A">
      <w:pPr>
        <w:spacing w:after="120"/>
        <w:rPr>
          <w:color w:val="000000"/>
        </w:rPr>
      </w:pPr>
    </w:p>
    <w:p w:rsidR="00A8147A" w:rsidRPr="00A8147A" w:rsidRDefault="00A8147A" w:rsidP="00A8147A">
      <w:pPr>
        <w:autoSpaceDE w:val="0"/>
        <w:autoSpaceDN w:val="0"/>
        <w:adjustRightInd w:val="0"/>
        <w:jc w:val="both"/>
        <w:rPr>
          <w:color w:val="000000"/>
        </w:rPr>
      </w:pPr>
      <w:r w:rsidRPr="00A8147A">
        <w:rPr>
          <w:color w:val="000000"/>
        </w:rPr>
        <w:t xml:space="preserve">Ni Florida selected the bid provided by Utility Group of Florida. While not the lowest bid, the Utility Group of Florida bid did not contain the exclusions that the lowest bid contained. </w:t>
      </w:r>
    </w:p>
    <w:p w:rsidR="00A8147A" w:rsidRPr="00A8147A" w:rsidRDefault="00A8147A" w:rsidP="00A8147A">
      <w:pPr>
        <w:autoSpaceDE w:val="0"/>
        <w:autoSpaceDN w:val="0"/>
        <w:adjustRightInd w:val="0"/>
        <w:jc w:val="both"/>
        <w:rPr>
          <w:color w:val="000000"/>
        </w:rPr>
      </w:pPr>
    </w:p>
    <w:p w:rsidR="00A8147A" w:rsidRPr="00A8147A" w:rsidRDefault="00A8147A" w:rsidP="00A8147A">
      <w:pPr>
        <w:autoSpaceDE w:val="0"/>
        <w:autoSpaceDN w:val="0"/>
        <w:adjustRightInd w:val="0"/>
        <w:jc w:val="both"/>
        <w:rPr>
          <w:color w:val="000000"/>
        </w:rPr>
      </w:pPr>
      <w:r w:rsidRPr="00A8147A">
        <w:t xml:space="preserve">The </w:t>
      </w:r>
      <w:r w:rsidR="002D6F3D">
        <w:t>u</w:t>
      </w:r>
      <w:r w:rsidRPr="00A8147A">
        <w:t xml:space="preserve">tility included $729,262 in its MFRs for this pro forma plant, and staff’s review of the actual expense totaled $854,860. Since no original cost invoices were available, 75 percent of the cost of the replacement was used as the retirement value by the </w:t>
      </w:r>
      <w:r w:rsidR="002D6F3D">
        <w:t>u</w:t>
      </w:r>
      <w:r w:rsidRPr="00A8147A">
        <w:t>tility and staff. This is consistent with Commission practice.</w:t>
      </w:r>
      <w:r w:rsidRPr="00A8147A">
        <w:rPr>
          <w:vertAlign w:val="superscript"/>
        </w:rPr>
        <w:footnoteReference w:id="12"/>
      </w:r>
      <w:r w:rsidRPr="00A8147A">
        <w:t xml:space="preserve"> The </w:t>
      </w:r>
      <w:r w:rsidR="002D6F3D">
        <w:t>u</w:t>
      </w:r>
      <w:r w:rsidRPr="00A8147A">
        <w:t xml:space="preserve">tility calculated retirements at $545,254. Based on the actual cost of the project, staff calculated retirements at $639,159. </w:t>
      </w:r>
      <w:r w:rsidRPr="00A8147A">
        <w:rPr>
          <w:color w:val="000000"/>
        </w:rPr>
        <w:t>Staff has reviewed the bids as well as recent invoices and recommends that the Commission approve $854,860 for this project.</w:t>
      </w:r>
    </w:p>
    <w:p w:rsidR="00A8147A" w:rsidRPr="00A8147A" w:rsidRDefault="00A8147A" w:rsidP="00A8147A">
      <w:pPr>
        <w:jc w:val="both"/>
        <w:rPr>
          <w:color w:val="000000"/>
          <w:highlight w:val="yellow"/>
        </w:rPr>
      </w:pPr>
    </w:p>
    <w:p w:rsidR="00A8147A" w:rsidRPr="00A8147A" w:rsidRDefault="00A8147A" w:rsidP="00A8147A">
      <w:pPr>
        <w:rPr>
          <w:rFonts w:ascii="Arial" w:hAnsi="Arial" w:cs="Arial"/>
          <w:b/>
        </w:rPr>
      </w:pPr>
      <w:r w:rsidRPr="00A8147A">
        <w:rPr>
          <w:rFonts w:ascii="Arial" w:hAnsi="Arial" w:cs="Arial"/>
          <w:b/>
          <w:color w:val="000000"/>
        </w:rPr>
        <w:t>ROPES-Rhodes Road Project</w:t>
      </w:r>
    </w:p>
    <w:p w:rsidR="00A8147A" w:rsidRPr="00A8147A" w:rsidRDefault="00A8147A" w:rsidP="00A8147A">
      <w:pPr>
        <w:jc w:val="both"/>
        <w:rPr>
          <w:color w:val="000000"/>
        </w:rPr>
      </w:pPr>
      <w:r w:rsidRPr="00A8147A">
        <w:rPr>
          <w:color w:val="000000"/>
        </w:rPr>
        <w:t xml:space="preserve">Ni Florida’s MFRs included $82,880 for a project to connect a new general service customer at 7839 Rhodes Road. The </w:t>
      </w:r>
      <w:r w:rsidR="002D6F3D">
        <w:rPr>
          <w:color w:val="000000"/>
        </w:rPr>
        <w:t>u</w:t>
      </w:r>
      <w:r w:rsidRPr="00A8147A">
        <w:rPr>
          <w:color w:val="000000"/>
        </w:rPr>
        <w:t>tility has since submitted an invoice of $613 for DEP certification and final testing, which brings the total for this project to $83,493. The project was completed on April 26, 2016, has been approved by DEP, and has been placed into service.</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r w:rsidRPr="00A8147A">
        <w:t xml:space="preserve">The </w:t>
      </w:r>
      <w:r w:rsidR="002D6F3D">
        <w:t>u</w:t>
      </w:r>
      <w:r w:rsidRPr="00A8147A">
        <w:t xml:space="preserve">tility provided a feasibility report for the Rhodes Road project prepared by a professional engineer which estimated costs for this project at $75,000. As mentioned previously, the </w:t>
      </w:r>
      <w:r w:rsidR="002D6F3D">
        <w:t>u</w:t>
      </w:r>
      <w:r w:rsidRPr="00A8147A">
        <w:t xml:space="preserve">tility included $82,880 in its MFRs for </w:t>
      </w:r>
      <w:proofErr w:type="gramStart"/>
      <w:r w:rsidRPr="00A8147A">
        <w:t>the this</w:t>
      </w:r>
      <w:proofErr w:type="gramEnd"/>
      <w:r w:rsidRPr="00A8147A">
        <w:t xml:space="preserve"> pro forma project, and staff’s review of the actual expense totaled $83,493. Staff believes that the difference between the estimated cost and the actual cost of the project is likely a result of the report being prepared in 2011. Staff notes that the final cost for the Rhodes Road project included $6,500 for contingencies. It appears that these costs were part of the billing for a fixed-amount, lump-sum project, which was intended to be billed at 100 percent of the accepted bid. There were no retirements associated with this project because it was new construction. Staff </w:t>
      </w:r>
      <w:r w:rsidRPr="00A8147A">
        <w:rPr>
          <w:color w:val="000000"/>
        </w:rPr>
        <w:t>recommends that the Commission approve $83,493 for this project.</w:t>
      </w:r>
    </w:p>
    <w:p w:rsidR="00A8147A" w:rsidRPr="00A8147A" w:rsidRDefault="00A8147A" w:rsidP="00A8147A">
      <w:pPr>
        <w:spacing w:after="120"/>
        <w:rPr>
          <w:color w:val="000000"/>
        </w:rPr>
      </w:pPr>
    </w:p>
    <w:p w:rsidR="00A8147A" w:rsidRPr="00A8147A" w:rsidRDefault="00A8147A" w:rsidP="00A8147A">
      <w:pPr>
        <w:jc w:val="both"/>
        <w:rPr>
          <w:rFonts w:ascii="Arial" w:hAnsi="Arial" w:cs="Arial"/>
          <w:b/>
        </w:rPr>
      </w:pPr>
      <w:r w:rsidRPr="00A8147A">
        <w:rPr>
          <w:rFonts w:ascii="Arial" w:hAnsi="Arial" w:cs="Arial"/>
          <w:b/>
        </w:rPr>
        <w:t>Conclusion</w:t>
      </w:r>
    </w:p>
    <w:p w:rsidR="00A8147A" w:rsidRPr="00A8147A" w:rsidRDefault="00A8147A" w:rsidP="00A8147A">
      <w:pPr>
        <w:spacing w:after="240"/>
        <w:jc w:val="both"/>
        <w:outlineLvl w:val="0"/>
        <w:rPr>
          <w:bCs/>
          <w:kern w:val="32"/>
          <w:szCs w:val="32"/>
        </w:rPr>
      </w:pPr>
      <w:r w:rsidRPr="00A8147A">
        <w:rPr>
          <w:bCs/>
          <w:kern w:val="32"/>
          <w:szCs w:val="32"/>
        </w:rPr>
        <w:t xml:space="preserve">Staff made adjustments to reflect the difference between actual costs and estimated pro forma plant. Staff’s adjustments to plant resulted in corresponding flow-through adjustments to </w:t>
      </w:r>
      <w:r w:rsidRPr="00A8147A">
        <w:rPr>
          <w:bCs/>
          <w:color w:val="000000"/>
          <w:kern w:val="32"/>
          <w:szCs w:val="32"/>
        </w:rPr>
        <w:t xml:space="preserve">accumulated depreciation, depreciation expense, property taxes, and </w:t>
      </w:r>
      <w:r w:rsidRPr="00A8147A">
        <w:rPr>
          <w:bCs/>
          <w:kern w:val="32"/>
          <w:szCs w:val="32"/>
        </w:rPr>
        <w:t>accumulated deferred income taxes (ADITs). Staff’s recommended adjustments, excluding ADITs, are shown in the following tables.</w:t>
      </w:r>
      <w:r w:rsidRPr="00A8147A">
        <w:rPr>
          <w:bCs/>
          <w:color w:val="000000"/>
          <w:kern w:val="32"/>
          <w:szCs w:val="32"/>
        </w:rPr>
        <w:t xml:space="preserve"> </w:t>
      </w:r>
    </w:p>
    <w:p w:rsidR="00A8147A" w:rsidRPr="00A8147A" w:rsidRDefault="00A8147A" w:rsidP="00A8147A">
      <w:pPr>
        <w:jc w:val="both"/>
        <w:rPr>
          <w:color w:val="000000"/>
        </w:rPr>
      </w:pPr>
    </w:p>
    <w:p w:rsidR="00A8147A" w:rsidRPr="00A8147A" w:rsidRDefault="00A8147A" w:rsidP="00A8147A">
      <w:pPr>
        <w:jc w:val="both"/>
        <w:rPr>
          <w:color w:val="000000"/>
        </w:rPr>
      </w:pPr>
    </w:p>
    <w:p w:rsidR="00A8147A" w:rsidRPr="00A8147A" w:rsidRDefault="00A8147A" w:rsidP="00A8147A">
      <w:pPr>
        <w:jc w:val="both"/>
        <w:rPr>
          <w:color w:val="000000"/>
        </w:rPr>
      </w:pPr>
    </w:p>
    <w:p w:rsidR="00A8147A" w:rsidRPr="00A8147A" w:rsidRDefault="00A8147A" w:rsidP="00A8147A">
      <w:pPr>
        <w:jc w:val="both"/>
        <w:rPr>
          <w:color w:val="000000"/>
        </w:rPr>
      </w:pPr>
    </w:p>
    <w:p w:rsidR="00A8147A" w:rsidRDefault="00A8147A">
      <w:pPr>
        <w:rPr>
          <w:rFonts w:ascii="Arial" w:hAnsi="Arial" w:cs="Arial"/>
          <w:b/>
        </w:rPr>
      </w:pPr>
      <w:r>
        <w:rPr>
          <w:rFonts w:ascii="Arial" w:hAnsi="Arial" w:cs="Arial"/>
          <w:b/>
        </w:rPr>
        <w:br w:type="page"/>
      </w:r>
    </w:p>
    <w:p w:rsidR="00A8147A" w:rsidRPr="00A8147A" w:rsidRDefault="00A8147A" w:rsidP="00A8147A">
      <w:pPr>
        <w:jc w:val="center"/>
        <w:rPr>
          <w:rFonts w:ascii="Arial" w:hAnsi="Arial" w:cs="Arial"/>
          <w:b/>
        </w:rPr>
      </w:pPr>
      <w:r w:rsidRPr="00A8147A">
        <w:rPr>
          <w:rFonts w:ascii="Arial" w:hAnsi="Arial" w:cs="Arial"/>
          <w:b/>
        </w:rPr>
        <w:lastRenderedPageBreak/>
        <w:t>Table 4-3</w:t>
      </w:r>
    </w:p>
    <w:p w:rsidR="00A8147A" w:rsidRPr="00A8147A" w:rsidRDefault="00A8147A" w:rsidP="00A8147A">
      <w:pPr>
        <w:jc w:val="center"/>
        <w:rPr>
          <w:rFonts w:ascii="Arial" w:hAnsi="Arial" w:cs="Arial"/>
          <w:b/>
        </w:rPr>
      </w:pPr>
      <w:r w:rsidRPr="00A8147A">
        <w:rPr>
          <w:rFonts w:ascii="Arial" w:hAnsi="Arial" w:cs="Arial"/>
          <w:b/>
          <w:color w:val="000000"/>
        </w:rPr>
        <w:t>Plant Adjustments</w:t>
      </w:r>
    </w:p>
    <w:tbl>
      <w:tblPr>
        <w:tblW w:w="8658" w:type="dxa"/>
        <w:jc w:val="center"/>
        <w:tblInd w:w="918" w:type="dxa"/>
        <w:tblLook w:val="04A0" w:firstRow="1" w:lastRow="0" w:firstColumn="1" w:lastColumn="0" w:noHBand="0" w:noVBand="1"/>
      </w:tblPr>
      <w:tblGrid>
        <w:gridCol w:w="4860"/>
        <w:gridCol w:w="1260"/>
        <w:gridCol w:w="1350"/>
        <w:gridCol w:w="1188"/>
      </w:tblGrid>
      <w:tr w:rsidR="00A8147A" w:rsidRPr="00A8147A" w:rsidTr="00A8147A">
        <w:trPr>
          <w:trHeight w:val="300"/>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Pro Forma Projects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MFR Plant</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Staff Plant</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Plant Adj.</w:t>
            </w:r>
          </w:p>
        </w:tc>
      </w:tr>
      <w:tr w:rsidR="00A8147A" w:rsidRPr="00A8147A" w:rsidTr="00A8147A">
        <w:trPr>
          <w:trHeight w:val="300"/>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Tower Dr. Collection System Replacement Project</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$729,262</w:t>
            </w:r>
          </w:p>
        </w:tc>
        <w:tc>
          <w:tcPr>
            <w:tcW w:w="135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 xml:space="preserve">$854,860 </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$125,598</w:t>
            </w:r>
          </w:p>
        </w:tc>
      </w:tr>
      <w:tr w:rsidR="00A8147A" w:rsidRPr="00A8147A" w:rsidTr="00A8147A">
        <w:trPr>
          <w:trHeight w:val="300"/>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Retirement for Tower Dr. Replacement Project</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sz w:val="22"/>
                <w:szCs w:val="22"/>
              </w:rPr>
            </w:pPr>
            <w:r w:rsidRPr="00A8147A">
              <w:rPr>
                <w:sz w:val="22"/>
                <w:szCs w:val="22"/>
              </w:rPr>
              <w:t>(545,254)</w:t>
            </w:r>
          </w:p>
        </w:tc>
        <w:tc>
          <w:tcPr>
            <w:tcW w:w="135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(639,159)</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 xml:space="preserve">(93,905) </w:t>
            </w:r>
          </w:p>
        </w:tc>
      </w:tr>
      <w:tr w:rsidR="00A8147A" w:rsidRPr="00A8147A" w:rsidTr="00A8147A">
        <w:trPr>
          <w:trHeight w:val="300"/>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ROPES – Rhodes Rd. Project (New Service)</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sz w:val="22"/>
                <w:szCs w:val="22"/>
                <w:u w:val="single"/>
              </w:rPr>
            </w:pPr>
            <w:r w:rsidRPr="001C77F9">
              <w:rPr>
                <w:sz w:val="22"/>
                <w:szCs w:val="22"/>
                <w:u w:val="single"/>
              </w:rPr>
              <w:t xml:space="preserve">82,880 </w:t>
            </w:r>
          </w:p>
        </w:tc>
        <w:tc>
          <w:tcPr>
            <w:tcW w:w="1350"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color w:val="000000"/>
                <w:sz w:val="22"/>
                <w:szCs w:val="22"/>
                <w:u w:val="single"/>
              </w:rPr>
            </w:pPr>
            <w:r w:rsidRPr="001C77F9">
              <w:rPr>
                <w:color w:val="000000"/>
                <w:sz w:val="22"/>
                <w:szCs w:val="22"/>
                <w:u w:val="single"/>
              </w:rPr>
              <w:t xml:space="preserve">83,493 </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color w:val="000000"/>
                <w:sz w:val="22"/>
                <w:szCs w:val="22"/>
                <w:u w:val="single"/>
              </w:rPr>
            </w:pPr>
            <w:r w:rsidRPr="001C77F9">
              <w:rPr>
                <w:color w:val="000000"/>
                <w:sz w:val="22"/>
                <w:szCs w:val="22"/>
                <w:u w:val="single"/>
              </w:rPr>
              <w:t>613</w:t>
            </w:r>
          </w:p>
        </w:tc>
      </w:tr>
      <w:tr w:rsidR="00A8147A" w:rsidRPr="00A8147A" w:rsidTr="00A8147A">
        <w:trPr>
          <w:trHeight w:val="377"/>
          <w:jc w:val="center"/>
        </w:trPr>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Total</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sz w:val="22"/>
                <w:szCs w:val="22"/>
                <w:u w:val="double"/>
              </w:rPr>
            </w:pPr>
            <w:r w:rsidRPr="001C77F9">
              <w:rPr>
                <w:sz w:val="22"/>
                <w:szCs w:val="22"/>
                <w:u w:val="double"/>
              </w:rPr>
              <w:t xml:space="preserve">$266,888 </w:t>
            </w:r>
          </w:p>
        </w:tc>
        <w:tc>
          <w:tcPr>
            <w:tcW w:w="1350"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sz w:val="22"/>
                <w:szCs w:val="22"/>
                <w:u w:val="double"/>
              </w:rPr>
            </w:pPr>
            <w:r w:rsidRPr="001C77F9">
              <w:rPr>
                <w:sz w:val="22"/>
                <w:szCs w:val="22"/>
                <w:u w:val="double"/>
              </w:rPr>
              <w:t xml:space="preserve">$299,194 </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1C77F9" w:rsidRDefault="00A8147A" w:rsidP="00A8147A">
            <w:pPr>
              <w:jc w:val="right"/>
              <w:rPr>
                <w:sz w:val="22"/>
                <w:szCs w:val="22"/>
                <w:u w:val="double"/>
              </w:rPr>
            </w:pPr>
            <w:r w:rsidRPr="001C77F9">
              <w:rPr>
                <w:sz w:val="22"/>
                <w:szCs w:val="22"/>
                <w:u w:val="double"/>
              </w:rPr>
              <w:t>$32,306</w:t>
            </w:r>
          </w:p>
        </w:tc>
      </w:tr>
    </w:tbl>
    <w:p w:rsidR="00A8147A" w:rsidRPr="00A8147A" w:rsidRDefault="00A8147A" w:rsidP="00A8147A">
      <w:pPr>
        <w:spacing w:after="120"/>
      </w:pPr>
      <w:r w:rsidRPr="00A8147A">
        <w:t xml:space="preserve">      Source: MFRs and responses to staff data requests</w:t>
      </w:r>
    </w:p>
    <w:p w:rsidR="00A8147A" w:rsidRPr="00A8147A" w:rsidRDefault="00A8147A" w:rsidP="00A8147A">
      <w:pPr>
        <w:spacing w:after="120"/>
      </w:pPr>
    </w:p>
    <w:p w:rsidR="00A8147A" w:rsidRPr="00A8147A" w:rsidRDefault="00A8147A" w:rsidP="00A8147A">
      <w:pPr>
        <w:jc w:val="center"/>
        <w:rPr>
          <w:rFonts w:ascii="Arial" w:hAnsi="Arial" w:cs="Arial"/>
          <w:b/>
        </w:rPr>
      </w:pPr>
      <w:r w:rsidRPr="00A8147A">
        <w:rPr>
          <w:rFonts w:ascii="Arial" w:hAnsi="Arial" w:cs="Arial"/>
          <w:b/>
        </w:rPr>
        <w:t>Table 4-4</w:t>
      </w:r>
      <w:r w:rsidRPr="00A8147A">
        <w:rPr>
          <w:rFonts w:ascii="Arial" w:hAnsi="Arial" w:cs="Arial"/>
          <w:b/>
        </w:rPr>
        <w:br/>
        <w:t>Additional Adjustments</w:t>
      </w:r>
    </w:p>
    <w:tbl>
      <w:tblPr>
        <w:tblW w:w="7398" w:type="dxa"/>
        <w:jc w:val="center"/>
        <w:tblInd w:w="2088" w:type="dxa"/>
        <w:tblLook w:val="04A0" w:firstRow="1" w:lastRow="0" w:firstColumn="1" w:lastColumn="0" w:noHBand="0" w:noVBand="1"/>
      </w:tblPr>
      <w:tblGrid>
        <w:gridCol w:w="3644"/>
        <w:gridCol w:w="1306"/>
        <w:gridCol w:w="1188"/>
        <w:gridCol w:w="1260"/>
      </w:tblGrid>
      <w:tr w:rsidR="00A8147A" w:rsidRPr="00A8147A" w:rsidTr="00A8147A">
        <w:trPr>
          <w:trHeight w:val="300"/>
          <w:jc w:val="center"/>
        </w:trPr>
        <w:tc>
          <w:tcPr>
            <w:tcW w:w="3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47A" w:rsidRPr="005559FF" w:rsidRDefault="00A8147A" w:rsidP="00A8147A">
            <w:pPr>
              <w:jc w:val="center"/>
              <w:rPr>
                <w:b/>
                <w:color w:val="000000"/>
                <w:sz w:val="22"/>
                <w:szCs w:val="22"/>
              </w:rPr>
            </w:pPr>
            <w:r w:rsidRPr="005559FF">
              <w:rPr>
                <w:b/>
                <w:color w:val="000000"/>
                <w:sz w:val="22"/>
                <w:szCs w:val="22"/>
              </w:rPr>
              <w:t>Adjustment</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MFR</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Staff</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8147A" w:rsidRPr="005559FF" w:rsidRDefault="00A8147A" w:rsidP="00A8147A">
            <w:pPr>
              <w:jc w:val="center"/>
              <w:rPr>
                <w:b/>
                <w:color w:val="000000"/>
                <w:sz w:val="22"/>
                <w:szCs w:val="22"/>
              </w:rPr>
            </w:pPr>
            <w:r w:rsidRPr="005559FF">
              <w:rPr>
                <w:b/>
                <w:color w:val="000000"/>
                <w:sz w:val="22"/>
                <w:szCs w:val="22"/>
              </w:rPr>
              <w:t>Adj.</w:t>
            </w:r>
          </w:p>
        </w:tc>
      </w:tr>
      <w:tr w:rsidR="00A8147A" w:rsidRPr="00A8147A" w:rsidTr="00A8147A">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Accumulated Depreciation</w:t>
            </w:r>
          </w:p>
        </w:tc>
        <w:tc>
          <w:tcPr>
            <w:tcW w:w="1306"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$545,254</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$590,098</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$44,844</w:t>
            </w:r>
          </w:p>
        </w:tc>
      </w:tr>
      <w:tr w:rsidR="00A8147A" w:rsidRPr="00A8147A" w:rsidTr="00A8147A">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center"/>
            <w:hideMark/>
          </w:tcPr>
          <w:p w:rsidR="00A8147A" w:rsidRPr="00A8147A" w:rsidRDefault="00A8147A" w:rsidP="00A8147A">
            <w:pPr>
              <w:rPr>
                <w:color w:val="000000"/>
                <w:sz w:val="22"/>
                <w:szCs w:val="22"/>
              </w:rPr>
            </w:pPr>
            <w:r w:rsidRPr="00A8147A">
              <w:rPr>
                <w:color w:val="000000"/>
                <w:sz w:val="22"/>
                <w:szCs w:val="22"/>
              </w:rPr>
              <w:t>Depreciation Expense</w:t>
            </w:r>
          </w:p>
        </w:tc>
        <w:tc>
          <w:tcPr>
            <w:tcW w:w="1306"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 xml:space="preserve">14,287 </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13,552</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($735)</w:t>
            </w:r>
          </w:p>
        </w:tc>
      </w:tr>
      <w:tr w:rsidR="00A8147A" w:rsidRPr="00A8147A" w:rsidTr="00A8147A">
        <w:trPr>
          <w:trHeight w:val="300"/>
          <w:jc w:val="center"/>
        </w:trPr>
        <w:tc>
          <w:tcPr>
            <w:tcW w:w="3644" w:type="dxa"/>
            <w:tcBorders>
              <w:top w:val="nil"/>
              <w:left w:val="single" w:sz="4" w:space="0" w:color="auto"/>
              <w:bottom w:val="single" w:sz="4" w:space="0" w:color="auto"/>
              <w:right w:val="single" w:sz="4" w:space="0" w:color="auto"/>
            </w:tcBorders>
            <w:shd w:val="clear" w:color="auto" w:fill="auto"/>
            <w:noWrap/>
            <w:vAlign w:val="center"/>
          </w:tcPr>
          <w:p w:rsidR="00A8147A" w:rsidRPr="00A8147A" w:rsidRDefault="00A8147A" w:rsidP="00A8147A">
            <w:pPr>
              <w:rPr>
                <w:color w:val="000000"/>
                <w:sz w:val="22"/>
                <w:szCs w:val="22"/>
              </w:rPr>
            </w:pPr>
            <w:r w:rsidRPr="00A8147A">
              <w:rPr>
                <w:color w:val="000000"/>
                <w:sz w:val="22"/>
                <w:szCs w:val="22"/>
              </w:rPr>
              <w:t>Property Tax</w:t>
            </w:r>
          </w:p>
        </w:tc>
        <w:tc>
          <w:tcPr>
            <w:tcW w:w="1306"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$4,564</w:t>
            </w:r>
          </w:p>
        </w:tc>
        <w:tc>
          <w:tcPr>
            <w:tcW w:w="1188"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$14,601</w:t>
            </w:r>
          </w:p>
        </w:tc>
        <w:tc>
          <w:tcPr>
            <w:tcW w:w="1260" w:type="dxa"/>
            <w:tcBorders>
              <w:top w:val="nil"/>
              <w:left w:val="nil"/>
              <w:bottom w:val="single" w:sz="4" w:space="0" w:color="auto"/>
              <w:right w:val="single" w:sz="4" w:space="0" w:color="auto"/>
            </w:tcBorders>
            <w:shd w:val="clear" w:color="auto" w:fill="auto"/>
            <w:noWrap/>
            <w:vAlign w:val="center"/>
            <w:hideMark/>
          </w:tcPr>
          <w:p w:rsidR="00A8147A" w:rsidRPr="00A8147A" w:rsidRDefault="00A8147A" w:rsidP="00A8147A">
            <w:pPr>
              <w:jc w:val="right"/>
              <w:rPr>
                <w:color w:val="000000"/>
                <w:sz w:val="22"/>
                <w:szCs w:val="22"/>
              </w:rPr>
            </w:pPr>
            <w:r w:rsidRPr="00A8147A">
              <w:rPr>
                <w:color w:val="000000"/>
                <w:sz w:val="22"/>
                <w:szCs w:val="22"/>
              </w:rPr>
              <w:t>$10,037</w:t>
            </w:r>
          </w:p>
        </w:tc>
      </w:tr>
    </w:tbl>
    <w:p w:rsidR="00A8147A" w:rsidRPr="00A8147A" w:rsidRDefault="00A8147A" w:rsidP="00A8147A">
      <w:pPr>
        <w:spacing w:after="240"/>
        <w:jc w:val="both"/>
        <w:outlineLvl w:val="0"/>
        <w:rPr>
          <w:bCs/>
          <w:kern w:val="32"/>
          <w:szCs w:val="32"/>
        </w:rPr>
      </w:pPr>
      <w:r w:rsidRPr="00A8147A">
        <w:rPr>
          <w:rFonts w:ascii="Arial" w:hAnsi="Arial" w:cs="Arial"/>
          <w:b/>
          <w:bCs/>
          <w:i/>
          <w:kern w:val="32"/>
          <w:szCs w:val="32"/>
        </w:rPr>
        <w:t xml:space="preserve">              </w:t>
      </w:r>
      <w:r w:rsidRPr="00A8147A">
        <w:rPr>
          <w:bCs/>
          <w:kern w:val="32"/>
          <w:szCs w:val="32"/>
        </w:rPr>
        <w:t>Source: MFRs and responses to staff data requests</w:t>
      </w:r>
    </w:p>
    <w:p w:rsidR="00B73FFC" w:rsidRPr="00B73FFC" w:rsidRDefault="00A8147A" w:rsidP="00812E1D">
      <w:pPr>
        <w:pStyle w:val="BodyText"/>
        <w:rPr>
          <w:b/>
          <w:i/>
        </w:rPr>
      </w:pPr>
      <w:r w:rsidRPr="00A8147A">
        <w:t xml:space="preserve">Based on the information above, staff recommends that the appropriate pro forma plant addition net of retirements is $299,194 for wastewater. This results in an incremental decrease of $32,306 from the amounts requested in the </w:t>
      </w:r>
      <w:r w:rsidR="002D6F3D">
        <w:t>u</w:t>
      </w:r>
      <w:r w:rsidR="00966CD3">
        <w:t>tility</w:t>
      </w:r>
      <w:r w:rsidRPr="00A8147A">
        <w:t xml:space="preserve"> MFRs. Using the depreciable lives pursuant to Rule 25-30.140, F.A.C., </w:t>
      </w:r>
      <w:proofErr w:type="gramStart"/>
      <w:r w:rsidRPr="00A8147A">
        <w:t>corresponding</w:t>
      </w:r>
      <w:proofErr w:type="gramEnd"/>
      <w:r w:rsidRPr="00A8147A">
        <w:t xml:space="preserve"> adjustments should be made to reduce accumulated depreciation by $44,844 for wastewater. Depreciation expense should be reduced by $735 for wastewater. In addition, pro forma property taxes should be increased by $10,037 for wastewater. Based on the additional pro forma plant and changes in depreciation recommended above, an ADIT debit of $596 is created. Staff has removed this amount in the capital structure shown in Schedule No. 2. </w:t>
      </w:r>
      <w:r w:rsidR="00B73FFC" w:rsidRPr="00B73FFC">
        <w:t xml:space="preserve"> </w:t>
      </w:r>
    </w:p>
    <w:p w:rsidR="00E0693A" w:rsidRDefault="00E0693A">
      <w:pPr>
        <w:pStyle w:val="BodyText"/>
      </w:pPr>
    </w:p>
    <w:p w:rsidR="00E0693A" w:rsidRDefault="00E0693A">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5</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464661202"/>
      <w:r w:rsidR="007F50C0">
        <w:rPr>
          <w:noProof/>
        </w:rPr>
        <w:instrText>5</w:instrText>
      </w:r>
      <w:r>
        <w:fldChar w:fldCharType="end"/>
      </w:r>
      <w:r>
        <w:tab/>
      </w:r>
      <w:r w:rsidR="008F36C4">
        <w:instrText>Used and Useful</w:instrText>
      </w:r>
      <w:bookmarkEnd w:id="21"/>
      <w:r>
        <w:instrText xml:space="preserve">" \l 1 </w:instrText>
      </w:r>
      <w:r>
        <w:fldChar w:fldCharType="end"/>
      </w:r>
      <w:r>
        <w:t> </w:t>
      </w:r>
    </w:p>
    <w:p w:rsidR="00E0693A" w:rsidRDefault="00E0693A">
      <w:pPr>
        <w:pStyle w:val="BodyText"/>
      </w:pPr>
      <w:r>
        <w:t xml:space="preserve"> What are the used and useful (U&amp;U) percentages for Ni Florida's water </w:t>
      </w:r>
      <w:r w:rsidR="005744C1">
        <w:t>and wastewater</w:t>
      </w:r>
      <w:r>
        <w:t xml:space="preserve"> systems?</w:t>
      </w:r>
    </w:p>
    <w:p w:rsidR="00E0693A" w:rsidRPr="004C3641" w:rsidRDefault="00E0693A">
      <w:pPr>
        <w:pStyle w:val="IssueSubsectionHeading"/>
        <w:rPr>
          <w:vanish/>
          <w:specVanish/>
        </w:rPr>
      </w:pPr>
      <w:r w:rsidRPr="004C3641">
        <w:t>Recommendation: </w:t>
      </w:r>
    </w:p>
    <w:p w:rsidR="00E0693A" w:rsidRDefault="00E0693A">
      <w:pPr>
        <w:pStyle w:val="BodyText"/>
      </w:pPr>
      <w:r>
        <w:t> </w:t>
      </w:r>
      <w:r w:rsidR="00A449DC" w:rsidRPr="00A449DC">
        <w:t>Ni Florida’s water distribution system should be considered 100 percent U&amp;U and its wastewater collection system should be considered 100 percent U&amp;U.  Staff recommends that wastewater purchased power and purchased wastewater expenses should be reduced by 1.81 percent for excessive I&amp;I. No adjustment is recommended for excessive unaccounted for water (EUW).</w:t>
      </w:r>
      <w:r w:rsidR="00A449DC">
        <w:t xml:space="preserve"> </w:t>
      </w:r>
      <w:r>
        <w:t>(Hill)</w:t>
      </w:r>
    </w:p>
    <w:p w:rsidR="00A0312B" w:rsidRPr="00A0312B" w:rsidRDefault="00A0312B" w:rsidP="00A0312B">
      <w:pPr>
        <w:spacing w:after="240"/>
        <w:jc w:val="both"/>
        <w:outlineLvl w:val="1"/>
        <w:rPr>
          <w:rFonts w:ascii="Arial" w:eastAsiaTheme="majorEastAsia" w:hAnsi="Arial" w:cs="Arial"/>
          <w:bCs/>
          <w:i/>
          <w:iCs/>
          <w:vanish/>
          <w:szCs w:val="28"/>
        </w:rPr>
      </w:pPr>
      <w:r w:rsidRPr="00A0312B">
        <w:rPr>
          <w:rFonts w:ascii="Arial" w:eastAsiaTheme="majorEastAsia" w:hAnsi="Arial" w:cs="Arial"/>
          <w:b/>
          <w:bCs/>
          <w:i/>
          <w:iCs/>
          <w:szCs w:val="28"/>
        </w:rPr>
        <w:t>Staff Analysis</w:t>
      </w:r>
      <w:r w:rsidRPr="00A0312B">
        <w:rPr>
          <w:rFonts w:ascii="Arial" w:eastAsiaTheme="majorEastAsia" w:hAnsi="Arial" w:cs="Arial"/>
          <w:bCs/>
          <w:i/>
          <w:iCs/>
          <w:szCs w:val="28"/>
        </w:rPr>
        <w:t>: </w:t>
      </w:r>
    </w:p>
    <w:p w:rsidR="00A0312B" w:rsidRPr="00A0312B" w:rsidRDefault="00A0312B" w:rsidP="00A0312B">
      <w:pPr>
        <w:spacing w:after="240"/>
        <w:ind w:firstLine="720"/>
        <w:jc w:val="both"/>
      </w:pPr>
      <w:r w:rsidRPr="00A0312B">
        <w:t> </w:t>
      </w:r>
      <w:r w:rsidR="00A449DC">
        <w:t>Both Ni Florida’s water distribution and wastewater collection systems were deemed 100 percent U&amp;U during its previous rate case. Since the utility’s last rate case, there has been no change in circumstances. Therefore, consistent with the Commission’s prior decision, staff recommends that Ni Florida’s water distribution and wastewater collection systems should be considered 100 percent U&amp;U.</w:t>
      </w:r>
    </w:p>
    <w:p w:rsidR="00FC75C7" w:rsidRDefault="00A0312B" w:rsidP="00FC75C7">
      <w:pPr>
        <w:jc w:val="both"/>
        <w:rPr>
          <w:rFonts w:ascii="Arial" w:hAnsi="Arial" w:cs="Arial"/>
          <w:b/>
        </w:rPr>
      </w:pPr>
      <w:r w:rsidRPr="00A0312B">
        <w:rPr>
          <w:rFonts w:ascii="Arial" w:hAnsi="Arial" w:cs="Arial"/>
          <w:b/>
        </w:rPr>
        <w:t>Infiltration and Inflow (I&amp;I)</w:t>
      </w:r>
    </w:p>
    <w:p w:rsidR="00A449DC" w:rsidRPr="00A449DC" w:rsidRDefault="00A449DC" w:rsidP="00A449DC">
      <w:pPr>
        <w:jc w:val="both"/>
      </w:pPr>
      <w:r w:rsidRPr="00A449DC">
        <w:t xml:space="preserve">Typically, infiltration results from groundwater entering a wastewater collection system through broken or defective pipes and joints; whereas, inflow results from water entering a wastewater collection system through manholes or lift stations. By convention, the allowance for infiltration is 500 gpd per inch diameter pipe per mile, and an additional 10 percent of residential water billed is allowed for inflow. Rule 25-30.432, F.A.C., provides that in determining the amount of U&amp;U plant, the Commission will consider </w:t>
      </w:r>
      <w:proofErr w:type="gramStart"/>
      <w:r w:rsidRPr="00A449DC">
        <w:t>I&amp;I</w:t>
      </w:r>
      <w:proofErr w:type="gramEnd"/>
      <w:r w:rsidRPr="00A449DC">
        <w:t>. Additionally, adjustments to operating expenses such as chemical and electrical costs are also considered necessary.</w:t>
      </w:r>
    </w:p>
    <w:p w:rsidR="00A449DC" w:rsidRPr="00A449DC" w:rsidRDefault="00A449DC" w:rsidP="00A449DC">
      <w:pPr>
        <w:jc w:val="both"/>
      </w:pPr>
    </w:p>
    <w:p w:rsidR="00A449DC" w:rsidRPr="00A449DC" w:rsidRDefault="00A449DC" w:rsidP="00A449DC">
      <w:pPr>
        <w:jc w:val="both"/>
      </w:pPr>
      <w:r w:rsidRPr="00A449DC">
        <w:t xml:space="preserve">All wastewater collection systems experience </w:t>
      </w:r>
      <w:proofErr w:type="gramStart"/>
      <w:r w:rsidRPr="00A449DC">
        <w:t>I&amp;I</w:t>
      </w:r>
      <w:proofErr w:type="gramEnd"/>
      <w:r w:rsidRPr="00A449DC">
        <w:t xml:space="preserve">. The conventions noted above provide guidance for determining whether </w:t>
      </w:r>
      <w:proofErr w:type="gramStart"/>
      <w:r w:rsidRPr="00A449DC">
        <w:t>the I</w:t>
      </w:r>
      <w:proofErr w:type="gramEnd"/>
      <w:r w:rsidRPr="00A449DC">
        <w:t xml:space="preserve">&amp;I experienced at a wastewater treatment plant (WWTP) is excessive. Staff calculates the allowable infiltration based on system parameters and allowable inflow based on water sold to customers. The sum of these amounts is the allowable I&amp;I. Staff next calculates the estimated amount of wastewater returned to the WWTP from customers. The estimated return is determined by summing 80 percent of the water sold to residential customers with 90 percent of the water sold to non-residential customers. Adding the estimated return to the allowable I&amp;I </w:t>
      </w:r>
      <w:proofErr w:type="gramStart"/>
      <w:r w:rsidRPr="00A449DC">
        <w:t>yields</w:t>
      </w:r>
      <w:proofErr w:type="gramEnd"/>
      <w:r w:rsidRPr="00A449DC">
        <w:t xml:space="preserve"> the maximum amount of wastewater that should be treated by a WWTP without incurring adjustments to operating expenses. If this amount exceeds the actual amount treated, no adjustment is made. If it is less than the gallons treated, then the difference is the excessive amount of </w:t>
      </w:r>
      <w:proofErr w:type="gramStart"/>
      <w:r w:rsidRPr="00A449DC">
        <w:t>I&amp;I</w:t>
      </w:r>
      <w:proofErr w:type="gramEnd"/>
      <w:r w:rsidRPr="00A449DC">
        <w:t>.</w:t>
      </w:r>
    </w:p>
    <w:p w:rsidR="00A449DC" w:rsidRPr="00A449DC" w:rsidRDefault="00A449DC" w:rsidP="00A449DC">
      <w:pPr>
        <w:jc w:val="both"/>
      </w:pPr>
    </w:p>
    <w:p w:rsidR="00A449DC" w:rsidRPr="00A449DC" w:rsidRDefault="00A449DC" w:rsidP="00A449DC">
      <w:pPr>
        <w:jc w:val="both"/>
      </w:pPr>
      <w:r w:rsidRPr="00A449DC">
        <w:t xml:space="preserve">The </w:t>
      </w:r>
      <w:r>
        <w:t>u</w:t>
      </w:r>
      <w:r w:rsidRPr="00A449DC">
        <w:t xml:space="preserve">tility has 133,669 feet of 8-inch collecting mains, 440 feet of 3-inch force mains, 21,043 feet of 4-inch force mains, 38,303 feet of 6-inch force mains, 4,000 feet of 8-inch force mains, and 3,810 feet of 12-inch force mains. Given these parameters and performing the necessary conversions to express the result in gallons per year (gpy), the allowance for infiltration is 50,546,347 gpy. </w:t>
      </w:r>
    </w:p>
    <w:p w:rsidR="00A449DC" w:rsidRPr="00A449DC" w:rsidRDefault="00A449DC" w:rsidP="00A449DC">
      <w:pPr>
        <w:jc w:val="both"/>
      </w:pPr>
    </w:p>
    <w:p w:rsidR="00A449DC" w:rsidRPr="00A449DC" w:rsidRDefault="00A449DC" w:rsidP="00A449DC">
      <w:pPr>
        <w:jc w:val="both"/>
      </w:pPr>
      <w:r w:rsidRPr="00A449DC">
        <w:t xml:space="preserve">The </w:t>
      </w:r>
      <w:r>
        <w:t>u</w:t>
      </w:r>
      <w:r w:rsidRPr="00A449DC">
        <w:t>tility’s records indicated that it billed for 96,230,000 gallons of wastewater based on estimated return rates of water usage during the test year. Thus, the allowance for inflow is 10 percent of that amount, or 9,623,000 gpy. Therefore, the total allowance for inflow and infiltration is 60,169,347 gpy.</w:t>
      </w:r>
    </w:p>
    <w:p w:rsidR="00A449DC" w:rsidRPr="00A449DC" w:rsidRDefault="00A449DC" w:rsidP="00A449DC">
      <w:pPr>
        <w:jc w:val="both"/>
      </w:pPr>
    </w:p>
    <w:p w:rsidR="00A449DC" w:rsidRPr="00A449DC" w:rsidRDefault="00A449DC" w:rsidP="00A449DC">
      <w:pPr>
        <w:jc w:val="both"/>
      </w:pPr>
      <w:r w:rsidRPr="00A449DC">
        <w:lastRenderedPageBreak/>
        <w:t>The</w:t>
      </w:r>
      <w:r>
        <w:t xml:space="preserve"> u</w:t>
      </w:r>
      <w:r w:rsidRPr="00A449DC">
        <w:t>tility reported the wastewater customers had water usage during the test year of 149,727,000 gallons (80,153,000 residential, 37,605,000 multi-family, 31,969,000 non-residential)</w:t>
      </w:r>
      <w:r w:rsidR="000F7640">
        <w:t xml:space="preserve">. </w:t>
      </w:r>
      <w:r w:rsidRPr="00A449DC">
        <w:t>Estimating the residential return at 80 percent and the non-residential return at 90 percent, the total estimated return to the WWTP is 96,230,000 gallons</w:t>
      </w:r>
      <w:r w:rsidR="000F7640">
        <w:t xml:space="preserve">. </w:t>
      </w:r>
      <w:r w:rsidRPr="00A449DC">
        <w:t>Thus, the estimated maximum amount of wastewater that the WWTP should treat, the estimated return plus the allowable I&amp;I, is 156,399,347 gpy</w:t>
      </w:r>
      <w:r w:rsidR="000F7640">
        <w:t xml:space="preserve">. </w:t>
      </w:r>
      <w:r w:rsidRPr="00A449DC">
        <w:t>Any amount treated in excess of this amount is considered excessive I&amp;I.</w:t>
      </w:r>
    </w:p>
    <w:p w:rsidR="00A449DC" w:rsidRPr="00A449DC" w:rsidRDefault="00A449DC" w:rsidP="00A449DC">
      <w:pPr>
        <w:jc w:val="both"/>
      </w:pPr>
    </w:p>
    <w:p w:rsidR="00A0312B" w:rsidRPr="00A0312B" w:rsidRDefault="00A449DC" w:rsidP="00A449DC">
      <w:pPr>
        <w:jc w:val="both"/>
      </w:pPr>
      <w:r w:rsidRPr="00A449DC">
        <w:t xml:space="preserve">According to the staff audit, the </w:t>
      </w:r>
      <w:r>
        <w:t>u</w:t>
      </w:r>
      <w:r w:rsidRPr="00A449DC">
        <w:t>tility purchased 159,287,000 gallons of wastewater treatment during the test year. This is greater than the estimated maximum amount allowable. Therefore, the excessive I&amp;I is 2,887,652 gpy. Expressed as a percentage of wastewater treated, it is 1.81 percent. Thus, a 1.81 percent adjustment to wastewater purchased power and purchased wastewater expenses should be made for excessive I&amp;I.</w:t>
      </w:r>
    </w:p>
    <w:p w:rsidR="00A0312B" w:rsidRPr="00A0312B" w:rsidRDefault="00A0312B" w:rsidP="00A0312B">
      <w:pPr>
        <w:jc w:val="both"/>
      </w:pPr>
    </w:p>
    <w:p w:rsidR="00A0312B" w:rsidRPr="00A0312B" w:rsidRDefault="00A0312B" w:rsidP="00FC75C7">
      <w:pPr>
        <w:rPr>
          <w:rFonts w:ascii="Arial" w:hAnsi="Arial" w:cs="Arial"/>
          <w:b/>
        </w:rPr>
      </w:pPr>
      <w:r w:rsidRPr="00A0312B">
        <w:rPr>
          <w:rFonts w:ascii="Arial" w:hAnsi="Arial" w:cs="Arial"/>
          <w:b/>
        </w:rPr>
        <w:t>Excessive Unaccounted for Water (EUW)</w:t>
      </w:r>
    </w:p>
    <w:p w:rsidR="00A449DC" w:rsidRPr="00A449DC" w:rsidRDefault="00A449DC" w:rsidP="00A449DC">
      <w:pPr>
        <w:spacing w:after="240"/>
        <w:jc w:val="both"/>
      </w:pPr>
      <w:r w:rsidRPr="00A449DC">
        <w:t>Pursuant to Rule 25-30.4325, F.A.C., the calculation of U&amp;U for a water treatment plant must consider EUW. Rule 25-30.4325, F.A.C., describes EUW as unaccounted for water in excess of 10 percent of the amount produced. When establishing the Rule, the Commission recognized that some uses of water are readily measurable and others are not.</w:t>
      </w:r>
      <w:r w:rsidRPr="00A449DC">
        <w:rPr>
          <w:vertAlign w:val="superscript"/>
        </w:rPr>
        <w:footnoteReference w:id="13"/>
      </w:r>
      <w:r w:rsidRPr="00A449DC">
        <w:t xml:space="preserve"> Unaccounted for water is all water that is produced that is not sold, metered, or accounted for in the records of the utility. The unaccounted for water is calculated by subtracting both the gallons used for other purposes, such as flushing, and the gallons sold to customers from the total gallons pumped for the test year. The Rule additionally provides that to determine whether adjustments to plant and operating expenses, such as purchased electrical power and chemicals cost, are necessary, the Commission will consider all relevant factors as to the reason for EUW, solutions implemented to correct the problem, or whether a proposed solution is economically feasible. </w:t>
      </w:r>
    </w:p>
    <w:p w:rsidR="00A0312B" w:rsidRPr="00A0312B" w:rsidRDefault="00A449DC" w:rsidP="00A449DC">
      <w:pPr>
        <w:spacing w:after="240"/>
        <w:jc w:val="both"/>
      </w:pPr>
      <w:r w:rsidRPr="00A449DC">
        <w:t>According to the MFRs, the utility purchased 21,460,000 gallons of water and used 1,500,000 gallons of water for other uses during the test year. According to the staff audit report, the utility sold 18,083,140 gallons of water for the test year. Based on the values above, unaccounted for water is 8.75 percent. Therefore, staff recommends no adjustment be made to operating expenses for chemicals and purchase power due to EUW.</w:t>
      </w:r>
    </w:p>
    <w:p w:rsidR="00A0312B" w:rsidRPr="00A0312B" w:rsidRDefault="00A0312B" w:rsidP="00FC75C7">
      <w:pPr>
        <w:tabs>
          <w:tab w:val="left" w:pos="2775"/>
        </w:tabs>
        <w:jc w:val="both"/>
        <w:rPr>
          <w:rFonts w:ascii="Arial" w:hAnsi="Arial" w:cs="Arial"/>
          <w:b/>
        </w:rPr>
      </w:pPr>
      <w:r w:rsidRPr="00A0312B">
        <w:rPr>
          <w:rFonts w:ascii="Arial" w:hAnsi="Arial" w:cs="Arial"/>
          <w:b/>
        </w:rPr>
        <w:t>Summary</w:t>
      </w:r>
    </w:p>
    <w:p w:rsidR="00A0312B" w:rsidRPr="00A0312B" w:rsidRDefault="00A449DC" w:rsidP="00A0312B">
      <w:pPr>
        <w:jc w:val="both"/>
      </w:pPr>
      <w:r w:rsidRPr="00A449DC">
        <w:t>Based on the analysis above, staff recommends Ni Florida’s water distribution system should be considered 100 percent U&amp;U and its wastewater collection system should be considered 100 percent U&amp;U. Staff recommends that wastewater purchased power and purchased wastewater expenses should be reduced by 1.81 percent for excessive I&amp;I. No adjustment is recommended for EUW</w:t>
      </w:r>
      <w:r>
        <w:t>.</w:t>
      </w:r>
    </w:p>
    <w:p w:rsidR="008141A3" w:rsidRDefault="008141A3">
      <w:pPr>
        <w:rPr>
          <w:rFonts w:ascii="Arial" w:hAnsi="Arial" w:cs="Arial"/>
          <w:b/>
          <w:bCs/>
          <w:i/>
          <w:kern w:val="32"/>
          <w:szCs w:val="32"/>
        </w:rPr>
      </w:pPr>
      <w:r>
        <w:br w:type="page"/>
      </w:r>
    </w:p>
    <w:p w:rsidR="00E0693A" w:rsidRDefault="00E0693A">
      <w:pPr>
        <w:pStyle w:val="IssueHeading"/>
        <w:rPr>
          <w:vanish/>
          <w:specVanish/>
        </w:rPr>
      </w:pP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6</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464661203"/>
      <w:r w:rsidR="007F50C0">
        <w:rPr>
          <w:noProof/>
        </w:rPr>
        <w:instrText>6</w:instrText>
      </w:r>
      <w:r>
        <w:fldChar w:fldCharType="end"/>
      </w:r>
      <w:r>
        <w:tab/>
      </w:r>
      <w:r w:rsidR="008F36C4">
        <w:instrText>Working Capital</w:instrText>
      </w:r>
      <w:bookmarkEnd w:id="22"/>
      <w:r>
        <w:instrText xml:space="preserve">" \l 1 </w:instrText>
      </w:r>
      <w:r>
        <w:fldChar w:fldCharType="end"/>
      </w:r>
      <w:r>
        <w:t> </w:t>
      </w:r>
    </w:p>
    <w:p w:rsidR="00E0693A" w:rsidRDefault="00E0693A">
      <w:pPr>
        <w:pStyle w:val="BodyText"/>
      </w:pPr>
      <w:r>
        <w:t xml:space="preserve"> What is the appropriate working </w:t>
      </w:r>
      <w:r w:rsidR="005744C1">
        <w:t>capital</w:t>
      </w:r>
      <w:r>
        <w:t xml:space="preserve"> allowance?</w:t>
      </w:r>
    </w:p>
    <w:p w:rsidR="00E0693A" w:rsidRPr="004C3641" w:rsidRDefault="00E0693A">
      <w:pPr>
        <w:pStyle w:val="IssueSubsectionHeading"/>
        <w:rPr>
          <w:vanish/>
          <w:specVanish/>
        </w:rPr>
      </w:pPr>
      <w:r w:rsidRPr="004C3641">
        <w:t>Recommendation: </w:t>
      </w:r>
    </w:p>
    <w:p w:rsidR="00E0693A" w:rsidRDefault="00E0693A">
      <w:pPr>
        <w:pStyle w:val="BodyText"/>
      </w:pPr>
      <w:r>
        <w:t> </w:t>
      </w:r>
      <w:r w:rsidR="00A8147A" w:rsidRPr="00A8147A">
        <w:rPr>
          <w:rFonts w:cs="Calibri"/>
        </w:rPr>
        <w:t>The appropriate working capital allowance is $77,050 for water and $217,123 for wastewater. As such, the working capital allowance should be decreased by $4,534 for water and $65,795 for wastewater.</w:t>
      </w:r>
      <w:r w:rsidR="0068078A" w:rsidRPr="00CA7713">
        <w:rPr>
          <w:rFonts w:cs="Calibri"/>
        </w:rPr>
        <w:t xml:space="preserve"> </w:t>
      </w:r>
      <w:r>
        <w:t xml:space="preserve"> (Brown)</w:t>
      </w:r>
    </w:p>
    <w:p w:rsidR="00E0693A" w:rsidRPr="004C3641" w:rsidRDefault="00E0693A">
      <w:pPr>
        <w:pStyle w:val="IssueSubsectionHeading"/>
        <w:rPr>
          <w:vanish/>
          <w:specVanish/>
        </w:rPr>
      </w:pPr>
      <w:r w:rsidRPr="004C3641">
        <w:t>Staff Analysis: </w:t>
      </w:r>
    </w:p>
    <w:p w:rsidR="00A8147A" w:rsidRPr="00A8147A" w:rsidRDefault="00E0693A" w:rsidP="00A8147A">
      <w:pPr>
        <w:autoSpaceDE w:val="0"/>
        <w:autoSpaceDN w:val="0"/>
        <w:adjustRightInd w:val="0"/>
        <w:jc w:val="both"/>
      </w:pPr>
      <w:r>
        <w:t> </w:t>
      </w:r>
      <w:r w:rsidR="00A8147A" w:rsidRPr="00A8147A">
        <w:t xml:space="preserve">Rule 25-30.433(2), F.A.C., requires Class A utilities to use the balance sheet approach to calculate the working capital allowance. According to its filing, Ni Florida utilized the balance sheet approach and calculated a total company working capital allowance of $364,502, which was allocated to each of Ni Florida's systems based on ERCs as of December 31, 2015. The balance sheet approach is essentially current assets less current liabilities. As discussed in Issue 2, the </w:t>
      </w:r>
      <w:r w:rsidR="002D6F3D">
        <w:t>u</w:t>
      </w:r>
      <w:r w:rsidR="00A8147A" w:rsidRPr="00A8147A">
        <w:t>tility agreed to audit adjustments to decrease wastewater working capital by $50,119. Based on further review, staff believes additional adjustments are necessary to address the appropriate amounts for deferred rate case expense (DRCE) and current rate case expense.</w:t>
      </w:r>
    </w:p>
    <w:p w:rsidR="00A8147A" w:rsidRPr="00A8147A" w:rsidRDefault="00A8147A" w:rsidP="00A8147A">
      <w:pPr>
        <w:autoSpaceDE w:val="0"/>
        <w:autoSpaceDN w:val="0"/>
        <w:adjustRightInd w:val="0"/>
        <w:jc w:val="center"/>
        <w:rPr>
          <w:rFonts w:cs="Calibri"/>
        </w:rPr>
      </w:pPr>
    </w:p>
    <w:p w:rsidR="00A8147A" w:rsidRPr="00A8147A" w:rsidRDefault="00A8147A" w:rsidP="00A8147A">
      <w:pPr>
        <w:autoSpaceDE w:val="0"/>
        <w:autoSpaceDN w:val="0"/>
        <w:adjustRightInd w:val="0"/>
        <w:jc w:val="both"/>
      </w:pPr>
      <w:r w:rsidRPr="00A8147A">
        <w:t>The utility included $60,448 in its working capital calculation for DRCE.</w:t>
      </w:r>
      <w:r w:rsidRPr="00A8147A">
        <w:rPr>
          <w:i/>
        </w:rPr>
        <w:t xml:space="preserve"> </w:t>
      </w:r>
      <w:r w:rsidRPr="00A8147A">
        <w:t xml:space="preserve">It is Commission practice to include one-half of the approved </w:t>
      </w:r>
      <w:proofErr w:type="gramStart"/>
      <w:r w:rsidRPr="00A8147A">
        <w:t>amount</w:t>
      </w:r>
      <w:proofErr w:type="gramEnd"/>
      <w:r w:rsidRPr="00A8147A">
        <w:t xml:space="preserve"> of rate case expense from prior cases that have not been fully amortized, as well as half of the approved amount in the instant docket in working capital under the balance sheet method.</w:t>
      </w:r>
      <w:r w:rsidRPr="00A8147A">
        <w:rPr>
          <w:vertAlign w:val="superscript"/>
        </w:rPr>
        <w:footnoteReference w:id="14"/>
      </w:r>
      <w:r w:rsidRPr="00A8147A">
        <w:t xml:space="preserve"> In the </w:t>
      </w:r>
      <w:r w:rsidR="002D6F3D">
        <w:t>u</w:t>
      </w:r>
      <w:r w:rsidRPr="00A8147A">
        <w:t>tility's last rate case, the Commission approved total rate case expense of $149,321 to be amortized over four years.</w:t>
      </w:r>
      <w:r w:rsidRPr="00A8147A">
        <w:rPr>
          <w:vertAlign w:val="superscript"/>
        </w:rPr>
        <w:footnoteReference w:id="15"/>
      </w:r>
      <w:r w:rsidRPr="00A8147A">
        <w:t xml:space="preserve"> Staff believes that one-half of the prior Commission-approved rate case expense, or $74,661, is the appropriate amount of DRCE to be included in working capital. As such, DRCE should be increased by $14,213 ($74,661 - $60,448), $2,738 for water and $11,475 for wastewater.</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rPr>
          <w:i/>
        </w:rPr>
      </w:pPr>
      <w:r w:rsidRPr="00A8147A">
        <w:t xml:space="preserve">As addressed in a subsequent issue, staff is recommending total rate case expense of $95,082. Consistent with Commission practice, the allocation of one-half of the recommended rate case expense for the instant case results in $9,984 for water and $37,557 for wastewater. This is a reduction of $7,272 and $27,151 for water and wastewater respectively over the amount of current rate case expense included in the MFRs. </w:t>
      </w:r>
    </w:p>
    <w:p w:rsidR="00A8147A" w:rsidRPr="00A8147A" w:rsidRDefault="00A8147A" w:rsidP="00A8147A">
      <w:pPr>
        <w:autoSpaceDE w:val="0"/>
        <w:autoSpaceDN w:val="0"/>
        <w:adjustRightInd w:val="0"/>
        <w:jc w:val="both"/>
        <w:rPr>
          <w:i/>
        </w:rPr>
      </w:pPr>
    </w:p>
    <w:p w:rsidR="00A8147A" w:rsidRPr="00A8147A" w:rsidRDefault="00A8147A" w:rsidP="00A8147A">
      <w:pPr>
        <w:autoSpaceDE w:val="0"/>
        <w:autoSpaceDN w:val="0"/>
        <w:adjustRightInd w:val="0"/>
        <w:jc w:val="both"/>
      </w:pPr>
      <w:r w:rsidRPr="00A8147A">
        <w:rPr>
          <w:rFonts w:cs="Calibri"/>
        </w:rPr>
        <w:t xml:space="preserve">Based on the adjustments above, staff recommends a working capital allowance of $77,050 for water and $217,123 for wastewater. This reflects decreases of $4,534 for water and $65,795 for wastewater. </w:t>
      </w:r>
      <w:r w:rsidRPr="00A8147A">
        <w:t xml:space="preserve">These adjustments are illustrated in the </w:t>
      </w:r>
      <w:r w:rsidR="0075565F">
        <w:t>T</w:t>
      </w:r>
      <w:r w:rsidRPr="00A8147A">
        <w:t>able 6-1 below.</w:t>
      </w: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pPr>
    </w:p>
    <w:p w:rsidR="00A8147A" w:rsidRPr="00A8147A" w:rsidRDefault="00A8147A" w:rsidP="00A8147A">
      <w:pPr>
        <w:autoSpaceDE w:val="0"/>
        <w:autoSpaceDN w:val="0"/>
        <w:adjustRightInd w:val="0"/>
        <w:jc w:val="both"/>
        <w:rPr>
          <w:rFonts w:cs="Calibri"/>
        </w:rPr>
      </w:pPr>
    </w:p>
    <w:p w:rsidR="00A8147A" w:rsidRPr="00A8147A" w:rsidRDefault="00A8147A" w:rsidP="00A8147A"/>
    <w:p w:rsidR="00A8147A" w:rsidRDefault="00A8147A">
      <w:pPr>
        <w:rPr>
          <w:rFonts w:ascii="Arial" w:hAnsi="Arial" w:cs="Arial"/>
          <w:b/>
        </w:rPr>
      </w:pPr>
      <w:r>
        <w:rPr>
          <w:rFonts w:ascii="Arial" w:hAnsi="Arial" w:cs="Arial"/>
          <w:b/>
        </w:rPr>
        <w:br w:type="page"/>
      </w:r>
    </w:p>
    <w:p w:rsidR="00A8147A" w:rsidRPr="00A8147A" w:rsidRDefault="00A8147A" w:rsidP="00A8147A">
      <w:pPr>
        <w:jc w:val="center"/>
        <w:rPr>
          <w:rFonts w:ascii="Arial" w:hAnsi="Arial" w:cs="Arial"/>
          <w:b/>
        </w:rPr>
      </w:pPr>
      <w:r w:rsidRPr="00A8147A">
        <w:rPr>
          <w:rFonts w:ascii="Arial" w:hAnsi="Arial" w:cs="Arial"/>
          <w:b/>
        </w:rPr>
        <w:lastRenderedPageBreak/>
        <w:t>Table 6-1</w:t>
      </w:r>
    </w:p>
    <w:p w:rsidR="00A8147A" w:rsidRPr="00A8147A" w:rsidRDefault="00A8147A" w:rsidP="00A8147A">
      <w:pPr>
        <w:jc w:val="center"/>
        <w:rPr>
          <w:rFonts w:ascii="Arial" w:hAnsi="Arial" w:cs="Arial"/>
          <w:b/>
        </w:rPr>
      </w:pPr>
      <w:r w:rsidRPr="00A8147A">
        <w:rPr>
          <w:rFonts w:ascii="Arial" w:hAnsi="Arial" w:cs="Arial"/>
          <w:b/>
        </w:rPr>
        <w:t>Working Capital Adjustments</w:t>
      </w:r>
    </w:p>
    <w:tbl>
      <w:tblPr>
        <w:tblStyle w:val="TableGrid4"/>
        <w:tblW w:w="0" w:type="auto"/>
        <w:tblInd w:w="738" w:type="dxa"/>
        <w:tblLook w:val="04A0" w:firstRow="1" w:lastRow="0" w:firstColumn="1" w:lastColumn="0" w:noHBand="0" w:noVBand="1"/>
      </w:tblPr>
      <w:tblGrid>
        <w:gridCol w:w="3780"/>
        <w:gridCol w:w="1980"/>
        <w:gridCol w:w="1980"/>
      </w:tblGrid>
      <w:tr w:rsidR="00A8147A" w:rsidRPr="00A8147A" w:rsidTr="00A8147A">
        <w:tc>
          <w:tcPr>
            <w:tcW w:w="3780" w:type="dxa"/>
          </w:tcPr>
          <w:p w:rsidR="00A8147A" w:rsidRPr="00A8147A" w:rsidRDefault="00A8147A" w:rsidP="00A8147A">
            <w:pPr>
              <w:jc w:val="center"/>
              <w:rPr>
                <w:b/>
              </w:rPr>
            </w:pPr>
            <w:r w:rsidRPr="00A8147A">
              <w:rPr>
                <w:b/>
                <w:bCs/>
                <w:kern w:val="32"/>
                <w:szCs w:val="32"/>
              </w:rPr>
              <w:t>Description</w:t>
            </w:r>
          </w:p>
        </w:tc>
        <w:tc>
          <w:tcPr>
            <w:tcW w:w="1980" w:type="dxa"/>
          </w:tcPr>
          <w:p w:rsidR="00A8147A" w:rsidRPr="00A8147A" w:rsidRDefault="00A8147A" w:rsidP="00A8147A">
            <w:pPr>
              <w:jc w:val="center"/>
              <w:rPr>
                <w:b/>
              </w:rPr>
            </w:pPr>
            <w:r w:rsidRPr="00A8147A">
              <w:rPr>
                <w:b/>
              </w:rPr>
              <w:t>Water</w:t>
            </w:r>
          </w:p>
        </w:tc>
        <w:tc>
          <w:tcPr>
            <w:tcW w:w="1980" w:type="dxa"/>
          </w:tcPr>
          <w:p w:rsidR="00A8147A" w:rsidRPr="00A8147A" w:rsidRDefault="00A8147A" w:rsidP="00A8147A">
            <w:pPr>
              <w:jc w:val="center"/>
              <w:rPr>
                <w:b/>
              </w:rPr>
            </w:pPr>
            <w:r w:rsidRPr="00A8147A">
              <w:rPr>
                <w:b/>
                <w:bCs/>
                <w:kern w:val="32"/>
                <w:szCs w:val="32"/>
              </w:rPr>
              <w:t>Wastewater</w:t>
            </w:r>
          </w:p>
        </w:tc>
      </w:tr>
      <w:tr w:rsidR="00A8147A" w:rsidRPr="00A8147A" w:rsidTr="00A8147A">
        <w:trPr>
          <w:trHeight w:val="323"/>
        </w:trPr>
        <w:tc>
          <w:tcPr>
            <w:tcW w:w="3780" w:type="dxa"/>
            <w:vAlign w:val="center"/>
          </w:tcPr>
          <w:p w:rsidR="00A8147A" w:rsidRPr="00A8147A" w:rsidRDefault="00A8147A" w:rsidP="00A8147A">
            <w:r w:rsidRPr="00A8147A">
              <w:rPr>
                <w:bCs/>
                <w:kern w:val="32"/>
                <w:szCs w:val="32"/>
              </w:rPr>
              <w:t xml:space="preserve">MFR Amount  </w:t>
            </w:r>
          </w:p>
        </w:tc>
        <w:tc>
          <w:tcPr>
            <w:tcW w:w="1980" w:type="dxa"/>
            <w:vAlign w:val="center"/>
          </w:tcPr>
          <w:p w:rsidR="00A8147A" w:rsidRPr="00A8147A" w:rsidRDefault="00A8147A" w:rsidP="00A8147A">
            <w:pPr>
              <w:jc w:val="right"/>
            </w:pPr>
            <w:r w:rsidRPr="00A8147A">
              <w:rPr>
                <w:bCs/>
                <w:kern w:val="32"/>
                <w:szCs w:val="32"/>
              </w:rPr>
              <w:t>$81,584</w:t>
            </w:r>
          </w:p>
        </w:tc>
        <w:tc>
          <w:tcPr>
            <w:tcW w:w="1980" w:type="dxa"/>
            <w:vAlign w:val="center"/>
          </w:tcPr>
          <w:p w:rsidR="00A8147A" w:rsidRPr="00A8147A" w:rsidRDefault="00A8147A" w:rsidP="00A8147A">
            <w:pPr>
              <w:jc w:val="right"/>
            </w:pPr>
            <w:r w:rsidRPr="00A8147A">
              <w:rPr>
                <w:bCs/>
                <w:kern w:val="32"/>
                <w:szCs w:val="32"/>
              </w:rPr>
              <w:t>$282,918</w:t>
            </w:r>
          </w:p>
        </w:tc>
      </w:tr>
      <w:tr w:rsidR="00A8147A" w:rsidRPr="00A8147A" w:rsidTr="00A8147A">
        <w:trPr>
          <w:trHeight w:val="350"/>
        </w:trPr>
        <w:tc>
          <w:tcPr>
            <w:tcW w:w="3780" w:type="dxa"/>
            <w:vAlign w:val="center"/>
          </w:tcPr>
          <w:p w:rsidR="00A8147A" w:rsidRPr="00A8147A" w:rsidRDefault="00A8147A" w:rsidP="00A8147A">
            <w:r w:rsidRPr="00A8147A">
              <w:rPr>
                <w:bCs/>
                <w:kern w:val="32"/>
                <w:szCs w:val="32"/>
              </w:rPr>
              <w:t xml:space="preserve">Agreed Upon Audit Adjustments  </w:t>
            </w:r>
          </w:p>
        </w:tc>
        <w:tc>
          <w:tcPr>
            <w:tcW w:w="1980" w:type="dxa"/>
            <w:vAlign w:val="center"/>
          </w:tcPr>
          <w:p w:rsidR="00A8147A" w:rsidRPr="00A8147A" w:rsidRDefault="00A8147A" w:rsidP="00A8147A">
            <w:pPr>
              <w:jc w:val="right"/>
            </w:pPr>
            <w:r w:rsidRPr="00A8147A">
              <w:rPr>
                <w:bCs/>
                <w:kern w:val="32"/>
                <w:szCs w:val="32"/>
              </w:rPr>
              <w:t>0</w:t>
            </w:r>
          </w:p>
        </w:tc>
        <w:tc>
          <w:tcPr>
            <w:tcW w:w="1980" w:type="dxa"/>
            <w:vAlign w:val="center"/>
          </w:tcPr>
          <w:p w:rsidR="00A8147A" w:rsidRPr="00A8147A" w:rsidRDefault="00A8147A" w:rsidP="00A8147A">
            <w:pPr>
              <w:jc w:val="right"/>
              <w:rPr>
                <w:bCs/>
                <w:kern w:val="32"/>
                <w:szCs w:val="32"/>
              </w:rPr>
            </w:pPr>
            <w:r w:rsidRPr="00A8147A">
              <w:rPr>
                <w:bCs/>
                <w:kern w:val="32"/>
                <w:szCs w:val="32"/>
              </w:rPr>
              <w:t>(50,119)</w:t>
            </w:r>
          </w:p>
        </w:tc>
      </w:tr>
      <w:tr w:rsidR="00A8147A" w:rsidRPr="00A8147A" w:rsidTr="00A8147A">
        <w:trPr>
          <w:trHeight w:val="350"/>
        </w:trPr>
        <w:tc>
          <w:tcPr>
            <w:tcW w:w="3780" w:type="dxa"/>
            <w:vAlign w:val="center"/>
          </w:tcPr>
          <w:p w:rsidR="00A8147A" w:rsidRPr="00A8147A" w:rsidRDefault="00A8147A" w:rsidP="00A8147A">
            <w:r w:rsidRPr="00A8147A">
              <w:rPr>
                <w:bCs/>
                <w:kern w:val="32"/>
                <w:szCs w:val="32"/>
              </w:rPr>
              <w:t xml:space="preserve">DRCE Adjustments </w:t>
            </w:r>
          </w:p>
        </w:tc>
        <w:tc>
          <w:tcPr>
            <w:tcW w:w="1980" w:type="dxa"/>
            <w:vAlign w:val="center"/>
          </w:tcPr>
          <w:p w:rsidR="00A8147A" w:rsidRPr="00A8147A" w:rsidRDefault="00A8147A" w:rsidP="00A8147A">
            <w:pPr>
              <w:jc w:val="right"/>
            </w:pPr>
            <w:r w:rsidRPr="00A8147A">
              <w:rPr>
                <w:bCs/>
                <w:kern w:val="32"/>
                <w:szCs w:val="32"/>
              </w:rPr>
              <w:t>2,738</w:t>
            </w:r>
          </w:p>
        </w:tc>
        <w:tc>
          <w:tcPr>
            <w:tcW w:w="1980" w:type="dxa"/>
            <w:vAlign w:val="center"/>
          </w:tcPr>
          <w:p w:rsidR="00A8147A" w:rsidRPr="00A8147A" w:rsidRDefault="00A8147A" w:rsidP="00A8147A">
            <w:pPr>
              <w:jc w:val="right"/>
            </w:pPr>
            <w:r w:rsidRPr="00A8147A">
              <w:rPr>
                <w:bCs/>
                <w:kern w:val="32"/>
                <w:szCs w:val="32"/>
              </w:rPr>
              <w:t>11,475</w:t>
            </w:r>
          </w:p>
        </w:tc>
      </w:tr>
      <w:tr w:rsidR="00A8147A" w:rsidRPr="00A8147A" w:rsidTr="00A8147A">
        <w:trPr>
          <w:trHeight w:val="350"/>
        </w:trPr>
        <w:tc>
          <w:tcPr>
            <w:tcW w:w="3780" w:type="dxa"/>
            <w:vAlign w:val="center"/>
          </w:tcPr>
          <w:p w:rsidR="00A8147A" w:rsidRPr="00A8147A" w:rsidRDefault="00A8147A" w:rsidP="00A8147A">
            <w:r w:rsidRPr="00A8147A">
              <w:t>Current RCE Adjustment</w:t>
            </w:r>
          </w:p>
        </w:tc>
        <w:tc>
          <w:tcPr>
            <w:tcW w:w="1980" w:type="dxa"/>
            <w:vAlign w:val="center"/>
          </w:tcPr>
          <w:p w:rsidR="00A8147A" w:rsidRPr="001C77F9" w:rsidRDefault="00A8147A" w:rsidP="00A8147A">
            <w:pPr>
              <w:jc w:val="right"/>
              <w:rPr>
                <w:u w:val="single"/>
              </w:rPr>
            </w:pPr>
            <w:r w:rsidRPr="001C77F9">
              <w:rPr>
                <w:u w:val="single"/>
              </w:rPr>
              <w:t>(7,272)</w:t>
            </w:r>
          </w:p>
        </w:tc>
        <w:tc>
          <w:tcPr>
            <w:tcW w:w="1980" w:type="dxa"/>
            <w:vAlign w:val="center"/>
          </w:tcPr>
          <w:p w:rsidR="00A8147A" w:rsidRPr="001C77F9" w:rsidRDefault="00A8147A" w:rsidP="00A8147A">
            <w:pPr>
              <w:jc w:val="right"/>
              <w:rPr>
                <w:u w:val="single"/>
              </w:rPr>
            </w:pPr>
            <w:r w:rsidRPr="001C77F9">
              <w:rPr>
                <w:u w:val="single"/>
              </w:rPr>
              <w:t>(27,151)</w:t>
            </w:r>
          </w:p>
        </w:tc>
      </w:tr>
      <w:tr w:rsidR="00A8147A" w:rsidRPr="00A8147A" w:rsidTr="00A8147A">
        <w:trPr>
          <w:trHeight w:val="350"/>
        </w:trPr>
        <w:tc>
          <w:tcPr>
            <w:tcW w:w="3780" w:type="dxa"/>
            <w:vAlign w:val="center"/>
          </w:tcPr>
          <w:p w:rsidR="00A8147A" w:rsidRPr="00A8147A" w:rsidRDefault="00A8147A" w:rsidP="00A8147A">
            <w:r w:rsidRPr="00A8147A">
              <w:rPr>
                <w:bCs/>
                <w:kern w:val="32"/>
                <w:szCs w:val="32"/>
              </w:rPr>
              <w:t xml:space="preserve">Staff Calculated WCA </w:t>
            </w:r>
          </w:p>
        </w:tc>
        <w:tc>
          <w:tcPr>
            <w:tcW w:w="1980" w:type="dxa"/>
            <w:vAlign w:val="center"/>
          </w:tcPr>
          <w:p w:rsidR="00A8147A" w:rsidRPr="001C77F9" w:rsidRDefault="00A8147A" w:rsidP="00A8147A">
            <w:pPr>
              <w:jc w:val="right"/>
              <w:rPr>
                <w:u w:val="double"/>
              </w:rPr>
            </w:pPr>
            <w:r w:rsidRPr="001C77F9">
              <w:rPr>
                <w:bCs/>
                <w:kern w:val="32"/>
                <w:szCs w:val="32"/>
                <w:u w:val="double"/>
              </w:rPr>
              <w:t>$77,050</w:t>
            </w:r>
          </w:p>
        </w:tc>
        <w:tc>
          <w:tcPr>
            <w:tcW w:w="1980" w:type="dxa"/>
            <w:vAlign w:val="center"/>
          </w:tcPr>
          <w:p w:rsidR="00A8147A" w:rsidRPr="001C77F9" w:rsidRDefault="00A8147A" w:rsidP="00A8147A">
            <w:pPr>
              <w:jc w:val="right"/>
              <w:rPr>
                <w:u w:val="double"/>
              </w:rPr>
            </w:pPr>
            <w:r w:rsidRPr="001C77F9">
              <w:rPr>
                <w:bCs/>
                <w:kern w:val="32"/>
                <w:szCs w:val="32"/>
                <w:u w:val="double"/>
              </w:rPr>
              <w:t>$217,123</w:t>
            </w:r>
          </w:p>
        </w:tc>
      </w:tr>
      <w:tr w:rsidR="00A8147A" w:rsidRPr="00A8147A" w:rsidTr="00A8147A">
        <w:trPr>
          <w:trHeight w:val="350"/>
        </w:trPr>
        <w:tc>
          <w:tcPr>
            <w:tcW w:w="3780" w:type="dxa"/>
            <w:vAlign w:val="center"/>
          </w:tcPr>
          <w:p w:rsidR="00A8147A" w:rsidRPr="00A8147A" w:rsidRDefault="00A8147A" w:rsidP="00A8147A">
            <w:pPr>
              <w:rPr>
                <w:bCs/>
                <w:kern w:val="32"/>
                <w:szCs w:val="32"/>
              </w:rPr>
            </w:pPr>
            <w:r w:rsidRPr="00A8147A">
              <w:rPr>
                <w:bCs/>
                <w:kern w:val="32"/>
                <w:szCs w:val="32"/>
              </w:rPr>
              <w:t>Staff Working Capital Adjustment</w:t>
            </w:r>
          </w:p>
        </w:tc>
        <w:tc>
          <w:tcPr>
            <w:tcW w:w="1980" w:type="dxa"/>
            <w:vAlign w:val="center"/>
          </w:tcPr>
          <w:p w:rsidR="00A8147A" w:rsidRPr="001C77F9" w:rsidRDefault="00A8147A" w:rsidP="00A8147A">
            <w:pPr>
              <w:jc w:val="right"/>
              <w:rPr>
                <w:bCs/>
                <w:kern w:val="32"/>
                <w:szCs w:val="32"/>
                <w:u w:val="double"/>
              </w:rPr>
            </w:pPr>
            <w:r w:rsidRPr="001C77F9">
              <w:rPr>
                <w:bCs/>
                <w:kern w:val="32"/>
                <w:szCs w:val="32"/>
                <w:u w:val="double"/>
              </w:rPr>
              <w:t>($4,534)</w:t>
            </w:r>
          </w:p>
        </w:tc>
        <w:tc>
          <w:tcPr>
            <w:tcW w:w="1980" w:type="dxa"/>
            <w:vAlign w:val="center"/>
          </w:tcPr>
          <w:p w:rsidR="00A8147A" w:rsidRPr="001C77F9" w:rsidRDefault="00A8147A" w:rsidP="00A8147A">
            <w:pPr>
              <w:jc w:val="right"/>
              <w:rPr>
                <w:bCs/>
                <w:kern w:val="32"/>
                <w:szCs w:val="32"/>
                <w:u w:val="double"/>
              </w:rPr>
            </w:pPr>
            <w:r w:rsidRPr="001C77F9">
              <w:rPr>
                <w:bCs/>
                <w:kern w:val="32"/>
                <w:szCs w:val="32"/>
                <w:u w:val="double"/>
              </w:rPr>
              <w:t>($65,795)</w:t>
            </w:r>
          </w:p>
        </w:tc>
      </w:tr>
    </w:tbl>
    <w:p w:rsidR="00A8147A" w:rsidRPr="00A8147A" w:rsidRDefault="00A8147A" w:rsidP="00A8147A">
      <w:r w:rsidRPr="00A8147A">
        <w:t xml:space="preserve">          Source: MFRs, Audit Report for Ni Florida, LLC</w:t>
      </w:r>
    </w:p>
    <w:p w:rsidR="00E0693A" w:rsidRDefault="00E0693A" w:rsidP="00A8147A">
      <w:pPr>
        <w:autoSpaceDE w:val="0"/>
        <w:autoSpaceDN w:val="0"/>
        <w:adjustRightInd w:val="0"/>
        <w:jc w:val="both"/>
      </w:pPr>
    </w:p>
    <w:p w:rsidR="003914EC" w:rsidRDefault="003914EC">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7</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464661204"/>
      <w:r w:rsidR="007F50C0">
        <w:rPr>
          <w:noProof/>
        </w:rPr>
        <w:instrText>7</w:instrText>
      </w:r>
      <w:r>
        <w:fldChar w:fldCharType="end"/>
      </w:r>
      <w:r>
        <w:tab/>
      </w:r>
      <w:r w:rsidR="008F36C4">
        <w:instrText>Rate Base</w:instrText>
      </w:r>
      <w:bookmarkEnd w:id="23"/>
      <w:r>
        <w:instrText xml:space="preserve">" \l 1 </w:instrText>
      </w:r>
      <w:r>
        <w:fldChar w:fldCharType="end"/>
      </w:r>
      <w:r>
        <w:t> </w:t>
      </w:r>
    </w:p>
    <w:p w:rsidR="003914EC" w:rsidRDefault="003914EC">
      <w:pPr>
        <w:pStyle w:val="BodyText"/>
      </w:pPr>
      <w:r>
        <w:t> What is the appropriate rate base for the test year ending December 31, 2015?</w:t>
      </w:r>
    </w:p>
    <w:p w:rsidR="003914EC" w:rsidRPr="004C3641" w:rsidRDefault="003914EC">
      <w:pPr>
        <w:pStyle w:val="IssueSubsectionHeading"/>
        <w:rPr>
          <w:vanish/>
          <w:specVanish/>
        </w:rPr>
      </w:pPr>
      <w:r w:rsidRPr="004C3641">
        <w:t>Recommendation: </w:t>
      </w:r>
    </w:p>
    <w:p w:rsidR="003914EC" w:rsidRDefault="003914EC">
      <w:pPr>
        <w:pStyle w:val="BodyText"/>
      </w:pPr>
      <w:r>
        <w:t> </w:t>
      </w:r>
      <w:r w:rsidR="00A8147A" w:rsidRPr="00A8147A">
        <w:t xml:space="preserve">Consistent with staff’s other recommended adjustments, the appropriate rate base for the test year ended December 31, 2015, is $340,468 for water and $3,964,854 for wastewater. </w:t>
      </w:r>
      <w:r>
        <w:t>(Brown)</w:t>
      </w:r>
    </w:p>
    <w:p w:rsidR="00A8147A" w:rsidRPr="00A8147A" w:rsidRDefault="003914EC" w:rsidP="002234BC">
      <w:pPr>
        <w:pStyle w:val="IssueSubsectionHeading"/>
        <w:rPr>
          <w:bCs w:val="0"/>
          <w:iCs w:val="0"/>
          <w:vanish/>
        </w:rPr>
      </w:pPr>
      <w:r w:rsidRPr="004C3641">
        <w:t>Staff Analysis: </w:t>
      </w:r>
      <w:r w:rsidR="00A8147A" w:rsidRPr="00A8147A">
        <w:rPr>
          <w:b w:val="0"/>
          <w:bCs w:val="0"/>
          <w:i w:val="0"/>
          <w:iCs w:val="0"/>
        </w:rPr>
        <w:t> </w:t>
      </w:r>
    </w:p>
    <w:p w:rsidR="00C30A20" w:rsidRPr="00C30A20" w:rsidRDefault="00C30A20" w:rsidP="00C30A20">
      <w:pPr>
        <w:spacing w:after="240"/>
        <w:jc w:val="both"/>
        <w:outlineLvl w:val="1"/>
        <w:rPr>
          <w:bCs/>
          <w:iCs/>
          <w:vanish/>
        </w:rPr>
      </w:pPr>
      <w:r w:rsidRPr="00C30A20">
        <w:rPr>
          <w:b/>
          <w:bCs/>
          <w:i/>
          <w:iCs/>
        </w:rPr>
        <w:t> </w:t>
      </w:r>
    </w:p>
    <w:p w:rsidR="007A5A94" w:rsidRPr="007A5A94" w:rsidRDefault="00C30A20" w:rsidP="00C30A20">
      <w:pPr>
        <w:spacing w:after="240"/>
        <w:jc w:val="both"/>
        <w:outlineLvl w:val="1"/>
        <w:rPr>
          <w:rFonts w:eastAsiaTheme="minorHAnsi"/>
        </w:rPr>
      </w:pPr>
      <w:r w:rsidRPr="00C30A20">
        <w:t xml:space="preserve">In its MFRs, the </w:t>
      </w:r>
      <w:r w:rsidR="002D6F3D">
        <w:t>u</w:t>
      </w:r>
      <w:r w:rsidR="00966CD3">
        <w:t>tility</w:t>
      </w:r>
      <w:r w:rsidRPr="00C30A20">
        <w:t xml:space="preserve"> requested rate base of $345,002 for water and $3,943,297 for wastewater. Based on staff’s recommended adjustments, the appropriate rate base for the test year ended December 31, 2015, is $340,468 for water and $3,964,854 for wastewater. Staff adjustments as recommended in the preceding issues result in a $4,534 reduction to water rate base and a $21,557 increase to wastewater rate base. Staff’s recommended water and wastewater rate bases are shown on Schedule Nos. 1-A and 1-B, respectively. The adjustments are shown on Schedule No. 1-C.</w:t>
      </w:r>
    </w:p>
    <w:p w:rsidR="003914EC" w:rsidRDefault="003914EC">
      <w:pPr>
        <w:pStyle w:val="BodyText"/>
      </w:pPr>
    </w:p>
    <w:p w:rsidR="00F52C23" w:rsidRDefault="00F52C23">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8</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464661205"/>
      <w:r w:rsidR="007F50C0">
        <w:rPr>
          <w:noProof/>
        </w:rPr>
        <w:instrText>8</w:instrText>
      </w:r>
      <w:r>
        <w:fldChar w:fldCharType="end"/>
      </w:r>
      <w:r>
        <w:tab/>
      </w:r>
      <w:r w:rsidR="008F36C4">
        <w:instrText>Return on Equity</w:instrText>
      </w:r>
      <w:bookmarkEnd w:id="24"/>
      <w:r>
        <w:instrText xml:space="preserve">" \l 1 </w:instrText>
      </w:r>
      <w:r>
        <w:fldChar w:fldCharType="end"/>
      </w:r>
      <w:r>
        <w:t> </w:t>
      </w:r>
    </w:p>
    <w:p w:rsidR="00F52C23" w:rsidRDefault="00F52C23">
      <w:pPr>
        <w:pStyle w:val="BodyText"/>
      </w:pPr>
      <w:r>
        <w:t> What is the appropriate return on equity?</w:t>
      </w:r>
    </w:p>
    <w:p w:rsidR="00F52C23" w:rsidRPr="004C3641" w:rsidRDefault="00F52C23">
      <w:pPr>
        <w:pStyle w:val="IssueSubsectionHeading"/>
        <w:rPr>
          <w:vanish/>
          <w:specVanish/>
        </w:rPr>
      </w:pPr>
      <w:r w:rsidRPr="004C3641">
        <w:t>Recommendation: </w:t>
      </w:r>
    </w:p>
    <w:p w:rsidR="00F52C23" w:rsidRDefault="00F52C23">
      <w:pPr>
        <w:pStyle w:val="BodyText"/>
      </w:pPr>
      <w:r>
        <w:t> </w:t>
      </w:r>
      <w:r w:rsidR="00C30A20">
        <w:rPr>
          <w:rFonts w:eastAsiaTheme="minorHAnsi"/>
        </w:rPr>
        <w:t>Based on the Commission leverage formula currently in effect, the appropriate return on equity (ROE) is 9.56 percent with an allowed range of plus or minus 100 basis points.</w:t>
      </w:r>
      <w:r>
        <w:t xml:space="preserve"> (Brown)</w:t>
      </w:r>
    </w:p>
    <w:p w:rsidR="00F52C23" w:rsidRPr="004C3641" w:rsidRDefault="00F52C23">
      <w:pPr>
        <w:pStyle w:val="IssueSubsectionHeading"/>
        <w:rPr>
          <w:vanish/>
          <w:specVanish/>
        </w:rPr>
      </w:pPr>
      <w:r w:rsidRPr="004C3641">
        <w:t>Staff Analysis: </w:t>
      </w:r>
    </w:p>
    <w:p w:rsidR="00EE465F" w:rsidRPr="00C56C1D" w:rsidRDefault="00F52C23" w:rsidP="00EE465F">
      <w:pPr>
        <w:autoSpaceDE w:val="0"/>
        <w:autoSpaceDN w:val="0"/>
        <w:adjustRightInd w:val="0"/>
        <w:jc w:val="both"/>
      </w:pPr>
      <w:r>
        <w:t> </w:t>
      </w:r>
      <w:r w:rsidR="00C30A20" w:rsidRPr="00C56C1D">
        <w:t xml:space="preserve">The </w:t>
      </w:r>
      <w:r w:rsidR="002D6F3D">
        <w:t>u</w:t>
      </w:r>
      <w:r w:rsidR="00C30A20" w:rsidRPr="00C56C1D">
        <w:t xml:space="preserve">tility requested an ROE of </w:t>
      </w:r>
      <w:r w:rsidR="00C30A20">
        <w:t>9.27</w:t>
      </w:r>
      <w:r w:rsidR="00C30A20" w:rsidRPr="00C56C1D">
        <w:t xml:space="preserve"> percent. </w:t>
      </w:r>
      <w:r w:rsidR="00C30A20">
        <w:rPr>
          <w:rFonts w:eastAsiaTheme="minorHAnsi"/>
        </w:rPr>
        <w:t xml:space="preserve">Based on the current leverage formula in effect and an equity ratio of </w:t>
      </w:r>
      <w:r w:rsidR="00C30A20" w:rsidRPr="00AA66D1">
        <w:rPr>
          <w:rFonts w:eastAsiaTheme="minorHAnsi"/>
        </w:rPr>
        <w:t>76.92</w:t>
      </w:r>
      <w:r w:rsidR="00C30A20">
        <w:rPr>
          <w:rFonts w:eastAsiaTheme="minorHAnsi"/>
        </w:rPr>
        <w:t xml:space="preserve"> percent, the appropriate ROE is </w:t>
      </w:r>
      <w:r w:rsidR="00C30A20" w:rsidRPr="00AA66D1">
        <w:rPr>
          <w:rFonts w:eastAsiaTheme="minorHAnsi"/>
        </w:rPr>
        <w:t>9.56</w:t>
      </w:r>
      <w:r w:rsidR="00C30A20">
        <w:rPr>
          <w:rFonts w:eastAsiaTheme="minorHAnsi"/>
        </w:rPr>
        <w:t xml:space="preserve"> percent.</w:t>
      </w:r>
      <w:r w:rsidR="00C30A20">
        <w:rPr>
          <w:rStyle w:val="FootnoteReference"/>
          <w:rFonts w:eastAsiaTheme="minorHAnsi"/>
        </w:rPr>
        <w:footnoteReference w:id="16"/>
      </w:r>
      <w:r w:rsidR="00C30A20">
        <w:rPr>
          <w:rFonts w:eastAsiaTheme="minorHAnsi"/>
          <w:sz w:val="16"/>
          <w:szCs w:val="16"/>
        </w:rPr>
        <w:t xml:space="preserve"> </w:t>
      </w:r>
      <w:r w:rsidR="00C30A20">
        <w:rPr>
          <w:rFonts w:eastAsiaTheme="minorHAnsi"/>
        </w:rPr>
        <w:t>Staff recommends an allowed range of plus or minus 100 basis points be recognized for ratemaking purposes</w:t>
      </w:r>
      <w:r w:rsidR="00C30A20" w:rsidRPr="00C56C1D">
        <w:t>.</w:t>
      </w:r>
    </w:p>
    <w:p w:rsidR="00F52C23" w:rsidRDefault="00F52C23">
      <w:pPr>
        <w:pStyle w:val="BodyText"/>
      </w:pPr>
    </w:p>
    <w:p w:rsidR="00BB76AC" w:rsidRDefault="00BB76AC">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w:instrText>
      </w:r>
      <w:r w:rsidR="00547E30">
        <w:instrText xml:space="preserve">sue \* MERGEFORMAT </w:instrText>
      </w:r>
      <w:r w:rsidR="00547E30">
        <w:fldChar w:fldCharType="separate"/>
      </w:r>
      <w:r w:rsidR="007F50C0">
        <w:rPr>
          <w:noProof/>
        </w:rPr>
        <w:t>9</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464661206"/>
      <w:r w:rsidR="007F50C0">
        <w:rPr>
          <w:noProof/>
        </w:rPr>
        <w:instrText>9</w:instrText>
      </w:r>
      <w:r>
        <w:fldChar w:fldCharType="end"/>
      </w:r>
      <w:r>
        <w:tab/>
      </w:r>
      <w:r w:rsidR="008F36C4">
        <w:instrText>Weighted Average Cost of Capital</w:instrText>
      </w:r>
      <w:bookmarkEnd w:id="25"/>
      <w:r>
        <w:instrText xml:space="preserve">" \l 1 </w:instrText>
      </w:r>
      <w:r>
        <w:fldChar w:fldCharType="end"/>
      </w:r>
      <w:r>
        <w:t> </w:t>
      </w:r>
    </w:p>
    <w:p w:rsidR="00BB76AC" w:rsidRDefault="00BB76AC">
      <w:pPr>
        <w:pStyle w:val="BodyText"/>
      </w:pPr>
      <w:r>
        <w:t> What is the appropriate weighted average cost of capital including the proper components, amounts, and cost rates associated with the capital structure?</w:t>
      </w:r>
    </w:p>
    <w:p w:rsidR="00BB76AC" w:rsidRPr="004C3641" w:rsidRDefault="00BB76AC">
      <w:pPr>
        <w:pStyle w:val="IssueSubsectionHeading"/>
        <w:rPr>
          <w:vanish/>
          <w:specVanish/>
        </w:rPr>
      </w:pPr>
      <w:r w:rsidRPr="004C3641">
        <w:t>Recommendation: </w:t>
      </w:r>
    </w:p>
    <w:p w:rsidR="00BB76AC" w:rsidRDefault="00BB76AC">
      <w:pPr>
        <w:pStyle w:val="BodyText"/>
      </w:pPr>
      <w:r>
        <w:t> </w:t>
      </w:r>
      <w:r w:rsidR="00C30A20" w:rsidRPr="00C30A20">
        <w:t>The appropriate weighted average cost of capital for the test year ended December 31, 2015 is 8.11 percent.</w:t>
      </w:r>
      <w:r w:rsidR="00EE465F" w:rsidRPr="001744EB">
        <w:rPr>
          <w:rFonts w:asciiTheme="minorHAnsi" w:hAnsiTheme="minorHAnsi" w:cstheme="minorHAnsi"/>
        </w:rPr>
        <w:t xml:space="preserve"> </w:t>
      </w:r>
      <w:r>
        <w:t xml:space="preserve"> (Brown)</w:t>
      </w:r>
    </w:p>
    <w:p w:rsidR="00BB76AC" w:rsidRPr="004C3641" w:rsidRDefault="00BB76AC">
      <w:pPr>
        <w:pStyle w:val="IssueSubsectionHeading"/>
        <w:rPr>
          <w:vanish/>
          <w:specVanish/>
        </w:rPr>
      </w:pPr>
      <w:r w:rsidRPr="004C3641">
        <w:t>Staff Analysis: </w:t>
      </w:r>
    </w:p>
    <w:p w:rsidR="00C30A20" w:rsidRPr="00C30A20" w:rsidRDefault="00BB76AC" w:rsidP="00C30A20">
      <w:pPr>
        <w:pStyle w:val="IssueHeading"/>
        <w:rPr>
          <w:rFonts w:ascii="Times New Roman" w:hAnsi="Times New Roman" w:cs="Times New Roman"/>
          <w:b w:val="0"/>
          <w:i w:val="0"/>
        </w:rPr>
      </w:pPr>
      <w:r>
        <w:t> </w:t>
      </w:r>
      <w:r w:rsidR="00C30A20" w:rsidRPr="00C30A20">
        <w:rPr>
          <w:rFonts w:ascii="Times New Roman" w:hAnsi="Times New Roman" w:cs="Times New Roman"/>
          <w:b w:val="0"/>
          <w:i w:val="0"/>
        </w:rPr>
        <w:t>In its filing, Ni Florida requested an overall cost of capital of 8.15 percent</w:t>
      </w:r>
      <w:r w:rsidR="000F7640">
        <w:rPr>
          <w:rFonts w:ascii="Times New Roman" w:hAnsi="Times New Roman" w:cs="Times New Roman"/>
          <w:b w:val="0"/>
          <w:i w:val="0"/>
        </w:rPr>
        <w:t xml:space="preserve">. </w:t>
      </w:r>
      <w:r w:rsidR="00C30A20" w:rsidRPr="00C30A20">
        <w:rPr>
          <w:rFonts w:ascii="Times New Roman" w:hAnsi="Times New Roman" w:cs="Times New Roman"/>
          <w:b w:val="0"/>
          <w:i w:val="0"/>
        </w:rPr>
        <w:t xml:space="preserve">Staff recommends several adjustments to the </w:t>
      </w:r>
      <w:r w:rsidR="002D6F3D">
        <w:rPr>
          <w:rFonts w:ascii="Times New Roman" w:hAnsi="Times New Roman" w:cs="Times New Roman"/>
          <w:b w:val="0"/>
          <w:i w:val="0"/>
        </w:rPr>
        <w:t>u</w:t>
      </w:r>
      <w:r w:rsidR="00C30A20" w:rsidRPr="00C30A20">
        <w:rPr>
          <w:rFonts w:ascii="Times New Roman" w:hAnsi="Times New Roman" w:cs="Times New Roman"/>
          <w:b w:val="0"/>
          <w:i w:val="0"/>
        </w:rPr>
        <w:t>tility’s capital components included in its capital structure.</w:t>
      </w:r>
    </w:p>
    <w:p w:rsidR="00C30A20" w:rsidRPr="00C30A20" w:rsidRDefault="00C30A20" w:rsidP="00C30A20">
      <w:pPr>
        <w:pStyle w:val="IssueHeading"/>
        <w:rPr>
          <w:rFonts w:ascii="Times New Roman" w:hAnsi="Times New Roman" w:cs="Times New Roman"/>
          <w:b w:val="0"/>
          <w:i w:val="0"/>
        </w:rPr>
      </w:pPr>
      <w:r w:rsidRPr="00C30A20">
        <w:rPr>
          <w:rFonts w:ascii="Times New Roman" w:hAnsi="Times New Roman" w:cs="Times New Roman"/>
          <w:b w:val="0"/>
          <w:i w:val="0"/>
        </w:rPr>
        <w:t xml:space="preserve">First, the </w:t>
      </w:r>
      <w:r w:rsidR="002D6F3D">
        <w:rPr>
          <w:rFonts w:ascii="Times New Roman" w:hAnsi="Times New Roman" w:cs="Times New Roman"/>
          <w:b w:val="0"/>
          <w:i w:val="0"/>
        </w:rPr>
        <w:t>u</w:t>
      </w:r>
      <w:r w:rsidRPr="00C30A20">
        <w:rPr>
          <w:rFonts w:ascii="Times New Roman" w:hAnsi="Times New Roman" w:cs="Times New Roman"/>
          <w:b w:val="0"/>
          <w:i w:val="0"/>
        </w:rPr>
        <w:t xml:space="preserve">tility included a cost rate of 6.00 percent for customer deposits. Pursuant to Rule 25-30.311, F.A.C., Customer Deposits, the minimum interest rate for residential customer deposits is 2.00 percent per annum. Going forward, staff recommends that 2.00 percent is the appropriate cost rate for customer deposits. </w:t>
      </w:r>
    </w:p>
    <w:p w:rsidR="00C30A20" w:rsidRPr="00C30A20" w:rsidRDefault="00C30A20" w:rsidP="00C30A20">
      <w:pPr>
        <w:pStyle w:val="IssueHeading"/>
        <w:rPr>
          <w:rFonts w:ascii="Times New Roman" w:hAnsi="Times New Roman" w:cs="Times New Roman"/>
          <w:b w:val="0"/>
          <w:i w:val="0"/>
        </w:rPr>
      </w:pPr>
      <w:r w:rsidRPr="00C30A20">
        <w:rPr>
          <w:rFonts w:ascii="Times New Roman" w:hAnsi="Times New Roman" w:cs="Times New Roman"/>
          <w:b w:val="0"/>
          <w:i w:val="0"/>
        </w:rPr>
        <w:t xml:space="preserve">Second, the </w:t>
      </w:r>
      <w:r w:rsidR="002D6F3D">
        <w:rPr>
          <w:rFonts w:ascii="Times New Roman" w:hAnsi="Times New Roman" w:cs="Times New Roman"/>
          <w:b w:val="0"/>
          <w:i w:val="0"/>
        </w:rPr>
        <w:t>u</w:t>
      </w:r>
      <w:r w:rsidRPr="00C30A20">
        <w:rPr>
          <w:rFonts w:ascii="Times New Roman" w:hAnsi="Times New Roman" w:cs="Times New Roman"/>
          <w:b w:val="0"/>
          <w:i w:val="0"/>
        </w:rPr>
        <w:t>tility has requested to include pro forma plant additions in the instant docket. Due to tax timing differences between the Internal Revenue Service and state regulatory depreciation, the additional plant investment caused changes to the balance of accumulated deferred income taxes (ADITs). Ni Florida included in its filling an adjustment to its capital structure to reflect the proper amount of deferred income taxes on its pro forma plant additions. The amount of ADITs included in Ni Florida’s capital structure was reduced by $596 based on staff’s pro forma calculations.</w:t>
      </w:r>
    </w:p>
    <w:p w:rsidR="00EE465F" w:rsidRPr="00EE465F" w:rsidRDefault="00C30A20" w:rsidP="00C30A20">
      <w:pPr>
        <w:pStyle w:val="IssueHeading"/>
        <w:rPr>
          <w:rFonts w:ascii="Times New Roman" w:hAnsi="Times New Roman" w:cs="Times New Roman"/>
          <w:b w:val="0"/>
          <w:bCs w:val="0"/>
          <w:i w:val="0"/>
        </w:rPr>
      </w:pPr>
      <w:r w:rsidRPr="00C30A20">
        <w:rPr>
          <w:rFonts w:ascii="Times New Roman" w:hAnsi="Times New Roman" w:cs="Times New Roman"/>
          <w:b w:val="0"/>
          <w:i w:val="0"/>
        </w:rPr>
        <w:t xml:space="preserve">Based upon the proper components, amounts, and cost rates associated with the capital structure for the test year ended December 31, 2015, including the aforementioned adjustments, staff recommends a weighted average cost of capital of 8.11 percent. </w:t>
      </w:r>
      <w:proofErr w:type="gramStart"/>
      <w:r w:rsidRPr="00C30A20">
        <w:rPr>
          <w:rFonts w:ascii="Times New Roman" w:hAnsi="Times New Roman" w:cs="Times New Roman"/>
          <w:b w:val="0"/>
          <w:i w:val="0"/>
        </w:rPr>
        <w:t>Schedule No. 2 details staff’s recommended overall cost of capital.</w:t>
      </w:r>
      <w:proofErr w:type="gramEnd"/>
    </w:p>
    <w:p w:rsidR="00DC4927" w:rsidRDefault="00EE465F" w:rsidP="000A20BC">
      <w:pPr>
        <w:pStyle w:val="BodyText"/>
        <w:rPr>
          <w:vanish/>
          <w:specVanish/>
        </w:rPr>
      </w:pPr>
      <w:r>
        <w:rPr>
          <w:rFonts w:asciiTheme="minorHAnsi" w:hAnsiTheme="minorHAnsi" w:cstheme="minorHAnsi"/>
          <w:b/>
          <w:bCs/>
          <w:i/>
        </w:rPr>
        <w:br w:type="page"/>
      </w:r>
      <w:r w:rsidR="00DC4927" w:rsidRPr="00FC75C7">
        <w:rPr>
          <w:rFonts w:ascii="Arial" w:hAnsi="Arial" w:cs="Arial"/>
          <w:b/>
          <w:i/>
        </w:rPr>
        <w:lastRenderedPageBreak/>
        <w:t xml:space="preserve">Issue </w:t>
      </w:r>
      <w:r w:rsidR="008171BB" w:rsidRPr="00FC75C7">
        <w:rPr>
          <w:rFonts w:ascii="Arial" w:hAnsi="Arial" w:cs="Arial"/>
          <w:b/>
          <w:i/>
        </w:rPr>
        <w:fldChar w:fldCharType="begin"/>
      </w:r>
      <w:r w:rsidR="008171BB" w:rsidRPr="00FC75C7">
        <w:rPr>
          <w:rFonts w:ascii="Arial" w:hAnsi="Arial" w:cs="Arial"/>
          <w:b/>
          <w:i/>
        </w:rPr>
        <w:instrText xml:space="preserve"> SEQ Issue \* MERGEFORMAT </w:instrText>
      </w:r>
      <w:r w:rsidR="008171BB" w:rsidRPr="00FC75C7">
        <w:rPr>
          <w:rFonts w:ascii="Arial" w:hAnsi="Arial" w:cs="Arial"/>
          <w:b/>
          <w:i/>
        </w:rPr>
        <w:fldChar w:fldCharType="separate"/>
      </w:r>
      <w:r w:rsidR="007F50C0">
        <w:rPr>
          <w:rFonts w:ascii="Arial" w:hAnsi="Arial" w:cs="Arial"/>
          <w:b/>
          <w:i/>
          <w:noProof/>
        </w:rPr>
        <w:t>10</w:t>
      </w:r>
      <w:r w:rsidR="008171BB" w:rsidRPr="00FC75C7">
        <w:rPr>
          <w:rFonts w:ascii="Arial" w:hAnsi="Arial" w:cs="Arial"/>
          <w:b/>
          <w:i/>
          <w:noProof/>
        </w:rPr>
        <w:fldChar w:fldCharType="end"/>
      </w:r>
      <w:r w:rsidR="00DC4927" w:rsidRPr="004C3641">
        <w:t>:</w:t>
      </w:r>
      <w:r w:rsidR="00DC4927">
        <w:fldChar w:fldCharType="begin"/>
      </w:r>
      <w:r w:rsidR="00DC4927">
        <w:instrText xml:space="preserve"> TC "</w:instrText>
      </w:r>
      <w:r w:rsidR="00DC4927">
        <w:fldChar w:fldCharType="begin"/>
      </w:r>
      <w:r w:rsidR="00DC4927">
        <w:instrText xml:space="preserve"> SEQ issue \c </w:instrText>
      </w:r>
      <w:r w:rsidR="00DC4927">
        <w:fldChar w:fldCharType="separate"/>
      </w:r>
      <w:bookmarkStart w:id="26" w:name="_Toc464661207"/>
      <w:r w:rsidR="007F50C0">
        <w:rPr>
          <w:noProof/>
        </w:rPr>
        <w:instrText>10</w:instrText>
      </w:r>
      <w:r w:rsidR="00DC4927">
        <w:fldChar w:fldCharType="end"/>
      </w:r>
      <w:r w:rsidR="00DC4927">
        <w:tab/>
      </w:r>
      <w:r w:rsidR="008F36C4">
        <w:instrText>Test Year Revenues</w:instrText>
      </w:r>
      <w:bookmarkEnd w:id="26"/>
      <w:r w:rsidR="008F36C4">
        <w:instrText xml:space="preserve"> </w:instrText>
      </w:r>
      <w:r w:rsidR="00DC4927">
        <w:instrText xml:space="preserve">" \l 1 </w:instrText>
      </w:r>
      <w:r w:rsidR="00DC4927">
        <w:fldChar w:fldCharType="end"/>
      </w:r>
      <w:r w:rsidR="00DC4927">
        <w:t> </w:t>
      </w:r>
    </w:p>
    <w:p w:rsidR="00DC4927" w:rsidRDefault="00DC4927">
      <w:pPr>
        <w:pStyle w:val="BodyText"/>
      </w:pPr>
      <w:r>
        <w:t xml:space="preserve"> Should any further </w:t>
      </w:r>
      <w:r w:rsidR="003D2775">
        <w:t>adjustments</w:t>
      </w:r>
      <w:r>
        <w:t xml:space="preserve"> be made</w:t>
      </w:r>
      <w:r w:rsidR="003D2775">
        <w:t xml:space="preserve"> to test year revenues</w:t>
      </w:r>
      <w:r>
        <w:t>?</w:t>
      </w:r>
    </w:p>
    <w:p w:rsidR="00DC4927" w:rsidRPr="004C3641" w:rsidRDefault="00DC4927">
      <w:pPr>
        <w:pStyle w:val="IssueSubsectionHeading"/>
        <w:rPr>
          <w:vanish/>
          <w:specVanish/>
        </w:rPr>
      </w:pPr>
      <w:r w:rsidRPr="004C3641">
        <w:t>Recommendation: </w:t>
      </w:r>
    </w:p>
    <w:p w:rsidR="00DC4927" w:rsidRDefault="00DC4927">
      <w:pPr>
        <w:pStyle w:val="BodyText"/>
      </w:pPr>
      <w:r>
        <w:t> </w:t>
      </w:r>
      <w:r w:rsidR="00CD0997">
        <w:t xml:space="preserve">Yes. Test year revenues for the Ni Florida’s water system and wastewater systems should be increased by </w:t>
      </w:r>
      <w:r w:rsidR="00746CF6">
        <w:t>$159 and $</w:t>
      </w:r>
      <w:r w:rsidR="008D309F">
        <w:t>10,075</w:t>
      </w:r>
      <w:r w:rsidR="00746CF6">
        <w:t>, respectively</w:t>
      </w:r>
      <w:r w:rsidR="00CD0997">
        <w:t>.</w:t>
      </w:r>
      <w:r w:rsidR="003D2775">
        <w:t xml:space="preserve"> (Bruce</w:t>
      </w:r>
      <w:r>
        <w:t>)</w:t>
      </w:r>
    </w:p>
    <w:p w:rsidR="00DC4927" w:rsidRPr="004C3641" w:rsidRDefault="00DC4927">
      <w:pPr>
        <w:pStyle w:val="IssueSubsectionHeading"/>
        <w:rPr>
          <w:vanish/>
          <w:specVanish/>
        </w:rPr>
      </w:pPr>
      <w:r w:rsidRPr="004C3641">
        <w:t>Staff Analysis: </w:t>
      </w:r>
    </w:p>
    <w:p w:rsidR="00CD0997" w:rsidRDefault="00DC4927" w:rsidP="00CD0997">
      <w:pPr>
        <w:jc w:val="both"/>
      </w:pPr>
      <w:r>
        <w:t> </w:t>
      </w:r>
      <w:r w:rsidR="00CD0997">
        <w:t>In its MFRs, Ni Florida’s adjusted test year revenues were $243,169 for water and $1,929,738 for wastewater</w:t>
      </w:r>
      <w:r w:rsidR="000F7640">
        <w:t xml:space="preserve">. </w:t>
      </w:r>
      <w:r w:rsidR="00CD0997">
        <w:t xml:space="preserve">The water revenues include $236,812 of service revenues and $6,357 of miscellaneous revenues. The wastewater revenues include $1,875,982 of service revenues and $53,756 of miscellaneous revenues. In review of the utility’s adjusted test year billing data for water, staff found that the utility understated the number of residential bills. </w:t>
      </w:r>
      <w:r w:rsidR="00747AE6">
        <w:t>Based on the audit</w:t>
      </w:r>
      <w:r w:rsidR="00CD0997">
        <w:t>, staff made the adjustments to reflect the appropriate number of billing determinants. Furthermore, the utility had a four year rate reduction that became effective on November 20, 2015. Staff annualized test year revenues by applying the rates in effect at the end of the test year to the adjusted billing determinants.</w:t>
      </w:r>
      <w:r w:rsidR="00CD0997" w:rsidRPr="00B65B24">
        <w:t xml:space="preserve"> </w:t>
      </w:r>
      <w:r w:rsidR="00CD0997">
        <w:t>Therefore, the test year service revenues for water should be $218,090, which results in a decrease of $18,721 ($236,812 - $218,090). For wastewater, staff found that the utility overstated the number of residential bills during the test year. The utility also did not provide a</w:t>
      </w:r>
      <w:r w:rsidR="007B17CA">
        <w:t xml:space="preserve">ny billing determinants for wastewater </w:t>
      </w:r>
      <w:r w:rsidR="00CD0997">
        <w:t xml:space="preserve">general service 5/8” x 3/4” meter size. Staff made the necessary adjustments to reflect the appropriate billing determinants, which results in an increase of $12,664. The test year service revenues for wastewater should be $1,888,646 ($1,875,982 + $12,664). </w:t>
      </w:r>
    </w:p>
    <w:p w:rsidR="00CD0997" w:rsidRDefault="00CD0997" w:rsidP="00CD0997">
      <w:pPr>
        <w:tabs>
          <w:tab w:val="left" w:pos="6810"/>
        </w:tabs>
        <w:jc w:val="both"/>
      </w:pPr>
      <w:r>
        <w:tab/>
      </w:r>
    </w:p>
    <w:p w:rsidR="00CD0997" w:rsidRPr="007B6167" w:rsidRDefault="00CD0997" w:rsidP="00CD0997">
      <w:pPr>
        <w:jc w:val="both"/>
        <w:rPr>
          <w:highlight w:val="yellow"/>
        </w:rPr>
      </w:pPr>
      <w:r>
        <w:t>Staff also made adjustments to miscellaneous revenues for water and wastewater. Staff found that the utility understated the number of occurrences for late payments during the test year</w:t>
      </w:r>
      <w:r w:rsidR="000F7640">
        <w:t xml:space="preserve">. </w:t>
      </w:r>
      <w:r>
        <w:t>Therefore, staff increased miscellaneous revenues for water and wastewater revenues by $159 and $123, respectively. Staff also increased wastewater miscellaneous revenues to reflect the appropriate number of premise</w:t>
      </w:r>
      <w:r w:rsidR="004001A3">
        <w:t>s</w:t>
      </w:r>
      <w:r>
        <w:t xml:space="preserve"> visits, which resulted in </w:t>
      </w:r>
      <w:r w:rsidR="007B17CA">
        <w:t xml:space="preserve">an increase of </w:t>
      </w:r>
      <w:r>
        <w:t>$125</w:t>
      </w:r>
      <w:r w:rsidR="000F7640">
        <w:t xml:space="preserve">. </w:t>
      </w:r>
      <w:r w:rsidR="008D309F">
        <w:t>F</w:t>
      </w:r>
      <w:r>
        <w:t>or w</w:t>
      </w:r>
      <w:r w:rsidRPr="005525CB">
        <w:t>astewat</w:t>
      </w:r>
      <w:r>
        <w:t xml:space="preserve">er, the utility did not record an initial connection charge, which resulted in $27 increase. </w:t>
      </w:r>
      <w:r w:rsidR="008D309F" w:rsidRPr="005525CB">
        <w:t xml:space="preserve">Furthermore, </w:t>
      </w:r>
      <w:r w:rsidR="007B6167" w:rsidRPr="005525CB">
        <w:t xml:space="preserve">as discussed in Issue 16, </w:t>
      </w:r>
      <w:r w:rsidR="005525CB" w:rsidRPr="005525CB">
        <w:t xml:space="preserve">staff is recommending approval </w:t>
      </w:r>
      <w:r w:rsidR="007B6167" w:rsidRPr="005525CB">
        <w:t>violation reconnection charge based on a joint agreement with Pasco County</w:t>
      </w:r>
      <w:r w:rsidR="000F7640">
        <w:t xml:space="preserve">. </w:t>
      </w:r>
      <w:r w:rsidR="007B6167" w:rsidRPr="005525CB">
        <w:t xml:space="preserve">Therefore, </w:t>
      </w:r>
      <w:r w:rsidR="008D309F" w:rsidRPr="005525CB">
        <w:t>staff imputed revenues of $</w:t>
      </w:r>
      <w:r w:rsidR="000E3E7D" w:rsidRPr="005525CB">
        <w:t>9,800</w:t>
      </w:r>
      <w:r w:rsidR="005525CB" w:rsidRPr="005525CB">
        <w:t xml:space="preserve"> [($125 – </w:t>
      </w:r>
      <w:r w:rsidR="005525CB">
        <w:t>$</w:t>
      </w:r>
      <w:r w:rsidR="005525CB" w:rsidRPr="005525CB">
        <w:t>27) x 100)]</w:t>
      </w:r>
      <w:r w:rsidR="008D309F" w:rsidRPr="005525CB">
        <w:t xml:space="preserve"> to reflect</w:t>
      </w:r>
      <w:r w:rsidR="005525CB" w:rsidRPr="005525CB">
        <w:t xml:space="preserve"> the additional miscellaneous revenues.</w:t>
      </w:r>
      <w:r w:rsidR="007370FC" w:rsidRPr="005525CB">
        <w:t xml:space="preserve"> </w:t>
      </w:r>
      <w:r w:rsidRPr="005525CB">
        <w:t>For the reasons outlined above, the</w:t>
      </w:r>
      <w:r>
        <w:t xml:space="preserve"> miscellaneous revenues for water should be $6,516 ($6,357 + 159) and $54,031 (53,756 + $123 + $125 + $27</w:t>
      </w:r>
      <w:r w:rsidR="000E3E7D">
        <w:t>+</w:t>
      </w:r>
      <w:r w:rsidR="005525CB">
        <w:t xml:space="preserve"> </w:t>
      </w:r>
      <w:r w:rsidR="000E3E7D">
        <w:t>9,800</w:t>
      </w:r>
      <w:r>
        <w:t xml:space="preserve">) for wastewater. Based on the above, the appropriate test year revenues for Ni Florida’s water and wastewater systems, including miscellaneous service revenues are </w:t>
      </w:r>
      <w:r w:rsidR="007370FC">
        <w:t>$224,606 and $1,95</w:t>
      </w:r>
      <w:r w:rsidR="007B17CA">
        <w:t>2,</w:t>
      </w:r>
      <w:r w:rsidR="007370FC">
        <w:t>4</w:t>
      </w:r>
      <w:r w:rsidR="007B17CA">
        <w:t xml:space="preserve">77. Table </w:t>
      </w:r>
      <w:r w:rsidR="00FC75C7">
        <w:t>10</w:t>
      </w:r>
      <w:r>
        <w:t xml:space="preserve">-1, </w:t>
      </w:r>
      <w:r w:rsidRPr="00D458F1">
        <w:t>represents a summary of staff’s adjustments for test year revenues.</w:t>
      </w:r>
    </w:p>
    <w:p w:rsidR="00CD0997" w:rsidRDefault="00CD0997"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4E772F" w:rsidRDefault="004E772F" w:rsidP="00CD0997">
      <w:pPr>
        <w:jc w:val="both"/>
      </w:pPr>
    </w:p>
    <w:p w:rsidR="00CD0997" w:rsidRPr="0028154F" w:rsidRDefault="00CD0997" w:rsidP="00CD0997">
      <w:pPr>
        <w:jc w:val="center"/>
        <w:rPr>
          <w:rFonts w:ascii="Arial" w:hAnsi="Arial" w:cs="Arial"/>
          <w:b/>
        </w:rPr>
      </w:pPr>
      <w:r w:rsidRPr="0028154F">
        <w:rPr>
          <w:rFonts w:ascii="Arial" w:hAnsi="Arial" w:cs="Arial"/>
          <w:b/>
        </w:rPr>
        <w:t xml:space="preserve">Table </w:t>
      </w:r>
      <w:r w:rsidR="00FC75C7">
        <w:rPr>
          <w:rFonts w:ascii="Arial" w:hAnsi="Arial" w:cs="Arial"/>
          <w:b/>
        </w:rPr>
        <w:t>10</w:t>
      </w:r>
      <w:r w:rsidRPr="0028154F">
        <w:rPr>
          <w:rFonts w:ascii="Arial" w:hAnsi="Arial" w:cs="Arial"/>
          <w:b/>
        </w:rPr>
        <w:t>-1</w:t>
      </w:r>
    </w:p>
    <w:p w:rsidR="00CD0997" w:rsidRDefault="00CD0997" w:rsidP="00CD0997">
      <w:pPr>
        <w:jc w:val="center"/>
      </w:pPr>
      <w:r w:rsidRPr="0028154F">
        <w:rPr>
          <w:rFonts w:ascii="Arial" w:hAnsi="Arial" w:cs="Arial"/>
          <w:b/>
        </w:rPr>
        <w:t>Test Year Revenue</w:t>
      </w:r>
      <w:r>
        <w:rPr>
          <w:rFonts w:ascii="Arial" w:hAnsi="Arial" w:cs="Arial"/>
          <w:b/>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10"/>
        <w:gridCol w:w="1781"/>
      </w:tblGrid>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tcPr>
          <w:p w:rsidR="00CD0997" w:rsidRDefault="00CD0997" w:rsidP="00934C20">
            <w:pPr>
              <w:jc w:val="both"/>
            </w:pP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center"/>
              <w:rPr>
                <w:b/>
              </w:rPr>
            </w:pPr>
            <w:r w:rsidRPr="00D458F1">
              <w:rPr>
                <w:b/>
              </w:rPr>
              <w:t>Water</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center"/>
              <w:rPr>
                <w:b/>
              </w:rPr>
            </w:pPr>
            <w:r w:rsidRPr="00D458F1">
              <w:rPr>
                <w:b/>
              </w:rPr>
              <w:t>Wastewater</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tcPr>
          <w:p w:rsidR="00CD0997" w:rsidRPr="009920B9" w:rsidRDefault="00CD0997" w:rsidP="00934C20">
            <w:pPr>
              <w:jc w:val="both"/>
            </w:pPr>
            <w:r w:rsidRPr="009920B9">
              <w:t>Service Revenues</w:t>
            </w:r>
          </w:p>
        </w:tc>
        <w:tc>
          <w:tcPr>
            <w:tcW w:w="1710"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c>
          <w:tcPr>
            <w:tcW w:w="1781"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4001A3" w:rsidP="00934C20">
            <w:pPr>
              <w:jc w:val="both"/>
            </w:pPr>
            <w:r>
              <w:t xml:space="preserve">     </w:t>
            </w:r>
            <w:r w:rsidR="00CD0997" w:rsidRPr="00D458F1">
              <w:t>Utility Recorded Service Revenues</w:t>
            </w: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rsidRPr="00D458F1">
              <w:t>$2</w:t>
            </w:r>
            <w:r>
              <w:t>36</w:t>
            </w:r>
            <w:r w:rsidRPr="00D458F1">
              <w:t>,</w:t>
            </w:r>
            <w:r>
              <w:t>812</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rsidRPr="00D458F1">
              <w:t>$</w:t>
            </w:r>
            <w:r>
              <w:t>1,875</w:t>
            </w:r>
            <w:r w:rsidRPr="00D458F1">
              <w:t>,</w:t>
            </w:r>
            <w:r>
              <w:t>982</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4001A3" w:rsidP="00934C20">
            <w:pPr>
              <w:jc w:val="both"/>
            </w:pPr>
            <w:r>
              <w:t xml:space="preserve">     </w:t>
            </w:r>
            <w:r w:rsidR="00CD0997" w:rsidRPr="00D458F1">
              <w:t>Staff’s Adjustment</w:t>
            </w:r>
          </w:p>
        </w:tc>
        <w:tc>
          <w:tcPr>
            <w:tcW w:w="1710" w:type="dxa"/>
            <w:tcBorders>
              <w:top w:val="single" w:sz="4" w:space="0" w:color="auto"/>
              <w:left w:val="single" w:sz="4" w:space="0" w:color="auto"/>
              <w:bottom w:val="single" w:sz="4" w:space="0" w:color="auto"/>
              <w:right w:val="single" w:sz="4" w:space="0" w:color="auto"/>
            </w:tcBorders>
            <w:hideMark/>
          </w:tcPr>
          <w:p w:rsidR="00CD0997" w:rsidRPr="005525CB" w:rsidRDefault="00CD0997" w:rsidP="00934C20">
            <w:pPr>
              <w:jc w:val="right"/>
              <w:rPr>
                <w:u w:val="single"/>
              </w:rPr>
            </w:pPr>
            <w:r w:rsidRPr="005525CB">
              <w:rPr>
                <w:u w:val="single"/>
              </w:rPr>
              <w:t>($18,721)</w:t>
            </w:r>
          </w:p>
        </w:tc>
        <w:tc>
          <w:tcPr>
            <w:tcW w:w="1781" w:type="dxa"/>
            <w:tcBorders>
              <w:top w:val="single" w:sz="4" w:space="0" w:color="auto"/>
              <w:left w:val="single" w:sz="4" w:space="0" w:color="auto"/>
              <w:bottom w:val="single" w:sz="4" w:space="0" w:color="auto"/>
              <w:right w:val="single" w:sz="4" w:space="0" w:color="auto"/>
            </w:tcBorders>
            <w:hideMark/>
          </w:tcPr>
          <w:p w:rsidR="00CD0997" w:rsidRPr="005525CB" w:rsidRDefault="00CD0997" w:rsidP="00934C20">
            <w:pPr>
              <w:jc w:val="right"/>
              <w:rPr>
                <w:u w:val="single"/>
              </w:rPr>
            </w:pPr>
            <w:r w:rsidRPr="005525CB">
              <w:rPr>
                <w:u w:val="single"/>
              </w:rPr>
              <w:t>$12,664</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both"/>
              <w:rPr>
                <w:b/>
              </w:rPr>
            </w:pPr>
            <w:r w:rsidRPr="00D458F1">
              <w:rPr>
                <w:b/>
              </w:rPr>
              <w:t>Total Service Revenues</w:t>
            </w: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t>$218,090</w:t>
            </w:r>
            <w:r w:rsidRPr="00D458F1">
              <w:t xml:space="preserve">    </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t>$1,888,646</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both"/>
            </w:pPr>
          </w:p>
        </w:tc>
        <w:tc>
          <w:tcPr>
            <w:tcW w:w="1710"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c>
          <w:tcPr>
            <w:tcW w:w="1781"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tcPr>
          <w:p w:rsidR="00CD0997" w:rsidRPr="009920B9" w:rsidRDefault="00CD0997" w:rsidP="00934C20">
            <w:pPr>
              <w:jc w:val="both"/>
            </w:pPr>
            <w:r w:rsidRPr="009920B9">
              <w:t>Miscellaneous Revenues</w:t>
            </w:r>
          </w:p>
        </w:tc>
        <w:tc>
          <w:tcPr>
            <w:tcW w:w="1710"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c>
          <w:tcPr>
            <w:tcW w:w="1781" w:type="dxa"/>
            <w:tcBorders>
              <w:top w:val="single" w:sz="4" w:space="0" w:color="auto"/>
              <w:left w:val="single" w:sz="4" w:space="0" w:color="auto"/>
              <w:bottom w:val="single" w:sz="4" w:space="0" w:color="auto"/>
              <w:right w:val="single" w:sz="4" w:space="0" w:color="auto"/>
            </w:tcBorders>
          </w:tcPr>
          <w:p w:rsidR="00CD0997" w:rsidRPr="00D458F1" w:rsidRDefault="00CD0997" w:rsidP="00934C20">
            <w:pPr>
              <w:jc w:val="right"/>
            </w:pP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4001A3" w:rsidP="00934C20">
            <w:pPr>
              <w:jc w:val="both"/>
            </w:pPr>
            <w:r>
              <w:t xml:space="preserve">     </w:t>
            </w:r>
            <w:r w:rsidR="00CD0997" w:rsidRPr="00D458F1">
              <w:t>Utility Recorded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t>$6,357</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rsidRPr="00D458F1">
              <w:t>$5</w:t>
            </w:r>
            <w:r>
              <w:t>3,756</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4001A3" w:rsidP="00934C20">
            <w:pPr>
              <w:jc w:val="both"/>
            </w:pPr>
            <w:r>
              <w:t xml:space="preserve">     </w:t>
            </w:r>
            <w:r w:rsidR="00CD0997" w:rsidRPr="00D458F1">
              <w:t>Staff’s Miscellaneous Revenue Adjustments</w:t>
            </w:r>
          </w:p>
        </w:tc>
        <w:tc>
          <w:tcPr>
            <w:tcW w:w="1710" w:type="dxa"/>
            <w:tcBorders>
              <w:top w:val="single" w:sz="4" w:space="0" w:color="auto"/>
              <w:left w:val="single" w:sz="4" w:space="0" w:color="auto"/>
              <w:bottom w:val="single" w:sz="4" w:space="0" w:color="auto"/>
              <w:right w:val="single" w:sz="4" w:space="0" w:color="auto"/>
            </w:tcBorders>
            <w:hideMark/>
          </w:tcPr>
          <w:p w:rsidR="00CD0997" w:rsidRPr="005525CB" w:rsidRDefault="00CD0997" w:rsidP="00934C20">
            <w:pPr>
              <w:jc w:val="right"/>
              <w:rPr>
                <w:u w:val="single"/>
              </w:rPr>
            </w:pPr>
            <w:r w:rsidRPr="005525CB">
              <w:rPr>
                <w:u w:val="single"/>
              </w:rPr>
              <w:t>$159</w:t>
            </w:r>
          </w:p>
        </w:tc>
        <w:tc>
          <w:tcPr>
            <w:tcW w:w="1781" w:type="dxa"/>
            <w:tcBorders>
              <w:top w:val="single" w:sz="4" w:space="0" w:color="auto"/>
              <w:left w:val="single" w:sz="4" w:space="0" w:color="auto"/>
              <w:bottom w:val="single" w:sz="4" w:space="0" w:color="auto"/>
              <w:right w:val="single" w:sz="4" w:space="0" w:color="auto"/>
            </w:tcBorders>
            <w:hideMark/>
          </w:tcPr>
          <w:p w:rsidR="00CD0997" w:rsidRPr="005525CB" w:rsidRDefault="00CD0997" w:rsidP="000E3E7D">
            <w:pPr>
              <w:jc w:val="right"/>
              <w:rPr>
                <w:u w:val="single"/>
              </w:rPr>
            </w:pPr>
            <w:r w:rsidRPr="005525CB">
              <w:rPr>
                <w:u w:val="single"/>
              </w:rPr>
              <w:t>$</w:t>
            </w:r>
            <w:r w:rsidR="000E3E7D" w:rsidRPr="005525CB">
              <w:rPr>
                <w:u w:val="single"/>
              </w:rPr>
              <w:t>10,075</w:t>
            </w:r>
          </w:p>
        </w:tc>
      </w:tr>
      <w:tr w:rsidR="00CD0997" w:rsidRPr="002F5069"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both"/>
              <w:rPr>
                <w:b/>
              </w:rPr>
            </w:pPr>
            <w:r w:rsidRPr="00D458F1">
              <w:rPr>
                <w:b/>
              </w:rPr>
              <w:t>Total Miscellaneous Revenues</w:t>
            </w: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rsidRPr="00D458F1">
              <w:t>$</w:t>
            </w:r>
            <w:r>
              <w:t>6</w:t>
            </w:r>
            <w:r w:rsidRPr="00D458F1">
              <w:t>,</w:t>
            </w:r>
            <w:r>
              <w:t>516</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1A2D47">
            <w:pPr>
              <w:jc w:val="right"/>
            </w:pPr>
            <w:r w:rsidRPr="00D458F1">
              <w:t>$</w:t>
            </w:r>
            <w:r w:rsidR="001A2D47">
              <w:t>63</w:t>
            </w:r>
            <w:r>
              <w:t>,</w:t>
            </w:r>
            <w:r w:rsidR="001A2D47">
              <w:t>8</w:t>
            </w:r>
            <w:r>
              <w:t>31</w:t>
            </w:r>
          </w:p>
        </w:tc>
      </w:tr>
      <w:tr w:rsidR="00CD0997" w:rsidTr="00934C20">
        <w:trPr>
          <w:jc w:val="center"/>
        </w:trPr>
        <w:tc>
          <w:tcPr>
            <w:tcW w:w="5108"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both"/>
              <w:rPr>
                <w:b/>
              </w:rPr>
            </w:pPr>
            <w:r w:rsidRPr="00D458F1">
              <w:rPr>
                <w:b/>
              </w:rPr>
              <w:t>Total Test Year Revenues</w:t>
            </w:r>
          </w:p>
        </w:tc>
        <w:tc>
          <w:tcPr>
            <w:tcW w:w="1710" w:type="dxa"/>
            <w:tcBorders>
              <w:top w:val="single" w:sz="4" w:space="0" w:color="auto"/>
              <w:left w:val="single" w:sz="4" w:space="0" w:color="auto"/>
              <w:bottom w:val="single" w:sz="4" w:space="0" w:color="auto"/>
              <w:right w:val="single" w:sz="4" w:space="0" w:color="auto"/>
            </w:tcBorders>
            <w:hideMark/>
          </w:tcPr>
          <w:p w:rsidR="00CD0997" w:rsidRPr="00D458F1" w:rsidRDefault="00CD0997" w:rsidP="00934C20">
            <w:pPr>
              <w:jc w:val="right"/>
            </w:pPr>
            <w:r>
              <w:t>$ 224,606</w:t>
            </w:r>
          </w:p>
        </w:tc>
        <w:tc>
          <w:tcPr>
            <w:tcW w:w="1781" w:type="dxa"/>
            <w:tcBorders>
              <w:top w:val="single" w:sz="4" w:space="0" w:color="auto"/>
              <w:left w:val="single" w:sz="4" w:space="0" w:color="auto"/>
              <w:bottom w:val="single" w:sz="4" w:space="0" w:color="auto"/>
              <w:right w:val="single" w:sz="4" w:space="0" w:color="auto"/>
            </w:tcBorders>
            <w:hideMark/>
          </w:tcPr>
          <w:p w:rsidR="00CD0997" w:rsidRPr="00D458F1" w:rsidRDefault="00CD0997" w:rsidP="007762A7">
            <w:pPr>
              <w:jc w:val="right"/>
            </w:pPr>
            <w:r w:rsidRPr="00D458F1">
              <w:t>$1</w:t>
            </w:r>
            <w:r>
              <w:t>,9</w:t>
            </w:r>
            <w:r w:rsidR="001A2D47">
              <w:t>5</w:t>
            </w:r>
            <w:r>
              <w:t>2,</w:t>
            </w:r>
            <w:r w:rsidR="007762A7">
              <w:t>4</w:t>
            </w:r>
            <w:r>
              <w:t>77</w:t>
            </w:r>
          </w:p>
        </w:tc>
      </w:tr>
    </w:tbl>
    <w:p w:rsidR="00DC4927" w:rsidRDefault="00CD0997" w:rsidP="005120B1">
      <w:pPr>
        <w:jc w:val="both"/>
      </w:pPr>
      <w:r>
        <w:t xml:space="preserve">       </w:t>
      </w:r>
      <w:r w:rsidRPr="00AE0AEB">
        <w:t>Source: Utility’s general ledger and staff’s calculations</w:t>
      </w:r>
      <w:r>
        <w:t xml:space="preserve"> </w:t>
      </w:r>
    </w:p>
    <w:p w:rsidR="005E395D" w:rsidRDefault="005E395D">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11</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464661208"/>
      <w:r w:rsidR="007F50C0">
        <w:rPr>
          <w:noProof/>
        </w:rPr>
        <w:instrText>11</w:instrText>
      </w:r>
      <w:r>
        <w:fldChar w:fldCharType="end"/>
      </w:r>
      <w:r>
        <w:tab/>
      </w:r>
      <w:r w:rsidR="008F36C4">
        <w:instrText>Rate Case Expense</w:instrText>
      </w:r>
      <w:bookmarkEnd w:id="27"/>
      <w:r w:rsidR="008F36C4">
        <w:instrText xml:space="preserve"> </w:instrText>
      </w:r>
      <w:r>
        <w:instrText xml:space="preserve">" \l 1 </w:instrText>
      </w:r>
      <w:r>
        <w:fldChar w:fldCharType="end"/>
      </w:r>
      <w:r>
        <w:t> </w:t>
      </w:r>
    </w:p>
    <w:p w:rsidR="005E395D" w:rsidRDefault="005E395D">
      <w:pPr>
        <w:pStyle w:val="BodyText"/>
      </w:pPr>
      <w:r>
        <w:t> </w:t>
      </w:r>
      <w:r w:rsidR="00FE7E80">
        <w:t>What is the appropriate amount of current rate case expense</w:t>
      </w:r>
      <w:r>
        <w:t>?</w:t>
      </w:r>
    </w:p>
    <w:p w:rsidR="005E395D" w:rsidRPr="004C3641" w:rsidRDefault="005E395D">
      <w:pPr>
        <w:pStyle w:val="IssueSubsectionHeading"/>
        <w:rPr>
          <w:vanish/>
          <w:specVanish/>
        </w:rPr>
      </w:pPr>
      <w:r w:rsidRPr="004C3641">
        <w:t>Recommendation: </w:t>
      </w:r>
    </w:p>
    <w:p w:rsidR="005E395D" w:rsidRDefault="005E395D">
      <w:pPr>
        <w:pStyle w:val="BodyText"/>
      </w:pPr>
      <w:r>
        <w:t> </w:t>
      </w:r>
      <w:r w:rsidR="00C30A20" w:rsidRPr="00C30A20">
        <w:t>The appropriate amount of rate case expense</w:t>
      </w:r>
      <w:r w:rsidR="00D246D4">
        <w:t xml:space="preserve"> for the instant case is $95,082</w:t>
      </w:r>
      <w:r w:rsidR="00C30A20" w:rsidRPr="00C30A20">
        <w:t>. This expense should be recovered over four years for an annual expense of $</w:t>
      </w:r>
      <w:r w:rsidR="00D246D4">
        <w:t>4</w:t>
      </w:r>
      <w:r w:rsidR="00C30A20" w:rsidRPr="00C30A20">
        <w:t>,9</w:t>
      </w:r>
      <w:r w:rsidR="00D246D4">
        <w:t>92</w:t>
      </w:r>
      <w:r w:rsidR="00C30A20" w:rsidRPr="00C30A20">
        <w:t xml:space="preserve"> for water and $</w:t>
      </w:r>
      <w:r w:rsidR="00D246D4">
        <w:t>18</w:t>
      </w:r>
      <w:r w:rsidR="00C30A20" w:rsidRPr="00C30A20">
        <w:t>,</w:t>
      </w:r>
      <w:r w:rsidR="00D246D4">
        <w:t>779</w:t>
      </w:r>
      <w:r w:rsidR="00C30A20" w:rsidRPr="00C30A20">
        <w:t xml:space="preserve"> for wastewater. Thus, Ni Florida’s requested annual rate case expense should be reduced by $3,636 for water and $13,575 for wastewater from the respective levels of expense included in the MFRs.</w:t>
      </w:r>
      <w:r>
        <w:t xml:space="preserve"> (Brown)</w:t>
      </w:r>
    </w:p>
    <w:p w:rsidR="005E395D" w:rsidRPr="004C3641" w:rsidRDefault="005E395D">
      <w:pPr>
        <w:pStyle w:val="IssueSubsectionHeading"/>
        <w:rPr>
          <w:vanish/>
          <w:specVanish/>
        </w:rPr>
      </w:pPr>
      <w:r w:rsidRPr="004C3641">
        <w:t>Staff Analysis: </w:t>
      </w:r>
    </w:p>
    <w:p w:rsidR="00C30A20" w:rsidRPr="00C30A20" w:rsidRDefault="005E395D" w:rsidP="00C30A20">
      <w:pPr>
        <w:jc w:val="both"/>
      </w:pPr>
      <w:r>
        <w:t> </w:t>
      </w:r>
      <w:r w:rsidR="00C30A20" w:rsidRPr="00C30A20">
        <w:t xml:space="preserve">The </w:t>
      </w:r>
      <w:r w:rsidR="002D6F3D">
        <w:t>u</w:t>
      </w:r>
      <w:r w:rsidR="00C30A20" w:rsidRPr="00C30A20">
        <w:t xml:space="preserve">tility included in its MFRs an estimate of $163,928 for current rate case expense. Staff requested an update of the actual rate case expense incurred, with supporting documentation, as well as the estimated amount to complete the case. On September 1, 2016, the </w:t>
      </w:r>
      <w:r w:rsidR="002D6F3D">
        <w:t>u</w:t>
      </w:r>
      <w:r w:rsidR="00C30A20" w:rsidRPr="00C30A20">
        <w:t>tility submitted a revised estimate of rate case expense through completion of the PAA process of $107,517 with $82,166 already incurred.</w:t>
      </w:r>
      <w:r w:rsidR="00C30A20" w:rsidRPr="00C30A20">
        <w:rPr>
          <w:vertAlign w:val="superscript"/>
        </w:rPr>
        <w:footnoteReference w:id="17"/>
      </w:r>
      <w:r w:rsidR="00C30A20" w:rsidRPr="00C30A20">
        <w:t xml:space="preserve"> The components of the estimated rate case expense are presented in the table below:</w:t>
      </w:r>
    </w:p>
    <w:p w:rsidR="00C30A20" w:rsidRPr="00C30A20" w:rsidRDefault="00C30A20" w:rsidP="00C30A20">
      <w:pPr>
        <w:spacing w:after="120"/>
        <w:jc w:val="both"/>
        <w:rPr>
          <w:highlight w:val="yellow"/>
        </w:rPr>
      </w:pPr>
    </w:p>
    <w:p w:rsidR="00C30A20" w:rsidRPr="00C30A20" w:rsidRDefault="00C30A20" w:rsidP="00C30A20">
      <w:pPr>
        <w:jc w:val="center"/>
        <w:rPr>
          <w:rFonts w:ascii="Arial" w:hAnsi="Arial" w:cs="Arial"/>
          <w:b/>
        </w:rPr>
      </w:pPr>
      <w:r w:rsidRPr="00C30A20">
        <w:rPr>
          <w:rFonts w:ascii="Arial" w:hAnsi="Arial" w:cs="Arial"/>
          <w:b/>
        </w:rPr>
        <w:t>Table 11-1</w:t>
      </w:r>
      <w:r w:rsidRPr="00C30A20">
        <w:rPr>
          <w:rFonts w:ascii="Arial" w:hAnsi="Arial" w:cs="Arial"/>
          <w:b/>
        </w:rPr>
        <w:br/>
        <w:t>Estimated Rate Case Expense</w:t>
      </w:r>
    </w:p>
    <w:tbl>
      <w:tblPr>
        <w:tblW w:w="0" w:type="auto"/>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508"/>
        <w:gridCol w:w="1197"/>
        <w:gridCol w:w="1197"/>
        <w:gridCol w:w="1254"/>
        <w:gridCol w:w="1140"/>
      </w:tblGrid>
      <w:tr w:rsidR="00C30A20" w:rsidRPr="00C30A20" w:rsidTr="004474D8">
        <w:trPr>
          <w:cantSplit/>
          <w:trHeight w:val="647"/>
        </w:trPr>
        <w:tc>
          <w:tcPr>
            <w:tcW w:w="2508" w:type="dxa"/>
          </w:tcPr>
          <w:p w:rsidR="00C30A20" w:rsidRPr="00C30A20" w:rsidRDefault="00C30A20" w:rsidP="00C30A20">
            <w:pPr>
              <w:keepNext/>
              <w:spacing w:after="120"/>
              <w:jc w:val="both"/>
              <w:outlineLvl w:val="1"/>
              <w:rPr>
                <w:bCs/>
                <w:iCs/>
                <w:sz w:val="22"/>
                <w:szCs w:val="22"/>
              </w:rPr>
            </w:pPr>
          </w:p>
        </w:tc>
        <w:tc>
          <w:tcPr>
            <w:tcW w:w="1197" w:type="dxa"/>
            <w:vAlign w:val="center"/>
          </w:tcPr>
          <w:p w:rsidR="00C30A20" w:rsidRPr="009920B9" w:rsidRDefault="00C30A20" w:rsidP="00C30A20">
            <w:pPr>
              <w:keepNext/>
              <w:spacing w:after="120"/>
              <w:jc w:val="center"/>
              <w:outlineLvl w:val="1"/>
              <w:rPr>
                <w:b/>
                <w:bCs/>
                <w:iCs/>
              </w:rPr>
            </w:pPr>
            <w:r w:rsidRPr="009920B9">
              <w:rPr>
                <w:b/>
                <w:bCs/>
                <w:iCs/>
              </w:rPr>
              <w:t>MFR</w:t>
            </w:r>
          </w:p>
          <w:p w:rsidR="00C30A20" w:rsidRPr="009920B9" w:rsidRDefault="00C30A20" w:rsidP="00C30A20">
            <w:pPr>
              <w:keepNext/>
              <w:spacing w:after="120"/>
              <w:jc w:val="center"/>
              <w:outlineLvl w:val="1"/>
              <w:rPr>
                <w:b/>
                <w:bCs/>
                <w:iCs/>
              </w:rPr>
            </w:pPr>
            <w:r w:rsidRPr="009920B9">
              <w:rPr>
                <w:b/>
                <w:bCs/>
                <w:iCs/>
              </w:rPr>
              <w:t>Estimated</w:t>
            </w:r>
          </w:p>
        </w:tc>
        <w:tc>
          <w:tcPr>
            <w:tcW w:w="1197" w:type="dxa"/>
            <w:vAlign w:val="center"/>
          </w:tcPr>
          <w:p w:rsidR="00C30A20" w:rsidRPr="009920B9" w:rsidRDefault="00C30A20" w:rsidP="00C30A20">
            <w:pPr>
              <w:keepNext/>
              <w:spacing w:after="120"/>
              <w:jc w:val="center"/>
              <w:outlineLvl w:val="1"/>
              <w:rPr>
                <w:b/>
                <w:bCs/>
                <w:iCs/>
              </w:rPr>
            </w:pPr>
          </w:p>
          <w:p w:rsidR="00C30A20" w:rsidRPr="009920B9" w:rsidRDefault="00C30A20" w:rsidP="00C30A20">
            <w:pPr>
              <w:keepNext/>
              <w:spacing w:after="120"/>
              <w:jc w:val="center"/>
              <w:outlineLvl w:val="1"/>
              <w:rPr>
                <w:b/>
                <w:bCs/>
                <w:iCs/>
              </w:rPr>
            </w:pPr>
            <w:r w:rsidRPr="009920B9">
              <w:rPr>
                <w:b/>
                <w:bCs/>
                <w:iCs/>
              </w:rPr>
              <w:t>Actual</w:t>
            </w:r>
          </w:p>
        </w:tc>
        <w:tc>
          <w:tcPr>
            <w:tcW w:w="1254" w:type="dxa"/>
            <w:vAlign w:val="center"/>
          </w:tcPr>
          <w:p w:rsidR="00C30A20" w:rsidRPr="009920B9" w:rsidRDefault="00C30A20" w:rsidP="00C30A20">
            <w:pPr>
              <w:keepNext/>
              <w:spacing w:after="120"/>
              <w:jc w:val="center"/>
              <w:outlineLvl w:val="1"/>
              <w:rPr>
                <w:b/>
                <w:bCs/>
                <w:iCs/>
              </w:rPr>
            </w:pPr>
            <w:r w:rsidRPr="009920B9">
              <w:rPr>
                <w:b/>
                <w:bCs/>
                <w:iCs/>
              </w:rPr>
              <w:t>Additional</w:t>
            </w:r>
          </w:p>
          <w:p w:rsidR="00C30A20" w:rsidRPr="009920B9" w:rsidRDefault="00C30A20" w:rsidP="00C30A20">
            <w:pPr>
              <w:keepNext/>
              <w:spacing w:after="120"/>
              <w:jc w:val="center"/>
              <w:outlineLvl w:val="1"/>
              <w:rPr>
                <w:b/>
                <w:bCs/>
                <w:iCs/>
              </w:rPr>
            </w:pPr>
            <w:r w:rsidRPr="009920B9">
              <w:rPr>
                <w:b/>
                <w:bCs/>
                <w:iCs/>
              </w:rPr>
              <w:t>Estimated</w:t>
            </w:r>
          </w:p>
        </w:tc>
        <w:tc>
          <w:tcPr>
            <w:tcW w:w="1140" w:type="dxa"/>
            <w:vAlign w:val="center"/>
          </w:tcPr>
          <w:p w:rsidR="00C30A20" w:rsidRPr="009920B9" w:rsidRDefault="00C30A20" w:rsidP="00C30A20">
            <w:pPr>
              <w:keepNext/>
              <w:spacing w:after="120"/>
              <w:jc w:val="center"/>
              <w:outlineLvl w:val="1"/>
              <w:rPr>
                <w:b/>
                <w:bCs/>
                <w:iCs/>
              </w:rPr>
            </w:pPr>
          </w:p>
          <w:p w:rsidR="00C30A20" w:rsidRPr="009920B9" w:rsidRDefault="00C30A20" w:rsidP="00C30A20">
            <w:pPr>
              <w:keepNext/>
              <w:spacing w:after="120"/>
              <w:jc w:val="center"/>
              <w:outlineLvl w:val="1"/>
              <w:rPr>
                <w:b/>
                <w:bCs/>
                <w:iCs/>
              </w:rPr>
            </w:pPr>
            <w:r w:rsidRPr="009920B9">
              <w:rPr>
                <w:b/>
                <w:bCs/>
                <w:iCs/>
              </w:rPr>
              <w:t>Total</w:t>
            </w:r>
          </w:p>
        </w:tc>
      </w:tr>
      <w:tr w:rsidR="00C30A20" w:rsidRPr="00C30A20" w:rsidTr="00D1658D">
        <w:trPr>
          <w:cantSplit/>
          <w:trHeight w:hRule="exact" w:val="432"/>
        </w:trPr>
        <w:tc>
          <w:tcPr>
            <w:tcW w:w="2508" w:type="dxa"/>
          </w:tcPr>
          <w:p w:rsidR="00C30A20" w:rsidRPr="00C30A20" w:rsidRDefault="00C30A20" w:rsidP="00C30A20">
            <w:pPr>
              <w:keepNext/>
              <w:spacing w:before="120" w:after="120"/>
              <w:jc w:val="both"/>
              <w:outlineLvl w:val="1"/>
              <w:rPr>
                <w:bCs/>
                <w:iCs/>
                <w:sz w:val="22"/>
                <w:szCs w:val="22"/>
              </w:rPr>
            </w:pPr>
            <w:r w:rsidRPr="00C30A20">
              <w:rPr>
                <w:bCs/>
                <w:iCs/>
                <w:sz w:val="22"/>
                <w:szCs w:val="22"/>
              </w:rPr>
              <w:t>Legal Fees</w:t>
            </w:r>
          </w:p>
        </w:tc>
        <w:tc>
          <w:tcPr>
            <w:tcW w:w="1197" w:type="dxa"/>
          </w:tcPr>
          <w:p w:rsidR="00C30A20" w:rsidRPr="00C30A20" w:rsidRDefault="00C30A20" w:rsidP="00C30A20">
            <w:pPr>
              <w:keepNext/>
              <w:spacing w:before="120" w:after="120"/>
              <w:jc w:val="both"/>
              <w:outlineLvl w:val="1"/>
              <w:rPr>
                <w:bCs/>
                <w:iCs/>
                <w:sz w:val="22"/>
                <w:szCs w:val="22"/>
              </w:rPr>
            </w:pPr>
            <w:r w:rsidRPr="00C30A20">
              <w:rPr>
                <w:bCs/>
                <w:iCs/>
                <w:sz w:val="22"/>
                <w:szCs w:val="22"/>
              </w:rPr>
              <w:t xml:space="preserve">      $62,500</w:t>
            </w:r>
          </w:p>
        </w:tc>
        <w:tc>
          <w:tcPr>
            <w:tcW w:w="1197"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$41,599 </w:t>
            </w:r>
          </w:p>
        </w:tc>
        <w:tc>
          <w:tcPr>
            <w:tcW w:w="1254"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$14,875 </w:t>
            </w:r>
          </w:p>
        </w:tc>
        <w:tc>
          <w:tcPr>
            <w:tcW w:w="1140"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$56,474 </w:t>
            </w:r>
          </w:p>
        </w:tc>
      </w:tr>
      <w:tr w:rsidR="00C30A20" w:rsidRPr="00C30A20" w:rsidTr="00D1658D">
        <w:trPr>
          <w:cantSplit/>
          <w:trHeight w:hRule="exact" w:val="432"/>
        </w:trPr>
        <w:tc>
          <w:tcPr>
            <w:tcW w:w="2508" w:type="dxa"/>
          </w:tcPr>
          <w:p w:rsidR="00C30A20" w:rsidRPr="00C30A20" w:rsidRDefault="00C30A20" w:rsidP="00C30A20">
            <w:pPr>
              <w:keepNext/>
              <w:spacing w:before="120" w:after="120"/>
              <w:jc w:val="both"/>
              <w:outlineLvl w:val="1"/>
              <w:rPr>
                <w:bCs/>
                <w:iCs/>
                <w:sz w:val="22"/>
                <w:szCs w:val="22"/>
              </w:rPr>
            </w:pPr>
            <w:r w:rsidRPr="00C30A20">
              <w:rPr>
                <w:bCs/>
                <w:iCs/>
                <w:sz w:val="22"/>
                <w:szCs w:val="22"/>
              </w:rPr>
              <w:t>Accounting Fees</w:t>
            </w:r>
          </w:p>
        </w:tc>
        <w:tc>
          <w:tcPr>
            <w:tcW w:w="1197"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70,000</w:t>
            </w:r>
          </w:p>
        </w:tc>
        <w:tc>
          <w:tcPr>
            <w:tcW w:w="1197"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35,000 </w:t>
            </w:r>
          </w:p>
        </w:tc>
        <w:tc>
          <w:tcPr>
            <w:tcW w:w="1254"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0 </w:t>
            </w:r>
          </w:p>
        </w:tc>
        <w:tc>
          <w:tcPr>
            <w:tcW w:w="1140"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35,000 </w:t>
            </w:r>
          </w:p>
        </w:tc>
      </w:tr>
      <w:tr w:rsidR="00C30A20" w:rsidRPr="00C30A20" w:rsidTr="00D1658D">
        <w:trPr>
          <w:cantSplit/>
          <w:trHeight w:hRule="exact" w:val="432"/>
        </w:trPr>
        <w:tc>
          <w:tcPr>
            <w:tcW w:w="2508" w:type="dxa"/>
          </w:tcPr>
          <w:p w:rsidR="00C30A20" w:rsidRPr="00C30A20" w:rsidRDefault="00C30A20" w:rsidP="00C30A20">
            <w:pPr>
              <w:keepNext/>
              <w:spacing w:before="120" w:after="120"/>
              <w:jc w:val="both"/>
              <w:outlineLvl w:val="1"/>
              <w:rPr>
                <w:bCs/>
                <w:iCs/>
                <w:sz w:val="22"/>
                <w:szCs w:val="22"/>
              </w:rPr>
            </w:pPr>
            <w:r w:rsidRPr="00C30A20">
              <w:rPr>
                <w:bCs/>
                <w:iCs/>
                <w:sz w:val="22"/>
                <w:szCs w:val="22"/>
              </w:rPr>
              <w:t>Filing Fee</w:t>
            </w:r>
          </w:p>
        </w:tc>
        <w:tc>
          <w:tcPr>
            <w:tcW w:w="1197"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0</w:t>
            </w:r>
          </w:p>
        </w:tc>
        <w:tc>
          <w:tcPr>
            <w:tcW w:w="1197"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5,500</w:t>
            </w:r>
          </w:p>
        </w:tc>
        <w:tc>
          <w:tcPr>
            <w:tcW w:w="1254"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0</w:t>
            </w:r>
          </w:p>
        </w:tc>
        <w:tc>
          <w:tcPr>
            <w:tcW w:w="1140"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5,500</w:t>
            </w:r>
          </w:p>
        </w:tc>
      </w:tr>
      <w:tr w:rsidR="00C30A20" w:rsidRPr="00C30A20" w:rsidTr="00D1658D">
        <w:trPr>
          <w:cantSplit/>
          <w:trHeight w:hRule="exact" w:val="432"/>
        </w:trPr>
        <w:tc>
          <w:tcPr>
            <w:tcW w:w="2508" w:type="dxa"/>
          </w:tcPr>
          <w:p w:rsidR="00C30A20" w:rsidRPr="00C30A20" w:rsidRDefault="00C30A20" w:rsidP="00C30A20">
            <w:pPr>
              <w:keepNext/>
              <w:spacing w:before="120" w:after="120"/>
              <w:jc w:val="both"/>
              <w:outlineLvl w:val="1"/>
              <w:rPr>
                <w:bCs/>
                <w:iCs/>
                <w:sz w:val="22"/>
                <w:szCs w:val="22"/>
              </w:rPr>
            </w:pPr>
            <w:r w:rsidRPr="00C30A20">
              <w:rPr>
                <w:bCs/>
                <w:iCs/>
                <w:sz w:val="22"/>
                <w:szCs w:val="22"/>
              </w:rPr>
              <w:t>Customer Notices/FedEx</w:t>
            </w:r>
          </w:p>
        </w:tc>
        <w:tc>
          <w:tcPr>
            <w:tcW w:w="1197" w:type="dxa"/>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31,428</w:t>
            </w:r>
          </w:p>
        </w:tc>
        <w:tc>
          <w:tcPr>
            <w:tcW w:w="1197" w:type="dxa"/>
            <w:vAlign w:val="bottom"/>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 xml:space="preserve">67 </w:t>
            </w:r>
          </w:p>
        </w:tc>
        <w:tc>
          <w:tcPr>
            <w:tcW w:w="1254" w:type="dxa"/>
            <w:vAlign w:val="bottom"/>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 xml:space="preserve">10,476 </w:t>
            </w:r>
          </w:p>
        </w:tc>
        <w:tc>
          <w:tcPr>
            <w:tcW w:w="1140" w:type="dxa"/>
            <w:vAlign w:val="bottom"/>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 xml:space="preserve">10,543 </w:t>
            </w:r>
          </w:p>
        </w:tc>
      </w:tr>
      <w:tr w:rsidR="00C30A20" w:rsidRPr="00C30A20" w:rsidTr="00D1658D">
        <w:trPr>
          <w:cantSplit/>
          <w:trHeight w:val="432"/>
        </w:trPr>
        <w:tc>
          <w:tcPr>
            <w:tcW w:w="2508" w:type="dxa"/>
          </w:tcPr>
          <w:p w:rsidR="00C30A20" w:rsidRPr="00C30A20" w:rsidRDefault="00C30A20" w:rsidP="00C30A20">
            <w:pPr>
              <w:keepNext/>
              <w:spacing w:before="120" w:after="120"/>
              <w:jc w:val="both"/>
              <w:outlineLvl w:val="1"/>
              <w:rPr>
                <w:bCs/>
                <w:iCs/>
                <w:sz w:val="22"/>
                <w:szCs w:val="22"/>
              </w:rPr>
            </w:pPr>
            <w:r w:rsidRPr="00C30A20">
              <w:rPr>
                <w:bCs/>
                <w:iCs/>
                <w:sz w:val="22"/>
                <w:szCs w:val="22"/>
              </w:rPr>
              <w:t xml:space="preserve">Total </w:t>
            </w:r>
          </w:p>
        </w:tc>
        <w:tc>
          <w:tcPr>
            <w:tcW w:w="1197" w:type="dxa"/>
          </w:tcPr>
          <w:p w:rsidR="00C30A20" w:rsidRPr="001C77F9" w:rsidRDefault="00C30A20" w:rsidP="00C30A20">
            <w:pPr>
              <w:keepNext/>
              <w:spacing w:before="120" w:after="120"/>
              <w:jc w:val="right"/>
              <w:outlineLvl w:val="1"/>
              <w:rPr>
                <w:bCs/>
                <w:iCs/>
                <w:sz w:val="22"/>
                <w:szCs w:val="22"/>
                <w:u w:val="double"/>
              </w:rPr>
            </w:pPr>
            <w:r w:rsidRPr="009920B9">
              <w:rPr>
                <w:bCs/>
                <w:iCs/>
                <w:sz w:val="22"/>
                <w:szCs w:val="22"/>
              </w:rPr>
              <w:t xml:space="preserve"> </w:t>
            </w:r>
            <w:r w:rsidRPr="001C77F9">
              <w:rPr>
                <w:bCs/>
                <w:iCs/>
                <w:sz w:val="22"/>
                <w:szCs w:val="22"/>
                <w:u w:val="double"/>
              </w:rPr>
              <w:t xml:space="preserve">$163,928    </w:t>
            </w:r>
          </w:p>
        </w:tc>
        <w:tc>
          <w:tcPr>
            <w:tcW w:w="1197" w:type="dxa"/>
          </w:tcPr>
          <w:p w:rsidR="00C30A20" w:rsidRPr="001C77F9" w:rsidRDefault="00C30A20" w:rsidP="00C30A20">
            <w:pPr>
              <w:keepNext/>
              <w:spacing w:before="120" w:after="120"/>
              <w:jc w:val="right"/>
              <w:outlineLvl w:val="1"/>
              <w:rPr>
                <w:bCs/>
                <w:iCs/>
                <w:sz w:val="22"/>
                <w:szCs w:val="22"/>
                <w:u w:val="double"/>
              </w:rPr>
            </w:pPr>
            <w:r w:rsidRPr="009920B9">
              <w:rPr>
                <w:bCs/>
                <w:iCs/>
                <w:sz w:val="22"/>
                <w:szCs w:val="22"/>
              </w:rPr>
              <w:t xml:space="preserve"> </w:t>
            </w:r>
            <w:r w:rsidRPr="001C77F9">
              <w:rPr>
                <w:bCs/>
                <w:iCs/>
                <w:sz w:val="22"/>
                <w:szCs w:val="22"/>
                <w:u w:val="double"/>
              </w:rPr>
              <w:t xml:space="preserve"> $82,166</w:t>
            </w:r>
          </w:p>
        </w:tc>
        <w:tc>
          <w:tcPr>
            <w:tcW w:w="1254" w:type="dxa"/>
          </w:tcPr>
          <w:p w:rsidR="00C30A20" w:rsidRPr="001C77F9" w:rsidRDefault="00C30A20" w:rsidP="00C30A20">
            <w:pPr>
              <w:keepNext/>
              <w:spacing w:before="120" w:after="120"/>
              <w:jc w:val="right"/>
              <w:outlineLvl w:val="1"/>
              <w:rPr>
                <w:bCs/>
                <w:iCs/>
                <w:sz w:val="22"/>
                <w:szCs w:val="22"/>
                <w:u w:val="double"/>
              </w:rPr>
            </w:pPr>
            <w:r w:rsidRPr="009920B9">
              <w:rPr>
                <w:bCs/>
                <w:iCs/>
                <w:sz w:val="22"/>
                <w:szCs w:val="22"/>
              </w:rPr>
              <w:t xml:space="preserve">    </w:t>
            </w:r>
            <w:r w:rsidRPr="001C77F9">
              <w:rPr>
                <w:bCs/>
                <w:iCs/>
                <w:sz w:val="22"/>
                <w:szCs w:val="22"/>
                <w:u w:val="double"/>
              </w:rPr>
              <w:t xml:space="preserve"> $25,351</w:t>
            </w:r>
          </w:p>
        </w:tc>
        <w:tc>
          <w:tcPr>
            <w:tcW w:w="1140" w:type="dxa"/>
          </w:tcPr>
          <w:p w:rsidR="00C30A20" w:rsidRPr="001C77F9" w:rsidRDefault="00C30A20" w:rsidP="00C30A20">
            <w:pPr>
              <w:keepNext/>
              <w:spacing w:before="120" w:after="120"/>
              <w:jc w:val="right"/>
              <w:outlineLvl w:val="1"/>
              <w:rPr>
                <w:bCs/>
                <w:iCs/>
                <w:sz w:val="22"/>
                <w:szCs w:val="22"/>
                <w:u w:val="double"/>
              </w:rPr>
            </w:pPr>
            <w:r w:rsidRPr="009920B9">
              <w:rPr>
                <w:bCs/>
                <w:iCs/>
                <w:sz w:val="22"/>
                <w:szCs w:val="22"/>
              </w:rPr>
              <w:t xml:space="preserve"> </w:t>
            </w:r>
            <w:r w:rsidRPr="001C77F9">
              <w:rPr>
                <w:bCs/>
                <w:iCs/>
                <w:sz w:val="22"/>
                <w:szCs w:val="22"/>
                <w:u w:val="double"/>
              </w:rPr>
              <w:t xml:space="preserve">$107,517    </w:t>
            </w:r>
          </w:p>
        </w:tc>
      </w:tr>
    </w:tbl>
    <w:p w:rsidR="00C30A20" w:rsidRPr="00C30A20" w:rsidRDefault="00C30A20" w:rsidP="00C30A20">
      <w:pPr>
        <w:ind w:left="720"/>
        <w:jc w:val="both"/>
      </w:pPr>
      <w:r w:rsidRPr="00C30A20">
        <w:rPr>
          <w:sz w:val="23"/>
          <w:szCs w:val="23"/>
        </w:rPr>
        <w:t xml:space="preserve">    </w:t>
      </w:r>
      <w:r w:rsidRPr="00C30A20">
        <w:t>Source: MFR Schedule B-10 and responses to staff data requests</w:t>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 xml:space="preserve">Pursuant to Section 367.081(7), F.S., the Commission shall determine the reasonableness of rate case expenses and shall disallow all rate case expenses determined to be unreasonable. Staff has examined the requested actual expenses, supporting documentation, and estimated expenses as listed above for the current rate case.  </w:t>
      </w:r>
    </w:p>
    <w:p w:rsidR="00C30A20" w:rsidRPr="00C30A20" w:rsidRDefault="00C30A20" w:rsidP="00C30A20">
      <w:pPr>
        <w:ind w:firstLine="720"/>
        <w:jc w:val="both"/>
      </w:pPr>
    </w:p>
    <w:p w:rsidR="00C30A20" w:rsidRPr="00C30A20" w:rsidRDefault="00C30A20" w:rsidP="00C30A20">
      <w:pPr>
        <w:autoSpaceDE w:val="0"/>
        <w:autoSpaceDN w:val="0"/>
        <w:adjustRightInd w:val="0"/>
      </w:pPr>
      <w:r w:rsidRPr="00C30A20">
        <w:rPr>
          <w:rFonts w:ascii="Arial" w:hAnsi="Arial" w:cs="Arial"/>
          <w:b/>
          <w:bCs/>
        </w:rPr>
        <w:t>Legal Fees (Sundstrom &amp; Mindlin, LLP)</w:t>
      </w:r>
    </w:p>
    <w:p w:rsidR="00C30A20" w:rsidRPr="00C30A20" w:rsidRDefault="00C30A20" w:rsidP="00C30A20">
      <w:pPr>
        <w:jc w:val="both"/>
      </w:pPr>
      <w:r w:rsidRPr="00C30A20">
        <w:t xml:space="preserve">The </w:t>
      </w:r>
      <w:r w:rsidR="002D6F3D">
        <w:t>u</w:t>
      </w:r>
      <w:r w:rsidRPr="00C30A20">
        <w:t xml:space="preserve">tility included in its MFRs $62,500 in legal fees to complete the rate case. The </w:t>
      </w:r>
      <w:r w:rsidR="002D6F3D">
        <w:t>u</w:t>
      </w:r>
      <w:r w:rsidRPr="00C30A20">
        <w:t xml:space="preserve">tility provided invoices through July 31, 2016, showing legal expenses associated with the rate case totaling $41,599 plus an additional $14,875 to complete this PAA rate case for a total of $56,474 in legal fees. </w:t>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 xml:space="preserve">According to the invoices provided, the law firm of Sundstrom &amp; Mindlin, LLP (Sundstrom) billed the </w:t>
      </w:r>
      <w:r w:rsidR="002D6F3D">
        <w:t>u</w:t>
      </w:r>
      <w:r w:rsidRPr="00C30A20">
        <w:t xml:space="preserve">tility approximately $2,900 related to the correction of MFR deficiencies. Sundstrom believes that it should be allowed to recover the expense associated with deficiency correction because it is part of the “normal process,” and that “few rate filings are accepted without </w:t>
      </w:r>
      <w:r w:rsidRPr="00C30A20">
        <w:lastRenderedPageBreak/>
        <w:t>revisions to correct for deficiencies.”</w:t>
      </w:r>
      <w:r w:rsidRPr="00C30A20">
        <w:rPr>
          <w:vertAlign w:val="superscript"/>
        </w:rPr>
        <w:footnoteReference w:id="18"/>
      </w:r>
      <w:r w:rsidRPr="00C30A20">
        <w:t xml:space="preserve"> Staff disagrees, noting that the Commission has previously disallowed rate case expense associated with correcting MFR deficiencies because of duplicate filing costs.</w:t>
      </w:r>
      <w:r w:rsidRPr="00C30A20">
        <w:rPr>
          <w:vertAlign w:val="superscript"/>
        </w:rPr>
        <w:footnoteReference w:id="19"/>
      </w:r>
      <w:r w:rsidRPr="00C30A20">
        <w:t xml:space="preserve"> Accordingly, staff believes that $2,891 (8.26 hours x $350/hour) should be removed as duplicative and unreasonable rate case expense.</w:t>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Based on its response to Staff’s Second Data Request, Question 10, the utility appears to have spent approximately $74,000 in its preparation and filing of the rate proceeding in Docket</w:t>
      </w:r>
      <w:r w:rsidR="008F2475">
        <w:t xml:space="preserve"> No.</w:t>
      </w:r>
      <w:r w:rsidRPr="00C30A20">
        <w:t xml:space="preserve"> 150170-WS, and believes that a portion of that expense should be included in the current docket. In support, Sundstrom argues the following:</w:t>
      </w:r>
    </w:p>
    <w:p w:rsidR="00C30A20" w:rsidRPr="00C30A20" w:rsidRDefault="00C30A20" w:rsidP="00C30A20">
      <w:pPr>
        <w:autoSpaceDE w:val="0"/>
        <w:autoSpaceDN w:val="0"/>
        <w:adjustRightInd w:val="0"/>
        <w:jc w:val="both"/>
      </w:pPr>
    </w:p>
    <w:p w:rsidR="00C30A20" w:rsidRPr="00C30A20" w:rsidRDefault="00C30A20" w:rsidP="00C30A20">
      <w:pPr>
        <w:autoSpaceDE w:val="0"/>
        <w:autoSpaceDN w:val="0"/>
        <w:adjustRightInd w:val="0"/>
        <w:ind w:left="720" w:right="720"/>
        <w:jc w:val="both"/>
      </w:pPr>
      <w:r w:rsidRPr="00C30A20">
        <w:t>While the great majority of the costs related to this proceeding are not relevant to the current rate case proceeding, most of the costs related to legal services incurred during the three months prior rate case filing are directly related to the information necessary in order to file the current rate proceeding in Docket 160030-WS. The costs for drafting of pleadings, organization of tariffs and exhibits which were the focus of the three legal bills just prior to the filing were substantially similar to those filed in the instant rate proceeding. As such, the utility believes that a significant portion of the rate case expenses incurred for legal services in those three months directly benefit the current rate proceeding. In an attempt to estimate conservatively, the utility has allocated 50% of the cost of those services as costs related to the current rate proceeding.</w:t>
      </w:r>
      <w:r w:rsidRPr="00C30A20">
        <w:rPr>
          <w:vertAlign w:val="superscript"/>
        </w:rPr>
        <w:footnoteReference w:id="20"/>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Sundstrom included $8,203 of legal expense related to Docket</w:t>
      </w:r>
      <w:r w:rsidR="008F2475">
        <w:t xml:space="preserve"> No.</w:t>
      </w:r>
      <w:r w:rsidRPr="00C30A20">
        <w:t xml:space="preserve"> 150170-WS in the current docket. The </w:t>
      </w:r>
      <w:r w:rsidR="002D6F3D">
        <w:t>u</w:t>
      </w:r>
      <w:r w:rsidRPr="00C30A20">
        <w:t xml:space="preserve">tility withdrew its application for an increase in rates in that docket on January 21, 2016 citing, in part, the following factors: (1) the deficiencies noted by the Commission Staff to the Application as originally filed; (2) recognition of the changes that have occurred as a result of a change in ownership of the </w:t>
      </w:r>
      <w:r w:rsidR="002D6F3D">
        <w:t>u</w:t>
      </w:r>
      <w:r w:rsidRPr="00C30A20">
        <w:t>tility in 2015; and (3) changes in status of capital improvements to the utility system.</w:t>
      </w:r>
      <w:r w:rsidRPr="00C30A20">
        <w:rPr>
          <w:vertAlign w:val="superscript"/>
        </w:rPr>
        <w:footnoteReference w:id="21"/>
      </w:r>
      <w:r w:rsidRPr="00C30A20">
        <w:t xml:space="preserve"> Staff adds that the </w:t>
      </w:r>
      <w:r w:rsidR="002D6F3D">
        <w:t>u</w:t>
      </w:r>
      <w:r w:rsidRPr="00C30A20">
        <w:t xml:space="preserve">tility’s decision to withdraw its 2015 rate case was on its own motion, not at the Commission’s urging. As such, staff does not believe that any expense related to Docket No. 150170-WS should be included in the current docket. Accordingly, staff believes that $8,203 should be removed from current rate case expense. </w:t>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 xml:space="preserve">An adjustment to actual rate case expense should also be made to remove a portion of travel expenses related to the customer meeting in July. Support documentation </w:t>
      </w:r>
      <w:r w:rsidR="002D6F3D">
        <w:t xml:space="preserve">provided by Sundstrom included </w:t>
      </w:r>
      <w:r w:rsidRPr="00C30A20">
        <w:t xml:space="preserve">approximately $218 for a meal attended by the attorney and five </w:t>
      </w:r>
      <w:r w:rsidR="002D6F3D">
        <w:t>u</w:t>
      </w:r>
      <w:r w:rsidRPr="00C30A20">
        <w:t xml:space="preserve">tility employees. Staff believes that is inappropriate to include the cost of the meal as it relates to the five </w:t>
      </w:r>
      <w:r w:rsidR="002D6F3D">
        <w:t>u</w:t>
      </w:r>
      <w:r w:rsidRPr="00C30A20">
        <w:t xml:space="preserve">tility employees, but the attorney’s portion of the meal should be allowed. It is likely that the </w:t>
      </w:r>
      <w:r w:rsidR="002D6F3D">
        <w:t>u</w:t>
      </w:r>
      <w:r w:rsidRPr="00C30A20">
        <w:t xml:space="preserve">tility employees’ other travel related expenses were submitted to the </w:t>
      </w:r>
      <w:r w:rsidR="002D6F3D">
        <w:t>u</w:t>
      </w:r>
      <w:r w:rsidRPr="00C30A20">
        <w:t xml:space="preserve">tility for reimbursement. If paid for individually, staff believes that the meal expense would have also been submitted to the </w:t>
      </w:r>
      <w:r w:rsidR="002D6F3D">
        <w:t>u</w:t>
      </w:r>
      <w:r w:rsidRPr="00C30A20">
        <w:t>tility for reimbursement, and not included in rate case expense. As such, staff believes that 1/6</w:t>
      </w:r>
      <w:r w:rsidRPr="00C30A20">
        <w:rPr>
          <w:vertAlign w:val="superscript"/>
        </w:rPr>
        <w:t>th</w:t>
      </w:r>
      <w:r w:rsidRPr="00C30A20">
        <w:t xml:space="preserve"> </w:t>
      </w:r>
      <w:r w:rsidRPr="00C30A20">
        <w:lastRenderedPageBreak/>
        <w:t>of the cost, or $36, should be included in rate case expense. The remaining $181 should be removed from legal rate case expense.</w:t>
      </w:r>
    </w:p>
    <w:p w:rsidR="00C30A20" w:rsidRPr="00C30A20" w:rsidRDefault="00C30A20" w:rsidP="00C30A20">
      <w:pPr>
        <w:jc w:val="both"/>
      </w:pPr>
    </w:p>
    <w:p w:rsidR="00C30A20" w:rsidRPr="00C30A20" w:rsidRDefault="00C30A20" w:rsidP="00C30A20">
      <w:pPr>
        <w:autoSpaceDE w:val="0"/>
        <w:autoSpaceDN w:val="0"/>
        <w:adjustRightInd w:val="0"/>
        <w:jc w:val="both"/>
      </w:pPr>
      <w:r w:rsidRPr="00C30A20">
        <w:t xml:space="preserve">Sundstrom’s estimate to complete the rate case includes fees of $13,825 for responding to various commission documents and preparing for and attending the agenda conference. The estimate to complete also included costs of $1,050 for photocopies, postage, and other expenses. Since the estimate to complete was submitted on September 1, 2016, staff sent two additional data requests and the </w:t>
      </w:r>
      <w:r w:rsidR="002D6F3D">
        <w:t>u</w:t>
      </w:r>
      <w:r w:rsidRPr="00C30A20">
        <w:t xml:space="preserve">tility also responded to OPC’s issues and concerns. As such, staff believes the full amount of the estimate to complete, $14,875 ($13,825 + $1,050), is reasonable. </w:t>
      </w:r>
    </w:p>
    <w:p w:rsidR="00C30A20" w:rsidRPr="00C30A20" w:rsidRDefault="00C30A20" w:rsidP="00C30A20">
      <w:pPr>
        <w:autoSpaceDE w:val="0"/>
        <w:autoSpaceDN w:val="0"/>
        <w:adjustRightInd w:val="0"/>
      </w:pPr>
    </w:p>
    <w:p w:rsidR="00C30A20" w:rsidRPr="00C30A20" w:rsidRDefault="00C30A20" w:rsidP="00C30A20">
      <w:pPr>
        <w:autoSpaceDE w:val="0"/>
        <w:autoSpaceDN w:val="0"/>
        <w:adjustRightInd w:val="0"/>
        <w:jc w:val="both"/>
      </w:pPr>
      <w:r w:rsidRPr="00C30A20">
        <w:t>Based on the above, staff believes that the appropriate amount of legal fees is $45,199 ($56,474 - $11,275).</w:t>
      </w:r>
    </w:p>
    <w:p w:rsidR="00C30A20" w:rsidRPr="00C30A20" w:rsidRDefault="00C30A20" w:rsidP="00C30A20">
      <w:pPr>
        <w:ind w:firstLine="720"/>
        <w:jc w:val="both"/>
      </w:pPr>
    </w:p>
    <w:p w:rsidR="00C30A20" w:rsidRPr="00C30A20" w:rsidRDefault="00C30A20" w:rsidP="00C30A20">
      <w:pPr>
        <w:jc w:val="both"/>
      </w:pPr>
      <w:r w:rsidRPr="00C30A20">
        <w:rPr>
          <w:rFonts w:ascii="Arial" w:hAnsi="Arial" w:cs="Arial"/>
          <w:b/>
          <w:bCs/>
        </w:rPr>
        <w:t>Accounting Fees (Tangibil)</w:t>
      </w:r>
      <w:r w:rsidRPr="00C30A20">
        <w:tab/>
      </w:r>
    </w:p>
    <w:p w:rsidR="00C30A20" w:rsidRPr="00C30A20" w:rsidRDefault="00C30A20" w:rsidP="00C30A20">
      <w:pPr>
        <w:autoSpaceDE w:val="0"/>
        <w:autoSpaceDN w:val="0"/>
        <w:adjustRightInd w:val="0"/>
        <w:jc w:val="both"/>
      </w:pPr>
      <w:r w:rsidRPr="00C30A20">
        <w:t xml:space="preserve">Ni Florida included $70,000 in its MFRs for accounting costs. The </w:t>
      </w:r>
      <w:r w:rsidR="002D6F3D">
        <w:t>u</w:t>
      </w:r>
      <w:r w:rsidRPr="00C30A20">
        <w:t xml:space="preserve">tility’s updated rate case expense reflected actual fees of $35,000 with no additional costs for the estimate to complete. In response to Staff’s First Data Request, the </w:t>
      </w:r>
      <w:r w:rsidR="002D6F3D">
        <w:t>u</w:t>
      </w:r>
      <w:r w:rsidRPr="00C30A20">
        <w:t xml:space="preserve">tility attached an invoice from Tangibil for $35,000. Based on the supporting documentation, Tangibil’s work is based on a lump sum quote for preparation of the rate case MFRs and assistance in responding to data requests and analyses. No additional invoices were received by staff addressing work related to deficiency corrections or responding to additional staff data requests. Staff notes that in the </w:t>
      </w:r>
      <w:r w:rsidR="002D6F3D">
        <w:t>u</w:t>
      </w:r>
      <w:r w:rsidRPr="00C30A20">
        <w:t>tility’s last rate case, Ni Florida was allowed to recover $81,000 for accounting fees.</w:t>
      </w:r>
      <w:r w:rsidRPr="00C30A20">
        <w:rPr>
          <w:vertAlign w:val="superscript"/>
        </w:rPr>
        <w:footnoteReference w:id="22"/>
      </w:r>
      <w:r w:rsidRPr="00C30A20">
        <w:t xml:space="preserve"> As such, staff believes that the lump sum of $35,000 for preparation of the MFRs and responding to staff’s data requests appears reasonable.</w:t>
      </w:r>
    </w:p>
    <w:p w:rsidR="00C30A20" w:rsidRPr="00C30A20" w:rsidRDefault="00C30A20" w:rsidP="00C30A20">
      <w:pPr>
        <w:jc w:val="both"/>
        <w:rPr>
          <w:rFonts w:ascii="Arial" w:hAnsi="Arial" w:cs="Arial"/>
          <w:sz w:val="21"/>
          <w:szCs w:val="21"/>
        </w:rPr>
      </w:pPr>
    </w:p>
    <w:p w:rsidR="00C30A20" w:rsidRPr="00C30A20" w:rsidRDefault="00C30A20" w:rsidP="00C30A20">
      <w:pPr>
        <w:autoSpaceDE w:val="0"/>
        <w:autoSpaceDN w:val="0"/>
        <w:adjustRightInd w:val="0"/>
        <w:rPr>
          <w:rFonts w:ascii="Arial" w:hAnsi="Arial" w:cs="Arial"/>
          <w:b/>
          <w:bCs/>
        </w:rPr>
      </w:pPr>
      <w:r w:rsidRPr="00C30A20">
        <w:rPr>
          <w:rFonts w:ascii="Arial" w:hAnsi="Arial" w:cs="Arial"/>
          <w:b/>
          <w:bCs/>
        </w:rPr>
        <w:t>Filing Fee</w:t>
      </w:r>
    </w:p>
    <w:p w:rsidR="00C30A20" w:rsidRPr="00C30A20" w:rsidRDefault="00C30A20" w:rsidP="00C30A20">
      <w:pPr>
        <w:autoSpaceDE w:val="0"/>
        <w:autoSpaceDN w:val="0"/>
        <w:adjustRightInd w:val="0"/>
        <w:jc w:val="both"/>
      </w:pPr>
      <w:r w:rsidRPr="00C30A20">
        <w:t xml:space="preserve">The </w:t>
      </w:r>
      <w:r w:rsidR="002D6F3D">
        <w:t>u</w:t>
      </w:r>
      <w:r w:rsidRPr="00C30A20">
        <w:t>tility did not include a filing fee in its MFR Schedule B-10, but did include the $5,500 filing fee as part of its updated rate case expense. Staff verified that the amount was not already included in the legal fees to avoid double recovery of this fee. Since the filing fee was not included in legal fees, there is no double recovery of this fee, and should be included in rate case expense.</w:t>
      </w:r>
    </w:p>
    <w:p w:rsidR="00C30A20" w:rsidRPr="00C30A20" w:rsidRDefault="00C30A20" w:rsidP="00C30A20">
      <w:pPr>
        <w:ind w:firstLine="720"/>
        <w:jc w:val="both"/>
      </w:pPr>
    </w:p>
    <w:p w:rsidR="00C30A20" w:rsidRPr="00C30A20" w:rsidRDefault="00C30A20" w:rsidP="00C30A20">
      <w:pPr>
        <w:autoSpaceDE w:val="0"/>
        <w:autoSpaceDN w:val="0"/>
        <w:adjustRightInd w:val="0"/>
      </w:pPr>
      <w:r w:rsidRPr="00C30A20">
        <w:rPr>
          <w:rFonts w:ascii="Arial" w:hAnsi="Arial" w:cs="Arial"/>
          <w:b/>
          <w:bCs/>
        </w:rPr>
        <w:t>Customer Notices, Printing, Shipping, and FedEx</w:t>
      </w:r>
    </w:p>
    <w:p w:rsidR="00C30A20" w:rsidRPr="00C30A20" w:rsidRDefault="00C30A20" w:rsidP="00C30A20">
      <w:pPr>
        <w:autoSpaceDE w:val="0"/>
        <w:autoSpaceDN w:val="0"/>
        <w:adjustRightInd w:val="0"/>
        <w:jc w:val="both"/>
      </w:pPr>
      <w:r w:rsidRPr="00C30A20">
        <w:t xml:space="preserve">In its MFRs, Ni Florida included estimated costs of $31,428 for printing and shipping. The </w:t>
      </w:r>
      <w:r w:rsidR="002D6F3D">
        <w:t>u</w:t>
      </w:r>
      <w:r w:rsidRPr="00C30A20">
        <w:t>tility provided a revised total for final noticing which totaled $10,476 and $67 for FedEx expense. Ni Florida is responsible for sending four notices: the interim notice, the initial notice, customer meeting notice, and notice of the final rate increase. The initial notice and the initial notice were combined in this docket. The Commission has historically approved recovery of noticing and postage, despite the lack of support documentation, based on a standard methodology to estimate the total expense using the number of customers and the estimated per unit cost of envelopes, copies, and postage.</w:t>
      </w:r>
      <w:r w:rsidRPr="00C30A20">
        <w:rPr>
          <w:vertAlign w:val="superscript"/>
        </w:rPr>
        <w:footnoteReference w:id="23"/>
      </w:r>
      <w:r w:rsidRPr="00C30A20">
        <w:t xml:space="preserve"> In the calculations that follow, staff used the actual number of pages of the interim notice (two) and the combined initial and customer meeting notice (four), and estimated that the final notice would be four pages. </w:t>
      </w:r>
    </w:p>
    <w:p w:rsidR="00C30A20" w:rsidRPr="00C30A20" w:rsidRDefault="00C30A20" w:rsidP="00C30A20">
      <w:pPr>
        <w:autoSpaceDE w:val="0"/>
        <w:autoSpaceDN w:val="0"/>
        <w:adjustRightInd w:val="0"/>
        <w:jc w:val="both"/>
      </w:pPr>
    </w:p>
    <w:p w:rsidR="00C30A20" w:rsidRPr="00C30A20" w:rsidRDefault="00C30A20" w:rsidP="00C30A20">
      <w:pPr>
        <w:autoSpaceDE w:val="0"/>
        <w:autoSpaceDN w:val="0"/>
        <w:adjustRightInd w:val="0"/>
        <w:jc w:val="both"/>
      </w:pPr>
      <w:r w:rsidRPr="00C30A20">
        <w:t>Staff estimates the postage cost for the notices to be approximately $4,938 (3,502 customers x $0.47 x 3 notices).</w:t>
      </w:r>
      <w:r w:rsidRPr="00C30A20">
        <w:rPr>
          <w:vertAlign w:val="superscript"/>
        </w:rPr>
        <w:footnoteReference w:id="24"/>
      </w:r>
      <w:r w:rsidRPr="00C30A20">
        <w:t xml:space="preserve"> Staff estimates envelope costs to be $525 (3,502 customers x $0.05 per envelope x 3 notices) and copying costs to be $3,852 ($0.10 per copy x 38,522 pages).</w:t>
      </w:r>
      <w:r w:rsidRPr="00C30A20">
        <w:rPr>
          <w:vertAlign w:val="superscript"/>
        </w:rPr>
        <w:footnoteReference w:id="25"/>
      </w:r>
      <w:r w:rsidRPr="00C30A20">
        <w:t xml:space="preserve"> The </w:t>
      </w:r>
      <w:r w:rsidR="002D6F3D">
        <w:t>u</w:t>
      </w:r>
      <w:r w:rsidRPr="00C30A20">
        <w:t xml:space="preserve">tility also included $67 in FedEx expense which staff believes is reasonable. Based on these components, the total cost for customer notices and postage is $9,382 ($4,938 + $525 + $3,852 + $67). In the </w:t>
      </w:r>
      <w:r w:rsidR="002D6F3D">
        <w:t>u</w:t>
      </w:r>
      <w:r w:rsidRPr="00C30A20">
        <w:t>tility’s last rate case, Ni Florida was allowed to recover $9,009 for customer notices and postage.</w:t>
      </w:r>
      <w:r w:rsidRPr="00C30A20">
        <w:rPr>
          <w:vertAlign w:val="superscript"/>
        </w:rPr>
        <w:footnoteReference w:id="26"/>
      </w:r>
      <w:r w:rsidRPr="00C30A20">
        <w:t xml:space="preserve"> Staff believes that its calculated expense is reflective of the actual conditions in the instant docket while remaining comparable to the expense in the 2013 rate case. As such, staff recommends that rate case expense be decreased by $1,161 ($9,382 - $10,543) for customer mailings.</w:t>
      </w:r>
    </w:p>
    <w:p w:rsidR="00C30A20" w:rsidRPr="00C30A20" w:rsidRDefault="00C30A20" w:rsidP="00C30A20">
      <w:pPr>
        <w:jc w:val="both"/>
      </w:pPr>
    </w:p>
    <w:p w:rsidR="00C30A20" w:rsidRPr="00C30A20" w:rsidRDefault="00C30A20" w:rsidP="00C30A20">
      <w:pPr>
        <w:jc w:val="both"/>
        <w:rPr>
          <w:rFonts w:ascii="Arial" w:hAnsi="Arial" w:cs="Arial"/>
          <w:b/>
        </w:rPr>
      </w:pPr>
      <w:r w:rsidRPr="00C30A20">
        <w:rPr>
          <w:rFonts w:ascii="Arial" w:hAnsi="Arial" w:cs="Arial"/>
          <w:b/>
        </w:rPr>
        <w:t>Conclusion</w:t>
      </w:r>
    </w:p>
    <w:p w:rsidR="00C30A20" w:rsidRPr="00C30A20" w:rsidRDefault="00C30A20" w:rsidP="00C30A20">
      <w:pPr>
        <w:jc w:val="both"/>
      </w:pPr>
      <w:r w:rsidRPr="00C30A20">
        <w:t xml:space="preserve">In summary, we find that the </w:t>
      </w:r>
      <w:r w:rsidR="002D6F3D">
        <w:t>u</w:t>
      </w:r>
      <w:r w:rsidRPr="00C30A20">
        <w:t>tility’s revised rate case expense should be decreased by $</w:t>
      </w:r>
      <w:r w:rsidRPr="00C30A20">
        <w:rPr>
          <w:color w:val="000000"/>
        </w:rPr>
        <w:t>12,436</w:t>
      </w:r>
      <w:r w:rsidRPr="00C30A20">
        <w:t>.  The appropriate total rate case expense is $95,082. A breakdown of rate case expense is as follows:</w:t>
      </w:r>
    </w:p>
    <w:p w:rsidR="00C30A20" w:rsidRPr="00C30A20" w:rsidRDefault="00C30A20" w:rsidP="00C30A20">
      <w:pPr>
        <w:jc w:val="both"/>
      </w:pPr>
    </w:p>
    <w:p w:rsidR="00C30A20" w:rsidRPr="00C30A20" w:rsidRDefault="00C30A20" w:rsidP="00C30A20">
      <w:pPr>
        <w:jc w:val="center"/>
        <w:rPr>
          <w:u w:val="single"/>
        </w:rPr>
      </w:pPr>
      <w:r w:rsidRPr="00C30A20">
        <w:rPr>
          <w:rFonts w:ascii="Arial" w:hAnsi="Arial" w:cs="Arial"/>
          <w:b/>
        </w:rPr>
        <w:t>Table 11-2</w:t>
      </w:r>
      <w:r w:rsidRPr="00C30A20">
        <w:rPr>
          <w:rFonts w:ascii="Arial" w:hAnsi="Arial" w:cs="Arial"/>
          <w:b/>
        </w:rPr>
        <w:br/>
        <w:t>Staff Recommended Rate Case Expense</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3" w:type="dxa"/>
          <w:right w:w="33" w:type="dxa"/>
        </w:tblCellMar>
        <w:tblLook w:val="0000" w:firstRow="0" w:lastRow="0" w:firstColumn="0" w:lastColumn="0" w:noHBand="0" w:noVBand="0"/>
      </w:tblPr>
      <w:tblGrid>
        <w:gridCol w:w="2394"/>
        <w:gridCol w:w="1322"/>
        <w:gridCol w:w="1554"/>
        <w:gridCol w:w="1554"/>
        <w:gridCol w:w="1440"/>
      </w:tblGrid>
      <w:tr w:rsidR="00C30A20" w:rsidRPr="00C30A20" w:rsidTr="00D1658D">
        <w:trPr>
          <w:cantSplit/>
          <w:trHeight w:val="638"/>
          <w:jc w:val="center"/>
        </w:trPr>
        <w:tc>
          <w:tcPr>
            <w:tcW w:w="2394" w:type="dxa"/>
            <w:tcBorders>
              <w:bottom w:val="nil"/>
            </w:tcBorders>
          </w:tcPr>
          <w:p w:rsidR="00C30A20" w:rsidRPr="00C30A20" w:rsidRDefault="00C30A20" w:rsidP="00C30A20">
            <w:pPr>
              <w:keepNext/>
              <w:spacing w:before="120" w:after="120"/>
              <w:jc w:val="both"/>
              <w:outlineLvl w:val="1"/>
              <w:rPr>
                <w:bCs/>
                <w:iCs/>
                <w:sz w:val="22"/>
                <w:szCs w:val="22"/>
              </w:rPr>
            </w:pPr>
          </w:p>
        </w:tc>
        <w:tc>
          <w:tcPr>
            <w:tcW w:w="1322" w:type="dxa"/>
            <w:tcBorders>
              <w:bottom w:val="nil"/>
            </w:tcBorders>
            <w:vAlign w:val="center"/>
          </w:tcPr>
          <w:p w:rsidR="00C30A20" w:rsidRPr="00C30A20" w:rsidRDefault="00C30A20" w:rsidP="00C30A20">
            <w:pPr>
              <w:keepNext/>
              <w:jc w:val="center"/>
              <w:outlineLvl w:val="1"/>
              <w:rPr>
                <w:b/>
                <w:bCs/>
                <w:iCs/>
                <w:sz w:val="22"/>
                <w:szCs w:val="22"/>
              </w:rPr>
            </w:pPr>
            <w:r w:rsidRPr="00C30A20">
              <w:rPr>
                <w:b/>
                <w:bCs/>
                <w:iCs/>
                <w:sz w:val="22"/>
                <w:szCs w:val="22"/>
              </w:rPr>
              <w:t>MFR Estimated</w:t>
            </w:r>
          </w:p>
        </w:tc>
        <w:tc>
          <w:tcPr>
            <w:tcW w:w="1554" w:type="dxa"/>
            <w:tcBorders>
              <w:bottom w:val="nil"/>
            </w:tcBorders>
            <w:vAlign w:val="center"/>
          </w:tcPr>
          <w:p w:rsidR="00C30A20" w:rsidRPr="00C30A20" w:rsidRDefault="00C30A20" w:rsidP="00C30A20">
            <w:pPr>
              <w:keepNext/>
              <w:jc w:val="center"/>
              <w:outlineLvl w:val="1"/>
              <w:rPr>
                <w:b/>
                <w:bCs/>
                <w:iCs/>
                <w:sz w:val="22"/>
                <w:szCs w:val="22"/>
              </w:rPr>
            </w:pPr>
            <w:r w:rsidRPr="00C30A20">
              <w:rPr>
                <w:b/>
                <w:bCs/>
                <w:iCs/>
                <w:sz w:val="22"/>
                <w:szCs w:val="22"/>
              </w:rPr>
              <w:t>Utility Revised</w:t>
            </w:r>
          </w:p>
          <w:p w:rsidR="00C30A20" w:rsidRPr="00C30A20" w:rsidRDefault="00C30A20" w:rsidP="00C30A20">
            <w:pPr>
              <w:keepNext/>
              <w:jc w:val="center"/>
              <w:outlineLvl w:val="1"/>
              <w:rPr>
                <w:b/>
                <w:bCs/>
                <w:iCs/>
                <w:sz w:val="22"/>
                <w:szCs w:val="22"/>
              </w:rPr>
            </w:pPr>
            <w:r w:rsidRPr="00C30A20">
              <w:rPr>
                <w:b/>
                <w:bCs/>
                <w:iCs/>
                <w:sz w:val="22"/>
                <w:szCs w:val="22"/>
              </w:rPr>
              <w:t>Actual &amp; Est.</w:t>
            </w:r>
          </w:p>
        </w:tc>
        <w:tc>
          <w:tcPr>
            <w:tcW w:w="1554" w:type="dxa"/>
            <w:tcBorders>
              <w:bottom w:val="nil"/>
            </w:tcBorders>
            <w:vAlign w:val="center"/>
          </w:tcPr>
          <w:p w:rsidR="00C30A20" w:rsidRPr="00C30A20" w:rsidRDefault="00C30A20" w:rsidP="00C30A20">
            <w:pPr>
              <w:keepNext/>
              <w:jc w:val="center"/>
              <w:outlineLvl w:val="1"/>
              <w:rPr>
                <w:b/>
                <w:bCs/>
                <w:iCs/>
                <w:sz w:val="22"/>
                <w:szCs w:val="22"/>
              </w:rPr>
            </w:pPr>
            <w:r w:rsidRPr="00C30A20">
              <w:rPr>
                <w:b/>
                <w:bCs/>
                <w:iCs/>
                <w:sz w:val="22"/>
                <w:szCs w:val="22"/>
              </w:rPr>
              <w:t>Staff</w:t>
            </w:r>
          </w:p>
          <w:p w:rsidR="00C30A20" w:rsidRPr="00C30A20" w:rsidRDefault="00C30A20" w:rsidP="00C30A20">
            <w:pPr>
              <w:keepNext/>
              <w:jc w:val="center"/>
              <w:outlineLvl w:val="1"/>
              <w:rPr>
                <w:b/>
                <w:bCs/>
                <w:iCs/>
                <w:sz w:val="22"/>
                <w:szCs w:val="22"/>
              </w:rPr>
            </w:pPr>
            <w:r w:rsidRPr="00C30A20">
              <w:rPr>
                <w:b/>
                <w:bCs/>
                <w:iCs/>
                <w:sz w:val="22"/>
                <w:szCs w:val="22"/>
              </w:rPr>
              <w:t>Adjustment</w:t>
            </w:r>
          </w:p>
        </w:tc>
        <w:tc>
          <w:tcPr>
            <w:tcW w:w="1440" w:type="dxa"/>
            <w:tcBorders>
              <w:bottom w:val="nil"/>
            </w:tcBorders>
            <w:vAlign w:val="center"/>
          </w:tcPr>
          <w:p w:rsidR="00C30A20" w:rsidRPr="00C30A20" w:rsidRDefault="00C30A20" w:rsidP="00C30A20">
            <w:pPr>
              <w:keepNext/>
              <w:jc w:val="center"/>
              <w:outlineLvl w:val="1"/>
              <w:rPr>
                <w:b/>
                <w:bCs/>
                <w:iCs/>
                <w:sz w:val="22"/>
                <w:szCs w:val="22"/>
              </w:rPr>
            </w:pPr>
            <w:r w:rsidRPr="00C30A20">
              <w:rPr>
                <w:b/>
                <w:bCs/>
                <w:iCs/>
                <w:sz w:val="22"/>
                <w:szCs w:val="22"/>
              </w:rPr>
              <w:t>Recom.</w:t>
            </w:r>
          </w:p>
          <w:p w:rsidR="00C30A20" w:rsidRPr="00C30A20" w:rsidRDefault="00C30A20" w:rsidP="00C30A20">
            <w:pPr>
              <w:keepNext/>
              <w:jc w:val="center"/>
              <w:outlineLvl w:val="1"/>
              <w:rPr>
                <w:b/>
                <w:bCs/>
                <w:iCs/>
                <w:sz w:val="22"/>
                <w:szCs w:val="22"/>
              </w:rPr>
            </w:pPr>
            <w:r w:rsidRPr="00C30A20">
              <w:rPr>
                <w:b/>
                <w:bCs/>
                <w:iCs/>
                <w:sz w:val="22"/>
                <w:szCs w:val="22"/>
              </w:rPr>
              <w:t>Total</w:t>
            </w:r>
          </w:p>
        </w:tc>
      </w:tr>
      <w:tr w:rsidR="00C30A20" w:rsidRPr="00C30A20" w:rsidTr="00D1658D">
        <w:trPr>
          <w:cantSplit/>
          <w:trHeight w:val="359"/>
          <w:jc w:val="center"/>
        </w:trPr>
        <w:tc>
          <w:tcPr>
            <w:tcW w:w="2394" w:type="dxa"/>
            <w:tcBorders>
              <w:bottom w:val="nil"/>
            </w:tcBorders>
          </w:tcPr>
          <w:p w:rsidR="00C30A20" w:rsidRPr="00C30A20" w:rsidRDefault="00C30A20" w:rsidP="00C30A20">
            <w:pPr>
              <w:keepNext/>
              <w:spacing w:before="120" w:after="120"/>
              <w:jc w:val="both"/>
              <w:outlineLvl w:val="1"/>
              <w:rPr>
                <w:rFonts w:cs="Arial"/>
                <w:bCs/>
                <w:iCs/>
                <w:sz w:val="22"/>
                <w:szCs w:val="22"/>
              </w:rPr>
            </w:pPr>
            <w:r w:rsidRPr="00C30A20">
              <w:rPr>
                <w:bCs/>
                <w:iCs/>
                <w:sz w:val="22"/>
                <w:szCs w:val="22"/>
              </w:rPr>
              <w:t>Legal Fees</w:t>
            </w:r>
          </w:p>
        </w:tc>
        <w:tc>
          <w:tcPr>
            <w:tcW w:w="1322" w:type="dxa"/>
            <w:tcBorders>
              <w:bottom w:val="nil"/>
            </w:tcBorders>
            <w:vAlign w:val="center"/>
          </w:tcPr>
          <w:p w:rsidR="00C30A20" w:rsidRPr="00C30A20" w:rsidRDefault="00C30A20" w:rsidP="00C30A20">
            <w:pPr>
              <w:keepNext/>
              <w:jc w:val="right"/>
              <w:outlineLvl w:val="1"/>
              <w:rPr>
                <w:bCs/>
                <w:iCs/>
                <w:sz w:val="22"/>
                <w:szCs w:val="22"/>
              </w:rPr>
            </w:pPr>
            <w:r w:rsidRPr="00C30A20">
              <w:rPr>
                <w:bCs/>
                <w:iCs/>
                <w:sz w:val="22"/>
                <w:szCs w:val="22"/>
              </w:rPr>
              <w:t xml:space="preserve">      $62,500</w:t>
            </w:r>
          </w:p>
        </w:tc>
        <w:tc>
          <w:tcPr>
            <w:tcW w:w="1554" w:type="dxa"/>
            <w:tcBorders>
              <w:bottom w:val="nil"/>
            </w:tcBorders>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$56,474 </w:t>
            </w:r>
          </w:p>
        </w:tc>
        <w:tc>
          <w:tcPr>
            <w:tcW w:w="1554" w:type="dxa"/>
            <w:tcBorders>
              <w:bottom w:val="nil"/>
            </w:tcBorders>
            <w:vAlign w:val="center"/>
          </w:tcPr>
          <w:p w:rsidR="00C30A20" w:rsidRPr="00C30A20" w:rsidRDefault="00C30A20" w:rsidP="00C30A20">
            <w:pPr>
              <w:keepNext/>
              <w:jc w:val="right"/>
              <w:outlineLvl w:val="1"/>
              <w:rPr>
                <w:bCs/>
                <w:iCs/>
                <w:sz w:val="22"/>
                <w:szCs w:val="22"/>
              </w:rPr>
            </w:pPr>
            <w:r w:rsidRPr="00C30A20">
              <w:rPr>
                <w:bCs/>
                <w:iCs/>
                <w:sz w:val="22"/>
                <w:szCs w:val="22"/>
              </w:rPr>
              <w:t>($11,275)</w:t>
            </w:r>
          </w:p>
        </w:tc>
        <w:tc>
          <w:tcPr>
            <w:tcW w:w="1440" w:type="dxa"/>
            <w:tcBorders>
              <w:bottom w:val="nil"/>
            </w:tcBorders>
            <w:vAlign w:val="center"/>
          </w:tcPr>
          <w:p w:rsidR="00C30A20" w:rsidRPr="00C30A20" w:rsidRDefault="00C30A20" w:rsidP="00C30A20">
            <w:pPr>
              <w:jc w:val="right"/>
              <w:rPr>
                <w:color w:val="000000"/>
                <w:sz w:val="22"/>
                <w:szCs w:val="22"/>
              </w:rPr>
            </w:pPr>
            <w:r w:rsidRPr="00C30A20">
              <w:rPr>
                <w:color w:val="000000"/>
                <w:sz w:val="22"/>
                <w:szCs w:val="22"/>
              </w:rPr>
              <w:t xml:space="preserve">$45,199 </w:t>
            </w:r>
          </w:p>
        </w:tc>
      </w:tr>
      <w:tr w:rsidR="00C30A20" w:rsidRPr="00C30A20" w:rsidTr="00D1658D">
        <w:trPr>
          <w:cantSplit/>
          <w:jc w:val="center"/>
        </w:trPr>
        <w:tc>
          <w:tcPr>
            <w:tcW w:w="2394" w:type="dxa"/>
          </w:tcPr>
          <w:p w:rsidR="00C30A20" w:rsidRPr="00C30A20" w:rsidRDefault="00C30A20" w:rsidP="00C30A20">
            <w:pPr>
              <w:keepNext/>
              <w:spacing w:before="120" w:after="120"/>
              <w:jc w:val="both"/>
              <w:outlineLvl w:val="1"/>
              <w:rPr>
                <w:bCs/>
                <w:iCs/>
                <w:sz w:val="22"/>
                <w:szCs w:val="22"/>
              </w:rPr>
            </w:pPr>
            <w:r w:rsidRPr="00C30A20">
              <w:rPr>
                <w:bCs/>
                <w:iCs/>
                <w:sz w:val="22"/>
                <w:szCs w:val="22"/>
              </w:rPr>
              <w:t>Accounting Fees</w:t>
            </w:r>
          </w:p>
        </w:tc>
        <w:tc>
          <w:tcPr>
            <w:tcW w:w="1322" w:type="dxa"/>
            <w:vAlign w:val="center"/>
          </w:tcPr>
          <w:p w:rsidR="00C30A20" w:rsidRPr="00C30A20" w:rsidRDefault="00C30A20" w:rsidP="00C30A20">
            <w:pPr>
              <w:keepNext/>
              <w:spacing w:before="120" w:after="120"/>
              <w:jc w:val="right"/>
              <w:outlineLvl w:val="1"/>
              <w:rPr>
                <w:bCs/>
                <w:iCs/>
                <w:sz w:val="22"/>
                <w:szCs w:val="22"/>
              </w:rPr>
            </w:pPr>
            <w:r w:rsidRPr="00C30A20">
              <w:rPr>
                <w:bCs/>
                <w:iCs/>
                <w:sz w:val="22"/>
                <w:szCs w:val="22"/>
              </w:rPr>
              <w:t>70,000</w:t>
            </w:r>
          </w:p>
        </w:tc>
        <w:tc>
          <w:tcPr>
            <w:tcW w:w="1554" w:type="dxa"/>
            <w:vAlign w:val="bottom"/>
          </w:tcPr>
          <w:p w:rsidR="00C30A20" w:rsidRPr="00C30A20" w:rsidRDefault="00C30A20" w:rsidP="00C30A20">
            <w:pPr>
              <w:keepNext/>
              <w:spacing w:before="120" w:after="120"/>
              <w:jc w:val="right"/>
              <w:outlineLvl w:val="1"/>
              <w:rPr>
                <w:bCs/>
                <w:iCs/>
                <w:sz w:val="22"/>
                <w:szCs w:val="22"/>
              </w:rPr>
            </w:pPr>
            <w:r w:rsidRPr="00C30A20">
              <w:rPr>
                <w:bCs/>
                <w:iCs/>
                <w:sz w:val="22"/>
                <w:szCs w:val="22"/>
              </w:rPr>
              <w:t xml:space="preserve">35,000 </w:t>
            </w:r>
          </w:p>
        </w:tc>
        <w:tc>
          <w:tcPr>
            <w:tcW w:w="1554" w:type="dxa"/>
            <w:vAlign w:val="center"/>
          </w:tcPr>
          <w:p w:rsidR="00C30A20" w:rsidRPr="00C30A20" w:rsidRDefault="00C30A20" w:rsidP="00C30A20">
            <w:pPr>
              <w:keepNext/>
              <w:spacing w:before="120" w:after="120"/>
              <w:jc w:val="right"/>
              <w:outlineLvl w:val="1"/>
              <w:rPr>
                <w:bCs/>
                <w:iCs/>
                <w:sz w:val="22"/>
                <w:szCs w:val="22"/>
              </w:rPr>
            </w:pPr>
            <w:r w:rsidRPr="00C30A20">
              <w:rPr>
                <w:bCs/>
                <w:iCs/>
                <w:sz w:val="22"/>
                <w:szCs w:val="22"/>
              </w:rPr>
              <w:t>0</w:t>
            </w:r>
          </w:p>
        </w:tc>
        <w:tc>
          <w:tcPr>
            <w:tcW w:w="1440" w:type="dxa"/>
            <w:vAlign w:val="center"/>
          </w:tcPr>
          <w:p w:rsidR="00C30A20" w:rsidRPr="00C30A20" w:rsidRDefault="00C30A20" w:rsidP="00C30A20">
            <w:pPr>
              <w:jc w:val="right"/>
              <w:rPr>
                <w:color w:val="000000"/>
                <w:sz w:val="22"/>
                <w:szCs w:val="22"/>
              </w:rPr>
            </w:pPr>
            <w:r w:rsidRPr="00C30A20">
              <w:rPr>
                <w:color w:val="000000"/>
                <w:sz w:val="22"/>
                <w:szCs w:val="22"/>
              </w:rPr>
              <w:t xml:space="preserve">35,000 </w:t>
            </w:r>
          </w:p>
        </w:tc>
      </w:tr>
      <w:tr w:rsidR="00C30A20" w:rsidRPr="00C30A20" w:rsidTr="00D1658D">
        <w:trPr>
          <w:cantSplit/>
          <w:jc w:val="center"/>
        </w:trPr>
        <w:tc>
          <w:tcPr>
            <w:tcW w:w="2394" w:type="dxa"/>
          </w:tcPr>
          <w:p w:rsidR="00C30A20" w:rsidRPr="00C30A20" w:rsidRDefault="00C30A20" w:rsidP="00C30A20">
            <w:pPr>
              <w:keepNext/>
              <w:spacing w:before="120" w:after="120"/>
              <w:jc w:val="both"/>
              <w:outlineLvl w:val="1"/>
              <w:rPr>
                <w:bCs/>
                <w:iCs/>
                <w:sz w:val="22"/>
                <w:szCs w:val="22"/>
              </w:rPr>
            </w:pPr>
            <w:r w:rsidRPr="00C30A20">
              <w:rPr>
                <w:bCs/>
                <w:iCs/>
                <w:sz w:val="22"/>
                <w:szCs w:val="22"/>
              </w:rPr>
              <w:t>Filing Fee</w:t>
            </w:r>
          </w:p>
        </w:tc>
        <w:tc>
          <w:tcPr>
            <w:tcW w:w="1322" w:type="dxa"/>
            <w:vAlign w:val="center"/>
          </w:tcPr>
          <w:p w:rsidR="00C30A20" w:rsidRPr="00C30A20" w:rsidRDefault="00C30A20" w:rsidP="00C30A20">
            <w:pPr>
              <w:keepNext/>
              <w:spacing w:before="120" w:after="120"/>
              <w:jc w:val="right"/>
              <w:outlineLvl w:val="1"/>
              <w:rPr>
                <w:bCs/>
                <w:iCs/>
                <w:sz w:val="22"/>
                <w:szCs w:val="22"/>
              </w:rPr>
            </w:pPr>
            <w:r w:rsidRPr="00C30A20">
              <w:rPr>
                <w:bCs/>
                <w:iCs/>
                <w:sz w:val="22"/>
                <w:szCs w:val="22"/>
              </w:rPr>
              <w:t>0</w:t>
            </w:r>
          </w:p>
        </w:tc>
        <w:tc>
          <w:tcPr>
            <w:tcW w:w="1554" w:type="dxa"/>
          </w:tcPr>
          <w:p w:rsidR="00C30A20" w:rsidRPr="00C30A20" w:rsidRDefault="00C30A20" w:rsidP="00C30A20">
            <w:pPr>
              <w:keepNext/>
              <w:spacing w:before="120" w:after="120"/>
              <w:jc w:val="right"/>
              <w:outlineLvl w:val="1"/>
              <w:rPr>
                <w:bCs/>
                <w:iCs/>
                <w:sz w:val="22"/>
                <w:szCs w:val="22"/>
              </w:rPr>
            </w:pPr>
            <w:r w:rsidRPr="00C30A20">
              <w:rPr>
                <w:bCs/>
                <w:iCs/>
                <w:sz w:val="22"/>
                <w:szCs w:val="22"/>
              </w:rPr>
              <w:t>5,500</w:t>
            </w:r>
          </w:p>
        </w:tc>
        <w:tc>
          <w:tcPr>
            <w:tcW w:w="1554" w:type="dxa"/>
            <w:vAlign w:val="center"/>
          </w:tcPr>
          <w:p w:rsidR="00C30A20" w:rsidRPr="00C30A20" w:rsidRDefault="00C30A20" w:rsidP="00C30A20">
            <w:pPr>
              <w:keepNext/>
              <w:spacing w:before="120" w:after="120"/>
              <w:jc w:val="right"/>
              <w:outlineLvl w:val="1"/>
              <w:rPr>
                <w:bCs/>
                <w:iCs/>
                <w:sz w:val="22"/>
                <w:szCs w:val="22"/>
                <w:u w:val="single"/>
              </w:rPr>
            </w:pPr>
            <w:r w:rsidRPr="00C30A20">
              <w:rPr>
                <w:bCs/>
                <w:iCs/>
                <w:sz w:val="22"/>
                <w:szCs w:val="22"/>
                <w:u w:val="single"/>
              </w:rPr>
              <w:t>0</w:t>
            </w:r>
          </w:p>
        </w:tc>
        <w:tc>
          <w:tcPr>
            <w:tcW w:w="1440" w:type="dxa"/>
            <w:vAlign w:val="center"/>
          </w:tcPr>
          <w:p w:rsidR="00C30A20" w:rsidRPr="00C30A20" w:rsidRDefault="00C30A20" w:rsidP="00C30A20">
            <w:pPr>
              <w:jc w:val="right"/>
              <w:rPr>
                <w:color w:val="000000"/>
                <w:sz w:val="22"/>
                <w:szCs w:val="22"/>
              </w:rPr>
            </w:pPr>
            <w:r w:rsidRPr="00C30A20">
              <w:rPr>
                <w:color w:val="000000"/>
                <w:sz w:val="22"/>
                <w:szCs w:val="22"/>
              </w:rPr>
              <w:t xml:space="preserve">5,500 </w:t>
            </w:r>
          </w:p>
        </w:tc>
      </w:tr>
      <w:tr w:rsidR="00C30A20" w:rsidRPr="00C30A20" w:rsidTr="00D1658D">
        <w:trPr>
          <w:cantSplit/>
          <w:jc w:val="center"/>
        </w:trPr>
        <w:tc>
          <w:tcPr>
            <w:tcW w:w="2394" w:type="dxa"/>
          </w:tcPr>
          <w:p w:rsidR="00C30A20" w:rsidRPr="00C30A20" w:rsidRDefault="00C30A20" w:rsidP="00C30A20">
            <w:pPr>
              <w:keepNext/>
              <w:spacing w:before="120" w:after="120"/>
              <w:jc w:val="both"/>
              <w:outlineLvl w:val="1"/>
              <w:rPr>
                <w:bCs/>
                <w:iCs/>
                <w:sz w:val="22"/>
                <w:szCs w:val="22"/>
              </w:rPr>
            </w:pPr>
            <w:r w:rsidRPr="00C30A20">
              <w:rPr>
                <w:bCs/>
                <w:iCs/>
                <w:sz w:val="22"/>
                <w:szCs w:val="22"/>
              </w:rPr>
              <w:t>Customer Notices/FedEx</w:t>
            </w:r>
          </w:p>
        </w:tc>
        <w:tc>
          <w:tcPr>
            <w:tcW w:w="1322" w:type="dxa"/>
            <w:vAlign w:val="center"/>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31,428</w:t>
            </w:r>
          </w:p>
        </w:tc>
        <w:tc>
          <w:tcPr>
            <w:tcW w:w="1554" w:type="dxa"/>
            <w:vAlign w:val="bottom"/>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 xml:space="preserve">10,543 </w:t>
            </w:r>
          </w:p>
        </w:tc>
        <w:tc>
          <w:tcPr>
            <w:tcW w:w="1554" w:type="dxa"/>
            <w:vAlign w:val="center"/>
          </w:tcPr>
          <w:p w:rsidR="00C30A20" w:rsidRPr="001C77F9" w:rsidRDefault="00C30A20" w:rsidP="00C30A20">
            <w:pPr>
              <w:keepNext/>
              <w:spacing w:before="120" w:after="120"/>
              <w:jc w:val="right"/>
              <w:outlineLvl w:val="1"/>
              <w:rPr>
                <w:bCs/>
                <w:iCs/>
                <w:sz w:val="22"/>
                <w:szCs w:val="22"/>
                <w:u w:val="single"/>
              </w:rPr>
            </w:pPr>
            <w:r w:rsidRPr="001C77F9">
              <w:rPr>
                <w:bCs/>
                <w:iCs/>
                <w:sz w:val="22"/>
                <w:szCs w:val="22"/>
                <w:u w:val="single"/>
              </w:rPr>
              <w:t>(1,161)</w:t>
            </w:r>
          </w:p>
        </w:tc>
        <w:tc>
          <w:tcPr>
            <w:tcW w:w="1440" w:type="dxa"/>
            <w:vAlign w:val="center"/>
          </w:tcPr>
          <w:p w:rsidR="00C30A20" w:rsidRPr="001C77F9" w:rsidRDefault="00C30A20" w:rsidP="00C30A20">
            <w:pPr>
              <w:jc w:val="right"/>
              <w:rPr>
                <w:color w:val="000000"/>
                <w:sz w:val="22"/>
                <w:szCs w:val="22"/>
                <w:u w:val="single"/>
              </w:rPr>
            </w:pPr>
            <w:r w:rsidRPr="001C77F9">
              <w:rPr>
                <w:color w:val="000000"/>
                <w:sz w:val="22"/>
                <w:szCs w:val="22"/>
                <w:u w:val="single"/>
              </w:rPr>
              <w:t>9,382</w:t>
            </w:r>
          </w:p>
        </w:tc>
      </w:tr>
      <w:tr w:rsidR="00C30A20" w:rsidRPr="00C30A20" w:rsidTr="00D1658D">
        <w:trPr>
          <w:cantSplit/>
          <w:trHeight w:val="593"/>
          <w:jc w:val="center"/>
        </w:trPr>
        <w:tc>
          <w:tcPr>
            <w:tcW w:w="2394" w:type="dxa"/>
            <w:vAlign w:val="center"/>
          </w:tcPr>
          <w:p w:rsidR="00C30A20" w:rsidRPr="00C30A20" w:rsidRDefault="00C30A20" w:rsidP="00C30A20">
            <w:pPr>
              <w:keepNext/>
              <w:outlineLvl w:val="1"/>
              <w:rPr>
                <w:rFonts w:cs="Arial"/>
                <w:bCs/>
                <w:iCs/>
                <w:sz w:val="22"/>
                <w:szCs w:val="22"/>
              </w:rPr>
            </w:pPr>
            <w:r w:rsidRPr="00C30A20">
              <w:rPr>
                <w:rFonts w:cs="Arial"/>
                <w:bCs/>
                <w:iCs/>
                <w:sz w:val="22"/>
                <w:szCs w:val="22"/>
              </w:rPr>
              <w:t>Total Rate Case Expense</w:t>
            </w:r>
          </w:p>
        </w:tc>
        <w:tc>
          <w:tcPr>
            <w:tcW w:w="1322"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$163,928</w:t>
            </w:r>
          </w:p>
        </w:tc>
        <w:tc>
          <w:tcPr>
            <w:tcW w:w="1554" w:type="dxa"/>
            <w:vAlign w:val="center"/>
          </w:tcPr>
          <w:p w:rsidR="00C30A20" w:rsidRPr="001C77F9" w:rsidRDefault="00C30A20" w:rsidP="00C30A20">
            <w:pPr>
              <w:keepNext/>
              <w:jc w:val="right"/>
              <w:outlineLvl w:val="1"/>
              <w:rPr>
                <w:rFonts w:cs="Arial"/>
                <w:bCs/>
                <w:iCs/>
                <w:sz w:val="22"/>
                <w:szCs w:val="22"/>
                <w:u w:val="double"/>
              </w:rPr>
            </w:pPr>
            <w:r w:rsidRPr="00721974">
              <w:rPr>
                <w:rFonts w:cs="Arial"/>
                <w:bCs/>
                <w:iCs/>
                <w:sz w:val="22"/>
                <w:szCs w:val="22"/>
              </w:rPr>
              <w:t xml:space="preserve"> </w:t>
            </w:r>
            <w:r w:rsidRPr="001C77F9">
              <w:rPr>
                <w:rFonts w:cs="Arial"/>
                <w:bCs/>
                <w:iCs/>
                <w:sz w:val="22"/>
                <w:szCs w:val="22"/>
                <w:u w:val="double"/>
              </w:rPr>
              <w:t xml:space="preserve">$107,517    </w:t>
            </w:r>
          </w:p>
        </w:tc>
        <w:tc>
          <w:tcPr>
            <w:tcW w:w="1554"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($12,436)</w:t>
            </w:r>
          </w:p>
        </w:tc>
        <w:tc>
          <w:tcPr>
            <w:tcW w:w="1440"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$95,082</w:t>
            </w:r>
          </w:p>
        </w:tc>
      </w:tr>
      <w:tr w:rsidR="00C30A20" w:rsidRPr="00C30A20" w:rsidTr="00D1658D">
        <w:trPr>
          <w:cantSplit/>
          <w:trHeight w:val="530"/>
          <w:jc w:val="center"/>
        </w:trPr>
        <w:tc>
          <w:tcPr>
            <w:tcW w:w="2394" w:type="dxa"/>
            <w:vAlign w:val="center"/>
          </w:tcPr>
          <w:p w:rsidR="00C30A20" w:rsidRPr="00C30A20" w:rsidRDefault="00C30A20" w:rsidP="00C30A20">
            <w:pPr>
              <w:keepNext/>
              <w:outlineLvl w:val="1"/>
              <w:rPr>
                <w:rFonts w:cs="Arial"/>
                <w:bCs/>
                <w:iCs/>
                <w:sz w:val="22"/>
                <w:szCs w:val="22"/>
              </w:rPr>
            </w:pPr>
            <w:r w:rsidRPr="00C30A20">
              <w:rPr>
                <w:rFonts w:cs="Arial"/>
                <w:bCs/>
                <w:iCs/>
                <w:sz w:val="22"/>
                <w:szCs w:val="22"/>
              </w:rPr>
              <w:t>Annual Amortization</w:t>
            </w:r>
          </w:p>
        </w:tc>
        <w:tc>
          <w:tcPr>
            <w:tcW w:w="1322"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$40,982</w:t>
            </w:r>
          </w:p>
        </w:tc>
        <w:tc>
          <w:tcPr>
            <w:tcW w:w="1554"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$26,879</w:t>
            </w:r>
          </w:p>
        </w:tc>
        <w:tc>
          <w:tcPr>
            <w:tcW w:w="1554"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($3,109)</w:t>
            </w:r>
          </w:p>
        </w:tc>
        <w:tc>
          <w:tcPr>
            <w:tcW w:w="1440" w:type="dxa"/>
            <w:vAlign w:val="center"/>
          </w:tcPr>
          <w:p w:rsidR="00C30A20" w:rsidRPr="001C77F9" w:rsidRDefault="00C30A20" w:rsidP="00C30A20">
            <w:pPr>
              <w:keepNext/>
              <w:jc w:val="right"/>
              <w:outlineLvl w:val="1"/>
              <w:rPr>
                <w:rFonts w:cs="Arial"/>
                <w:bCs/>
                <w:iCs/>
                <w:sz w:val="22"/>
                <w:szCs w:val="22"/>
                <w:u w:val="double"/>
              </w:rPr>
            </w:pPr>
            <w:r w:rsidRPr="001C77F9">
              <w:rPr>
                <w:rFonts w:cs="Arial"/>
                <w:bCs/>
                <w:iCs/>
                <w:sz w:val="22"/>
                <w:szCs w:val="22"/>
                <w:u w:val="double"/>
              </w:rPr>
              <w:t>$23,770</w:t>
            </w:r>
          </w:p>
        </w:tc>
      </w:tr>
    </w:tbl>
    <w:p w:rsidR="00C30A20" w:rsidRPr="00C30A20" w:rsidRDefault="00C30A20" w:rsidP="00C30A20">
      <w:pPr>
        <w:jc w:val="both"/>
      </w:pPr>
      <w:r w:rsidRPr="00C30A20">
        <w:t xml:space="preserve">         Source: MFR Schedule B-10 and responses to staff data requests.</w:t>
      </w:r>
    </w:p>
    <w:p w:rsidR="00C30A20" w:rsidRPr="00C30A20" w:rsidRDefault="00C30A20" w:rsidP="00C30A20">
      <w:pPr>
        <w:jc w:val="both"/>
      </w:pPr>
    </w:p>
    <w:p w:rsidR="00C30A20" w:rsidRPr="00C30A20" w:rsidRDefault="00C30A20" w:rsidP="00C30A20">
      <w:pPr>
        <w:jc w:val="both"/>
      </w:pPr>
      <w:r w:rsidRPr="00C30A20">
        <w:t>The recommended total rate case expense should be amortized over four years, pursuant to Section 367.0816, F.S. Based on the data provided by Ni Florida and the recommended adjustments discussed above, staff recommends the appropriate amount of rate case expense is $95,082. This expense should be recovered over four years for an annual expense of $23,770.</w:t>
      </w:r>
    </w:p>
    <w:p w:rsidR="00C30A20" w:rsidRPr="00C30A20" w:rsidRDefault="00C30A20" w:rsidP="00C30A20">
      <w:pPr>
        <w:jc w:val="both"/>
      </w:pPr>
    </w:p>
    <w:p w:rsidR="00985271" w:rsidRPr="00216D1D" w:rsidRDefault="00C30A20" w:rsidP="00C30A20">
      <w:pPr>
        <w:jc w:val="both"/>
      </w:pPr>
      <w:r w:rsidRPr="00C30A20">
        <w:t xml:space="preserve">The </w:t>
      </w:r>
      <w:r w:rsidR="002D6F3D">
        <w:t>u</w:t>
      </w:r>
      <w:r w:rsidRPr="00C30A20">
        <w:t xml:space="preserve">tility also included in its MFRs prior rate case expense of $144,179. However, in the </w:t>
      </w:r>
      <w:r w:rsidR="002D6F3D">
        <w:t>u</w:t>
      </w:r>
      <w:r w:rsidRPr="00C30A20">
        <w:t>tility's last rate case, the Commission approved total rate case expense of $149,321 to be amortized over four years.</w:t>
      </w:r>
      <w:r w:rsidRPr="00C30A20">
        <w:rPr>
          <w:vertAlign w:val="superscript"/>
        </w:rPr>
        <w:footnoteReference w:id="27"/>
      </w:r>
      <w:r w:rsidRPr="00C30A20">
        <w:t xml:space="preserve"> As such, staff used the Commission-approved amount for prior rate </w:t>
      </w:r>
      <w:r w:rsidRPr="00C30A20">
        <w:lastRenderedPageBreak/>
        <w:t>case expense here. When amortized over four years, total prior unamortized rate case expense represents an annual expense of $37,330. Staff’s recommended total current rate case expense and prior rate case expense total $244,403 ($95,082 + $149,321), or $61,101 on an annual basis. As a result, annual rate case expense should be decreased by $3,636 for water and $13,575 for wastewater from the respective levels of expense included in the MFRs.</w:t>
      </w:r>
    </w:p>
    <w:p w:rsidR="00FE7E80" w:rsidRDefault="00FE7E8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12</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464661209"/>
      <w:r w:rsidR="007F50C0">
        <w:rPr>
          <w:noProof/>
        </w:rPr>
        <w:instrText>12</w:instrText>
      </w:r>
      <w:r>
        <w:fldChar w:fldCharType="end"/>
      </w:r>
      <w:r>
        <w:tab/>
      </w:r>
      <w:r w:rsidR="008F36C4">
        <w:instrText>O&amp;M Expenses</w:instrText>
      </w:r>
      <w:bookmarkEnd w:id="28"/>
      <w:r>
        <w:instrText xml:space="preserve">" \l 1 </w:instrText>
      </w:r>
      <w:r>
        <w:fldChar w:fldCharType="end"/>
      </w:r>
      <w:r>
        <w:t> </w:t>
      </w:r>
    </w:p>
    <w:p w:rsidR="00FE7E80" w:rsidRDefault="00FE7E80">
      <w:pPr>
        <w:pStyle w:val="BodyText"/>
      </w:pPr>
      <w:r>
        <w:t> Should additional adjustments be made to test year O&amp;M expenses?</w:t>
      </w:r>
    </w:p>
    <w:p w:rsidR="00FE7E80" w:rsidRPr="004C3641" w:rsidRDefault="00FE7E80">
      <w:pPr>
        <w:pStyle w:val="IssueSubsectionHeading"/>
        <w:rPr>
          <w:vanish/>
          <w:specVanish/>
        </w:rPr>
      </w:pPr>
      <w:r w:rsidRPr="004C3641">
        <w:t>Recommendation: </w:t>
      </w:r>
    </w:p>
    <w:p w:rsidR="00FE7E80" w:rsidRDefault="00FE7E80">
      <w:pPr>
        <w:pStyle w:val="BodyText"/>
      </w:pPr>
      <w:r>
        <w:t> </w:t>
      </w:r>
      <w:r w:rsidR="00C30A20" w:rsidRPr="00C30A20">
        <w:t>Yes. Based on adjustments set forth above, staff recommends decreasing O&amp;M expense by $20,724 for water and $136,054 for wastewater. Adjustments to O&amp;M expense are shown on Schedule No. 3-C.</w:t>
      </w:r>
      <w:r>
        <w:t xml:space="preserve"> (Brown)</w:t>
      </w:r>
    </w:p>
    <w:p w:rsidR="00FE7E80" w:rsidRPr="004C3641" w:rsidRDefault="00FE7E80">
      <w:pPr>
        <w:pStyle w:val="IssueSubsectionHeading"/>
        <w:rPr>
          <w:vanish/>
          <w:specVanish/>
        </w:rPr>
      </w:pPr>
      <w:r w:rsidRPr="004C3641">
        <w:t>Staff Analysis: </w:t>
      </w:r>
    </w:p>
    <w:p w:rsidR="00A70266" w:rsidRPr="00A70266" w:rsidRDefault="00FE7E80" w:rsidP="00A70266">
      <w:pPr>
        <w:autoSpaceDE w:val="0"/>
        <w:autoSpaceDN w:val="0"/>
        <w:adjustRightInd w:val="0"/>
        <w:jc w:val="both"/>
      </w:pPr>
      <w:r>
        <w:t> </w:t>
      </w:r>
      <w:r w:rsidR="00A70266" w:rsidRPr="00A70266">
        <w:t xml:space="preserve">Staff has reviewed the test year O&amp;M expenses and examined invoices, canceled checks, and other supporting documentation. As a result, staff is recommending several adjustments to the </w:t>
      </w:r>
      <w:r w:rsidR="002D6F3D">
        <w:t>u</w:t>
      </w:r>
      <w:r w:rsidR="00A70266" w:rsidRPr="00A70266">
        <w:t xml:space="preserve">tility's operating expenses, as summarized below.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Staff notes that in regard to purchased water and wastewater contractual services-engineering, no adjustments were identified by staff. There were also no audit findings pertaining to these issues. Several other accounts had adjustments made as a result of an audit finding or due to I&amp;I, and are addressed in other issues. As such, they are identified in the table below, but are not discussed within this issue.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center"/>
        <w:rPr>
          <w:rFonts w:ascii="Arial" w:hAnsi="Arial" w:cs="Arial"/>
          <w:b/>
        </w:rPr>
      </w:pPr>
      <w:r w:rsidRPr="00A70266">
        <w:rPr>
          <w:rFonts w:ascii="Arial" w:hAnsi="Arial" w:cs="Arial"/>
          <w:b/>
        </w:rPr>
        <w:t>Table 12-1</w:t>
      </w:r>
    </w:p>
    <w:p w:rsidR="00A70266" w:rsidRPr="00A70266" w:rsidRDefault="00A70266" w:rsidP="00A70266">
      <w:pPr>
        <w:autoSpaceDE w:val="0"/>
        <w:autoSpaceDN w:val="0"/>
        <w:adjustRightInd w:val="0"/>
        <w:jc w:val="center"/>
        <w:rPr>
          <w:rFonts w:ascii="Arial" w:hAnsi="Arial" w:cs="Arial"/>
        </w:rPr>
      </w:pPr>
      <w:r w:rsidRPr="00A70266">
        <w:rPr>
          <w:rFonts w:ascii="Arial" w:hAnsi="Arial" w:cs="Arial"/>
          <w:b/>
        </w:rPr>
        <w:t>O&amp;M Accounts Not Discussed in Issue</w:t>
      </w:r>
    </w:p>
    <w:tbl>
      <w:tblPr>
        <w:tblStyle w:val="TableGrid6"/>
        <w:tblW w:w="0" w:type="auto"/>
        <w:tblInd w:w="333" w:type="dxa"/>
        <w:tblLook w:val="04A0" w:firstRow="1" w:lastRow="0" w:firstColumn="1" w:lastColumn="0" w:noHBand="0" w:noVBand="1"/>
      </w:tblPr>
      <w:tblGrid>
        <w:gridCol w:w="1215"/>
        <w:gridCol w:w="3060"/>
        <w:gridCol w:w="1170"/>
        <w:gridCol w:w="3600"/>
      </w:tblGrid>
      <w:tr w:rsidR="00A70266" w:rsidRPr="00A70266" w:rsidTr="00D1658D">
        <w:tc>
          <w:tcPr>
            <w:tcW w:w="4275" w:type="dxa"/>
            <w:gridSpan w:val="2"/>
          </w:tcPr>
          <w:p w:rsidR="00A70266" w:rsidRPr="00A70266" w:rsidRDefault="00A70266" w:rsidP="00A70266">
            <w:pPr>
              <w:autoSpaceDE w:val="0"/>
              <w:autoSpaceDN w:val="0"/>
              <w:adjustRightInd w:val="0"/>
              <w:jc w:val="center"/>
              <w:rPr>
                <w:b/>
              </w:rPr>
            </w:pPr>
            <w:r w:rsidRPr="00A70266">
              <w:rPr>
                <w:b/>
              </w:rPr>
              <w:t>Water</w:t>
            </w:r>
          </w:p>
        </w:tc>
        <w:tc>
          <w:tcPr>
            <w:tcW w:w="4770" w:type="dxa"/>
            <w:gridSpan w:val="2"/>
          </w:tcPr>
          <w:p w:rsidR="00A70266" w:rsidRPr="00A70266" w:rsidRDefault="00A70266" w:rsidP="00A70266">
            <w:pPr>
              <w:autoSpaceDE w:val="0"/>
              <w:autoSpaceDN w:val="0"/>
              <w:adjustRightInd w:val="0"/>
              <w:jc w:val="center"/>
              <w:rPr>
                <w:b/>
              </w:rPr>
            </w:pPr>
            <w:r w:rsidRPr="00A70266">
              <w:rPr>
                <w:b/>
              </w:rPr>
              <w:t>Wastewater</w:t>
            </w:r>
          </w:p>
        </w:tc>
      </w:tr>
      <w:tr w:rsidR="00A70266" w:rsidRPr="00A70266" w:rsidTr="00D1658D">
        <w:tc>
          <w:tcPr>
            <w:tcW w:w="1215" w:type="dxa"/>
          </w:tcPr>
          <w:p w:rsidR="00A70266" w:rsidRPr="00742831" w:rsidRDefault="00A70266" w:rsidP="00A70266">
            <w:pPr>
              <w:autoSpaceDE w:val="0"/>
              <w:autoSpaceDN w:val="0"/>
              <w:adjustRightInd w:val="0"/>
              <w:jc w:val="center"/>
              <w:rPr>
                <w:b/>
              </w:rPr>
            </w:pPr>
            <w:r w:rsidRPr="00742831">
              <w:rPr>
                <w:b/>
              </w:rPr>
              <w:t>Acct. No.</w:t>
            </w:r>
          </w:p>
        </w:tc>
        <w:tc>
          <w:tcPr>
            <w:tcW w:w="3060" w:type="dxa"/>
          </w:tcPr>
          <w:p w:rsidR="00A70266" w:rsidRPr="00742831" w:rsidRDefault="00A70266" w:rsidP="00A70266">
            <w:pPr>
              <w:autoSpaceDE w:val="0"/>
              <w:autoSpaceDN w:val="0"/>
              <w:adjustRightInd w:val="0"/>
              <w:jc w:val="center"/>
              <w:rPr>
                <w:b/>
              </w:rPr>
            </w:pPr>
            <w:r w:rsidRPr="00742831">
              <w:rPr>
                <w:b/>
              </w:rPr>
              <w:t>Name</w:t>
            </w:r>
          </w:p>
        </w:tc>
        <w:tc>
          <w:tcPr>
            <w:tcW w:w="1170" w:type="dxa"/>
          </w:tcPr>
          <w:p w:rsidR="00A70266" w:rsidRPr="00742831" w:rsidRDefault="00A70266" w:rsidP="00A70266">
            <w:pPr>
              <w:autoSpaceDE w:val="0"/>
              <w:autoSpaceDN w:val="0"/>
              <w:adjustRightInd w:val="0"/>
              <w:rPr>
                <w:b/>
              </w:rPr>
            </w:pPr>
            <w:r w:rsidRPr="00742831">
              <w:rPr>
                <w:b/>
              </w:rPr>
              <w:t>Acct. No.</w:t>
            </w:r>
          </w:p>
        </w:tc>
        <w:tc>
          <w:tcPr>
            <w:tcW w:w="3600" w:type="dxa"/>
          </w:tcPr>
          <w:p w:rsidR="00A70266" w:rsidRPr="00742831" w:rsidRDefault="00A70266" w:rsidP="00A70266">
            <w:pPr>
              <w:autoSpaceDE w:val="0"/>
              <w:autoSpaceDN w:val="0"/>
              <w:adjustRightInd w:val="0"/>
              <w:jc w:val="center"/>
              <w:rPr>
                <w:b/>
              </w:rPr>
            </w:pPr>
            <w:r w:rsidRPr="00742831">
              <w:rPr>
                <w:b/>
              </w:rPr>
              <w:t>Name</w:t>
            </w:r>
          </w:p>
        </w:tc>
      </w:tr>
      <w:tr w:rsidR="00A70266" w:rsidRPr="00A70266" w:rsidTr="00D1658D">
        <w:tc>
          <w:tcPr>
            <w:tcW w:w="1215" w:type="dxa"/>
          </w:tcPr>
          <w:p w:rsidR="00A70266" w:rsidRPr="00A70266" w:rsidRDefault="00A70266" w:rsidP="00A70266">
            <w:pPr>
              <w:autoSpaceDE w:val="0"/>
              <w:autoSpaceDN w:val="0"/>
              <w:adjustRightInd w:val="0"/>
              <w:jc w:val="center"/>
            </w:pPr>
            <w:r w:rsidRPr="00A70266">
              <w:t>610</w:t>
            </w:r>
          </w:p>
        </w:tc>
        <w:tc>
          <w:tcPr>
            <w:tcW w:w="3060" w:type="dxa"/>
          </w:tcPr>
          <w:p w:rsidR="00A70266" w:rsidRPr="00A70266" w:rsidRDefault="00A70266" w:rsidP="00A70266">
            <w:pPr>
              <w:autoSpaceDE w:val="0"/>
              <w:autoSpaceDN w:val="0"/>
              <w:adjustRightInd w:val="0"/>
            </w:pPr>
            <w:r w:rsidRPr="00A70266">
              <w:t>Purchased Water</w:t>
            </w:r>
          </w:p>
        </w:tc>
        <w:tc>
          <w:tcPr>
            <w:tcW w:w="1170" w:type="dxa"/>
          </w:tcPr>
          <w:p w:rsidR="00A70266" w:rsidRPr="00A70266" w:rsidRDefault="00A70266" w:rsidP="00A70266">
            <w:pPr>
              <w:autoSpaceDE w:val="0"/>
              <w:autoSpaceDN w:val="0"/>
              <w:adjustRightInd w:val="0"/>
              <w:jc w:val="center"/>
            </w:pPr>
            <w:r w:rsidRPr="00A70266">
              <w:t>710</w:t>
            </w:r>
          </w:p>
        </w:tc>
        <w:tc>
          <w:tcPr>
            <w:tcW w:w="3600" w:type="dxa"/>
          </w:tcPr>
          <w:p w:rsidR="00A70266" w:rsidRPr="00A70266" w:rsidRDefault="00A70266" w:rsidP="00A70266">
            <w:pPr>
              <w:autoSpaceDE w:val="0"/>
              <w:autoSpaceDN w:val="0"/>
              <w:adjustRightInd w:val="0"/>
            </w:pPr>
            <w:r w:rsidRPr="00A70266">
              <w:t>Purchased Sewer Treatment</w:t>
            </w:r>
          </w:p>
        </w:tc>
      </w:tr>
      <w:tr w:rsidR="00A70266" w:rsidRPr="00A70266" w:rsidTr="00D1658D">
        <w:tc>
          <w:tcPr>
            <w:tcW w:w="1215" w:type="dxa"/>
          </w:tcPr>
          <w:p w:rsidR="00A70266" w:rsidRPr="00A70266" w:rsidRDefault="00A70266" w:rsidP="00A70266">
            <w:pPr>
              <w:autoSpaceDE w:val="0"/>
              <w:autoSpaceDN w:val="0"/>
              <w:adjustRightInd w:val="0"/>
              <w:jc w:val="center"/>
            </w:pPr>
            <w:r w:rsidRPr="00A70266">
              <w:t>657</w:t>
            </w:r>
          </w:p>
        </w:tc>
        <w:tc>
          <w:tcPr>
            <w:tcW w:w="3060" w:type="dxa"/>
          </w:tcPr>
          <w:p w:rsidR="00A70266" w:rsidRPr="00A70266" w:rsidRDefault="00A70266" w:rsidP="00A70266">
            <w:pPr>
              <w:autoSpaceDE w:val="0"/>
              <w:autoSpaceDN w:val="0"/>
              <w:adjustRightInd w:val="0"/>
            </w:pPr>
            <w:r w:rsidRPr="00A70266">
              <w:t>Insurance – General Liability</w:t>
            </w:r>
          </w:p>
        </w:tc>
        <w:tc>
          <w:tcPr>
            <w:tcW w:w="1170" w:type="dxa"/>
          </w:tcPr>
          <w:p w:rsidR="00A70266" w:rsidRPr="00A70266" w:rsidRDefault="00A70266" w:rsidP="00A70266">
            <w:pPr>
              <w:autoSpaceDE w:val="0"/>
              <w:autoSpaceDN w:val="0"/>
              <w:adjustRightInd w:val="0"/>
              <w:jc w:val="center"/>
            </w:pPr>
            <w:r w:rsidRPr="00A70266">
              <w:t>715</w:t>
            </w:r>
          </w:p>
        </w:tc>
        <w:tc>
          <w:tcPr>
            <w:tcW w:w="3600" w:type="dxa"/>
          </w:tcPr>
          <w:p w:rsidR="00A70266" w:rsidRPr="00A70266" w:rsidRDefault="00A70266" w:rsidP="00A70266">
            <w:pPr>
              <w:autoSpaceDE w:val="0"/>
              <w:autoSpaceDN w:val="0"/>
              <w:adjustRightInd w:val="0"/>
            </w:pPr>
            <w:r w:rsidRPr="00A70266">
              <w:t>Purchased Power</w:t>
            </w:r>
          </w:p>
        </w:tc>
      </w:tr>
      <w:tr w:rsidR="00A70266" w:rsidRPr="00A70266" w:rsidTr="00D1658D">
        <w:tc>
          <w:tcPr>
            <w:tcW w:w="1215" w:type="dxa"/>
          </w:tcPr>
          <w:p w:rsidR="00A70266" w:rsidRPr="00A70266" w:rsidRDefault="00A70266" w:rsidP="00A70266">
            <w:pPr>
              <w:autoSpaceDE w:val="0"/>
              <w:autoSpaceDN w:val="0"/>
              <w:adjustRightInd w:val="0"/>
              <w:jc w:val="center"/>
            </w:pPr>
            <w:r w:rsidRPr="00A70266">
              <w:t>659</w:t>
            </w:r>
          </w:p>
        </w:tc>
        <w:tc>
          <w:tcPr>
            <w:tcW w:w="3060" w:type="dxa"/>
          </w:tcPr>
          <w:p w:rsidR="00A70266" w:rsidRPr="00A70266" w:rsidRDefault="00A70266" w:rsidP="00A70266">
            <w:pPr>
              <w:autoSpaceDE w:val="0"/>
              <w:autoSpaceDN w:val="0"/>
              <w:adjustRightInd w:val="0"/>
            </w:pPr>
            <w:r w:rsidRPr="00A70266">
              <w:t xml:space="preserve">Insurance – Other </w:t>
            </w:r>
          </w:p>
        </w:tc>
        <w:tc>
          <w:tcPr>
            <w:tcW w:w="1170" w:type="dxa"/>
          </w:tcPr>
          <w:p w:rsidR="00A70266" w:rsidRPr="00A70266" w:rsidRDefault="00A70266" w:rsidP="00A70266">
            <w:pPr>
              <w:autoSpaceDE w:val="0"/>
              <w:autoSpaceDN w:val="0"/>
              <w:adjustRightInd w:val="0"/>
              <w:jc w:val="center"/>
            </w:pPr>
            <w:r w:rsidRPr="00A70266">
              <w:t>720</w:t>
            </w:r>
          </w:p>
        </w:tc>
        <w:tc>
          <w:tcPr>
            <w:tcW w:w="3600" w:type="dxa"/>
          </w:tcPr>
          <w:p w:rsidR="00A70266" w:rsidRPr="00A70266" w:rsidRDefault="00A70266" w:rsidP="00A70266">
            <w:pPr>
              <w:autoSpaceDE w:val="0"/>
              <w:autoSpaceDN w:val="0"/>
              <w:adjustRightInd w:val="0"/>
            </w:pPr>
            <w:r w:rsidRPr="00A70266">
              <w:t>Materials and Supplies</w:t>
            </w:r>
          </w:p>
        </w:tc>
      </w:tr>
      <w:tr w:rsidR="00A70266" w:rsidRPr="00A70266" w:rsidTr="00D1658D">
        <w:tc>
          <w:tcPr>
            <w:tcW w:w="1215" w:type="dxa"/>
          </w:tcPr>
          <w:p w:rsidR="00A70266" w:rsidRPr="00A70266" w:rsidRDefault="00A70266" w:rsidP="00A70266">
            <w:pPr>
              <w:autoSpaceDE w:val="0"/>
              <w:autoSpaceDN w:val="0"/>
              <w:adjustRightInd w:val="0"/>
              <w:jc w:val="center"/>
            </w:pPr>
          </w:p>
        </w:tc>
        <w:tc>
          <w:tcPr>
            <w:tcW w:w="3060" w:type="dxa"/>
          </w:tcPr>
          <w:p w:rsidR="00A70266" w:rsidRPr="00A70266" w:rsidRDefault="00A70266" w:rsidP="00A70266">
            <w:pPr>
              <w:autoSpaceDE w:val="0"/>
              <w:autoSpaceDN w:val="0"/>
              <w:adjustRightInd w:val="0"/>
            </w:pPr>
          </w:p>
        </w:tc>
        <w:tc>
          <w:tcPr>
            <w:tcW w:w="1170" w:type="dxa"/>
          </w:tcPr>
          <w:p w:rsidR="00A70266" w:rsidRPr="00A70266" w:rsidRDefault="00A70266" w:rsidP="00A70266">
            <w:pPr>
              <w:autoSpaceDE w:val="0"/>
              <w:autoSpaceDN w:val="0"/>
              <w:adjustRightInd w:val="0"/>
              <w:jc w:val="center"/>
            </w:pPr>
            <w:r w:rsidRPr="00A70266">
              <w:t>731</w:t>
            </w:r>
          </w:p>
        </w:tc>
        <w:tc>
          <w:tcPr>
            <w:tcW w:w="3600" w:type="dxa"/>
          </w:tcPr>
          <w:p w:rsidR="00A70266" w:rsidRPr="00A70266" w:rsidRDefault="00A70266" w:rsidP="00A70266">
            <w:pPr>
              <w:autoSpaceDE w:val="0"/>
              <w:autoSpaceDN w:val="0"/>
              <w:adjustRightInd w:val="0"/>
            </w:pPr>
            <w:r w:rsidRPr="00A70266">
              <w:t>Contractual Services - Engineering</w:t>
            </w:r>
          </w:p>
        </w:tc>
      </w:tr>
      <w:tr w:rsidR="00A70266" w:rsidRPr="00A70266" w:rsidTr="00D1658D">
        <w:tc>
          <w:tcPr>
            <w:tcW w:w="1215" w:type="dxa"/>
          </w:tcPr>
          <w:p w:rsidR="00A70266" w:rsidRPr="00A70266" w:rsidRDefault="00A70266" w:rsidP="00A70266">
            <w:pPr>
              <w:autoSpaceDE w:val="0"/>
              <w:autoSpaceDN w:val="0"/>
              <w:adjustRightInd w:val="0"/>
              <w:jc w:val="center"/>
            </w:pPr>
          </w:p>
        </w:tc>
        <w:tc>
          <w:tcPr>
            <w:tcW w:w="3060" w:type="dxa"/>
          </w:tcPr>
          <w:p w:rsidR="00A70266" w:rsidRPr="00A70266" w:rsidRDefault="00A70266" w:rsidP="00A70266">
            <w:pPr>
              <w:autoSpaceDE w:val="0"/>
              <w:autoSpaceDN w:val="0"/>
              <w:adjustRightInd w:val="0"/>
            </w:pPr>
          </w:p>
        </w:tc>
        <w:tc>
          <w:tcPr>
            <w:tcW w:w="1170" w:type="dxa"/>
          </w:tcPr>
          <w:p w:rsidR="00A70266" w:rsidRPr="00A70266" w:rsidRDefault="00A70266" w:rsidP="00A70266">
            <w:pPr>
              <w:autoSpaceDE w:val="0"/>
              <w:autoSpaceDN w:val="0"/>
              <w:adjustRightInd w:val="0"/>
              <w:jc w:val="center"/>
            </w:pPr>
            <w:r w:rsidRPr="00A70266">
              <w:t xml:space="preserve">735 </w:t>
            </w:r>
          </w:p>
        </w:tc>
        <w:tc>
          <w:tcPr>
            <w:tcW w:w="3600" w:type="dxa"/>
          </w:tcPr>
          <w:p w:rsidR="00A70266" w:rsidRPr="00A70266" w:rsidRDefault="00A70266" w:rsidP="00A70266">
            <w:pPr>
              <w:autoSpaceDE w:val="0"/>
              <w:autoSpaceDN w:val="0"/>
              <w:adjustRightInd w:val="0"/>
            </w:pPr>
            <w:r w:rsidRPr="00A70266">
              <w:t xml:space="preserve">Contractual Services – Testing </w:t>
            </w:r>
          </w:p>
        </w:tc>
      </w:tr>
      <w:tr w:rsidR="00A70266" w:rsidRPr="00A70266" w:rsidTr="00D1658D">
        <w:tc>
          <w:tcPr>
            <w:tcW w:w="1215" w:type="dxa"/>
          </w:tcPr>
          <w:p w:rsidR="00A70266" w:rsidRPr="00A70266" w:rsidRDefault="00A70266" w:rsidP="00A70266">
            <w:pPr>
              <w:autoSpaceDE w:val="0"/>
              <w:autoSpaceDN w:val="0"/>
              <w:adjustRightInd w:val="0"/>
              <w:jc w:val="center"/>
            </w:pPr>
          </w:p>
        </w:tc>
        <w:tc>
          <w:tcPr>
            <w:tcW w:w="3060" w:type="dxa"/>
          </w:tcPr>
          <w:p w:rsidR="00A70266" w:rsidRPr="00A70266" w:rsidRDefault="00A70266" w:rsidP="00A70266">
            <w:pPr>
              <w:autoSpaceDE w:val="0"/>
              <w:autoSpaceDN w:val="0"/>
              <w:adjustRightInd w:val="0"/>
            </w:pPr>
          </w:p>
        </w:tc>
        <w:tc>
          <w:tcPr>
            <w:tcW w:w="1170" w:type="dxa"/>
          </w:tcPr>
          <w:p w:rsidR="00A70266" w:rsidRPr="00A70266" w:rsidRDefault="00A70266" w:rsidP="00A70266">
            <w:pPr>
              <w:autoSpaceDE w:val="0"/>
              <w:autoSpaceDN w:val="0"/>
              <w:adjustRightInd w:val="0"/>
              <w:jc w:val="center"/>
            </w:pPr>
            <w:r w:rsidRPr="00A70266">
              <w:t>757</w:t>
            </w:r>
          </w:p>
        </w:tc>
        <w:tc>
          <w:tcPr>
            <w:tcW w:w="3600" w:type="dxa"/>
          </w:tcPr>
          <w:p w:rsidR="00A70266" w:rsidRPr="00A70266" w:rsidRDefault="00A70266" w:rsidP="00A70266">
            <w:pPr>
              <w:autoSpaceDE w:val="0"/>
              <w:autoSpaceDN w:val="0"/>
              <w:adjustRightInd w:val="0"/>
            </w:pPr>
            <w:r w:rsidRPr="00A70266">
              <w:t>Insurance – General Liability</w:t>
            </w:r>
          </w:p>
        </w:tc>
      </w:tr>
      <w:tr w:rsidR="00A70266" w:rsidRPr="00A70266" w:rsidTr="00D1658D">
        <w:tc>
          <w:tcPr>
            <w:tcW w:w="1215" w:type="dxa"/>
          </w:tcPr>
          <w:p w:rsidR="00A70266" w:rsidRPr="00A70266" w:rsidRDefault="00A70266" w:rsidP="00A70266">
            <w:pPr>
              <w:autoSpaceDE w:val="0"/>
              <w:autoSpaceDN w:val="0"/>
              <w:adjustRightInd w:val="0"/>
            </w:pPr>
          </w:p>
        </w:tc>
        <w:tc>
          <w:tcPr>
            <w:tcW w:w="3060" w:type="dxa"/>
          </w:tcPr>
          <w:p w:rsidR="00A70266" w:rsidRPr="00A70266" w:rsidRDefault="00A70266" w:rsidP="00A70266">
            <w:pPr>
              <w:autoSpaceDE w:val="0"/>
              <w:autoSpaceDN w:val="0"/>
              <w:adjustRightInd w:val="0"/>
            </w:pPr>
          </w:p>
        </w:tc>
        <w:tc>
          <w:tcPr>
            <w:tcW w:w="1170" w:type="dxa"/>
          </w:tcPr>
          <w:p w:rsidR="00A70266" w:rsidRPr="00A70266" w:rsidRDefault="00A70266" w:rsidP="00A70266">
            <w:pPr>
              <w:autoSpaceDE w:val="0"/>
              <w:autoSpaceDN w:val="0"/>
              <w:adjustRightInd w:val="0"/>
              <w:jc w:val="center"/>
            </w:pPr>
            <w:r w:rsidRPr="00A70266">
              <w:t>759</w:t>
            </w:r>
          </w:p>
        </w:tc>
        <w:tc>
          <w:tcPr>
            <w:tcW w:w="3600" w:type="dxa"/>
          </w:tcPr>
          <w:p w:rsidR="00A70266" w:rsidRPr="00A70266" w:rsidRDefault="00A70266" w:rsidP="00A70266">
            <w:pPr>
              <w:autoSpaceDE w:val="0"/>
              <w:autoSpaceDN w:val="0"/>
              <w:adjustRightInd w:val="0"/>
            </w:pPr>
            <w:r w:rsidRPr="00A70266">
              <w:t xml:space="preserve">Insurance – Other </w:t>
            </w:r>
          </w:p>
        </w:tc>
      </w:tr>
    </w:tbl>
    <w:p w:rsidR="00A70266" w:rsidRPr="00A70266" w:rsidRDefault="00A70266" w:rsidP="00A70266">
      <w:pPr>
        <w:autoSpaceDE w:val="0"/>
        <w:autoSpaceDN w:val="0"/>
        <w:adjustRightInd w:val="0"/>
        <w:rPr>
          <w:rFonts w:ascii="Arial" w:hAnsi="Arial" w:cs="Arial"/>
          <w:b/>
        </w:rPr>
      </w:pPr>
    </w:p>
    <w:p w:rsidR="00A70266" w:rsidRPr="00A70266" w:rsidRDefault="00A70266" w:rsidP="00A70266">
      <w:pPr>
        <w:autoSpaceDE w:val="0"/>
        <w:autoSpaceDN w:val="0"/>
        <w:adjustRightInd w:val="0"/>
        <w:rPr>
          <w:rFonts w:ascii="Arial" w:hAnsi="Arial" w:cs="Arial"/>
          <w:b/>
        </w:rPr>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t>Contractual Services – Legal (633/733)</w:t>
      </w:r>
    </w:p>
    <w:p w:rsidR="00A70266" w:rsidRPr="00A70266" w:rsidRDefault="00A70266" w:rsidP="00A70266">
      <w:pPr>
        <w:autoSpaceDE w:val="0"/>
        <w:autoSpaceDN w:val="0"/>
        <w:adjustRightInd w:val="0"/>
        <w:jc w:val="both"/>
        <w:rPr>
          <w:rFonts w:ascii="Arial" w:hAnsi="Arial" w:cs="Arial"/>
          <w:b/>
          <w:color w:val="000000"/>
        </w:rPr>
      </w:pPr>
      <w:r w:rsidRPr="00A70266">
        <w:rPr>
          <w:color w:val="000000"/>
        </w:rPr>
        <w:t>In its MFRs, Ni Florida reflected an expense of $4,420 for contractual services-legal in the wastewater test year. No legal expense was allocated to water i</w:t>
      </w:r>
      <w:r w:rsidR="00110E01">
        <w:rPr>
          <w:color w:val="000000"/>
        </w:rPr>
        <w:t>n the MFRs. In its response to Staff’s First Data R</w:t>
      </w:r>
      <w:r w:rsidRPr="00A70266">
        <w:rPr>
          <w:color w:val="000000"/>
        </w:rPr>
        <w:t xml:space="preserve">equest, the </w:t>
      </w:r>
      <w:r w:rsidR="002D6F3D">
        <w:rPr>
          <w:color w:val="000000"/>
        </w:rPr>
        <w:t>u</w:t>
      </w:r>
      <w:r w:rsidRPr="00A70266">
        <w:rPr>
          <w:color w:val="000000"/>
        </w:rPr>
        <w:t>tility provided support documentation for the expense which indicated some costs were legitimately wastewater, additional costs that should be shared between water and wastewater, and still others that appear to relate only to water. Staff notes that $3,165 related to various activities surrounding a four-year rate reduction in Docket No. 100149-WU,</w:t>
      </w:r>
      <w:r w:rsidRPr="00A70266">
        <w:rPr>
          <w:color w:val="000000"/>
          <w:vertAlign w:val="superscript"/>
        </w:rPr>
        <w:footnoteReference w:id="28"/>
      </w:r>
      <w:r w:rsidRPr="00A70266">
        <w:rPr>
          <w:color w:val="000000"/>
        </w:rPr>
        <w:t xml:space="preserve"> a docket that only addressed water rates in Lee County, were included in wastewater’s legal expense. Staff believes that another $180 should be allocated to water because the legal services were of a general utility </w:t>
      </w:r>
      <w:proofErr w:type="gramStart"/>
      <w:r w:rsidRPr="00A70266">
        <w:rPr>
          <w:color w:val="000000"/>
        </w:rPr>
        <w:t>nature,</w:t>
      </w:r>
      <w:proofErr w:type="gramEnd"/>
      <w:r w:rsidRPr="00A70266">
        <w:rPr>
          <w:color w:val="000000"/>
        </w:rPr>
        <w:t xml:space="preserve"> and not system specific. As such staff believes that $3,345 ($3,165 + $180) should be removed from contractual services-legal expense for wastewater. Staff believes that the $3,165 related to the four-year rate reduction should be amortized over four years, or $791 ($3,165/4 years) per year. The resulting adjustment to contractual services-legal expense for water is an increase of $971 ($180 + $791). Based on the </w:t>
      </w:r>
      <w:r w:rsidRPr="00A70266">
        <w:rPr>
          <w:color w:val="000000"/>
        </w:rPr>
        <w:lastRenderedPageBreak/>
        <w:t>discussion above, staff believes the appropriate contractual services-legal expense for the test year should be $971 for water and $1,075 ($4,420 - $3,345) for wastewater.</w:t>
      </w:r>
    </w:p>
    <w:p w:rsidR="00A70266" w:rsidRPr="00A70266" w:rsidRDefault="00A70266" w:rsidP="00A70266">
      <w:pPr>
        <w:autoSpaceDE w:val="0"/>
        <w:autoSpaceDN w:val="0"/>
        <w:adjustRightInd w:val="0"/>
        <w:rPr>
          <w:rFonts w:ascii="Arial" w:hAnsi="Arial" w:cs="Arial"/>
          <w:b/>
        </w:rPr>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t>Contractual Services – Management Fees (634/734)</w:t>
      </w:r>
    </w:p>
    <w:p w:rsidR="00A70266" w:rsidRPr="00A70266" w:rsidRDefault="00A70266" w:rsidP="00A70266">
      <w:pPr>
        <w:autoSpaceDE w:val="0"/>
        <w:autoSpaceDN w:val="0"/>
        <w:adjustRightInd w:val="0"/>
        <w:jc w:val="both"/>
      </w:pPr>
      <w:r w:rsidRPr="00A70266">
        <w:t xml:space="preserve">The </w:t>
      </w:r>
      <w:r w:rsidR="002D6F3D">
        <w:t>u</w:t>
      </w:r>
      <w:r w:rsidRPr="00A70266">
        <w:t xml:space="preserve">tility included contractual services management expense of $37,368 for water and $169,266 for wastewater. The </w:t>
      </w:r>
      <w:r w:rsidR="002D6F3D">
        <w:t>u</w:t>
      </w:r>
      <w:r w:rsidRPr="00A70266">
        <w:t>tility provided a copy of the most recent professional services contract with Utility Group of Florida, LLC (UGF), as well as related invoices.</w:t>
      </w:r>
      <w:r w:rsidRPr="00A70266">
        <w:rPr>
          <w:vertAlign w:val="superscript"/>
        </w:rPr>
        <w:footnoteReference w:id="29"/>
      </w:r>
      <w:r w:rsidRPr="00A70266">
        <w:t xml:space="preserve"> This contract provides for the general management of Ni Florida’s facilities and additions, which include, but are not limited to, all supervision, labor, transportation, tools, equipment and operational consultants to operate and maintain the facilities. In addition, UGF performs billing and collection services per the </w:t>
      </w:r>
      <w:r w:rsidR="002D6F3D">
        <w:t>u</w:t>
      </w:r>
      <w:r w:rsidRPr="00A70266">
        <w:t>tility's tariff and policies, maintains a customer service office, reads meters once each month, and performs certain bookkeeping services among other things.</w:t>
      </w:r>
    </w:p>
    <w:p w:rsidR="00A70266" w:rsidRPr="00A70266" w:rsidRDefault="00A70266" w:rsidP="00A70266">
      <w:pPr>
        <w:autoSpaceDE w:val="0"/>
        <w:autoSpaceDN w:val="0"/>
        <w:adjustRightInd w:val="0"/>
        <w:jc w:val="both"/>
        <w:rPr>
          <w:highlight w:val="yellow"/>
        </w:rPr>
      </w:pPr>
    </w:p>
    <w:p w:rsidR="00A70266" w:rsidRPr="00A70266" w:rsidRDefault="00A70266" w:rsidP="00A70266">
      <w:pPr>
        <w:autoSpaceDE w:val="0"/>
        <w:autoSpaceDN w:val="0"/>
        <w:adjustRightInd w:val="0"/>
        <w:jc w:val="both"/>
      </w:pPr>
      <w:r w:rsidRPr="00A70266">
        <w:t xml:space="preserve">In its response, the </w:t>
      </w:r>
      <w:r w:rsidR="002D6F3D">
        <w:t>u</w:t>
      </w:r>
      <w:r w:rsidRPr="00A70266">
        <w:t xml:space="preserve">tility also included an addendum to the original contract which amended the monthly amount from $3,000 to $3,300 per month. This amendment was executed in July 2010. The </w:t>
      </w:r>
      <w:r w:rsidR="002D6F3D">
        <w:t>u</w:t>
      </w:r>
      <w:r w:rsidRPr="00A70266">
        <w:t xml:space="preserve">tility did not provide a written amendment to the contract related to wastewater, but stated in response to Staff’s First Data Request that “The contract in more recent years is verbal and the amount has changed to $14,000/month.” This change took place on January 1, 2013 according to the </w:t>
      </w:r>
      <w:r w:rsidR="002D6F3D">
        <w:t>u</w:t>
      </w:r>
      <w:r w:rsidRPr="00A70266">
        <w:t>tility.</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The </w:t>
      </w:r>
      <w:r w:rsidR="002D6F3D">
        <w:t>u</w:t>
      </w:r>
      <w:r w:rsidRPr="00A70266">
        <w:t>tility provided invoices for water which indicated a monthly professional services fee of $3,114, not $3,330 per month as the addendum states. As such, staff believes that the amount included in the test year, $37,368 ($3,114 x 12 months), is accurate and no adjustments are necessary. Invoices supporting the $14,000 monthly wastewater management fee, which total $168,000, were also provided. The documentation included an invoice for $1,266 for meter reading which staff believes should be removed. This amount does not need to be reallocated as staff believes that meter reading is included in the professional services contract. This will be addressed in additional detail in Contractual Services – Other, below. As such, $1,266 should be removed from wastewater contractual services - management fees.</w:t>
      </w:r>
    </w:p>
    <w:p w:rsidR="00A70266" w:rsidRPr="00A70266" w:rsidRDefault="00A70266" w:rsidP="00A70266">
      <w:pPr>
        <w:autoSpaceDE w:val="0"/>
        <w:autoSpaceDN w:val="0"/>
        <w:adjustRightInd w:val="0"/>
        <w:rPr>
          <w:rFonts w:ascii="Arial" w:hAnsi="Arial" w:cs="Arial"/>
          <w:b/>
        </w:rPr>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t>Contractual Services – Testing (635)</w:t>
      </w:r>
    </w:p>
    <w:p w:rsidR="00A70266" w:rsidRPr="00A70266" w:rsidRDefault="00A70266" w:rsidP="00A70266">
      <w:pPr>
        <w:autoSpaceDE w:val="0"/>
        <w:autoSpaceDN w:val="0"/>
        <w:adjustRightInd w:val="0"/>
        <w:jc w:val="both"/>
      </w:pPr>
      <w:r w:rsidRPr="00A70266">
        <w:t xml:space="preserve">The </w:t>
      </w:r>
      <w:r w:rsidR="002D6F3D">
        <w:t>u</w:t>
      </w:r>
      <w:r w:rsidRPr="00A70266">
        <w:t xml:space="preserve">tility included $8,193 for water testing. Accounting and engineering staff reviewed the support documentation provided by the </w:t>
      </w:r>
      <w:r w:rsidR="002D6F3D">
        <w:t>u</w:t>
      </w:r>
      <w:r w:rsidRPr="00A70266">
        <w:t>tility in response to Staff’s First Data Request and believes the testing to be appropriate. The only adjustment staff identified was the removal of $100 for the annual operating license which staff believes should be reclassified to Miscellaneous Expense (675).</w:t>
      </w:r>
    </w:p>
    <w:p w:rsidR="00A70266" w:rsidRPr="00A70266" w:rsidRDefault="00A70266" w:rsidP="00A70266">
      <w:pPr>
        <w:autoSpaceDE w:val="0"/>
        <w:autoSpaceDN w:val="0"/>
        <w:adjustRightInd w:val="0"/>
        <w:rPr>
          <w:rFonts w:ascii="Arial" w:hAnsi="Arial" w:cs="Arial"/>
          <w:b/>
        </w:rPr>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t>Contractual Services – Other (636/736)</w:t>
      </w:r>
    </w:p>
    <w:p w:rsidR="00A70266" w:rsidRPr="00A70266" w:rsidRDefault="00A70266" w:rsidP="00A70266">
      <w:pPr>
        <w:autoSpaceDE w:val="0"/>
        <w:autoSpaceDN w:val="0"/>
        <w:adjustRightInd w:val="0"/>
        <w:jc w:val="both"/>
        <w:rPr>
          <w:rFonts w:ascii="Arial" w:hAnsi="Arial" w:cs="Arial"/>
          <w:b/>
        </w:rPr>
      </w:pPr>
      <w:r w:rsidRPr="00A70266">
        <w:t xml:space="preserve">In its MFRs, Ni Florida reflected water and wastewater expense of $9,123 and $206,030, respectively, for contractual services-other in the test year. In response to Staff’s First Data Request, the </w:t>
      </w:r>
      <w:r w:rsidR="002D6F3D">
        <w:t>u</w:t>
      </w:r>
      <w:r w:rsidRPr="00A70266">
        <w:t xml:space="preserve">tility provided support documentation for water. Within those documents, staff identified $1,085 related to the preparation and mailing of four-year rate reduction notices. Staff believes this portion of the expense is appropriate since it is not typically included within a docket’s rate case expense. As such, the expense should be amortized over four years, or $271 </w:t>
      </w:r>
      <w:r w:rsidRPr="00A70266">
        <w:lastRenderedPageBreak/>
        <w:t xml:space="preserve">per year. This is consistent with staff’s adjustments to other four-year reduction items contained in this recommendation. As a result, contractual services-other for water should be reduced by $814 ($1,085 - $271). Staff believes that no additional adjustments to contractual services-other for water are necessary. </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jc w:val="both"/>
        <w:rPr>
          <w:rFonts w:ascii="Arial" w:hAnsi="Arial" w:cs="Arial"/>
          <w:b/>
        </w:rPr>
      </w:pPr>
      <w:r w:rsidRPr="00A70266">
        <w:t xml:space="preserve">Support documentation was also provided for wastewater contractual services-other which included $31,616 for billing and customer service, $19,236 for contract labor, $728 for customer work orders, $24,924 for Mission Unit monitoring, and $129,437 for other. Staff made no adjustments to customer work orders. Staff will discuss each of the remaining categories in more detail below. </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jc w:val="both"/>
        <w:rPr>
          <w:rFonts w:ascii="Arial" w:hAnsi="Arial" w:cs="Arial"/>
          <w:b/>
          <w:i/>
        </w:rPr>
      </w:pPr>
      <w:r w:rsidRPr="00A70266">
        <w:rPr>
          <w:rFonts w:ascii="Arial" w:hAnsi="Arial" w:cs="Arial"/>
          <w:b/>
        </w:rPr>
        <w:tab/>
      </w:r>
      <w:r w:rsidRPr="00A70266">
        <w:rPr>
          <w:rFonts w:ascii="Arial" w:hAnsi="Arial" w:cs="Arial"/>
          <w:b/>
          <w:i/>
        </w:rPr>
        <w:t>Billing/Customer Service</w:t>
      </w:r>
    </w:p>
    <w:p w:rsidR="00A70266" w:rsidRPr="00A70266" w:rsidRDefault="002D6F3D" w:rsidP="00A70266">
      <w:pPr>
        <w:autoSpaceDE w:val="0"/>
        <w:autoSpaceDN w:val="0"/>
        <w:adjustRightInd w:val="0"/>
        <w:jc w:val="both"/>
      </w:pPr>
      <w:r>
        <w:t>The u</w:t>
      </w:r>
      <w:r w:rsidR="00A70266" w:rsidRPr="00A70266">
        <w:t xml:space="preserve">tility included $31,616 in wastewater contractual services-other for billing and customer service. In response to Staff’s Fourth Data Request, the </w:t>
      </w:r>
      <w:r>
        <w:t>u</w:t>
      </w:r>
      <w:r w:rsidR="00A70266" w:rsidRPr="00A70266">
        <w:t xml:space="preserve">tility requested that $4,014 had been included for “annual software maintenance and updates” be removed since the expense was related to Ni America Texas, LLC. Staff made the requested adjustment. Staff also believes that additional adjustments related to postage, forms, and imaging are necessary. According to support documentation, the </w:t>
      </w:r>
      <w:r>
        <w:t>u</w:t>
      </w:r>
      <w:r w:rsidR="00A70266" w:rsidRPr="00A70266">
        <w:t>tility incurred costs of $12,105 for postage and $13,472 related to the imaging and mailing of monthly bills. Staff believes that all of the costs related to monthly billing $25,577 ($12,105 + $13,472) should be removed since the professional services contract with UGF appears to already include them. In support, staff has included the applicable portions of the professional services contract, which state, in part:</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ind w:left="720" w:right="720"/>
        <w:jc w:val="both"/>
      </w:pPr>
      <w:r w:rsidRPr="00A70266">
        <w:rPr>
          <w:b/>
          <w:u w:val="single"/>
        </w:rPr>
        <w:t>2.02 METER READING AND BILLING AND COLLECTIONS</w:t>
      </w:r>
      <w:r w:rsidRPr="00A70266">
        <w:t xml:space="preserve"> - FUGH shall perform billing and collection services per the UTILITY's tariff and policies for the UTILITY's water and wastewater services. FUGH shall bill each customer of the UTILITY monthly in accordance with the UTILITY's approved rate structure.</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ind w:firstLine="720"/>
        <w:jc w:val="both"/>
      </w:pPr>
      <w:proofErr w:type="gramStart"/>
      <w:r w:rsidRPr="00A70266">
        <w:t>and</w:t>
      </w:r>
      <w:proofErr w:type="gramEnd"/>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ind w:left="720" w:right="720"/>
        <w:jc w:val="both"/>
      </w:pPr>
      <w:r w:rsidRPr="00A70266">
        <w:rPr>
          <w:b/>
          <w:u w:val="single"/>
        </w:rPr>
        <w:t>3.11 POSTAGE</w:t>
      </w:r>
      <w:r w:rsidRPr="00A70266">
        <w:t xml:space="preserve"> - FUGH will pay for all billing postage. The compensation cited in EXH</w:t>
      </w:r>
      <w:r w:rsidR="005525CB">
        <w:t>I</w:t>
      </w:r>
      <w:r w:rsidRPr="00A70266">
        <w:t>BIT "B" includes a Reserve Account to cover the cost of postage expenditures.</w:t>
      </w:r>
    </w:p>
    <w:p w:rsidR="00A70266" w:rsidRPr="00A70266" w:rsidRDefault="00A70266" w:rsidP="00A70266">
      <w:pPr>
        <w:autoSpaceDE w:val="0"/>
        <w:autoSpaceDN w:val="0"/>
        <w:adjustRightInd w:val="0"/>
        <w:ind w:left="720" w:right="720"/>
        <w:jc w:val="both"/>
      </w:pPr>
    </w:p>
    <w:p w:rsidR="00A70266" w:rsidRPr="00A70266" w:rsidRDefault="00A70266" w:rsidP="00A70266">
      <w:pPr>
        <w:autoSpaceDE w:val="0"/>
        <w:autoSpaceDN w:val="0"/>
        <w:adjustRightInd w:val="0"/>
        <w:jc w:val="both"/>
      </w:pPr>
      <w:r w:rsidRPr="00A70266">
        <w:t>Based on the sections of the professional services contract provided above, staff believes that the monthly management fee includes the very expenses that Ni Florida is seeking to recover here. When asked whether the</w:t>
      </w:r>
      <w:r w:rsidRPr="00A70266">
        <w:rPr>
          <w:rFonts w:ascii="Arial" w:hAnsi="Arial" w:cs="Arial"/>
          <w:sz w:val="20"/>
          <w:szCs w:val="20"/>
        </w:rPr>
        <w:t xml:space="preserve"> </w:t>
      </w:r>
      <w:r w:rsidRPr="00A70266">
        <w:t xml:space="preserve">contract included this activity, the </w:t>
      </w:r>
      <w:r w:rsidR="006D1534">
        <w:t>u</w:t>
      </w:r>
      <w:r w:rsidRPr="00A70266">
        <w:t>tility gave the following response:</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ind w:left="720" w:right="720"/>
        <w:jc w:val="both"/>
      </w:pPr>
      <w:r w:rsidRPr="00A70266">
        <w:t xml:space="preserve">At times the operations contractor, Utility Group of Florida, LLC, provides invoices for work done that Ni Florida personnel determine are included in the contract. Alternatively, sometimes the operations contractor provides invoices for work done that Ni Florida personnel determine is not included in the contract. After careful review of these costs by both the utility and the contractor it was </w:t>
      </w:r>
      <w:r w:rsidRPr="00A70266">
        <w:lastRenderedPageBreak/>
        <w:t>determined that these costs were not covered by the contract and as such were billed separately.</w:t>
      </w:r>
      <w:r w:rsidRPr="00A70266">
        <w:rPr>
          <w:vertAlign w:val="superscript"/>
        </w:rPr>
        <w:footnoteReference w:id="30"/>
      </w:r>
    </w:p>
    <w:p w:rsidR="00A70266" w:rsidRPr="00A70266" w:rsidRDefault="00A70266" w:rsidP="00A70266">
      <w:pPr>
        <w:autoSpaceDE w:val="0"/>
        <w:autoSpaceDN w:val="0"/>
        <w:adjustRightInd w:val="0"/>
        <w:ind w:left="720" w:right="720"/>
        <w:rPr>
          <w:rFonts w:ascii="Arial" w:hAnsi="Arial" w:cs="Arial"/>
          <w:sz w:val="20"/>
          <w:szCs w:val="20"/>
        </w:rPr>
      </w:pPr>
    </w:p>
    <w:p w:rsidR="00A70266" w:rsidRPr="00A70266" w:rsidRDefault="00A70266" w:rsidP="00A70266">
      <w:pPr>
        <w:autoSpaceDE w:val="0"/>
        <w:autoSpaceDN w:val="0"/>
        <w:adjustRightInd w:val="0"/>
        <w:jc w:val="both"/>
      </w:pPr>
      <w:r w:rsidRPr="00A70266">
        <w:t xml:space="preserve">The </w:t>
      </w:r>
      <w:r w:rsidR="006D1534">
        <w:t>u</w:t>
      </w:r>
      <w:r w:rsidRPr="00A70266">
        <w:t>tility added that “The process is more substance over form and based on each party's interpretation of the contract.”</w:t>
      </w:r>
      <w:r w:rsidRPr="00A70266">
        <w:rPr>
          <w:vertAlign w:val="superscript"/>
        </w:rPr>
        <w:footnoteReference w:id="31"/>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Staff believes that the contract is explicit in regard to billing, postage, and meter reading (discussed in the following section). Furthermore, if the contract has outlived its useful life and   no longer reflects the </w:t>
      </w:r>
      <w:proofErr w:type="gramStart"/>
      <w:r w:rsidRPr="00A70266">
        <w:t>parties</w:t>
      </w:r>
      <w:proofErr w:type="gramEnd"/>
      <w:r w:rsidRPr="00A70266">
        <w:t xml:space="preserve"> current relationship, then the parties should renegotiate the contract so that it is reflective of the current situation. That has not happened in this instance. Instead, staff must rely on the contract that was entered into between the parties and executed in 2008. Other than the change to amount charged for the monthly management fee, there are no other revisions to the contract. Ni Florida stated in response to Staff’s Fourth Data Request that this is the contract that the parties are still operating under.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rPr>
          <w:rFonts w:ascii="Arial" w:hAnsi="Arial" w:cs="Arial"/>
          <w:b/>
        </w:rPr>
      </w:pPr>
      <w:r w:rsidRPr="00A70266">
        <w:t xml:space="preserve">As such, staff believes that the contract provides for the creation of monthly bills as well as postage and that the monthly contractual services management fee adequately compensates UGF for its services. If the Commission approves the contractual services management fee for wastewater and the expense requested for billing here, staff believes the </w:t>
      </w:r>
      <w:r w:rsidR="006D1534">
        <w:t>u</w:t>
      </w:r>
      <w:r w:rsidRPr="00A70266">
        <w:t>tility would essentially be allowed to recover those costs twice. Accordingly, staff recommends the removal of $12,105 for postage and $13,472 related to imaging and mailing. Accordingly, staff recommends a reduction of $29,591 ($4,014 - $12,105 - $13,472) to billing and customer service.</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jc w:val="both"/>
        <w:rPr>
          <w:rFonts w:ascii="Arial" w:hAnsi="Arial" w:cs="Arial"/>
          <w:b/>
          <w:i/>
        </w:rPr>
      </w:pPr>
      <w:r w:rsidRPr="00A70266">
        <w:rPr>
          <w:rFonts w:ascii="Arial" w:hAnsi="Arial" w:cs="Arial"/>
          <w:b/>
        </w:rPr>
        <w:tab/>
      </w:r>
      <w:r w:rsidRPr="00A70266">
        <w:rPr>
          <w:rFonts w:ascii="Arial" w:hAnsi="Arial" w:cs="Arial"/>
          <w:b/>
          <w:i/>
        </w:rPr>
        <w:t>Contract Labor</w:t>
      </w:r>
    </w:p>
    <w:p w:rsidR="00A70266" w:rsidRPr="00A70266" w:rsidRDefault="00A70266" w:rsidP="00A70266">
      <w:pPr>
        <w:autoSpaceDE w:val="0"/>
        <w:autoSpaceDN w:val="0"/>
        <w:adjustRightInd w:val="0"/>
        <w:jc w:val="both"/>
        <w:rPr>
          <w:rFonts w:ascii="Arial" w:hAnsi="Arial" w:cs="Arial"/>
          <w:b/>
        </w:rPr>
      </w:pPr>
      <w:r w:rsidRPr="00A70266">
        <w:t xml:space="preserve">The </w:t>
      </w:r>
      <w:r w:rsidR="006D1534">
        <w:t>u</w:t>
      </w:r>
      <w:r w:rsidRPr="00A70266">
        <w:t xml:space="preserve">tility included contract labor costs of $19,236 and provided support documentation for the same. Staff believes that an adjustment is necessary to remove $17,450 associated with meter reading since the professional services contract with UGF already includes meter reading. Section 2.02(B) of the professional services contract states: </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ind w:left="720" w:right="720"/>
        <w:jc w:val="both"/>
      </w:pPr>
      <w:r w:rsidRPr="00A70266">
        <w:t xml:space="preserve">B. Meter Reading - FUGH shall read meters served by the UTILITY once each month in compliance with UTILITY's rate order/tariff and billing schedules.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rPr>
          <w:rFonts w:ascii="Arial" w:hAnsi="Arial" w:cs="Arial"/>
          <w:b/>
        </w:rPr>
      </w:pPr>
      <w:r w:rsidRPr="00A70266">
        <w:t xml:space="preserve">Based on the meter reading section of the professional services contract, and the discussion in billing and customer service above, staff believes that the monthly management fee includes the meter reading expense that Ni Florida is seeking to recover here. Staff believes that the contract includes meter reading and that the monthly management fee adequately compensates UGF. If the Commission approves the contractual services management fee for wastewater and the expense requested for billing here, staff believes the </w:t>
      </w:r>
      <w:r w:rsidR="006D1534">
        <w:t>u</w:t>
      </w:r>
      <w:r w:rsidRPr="00A70266">
        <w:t>tility would essentially be allowed to recover those costs twice. Accordingly staff recommends the removal of $17,450 for meter reading from wastewater.</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jc w:val="both"/>
        <w:rPr>
          <w:rFonts w:ascii="Arial" w:hAnsi="Arial" w:cs="Arial"/>
          <w:b/>
          <w:i/>
        </w:rPr>
      </w:pPr>
      <w:r w:rsidRPr="00A70266">
        <w:rPr>
          <w:rFonts w:ascii="Arial" w:hAnsi="Arial" w:cs="Arial"/>
          <w:b/>
        </w:rPr>
        <w:tab/>
      </w:r>
      <w:r w:rsidRPr="00A70266">
        <w:rPr>
          <w:rFonts w:ascii="Arial" w:hAnsi="Arial" w:cs="Arial"/>
          <w:b/>
          <w:i/>
        </w:rPr>
        <w:t>Mission Unit Monitoring</w:t>
      </w:r>
    </w:p>
    <w:p w:rsidR="00A70266" w:rsidRPr="00A70266" w:rsidRDefault="00A70266" w:rsidP="00A70266">
      <w:pPr>
        <w:autoSpaceDE w:val="0"/>
        <w:autoSpaceDN w:val="0"/>
        <w:adjustRightInd w:val="0"/>
        <w:jc w:val="both"/>
      </w:pPr>
      <w:r w:rsidRPr="00A70266">
        <w:t xml:space="preserve">The </w:t>
      </w:r>
      <w:r w:rsidR="006D1534">
        <w:t>u</w:t>
      </w:r>
      <w:r w:rsidRPr="00A70266">
        <w:t>tility included $24,924 for Mission Unit monitoring and provided support documentation which included annual renewal invoices and the customer service agreement.</w:t>
      </w:r>
      <w:r w:rsidRPr="00A70266">
        <w:rPr>
          <w:vertAlign w:val="superscript"/>
        </w:rPr>
        <w:footnoteReference w:id="32"/>
      </w:r>
      <w:r w:rsidRPr="00A70266">
        <w:t xml:space="preserve"> These costs relate </w:t>
      </w:r>
      <w:r w:rsidRPr="00A70266">
        <w:lastRenderedPageBreak/>
        <w:t xml:space="preserve">to the monitoring of 42 lift stations in Pasco County. In response to Staff’s Third Data Request, the </w:t>
      </w:r>
      <w:r w:rsidR="006D1534">
        <w:t>u</w:t>
      </w:r>
      <w:r w:rsidRPr="00A70266">
        <w:t xml:space="preserve">tility requested pro forma consideration of $3,380 related to monitoring services for 6 additional lift stations that are being added in conjunction with the </w:t>
      </w:r>
      <w:r w:rsidR="006D1534">
        <w:t>u</w:t>
      </w:r>
      <w:r w:rsidRPr="00A70266">
        <w:t>tility’s pro forma plant projects.</w:t>
      </w:r>
      <w:r w:rsidRPr="00A70266">
        <w:rPr>
          <w:vertAlign w:val="superscript"/>
        </w:rPr>
        <w:footnoteReference w:id="33"/>
      </w:r>
      <w:r w:rsidRPr="00A70266">
        <w:t xml:space="preserve"> Based on the support documentation provided, there is no duplication of costs since the Rhodes Road project is for new service and the Tower Drive project had no monitoring prior to the pro forma project. As such, staff believes it is appropriate to add $3,880 to Mission Unit monitoring.</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rPr>
          <w:rFonts w:ascii="Arial" w:hAnsi="Arial" w:cs="Arial"/>
          <w:b/>
          <w:i/>
        </w:rPr>
      </w:pPr>
      <w:r w:rsidRPr="00A70266">
        <w:rPr>
          <w:rFonts w:ascii="Arial" w:hAnsi="Arial" w:cs="Arial"/>
          <w:b/>
        </w:rPr>
        <w:tab/>
      </w:r>
      <w:r w:rsidRPr="00A70266">
        <w:rPr>
          <w:rFonts w:ascii="Arial" w:hAnsi="Arial" w:cs="Arial"/>
          <w:b/>
          <w:i/>
        </w:rPr>
        <w:t>Other</w:t>
      </w:r>
    </w:p>
    <w:p w:rsidR="00A70266" w:rsidRPr="00A70266" w:rsidRDefault="00A70266" w:rsidP="00A70266">
      <w:pPr>
        <w:autoSpaceDE w:val="0"/>
        <w:autoSpaceDN w:val="0"/>
        <w:adjustRightInd w:val="0"/>
        <w:jc w:val="both"/>
      </w:pPr>
      <w:r w:rsidRPr="00A70266">
        <w:t xml:space="preserve">The </w:t>
      </w:r>
      <w:r w:rsidR="006D1534">
        <w:t>u</w:t>
      </w:r>
      <w:r w:rsidRPr="00A70266">
        <w:t xml:space="preserve">tility included $129,437 for other test year O&amp;M expenses. Most of the items included appear to be related to various wastewater system repairs. The </w:t>
      </w:r>
      <w:r w:rsidR="006D1534">
        <w:t>u</w:t>
      </w:r>
      <w:r w:rsidRPr="00A70266">
        <w:t>tility provided support documentation, from which staff identified</w:t>
      </w:r>
      <w:r w:rsidR="0058177E">
        <w:t xml:space="preserve"> additional adjustment that it believes should be made.</w:t>
      </w:r>
      <w:r w:rsidRPr="00A70266">
        <w:t xml:space="preserve">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Staff identified two charges, which total $5,341, to write off amounts from a prior year. The invoices for these are for charges incurred outside the test year and should not be included in test year expense. Four charges which total $557 that were related to use tax on Aquafix purchases made in 2014 should also be removed from test year expense. As such, staff believes it is appropriate to remove $5,898 ($5,341 + $557) from test year expense.</w:t>
      </w:r>
    </w:p>
    <w:p w:rsidR="00A70266" w:rsidRPr="00A70266" w:rsidRDefault="00A70266" w:rsidP="00A70266">
      <w:pPr>
        <w:autoSpaceDE w:val="0"/>
        <w:autoSpaceDN w:val="0"/>
        <w:adjustRightInd w:val="0"/>
        <w:jc w:val="both"/>
        <w:rPr>
          <w:rFonts w:ascii="Arial" w:hAnsi="Arial" w:cs="Arial"/>
          <w:b/>
        </w:rPr>
      </w:pPr>
    </w:p>
    <w:p w:rsidR="00A70266" w:rsidRPr="00A70266" w:rsidRDefault="00A70266" w:rsidP="00A70266">
      <w:pPr>
        <w:autoSpaceDE w:val="0"/>
        <w:autoSpaceDN w:val="0"/>
        <w:adjustRightInd w:val="0"/>
        <w:jc w:val="both"/>
      </w:pPr>
      <w:r w:rsidRPr="00A70266">
        <w:t xml:space="preserve">Staff also identified $28,341 related to storm repair. The </w:t>
      </w:r>
      <w:r w:rsidR="006D1534">
        <w:t>u</w:t>
      </w:r>
      <w:r w:rsidRPr="00A70266">
        <w:t xml:space="preserve">tility said that the expense was due to severe weather in the wastewater service territory over a two-week period. During this time, there was flooding, power surges, and wind which caused damage and power outages in the area. This in turn caused sanitary sewer overflows at several of the </w:t>
      </w:r>
      <w:r w:rsidR="006D1534">
        <w:t>u</w:t>
      </w:r>
      <w:r w:rsidRPr="00A70266">
        <w:t xml:space="preserve">tility’s lift stations and emergency situations. Ni Florida used vacuum trucks to haul sewer flow to another location to avoid spill and used temporary pumps to pump sewer flow around the lift station. According to the </w:t>
      </w:r>
      <w:r w:rsidR="006D1534">
        <w:t>u</w:t>
      </w:r>
      <w:r w:rsidRPr="00A70266">
        <w:t>tility, the amount also included spill cleanup work and disassembly of pumps and hoses</w:t>
      </w:r>
      <w:r w:rsidR="003207E5">
        <w:t>.</w:t>
      </w:r>
      <w:r w:rsidRPr="00A70266">
        <w:t xml:space="preserve"> While severe weather is expected in Florida, staff believes that these events were extraordinary. As such, staff believes that these storm</w:t>
      </w:r>
      <w:r w:rsidR="005525CB">
        <w:t>s</w:t>
      </w:r>
      <w:r w:rsidRPr="00A70266">
        <w:t xml:space="preserve"> related costs should be amortized over five years, or $5,668 ($28,341/5 years) per year. As a result, staff is recommending a reduction of $22,672 ($28,341 - $5,668).</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The </w:t>
      </w:r>
      <w:r w:rsidR="006D1534">
        <w:t>u</w:t>
      </w:r>
      <w:r w:rsidRPr="00A70266">
        <w:t xml:space="preserve">tility included $17,851 for an audit of its collection system. In response to OPC’s concerns, the </w:t>
      </w:r>
      <w:r w:rsidR="006D1534">
        <w:t>u</w:t>
      </w:r>
      <w:r w:rsidRPr="00A70266">
        <w:t xml:space="preserve">tility stated that the amount spent on the audit could be considered for amortization over a three-year period, especially since Ni Florida’s plan is to conduct the a similar audit every three years. As such, staff recommends amortizing this expense over three years, or $5,950 ($17,851/3 years) per year. As a result, staff is recommending a reduction of $11,901 ($17,851 - $5,950).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In addition, staff found additional meter reading charges of $1,681 that should be removed. Staff does not believe that the argument provided earlier in this recommendation regarding meter reading needs to be repeated here. As such, staff recommends removing $1,681 for meter reading that is included in the cost of the professional service</w:t>
      </w:r>
      <w:r w:rsidR="005525CB">
        <w:t xml:space="preserve">s contract. Accordingly, staff </w:t>
      </w:r>
      <w:r w:rsidRPr="00A70266">
        <w:t>recommends</w:t>
      </w:r>
      <w:r w:rsidR="005525CB">
        <w:t xml:space="preserve"> </w:t>
      </w:r>
      <w:r w:rsidRPr="00A70266">
        <w:t>a reduction of $42,152 ($5,898 + $22,672 + $11,901 + $1,681).</w:t>
      </w:r>
    </w:p>
    <w:p w:rsidR="00A70266" w:rsidRPr="00A70266" w:rsidRDefault="00A70266" w:rsidP="00A70266">
      <w:pPr>
        <w:autoSpaceDE w:val="0"/>
        <w:autoSpaceDN w:val="0"/>
        <w:adjustRightInd w:val="0"/>
      </w:pPr>
    </w:p>
    <w:p w:rsidR="00A70266" w:rsidRPr="00A70266" w:rsidRDefault="00A70266" w:rsidP="00A70266">
      <w:pPr>
        <w:autoSpaceDE w:val="0"/>
        <w:autoSpaceDN w:val="0"/>
        <w:adjustRightInd w:val="0"/>
      </w:pPr>
      <w:r w:rsidRPr="00A70266">
        <w:t>Based on the adjustments discussed above, the total reduction to wastewater contractual services-other is $85,813 ($3,880 - $29,591 - $17,450 - $42,152).</w:t>
      </w:r>
    </w:p>
    <w:p w:rsidR="00A70266" w:rsidRPr="00A70266" w:rsidRDefault="00A70266" w:rsidP="00A70266">
      <w:pPr>
        <w:autoSpaceDE w:val="0"/>
        <w:autoSpaceDN w:val="0"/>
        <w:adjustRightInd w:val="0"/>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lastRenderedPageBreak/>
        <w:t>Bad Debt Expense (670/770)</w:t>
      </w:r>
    </w:p>
    <w:p w:rsidR="00A70266" w:rsidRPr="00A70266" w:rsidRDefault="00A70266" w:rsidP="00A70266">
      <w:pPr>
        <w:autoSpaceDE w:val="0"/>
        <w:autoSpaceDN w:val="0"/>
        <w:adjustRightInd w:val="0"/>
        <w:jc w:val="both"/>
      </w:pPr>
      <w:proofErr w:type="gramStart"/>
      <w:r w:rsidRPr="00A70266">
        <w:t xml:space="preserve">On MFR Schedules B-5 and B-6, the </w:t>
      </w:r>
      <w:r w:rsidR="006D1534">
        <w:t>u</w:t>
      </w:r>
      <w:r w:rsidRPr="00A70266">
        <w:t>tility recorded test year bad debt expense of $1,110 for water and ($1,518) for wastewater.</w:t>
      </w:r>
      <w:proofErr w:type="gramEnd"/>
      <w:r w:rsidRPr="00A70266">
        <w:t xml:space="preserve"> Ni Florida adjusted its test year bad debt expense to $1,176 and $25,187 for water and wastewater, respectively, to reflect bad debts at the three-year average. The </w:t>
      </w:r>
      <w:r w:rsidR="006D1534">
        <w:t>u</w:t>
      </w:r>
      <w:r w:rsidRPr="00A70266">
        <w:t>tility requested further bad debt expense increases of $421 for water and $6,574 for wastewater in order to reflect the requested revenue increase at an amount equal to 0.48 percent and 1.38 percent, respectively. This represents total requested bad debt expense of $1,597 for water and $31,761 for wastewater.</w:t>
      </w:r>
    </w:p>
    <w:p w:rsidR="00A70266" w:rsidRPr="00A70266" w:rsidRDefault="00A70266" w:rsidP="00A70266"/>
    <w:p w:rsidR="00A70266" w:rsidRPr="00A70266" w:rsidRDefault="00A70266" w:rsidP="00A70266">
      <w:pPr>
        <w:autoSpaceDE w:val="0"/>
        <w:autoSpaceDN w:val="0"/>
        <w:adjustRightInd w:val="0"/>
        <w:jc w:val="both"/>
      </w:pPr>
      <w:r w:rsidRPr="00A70266">
        <w:t xml:space="preserve">It is Commission practice to set bad debt expense using the three-year average based on the premise that a 3-year average fairly represented the expected bad debt expense. Overall, the basis for determining bad debt expense has been whether the amount is representative of the bad debt expense to be incurred by the </w:t>
      </w:r>
      <w:r w:rsidR="006D1534">
        <w:t>u</w:t>
      </w:r>
      <w:r w:rsidRPr="00A70266">
        <w:t xml:space="preserve">tility. Using the </w:t>
      </w:r>
      <w:r w:rsidR="006D1534">
        <w:t>u</w:t>
      </w:r>
      <w:r w:rsidRPr="00A70266">
        <w:t xml:space="preserve">tility’s annual reports, staff calculated three-year average bad debt expense of $1,176 for water and $25,189 for wastewater. Based on the calculations above, staff recommends that the </w:t>
      </w:r>
      <w:r w:rsidR="006D1534">
        <w:t>u</w:t>
      </w:r>
      <w:r w:rsidRPr="00A70266">
        <w:t xml:space="preserve">tility’s requested bad debt expense for water be reduced by $421 and wastewater be reduced by $6,572. </w:t>
      </w:r>
    </w:p>
    <w:p w:rsidR="00A70266" w:rsidRPr="00A70266" w:rsidRDefault="00A70266" w:rsidP="00A70266">
      <w:pPr>
        <w:autoSpaceDE w:val="0"/>
        <w:autoSpaceDN w:val="0"/>
        <w:adjustRightInd w:val="0"/>
        <w:jc w:val="both"/>
        <w:rPr>
          <w:highlight w:val="yellow"/>
        </w:rPr>
      </w:pPr>
    </w:p>
    <w:p w:rsidR="00A70266" w:rsidRPr="00A70266" w:rsidRDefault="00A70266" w:rsidP="00A70266">
      <w:pPr>
        <w:autoSpaceDE w:val="0"/>
        <w:autoSpaceDN w:val="0"/>
        <w:adjustRightInd w:val="0"/>
        <w:jc w:val="both"/>
        <w:rPr>
          <w:rFonts w:ascii="Arial" w:hAnsi="Arial" w:cs="Arial"/>
          <w:b/>
        </w:rPr>
      </w:pPr>
      <w:r w:rsidRPr="00A70266">
        <w:rPr>
          <w:rFonts w:ascii="Arial" w:hAnsi="Arial" w:cs="Arial"/>
          <w:b/>
        </w:rPr>
        <w:t>Miscellaneous Expense (675/775)</w:t>
      </w:r>
    </w:p>
    <w:p w:rsidR="00A70266" w:rsidRPr="00A70266" w:rsidRDefault="00A70266" w:rsidP="00A70266">
      <w:pPr>
        <w:autoSpaceDE w:val="0"/>
        <w:autoSpaceDN w:val="0"/>
        <w:adjustRightInd w:val="0"/>
        <w:jc w:val="both"/>
      </w:pPr>
      <w:r w:rsidRPr="00A70266">
        <w:t>The Utility included miscellaneous expense of $90,377 for water and $323,700 for wastewater. It is comprised of the following amounts:</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center"/>
        <w:rPr>
          <w:rFonts w:ascii="Arial" w:hAnsi="Arial" w:cs="Arial"/>
          <w:b/>
        </w:rPr>
      </w:pPr>
      <w:r w:rsidRPr="00A70266">
        <w:rPr>
          <w:rFonts w:ascii="Arial" w:hAnsi="Arial" w:cs="Arial"/>
          <w:b/>
        </w:rPr>
        <w:t>Table 12-2</w:t>
      </w:r>
    </w:p>
    <w:p w:rsidR="00A70266" w:rsidRPr="00A70266" w:rsidRDefault="00A70266" w:rsidP="00A70266">
      <w:pPr>
        <w:autoSpaceDE w:val="0"/>
        <w:autoSpaceDN w:val="0"/>
        <w:adjustRightInd w:val="0"/>
        <w:jc w:val="center"/>
      </w:pPr>
      <w:r w:rsidRPr="00A70266">
        <w:rPr>
          <w:rFonts w:ascii="Arial" w:hAnsi="Arial" w:cs="Arial"/>
          <w:b/>
        </w:rPr>
        <w:t>Summary of Miscellaneous Expenses</w:t>
      </w:r>
    </w:p>
    <w:tbl>
      <w:tblPr>
        <w:tblStyle w:val="TableGrid6"/>
        <w:tblW w:w="0" w:type="auto"/>
        <w:jc w:val="center"/>
        <w:tblLook w:val="04A0" w:firstRow="1" w:lastRow="0" w:firstColumn="1" w:lastColumn="0" w:noHBand="0" w:noVBand="1"/>
      </w:tblPr>
      <w:tblGrid>
        <w:gridCol w:w="4878"/>
        <w:gridCol w:w="1890"/>
        <w:gridCol w:w="1800"/>
      </w:tblGrid>
      <w:tr w:rsidR="00A70266" w:rsidRPr="00A70266" w:rsidTr="00D1658D">
        <w:trPr>
          <w:jc w:val="center"/>
        </w:trPr>
        <w:tc>
          <w:tcPr>
            <w:tcW w:w="4878" w:type="dxa"/>
          </w:tcPr>
          <w:p w:rsidR="00A70266" w:rsidRPr="00A70266" w:rsidRDefault="00A70266" w:rsidP="00A70266">
            <w:pPr>
              <w:autoSpaceDE w:val="0"/>
              <w:autoSpaceDN w:val="0"/>
              <w:adjustRightInd w:val="0"/>
              <w:jc w:val="center"/>
              <w:rPr>
                <w:b/>
              </w:rPr>
            </w:pPr>
            <w:r w:rsidRPr="00A70266">
              <w:rPr>
                <w:b/>
              </w:rPr>
              <w:t>Summary</w:t>
            </w:r>
          </w:p>
        </w:tc>
        <w:tc>
          <w:tcPr>
            <w:tcW w:w="1890" w:type="dxa"/>
          </w:tcPr>
          <w:p w:rsidR="00A70266" w:rsidRPr="00A70266" w:rsidRDefault="00A70266" w:rsidP="00A70266">
            <w:pPr>
              <w:autoSpaceDE w:val="0"/>
              <w:autoSpaceDN w:val="0"/>
              <w:adjustRightInd w:val="0"/>
              <w:jc w:val="center"/>
              <w:rPr>
                <w:b/>
              </w:rPr>
            </w:pPr>
            <w:r w:rsidRPr="00A70266">
              <w:rPr>
                <w:b/>
              </w:rPr>
              <w:t>Water</w:t>
            </w:r>
          </w:p>
        </w:tc>
        <w:tc>
          <w:tcPr>
            <w:tcW w:w="1800" w:type="dxa"/>
          </w:tcPr>
          <w:p w:rsidR="00A70266" w:rsidRPr="00A70266" w:rsidRDefault="00A70266" w:rsidP="00A70266">
            <w:pPr>
              <w:autoSpaceDE w:val="0"/>
              <w:autoSpaceDN w:val="0"/>
              <w:adjustRightInd w:val="0"/>
              <w:jc w:val="center"/>
              <w:rPr>
                <w:b/>
              </w:rPr>
            </w:pPr>
            <w:r w:rsidRPr="00A70266">
              <w:rPr>
                <w:b/>
              </w:rPr>
              <w:t>Wastewater</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Allocated Corporate Overhead Costs</w:t>
            </w:r>
          </w:p>
        </w:tc>
        <w:tc>
          <w:tcPr>
            <w:tcW w:w="1890" w:type="dxa"/>
          </w:tcPr>
          <w:p w:rsidR="00A70266" w:rsidRPr="00A70266" w:rsidRDefault="00A70266" w:rsidP="00A70266">
            <w:pPr>
              <w:autoSpaceDE w:val="0"/>
              <w:autoSpaceDN w:val="0"/>
              <w:adjustRightInd w:val="0"/>
              <w:jc w:val="right"/>
            </w:pPr>
            <w:r w:rsidRPr="00A70266">
              <w:t>$75,932</w:t>
            </w:r>
          </w:p>
        </w:tc>
        <w:tc>
          <w:tcPr>
            <w:tcW w:w="1800" w:type="dxa"/>
          </w:tcPr>
          <w:p w:rsidR="00A70266" w:rsidRPr="00A70266" w:rsidRDefault="00A70266" w:rsidP="00A70266">
            <w:pPr>
              <w:autoSpaceDE w:val="0"/>
              <w:autoSpaceDN w:val="0"/>
              <w:adjustRightInd w:val="0"/>
              <w:jc w:val="right"/>
            </w:pPr>
            <w:r w:rsidRPr="00A70266">
              <w:t>$291,406</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Direct Assignment:</w:t>
            </w:r>
          </w:p>
        </w:tc>
        <w:tc>
          <w:tcPr>
            <w:tcW w:w="1890" w:type="dxa"/>
          </w:tcPr>
          <w:p w:rsidR="00A70266" w:rsidRPr="00A70266" w:rsidRDefault="00A70266" w:rsidP="00A70266">
            <w:pPr>
              <w:autoSpaceDE w:val="0"/>
              <w:autoSpaceDN w:val="0"/>
              <w:adjustRightInd w:val="0"/>
              <w:jc w:val="right"/>
            </w:pPr>
          </w:p>
        </w:tc>
        <w:tc>
          <w:tcPr>
            <w:tcW w:w="1800" w:type="dxa"/>
          </w:tcPr>
          <w:p w:rsidR="00A70266" w:rsidRPr="00A70266" w:rsidRDefault="00A70266" w:rsidP="00A70266">
            <w:pPr>
              <w:autoSpaceDE w:val="0"/>
              <w:autoSpaceDN w:val="0"/>
              <w:adjustRightInd w:val="0"/>
              <w:jc w:val="right"/>
            </w:pP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Specifically Assigned Corp. Overhead - Legal</w:t>
            </w:r>
          </w:p>
        </w:tc>
        <w:tc>
          <w:tcPr>
            <w:tcW w:w="1890" w:type="dxa"/>
          </w:tcPr>
          <w:p w:rsidR="00A70266" w:rsidRPr="00A70266" w:rsidRDefault="00A70266" w:rsidP="00A70266">
            <w:pPr>
              <w:autoSpaceDE w:val="0"/>
              <w:autoSpaceDN w:val="0"/>
              <w:adjustRightInd w:val="0"/>
              <w:jc w:val="right"/>
            </w:pPr>
            <w:r w:rsidRPr="00A70266">
              <w:t>390</w:t>
            </w:r>
          </w:p>
        </w:tc>
        <w:tc>
          <w:tcPr>
            <w:tcW w:w="1800" w:type="dxa"/>
          </w:tcPr>
          <w:p w:rsidR="00A70266" w:rsidRPr="00A70266" w:rsidRDefault="00A70266" w:rsidP="00A70266">
            <w:pPr>
              <w:autoSpaceDE w:val="0"/>
              <w:autoSpaceDN w:val="0"/>
              <w:adjustRightInd w:val="0"/>
              <w:jc w:val="right"/>
            </w:pPr>
            <w:r w:rsidRPr="00A70266">
              <w:t>3,900</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Specifically Assigned Corp. Overhead - Travel</w:t>
            </w:r>
          </w:p>
        </w:tc>
        <w:tc>
          <w:tcPr>
            <w:tcW w:w="1890" w:type="dxa"/>
          </w:tcPr>
          <w:p w:rsidR="00A70266" w:rsidRPr="00A70266" w:rsidRDefault="00A70266" w:rsidP="00A70266">
            <w:pPr>
              <w:autoSpaceDE w:val="0"/>
              <w:autoSpaceDN w:val="0"/>
              <w:adjustRightInd w:val="0"/>
              <w:jc w:val="right"/>
            </w:pPr>
            <w:r w:rsidRPr="00A70266">
              <w:t>0</w:t>
            </w:r>
          </w:p>
        </w:tc>
        <w:tc>
          <w:tcPr>
            <w:tcW w:w="1800" w:type="dxa"/>
          </w:tcPr>
          <w:p w:rsidR="00A70266" w:rsidRPr="00A70266" w:rsidRDefault="00A70266" w:rsidP="00A70266">
            <w:pPr>
              <w:autoSpaceDE w:val="0"/>
              <w:autoSpaceDN w:val="0"/>
              <w:adjustRightInd w:val="0"/>
              <w:jc w:val="right"/>
            </w:pPr>
            <w:r w:rsidRPr="00A70266">
              <w:t>9,296</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Ni Florida, LLC Allocated Costs</w:t>
            </w:r>
          </w:p>
        </w:tc>
        <w:tc>
          <w:tcPr>
            <w:tcW w:w="1890" w:type="dxa"/>
          </w:tcPr>
          <w:p w:rsidR="00A70266" w:rsidRPr="00A70266" w:rsidRDefault="00A70266" w:rsidP="00A70266">
            <w:pPr>
              <w:autoSpaceDE w:val="0"/>
              <w:autoSpaceDN w:val="0"/>
              <w:adjustRightInd w:val="0"/>
              <w:jc w:val="right"/>
            </w:pPr>
            <w:r w:rsidRPr="00A70266">
              <w:t>435</w:t>
            </w:r>
          </w:p>
        </w:tc>
        <w:tc>
          <w:tcPr>
            <w:tcW w:w="1800" w:type="dxa"/>
          </w:tcPr>
          <w:p w:rsidR="00A70266" w:rsidRPr="00A70266" w:rsidRDefault="00A70266" w:rsidP="00A70266">
            <w:pPr>
              <w:autoSpaceDE w:val="0"/>
              <w:autoSpaceDN w:val="0"/>
              <w:adjustRightInd w:val="0"/>
              <w:jc w:val="right"/>
            </w:pPr>
            <w:r w:rsidRPr="00A70266">
              <w:t>1,669</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Billing/Customer Service Expenses</w:t>
            </w:r>
          </w:p>
        </w:tc>
        <w:tc>
          <w:tcPr>
            <w:tcW w:w="1890" w:type="dxa"/>
          </w:tcPr>
          <w:p w:rsidR="00A70266" w:rsidRPr="00A70266" w:rsidRDefault="00A70266" w:rsidP="00A70266">
            <w:pPr>
              <w:autoSpaceDE w:val="0"/>
              <w:autoSpaceDN w:val="0"/>
              <w:adjustRightInd w:val="0"/>
              <w:jc w:val="right"/>
            </w:pPr>
            <w:r w:rsidRPr="00A70266">
              <w:t>10,668</w:t>
            </w:r>
          </w:p>
        </w:tc>
        <w:tc>
          <w:tcPr>
            <w:tcW w:w="1800" w:type="dxa"/>
          </w:tcPr>
          <w:p w:rsidR="00A70266" w:rsidRPr="00A70266" w:rsidRDefault="00A70266" w:rsidP="00A70266">
            <w:pPr>
              <w:autoSpaceDE w:val="0"/>
              <w:autoSpaceDN w:val="0"/>
              <w:adjustRightInd w:val="0"/>
              <w:jc w:val="right"/>
            </w:pPr>
            <w:r w:rsidRPr="00A70266">
              <w:t>0</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Bank Fees</w:t>
            </w:r>
          </w:p>
        </w:tc>
        <w:tc>
          <w:tcPr>
            <w:tcW w:w="1890" w:type="dxa"/>
          </w:tcPr>
          <w:p w:rsidR="00A70266" w:rsidRPr="00A70266" w:rsidRDefault="00A70266" w:rsidP="00A70266">
            <w:pPr>
              <w:autoSpaceDE w:val="0"/>
              <w:autoSpaceDN w:val="0"/>
              <w:adjustRightInd w:val="0"/>
              <w:jc w:val="right"/>
            </w:pPr>
            <w:r w:rsidRPr="00A70266">
              <w:t>2,952</w:t>
            </w:r>
          </w:p>
        </w:tc>
        <w:tc>
          <w:tcPr>
            <w:tcW w:w="1800" w:type="dxa"/>
          </w:tcPr>
          <w:p w:rsidR="00A70266" w:rsidRPr="00A70266" w:rsidRDefault="00A70266" w:rsidP="00A70266">
            <w:pPr>
              <w:autoSpaceDE w:val="0"/>
              <w:autoSpaceDN w:val="0"/>
              <w:adjustRightInd w:val="0"/>
              <w:jc w:val="right"/>
            </w:pPr>
            <w:r w:rsidRPr="00A70266">
              <w:t>10,321</w:t>
            </w:r>
          </w:p>
        </w:tc>
      </w:tr>
      <w:tr w:rsidR="00A70266" w:rsidRPr="00A70266" w:rsidTr="00D1658D">
        <w:trPr>
          <w:jc w:val="center"/>
        </w:trPr>
        <w:tc>
          <w:tcPr>
            <w:tcW w:w="4878" w:type="dxa"/>
          </w:tcPr>
          <w:p w:rsidR="00A70266" w:rsidRPr="00A70266" w:rsidRDefault="00A70266" w:rsidP="00A70266">
            <w:pPr>
              <w:autoSpaceDE w:val="0"/>
              <w:autoSpaceDN w:val="0"/>
              <w:adjustRightInd w:val="0"/>
              <w:jc w:val="both"/>
            </w:pPr>
            <w:r w:rsidRPr="00A70266">
              <w:t>Telephone Expenses</w:t>
            </w:r>
          </w:p>
        </w:tc>
        <w:tc>
          <w:tcPr>
            <w:tcW w:w="1890" w:type="dxa"/>
          </w:tcPr>
          <w:p w:rsidR="00A70266" w:rsidRPr="001C77F9" w:rsidRDefault="00A70266" w:rsidP="00A70266">
            <w:pPr>
              <w:autoSpaceDE w:val="0"/>
              <w:autoSpaceDN w:val="0"/>
              <w:adjustRightInd w:val="0"/>
              <w:jc w:val="right"/>
              <w:rPr>
                <w:u w:val="single"/>
              </w:rPr>
            </w:pPr>
            <w:r w:rsidRPr="001C77F9">
              <w:rPr>
                <w:u w:val="single"/>
              </w:rPr>
              <w:t>0</w:t>
            </w:r>
          </w:p>
        </w:tc>
        <w:tc>
          <w:tcPr>
            <w:tcW w:w="1800" w:type="dxa"/>
          </w:tcPr>
          <w:p w:rsidR="00A70266" w:rsidRPr="001C77F9" w:rsidRDefault="00A70266" w:rsidP="00A70266">
            <w:pPr>
              <w:autoSpaceDE w:val="0"/>
              <w:autoSpaceDN w:val="0"/>
              <w:adjustRightInd w:val="0"/>
              <w:jc w:val="right"/>
              <w:rPr>
                <w:u w:val="double"/>
              </w:rPr>
            </w:pPr>
            <w:r w:rsidRPr="001C77F9">
              <w:rPr>
                <w:u w:val="double"/>
              </w:rPr>
              <w:t>7,107</w:t>
            </w:r>
          </w:p>
        </w:tc>
      </w:tr>
      <w:tr w:rsidR="00A70266" w:rsidRPr="00A70266" w:rsidTr="00D1658D">
        <w:trPr>
          <w:trHeight w:val="350"/>
          <w:jc w:val="center"/>
        </w:trPr>
        <w:tc>
          <w:tcPr>
            <w:tcW w:w="4878" w:type="dxa"/>
            <w:vAlign w:val="center"/>
          </w:tcPr>
          <w:p w:rsidR="00A70266" w:rsidRPr="00A70266" w:rsidRDefault="00A70266" w:rsidP="00A70266">
            <w:pPr>
              <w:autoSpaceDE w:val="0"/>
              <w:autoSpaceDN w:val="0"/>
              <w:adjustRightInd w:val="0"/>
              <w:rPr>
                <w:b/>
              </w:rPr>
            </w:pPr>
            <w:r w:rsidRPr="00A70266">
              <w:rPr>
                <w:b/>
              </w:rPr>
              <w:t>Total</w:t>
            </w:r>
          </w:p>
        </w:tc>
        <w:tc>
          <w:tcPr>
            <w:tcW w:w="1890" w:type="dxa"/>
            <w:vAlign w:val="center"/>
          </w:tcPr>
          <w:p w:rsidR="00A70266" w:rsidRPr="001C77F9" w:rsidRDefault="00A70266" w:rsidP="00A70266">
            <w:pPr>
              <w:autoSpaceDE w:val="0"/>
              <w:autoSpaceDN w:val="0"/>
              <w:adjustRightInd w:val="0"/>
              <w:jc w:val="right"/>
              <w:rPr>
                <w:b/>
                <w:u w:val="double"/>
              </w:rPr>
            </w:pPr>
            <w:r w:rsidRPr="001C77F9">
              <w:rPr>
                <w:b/>
                <w:u w:val="double"/>
              </w:rPr>
              <w:t>$90,377</w:t>
            </w:r>
          </w:p>
        </w:tc>
        <w:tc>
          <w:tcPr>
            <w:tcW w:w="1800" w:type="dxa"/>
            <w:vAlign w:val="center"/>
          </w:tcPr>
          <w:p w:rsidR="00A70266" w:rsidRPr="001C77F9" w:rsidRDefault="00A70266" w:rsidP="00A70266">
            <w:pPr>
              <w:autoSpaceDE w:val="0"/>
              <w:autoSpaceDN w:val="0"/>
              <w:adjustRightInd w:val="0"/>
              <w:jc w:val="right"/>
              <w:rPr>
                <w:b/>
                <w:u w:val="double"/>
              </w:rPr>
            </w:pPr>
            <w:r w:rsidRPr="001C77F9">
              <w:rPr>
                <w:b/>
                <w:u w:val="double"/>
              </w:rPr>
              <w:t>$323,700</w:t>
            </w:r>
          </w:p>
        </w:tc>
      </w:tr>
    </w:tbl>
    <w:p w:rsidR="00A70266" w:rsidRPr="00A70266" w:rsidRDefault="00A70266" w:rsidP="00A70266">
      <w:pPr>
        <w:autoSpaceDE w:val="0"/>
        <w:autoSpaceDN w:val="0"/>
        <w:adjustRightInd w:val="0"/>
        <w:jc w:val="both"/>
      </w:pPr>
      <w:r w:rsidRPr="00A70266">
        <w:t xml:space="preserve">      Source: MFRs and responses to staff data requests</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The </w:t>
      </w:r>
      <w:r w:rsidR="006D1534">
        <w:t>u</w:t>
      </w:r>
      <w:r w:rsidRPr="00A70266">
        <w:t xml:space="preserve">tility recorded test year direct assignment expense of $14,445 for water and $32,294 for wastewater. Staff believes that adjustments to travel and billing/customer service are necessary. In the audit workpapers, staff found several airline charges related to cabin upgrades and change fees, which totaled $1,502. Staff does not believe the </w:t>
      </w:r>
      <w:r w:rsidR="006D1534">
        <w:t>u</w:t>
      </w:r>
      <w:r w:rsidRPr="00A70266">
        <w:t xml:space="preserve">tility’s customers should be responsible for these charges and they should be removed from wastewater’s direct assignment expenses. Staff also believes that $10,668 included in direct assignment expenses for water billing should be removed. As addressed elsewhere in this issue, staff believes that postage, imaging, and mailing of monthly bills is included in the professional service contract. As such, $10,668 should be removed from water direct assignments expenses. All other direct assignment costs identified in Table 12-2 </w:t>
      </w:r>
      <w:proofErr w:type="gramStart"/>
      <w:r w:rsidRPr="00A70266">
        <w:t>above,</w:t>
      </w:r>
      <w:proofErr w:type="gramEnd"/>
      <w:r w:rsidRPr="00A70266">
        <w:t xml:space="preserve"> appear appropriate based on the support documentation provided by the </w:t>
      </w:r>
      <w:r w:rsidR="006D1534">
        <w:t>u</w:t>
      </w:r>
      <w:r w:rsidRPr="00A70266">
        <w:t xml:space="preserve">tility.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The largest portion of miscellaneous expense for both water and wastewater is allocated corporate overhead costs. The </w:t>
      </w:r>
      <w:r w:rsidR="006D1534">
        <w:t>u</w:t>
      </w:r>
      <w:r w:rsidRPr="00A70266">
        <w:t xml:space="preserve">tility recorded test year allocated parent overhead of $75,932 for water and $291,406 for wastewater. The allocated overhead was recorded in the </w:t>
      </w:r>
      <w:r w:rsidR="006D1534">
        <w:t>u</w:t>
      </w:r>
      <w:r w:rsidRPr="00A70266">
        <w:t xml:space="preserve">tility's miscellaneous expense account based on equivalent residential connections (ERC). In the </w:t>
      </w:r>
      <w:r w:rsidR="006D1534">
        <w:t>u</w:t>
      </w:r>
      <w:r w:rsidRPr="00A70266">
        <w:t xml:space="preserve">tility’s last rate case, the Commission ordered the removal of due diligence costs as well as the equity sponsor fee paid to Metalmark Capital, LLC, and non-utility costs related to a possible sale of the </w:t>
      </w:r>
      <w:r w:rsidR="006D1534">
        <w:t>u</w:t>
      </w:r>
      <w:r w:rsidRPr="00A70266">
        <w:t>tility.</w:t>
      </w:r>
      <w:r w:rsidRPr="00A70266">
        <w:rPr>
          <w:vertAlign w:val="superscript"/>
        </w:rPr>
        <w:footnoteReference w:id="34"/>
      </w:r>
      <w:r w:rsidRPr="00A70266">
        <w:t xml:space="preserve"> Staff notes that due diligence costs were removed in an audit adjustment in an earlier issue. The equity sponsor fee and non-utility costs were excluded from overhead allocation in the </w:t>
      </w:r>
      <w:r w:rsidR="006D1534">
        <w:t>u</w:t>
      </w:r>
      <w:r w:rsidRPr="00A70266">
        <w:t xml:space="preserve">tility’s filing.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rPr>
          <w:sz w:val="23"/>
          <w:szCs w:val="23"/>
        </w:rPr>
      </w:pPr>
      <w:r w:rsidRPr="00A70266">
        <w:t xml:space="preserve">As discussed previously, in response to staff’s first data request, the </w:t>
      </w:r>
      <w:r w:rsidR="006D1534">
        <w:t>u</w:t>
      </w:r>
      <w:r w:rsidRPr="00A70266">
        <w:t>tility provided a contract for the management services of UGF. The contract provides that the operator “shall perform billing and collection services per the utility's tariff and policies for the utility’s water and wastewater services.” It further states that the operator “shall bill each customer of the utility monthly in accordance with the utility's approved rate structure.” Additionally, the contract provides that the operator will provide a customer service office where customers may pay their bills, apply for service, obtain information, register complaints, and generally receive normal and customary billing and collecting services. OPC questioned why Ni America is allocating overhead costs that include these functions when the professional services contract indicates that UGF is providing these services. OPC identified five positions</w:t>
      </w:r>
      <w:r w:rsidRPr="00A70266">
        <w:rPr>
          <w:vertAlign w:val="superscript"/>
        </w:rPr>
        <w:footnoteReference w:id="35"/>
      </w:r>
      <w:r w:rsidRPr="00A70266">
        <w:t xml:space="preserve"> included in the allocation that appear to duplicate functions included in the professional services contract. OPC argued that these salaries and the related benefits should be removed from the test year expenses. OPC’s total of salaries and bonuses related to these positions is $311,801, or $5,546 for water and $21,284 for wastewater on an allocated basis.  </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The </w:t>
      </w:r>
      <w:r w:rsidR="006D1534">
        <w:t>u</w:t>
      </w:r>
      <w:r w:rsidRPr="00A70266">
        <w:t xml:space="preserve">tility argued that the professional services contract lists some tasks to be performed under the contract, but the situation is more substance over form. According to the </w:t>
      </w:r>
      <w:r w:rsidR="006D1534">
        <w:t>u</w:t>
      </w:r>
      <w:r w:rsidRPr="00A70266">
        <w:t xml:space="preserve">tility, Ni Florida and UGF have developed a working relationship of who should perform what tasks. This working relationship has changed over the years, but remains a workable situation. The employees in the South Carolina billing and customer service office perform tasks related to all utilities, including Ni Florida, and should therefore remain allocable to all utilities. The </w:t>
      </w:r>
      <w:r w:rsidR="006D1534">
        <w:t>u</w:t>
      </w:r>
      <w:r w:rsidRPr="00A70266">
        <w:t xml:space="preserve">tility added that these employees handle new customer applications, post all customer payments received by mail or electronically, take customer service calls (shared with the Florida office), initiate customer refund checks, balance and audit customer accounts at month-end, and perform monthly billing of customers. The </w:t>
      </w:r>
      <w:r w:rsidR="006D1534">
        <w:t>u</w:t>
      </w:r>
      <w:r w:rsidRPr="00A70266">
        <w:t xml:space="preserve">tility believes these tasks are done for all utilities and the costs should remain allocable to all utilities, including Ni Florida. </w:t>
      </w:r>
    </w:p>
    <w:p w:rsidR="00A70266" w:rsidRPr="00A70266" w:rsidRDefault="00A70266" w:rsidP="00A70266">
      <w:pPr>
        <w:autoSpaceDE w:val="0"/>
        <w:autoSpaceDN w:val="0"/>
        <w:adjustRightInd w:val="0"/>
        <w:jc w:val="both"/>
        <w:rPr>
          <w:sz w:val="23"/>
          <w:szCs w:val="23"/>
        </w:rPr>
      </w:pPr>
    </w:p>
    <w:p w:rsidR="00A70266" w:rsidRPr="00A70266" w:rsidRDefault="00A70266" w:rsidP="00A70266">
      <w:pPr>
        <w:autoSpaceDE w:val="0"/>
        <w:autoSpaceDN w:val="0"/>
        <w:adjustRightInd w:val="0"/>
        <w:jc w:val="both"/>
      </w:pPr>
      <w:r w:rsidRPr="00A70266">
        <w:t xml:space="preserve">Based on the contract for professional services and the position descriptions provided during the course of this docket, staff believes many of the duties included as part of the allocated overhead costs are duplicative of services performed by UGF. Absent additional information to the contrary, staff believes the removal of all salaries and benefits related to the five corporate positions is appropriate. Staff has already recommended the removal of duplicative costs for meter reading and customer billing based on the professional services contract. The removal of </w:t>
      </w:r>
      <w:r w:rsidRPr="00A70266">
        <w:lastRenderedPageBreak/>
        <w:t>duplicative salaries and benefits here is in keeping with those previous adjustments. As a result, staff believes that it is appropriate to remove all of the expense related to the five positions in order to address the overlap of duties between the allocated positions and those provided in the professional services contract with UGF. After allocation, staff calculated that $5,678 for water and $21,786 for wastewater should be removed for salaries and benefits.</w:t>
      </w:r>
      <w:r w:rsidRPr="00A70266">
        <w:rPr>
          <w:vertAlign w:val="superscript"/>
        </w:rPr>
        <w:footnoteReference w:id="36"/>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 xml:space="preserve">Staff also identified one additional position, Vice President of Capital </w:t>
      </w:r>
      <w:proofErr w:type="gramStart"/>
      <w:r w:rsidRPr="00A70266">
        <w:t>Improvements, that</w:t>
      </w:r>
      <w:proofErr w:type="gramEnd"/>
      <w:r w:rsidRPr="00A70266">
        <w:t xml:space="preserve"> should be removed. Staff notes that the </w:t>
      </w:r>
      <w:r w:rsidR="006D1534">
        <w:t>u</w:t>
      </w:r>
      <w:r w:rsidRPr="00A70266">
        <w:t xml:space="preserve">tility excluded the salaries and benefits for one of the Vice President of Capital Improvements in its MFRs, but left a portion of the salary for the second position. Staff believes that the portion related to the second position should be removed as well. </w:t>
      </w:r>
    </w:p>
    <w:p w:rsidR="00A70266" w:rsidRPr="00A70266" w:rsidRDefault="00A70266" w:rsidP="00A70266">
      <w:pPr>
        <w:autoSpaceDE w:val="0"/>
        <w:autoSpaceDN w:val="0"/>
        <w:adjustRightInd w:val="0"/>
        <w:jc w:val="both"/>
      </w:pPr>
      <w:r w:rsidRPr="00A70266">
        <w:t>This results in reductions of $341 for water and $1,309 for wastewater.</w:t>
      </w:r>
    </w:p>
    <w:p w:rsidR="00A70266" w:rsidRPr="00A70266" w:rsidRDefault="00A70266" w:rsidP="00A70266">
      <w:pPr>
        <w:autoSpaceDE w:val="0"/>
        <w:autoSpaceDN w:val="0"/>
        <w:adjustRightInd w:val="0"/>
        <w:jc w:val="both"/>
        <w:rPr>
          <w:sz w:val="23"/>
          <w:szCs w:val="23"/>
        </w:rPr>
      </w:pPr>
    </w:p>
    <w:p w:rsidR="00A70266" w:rsidRPr="00A70266" w:rsidRDefault="00A70266" w:rsidP="00A70266">
      <w:pPr>
        <w:autoSpaceDE w:val="0"/>
        <w:autoSpaceDN w:val="0"/>
        <w:adjustRightInd w:val="0"/>
        <w:jc w:val="both"/>
      </w:pPr>
      <w:r w:rsidRPr="00A70266">
        <w:t xml:space="preserve">During the course of this rate case, the </w:t>
      </w:r>
      <w:r w:rsidR="006D1534">
        <w:t>u</w:t>
      </w:r>
      <w:r w:rsidRPr="00A70266">
        <w:t xml:space="preserve">tility provided general ledgers which indicated that Ni America paid $209,460 for consulting services related to an ERC Project. According to the </w:t>
      </w:r>
      <w:r w:rsidR="006D1534">
        <w:t>u</w:t>
      </w:r>
      <w:r w:rsidRPr="00A70266">
        <w:t xml:space="preserve">tility, the ERC Project was set up to reconcile customers in South Carolina. In response to OPC’s concerns and a staff data request, the </w:t>
      </w:r>
      <w:r w:rsidR="006D1534">
        <w:t>u</w:t>
      </w:r>
      <w:r w:rsidRPr="00A70266">
        <w:t>tility agreed that the cost should not be allocated to Ni Florida. Staff has removed the expense from the corporate overhead allocation, which results in the reduction of $3,728 for water and $14,306 for wastewater on an allocated basis.</w:t>
      </w:r>
    </w:p>
    <w:p w:rsidR="00A70266" w:rsidRPr="00A70266" w:rsidRDefault="00A70266" w:rsidP="00A70266">
      <w:pPr>
        <w:autoSpaceDE w:val="0"/>
        <w:autoSpaceDN w:val="0"/>
        <w:adjustRightInd w:val="0"/>
        <w:jc w:val="both"/>
        <w:rPr>
          <w:rFonts w:ascii="Arial" w:hAnsi="Arial" w:cs="Arial"/>
        </w:rPr>
      </w:pPr>
    </w:p>
    <w:p w:rsidR="00A70266" w:rsidRPr="00A70266" w:rsidRDefault="00A70266" w:rsidP="00A70266">
      <w:pPr>
        <w:autoSpaceDE w:val="0"/>
        <w:autoSpaceDN w:val="0"/>
        <w:adjustRightInd w:val="0"/>
        <w:jc w:val="both"/>
      </w:pPr>
      <w:r w:rsidRPr="00A70266">
        <w:t xml:space="preserve">Staff also made an adjustment to correct an error made in calculating the allocable portion of miscellaneous expense in MFR Schedule B-12. The </w:t>
      </w:r>
      <w:r w:rsidR="006D1534">
        <w:t>u</w:t>
      </w:r>
      <w:r w:rsidRPr="00A70266">
        <w:t>tility calculated that Ni Florida's portion of allocable miscellaneous expenses was $367,338. Staff calculated Ni Florida's portion of allocable miscellaneous expenses to be $367,138. Staff reduced allocable miscellaneous expense by $200, which resulted in a $45 reduction to water and a $155 reduction to wastewater.</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r w:rsidRPr="00A70266">
        <w:t>Finally, in the contractual services – testing recommendation, staff reclassified $100 related to the annual operating license which should be reclassified to miscellaneous expense. This reclassification does not impact the overall adjustment to operations and maintenance expense, just the individual balances for contractual services – testing and miscellaneous expense. As such, it is not reflected in the adjustment calculation below. Accordingly, staff recommends that miscellaneous expense be reduced by $20,460 ($10,668 + $5,678 + $341 + $3,728 + $45) for water and $39,058 ($1,502 + $21,786 + $1,309 + $14,306 + $155) for wastewater.</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rPr>
          <w:rFonts w:ascii="Arial" w:hAnsi="Arial" w:cs="Arial"/>
          <w:b/>
        </w:rPr>
      </w:pPr>
      <w:r w:rsidRPr="00A70266">
        <w:rPr>
          <w:rFonts w:ascii="Arial" w:hAnsi="Arial" w:cs="Arial"/>
          <w:b/>
        </w:rPr>
        <w:t>Summary</w:t>
      </w:r>
    </w:p>
    <w:p w:rsidR="00A70266" w:rsidRPr="00A70266" w:rsidRDefault="00A70266" w:rsidP="00A70266">
      <w:pPr>
        <w:autoSpaceDE w:val="0"/>
        <w:autoSpaceDN w:val="0"/>
        <w:adjustRightInd w:val="0"/>
        <w:jc w:val="both"/>
      </w:pPr>
      <w:r w:rsidRPr="00A70266">
        <w:t>Based on adjustments set forth above, staff recommends decreasing O&amp;M expense by $20,724 for water and $136,054 for wastewater as depicted below. Adjustments to O&amp;M expense are shown on Schedule No. 3-C.</w:t>
      </w:r>
    </w:p>
    <w:p w:rsidR="00A70266" w:rsidRPr="00A70266" w:rsidRDefault="00A70266" w:rsidP="00A70266">
      <w:pPr>
        <w:autoSpaceDE w:val="0"/>
        <w:autoSpaceDN w:val="0"/>
        <w:adjustRightInd w:val="0"/>
        <w:jc w:val="both"/>
      </w:pPr>
    </w:p>
    <w:p w:rsidR="00A70266" w:rsidRPr="00A70266" w:rsidRDefault="00A70266" w:rsidP="00A70266">
      <w:pPr>
        <w:autoSpaceDE w:val="0"/>
        <w:autoSpaceDN w:val="0"/>
        <w:adjustRightInd w:val="0"/>
        <w:jc w:val="both"/>
      </w:pPr>
    </w:p>
    <w:p w:rsidR="00A70266" w:rsidRDefault="00A70266" w:rsidP="00A70266">
      <w:pPr>
        <w:autoSpaceDE w:val="0"/>
        <w:autoSpaceDN w:val="0"/>
        <w:adjustRightInd w:val="0"/>
        <w:jc w:val="both"/>
      </w:pPr>
    </w:p>
    <w:p w:rsidR="008141A3" w:rsidRPr="00A70266" w:rsidRDefault="008141A3" w:rsidP="00A70266">
      <w:pPr>
        <w:autoSpaceDE w:val="0"/>
        <w:autoSpaceDN w:val="0"/>
        <w:adjustRightInd w:val="0"/>
        <w:jc w:val="both"/>
      </w:pPr>
    </w:p>
    <w:p w:rsidR="00A70266" w:rsidRDefault="00A70266" w:rsidP="00A70266">
      <w:pPr>
        <w:autoSpaceDE w:val="0"/>
        <w:autoSpaceDN w:val="0"/>
        <w:adjustRightInd w:val="0"/>
        <w:jc w:val="center"/>
        <w:rPr>
          <w:rFonts w:ascii="Arial" w:hAnsi="Arial" w:cs="Arial"/>
          <w:b/>
        </w:rPr>
      </w:pPr>
    </w:p>
    <w:p w:rsidR="00860887" w:rsidRDefault="00860887" w:rsidP="00A70266">
      <w:pPr>
        <w:autoSpaceDE w:val="0"/>
        <w:autoSpaceDN w:val="0"/>
        <w:adjustRightInd w:val="0"/>
        <w:jc w:val="center"/>
        <w:rPr>
          <w:rFonts w:ascii="Arial" w:hAnsi="Arial" w:cs="Arial"/>
          <w:b/>
        </w:rPr>
      </w:pPr>
    </w:p>
    <w:p w:rsidR="00860887" w:rsidRDefault="00860887" w:rsidP="00A70266">
      <w:pPr>
        <w:autoSpaceDE w:val="0"/>
        <w:autoSpaceDN w:val="0"/>
        <w:adjustRightInd w:val="0"/>
        <w:jc w:val="center"/>
        <w:rPr>
          <w:rFonts w:ascii="Arial" w:hAnsi="Arial" w:cs="Arial"/>
          <w:b/>
        </w:rPr>
      </w:pPr>
    </w:p>
    <w:p w:rsidR="008141A3" w:rsidRDefault="008141A3">
      <w:pPr>
        <w:rPr>
          <w:rFonts w:ascii="Arial" w:hAnsi="Arial" w:cs="Arial"/>
          <w:b/>
        </w:rPr>
      </w:pPr>
    </w:p>
    <w:p w:rsidR="00A70266" w:rsidRPr="00A70266" w:rsidRDefault="00A70266" w:rsidP="00A70266">
      <w:pPr>
        <w:autoSpaceDE w:val="0"/>
        <w:autoSpaceDN w:val="0"/>
        <w:adjustRightInd w:val="0"/>
        <w:jc w:val="center"/>
        <w:rPr>
          <w:rFonts w:ascii="Arial" w:hAnsi="Arial" w:cs="Arial"/>
          <w:b/>
        </w:rPr>
      </w:pPr>
      <w:r w:rsidRPr="00A70266">
        <w:rPr>
          <w:rFonts w:ascii="Arial" w:hAnsi="Arial" w:cs="Arial"/>
          <w:b/>
        </w:rPr>
        <w:t>Table 12-3</w:t>
      </w:r>
    </w:p>
    <w:p w:rsidR="00A70266" w:rsidRPr="00A70266" w:rsidRDefault="00A70266" w:rsidP="00A70266">
      <w:pPr>
        <w:autoSpaceDE w:val="0"/>
        <w:autoSpaceDN w:val="0"/>
        <w:adjustRightInd w:val="0"/>
        <w:jc w:val="center"/>
        <w:rPr>
          <w:rFonts w:ascii="Arial" w:hAnsi="Arial" w:cs="Arial"/>
          <w:b/>
        </w:rPr>
      </w:pPr>
      <w:r w:rsidRPr="00A70266">
        <w:rPr>
          <w:rFonts w:ascii="Arial" w:hAnsi="Arial" w:cs="Arial"/>
          <w:b/>
        </w:rPr>
        <w:t>Summary of Staff O&amp;M Adjustments</w:t>
      </w:r>
    </w:p>
    <w:tbl>
      <w:tblPr>
        <w:tblStyle w:val="TableGrid6"/>
        <w:tblW w:w="0" w:type="auto"/>
        <w:jc w:val="center"/>
        <w:tblInd w:w="108" w:type="dxa"/>
        <w:tblLook w:val="04A0" w:firstRow="1" w:lastRow="0" w:firstColumn="1" w:lastColumn="0" w:noHBand="0" w:noVBand="1"/>
      </w:tblPr>
      <w:tblGrid>
        <w:gridCol w:w="5400"/>
        <w:gridCol w:w="1980"/>
        <w:gridCol w:w="1980"/>
      </w:tblGrid>
      <w:tr w:rsidR="00A70266" w:rsidRPr="00A70266" w:rsidTr="00D1658D">
        <w:trPr>
          <w:jc w:val="center"/>
        </w:trPr>
        <w:tc>
          <w:tcPr>
            <w:tcW w:w="5400" w:type="dxa"/>
            <w:vAlign w:val="center"/>
          </w:tcPr>
          <w:p w:rsidR="00A70266" w:rsidRPr="009E0AC0" w:rsidRDefault="00A70266" w:rsidP="00A70266">
            <w:pPr>
              <w:autoSpaceDE w:val="0"/>
              <w:autoSpaceDN w:val="0"/>
              <w:adjustRightInd w:val="0"/>
              <w:jc w:val="center"/>
              <w:rPr>
                <w:b/>
              </w:rPr>
            </w:pPr>
            <w:r w:rsidRPr="009E0AC0">
              <w:rPr>
                <w:b/>
              </w:rPr>
              <w:t>Account</w:t>
            </w:r>
          </w:p>
        </w:tc>
        <w:tc>
          <w:tcPr>
            <w:tcW w:w="1980" w:type="dxa"/>
          </w:tcPr>
          <w:p w:rsidR="00A70266" w:rsidRPr="009E0AC0" w:rsidRDefault="00A70266" w:rsidP="00A70266">
            <w:pPr>
              <w:autoSpaceDE w:val="0"/>
              <w:autoSpaceDN w:val="0"/>
              <w:adjustRightInd w:val="0"/>
              <w:jc w:val="center"/>
              <w:rPr>
                <w:b/>
              </w:rPr>
            </w:pPr>
            <w:r w:rsidRPr="009E0AC0">
              <w:rPr>
                <w:b/>
              </w:rPr>
              <w:t>Staff Adj. to Water</w:t>
            </w:r>
          </w:p>
        </w:tc>
        <w:tc>
          <w:tcPr>
            <w:tcW w:w="1980" w:type="dxa"/>
          </w:tcPr>
          <w:p w:rsidR="00A70266" w:rsidRPr="009E0AC0" w:rsidRDefault="00A70266" w:rsidP="00A70266">
            <w:pPr>
              <w:autoSpaceDE w:val="0"/>
              <w:autoSpaceDN w:val="0"/>
              <w:adjustRightInd w:val="0"/>
              <w:jc w:val="center"/>
              <w:rPr>
                <w:b/>
              </w:rPr>
            </w:pPr>
            <w:r w:rsidRPr="009E0AC0">
              <w:rPr>
                <w:b/>
              </w:rPr>
              <w:t>Staff Adj. to Wastewater</w:t>
            </w:r>
          </w:p>
        </w:tc>
      </w:tr>
      <w:tr w:rsidR="00A70266" w:rsidRPr="00A70266" w:rsidTr="00D1658D">
        <w:trPr>
          <w:jc w:val="center"/>
        </w:trPr>
        <w:tc>
          <w:tcPr>
            <w:tcW w:w="5400" w:type="dxa"/>
          </w:tcPr>
          <w:p w:rsidR="00A70266" w:rsidRPr="00A70266" w:rsidRDefault="00A70266" w:rsidP="00A70266">
            <w:pPr>
              <w:autoSpaceDE w:val="0"/>
              <w:autoSpaceDN w:val="0"/>
              <w:adjustRightInd w:val="0"/>
              <w:jc w:val="both"/>
            </w:pPr>
            <w:r w:rsidRPr="00A70266">
              <w:t>Contractual Services – Legal (633/733)</w:t>
            </w:r>
          </w:p>
        </w:tc>
        <w:tc>
          <w:tcPr>
            <w:tcW w:w="1980" w:type="dxa"/>
          </w:tcPr>
          <w:p w:rsidR="00A70266" w:rsidRPr="00A70266" w:rsidRDefault="00A70266" w:rsidP="00A70266">
            <w:pPr>
              <w:autoSpaceDE w:val="0"/>
              <w:autoSpaceDN w:val="0"/>
              <w:adjustRightInd w:val="0"/>
              <w:jc w:val="right"/>
            </w:pPr>
            <w:r w:rsidRPr="00A70266">
              <w:t>$971</w:t>
            </w:r>
          </w:p>
        </w:tc>
        <w:tc>
          <w:tcPr>
            <w:tcW w:w="1980" w:type="dxa"/>
          </w:tcPr>
          <w:p w:rsidR="00A70266" w:rsidRPr="00A70266" w:rsidRDefault="00A70266" w:rsidP="00A70266">
            <w:pPr>
              <w:autoSpaceDE w:val="0"/>
              <w:autoSpaceDN w:val="0"/>
              <w:adjustRightInd w:val="0"/>
              <w:jc w:val="right"/>
            </w:pPr>
            <w:r w:rsidRPr="00A70266">
              <w:t>($3,345)</w:t>
            </w:r>
          </w:p>
        </w:tc>
      </w:tr>
      <w:tr w:rsidR="00A70266" w:rsidRPr="00A70266" w:rsidTr="00D1658D">
        <w:trPr>
          <w:jc w:val="center"/>
        </w:trPr>
        <w:tc>
          <w:tcPr>
            <w:tcW w:w="5400" w:type="dxa"/>
          </w:tcPr>
          <w:p w:rsidR="00A70266" w:rsidRPr="00A70266" w:rsidRDefault="00A70266" w:rsidP="00A70266">
            <w:pPr>
              <w:autoSpaceDE w:val="0"/>
              <w:autoSpaceDN w:val="0"/>
              <w:adjustRightInd w:val="0"/>
              <w:jc w:val="both"/>
            </w:pPr>
            <w:r w:rsidRPr="00A70266">
              <w:t>Contractual Services – Management Fees (634/734)</w:t>
            </w:r>
          </w:p>
        </w:tc>
        <w:tc>
          <w:tcPr>
            <w:tcW w:w="1980" w:type="dxa"/>
          </w:tcPr>
          <w:p w:rsidR="00A70266" w:rsidRPr="00A70266" w:rsidRDefault="00A70266" w:rsidP="00A70266">
            <w:pPr>
              <w:autoSpaceDE w:val="0"/>
              <w:autoSpaceDN w:val="0"/>
              <w:adjustRightInd w:val="0"/>
              <w:jc w:val="right"/>
            </w:pPr>
            <w:r w:rsidRPr="00A70266">
              <w:t>0</w:t>
            </w:r>
          </w:p>
        </w:tc>
        <w:tc>
          <w:tcPr>
            <w:tcW w:w="1980" w:type="dxa"/>
          </w:tcPr>
          <w:p w:rsidR="00A70266" w:rsidRPr="00A70266" w:rsidRDefault="00A70266" w:rsidP="00A70266">
            <w:pPr>
              <w:autoSpaceDE w:val="0"/>
              <w:autoSpaceDN w:val="0"/>
              <w:adjustRightInd w:val="0"/>
              <w:jc w:val="right"/>
            </w:pPr>
            <w:r w:rsidRPr="00A70266">
              <w:t>(1,266)</w:t>
            </w:r>
          </w:p>
        </w:tc>
      </w:tr>
      <w:tr w:rsidR="00A70266" w:rsidRPr="00A70266" w:rsidTr="00D1658D">
        <w:trPr>
          <w:jc w:val="center"/>
        </w:trPr>
        <w:tc>
          <w:tcPr>
            <w:tcW w:w="5400" w:type="dxa"/>
          </w:tcPr>
          <w:p w:rsidR="00A70266" w:rsidRPr="00A70266" w:rsidRDefault="00A70266" w:rsidP="00A70266">
            <w:pPr>
              <w:autoSpaceDE w:val="0"/>
              <w:autoSpaceDN w:val="0"/>
              <w:adjustRightInd w:val="0"/>
              <w:jc w:val="both"/>
            </w:pPr>
            <w:r w:rsidRPr="00A70266">
              <w:t>Contractual Services – Other (636/736)</w:t>
            </w:r>
          </w:p>
        </w:tc>
        <w:tc>
          <w:tcPr>
            <w:tcW w:w="1980" w:type="dxa"/>
          </w:tcPr>
          <w:p w:rsidR="00A70266" w:rsidRPr="00A70266" w:rsidRDefault="00A70266" w:rsidP="00A70266">
            <w:pPr>
              <w:autoSpaceDE w:val="0"/>
              <w:autoSpaceDN w:val="0"/>
              <w:adjustRightInd w:val="0"/>
              <w:jc w:val="right"/>
            </w:pPr>
            <w:r w:rsidRPr="00A70266">
              <w:t>(814)</w:t>
            </w:r>
          </w:p>
        </w:tc>
        <w:tc>
          <w:tcPr>
            <w:tcW w:w="1980" w:type="dxa"/>
          </w:tcPr>
          <w:p w:rsidR="00A70266" w:rsidRPr="00A70266" w:rsidRDefault="00A70266" w:rsidP="00A70266">
            <w:pPr>
              <w:autoSpaceDE w:val="0"/>
              <w:autoSpaceDN w:val="0"/>
              <w:adjustRightInd w:val="0"/>
              <w:jc w:val="right"/>
            </w:pPr>
            <w:r w:rsidRPr="00A70266">
              <w:t>(85,813)</w:t>
            </w:r>
          </w:p>
        </w:tc>
      </w:tr>
      <w:tr w:rsidR="00A70266" w:rsidRPr="00A70266" w:rsidTr="00D1658D">
        <w:trPr>
          <w:jc w:val="center"/>
        </w:trPr>
        <w:tc>
          <w:tcPr>
            <w:tcW w:w="5400" w:type="dxa"/>
          </w:tcPr>
          <w:p w:rsidR="00A70266" w:rsidRPr="00A70266" w:rsidRDefault="00A70266" w:rsidP="00A70266">
            <w:pPr>
              <w:autoSpaceDE w:val="0"/>
              <w:autoSpaceDN w:val="0"/>
              <w:adjustRightInd w:val="0"/>
              <w:jc w:val="both"/>
            </w:pPr>
            <w:r w:rsidRPr="00A70266">
              <w:t>Bad Debt Expenses (670/770)</w:t>
            </w:r>
          </w:p>
        </w:tc>
        <w:tc>
          <w:tcPr>
            <w:tcW w:w="1980" w:type="dxa"/>
          </w:tcPr>
          <w:p w:rsidR="00A70266" w:rsidRPr="00A70266" w:rsidRDefault="00A70266" w:rsidP="00A70266">
            <w:pPr>
              <w:autoSpaceDE w:val="0"/>
              <w:autoSpaceDN w:val="0"/>
              <w:adjustRightInd w:val="0"/>
              <w:jc w:val="right"/>
            </w:pPr>
            <w:r w:rsidRPr="00A70266">
              <w:t>(421)</w:t>
            </w:r>
          </w:p>
        </w:tc>
        <w:tc>
          <w:tcPr>
            <w:tcW w:w="1980" w:type="dxa"/>
          </w:tcPr>
          <w:p w:rsidR="00A70266" w:rsidRPr="00A70266" w:rsidRDefault="00A70266" w:rsidP="00A70266">
            <w:pPr>
              <w:autoSpaceDE w:val="0"/>
              <w:autoSpaceDN w:val="0"/>
              <w:adjustRightInd w:val="0"/>
              <w:jc w:val="right"/>
            </w:pPr>
            <w:r w:rsidRPr="00A70266">
              <w:t>(6,572)</w:t>
            </w:r>
          </w:p>
        </w:tc>
      </w:tr>
      <w:tr w:rsidR="00A70266" w:rsidRPr="00A70266" w:rsidTr="00D1658D">
        <w:trPr>
          <w:jc w:val="center"/>
        </w:trPr>
        <w:tc>
          <w:tcPr>
            <w:tcW w:w="5400" w:type="dxa"/>
          </w:tcPr>
          <w:p w:rsidR="00A70266" w:rsidRPr="00A70266" w:rsidRDefault="00A70266" w:rsidP="00A70266">
            <w:pPr>
              <w:autoSpaceDE w:val="0"/>
              <w:autoSpaceDN w:val="0"/>
              <w:adjustRightInd w:val="0"/>
              <w:jc w:val="both"/>
            </w:pPr>
            <w:r w:rsidRPr="00A70266">
              <w:t>Miscellaneous Expense (675/775)</w:t>
            </w:r>
          </w:p>
        </w:tc>
        <w:tc>
          <w:tcPr>
            <w:tcW w:w="1980" w:type="dxa"/>
          </w:tcPr>
          <w:p w:rsidR="00A70266" w:rsidRPr="001C77F9" w:rsidRDefault="00A70266" w:rsidP="00A70266">
            <w:pPr>
              <w:autoSpaceDE w:val="0"/>
              <w:autoSpaceDN w:val="0"/>
              <w:adjustRightInd w:val="0"/>
              <w:jc w:val="right"/>
              <w:rPr>
                <w:u w:val="single"/>
              </w:rPr>
            </w:pPr>
            <w:r w:rsidRPr="001C77F9">
              <w:rPr>
                <w:u w:val="single"/>
              </w:rPr>
              <w:t>(20,460)</w:t>
            </w:r>
          </w:p>
        </w:tc>
        <w:tc>
          <w:tcPr>
            <w:tcW w:w="1980" w:type="dxa"/>
          </w:tcPr>
          <w:p w:rsidR="00A70266" w:rsidRPr="001C77F9" w:rsidRDefault="00A70266" w:rsidP="00A70266">
            <w:pPr>
              <w:autoSpaceDE w:val="0"/>
              <w:autoSpaceDN w:val="0"/>
              <w:adjustRightInd w:val="0"/>
              <w:jc w:val="right"/>
              <w:rPr>
                <w:u w:val="single"/>
              </w:rPr>
            </w:pPr>
            <w:r w:rsidRPr="001C77F9">
              <w:rPr>
                <w:u w:val="single"/>
              </w:rPr>
              <w:t>(39,058)</w:t>
            </w:r>
          </w:p>
        </w:tc>
      </w:tr>
      <w:tr w:rsidR="00A70266" w:rsidRPr="00A70266" w:rsidTr="00D1658D">
        <w:trPr>
          <w:trHeight w:val="332"/>
          <w:jc w:val="center"/>
        </w:trPr>
        <w:tc>
          <w:tcPr>
            <w:tcW w:w="5400" w:type="dxa"/>
            <w:vAlign w:val="center"/>
          </w:tcPr>
          <w:p w:rsidR="00A70266" w:rsidRPr="009E0AC0" w:rsidRDefault="00A70266" w:rsidP="00A70266">
            <w:pPr>
              <w:autoSpaceDE w:val="0"/>
              <w:autoSpaceDN w:val="0"/>
              <w:adjustRightInd w:val="0"/>
              <w:rPr>
                <w:b/>
              </w:rPr>
            </w:pPr>
            <w:r w:rsidRPr="009E0AC0">
              <w:rPr>
                <w:b/>
              </w:rPr>
              <w:t>Total</w:t>
            </w:r>
          </w:p>
        </w:tc>
        <w:tc>
          <w:tcPr>
            <w:tcW w:w="1980" w:type="dxa"/>
            <w:vAlign w:val="center"/>
          </w:tcPr>
          <w:p w:rsidR="00A70266" w:rsidRPr="001C77F9" w:rsidRDefault="00A70266" w:rsidP="00A70266">
            <w:pPr>
              <w:autoSpaceDE w:val="0"/>
              <w:autoSpaceDN w:val="0"/>
              <w:adjustRightInd w:val="0"/>
              <w:jc w:val="right"/>
              <w:rPr>
                <w:u w:val="double"/>
              </w:rPr>
            </w:pPr>
            <w:r w:rsidRPr="001C77F9">
              <w:rPr>
                <w:u w:val="double"/>
              </w:rPr>
              <w:t>($20,724)</w:t>
            </w:r>
          </w:p>
        </w:tc>
        <w:tc>
          <w:tcPr>
            <w:tcW w:w="1980" w:type="dxa"/>
            <w:vAlign w:val="center"/>
          </w:tcPr>
          <w:p w:rsidR="00A70266" w:rsidRPr="001C77F9" w:rsidRDefault="00A70266" w:rsidP="00A70266">
            <w:pPr>
              <w:autoSpaceDE w:val="0"/>
              <w:autoSpaceDN w:val="0"/>
              <w:adjustRightInd w:val="0"/>
              <w:jc w:val="right"/>
              <w:rPr>
                <w:u w:val="double"/>
              </w:rPr>
            </w:pPr>
            <w:r w:rsidRPr="001C77F9">
              <w:rPr>
                <w:u w:val="double"/>
              </w:rPr>
              <w:t>($136,054)</w:t>
            </w:r>
          </w:p>
        </w:tc>
      </w:tr>
    </w:tbl>
    <w:p w:rsidR="00216D1D" w:rsidRPr="005C2365" w:rsidRDefault="00216D1D" w:rsidP="00A70266">
      <w:pPr>
        <w:autoSpaceDE w:val="0"/>
        <w:autoSpaceDN w:val="0"/>
        <w:adjustRightInd w:val="0"/>
        <w:jc w:val="both"/>
        <w:rPr>
          <w:rFonts w:cstheme="minorHAnsi"/>
        </w:rPr>
      </w:pPr>
    </w:p>
    <w:p w:rsidR="00FE7E80" w:rsidRDefault="00FE7E80">
      <w:pPr>
        <w:pStyle w:val="BodyText"/>
      </w:pPr>
    </w:p>
    <w:p w:rsidR="00FE7E80" w:rsidRDefault="00FE7E8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13</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464661210"/>
      <w:r w:rsidR="007F50C0">
        <w:rPr>
          <w:noProof/>
        </w:rPr>
        <w:instrText>13</w:instrText>
      </w:r>
      <w:r>
        <w:fldChar w:fldCharType="end"/>
      </w:r>
      <w:r>
        <w:tab/>
      </w:r>
      <w:r w:rsidR="008F36C4">
        <w:instrText>Revenue Requirement</w:instrText>
      </w:r>
      <w:bookmarkEnd w:id="29"/>
      <w:r>
        <w:instrText xml:space="preserve">" \l 1 </w:instrText>
      </w:r>
      <w:r>
        <w:fldChar w:fldCharType="end"/>
      </w:r>
      <w:r>
        <w:t> </w:t>
      </w:r>
    </w:p>
    <w:p w:rsidR="00FE7E80" w:rsidRDefault="00FE7E80">
      <w:pPr>
        <w:pStyle w:val="BodyText"/>
      </w:pPr>
      <w:r>
        <w:t xml:space="preserve"> What is the appropriate revenue requirement for the test year ended in December 31, </w:t>
      </w:r>
      <w:r w:rsidR="005744C1">
        <w:t>2015?</w:t>
      </w:r>
    </w:p>
    <w:p w:rsidR="00FE7E80" w:rsidRPr="004C3641" w:rsidRDefault="00FE7E80">
      <w:pPr>
        <w:pStyle w:val="IssueSubsectionHeading"/>
        <w:rPr>
          <w:vanish/>
          <w:specVanish/>
        </w:rPr>
      </w:pPr>
      <w:r w:rsidRPr="004C3641">
        <w:t>Recommendation: </w:t>
      </w:r>
    </w:p>
    <w:p w:rsidR="00A70266" w:rsidRPr="00A70266" w:rsidRDefault="00FE7E80" w:rsidP="00A70266">
      <w:pPr>
        <w:pStyle w:val="BodyText"/>
        <w:rPr>
          <w:highlight w:val="yellow"/>
        </w:rPr>
      </w:pPr>
      <w:r>
        <w:t> </w:t>
      </w:r>
      <w:r w:rsidR="00CF5B2E" w:rsidRPr="00E920BB">
        <w:t> </w:t>
      </w:r>
      <w:r w:rsidR="00A70266" w:rsidRPr="00A70266">
        <w:t xml:space="preserve">Staff recommends the following revenue requirement be approved.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15"/>
        <w:gridCol w:w="1915"/>
        <w:gridCol w:w="1915"/>
        <w:gridCol w:w="1916"/>
      </w:tblGrid>
      <w:tr w:rsidR="00A70266" w:rsidRPr="00A70266" w:rsidTr="00D1658D">
        <w:trPr>
          <w:trHeight w:val="552"/>
        </w:trPr>
        <w:tc>
          <w:tcPr>
            <w:tcW w:w="1807" w:type="dxa"/>
            <w:shd w:val="clear" w:color="auto" w:fill="auto"/>
            <w:vAlign w:val="center"/>
          </w:tcPr>
          <w:p w:rsidR="00A70266" w:rsidRPr="00A70266" w:rsidRDefault="00A70266" w:rsidP="00A70266">
            <w:pPr>
              <w:jc w:val="center"/>
            </w:pPr>
          </w:p>
        </w:tc>
        <w:tc>
          <w:tcPr>
            <w:tcW w:w="1915" w:type="dxa"/>
            <w:shd w:val="clear" w:color="auto" w:fill="auto"/>
            <w:vAlign w:val="center"/>
          </w:tcPr>
          <w:p w:rsidR="00A70266" w:rsidRPr="00A70266" w:rsidRDefault="00A70266" w:rsidP="00A70266">
            <w:pPr>
              <w:jc w:val="center"/>
            </w:pPr>
            <w:r w:rsidRPr="00A70266">
              <w:t>Test Year Revenue</w:t>
            </w:r>
          </w:p>
        </w:tc>
        <w:tc>
          <w:tcPr>
            <w:tcW w:w="1915" w:type="dxa"/>
            <w:shd w:val="clear" w:color="auto" w:fill="auto"/>
            <w:vAlign w:val="center"/>
          </w:tcPr>
          <w:p w:rsidR="00A70266" w:rsidRPr="00A70266" w:rsidRDefault="00A70266" w:rsidP="00A70266">
            <w:pPr>
              <w:jc w:val="center"/>
            </w:pPr>
            <w:r w:rsidRPr="00A70266">
              <w:t>$ Increase/ (Decrease)</w:t>
            </w:r>
          </w:p>
        </w:tc>
        <w:tc>
          <w:tcPr>
            <w:tcW w:w="1915" w:type="dxa"/>
            <w:shd w:val="clear" w:color="auto" w:fill="auto"/>
            <w:vAlign w:val="center"/>
          </w:tcPr>
          <w:p w:rsidR="00A70266" w:rsidRPr="00A70266" w:rsidRDefault="00A70266" w:rsidP="00A70266">
            <w:pPr>
              <w:jc w:val="center"/>
            </w:pPr>
            <w:r w:rsidRPr="00A70266">
              <w:t>Revenue Requirement</w:t>
            </w:r>
          </w:p>
        </w:tc>
        <w:tc>
          <w:tcPr>
            <w:tcW w:w="1916" w:type="dxa"/>
            <w:shd w:val="clear" w:color="auto" w:fill="auto"/>
            <w:vAlign w:val="center"/>
          </w:tcPr>
          <w:p w:rsidR="00A70266" w:rsidRPr="00A70266" w:rsidRDefault="00A70266" w:rsidP="00A70266">
            <w:pPr>
              <w:jc w:val="center"/>
            </w:pPr>
            <w:r w:rsidRPr="00A70266">
              <w:t>% Increase/ (Decrease)</w:t>
            </w:r>
          </w:p>
        </w:tc>
      </w:tr>
      <w:tr w:rsidR="00A70266" w:rsidRPr="00A70266" w:rsidTr="00D1658D">
        <w:trPr>
          <w:trHeight w:val="431"/>
        </w:trPr>
        <w:tc>
          <w:tcPr>
            <w:tcW w:w="1807" w:type="dxa"/>
            <w:shd w:val="clear" w:color="auto" w:fill="auto"/>
            <w:vAlign w:val="center"/>
          </w:tcPr>
          <w:p w:rsidR="00A70266" w:rsidRPr="00A70266" w:rsidRDefault="00A70266" w:rsidP="00A70266">
            <w:pPr>
              <w:jc w:val="center"/>
            </w:pPr>
            <w:r w:rsidRPr="00A70266">
              <w:t>Water</w:t>
            </w:r>
          </w:p>
        </w:tc>
        <w:tc>
          <w:tcPr>
            <w:tcW w:w="1915" w:type="dxa"/>
            <w:shd w:val="clear" w:color="auto" w:fill="auto"/>
            <w:vAlign w:val="center"/>
          </w:tcPr>
          <w:p w:rsidR="00A70266" w:rsidRPr="00A70266" w:rsidRDefault="00A70266" w:rsidP="00A70266">
            <w:pPr>
              <w:jc w:val="center"/>
            </w:pPr>
            <w:r w:rsidRPr="00A70266">
              <w:t>$224,606</w:t>
            </w:r>
          </w:p>
        </w:tc>
        <w:tc>
          <w:tcPr>
            <w:tcW w:w="1915" w:type="dxa"/>
            <w:shd w:val="clear" w:color="auto" w:fill="auto"/>
            <w:vAlign w:val="center"/>
          </w:tcPr>
          <w:p w:rsidR="00A70266" w:rsidRPr="00A70266" w:rsidRDefault="00A70266" w:rsidP="00A70266">
            <w:pPr>
              <w:jc w:val="center"/>
            </w:pPr>
            <w:r w:rsidRPr="00A70266">
              <w:t>$65,265</w:t>
            </w:r>
          </w:p>
        </w:tc>
        <w:tc>
          <w:tcPr>
            <w:tcW w:w="1915" w:type="dxa"/>
            <w:shd w:val="clear" w:color="auto" w:fill="auto"/>
            <w:vAlign w:val="center"/>
          </w:tcPr>
          <w:p w:rsidR="00A70266" w:rsidRPr="00A70266" w:rsidRDefault="00A70266" w:rsidP="00A70266">
            <w:pPr>
              <w:jc w:val="center"/>
            </w:pPr>
            <w:r w:rsidRPr="00A70266">
              <w:t>$289,872</w:t>
            </w:r>
          </w:p>
        </w:tc>
        <w:tc>
          <w:tcPr>
            <w:tcW w:w="1916" w:type="dxa"/>
            <w:shd w:val="clear" w:color="auto" w:fill="auto"/>
            <w:vAlign w:val="center"/>
          </w:tcPr>
          <w:p w:rsidR="00A70266" w:rsidRPr="00A70266" w:rsidRDefault="00A70266" w:rsidP="00A70266">
            <w:pPr>
              <w:jc w:val="center"/>
            </w:pPr>
            <w:r w:rsidRPr="00A70266">
              <w:t>29.06%</w:t>
            </w:r>
          </w:p>
        </w:tc>
      </w:tr>
      <w:tr w:rsidR="00A70266" w:rsidRPr="00A70266" w:rsidTr="00D1658D">
        <w:trPr>
          <w:trHeight w:val="431"/>
        </w:trPr>
        <w:tc>
          <w:tcPr>
            <w:tcW w:w="1807" w:type="dxa"/>
            <w:shd w:val="clear" w:color="auto" w:fill="auto"/>
            <w:vAlign w:val="center"/>
          </w:tcPr>
          <w:p w:rsidR="00A70266" w:rsidRPr="00A70266" w:rsidRDefault="00A70266" w:rsidP="00A70266">
            <w:pPr>
              <w:jc w:val="center"/>
            </w:pPr>
            <w:r w:rsidRPr="00A70266">
              <w:t>Wastewater</w:t>
            </w:r>
          </w:p>
        </w:tc>
        <w:tc>
          <w:tcPr>
            <w:tcW w:w="1915" w:type="dxa"/>
            <w:shd w:val="clear" w:color="auto" w:fill="auto"/>
            <w:vAlign w:val="center"/>
          </w:tcPr>
          <w:p w:rsidR="00A70266" w:rsidRPr="00A70266" w:rsidRDefault="00A70266" w:rsidP="0099537B">
            <w:pPr>
              <w:jc w:val="center"/>
            </w:pPr>
            <w:r w:rsidRPr="00A70266">
              <w:t>$1,9</w:t>
            </w:r>
            <w:r w:rsidR="0099537B">
              <w:t>5</w:t>
            </w:r>
            <w:r w:rsidRPr="00A70266">
              <w:t>2,</w:t>
            </w:r>
            <w:r w:rsidR="0099537B">
              <w:t>4</w:t>
            </w:r>
            <w:r w:rsidRPr="00A70266">
              <w:t>77</w:t>
            </w:r>
          </w:p>
        </w:tc>
        <w:tc>
          <w:tcPr>
            <w:tcW w:w="1915" w:type="dxa"/>
            <w:shd w:val="clear" w:color="auto" w:fill="auto"/>
            <w:vAlign w:val="center"/>
          </w:tcPr>
          <w:p w:rsidR="00A70266" w:rsidRPr="00A70266" w:rsidRDefault="00A70266" w:rsidP="0099537B">
            <w:pPr>
              <w:jc w:val="center"/>
            </w:pPr>
            <w:r w:rsidRPr="00A70266">
              <w:t>$3</w:t>
            </w:r>
            <w:r w:rsidR="0099537B">
              <w:t>11</w:t>
            </w:r>
            <w:r w:rsidRPr="00A70266">
              <w:t>,</w:t>
            </w:r>
            <w:r w:rsidR="0099537B">
              <w:t>0</w:t>
            </w:r>
            <w:r w:rsidRPr="00A70266">
              <w:t>50</w:t>
            </w:r>
          </w:p>
        </w:tc>
        <w:tc>
          <w:tcPr>
            <w:tcW w:w="1915" w:type="dxa"/>
            <w:shd w:val="clear" w:color="auto" w:fill="auto"/>
            <w:vAlign w:val="center"/>
          </w:tcPr>
          <w:p w:rsidR="00A70266" w:rsidRPr="00A70266" w:rsidRDefault="00A70266" w:rsidP="00A70266">
            <w:pPr>
              <w:jc w:val="center"/>
            </w:pPr>
            <w:r w:rsidRPr="00A70266">
              <w:t>$2,263,527</w:t>
            </w:r>
          </w:p>
        </w:tc>
        <w:tc>
          <w:tcPr>
            <w:tcW w:w="1916" w:type="dxa"/>
            <w:shd w:val="clear" w:color="auto" w:fill="auto"/>
            <w:vAlign w:val="center"/>
          </w:tcPr>
          <w:p w:rsidR="00A70266" w:rsidRPr="00A70266" w:rsidRDefault="0099537B" w:rsidP="0099537B">
            <w:pPr>
              <w:jc w:val="center"/>
            </w:pPr>
            <w:r>
              <w:t>15</w:t>
            </w:r>
            <w:r w:rsidR="00A70266" w:rsidRPr="00A70266">
              <w:t>.</w:t>
            </w:r>
            <w:r>
              <w:t>93</w:t>
            </w:r>
            <w:r w:rsidR="00A70266" w:rsidRPr="00A70266">
              <w:t>%</w:t>
            </w:r>
          </w:p>
        </w:tc>
      </w:tr>
    </w:tbl>
    <w:p w:rsidR="00FE7E80" w:rsidRDefault="00FE7E80" w:rsidP="00A70266">
      <w:pPr>
        <w:pStyle w:val="BodyText"/>
      </w:pPr>
      <w:r>
        <w:t xml:space="preserve"> (Brown)</w:t>
      </w:r>
    </w:p>
    <w:p w:rsidR="00FE7E80" w:rsidRPr="004C3641" w:rsidRDefault="00FE7E80">
      <w:pPr>
        <w:pStyle w:val="IssueSubsectionHeading"/>
        <w:rPr>
          <w:vanish/>
          <w:specVanish/>
        </w:rPr>
      </w:pPr>
      <w:r w:rsidRPr="004C3641">
        <w:t>Staff Analysis: </w:t>
      </w:r>
    </w:p>
    <w:p w:rsidR="00A70266" w:rsidRDefault="00FE7E80" w:rsidP="00A70266">
      <w:pPr>
        <w:pStyle w:val="BodyText"/>
        <w:spacing w:after="0"/>
      </w:pPr>
      <w:r>
        <w:t> </w:t>
      </w:r>
      <w:r w:rsidR="00A70266">
        <w:t>In its filing, Ni Florida requested revenue requirements to generate annual revenue of $322,091 for water and $2,404,738 for wastewater. These requested revenue requirements represent revenue increases of $87,150, or approximately 39 percent, for water, and $475,000, or approximately 24.60 percent, for wastewater.</w:t>
      </w:r>
    </w:p>
    <w:p w:rsidR="00A70266" w:rsidRDefault="00A70266" w:rsidP="00A70266">
      <w:pPr>
        <w:pStyle w:val="BodyText"/>
        <w:spacing w:after="0"/>
      </w:pPr>
    </w:p>
    <w:p w:rsidR="00CF5B2E" w:rsidRPr="00CF5B2E" w:rsidRDefault="00A70266" w:rsidP="00A70266">
      <w:pPr>
        <w:pStyle w:val="BodyText"/>
        <w:spacing w:after="0"/>
        <w:rPr>
          <w:b/>
          <w:i/>
          <w:highlight w:val="yellow"/>
        </w:rPr>
      </w:pPr>
      <w:r>
        <w:t>Consistent with staff’s recommendations concerning rate base, cost of capital, and operating income issues, staff recommends approval of rates designed to generate a water revenue requirement of $289,872, and a wastewater revenue requirement of $2,263,527. Staff’s recommended water revenue requirement exceeds staff’s adjusted test year revenue by $65,265, or 29.06 percent</w:t>
      </w:r>
      <w:r w:rsidR="000F7640">
        <w:t xml:space="preserve">. </w:t>
      </w:r>
      <w:r>
        <w:t>Staff’s recommended wastewater revenue requirement exceeds staff’s ad</w:t>
      </w:r>
      <w:r w:rsidR="0099537B">
        <w:t>justed test year revenue by $311</w:t>
      </w:r>
      <w:r>
        <w:t>,</w:t>
      </w:r>
      <w:r w:rsidR="0099537B">
        <w:t>0</w:t>
      </w:r>
      <w:r>
        <w:t>50, or 1</w:t>
      </w:r>
      <w:r w:rsidR="0099537B">
        <w:t>5</w:t>
      </w:r>
      <w:r>
        <w:t>.</w:t>
      </w:r>
      <w:r w:rsidR="0099537B">
        <w:t>93</w:t>
      </w:r>
      <w:r>
        <w:t xml:space="preserve"> percent. These recommended pre-repression revenue requirements will allow the </w:t>
      </w:r>
      <w:r w:rsidR="006D1534">
        <w:t>u</w:t>
      </w:r>
      <w:r>
        <w:t xml:space="preserve">tility the opportunity to recover its expenses and earn </w:t>
      </w:r>
      <w:proofErr w:type="gramStart"/>
      <w:r>
        <w:t>a</w:t>
      </w:r>
      <w:proofErr w:type="gramEnd"/>
      <w:r>
        <w:t xml:space="preserve"> 8.11 percent return on its investment in water and wastewater rate base.</w:t>
      </w:r>
    </w:p>
    <w:p w:rsidR="00FE7E80" w:rsidRDefault="00FE7E80">
      <w:pPr>
        <w:pStyle w:val="BodyText"/>
      </w:pPr>
    </w:p>
    <w:p w:rsidR="00FE7E80" w:rsidRDefault="00FE7E8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14</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464661211"/>
      <w:r w:rsidR="007F50C0">
        <w:rPr>
          <w:noProof/>
        </w:rPr>
        <w:instrText>14</w:instrText>
      </w:r>
      <w:r>
        <w:fldChar w:fldCharType="end"/>
      </w:r>
      <w:r>
        <w:tab/>
        <w:instrText>Appropriate Rates and Rate Structures</w:instrText>
      </w:r>
      <w:bookmarkEnd w:id="30"/>
      <w:r>
        <w:instrText xml:space="preserve">" \l 1 </w:instrText>
      </w:r>
      <w:r>
        <w:fldChar w:fldCharType="end"/>
      </w:r>
      <w:r>
        <w:t> </w:t>
      </w:r>
    </w:p>
    <w:p w:rsidR="00FE7E80" w:rsidRDefault="00FE7E80">
      <w:pPr>
        <w:pStyle w:val="BodyText"/>
      </w:pPr>
      <w:r>
        <w:t> What are the appropriate rate structures and rates for Ni Florida's water and wastewater systems?</w:t>
      </w:r>
    </w:p>
    <w:p w:rsidR="00FE7E80" w:rsidRPr="004C3641" w:rsidRDefault="00FE7E80">
      <w:pPr>
        <w:pStyle w:val="IssueSubsectionHeading"/>
        <w:rPr>
          <w:vanish/>
          <w:specVanish/>
        </w:rPr>
      </w:pPr>
      <w:r w:rsidRPr="004C3641">
        <w:t>Recommendation: </w:t>
      </w:r>
    </w:p>
    <w:p w:rsidR="00FE7E80" w:rsidRDefault="00FE7E80">
      <w:pPr>
        <w:pStyle w:val="BodyText"/>
      </w:pPr>
      <w:r>
        <w:t> </w:t>
      </w:r>
      <w:r w:rsidR="003512B6">
        <w:t xml:space="preserve">The recommended rate structures and monthly water and wastewater rates are shown on Nos. 4-A and 4-B. </w:t>
      </w:r>
      <w:r w:rsidR="00902E13" w:rsidRPr="0045778A">
        <w:t xml:space="preserve">The </w:t>
      </w:r>
      <w:r w:rsidR="0025783A">
        <w:t>u</w:t>
      </w:r>
      <w:r w:rsidR="00902E13" w:rsidRPr="0045778A">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w:t>
      </w:r>
      <w:r w:rsidR="0025783A">
        <w:t>u</w:t>
      </w:r>
      <w:r w:rsidR="00902E13" w:rsidRPr="0045778A">
        <w:t>tility should provide proof of the date notice was given within 10 days of the date of the notice.</w:t>
      </w:r>
      <w:r w:rsidR="003512B6">
        <w:t xml:space="preserve"> (Bruce</w:t>
      </w:r>
      <w:r>
        <w:t>)</w:t>
      </w:r>
    </w:p>
    <w:p w:rsidR="00FE7E80" w:rsidRPr="004C3641" w:rsidRDefault="00FE7E80">
      <w:pPr>
        <w:pStyle w:val="IssueSubsectionHeading"/>
        <w:rPr>
          <w:vanish/>
          <w:specVanish/>
        </w:rPr>
      </w:pPr>
      <w:r w:rsidRPr="004C3641">
        <w:t>Staff Analysis: </w:t>
      </w:r>
    </w:p>
    <w:p w:rsidR="0046764B" w:rsidRDefault="00FE7E80">
      <w:pPr>
        <w:pStyle w:val="BodyText"/>
      </w:pPr>
      <w:r>
        <w:t> </w:t>
      </w:r>
    </w:p>
    <w:p w:rsidR="005568BA" w:rsidRDefault="005568BA" w:rsidP="005568BA">
      <w:pPr>
        <w:pStyle w:val="BodyText"/>
        <w:spacing w:after="0"/>
        <w:rPr>
          <w:rFonts w:ascii="Arial" w:hAnsi="Arial" w:cs="Arial"/>
          <w:b/>
        </w:rPr>
      </w:pPr>
      <w:r>
        <w:rPr>
          <w:rFonts w:ascii="Arial" w:hAnsi="Arial" w:cs="Arial"/>
          <w:b/>
        </w:rPr>
        <w:t>W</w:t>
      </w:r>
      <w:r w:rsidR="0046764B" w:rsidRPr="0046764B">
        <w:rPr>
          <w:rFonts w:ascii="Arial" w:hAnsi="Arial" w:cs="Arial"/>
          <w:b/>
        </w:rPr>
        <w:t>ater Rates</w:t>
      </w:r>
    </w:p>
    <w:p w:rsidR="00FE7E80" w:rsidRDefault="0093222D">
      <w:pPr>
        <w:pStyle w:val="BodyText"/>
      </w:pPr>
      <w:r>
        <w:t>Ni Florida’s water system is located in Lee County within the South Florida Water Management District</w:t>
      </w:r>
      <w:r w:rsidR="000F7640">
        <w:t xml:space="preserve">. </w:t>
      </w:r>
      <w:r>
        <w:t xml:space="preserve">The utility buys bulk water from Lee County and resells the water to a mobile home and RV park. </w:t>
      </w:r>
      <w:r w:rsidR="00960FC5">
        <w:t xml:space="preserve">Approximately 30 percent of the residential customer bills during the test year had zero </w:t>
      </w:r>
      <w:r w:rsidR="0025783A">
        <w:t>gallons</w:t>
      </w:r>
      <w:r w:rsidR="00960FC5">
        <w:t xml:space="preserve"> during the test year</w:t>
      </w:r>
      <w:r w:rsidR="0025783A">
        <w:t>,</w:t>
      </w:r>
      <w:r w:rsidR="00960FC5">
        <w:t xml:space="preserve"> indicating a seasonal customer base</w:t>
      </w:r>
      <w:r w:rsidR="000F7640">
        <w:t xml:space="preserve">. </w:t>
      </w:r>
      <w:r w:rsidR="00960FC5">
        <w:t>The average residential water demand was 1,442 gallons per month. The average water demand excluding zero gallon bills is 2,056 per month</w:t>
      </w:r>
      <w:r w:rsidR="000F7640">
        <w:t xml:space="preserve">. </w:t>
      </w:r>
      <w:r w:rsidR="00587B3C">
        <w:t xml:space="preserve">The utility’s current rate structure consists of a base facility charge (BFC) and three-tier inclining </w:t>
      </w:r>
      <w:proofErr w:type="gramStart"/>
      <w:r w:rsidR="00587B3C">
        <w:t>block</w:t>
      </w:r>
      <w:proofErr w:type="gramEnd"/>
      <w:r w:rsidR="00587B3C">
        <w:t xml:space="preserve"> rate structure</w:t>
      </w:r>
      <w:r w:rsidR="000F7640">
        <w:t xml:space="preserve">. </w:t>
      </w:r>
      <w:r w:rsidR="00587B3C">
        <w:t>The rate blocks are (1) 0-3</w:t>
      </w:r>
      <w:r w:rsidR="005B70EF">
        <w:t>,000 gallons; (2) 3,001-6,000 gallons; and (3) all usage in excess of 6,000 gallons per month</w:t>
      </w:r>
      <w:r w:rsidR="000F7640">
        <w:t xml:space="preserve">. </w:t>
      </w:r>
      <w:r w:rsidR="005B70EF">
        <w:t xml:space="preserve">The RV </w:t>
      </w:r>
      <w:proofErr w:type="gramStart"/>
      <w:r w:rsidR="005B70EF">
        <w:t>park’s</w:t>
      </w:r>
      <w:proofErr w:type="gramEnd"/>
      <w:r w:rsidR="005B70EF">
        <w:t xml:space="preserve"> rate structure consists of a </w:t>
      </w:r>
      <w:r w:rsidR="0025783A">
        <w:t>BFC</w:t>
      </w:r>
      <w:r w:rsidR="005B70EF">
        <w:t xml:space="preserve"> based on </w:t>
      </w:r>
      <w:r w:rsidR="0025783A">
        <w:t xml:space="preserve">104.76 equivalent residential connections (ERC), which </w:t>
      </w:r>
      <w:r w:rsidR="005B70EF">
        <w:t xml:space="preserve">was approved in a settlement </w:t>
      </w:r>
      <w:r w:rsidR="00EF2192">
        <w:t>in Docket No. 050819-WU.</w:t>
      </w:r>
      <w:r w:rsidR="00EF2192">
        <w:rPr>
          <w:rStyle w:val="FootnoteReference"/>
        </w:rPr>
        <w:footnoteReference w:id="37"/>
      </w:r>
      <w:r w:rsidR="00EF2192">
        <w:t xml:space="preserve"> </w:t>
      </w:r>
      <w:r w:rsidR="00B34B3C">
        <w:t>All other g</w:t>
      </w:r>
      <w:r w:rsidR="00EF2192">
        <w:t>eneral service customers are billed based on a BFC and gallonage charge.</w:t>
      </w:r>
      <w:r w:rsidR="008472F4">
        <w:t xml:space="preserve"> In addition, the utility has a per incident charge for private fire protection.</w:t>
      </w:r>
    </w:p>
    <w:p w:rsidR="007A215A" w:rsidRDefault="00ED0C9B">
      <w:pPr>
        <w:pStyle w:val="IssueHeading"/>
        <w:rPr>
          <w:rFonts w:ascii="Times New Roman" w:hAnsi="Times New Roman" w:cs="Times New Roman"/>
          <w:b w:val="0"/>
          <w:i w:val="0"/>
        </w:rPr>
      </w:pPr>
      <w:r w:rsidRPr="00ED0C9B">
        <w:rPr>
          <w:rFonts w:ascii="Times New Roman" w:hAnsi="Times New Roman" w:cs="Times New Roman"/>
          <w:b w:val="0"/>
          <w:i w:val="0"/>
        </w:rPr>
        <w:t xml:space="preserve">Staff performed an analysis of the </w:t>
      </w:r>
      <w:r w:rsidR="0025783A">
        <w:rPr>
          <w:rFonts w:ascii="Times New Roman" w:hAnsi="Times New Roman" w:cs="Times New Roman"/>
          <w:b w:val="0"/>
          <w:i w:val="0"/>
        </w:rPr>
        <w:t>u</w:t>
      </w:r>
      <w:r w:rsidRPr="00ED0C9B">
        <w:rPr>
          <w:rFonts w:ascii="Times New Roman" w:hAnsi="Times New Roman" w:cs="Times New Roman"/>
          <w:b w:val="0"/>
          <w:i w:val="0"/>
        </w:rPr>
        <w:t>tility’s billing data in order to evaluate the appropriate rate structure for the residential water customers</w:t>
      </w:r>
      <w:r w:rsidR="000F7640">
        <w:rPr>
          <w:rFonts w:ascii="Times New Roman" w:hAnsi="Times New Roman" w:cs="Times New Roman"/>
          <w:b w:val="0"/>
          <w:i w:val="0"/>
        </w:rPr>
        <w:t xml:space="preserve">. </w:t>
      </w:r>
      <w:r w:rsidRPr="00ED0C9B">
        <w:rPr>
          <w:rFonts w:ascii="Times New Roman" w:hAnsi="Times New Roman" w:cs="Times New Roman"/>
          <w:b w:val="0"/>
          <w:i w:val="0"/>
        </w:rPr>
        <w:t xml:space="preserve">The goal of the evaluation was to select the rate design parameters that: 1) produce the recommended revenue requirement; 2) equitably distribute cost recovery among the </w:t>
      </w:r>
      <w:r w:rsidR="0025783A">
        <w:rPr>
          <w:rFonts w:ascii="Times New Roman" w:hAnsi="Times New Roman" w:cs="Times New Roman"/>
          <w:b w:val="0"/>
          <w:i w:val="0"/>
        </w:rPr>
        <w:t>u</w:t>
      </w:r>
      <w:r w:rsidRPr="00ED0C9B">
        <w:rPr>
          <w:rFonts w:ascii="Times New Roman" w:hAnsi="Times New Roman" w:cs="Times New Roman"/>
          <w:b w:val="0"/>
          <w:i w:val="0"/>
        </w:rPr>
        <w:t>tility’s customers; 3) establish the appropriate non-discretionary usage threshold for restricting repression; and 4) implement, where appropriate, water conserving rate structures consistent with Commission practice.</w:t>
      </w:r>
    </w:p>
    <w:p w:rsidR="0025783A" w:rsidRDefault="0025783A" w:rsidP="004F0D53">
      <w:pPr>
        <w:jc w:val="both"/>
      </w:pPr>
      <w:r>
        <w:t>T</w:t>
      </w:r>
      <w:r w:rsidRPr="006A0705">
        <w:t>he utility’s proposed BFC allocation is 59.31 percent.</w:t>
      </w:r>
      <w:r>
        <w:t xml:space="preserve"> </w:t>
      </w:r>
      <w:r w:rsidRPr="006A0705">
        <w:t xml:space="preserve">Typically, the Commission allocates no greater than 40 percent of the water revenue to the BFC. However, when the utility’s customer base is seasonal, it has been the Commission’s practice to allocate greater than 40 percent of the revenue requirement to the BFC to address revenue stability. Due to the low monthly average consumption and seasonal customer base, staff believes that it is appropriate to allocate 55 percent of the water revenue to the BFC for revenue stability purposes. </w:t>
      </w:r>
    </w:p>
    <w:p w:rsidR="0025783A" w:rsidRDefault="0025783A" w:rsidP="004F0D53">
      <w:pPr>
        <w:jc w:val="both"/>
      </w:pPr>
    </w:p>
    <w:p w:rsidR="006714A8" w:rsidRDefault="0025783A" w:rsidP="004F0D53">
      <w:pPr>
        <w:jc w:val="both"/>
      </w:pPr>
      <w:r>
        <w:t xml:space="preserve">The average </w:t>
      </w:r>
      <w:r w:rsidR="004001A3">
        <w:t>persons</w:t>
      </w:r>
      <w:r>
        <w:t xml:space="preserve"> per household served by the water system is two; therefore, based on the number of person per household, 50 gallons per day per person</w:t>
      </w:r>
      <w:r w:rsidR="004001A3">
        <w:t>s</w:t>
      </w:r>
      <w:r>
        <w:t xml:space="preserve">, and the number of days per month, the non-discretionary usage threshold </w:t>
      </w:r>
      <w:r w:rsidR="003E3B28">
        <w:t>should</w:t>
      </w:r>
      <w:r>
        <w:t xml:space="preserve"> be 3,000 gallons per month. </w:t>
      </w:r>
      <w:r w:rsidR="008472F4">
        <w:t xml:space="preserve">Staff </w:t>
      </w:r>
      <w:r w:rsidR="008472F4">
        <w:lastRenderedPageBreak/>
        <w:t>recommends a traditional BFC and gallonage charge rate structure with separate gallonage charges for discretionary and non-discretionary usage for residential water customers.</w:t>
      </w:r>
    </w:p>
    <w:p w:rsidR="006714A8" w:rsidRDefault="006714A8" w:rsidP="004F0D53">
      <w:pPr>
        <w:jc w:val="both"/>
      </w:pPr>
    </w:p>
    <w:p w:rsidR="00C45771" w:rsidRDefault="003E3B28" w:rsidP="006A0705">
      <w:pPr>
        <w:jc w:val="both"/>
      </w:pPr>
      <w:r>
        <w:t xml:space="preserve"> </w:t>
      </w:r>
      <w:r w:rsidR="00CB1F1D">
        <w:t xml:space="preserve">Furthermore, staff evaluated whether the BFC for the RV </w:t>
      </w:r>
      <w:proofErr w:type="gramStart"/>
      <w:r w:rsidR="00CB1F1D">
        <w:t>park</w:t>
      </w:r>
      <w:proofErr w:type="gramEnd"/>
      <w:r w:rsidR="00CB1F1D">
        <w:t xml:space="preserve"> should be based on the existing water demand the RV park places on the water system or the 104.76 ERCs approved in a settlement. </w:t>
      </w:r>
      <w:r w:rsidR="0046723D">
        <w:t xml:space="preserve">The RV </w:t>
      </w:r>
      <w:proofErr w:type="gramStart"/>
      <w:r w:rsidR="0046723D">
        <w:t>park</w:t>
      </w:r>
      <w:proofErr w:type="gramEnd"/>
      <w:r w:rsidR="0046723D">
        <w:t xml:space="preserve"> has a </w:t>
      </w:r>
      <w:r w:rsidR="00E147FC">
        <w:t xml:space="preserve">three-inch </w:t>
      </w:r>
      <w:r w:rsidR="0046723D">
        <w:t xml:space="preserve">meter; the BFC for a general service </w:t>
      </w:r>
      <w:r w:rsidR="00E147FC">
        <w:t>three-inch</w:t>
      </w:r>
      <w:r w:rsidR="0046723D">
        <w:t xml:space="preserve"> meter is typically 16 times the 5/8” x 3/4” meter size BFC. </w:t>
      </w:r>
      <w:r w:rsidR="00CB1F1D">
        <w:t xml:space="preserve">During the test year, the RV </w:t>
      </w:r>
      <w:proofErr w:type="gramStart"/>
      <w:r w:rsidR="00CB1F1D">
        <w:t>park</w:t>
      </w:r>
      <w:proofErr w:type="gramEnd"/>
      <w:r w:rsidR="00CB1F1D">
        <w:t xml:space="preserve"> used 1,537,000 gallons of water</w:t>
      </w:r>
      <w:r w:rsidR="000F7640">
        <w:t xml:space="preserve">. </w:t>
      </w:r>
      <w:r w:rsidR="00CB1F1D">
        <w:t>Compared with the average residential water demand of 1,442 gallons per month, the RV park demand represents approximately 89 ERCs (1,537</w:t>
      </w:r>
      <w:r w:rsidR="005744C1">
        <w:t>,000</w:t>
      </w:r>
      <w:r w:rsidR="00CB1F1D">
        <w:t>/</w:t>
      </w:r>
      <w:r w:rsidR="00C3659C">
        <w:t>1,442</w:t>
      </w:r>
      <w:r w:rsidR="00CB1F1D">
        <w:t>/12)</w:t>
      </w:r>
      <w:r w:rsidR="005744C1">
        <w:t xml:space="preserve">. </w:t>
      </w:r>
      <w:r w:rsidR="00CB1F1D">
        <w:t xml:space="preserve">Therefore, staff recommends a BFC based on </w:t>
      </w:r>
      <w:r w:rsidR="00C3659C">
        <w:t>89</w:t>
      </w:r>
      <w:r w:rsidR="00CB1F1D">
        <w:t xml:space="preserve"> ERCs for the RV </w:t>
      </w:r>
      <w:proofErr w:type="gramStart"/>
      <w:r w:rsidR="00CB1F1D">
        <w:t>park</w:t>
      </w:r>
      <w:proofErr w:type="gramEnd"/>
      <w:r w:rsidR="00CB1F1D">
        <w:t xml:space="preserve"> and a uniform gallonage charge.</w:t>
      </w:r>
      <w:r w:rsidR="00C3659C">
        <w:t xml:space="preserve"> </w:t>
      </w:r>
      <w:r w:rsidR="00EC71D5">
        <w:t>All other g</w:t>
      </w:r>
      <w:r w:rsidR="004F0D53" w:rsidRPr="006A0705">
        <w:t xml:space="preserve">eneral service customers should be billed a BFC </w:t>
      </w:r>
      <w:r w:rsidR="00EC71D5">
        <w:t xml:space="preserve">based on </w:t>
      </w:r>
      <w:r w:rsidR="00E5481C">
        <w:t xml:space="preserve">a </w:t>
      </w:r>
      <w:r w:rsidR="00EC71D5">
        <w:t xml:space="preserve">meter size </w:t>
      </w:r>
      <w:r w:rsidR="004F0D53" w:rsidRPr="006A0705">
        <w:t>and uniform gallonage charge.</w:t>
      </w:r>
      <w:r w:rsidR="00DD1243">
        <w:t xml:space="preserve"> </w:t>
      </w:r>
      <w:r w:rsidR="000F7896">
        <w:t xml:space="preserve">The private fire </w:t>
      </w:r>
      <w:r w:rsidR="00812E1D">
        <w:t>protection</w:t>
      </w:r>
      <w:r w:rsidR="000F7896">
        <w:t xml:space="preserve"> charge is </w:t>
      </w:r>
      <w:r w:rsidR="00812E1D">
        <w:t>obsolete</w:t>
      </w:r>
      <w:r w:rsidR="000F7896">
        <w:t xml:space="preserve"> and there are no customers</w:t>
      </w:r>
      <w:r w:rsidR="000F7640">
        <w:t xml:space="preserve">. </w:t>
      </w:r>
      <w:r w:rsidR="000F7896">
        <w:t xml:space="preserve">Therefore, the private fire protection charge should be discontinued. </w:t>
      </w:r>
      <w:r w:rsidR="006A0705" w:rsidRPr="00776FED">
        <w:t xml:space="preserve">Table </w:t>
      </w:r>
      <w:r w:rsidR="00CD6EBC">
        <w:t>14</w:t>
      </w:r>
      <w:r w:rsidR="006A0705" w:rsidRPr="00776FED">
        <w:t xml:space="preserve">-1, </w:t>
      </w:r>
      <w:r w:rsidR="00DD1243">
        <w:t xml:space="preserve">contains staff’s recommended rate structure and rates and alternative rate structure, which includes varying BFC </w:t>
      </w:r>
      <w:r w:rsidR="006A0705">
        <w:t>allocation</w:t>
      </w:r>
      <w:r w:rsidR="00DD1243">
        <w:t>s and rate blocks</w:t>
      </w:r>
      <w:r w:rsidR="006A0705">
        <w:t xml:space="preserve">. </w:t>
      </w:r>
    </w:p>
    <w:p w:rsidR="00C45771" w:rsidRDefault="00C45771" w:rsidP="006A0705">
      <w:pPr>
        <w:jc w:val="both"/>
      </w:pPr>
    </w:p>
    <w:p w:rsidR="00D31B85" w:rsidRDefault="00D31B85" w:rsidP="005568BA">
      <w:pPr>
        <w:jc w:val="both"/>
        <w:rPr>
          <w:rFonts w:ascii="Arial" w:hAnsi="Arial" w:cs="Arial"/>
          <w:b/>
        </w:rPr>
      </w:pPr>
      <w:r w:rsidRPr="000F7896">
        <w:t>On the following page, a</w:t>
      </w:r>
      <w:r w:rsidR="00DD1243" w:rsidRPr="000F7896">
        <w:t xml:space="preserve">lthough provided as alternatives, </w:t>
      </w:r>
      <w:r w:rsidR="009A20BE" w:rsidRPr="000F7896">
        <w:t xml:space="preserve">staff is not in support of </w:t>
      </w:r>
      <w:r w:rsidR="008472F4" w:rsidRPr="000F7896">
        <w:t>a</w:t>
      </w:r>
      <w:r w:rsidR="009A20BE" w:rsidRPr="000F7896">
        <w:t xml:space="preserve">lternative one because of the </w:t>
      </w:r>
      <w:r w:rsidR="005568BA">
        <w:t>very</w:t>
      </w:r>
      <w:r w:rsidR="009A20BE" w:rsidRPr="000F7896">
        <w:t xml:space="preserve"> seasonal customer base coupled with a very low average consumption</w:t>
      </w:r>
      <w:proofErr w:type="gramStart"/>
      <w:r w:rsidR="009A20BE" w:rsidRPr="000F7896">
        <w:t xml:space="preserve">, </w:t>
      </w:r>
      <w:r w:rsidR="00F50586" w:rsidRPr="000F7896">
        <w:t xml:space="preserve"> </w:t>
      </w:r>
      <w:r w:rsidR="009A20BE" w:rsidRPr="000F7896">
        <w:t>the</w:t>
      </w:r>
      <w:proofErr w:type="gramEnd"/>
      <w:r w:rsidR="009A20BE" w:rsidRPr="000F7896">
        <w:t xml:space="preserve"> percentage</w:t>
      </w:r>
      <w:r w:rsidR="00892A97" w:rsidRPr="000F7896">
        <w:t xml:space="preserve"> increase</w:t>
      </w:r>
      <w:r w:rsidR="009A20BE" w:rsidRPr="000F7896">
        <w:t xml:space="preserve"> in price at </w:t>
      </w:r>
      <w:r w:rsidR="008472F4" w:rsidRPr="000F7896">
        <w:t>average consumption and below</w:t>
      </w:r>
      <w:r w:rsidR="009A20BE" w:rsidRPr="000F7896">
        <w:t xml:space="preserve"> put</w:t>
      </w:r>
      <w:r w:rsidR="00892A97" w:rsidRPr="000F7896">
        <w:t>s</w:t>
      </w:r>
      <w:r w:rsidR="009A20BE" w:rsidRPr="000F7896">
        <w:t xml:space="preserve"> the utility at a </w:t>
      </w:r>
      <w:r w:rsidR="00892A97" w:rsidRPr="000F7896">
        <w:t xml:space="preserve">risk of a </w:t>
      </w:r>
      <w:r w:rsidR="009A20BE" w:rsidRPr="000F7896">
        <w:t>revenue shortfall.</w:t>
      </w:r>
      <w:r w:rsidR="004B12F7" w:rsidRPr="00812E1D">
        <w:t xml:space="preserve"> </w:t>
      </w:r>
      <w:r w:rsidR="00C45771" w:rsidRPr="00812E1D">
        <w:t xml:space="preserve">For alternative two, </w:t>
      </w:r>
      <w:r w:rsidR="005568BA">
        <w:t xml:space="preserve">staff is not opposed </w:t>
      </w:r>
      <w:r w:rsidR="00083686">
        <w:t xml:space="preserve">to this alternative </w:t>
      </w:r>
      <w:r w:rsidR="005568BA">
        <w:t xml:space="preserve">because </w:t>
      </w:r>
      <w:r w:rsidR="00083686">
        <w:t>the BFC allocation provides</w:t>
      </w:r>
      <w:r w:rsidR="005568BA">
        <w:t xml:space="preserve"> revenue stability in regard</w:t>
      </w:r>
      <w:r w:rsidR="0075565F">
        <w:t>s</w:t>
      </w:r>
      <w:r w:rsidR="005568BA">
        <w:t xml:space="preserve"> to</w:t>
      </w:r>
      <w:r w:rsidR="00083686">
        <w:t xml:space="preserve"> the</w:t>
      </w:r>
      <w:r w:rsidR="005568BA">
        <w:t xml:space="preserve"> very seasonal customer base.</w:t>
      </w: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5568BA" w:rsidRDefault="005568BA" w:rsidP="00F923F7">
      <w:pPr>
        <w:jc w:val="center"/>
        <w:rPr>
          <w:rFonts w:ascii="Arial" w:hAnsi="Arial" w:cs="Arial"/>
          <w:b/>
        </w:rPr>
      </w:pPr>
    </w:p>
    <w:p w:rsidR="005568BA" w:rsidRDefault="005568BA"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5568BA" w:rsidRDefault="005568BA" w:rsidP="00F923F7">
      <w:pPr>
        <w:jc w:val="center"/>
        <w:rPr>
          <w:rFonts w:ascii="Arial" w:hAnsi="Arial" w:cs="Arial"/>
          <w:b/>
        </w:rPr>
      </w:pPr>
    </w:p>
    <w:p w:rsidR="005568BA" w:rsidRDefault="005568BA" w:rsidP="00F923F7">
      <w:pPr>
        <w:jc w:val="center"/>
        <w:rPr>
          <w:rFonts w:ascii="Arial" w:hAnsi="Arial" w:cs="Arial"/>
          <w:b/>
        </w:rPr>
      </w:pPr>
    </w:p>
    <w:p w:rsidR="005568BA" w:rsidRDefault="005568BA" w:rsidP="00F923F7">
      <w:pPr>
        <w:jc w:val="center"/>
        <w:rPr>
          <w:rFonts w:ascii="Arial" w:hAnsi="Arial" w:cs="Arial"/>
          <w:b/>
        </w:rPr>
      </w:pPr>
    </w:p>
    <w:p w:rsidR="005568BA" w:rsidRDefault="005568BA"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D31B85" w:rsidRDefault="00D31B85" w:rsidP="00F923F7">
      <w:pPr>
        <w:jc w:val="center"/>
        <w:rPr>
          <w:rFonts w:ascii="Arial" w:hAnsi="Arial" w:cs="Arial"/>
          <w:b/>
        </w:rPr>
      </w:pPr>
    </w:p>
    <w:p w:rsidR="00F923F7" w:rsidRPr="00A438A0" w:rsidRDefault="00F923F7" w:rsidP="00F923F7">
      <w:pPr>
        <w:jc w:val="center"/>
        <w:rPr>
          <w:rFonts w:ascii="Arial" w:hAnsi="Arial" w:cs="Arial"/>
          <w:b/>
        </w:rPr>
      </w:pPr>
      <w:r w:rsidRPr="00A438A0">
        <w:rPr>
          <w:rFonts w:ascii="Arial" w:hAnsi="Arial" w:cs="Arial"/>
          <w:b/>
        </w:rPr>
        <w:lastRenderedPageBreak/>
        <w:t xml:space="preserve">Table </w:t>
      </w:r>
      <w:r w:rsidR="00CD6EBC">
        <w:rPr>
          <w:rFonts w:ascii="Arial" w:hAnsi="Arial" w:cs="Arial"/>
          <w:b/>
        </w:rPr>
        <w:t>14</w:t>
      </w:r>
      <w:r w:rsidRPr="00A438A0">
        <w:rPr>
          <w:rFonts w:ascii="Arial" w:hAnsi="Arial" w:cs="Arial"/>
          <w:b/>
        </w:rPr>
        <w:t>-1</w:t>
      </w:r>
    </w:p>
    <w:p w:rsidR="00F923F7" w:rsidRPr="00A438A0" w:rsidRDefault="00F923F7" w:rsidP="00F923F7">
      <w:pPr>
        <w:jc w:val="center"/>
        <w:rPr>
          <w:rFonts w:ascii="Arial" w:hAnsi="Arial" w:cs="Arial"/>
          <w:b/>
        </w:rPr>
      </w:pPr>
      <w:r w:rsidRPr="00FA77EF">
        <w:rPr>
          <w:rFonts w:ascii="Arial" w:hAnsi="Arial" w:cs="Arial"/>
          <w:b/>
        </w:rPr>
        <w:t>Staff’s Recommended and Alternative Water Rate Structures and Rates</w:t>
      </w:r>
    </w:p>
    <w:tbl>
      <w:tblPr>
        <w:tblW w:w="10588" w:type="dxa"/>
        <w:jc w:val="center"/>
        <w:tblInd w:w="20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64"/>
        <w:gridCol w:w="1440"/>
        <w:gridCol w:w="2070"/>
        <w:gridCol w:w="1530"/>
        <w:gridCol w:w="1784"/>
      </w:tblGrid>
      <w:tr w:rsidR="004001A3" w:rsidRPr="00A438A0" w:rsidTr="004001A3">
        <w:trPr>
          <w:trHeight w:val="262"/>
          <w:jc w:val="center"/>
        </w:trPr>
        <w:tc>
          <w:tcPr>
            <w:tcW w:w="3764" w:type="dxa"/>
            <w:tcBorders>
              <w:top w:val="single" w:sz="4" w:space="0" w:color="auto"/>
              <w:left w:val="single" w:sz="4" w:space="0" w:color="auto"/>
            </w:tcBorders>
            <w:shd w:val="clear" w:color="000000" w:fill="auto"/>
            <w:noWrap/>
            <w:vAlign w:val="bottom"/>
            <w:hideMark/>
          </w:tcPr>
          <w:p w:rsidR="004001A3" w:rsidRPr="004001A3" w:rsidRDefault="004001A3" w:rsidP="004001A3">
            <w:pPr>
              <w:rPr>
                <w:b/>
                <w:bCs/>
                <w:sz w:val="20"/>
                <w:szCs w:val="20"/>
                <w:u w:val="single"/>
              </w:rPr>
            </w:pPr>
          </w:p>
        </w:tc>
        <w:tc>
          <w:tcPr>
            <w:tcW w:w="1440" w:type="dxa"/>
            <w:tcBorders>
              <w:top w:val="single" w:sz="4" w:space="0" w:color="auto"/>
            </w:tcBorders>
            <w:shd w:val="clear" w:color="000000" w:fill="auto"/>
            <w:noWrap/>
            <w:vAlign w:val="bottom"/>
          </w:tcPr>
          <w:p w:rsidR="004001A3" w:rsidRPr="008D137C" w:rsidRDefault="004001A3" w:rsidP="004001A3">
            <w:pPr>
              <w:jc w:val="center"/>
              <w:rPr>
                <w:b/>
                <w:bCs/>
                <w:color w:val="000000"/>
              </w:rPr>
            </w:pPr>
          </w:p>
        </w:tc>
        <w:tc>
          <w:tcPr>
            <w:tcW w:w="2070" w:type="dxa"/>
            <w:tcBorders>
              <w:top w:val="single" w:sz="4" w:space="0" w:color="auto"/>
            </w:tcBorders>
            <w:shd w:val="clear" w:color="000000" w:fill="auto"/>
            <w:noWrap/>
            <w:vAlign w:val="bottom"/>
          </w:tcPr>
          <w:p w:rsidR="004001A3" w:rsidRPr="008D137C" w:rsidRDefault="004001A3" w:rsidP="004001A3">
            <w:pPr>
              <w:jc w:val="center"/>
              <w:rPr>
                <w:b/>
                <w:bCs/>
                <w:color w:val="000000"/>
              </w:rPr>
            </w:pPr>
            <w:r w:rsidRPr="008D137C">
              <w:rPr>
                <w:b/>
                <w:bCs/>
                <w:color w:val="000000"/>
              </w:rPr>
              <w:t>Staff</w:t>
            </w:r>
          </w:p>
        </w:tc>
        <w:tc>
          <w:tcPr>
            <w:tcW w:w="1530" w:type="dxa"/>
            <w:tcBorders>
              <w:top w:val="single" w:sz="4" w:space="0" w:color="auto"/>
            </w:tcBorders>
            <w:shd w:val="clear" w:color="000000" w:fill="auto"/>
            <w:noWrap/>
            <w:vAlign w:val="bottom"/>
            <w:hideMark/>
          </w:tcPr>
          <w:p w:rsidR="004001A3" w:rsidRPr="008D137C" w:rsidRDefault="004001A3" w:rsidP="004001A3">
            <w:pPr>
              <w:jc w:val="center"/>
              <w:rPr>
                <w:b/>
                <w:bCs/>
                <w:color w:val="000000"/>
              </w:rPr>
            </w:pPr>
            <w:r w:rsidRPr="008D137C">
              <w:rPr>
                <w:b/>
                <w:bCs/>
                <w:color w:val="000000"/>
              </w:rPr>
              <w:t> </w:t>
            </w:r>
          </w:p>
        </w:tc>
        <w:tc>
          <w:tcPr>
            <w:tcW w:w="1784" w:type="dxa"/>
            <w:tcBorders>
              <w:top w:val="single" w:sz="4" w:space="0" w:color="auto"/>
              <w:right w:val="single" w:sz="4" w:space="0" w:color="auto"/>
            </w:tcBorders>
            <w:shd w:val="clear" w:color="000000" w:fill="auto"/>
            <w:noWrap/>
            <w:vAlign w:val="bottom"/>
            <w:hideMark/>
          </w:tcPr>
          <w:p w:rsidR="004001A3" w:rsidRPr="008D137C" w:rsidRDefault="004001A3" w:rsidP="004001A3">
            <w:pPr>
              <w:jc w:val="center"/>
              <w:rPr>
                <w:b/>
                <w:bCs/>
                <w:color w:val="000000"/>
              </w:rPr>
            </w:pPr>
            <w:r w:rsidRPr="008D137C">
              <w:rPr>
                <w:b/>
                <w:bCs/>
                <w:color w:val="000000"/>
              </w:rPr>
              <w:t> </w:t>
            </w:r>
          </w:p>
        </w:tc>
      </w:tr>
      <w:tr w:rsidR="004001A3" w:rsidRPr="00A438A0" w:rsidTr="004001A3">
        <w:trPr>
          <w:trHeight w:val="262"/>
          <w:jc w:val="center"/>
        </w:trPr>
        <w:tc>
          <w:tcPr>
            <w:tcW w:w="3764" w:type="dxa"/>
            <w:tcBorders>
              <w:left w:val="single" w:sz="4" w:space="0" w:color="auto"/>
            </w:tcBorders>
            <w:shd w:val="clear" w:color="000000" w:fill="auto"/>
            <w:noWrap/>
            <w:vAlign w:val="bottom"/>
            <w:hideMark/>
          </w:tcPr>
          <w:p w:rsidR="004001A3" w:rsidRPr="00A438A0" w:rsidRDefault="004001A3" w:rsidP="004001A3">
            <w:pPr>
              <w:rPr>
                <w:b/>
                <w:bCs/>
                <w:sz w:val="20"/>
                <w:szCs w:val="20"/>
                <w:u w:val="single"/>
              </w:rPr>
            </w:pPr>
          </w:p>
        </w:tc>
        <w:tc>
          <w:tcPr>
            <w:tcW w:w="1440" w:type="dxa"/>
            <w:shd w:val="clear" w:color="000000" w:fill="auto"/>
            <w:noWrap/>
            <w:vAlign w:val="bottom"/>
          </w:tcPr>
          <w:p w:rsidR="004001A3" w:rsidRPr="008D137C" w:rsidRDefault="004001A3" w:rsidP="004001A3">
            <w:pPr>
              <w:jc w:val="center"/>
              <w:rPr>
                <w:b/>
                <w:bCs/>
                <w:color w:val="000000"/>
              </w:rPr>
            </w:pPr>
            <w:r w:rsidRPr="008D137C">
              <w:rPr>
                <w:b/>
                <w:bCs/>
                <w:color w:val="000000"/>
              </w:rPr>
              <w:t>Rates at</w:t>
            </w:r>
          </w:p>
        </w:tc>
        <w:tc>
          <w:tcPr>
            <w:tcW w:w="2070" w:type="dxa"/>
            <w:shd w:val="clear" w:color="000000" w:fill="auto"/>
            <w:noWrap/>
            <w:vAlign w:val="bottom"/>
          </w:tcPr>
          <w:p w:rsidR="004001A3" w:rsidRPr="008D137C" w:rsidRDefault="004001A3" w:rsidP="004001A3">
            <w:pPr>
              <w:jc w:val="center"/>
              <w:rPr>
                <w:b/>
                <w:bCs/>
                <w:color w:val="000000"/>
              </w:rPr>
            </w:pPr>
            <w:r w:rsidRPr="008D137C">
              <w:rPr>
                <w:b/>
                <w:bCs/>
                <w:color w:val="000000"/>
              </w:rPr>
              <w:t>Recommended</w:t>
            </w:r>
          </w:p>
        </w:tc>
        <w:tc>
          <w:tcPr>
            <w:tcW w:w="1530" w:type="dxa"/>
            <w:shd w:val="clear" w:color="000000" w:fill="auto"/>
            <w:noWrap/>
            <w:vAlign w:val="bottom"/>
            <w:hideMark/>
          </w:tcPr>
          <w:p w:rsidR="004001A3" w:rsidRPr="008D137C" w:rsidRDefault="004001A3" w:rsidP="004001A3">
            <w:pPr>
              <w:jc w:val="center"/>
              <w:rPr>
                <w:b/>
                <w:bCs/>
                <w:color w:val="000000"/>
              </w:rPr>
            </w:pPr>
            <w:r w:rsidRPr="008D137C">
              <w:rPr>
                <w:b/>
                <w:bCs/>
                <w:color w:val="000000"/>
              </w:rPr>
              <w:t>Alternative</w:t>
            </w:r>
          </w:p>
        </w:tc>
        <w:tc>
          <w:tcPr>
            <w:tcW w:w="1784" w:type="dxa"/>
            <w:tcBorders>
              <w:right w:val="single" w:sz="4" w:space="0" w:color="auto"/>
            </w:tcBorders>
            <w:shd w:val="clear" w:color="000000" w:fill="auto"/>
            <w:noWrap/>
            <w:vAlign w:val="bottom"/>
            <w:hideMark/>
          </w:tcPr>
          <w:p w:rsidR="004001A3" w:rsidRPr="008D137C" w:rsidRDefault="004001A3" w:rsidP="004001A3">
            <w:pPr>
              <w:jc w:val="center"/>
              <w:rPr>
                <w:b/>
                <w:bCs/>
                <w:color w:val="000000"/>
              </w:rPr>
            </w:pPr>
            <w:r w:rsidRPr="008D137C">
              <w:rPr>
                <w:b/>
                <w:bCs/>
                <w:color w:val="000000"/>
              </w:rPr>
              <w:t>Alternative</w:t>
            </w:r>
          </w:p>
        </w:tc>
      </w:tr>
      <w:tr w:rsidR="004001A3" w:rsidRPr="00A438A0" w:rsidTr="004001A3">
        <w:trPr>
          <w:trHeight w:val="262"/>
          <w:jc w:val="center"/>
        </w:trPr>
        <w:tc>
          <w:tcPr>
            <w:tcW w:w="3764" w:type="dxa"/>
            <w:tcBorders>
              <w:left w:val="single" w:sz="4" w:space="0" w:color="auto"/>
            </w:tcBorders>
            <w:shd w:val="clear" w:color="000000" w:fill="auto"/>
            <w:noWrap/>
            <w:vAlign w:val="bottom"/>
            <w:hideMark/>
          </w:tcPr>
          <w:p w:rsidR="004001A3" w:rsidRPr="00A438A0" w:rsidRDefault="004001A3" w:rsidP="004001A3">
            <w:pPr>
              <w:rPr>
                <w:b/>
                <w:bCs/>
                <w:sz w:val="20"/>
                <w:szCs w:val="20"/>
                <w:u w:val="single"/>
              </w:rPr>
            </w:pPr>
          </w:p>
        </w:tc>
        <w:tc>
          <w:tcPr>
            <w:tcW w:w="1440" w:type="dxa"/>
            <w:shd w:val="clear" w:color="000000" w:fill="auto"/>
            <w:noWrap/>
            <w:vAlign w:val="bottom"/>
          </w:tcPr>
          <w:p w:rsidR="004001A3" w:rsidRPr="008D137C" w:rsidRDefault="004001A3" w:rsidP="004001A3">
            <w:pPr>
              <w:jc w:val="center"/>
              <w:rPr>
                <w:b/>
                <w:bCs/>
                <w:color w:val="000000"/>
              </w:rPr>
            </w:pPr>
            <w:r w:rsidRPr="008D137C">
              <w:rPr>
                <w:b/>
                <w:bCs/>
                <w:color w:val="000000"/>
              </w:rPr>
              <w:t>Time of</w:t>
            </w:r>
          </w:p>
        </w:tc>
        <w:tc>
          <w:tcPr>
            <w:tcW w:w="2070" w:type="dxa"/>
            <w:shd w:val="clear" w:color="000000" w:fill="auto"/>
            <w:noWrap/>
            <w:vAlign w:val="bottom"/>
          </w:tcPr>
          <w:p w:rsidR="004001A3" w:rsidRPr="008D137C" w:rsidRDefault="004001A3" w:rsidP="004001A3">
            <w:pPr>
              <w:jc w:val="center"/>
              <w:rPr>
                <w:b/>
                <w:bCs/>
                <w:color w:val="000000"/>
              </w:rPr>
            </w:pPr>
            <w:r w:rsidRPr="008D137C">
              <w:rPr>
                <w:b/>
                <w:bCs/>
                <w:color w:val="000000"/>
              </w:rPr>
              <w:t>Rates</w:t>
            </w:r>
          </w:p>
        </w:tc>
        <w:tc>
          <w:tcPr>
            <w:tcW w:w="1530" w:type="dxa"/>
            <w:shd w:val="clear" w:color="000000" w:fill="auto"/>
            <w:noWrap/>
            <w:vAlign w:val="bottom"/>
            <w:hideMark/>
          </w:tcPr>
          <w:p w:rsidR="004001A3" w:rsidRPr="008D137C" w:rsidRDefault="004001A3" w:rsidP="004001A3">
            <w:pPr>
              <w:jc w:val="center"/>
              <w:rPr>
                <w:b/>
                <w:bCs/>
                <w:color w:val="000000"/>
              </w:rPr>
            </w:pPr>
            <w:r w:rsidRPr="008D137C">
              <w:rPr>
                <w:b/>
                <w:bCs/>
                <w:color w:val="000000"/>
              </w:rPr>
              <w:t>I</w:t>
            </w:r>
          </w:p>
        </w:tc>
        <w:tc>
          <w:tcPr>
            <w:tcW w:w="1784" w:type="dxa"/>
            <w:tcBorders>
              <w:right w:val="single" w:sz="4" w:space="0" w:color="auto"/>
            </w:tcBorders>
            <w:shd w:val="clear" w:color="000000" w:fill="auto"/>
            <w:noWrap/>
            <w:vAlign w:val="bottom"/>
            <w:hideMark/>
          </w:tcPr>
          <w:p w:rsidR="004001A3" w:rsidRPr="008D137C" w:rsidRDefault="004001A3" w:rsidP="004001A3">
            <w:pPr>
              <w:jc w:val="center"/>
              <w:rPr>
                <w:b/>
                <w:bCs/>
                <w:color w:val="000000"/>
              </w:rPr>
            </w:pPr>
            <w:r w:rsidRPr="008D137C">
              <w:rPr>
                <w:b/>
                <w:bCs/>
                <w:color w:val="000000"/>
              </w:rPr>
              <w:t>II</w:t>
            </w:r>
          </w:p>
        </w:tc>
      </w:tr>
      <w:tr w:rsidR="004001A3" w:rsidRPr="00A438A0" w:rsidTr="004001A3">
        <w:trPr>
          <w:trHeight w:val="262"/>
          <w:jc w:val="center"/>
        </w:trPr>
        <w:tc>
          <w:tcPr>
            <w:tcW w:w="3764" w:type="dxa"/>
            <w:tcBorders>
              <w:left w:val="single" w:sz="4" w:space="0" w:color="auto"/>
            </w:tcBorders>
            <w:shd w:val="clear" w:color="000000" w:fill="auto"/>
            <w:noWrap/>
            <w:vAlign w:val="bottom"/>
            <w:hideMark/>
          </w:tcPr>
          <w:p w:rsidR="004001A3" w:rsidRPr="00A438A0" w:rsidRDefault="004001A3" w:rsidP="004001A3">
            <w:pPr>
              <w:rPr>
                <w:b/>
                <w:bCs/>
                <w:sz w:val="20"/>
                <w:szCs w:val="20"/>
                <w:u w:val="single"/>
              </w:rPr>
            </w:pPr>
          </w:p>
        </w:tc>
        <w:tc>
          <w:tcPr>
            <w:tcW w:w="1440" w:type="dxa"/>
            <w:shd w:val="clear" w:color="000000" w:fill="auto"/>
            <w:noWrap/>
            <w:vAlign w:val="bottom"/>
          </w:tcPr>
          <w:p w:rsidR="004001A3" w:rsidRPr="008D137C" w:rsidRDefault="004001A3" w:rsidP="004001A3">
            <w:pPr>
              <w:jc w:val="center"/>
              <w:rPr>
                <w:b/>
                <w:bCs/>
                <w:color w:val="000000"/>
              </w:rPr>
            </w:pPr>
            <w:r w:rsidRPr="008D137C">
              <w:rPr>
                <w:b/>
                <w:bCs/>
                <w:color w:val="000000"/>
              </w:rPr>
              <w:t>Filing</w:t>
            </w:r>
          </w:p>
        </w:tc>
        <w:tc>
          <w:tcPr>
            <w:tcW w:w="2070" w:type="dxa"/>
            <w:shd w:val="clear" w:color="000000" w:fill="auto"/>
            <w:noWrap/>
            <w:vAlign w:val="bottom"/>
          </w:tcPr>
          <w:p w:rsidR="004001A3" w:rsidRPr="008D137C" w:rsidRDefault="004001A3" w:rsidP="004001A3">
            <w:pPr>
              <w:jc w:val="center"/>
              <w:rPr>
                <w:b/>
                <w:bCs/>
                <w:color w:val="000000"/>
              </w:rPr>
            </w:pPr>
            <w:r w:rsidRPr="008D137C">
              <w:rPr>
                <w:b/>
                <w:bCs/>
                <w:color w:val="000000"/>
              </w:rPr>
              <w:t>(5</w:t>
            </w:r>
            <w:r>
              <w:rPr>
                <w:b/>
                <w:bCs/>
                <w:color w:val="000000"/>
              </w:rPr>
              <w:t>5</w:t>
            </w:r>
            <w:r w:rsidRPr="008D137C">
              <w:rPr>
                <w:b/>
                <w:bCs/>
                <w:color w:val="000000"/>
              </w:rPr>
              <w:t>% BFC)</w:t>
            </w:r>
          </w:p>
        </w:tc>
        <w:tc>
          <w:tcPr>
            <w:tcW w:w="1530" w:type="dxa"/>
            <w:shd w:val="clear" w:color="000000" w:fill="auto"/>
            <w:noWrap/>
            <w:vAlign w:val="bottom"/>
            <w:hideMark/>
          </w:tcPr>
          <w:p w:rsidR="004001A3" w:rsidRPr="008D137C" w:rsidRDefault="004001A3" w:rsidP="004001A3">
            <w:pPr>
              <w:jc w:val="center"/>
              <w:rPr>
                <w:b/>
                <w:bCs/>
                <w:color w:val="000000"/>
              </w:rPr>
            </w:pPr>
            <w:r w:rsidRPr="008D137C">
              <w:rPr>
                <w:b/>
                <w:bCs/>
                <w:color w:val="000000"/>
              </w:rPr>
              <w:t>(</w:t>
            </w:r>
            <w:r>
              <w:rPr>
                <w:b/>
                <w:bCs/>
                <w:color w:val="000000"/>
              </w:rPr>
              <w:t>50</w:t>
            </w:r>
            <w:r w:rsidRPr="008D137C">
              <w:rPr>
                <w:b/>
                <w:bCs/>
                <w:color w:val="000000"/>
              </w:rPr>
              <w:t>% BFC)</w:t>
            </w:r>
          </w:p>
        </w:tc>
        <w:tc>
          <w:tcPr>
            <w:tcW w:w="1784" w:type="dxa"/>
            <w:tcBorders>
              <w:right w:val="single" w:sz="4" w:space="0" w:color="auto"/>
            </w:tcBorders>
            <w:shd w:val="clear" w:color="000000" w:fill="auto"/>
            <w:noWrap/>
            <w:vAlign w:val="bottom"/>
            <w:hideMark/>
          </w:tcPr>
          <w:p w:rsidR="004001A3" w:rsidRPr="008D137C" w:rsidRDefault="004001A3" w:rsidP="004001A3">
            <w:pPr>
              <w:jc w:val="center"/>
              <w:rPr>
                <w:b/>
                <w:bCs/>
                <w:color w:val="000000"/>
              </w:rPr>
            </w:pPr>
            <w:r w:rsidRPr="008D137C">
              <w:rPr>
                <w:b/>
                <w:bCs/>
                <w:color w:val="000000"/>
              </w:rPr>
              <w:t>(</w:t>
            </w:r>
            <w:r>
              <w:rPr>
                <w:b/>
                <w:bCs/>
                <w:color w:val="000000"/>
              </w:rPr>
              <w:t>59</w:t>
            </w:r>
            <w:r w:rsidRPr="008D137C">
              <w:rPr>
                <w:b/>
                <w:bCs/>
                <w:color w:val="000000"/>
              </w:rPr>
              <w:t>% BFC)</w:t>
            </w:r>
          </w:p>
        </w:tc>
      </w:tr>
      <w:tr w:rsidR="00DF5331" w:rsidRPr="00FA77EF" w:rsidTr="004001A3">
        <w:trPr>
          <w:trHeight w:val="262"/>
          <w:jc w:val="center"/>
        </w:trPr>
        <w:tc>
          <w:tcPr>
            <w:tcW w:w="3764" w:type="dxa"/>
            <w:tcBorders>
              <w:top w:val="single" w:sz="4" w:space="0" w:color="auto"/>
            </w:tcBorders>
            <w:shd w:val="clear" w:color="auto" w:fill="auto"/>
            <w:noWrap/>
            <w:vAlign w:val="bottom"/>
            <w:hideMark/>
          </w:tcPr>
          <w:p w:rsidR="00F923F7" w:rsidRPr="00776FED" w:rsidRDefault="00F923F7" w:rsidP="00C36C9B">
            <w:pPr>
              <w:rPr>
                <w:b/>
                <w:bCs/>
                <w:color w:val="000000"/>
                <w:sz w:val="20"/>
                <w:szCs w:val="20"/>
                <w:u w:val="single"/>
              </w:rPr>
            </w:pPr>
            <w:r w:rsidRPr="00776FED">
              <w:rPr>
                <w:b/>
                <w:bCs/>
                <w:color w:val="000000"/>
                <w:sz w:val="20"/>
                <w:szCs w:val="20"/>
                <w:u w:val="single"/>
              </w:rPr>
              <w:t xml:space="preserve">Residential </w:t>
            </w:r>
          </w:p>
        </w:tc>
        <w:tc>
          <w:tcPr>
            <w:tcW w:w="1440" w:type="dxa"/>
            <w:tcBorders>
              <w:top w:val="single" w:sz="4" w:space="0" w:color="auto"/>
            </w:tcBorders>
            <w:shd w:val="clear" w:color="auto" w:fill="auto"/>
            <w:noWrap/>
            <w:vAlign w:val="bottom"/>
            <w:hideMark/>
          </w:tcPr>
          <w:p w:rsidR="00F923F7" w:rsidRPr="00776FED" w:rsidRDefault="00F923F7" w:rsidP="00C36C9B">
            <w:pPr>
              <w:jc w:val="center"/>
              <w:rPr>
                <w:b/>
                <w:bCs/>
                <w:color w:val="000000"/>
                <w:sz w:val="20"/>
                <w:szCs w:val="20"/>
              </w:rPr>
            </w:pPr>
          </w:p>
        </w:tc>
        <w:tc>
          <w:tcPr>
            <w:tcW w:w="2070" w:type="dxa"/>
            <w:tcBorders>
              <w:top w:val="single" w:sz="4" w:space="0" w:color="auto"/>
            </w:tcBorders>
            <w:shd w:val="clear" w:color="auto" w:fill="auto"/>
            <w:noWrap/>
            <w:vAlign w:val="bottom"/>
            <w:hideMark/>
          </w:tcPr>
          <w:p w:rsidR="00F923F7" w:rsidRPr="00776FED" w:rsidRDefault="00F923F7" w:rsidP="00BD3358">
            <w:pPr>
              <w:jc w:val="center"/>
              <w:rPr>
                <w:b/>
                <w:bCs/>
                <w:color w:val="000000"/>
                <w:sz w:val="20"/>
                <w:szCs w:val="20"/>
              </w:rPr>
            </w:pPr>
            <w:r w:rsidRPr="00776FED">
              <w:rPr>
                <w:b/>
                <w:bCs/>
                <w:color w:val="000000"/>
                <w:sz w:val="20"/>
                <w:szCs w:val="20"/>
              </w:rPr>
              <w:t> </w:t>
            </w:r>
          </w:p>
        </w:tc>
        <w:tc>
          <w:tcPr>
            <w:tcW w:w="1530" w:type="dxa"/>
            <w:tcBorders>
              <w:top w:val="single" w:sz="4" w:space="0" w:color="auto"/>
            </w:tcBorders>
            <w:shd w:val="clear" w:color="auto" w:fill="auto"/>
            <w:noWrap/>
            <w:vAlign w:val="bottom"/>
            <w:hideMark/>
          </w:tcPr>
          <w:p w:rsidR="00F923F7" w:rsidRPr="00776FED" w:rsidRDefault="00F923F7" w:rsidP="00C36C9B">
            <w:pPr>
              <w:jc w:val="center"/>
              <w:rPr>
                <w:b/>
                <w:bCs/>
                <w:color w:val="000000"/>
                <w:sz w:val="20"/>
                <w:szCs w:val="20"/>
              </w:rPr>
            </w:pPr>
          </w:p>
        </w:tc>
        <w:tc>
          <w:tcPr>
            <w:tcW w:w="1784" w:type="dxa"/>
            <w:tcBorders>
              <w:top w:val="single" w:sz="4" w:space="0" w:color="auto"/>
            </w:tcBorders>
            <w:shd w:val="clear" w:color="auto" w:fill="auto"/>
            <w:noWrap/>
            <w:vAlign w:val="bottom"/>
            <w:hideMark/>
          </w:tcPr>
          <w:p w:rsidR="00F923F7" w:rsidRPr="00776FED" w:rsidRDefault="00F923F7" w:rsidP="00C36C9B">
            <w:pPr>
              <w:jc w:val="center"/>
              <w:rPr>
                <w:b/>
                <w:bCs/>
                <w:color w:val="000000"/>
                <w:sz w:val="20"/>
                <w:szCs w:val="20"/>
              </w:rPr>
            </w:pPr>
            <w:r w:rsidRPr="00776FED">
              <w:rPr>
                <w:b/>
                <w:bCs/>
                <w:color w:val="000000"/>
                <w:sz w:val="20"/>
                <w:szCs w:val="20"/>
              </w:rPr>
              <w:t> </w:t>
            </w:r>
          </w:p>
        </w:tc>
      </w:tr>
      <w:tr w:rsidR="00DF5331" w:rsidRPr="00FA77EF" w:rsidTr="004001A3">
        <w:trPr>
          <w:trHeight w:val="262"/>
          <w:jc w:val="center"/>
        </w:trPr>
        <w:tc>
          <w:tcPr>
            <w:tcW w:w="3764" w:type="dxa"/>
            <w:shd w:val="clear" w:color="auto" w:fill="auto"/>
            <w:noWrap/>
            <w:vAlign w:val="bottom"/>
            <w:hideMark/>
          </w:tcPr>
          <w:p w:rsidR="00F923F7" w:rsidRPr="00776FED" w:rsidRDefault="00F923F7" w:rsidP="00C36C9B">
            <w:pPr>
              <w:rPr>
                <w:color w:val="000000"/>
                <w:sz w:val="20"/>
                <w:szCs w:val="20"/>
              </w:rPr>
            </w:pPr>
            <w:r w:rsidRPr="00776FED">
              <w:rPr>
                <w:color w:val="000000"/>
                <w:sz w:val="20"/>
                <w:szCs w:val="20"/>
              </w:rPr>
              <w:t>5/8” x 3/4”  Meter Size</w:t>
            </w:r>
          </w:p>
        </w:tc>
        <w:tc>
          <w:tcPr>
            <w:tcW w:w="1440" w:type="dxa"/>
            <w:shd w:val="clear" w:color="auto" w:fill="auto"/>
            <w:noWrap/>
            <w:vAlign w:val="bottom"/>
            <w:hideMark/>
          </w:tcPr>
          <w:p w:rsidR="00F923F7" w:rsidRPr="00776FED" w:rsidRDefault="00F923F7" w:rsidP="00984A59">
            <w:pPr>
              <w:jc w:val="right"/>
              <w:rPr>
                <w:color w:val="000000"/>
                <w:sz w:val="20"/>
                <w:szCs w:val="20"/>
              </w:rPr>
            </w:pPr>
            <w:r w:rsidRPr="00776FED">
              <w:rPr>
                <w:color w:val="000000"/>
                <w:sz w:val="20"/>
                <w:szCs w:val="20"/>
              </w:rPr>
              <w:t>$1</w:t>
            </w:r>
            <w:r w:rsidR="00984A59">
              <w:rPr>
                <w:color w:val="000000"/>
                <w:sz w:val="20"/>
                <w:szCs w:val="20"/>
              </w:rPr>
              <w:t>2</w:t>
            </w:r>
            <w:r w:rsidRPr="00776FED">
              <w:rPr>
                <w:color w:val="000000"/>
                <w:sz w:val="20"/>
                <w:szCs w:val="20"/>
              </w:rPr>
              <w:t>.</w:t>
            </w:r>
            <w:r w:rsidR="00984A59">
              <w:rPr>
                <w:color w:val="000000"/>
                <w:sz w:val="20"/>
                <w:szCs w:val="20"/>
              </w:rPr>
              <w:t>64</w:t>
            </w:r>
          </w:p>
        </w:tc>
        <w:tc>
          <w:tcPr>
            <w:tcW w:w="2070" w:type="dxa"/>
            <w:shd w:val="clear" w:color="auto" w:fill="auto"/>
            <w:noWrap/>
            <w:vAlign w:val="bottom"/>
            <w:hideMark/>
          </w:tcPr>
          <w:p w:rsidR="00F923F7" w:rsidRPr="00776FED" w:rsidRDefault="00F923F7" w:rsidP="00BD3358">
            <w:pPr>
              <w:jc w:val="right"/>
              <w:rPr>
                <w:color w:val="000000"/>
                <w:sz w:val="20"/>
                <w:szCs w:val="20"/>
              </w:rPr>
            </w:pPr>
            <w:r w:rsidRPr="00776FED">
              <w:rPr>
                <w:color w:val="000000"/>
                <w:sz w:val="20"/>
                <w:szCs w:val="20"/>
              </w:rPr>
              <w:t>$1</w:t>
            </w:r>
            <w:r w:rsidR="00144F2E">
              <w:rPr>
                <w:color w:val="000000"/>
                <w:sz w:val="20"/>
                <w:szCs w:val="20"/>
              </w:rPr>
              <w:t>5</w:t>
            </w:r>
            <w:r w:rsidRPr="00776FED">
              <w:rPr>
                <w:color w:val="000000"/>
                <w:sz w:val="20"/>
                <w:szCs w:val="20"/>
              </w:rPr>
              <w:t>.</w:t>
            </w:r>
            <w:r w:rsidR="00D1658D">
              <w:rPr>
                <w:color w:val="000000"/>
                <w:sz w:val="20"/>
                <w:szCs w:val="20"/>
              </w:rPr>
              <w:t>10</w:t>
            </w:r>
          </w:p>
        </w:tc>
        <w:tc>
          <w:tcPr>
            <w:tcW w:w="1530" w:type="dxa"/>
            <w:shd w:val="clear" w:color="auto" w:fill="auto"/>
            <w:noWrap/>
            <w:vAlign w:val="bottom"/>
            <w:hideMark/>
          </w:tcPr>
          <w:p w:rsidR="00F923F7" w:rsidRPr="00776FED" w:rsidRDefault="00F923F7" w:rsidP="00B92F49">
            <w:pPr>
              <w:jc w:val="right"/>
              <w:rPr>
                <w:color w:val="000000"/>
                <w:sz w:val="20"/>
                <w:szCs w:val="20"/>
              </w:rPr>
            </w:pPr>
            <w:r w:rsidRPr="00776FED">
              <w:rPr>
                <w:color w:val="000000"/>
                <w:sz w:val="20"/>
                <w:szCs w:val="20"/>
              </w:rPr>
              <w:t>$</w:t>
            </w:r>
            <w:r w:rsidR="00144F2E">
              <w:rPr>
                <w:color w:val="000000"/>
                <w:sz w:val="20"/>
                <w:szCs w:val="20"/>
              </w:rPr>
              <w:t>13</w:t>
            </w:r>
            <w:r w:rsidRPr="00776FED">
              <w:rPr>
                <w:color w:val="000000"/>
                <w:sz w:val="20"/>
                <w:szCs w:val="20"/>
              </w:rPr>
              <w:t>.</w:t>
            </w:r>
            <w:r w:rsidR="00D1658D">
              <w:rPr>
                <w:color w:val="000000"/>
                <w:sz w:val="20"/>
                <w:szCs w:val="20"/>
              </w:rPr>
              <w:t>72</w:t>
            </w:r>
          </w:p>
        </w:tc>
        <w:tc>
          <w:tcPr>
            <w:tcW w:w="1784" w:type="dxa"/>
            <w:shd w:val="clear" w:color="auto" w:fill="auto"/>
            <w:noWrap/>
            <w:vAlign w:val="bottom"/>
            <w:hideMark/>
          </w:tcPr>
          <w:p w:rsidR="00F923F7" w:rsidRPr="00776FED" w:rsidRDefault="00F923F7" w:rsidP="00DF5331">
            <w:pPr>
              <w:jc w:val="right"/>
              <w:rPr>
                <w:color w:val="000000"/>
                <w:sz w:val="20"/>
                <w:szCs w:val="20"/>
              </w:rPr>
            </w:pPr>
            <w:r>
              <w:rPr>
                <w:color w:val="000000"/>
                <w:sz w:val="20"/>
                <w:szCs w:val="20"/>
              </w:rPr>
              <w:t>$1</w:t>
            </w:r>
            <w:r w:rsidR="00CC3252">
              <w:rPr>
                <w:color w:val="000000"/>
                <w:sz w:val="20"/>
                <w:szCs w:val="20"/>
              </w:rPr>
              <w:t>6</w:t>
            </w:r>
            <w:r>
              <w:rPr>
                <w:color w:val="000000"/>
                <w:sz w:val="20"/>
                <w:szCs w:val="20"/>
              </w:rPr>
              <w:t>.</w:t>
            </w:r>
            <w:r w:rsidR="00D1658D">
              <w:rPr>
                <w:color w:val="000000"/>
                <w:sz w:val="20"/>
                <w:szCs w:val="20"/>
              </w:rPr>
              <w:t>20</w:t>
            </w:r>
          </w:p>
        </w:tc>
      </w:tr>
      <w:tr w:rsidR="00DF5331" w:rsidRPr="00FA77EF" w:rsidTr="004001A3">
        <w:trPr>
          <w:trHeight w:val="262"/>
          <w:jc w:val="center"/>
        </w:trPr>
        <w:tc>
          <w:tcPr>
            <w:tcW w:w="3764" w:type="dxa"/>
            <w:shd w:val="clear" w:color="auto" w:fill="auto"/>
            <w:noWrap/>
            <w:vAlign w:val="bottom"/>
            <w:hideMark/>
          </w:tcPr>
          <w:p w:rsidR="00F923F7" w:rsidRPr="00776FED" w:rsidRDefault="00F923F7" w:rsidP="00C36C9B">
            <w:pPr>
              <w:rPr>
                <w:color w:val="000000"/>
                <w:sz w:val="20"/>
                <w:szCs w:val="20"/>
              </w:rPr>
            </w:pPr>
            <w:r w:rsidRPr="00776FED">
              <w:rPr>
                <w:color w:val="000000"/>
                <w:sz w:val="20"/>
                <w:szCs w:val="20"/>
              </w:rPr>
              <w:t> </w:t>
            </w:r>
          </w:p>
        </w:tc>
        <w:tc>
          <w:tcPr>
            <w:tcW w:w="1440" w:type="dxa"/>
            <w:shd w:val="clear" w:color="auto" w:fill="auto"/>
            <w:noWrap/>
            <w:vAlign w:val="bottom"/>
            <w:hideMark/>
          </w:tcPr>
          <w:p w:rsidR="00F923F7" w:rsidRPr="00776FED" w:rsidRDefault="00F923F7" w:rsidP="00C36C9B">
            <w:pPr>
              <w:jc w:val="right"/>
              <w:rPr>
                <w:color w:val="000000"/>
                <w:sz w:val="20"/>
                <w:szCs w:val="20"/>
              </w:rPr>
            </w:pPr>
          </w:p>
        </w:tc>
        <w:tc>
          <w:tcPr>
            <w:tcW w:w="2070" w:type="dxa"/>
            <w:shd w:val="clear" w:color="auto" w:fill="auto"/>
            <w:noWrap/>
            <w:vAlign w:val="bottom"/>
            <w:hideMark/>
          </w:tcPr>
          <w:p w:rsidR="00F923F7" w:rsidRPr="00776FED" w:rsidRDefault="00F923F7" w:rsidP="00C36C9B">
            <w:pPr>
              <w:jc w:val="right"/>
              <w:rPr>
                <w:color w:val="000000"/>
                <w:sz w:val="20"/>
                <w:szCs w:val="20"/>
              </w:rPr>
            </w:pPr>
          </w:p>
        </w:tc>
        <w:tc>
          <w:tcPr>
            <w:tcW w:w="1530" w:type="dxa"/>
            <w:shd w:val="clear" w:color="auto" w:fill="auto"/>
            <w:noWrap/>
            <w:vAlign w:val="bottom"/>
            <w:hideMark/>
          </w:tcPr>
          <w:p w:rsidR="00F923F7" w:rsidRPr="00776FED" w:rsidRDefault="00F923F7" w:rsidP="00C36C9B">
            <w:pPr>
              <w:jc w:val="right"/>
              <w:rPr>
                <w:color w:val="000000"/>
                <w:sz w:val="20"/>
                <w:szCs w:val="20"/>
              </w:rPr>
            </w:pPr>
          </w:p>
        </w:tc>
        <w:tc>
          <w:tcPr>
            <w:tcW w:w="1784" w:type="dxa"/>
            <w:shd w:val="clear" w:color="auto" w:fill="auto"/>
            <w:noWrap/>
            <w:vAlign w:val="bottom"/>
            <w:hideMark/>
          </w:tcPr>
          <w:p w:rsidR="00F923F7" w:rsidRPr="00776FED" w:rsidRDefault="00F923F7" w:rsidP="00C36C9B">
            <w:pPr>
              <w:jc w:val="right"/>
              <w:rPr>
                <w:color w:val="000000"/>
                <w:sz w:val="20"/>
                <w:szCs w:val="20"/>
              </w:rPr>
            </w:pPr>
            <w:r w:rsidRPr="00776FED">
              <w:rPr>
                <w:color w:val="000000"/>
                <w:sz w:val="20"/>
                <w:szCs w:val="20"/>
              </w:rPr>
              <w:t> </w:t>
            </w:r>
          </w:p>
        </w:tc>
      </w:tr>
      <w:tr w:rsidR="00DF5331" w:rsidRPr="00FA77EF" w:rsidTr="004001A3">
        <w:trPr>
          <w:trHeight w:val="262"/>
          <w:jc w:val="center"/>
        </w:trPr>
        <w:tc>
          <w:tcPr>
            <w:tcW w:w="3764" w:type="dxa"/>
            <w:shd w:val="clear" w:color="auto" w:fill="auto"/>
            <w:noWrap/>
            <w:vAlign w:val="bottom"/>
            <w:hideMark/>
          </w:tcPr>
          <w:p w:rsidR="00F923F7" w:rsidRPr="00776FED" w:rsidRDefault="00F923F7" w:rsidP="002868E4">
            <w:pPr>
              <w:rPr>
                <w:sz w:val="20"/>
                <w:szCs w:val="20"/>
              </w:rPr>
            </w:pPr>
            <w:r w:rsidRPr="00776FED">
              <w:rPr>
                <w:sz w:val="20"/>
                <w:szCs w:val="20"/>
              </w:rPr>
              <w:t>Charge per 1,000 gallons</w:t>
            </w:r>
            <w:r w:rsidR="002868E4">
              <w:rPr>
                <w:sz w:val="20"/>
                <w:szCs w:val="20"/>
              </w:rPr>
              <w:t xml:space="preserve"> – Residential</w:t>
            </w:r>
            <w:r w:rsidRPr="00776FED">
              <w:rPr>
                <w:sz w:val="20"/>
                <w:szCs w:val="20"/>
              </w:rPr>
              <w:t xml:space="preserve">  </w:t>
            </w:r>
          </w:p>
        </w:tc>
        <w:tc>
          <w:tcPr>
            <w:tcW w:w="1440" w:type="dxa"/>
            <w:shd w:val="clear" w:color="auto" w:fill="auto"/>
            <w:noWrap/>
            <w:vAlign w:val="bottom"/>
            <w:hideMark/>
          </w:tcPr>
          <w:p w:rsidR="00F923F7" w:rsidRPr="00776FED" w:rsidRDefault="00F923F7" w:rsidP="00C36C9B">
            <w:pPr>
              <w:jc w:val="right"/>
              <w:rPr>
                <w:color w:val="000000"/>
                <w:sz w:val="20"/>
                <w:szCs w:val="20"/>
              </w:rPr>
            </w:pPr>
          </w:p>
        </w:tc>
        <w:tc>
          <w:tcPr>
            <w:tcW w:w="2070" w:type="dxa"/>
            <w:shd w:val="clear" w:color="auto" w:fill="auto"/>
            <w:noWrap/>
            <w:vAlign w:val="bottom"/>
            <w:hideMark/>
          </w:tcPr>
          <w:p w:rsidR="00F923F7" w:rsidRPr="00776FED" w:rsidRDefault="00F923F7" w:rsidP="00C36C9B">
            <w:pPr>
              <w:jc w:val="right"/>
              <w:rPr>
                <w:color w:val="000000"/>
                <w:sz w:val="20"/>
                <w:szCs w:val="20"/>
              </w:rPr>
            </w:pPr>
          </w:p>
        </w:tc>
        <w:tc>
          <w:tcPr>
            <w:tcW w:w="1530" w:type="dxa"/>
            <w:shd w:val="clear" w:color="auto" w:fill="auto"/>
            <w:noWrap/>
            <w:vAlign w:val="bottom"/>
            <w:hideMark/>
          </w:tcPr>
          <w:p w:rsidR="00F923F7" w:rsidRPr="00776FED" w:rsidRDefault="00F923F7" w:rsidP="00C36C9B">
            <w:pPr>
              <w:jc w:val="right"/>
              <w:rPr>
                <w:color w:val="000000"/>
                <w:sz w:val="20"/>
                <w:szCs w:val="20"/>
              </w:rPr>
            </w:pPr>
          </w:p>
        </w:tc>
        <w:tc>
          <w:tcPr>
            <w:tcW w:w="1784" w:type="dxa"/>
            <w:shd w:val="clear" w:color="auto" w:fill="auto"/>
            <w:noWrap/>
            <w:vAlign w:val="bottom"/>
            <w:hideMark/>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F923F7" w:rsidRPr="00776FED" w:rsidRDefault="00F923F7" w:rsidP="00C36C9B">
            <w:pPr>
              <w:rPr>
                <w:sz w:val="20"/>
                <w:szCs w:val="20"/>
              </w:rPr>
            </w:pPr>
          </w:p>
        </w:tc>
        <w:tc>
          <w:tcPr>
            <w:tcW w:w="1440" w:type="dxa"/>
            <w:shd w:val="clear" w:color="auto" w:fill="auto"/>
            <w:noWrap/>
            <w:vAlign w:val="bottom"/>
          </w:tcPr>
          <w:p w:rsidR="00F923F7" w:rsidRPr="00776FED" w:rsidRDefault="00F923F7" w:rsidP="00C36C9B">
            <w:pPr>
              <w:jc w:val="right"/>
              <w:rPr>
                <w:color w:val="000000"/>
                <w:sz w:val="20"/>
                <w:szCs w:val="20"/>
              </w:rPr>
            </w:pP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C36C9B">
            <w:pPr>
              <w:jc w:val="right"/>
              <w:rPr>
                <w:color w:val="000000"/>
                <w:sz w:val="20"/>
                <w:szCs w:val="20"/>
              </w:rPr>
            </w:pPr>
          </w:p>
        </w:tc>
        <w:tc>
          <w:tcPr>
            <w:tcW w:w="1784" w:type="dxa"/>
            <w:shd w:val="clear" w:color="auto" w:fill="auto"/>
            <w:noWrap/>
            <w:vAlign w:val="bottom"/>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F923F7" w:rsidRPr="00776FED" w:rsidRDefault="00F923F7" w:rsidP="00C36C9B">
            <w:pPr>
              <w:rPr>
                <w:sz w:val="20"/>
                <w:szCs w:val="20"/>
              </w:rPr>
            </w:pPr>
            <w:r w:rsidRPr="00776FED">
              <w:rPr>
                <w:sz w:val="20"/>
                <w:szCs w:val="20"/>
              </w:rPr>
              <w:t>0-3,000 gallons</w:t>
            </w:r>
          </w:p>
        </w:tc>
        <w:tc>
          <w:tcPr>
            <w:tcW w:w="1440" w:type="dxa"/>
            <w:shd w:val="clear" w:color="auto" w:fill="auto"/>
            <w:noWrap/>
            <w:vAlign w:val="bottom"/>
          </w:tcPr>
          <w:p w:rsidR="00F923F7" w:rsidRPr="00776FED" w:rsidRDefault="00984A59" w:rsidP="00C36C9B">
            <w:pPr>
              <w:jc w:val="right"/>
              <w:rPr>
                <w:sz w:val="20"/>
                <w:szCs w:val="20"/>
              </w:rPr>
            </w:pPr>
            <w:r>
              <w:rPr>
                <w:sz w:val="20"/>
                <w:szCs w:val="20"/>
              </w:rPr>
              <w:t>$4.47</w:t>
            </w: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C36C9B">
            <w:pPr>
              <w:jc w:val="right"/>
              <w:rPr>
                <w:color w:val="000000"/>
                <w:sz w:val="20"/>
                <w:szCs w:val="20"/>
              </w:rPr>
            </w:pPr>
          </w:p>
        </w:tc>
        <w:tc>
          <w:tcPr>
            <w:tcW w:w="1784" w:type="dxa"/>
            <w:shd w:val="clear" w:color="auto" w:fill="auto"/>
            <w:noWrap/>
            <w:vAlign w:val="bottom"/>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F923F7" w:rsidRPr="00776FED" w:rsidRDefault="00F923F7" w:rsidP="00984A59">
            <w:pPr>
              <w:rPr>
                <w:sz w:val="20"/>
                <w:szCs w:val="20"/>
              </w:rPr>
            </w:pPr>
            <w:r w:rsidRPr="00776FED">
              <w:rPr>
                <w:sz w:val="20"/>
                <w:szCs w:val="20"/>
              </w:rPr>
              <w:t>3,001</w:t>
            </w:r>
            <w:r w:rsidR="00984A59">
              <w:rPr>
                <w:sz w:val="20"/>
                <w:szCs w:val="20"/>
              </w:rPr>
              <w:t>-6,</w:t>
            </w:r>
            <w:r w:rsidRPr="00776FED">
              <w:rPr>
                <w:sz w:val="20"/>
                <w:szCs w:val="20"/>
              </w:rPr>
              <w:t>000 gallons</w:t>
            </w:r>
          </w:p>
        </w:tc>
        <w:tc>
          <w:tcPr>
            <w:tcW w:w="1440" w:type="dxa"/>
            <w:shd w:val="clear" w:color="auto" w:fill="auto"/>
            <w:noWrap/>
            <w:vAlign w:val="bottom"/>
          </w:tcPr>
          <w:p w:rsidR="00F923F7" w:rsidRPr="00776FED" w:rsidRDefault="00984A59" w:rsidP="00C36C9B">
            <w:pPr>
              <w:jc w:val="right"/>
              <w:rPr>
                <w:sz w:val="20"/>
                <w:szCs w:val="20"/>
              </w:rPr>
            </w:pPr>
            <w:r>
              <w:rPr>
                <w:sz w:val="20"/>
                <w:szCs w:val="20"/>
              </w:rPr>
              <w:t>$5.66</w:t>
            </w: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C36C9B">
            <w:pPr>
              <w:jc w:val="right"/>
              <w:rPr>
                <w:color w:val="000000"/>
                <w:sz w:val="20"/>
                <w:szCs w:val="20"/>
              </w:rPr>
            </w:pPr>
          </w:p>
        </w:tc>
        <w:tc>
          <w:tcPr>
            <w:tcW w:w="1784" w:type="dxa"/>
            <w:shd w:val="clear" w:color="auto" w:fill="auto"/>
            <w:noWrap/>
            <w:vAlign w:val="bottom"/>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F923F7" w:rsidRPr="00776FED" w:rsidRDefault="00984A59" w:rsidP="00C36C9B">
            <w:pPr>
              <w:rPr>
                <w:sz w:val="20"/>
                <w:szCs w:val="20"/>
              </w:rPr>
            </w:pPr>
            <w:r>
              <w:rPr>
                <w:sz w:val="20"/>
                <w:szCs w:val="20"/>
              </w:rPr>
              <w:t>Over 6</w:t>
            </w:r>
            <w:r w:rsidR="00F923F7" w:rsidRPr="00776FED">
              <w:rPr>
                <w:sz w:val="20"/>
                <w:szCs w:val="20"/>
              </w:rPr>
              <w:t>,000 gallons</w:t>
            </w:r>
          </w:p>
        </w:tc>
        <w:tc>
          <w:tcPr>
            <w:tcW w:w="1440" w:type="dxa"/>
            <w:shd w:val="clear" w:color="auto" w:fill="auto"/>
            <w:noWrap/>
            <w:vAlign w:val="bottom"/>
          </w:tcPr>
          <w:p w:rsidR="00F923F7" w:rsidRPr="00776FED" w:rsidRDefault="00984A59" w:rsidP="00C36C9B">
            <w:pPr>
              <w:jc w:val="right"/>
              <w:rPr>
                <w:sz w:val="20"/>
                <w:szCs w:val="20"/>
              </w:rPr>
            </w:pPr>
            <w:r>
              <w:rPr>
                <w:sz w:val="20"/>
                <w:szCs w:val="20"/>
              </w:rPr>
              <w:t>$7.88</w:t>
            </w: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C36C9B">
            <w:pPr>
              <w:jc w:val="right"/>
              <w:rPr>
                <w:color w:val="000000"/>
                <w:sz w:val="20"/>
                <w:szCs w:val="20"/>
              </w:rPr>
            </w:pPr>
          </w:p>
        </w:tc>
        <w:tc>
          <w:tcPr>
            <w:tcW w:w="1784" w:type="dxa"/>
            <w:shd w:val="clear" w:color="auto" w:fill="auto"/>
            <w:noWrap/>
            <w:vAlign w:val="bottom"/>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F923F7" w:rsidRPr="00776FED" w:rsidRDefault="00F923F7" w:rsidP="00C36C9B">
            <w:pPr>
              <w:rPr>
                <w:sz w:val="20"/>
                <w:szCs w:val="20"/>
              </w:rPr>
            </w:pPr>
          </w:p>
        </w:tc>
        <w:tc>
          <w:tcPr>
            <w:tcW w:w="1440" w:type="dxa"/>
            <w:shd w:val="clear" w:color="auto" w:fill="auto"/>
            <w:noWrap/>
            <w:vAlign w:val="bottom"/>
          </w:tcPr>
          <w:p w:rsidR="00F923F7" w:rsidRPr="00776FED" w:rsidRDefault="00F923F7" w:rsidP="00C36C9B">
            <w:pPr>
              <w:jc w:val="right"/>
              <w:rPr>
                <w:sz w:val="20"/>
                <w:szCs w:val="20"/>
              </w:rPr>
            </w:pP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C36C9B">
            <w:pPr>
              <w:jc w:val="right"/>
              <w:rPr>
                <w:color w:val="000000"/>
                <w:sz w:val="20"/>
                <w:szCs w:val="20"/>
              </w:rPr>
            </w:pPr>
          </w:p>
        </w:tc>
        <w:tc>
          <w:tcPr>
            <w:tcW w:w="1784" w:type="dxa"/>
            <w:shd w:val="clear" w:color="auto" w:fill="auto"/>
            <w:noWrap/>
            <w:vAlign w:val="bottom"/>
          </w:tcPr>
          <w:p w:rsidR="00F923F7" w:rsidRPr="00776FED" w:rsidRDefault="00F923F7" w:rsidP="00C36C9B">
            <w:pPr>
              <w:jc w:val="right"/>
              <w:rPr>
                <w:color w:val="000000"/>
                <w:sz w:val="20"/>
                <w:szCs w:val="20"/>
              </w:rPr>
            </w:pPr>
          </w:p>
        </w:tc>
      </w:tr>
      <w:tr w:rsidR="00DF5331" w:rsidRPr="00FA77EF" w:rsidTr="004001A3">
        <w:trPr>
          <w:trHeight w:val="262"/>
          <w:jc w:val="center"/>
        </w:trPr>
        <w:tc>
          <w:tcPr>
            <w:tcW w:w="3764" w:type="dxa"/>
            <w:shd w:val="clear" w:color="auto" w:fill="auto"/>
            <w:noWrap/>
            <w:vAlign w:val="bottom"/>
          </w:tcPr>
          <w:p w:rsidR="002868E4" w:rsidRPr="00776FED" w:rsidRDefault="002868E4" w:rsidP="00C36C9B">
            <w:pPr>
              <w:rPr>
                <w:sz w:val="20"/>
                <w:szCs w:val="20"/>
              </w:rPr>
            </w:pPr>
            <w:r>
              <w:rPr>
                <w:sz w:val="20"/>
                <w:szCs w:val="20"/>
              </w:rPr>
              <w:t>0-3,000 gallons</w:t>
            </w:r>
          </w:p>
        </w:tc>
        <w:tc>
          <w:tcPr>
            <w:tcW w:w="1440" w:type="dxa"/>
            <w:shd w:val="clear" w:color="auto" w:fill="auto"/>
            <w:noWrap/>
            <w:vAlign w:val="bottom"/>
          </w:tcPr>
          <w:p w:rsidR="002868E4" w:rsidRPr="00776FED" w:rsidRDefault="002868E4" w:rsidP="00C36C9B">
            <w:pPr>
              <w:jc w:val="right"/>
              <w:rPr>
                <w:sz w:val="20"/>
                <w:szCs w:val="20"/>
              </w:rPr>
            </w:pPr>
          </w:p>
        </w:tc>
        <w:tc>
          <w:tcPr>
            <w:tcW w:w="2070"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$7.05</w:t>
            </w:r>
          </w:p>
        </w:tc>
        <w:tc>
          <w:tcPr>
            <w:tcW w:w="1530"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$7.83</w:t>
            </w:r>
          </w:p>
        </w:tc>
        <w:tc>
          <w:tcPr>
            <w:tcW w:w="1784"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$6.42</w:t>
            </w:r>
          </w:p>
        </w:tc>
      </w:tr>
      <w:tr w:rsidR="00DF5331" w:rsidRPr="00FA77EF" w:rsidTr="004001A3">
        <w:trPr>
          <w:trHeight w:val="262"/>
          <w:jc w:val="center"/>
        </w:trPr>
        <w:tc>
          <w:tcPr>
            <w:tcW w:w="3764" w:type="dxa"/>
            <w:shd w:val="clear" w:color="auto" w:fill="auto"/>
            <w:noWrap/>
            <w:vAlign w:val="bottom"/>
          </w:tcPr>
          <w:p w:rsidR="002868E4" w:rsidRPr="00776FED" w:rsidRDefault="002868E4" w:rsidP="00C36C9B">
            <w:pPr>
              <w:rPr>
                <w:sz w:val="20"/>
                <w:szCs w:val="20"/>
              </w:rPr>
            </w:pPr>
            <w:r>
              <w:rPr>
                <w:sz w:val="20"/>
                <w:szCs w:val="20"/>
              </w:rPr>
              <w:t>Over 3,000 gallons</w:t>
            </w:r>
          </w:p>
        </w:tc>
        <w:tc>
          <w:tcPr>
            <w:tcW w:w="1440" w:type="dxa"/>
            <w:shd w:val="clear" w:color="auto" w:fill="auto"/>
            <w:noWrap/>
            <w:vAlign w:val="bottom"/>
          </w:tcPr>
          <w:p w:rsidR="002868E4" w:rsidRPr="00776FED" w:rsidRDefault="002868E4" w:rsidP="00C36C9B">
            <w:pPr>
              <w:jc w:val="right"/>
              <w:rPr>
                <w:sz w:val="20"/>
                <w:szCs w:val="20"/>
              </w:rPr>
            </w:pPr>
          </w:p>
        </w:tc>
        <w:tc>
          <w:tcPr>
            <w:tcW w:w="2070"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$7.88</w:t>
            </w:r>
          </w:p>
        </w:tc>
        <w:tc>
          <w:tcPr>
            <w:tcW w:w="1530"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$8.95</w:t>
            </w:r>
          </w:p>
        </w:tc>
        <w:tc>
          <w:tcPr>
            <w:tcW w:w="1784" w:type="dxa"/>
            <w:shd w:val="clear" w:color="auto" w:fill="auto"/>
            <w:noWrap/>
            <w:vAlign w:val="bottom"/>
          </w:tcPr>
          <w:p w:rsidR="002868E4" w:rsidRPr="00776FED" w:rsidRDefault="00D1658D" w:rsidP="00C36C9B">
            <w:pPr>
              <w:jc w:val="right"/>
              <w:rPr>
                <w:color w:val="000000"/>
                <w:sz w:val="20"/>
                <w:szCs w:val="20"/>
              </w:rPr>
            </w:pPr>
            <w:r>
              <w:rPr>
                <w:color w:val="000000"/>
                <w:sz w:val="20"/>
                <w:szCs w:val="20"/>
              </w:rPr>
              <w:t>$7.06</w:t>
            </w:r>
          </w:p>
        </w:tc>
      </w:tr>
      <w:tr w:rsidR="00DF5331" w:rsidRPr="00FA77EF" w:rsidTr="004001A3">
        <w:trPr>
          <w:trHeight w:val="262"/>
          <w:jc w:val="center"/>
        </w:trPr>
        <w:tc>
          <w:tcPr>
            <w:tcW w:w="3764" w:type="dxa"/>
            <w:shd w:val="clear" w:color="auto" w:fill="auto"/>
            <w:noWrap/>
            <w:vAlign w:val="bottom"/>
          </w:tcPr>
          <w:p w:rsidR="002868E4" w:rsidRPr="00776FED" w:rsidRDefault="002868E4" w:rsidP="00C36C9B">
            <w:pPr>
              <w:rPr>
                <w:sz w:val="20"/>
                <w:szCs w:val="20"/>
              </w:rPr>
            </w:pPr>
          </w:p>
        </w:tc>
        <w:tc>
          <w:tcPr>
            <w:tcW w:w="1440" w:type="dxa"/>
            <w:shd w:val="clear" w:color="auto" w:fill="auto"/>
            <w:noWrap/>
            <w:vAlign w:val="bottom"/>
          </w:tcPr>
          <w:p w:rsidR="002868E4" w:rsidRPr="00776FED" w:rsidRDefault="002868E4" w:rsidP="00C36C9B">
            <w:pPr>
              <w:jc w:val="right"/>
              <w:rPr>
                <w:sz w:val="20"/>
                <w:szCs w:val="20"/>
              </w:rPr>
            </w:pPr>
          </w:p>
        </w:tc>
        <w:tc>
          <w:tcPr>
            <w:tcW w:w="2070" w:type="dxa"/>
            <w:shd w:val="clear" w:color="auto" w:fill="auto"/>
            <w:noWrap/>
            <w:vAlign w:val="bottom"/>
          </w:tcPr>
          <w:p w:rsidR="002868E4" w:rsidRPr="00776FED" w:rsidRDefault="002868E4" w:rsidP="00C36C9B">
            <w:pPr>
              <w:jc w:val="right"/>
              <w:rPr>
                <w:color w:val="000000"/>
                <w:sz w:val="20"/>
                <w:szCs w:val="20"/>
              </w:rPr>
            </w:pPr>
          </w:p>
        </w:tc>
        <w:tc>
          <w:tcPr>
            <w:tcW w:w="1530" w:type="dxa"/>
            <w:shd w:val="clear" w:color="auto" w:fill="auto"/>
            <w:noWrap/>
            <w:vAlign w:val="bottom"/>
          </w:tcPr>
          <w:p w:rsidR="002868E4" w:rsidRPr="00776FED" w:rsidRDefault="002868E4" w:rsidP="00C36C9B">
            <w:pPr>
              <w:jc w:val="right"/>
              <w:rPr>
                <w:color w:val="000000"/>
                <w:sz w:val="20"/>
                <w:szCs w:val="20"/>
              </w:rPr>
            </w:pPr>
          </w:p>
        </w:tc>
        <w:tc>
          <w:tcPr>
            <w:tcW w:w="1784" w:type="dxa"/>
            <w:shd w:val="clear" w:color="auto" w:fill="auto"/>
            <w:noWrap/>
            <w:vAlign w:val="bottom"/>
          </w:tcPr>
          <w:p w:rsidR="002868E4" w:rsidRPr="00776FED" w:rsidRDefault="002868E4" w:rsidP="00C36C9B">
            <w:pPr>
              <w:jc w:val="right"/>
              <w:rPr>
                <w:color w:val="000000"/>
                <w:sz w:val="20"/>
                <w:szCs w:val="20"/>
              </w:rPr>
            </w:pPr>
          </w:p>
        </w:tc>
      </w:tr>
      <w:tr w:rsidR="00DF5331" w:rsidRPr="00FA77EF" w:rsidTr="004001A3">
        <w:trPr>
          <w:trHeight w:val="314"/>
          <w:jc w:val="center"/>
        </w:trPr>
        <w:tc>
          <w:tcPr>
            <w:tcW w:w="3764" w:type="dxa"/>
            <w:shd w:val="clear" w:color="auto" w:fill="auto"/>
            <w:noWrap/>
            <w:vAlign w:val="bottom"/>
          </w:tcPr>
          <w:p w:rsidR="002868E4" w:rsidRPr="00776FED" w:rsidRDefault="002868E4" w:rsidP="002868E4">
            <w:pPr>
              <w:rPr>
                <w:sz w:val="20"/>
                <w:szCs w:val="20"/>
              </w:rPr>
            </w:pPr>
            <w:r>
              <w:rPr>
                <w:sz w:val="20"/>
                <w:szCs w:val="20"/>
              </w:rPr>
              <w:t xml:space="preserve">Charge </w:t>
            </w:r>
            <w:r w:rsidR="00BD3358">
              <w:rPr>
                <w:sz w:val="20"/>
                <w:szCs w:val="20"/>
              </w:rPr>
              <w:t>Per 1,000 gallons</w:t>
            </w:r>
            <w:r>
              <w:rPr>
                <w:sz w:val="20"/>
                <w:szCs w:val="20"/>
              </w:rPr>
              <w:t>- General Service</w:t>
            </w:r>
          </w:p>
        </w:tc>
        <w:tc>
          <w:tcPr>
            <w:tcW w:w="1440" w:type="dxa"/>
            <w:shd w:val="clear" w:color="auto" w:fill="auto"/>
            <w:noWrap/>
            <w:vAlign w:val="bottom"/>
          </w:tcPr>
          <w:p w:rsidR="00F923F7" w:rsidRPr="00776FED" w:rsidRDefault="002868E4" w:rsidP="00C36C9B">
            <w:pPr>
              <w:jc w:val="right"/>
              <w:rPr>
                <w:sz w:val="20"/>
                <w:szCs w:val="20"/>
              </w:rPr>
            </w:pPr>
            <w:r>
              <w:rPr>
                <w:sz w:val="20"/>
                <w:szCs w:val="20"/>
              </w:rPr>
              <w:t>$4.81</w:t>
            </w:r>
          </w:p>
        </w:tc>
        <w:tc>
          <w:tcPr>
            <w:tcW w:w="2070" w:type="dxa"/>
            <w:shd w:val="clear" w:color="auto" w:fill="auto"/>
            <w:noWrap/>
            <w:vAlign w:val="bottom"/>
          </w:tcPr>
          <w:p w:rsidR="00F923F7" w:rsidRPr="00776FED" w:rsidRDefault="00CC3252" w:rsidP="00BD3358">
            <w:pPr>
              <w:jc w:val="right"/>
              <w:rPr>
                <w:color w:val="000000"/>
                <w:sz w:val="20"/>
                <w:szCs w:val="20"/>
              </w:rPr>
            </w:pPr>
            <w:r>
              <w:rPr>
                <w:color w:val="000000"/>
                <w:sz w:val="20"/>
                <w:szCs w:val="20"/>
              </w:rPr>
              <w:t>$7.</w:t>
            </w:r>
            <w:r w:rsidR="00D1658D">
              <w:rPr>
                <w:color w:val="000000"/>
                <w:sz w:val="20"/>
                <w:szCs w:val="20"/>
              </w:rPr>
              <w:t>15</w:t>
            </w:r>
          </w:p>
        </w:tc>
        <w:tc>
          <w:tcPr>
            <w:tcW w:w="1530" w:type="dxa"/>
            <w:shd w:val="clear" w:color="auto" w:fill="auto"/>
            <w:noWrap/>
            <w:vAlign w:val="bottom"/>
          </w:tcPr>
          <w:p w:rsidR="00F923F7" w:rsidRPr="00776FED" w:rsidRDefault="00D1658D" w:rsidP="00144F2E">
            <w:pPr>
              <w:jc w:val="right"/>
              <w:rPr>
                <w:color w:val="000000"/>
                <w:sz w:val="20"/>
                <w:szCs w:val="20"/>
              </w:rPr>
            </w:pPr>
            <w:r>
              <w:rPr>
                <w:color w:val="000000"/>
                <w:sz w:val="20"/>
                <w:szCs w:val="20"/>
              </w:rPr>
              <w:t>$7.96</w:t>
            </w:r>
          </w:p>
        </w:tc>
        <w:tc>
          <w:tcPr>
            <w:tcW w:w="1784" w:type="dxa"/>
            <w:shd w:val="clear" w:color="auto" w:fill="auto"/>
            <w:noWrap/>
            <w:vAlign w:val="bottom"/>
          </w:tcPr>
          <w:p w:rsidR="00F923F7" w:rsidRPr="00776FED" w:rsidRDefault="00CC3252" w:rsidP="00DF5331">
            <w:pPr>
              <w:jc w:val="right"/>
              <w:rPr>
                <w:color w:val="000000"/>
                <w:sz w:val="20"/>
                <w:szCs w:val="20"/>
              </w:rPr>
            </w:pPr>
            <w:r>
              <w:rPr>
                <w:color w:val="000000"/>
                <w:sz w:val="20"/>
                <w:szCs w:val="20"/>
              </w:rPr>
              <w:t>$</w:t>
            </w:r>
            <w:r w:rsidR="00E82EAE">
              <w:rPr>
                <w:color w:val="000000"/>
                <w:sz w:val="20"/>
                <w:szCs w:val="20"/>
              </w:rPr>
              <w:t>6.</w:t>
            </w:r>
            <w:r w:rsidR="00DF5331">
              <w:rPr>
                <w:color w:val="000000"/>
                <w:sz w:val="20"/>
                <w:szCs w:val="20"/>
              </w:rPr>
              <w:t>62</w:t>
            </w:r>
          </w:p>
        </w:tc>
      </w:tr>
      <w:tr w:rsidR="00DF5331" w:rsidRPr="00FA77EF" w:rsidTr="004001A3">
        <w:trPr>
          <w:trHeight w:val="262"/>
          <w:jc w:val="center"/>
        </w:trPr>
        <w:tc>
          <w:tcPr>
            <w:tcW w:w="3764" w:type="dxa"/>
            <w:shd w:val="clear" w:color="auto" w:fill="auto"/>
            <w:noWrap/>
            <w:vAlign w:val="bottom"/>
          </w:tcPr>
          <w:p w:rsidR="00F923F7" w:rsidRPr="00776FED" w:rsidRDefault="00F923F7" w:rsidP="00C36C9B">
            <w:pPr>
              <w:rPr>
                <w:sz w:val="20"/>
                <w:szCs w:val="20"/>
              </w:rPr>
            </w:pPr>
          </w:p>
        </w:tc>
        <w:tc>
          <w:tcPr>
            <w:tcW w:w="1440" w:type="dxa"/>
            <w:shd w:val="clear" w:color="auto" w:fill="auto"/>
            <w:noWrap/>
            <w:vAlign w:val="bottom"/>
          </w:tcPr>
          <w:p w:rsidR="00F923F7" w:rsidRPr="00776FED" w:rsidRDefault="00F923F7" w:rsidP="00C36C9B">
            <w:pPr>
              <w:jc w:val="right"/>
              <w:rPr>
                <w:sz w:val="20"/>
                <w:szCs w:val="20"/>
              </w:rPr>
            </w:pPr>
          </w:p>
        </w:tc>
        <w:tc>
          <w:tcPr>
            <w:tcW w:w="2070" w:type="dxa"/>
            <w:shd w:val="clear" w:color="auto" w:fill="auto"/>
            <w:noWrap/>
            <w:vAlign w:val="bottom"/>
          </w:tcPr>
          <w:p w:rsidR="00F923F7" w:rsidRPr="00776FED" w:rsidRDefault="00F923F7" w:rsidP="00C36C9B">
            <w:pPr>
              <w:jc w:val="right"/>
              <w:rPr>
                <w:color w:val="000000"/>
                <w:sz w:val="20"/>
                <w:szCs w:val="20"/>
              </w:rPr>
            </w:pPr>
          </w:p>
        </w:tc>
        <w:tc>
          <w:tcPr>
            <w:tcW w:w="1530" w:type="dxa"/>
            <w:shd w:val="clear" w:color="auto" w:fill="auto"/>
            <w:noWrap/>
            <w:vAlign w:val="bottom"/>
          </w:tcPr>
          <w:p w:rsidR="00F923F7" w:rsidRPr="00776FED" w:rsidRDefault="00F923F7" w:rsidP="00144F2E">
            <w:pPr>
              <w:jc w:val="right"/>
              <w:rPr>
                <w:color w:val="000000"/>
                <w:sz w:val="20"/>
                <w:szCs w:val="20"/>
              </w:rPr>
            </w:pPr>
          </w:p>
        </w:tc>
        <w:tc>
          <w:tcPr>
            <w:tcW w:w="1784" w:type="dxa"/>
            <w:shd w:val="clear" w:color="auto" w:fill="auto"/>
            <w:noWrap/>
            <w:vAlign w:val="bottom"/>
          </w:tcPr>
          <w:p w:rsidR="00F923F7" w:rsidRPr="00776FED" w:rsidRDefault="00F923F7" w:rsidP="00144F2E">
            <w:pPr>
              <w:jc w:val="right"/>
              <w:rPr>
                <w:color w:val="000000"/>
                <w:sz w:val="20"/>
                <w:szCs w:val="20"/>
              </w:rPr>
            </w:pPr>
          </w:p>
        </w:tc>
      </w:tr>
      <w:tr w:rsidR="00F923F7" w:rsidRPr="00FA77EF" w:rsidTr="004001A3">
        <w:trPr>
          <w:trHeight w:val="262"/>
          <w:jc w:val="center"/>
        </w:trPr>
        <w:tc>
          <w:tcPr>
            <w:tcW w:w="7274" w:type="dxa"/>
            <w:gridSpan w:val="3"/>
            <w:shd w:val="clear" w:color="auto" w:fill="auto"/>
            <w:noWrap/>
            <w:vAlign w:val="bottom"/>
            <w:hideMark/>
          </w:tcPr>
          <w:p w:rsidR="00F923F7" w:rsidRPr="00776FED" w:rsidRDefault="00F923F7" w:rsidP="00C36C9B">
            <w:pPr>
              <w:rPr>
                <w:color w:val="000000"/>
                <w:sz w:val="20"/>
                <w:szCs w:val="20"/>
              </w:rPr>
            </w:pPr>
            <w:r w:rsidRPr="00776FED">
              <w:rPr>
                <w:b/>
                <w:bCs/>
                <w:color w:val="000000"/>
                <w:sz w:val="20"/>
                <w:szCs w:val="20"/>
                <w:u w:val="single"/>
              </w:rPr>
              <w:t>Typical Residential 5/8" x 3/4" Meter Bill Comparison</w:t>
            </w:r>
          </w:p>
        </w:tc>
        <w:tc>
          <w:tcPr>
            <w:tcW w:w="3314" w:type="dxa"/>
            <w:gridSpan w:val="2"/>
            <w:shd w:val="clear" w:color="auto" w:fill="auto"/>
            <w:noWrap/>
            <w:vAlign w:val="bottom"/>
            <w:hideMark/>
          </w:tcPr>
          <w:p w:rsidR="00F923F7" w:rsidRPr="00776FED" w:rsidRDefault="00F923F7" w:rsidP="00C36C9B">
            <w:pPr>
              <w:jc w:val="right"/>
              <w:rPr>
                <w:color w:val="000000"/>
                <w:sz w:val="20"/>
                <w:szCs w:val="20"/>
              </w:rPr>
            </w:pPr>
            <w:r w:rsidRPr="00776FED">
              <w:rPr>
                <w:color w:val="000000"/>
                <w:sz w:val="20"/>
                <w:szCs w:val="20"/>
              </w:rPr>
              <w:t> </w:t>
            </w:r>
          </w:p>
        </w:tc>
      </w:tr>
      <w:tr w:rsidR="00DF5331" w:rsidRPr="00FA77EF" w:rsidTr="004001A3">
        <w:trPr>
          <w:trHeight w:val="262"/>
          <w:jc w:val="center"/>
        </w:trPr>
        <w:tc>
          <w:tcPr>
            <w:tcW w:w="3764" w:type="dxa"/>
            <w:shd w:val="clear" w:color="auto" w:fill="auto"/>
            <w:noWrap/>
            <w:vAlign w:val="bottom"/>
            <w:hideMark/>
          </w:tcPr>
          <w:p w:rsidR="00F923F7" w:rsidRPr="00776FED" w:rsidRDefault="00D1658D" w:rsidP="00D1658D">
            <w:pPr>
              <w:rPr>
                <w:color w:val="000000"/>
                <w:sz w:val="20"/>
                <w:szCs w:val="20"/>
              </w:rPr>
            </w:pPr>
            <w:r>
              <w:rPr>
                <w:color w:val="000000"/>
                <w:sz w:val="20"/>
                <w:szCs w:val="20"/>
              </w:rPr>
              <w:t>2</w:t>
            </w:r>
            <w:r w:rsidR="00F923F7" w:rsidRPr="00776FED">
              <w:rPr>
                <w:color w:val="000000"/>
                <w:sz w:val="20"/>
                <w:szCs w:val="20"/>
              </w:rPr>
              <w:t>,000 Gallons</w:t>
            </w:r>
          </w:p>
        </w:tc>
        <w:tc>
          <w:tcPr>
            <w:tcW w:w="1440" w:type="dxa"/>
            <w:shd w:val="clear" w:color="auto" w:fill="auto"/>
            <w:noWrap/>
            <w:vAlign w:val="bottom"/>
            <w:hideMark/>
          </w:tcPr>
          <w:p w:rsidR="00F923F7" w:rsidRPr="00B92F49" w:rsidRDefault="00F923F7" w:rsidP="00D1658D">
            <w:pPr>
              <w:jc w:val="right"/>
              <w:rPr>
                <w:color w:val="000000"/>
                <w:sz w:val="20"/>
                <w:szCs w:val="20"/>
              </w:rPr>
            </w:pPr>
            <w:r w:rsidRPr="00B92F49">
              <w:rPr>
                <w:color w:val="000000"/>
                <w:sz w:val="20"/>
                <w:szCs w:val="20"/>
              </w:rPr>
              <w:t>$</w:t>
            </w:r>
            <w:r w:rsidR="00D1658D">
              <w:rPr>
                <w:color w:val="000000"/>
                <w:sz w:val="20"/>
                <w:szCs w:val="20"/>
              </w:rPr>
              <w:t>21</w:t>
            </w:r>
            <w:r w:rsidR="00B92F49">
              <w:rPr>
                <w:color w:val="000000"/>
                <w:sz w:val="20"/>
                <w:szCs w:val="20"/>
              </w:rPr>
              <w:t>.</w:t>
            </w:r>
            <w:r w:rsidR="00D1658D">
              <w:rPr>
                <w:color w:val="000000"/>
                <w:sz w:val="20"/>
                <w:szCs w:val="20"/>
              </w:rPr>
              <w:t>58</w:t>
            </w:r>
            <w:r w:rsidRPr="00B92F49">
              <w:rPr>
                <w:color w:val="000000"/>
                <w:sz w:val="20"/>
                <w:szCs w:val="20"/>
              </w:rPr>
              <w:t xml:space="preserve"> </w:t>
            </w:r>
          </w:p>
        </w:tc>
        <w:tc>
          <w:tcPr>
            <w:tcW w:w="2070" w:type="dxa"/>
            <w:shd w:val="clear" w:color="auto" w:fill="auto"/>
            <w:noWrap/>
            <w:vAlign w:val="bottom"/>
            <w:hideMark/>
          </w:tcPr>
          <w:p w:rsidR="00F923F7" w:rsidRPr="00B92F49" w:rsidRDefault="00F923F7" w:rsidP="00D1658D">
            <w:pPr>
              <w:jc w:val="right"/>
              <w:rPr>
                <w:color w:val="000000"/>
                <w:sz w:val="20"/>
                <w:szCs w:val="20"/>
              </w:rPr>
            </w:pPr>
            <w:r w:rsidRPr="00B92F49">
              <w:rPr>
                <w:color w:val="000000"/>
                <w:sz w:val="20"/>
                <w:szCs w:val="20"/>
              </w:rPr>
              <w:t>$</w:t>
            </w:r>
            <w:r w:rsidR="00D1658D">
              <w:rPr>
                <w:color w:val="000000"/>
                <w:sz w:val="20"/>
                <w:szCs w:val="20"/>
              </w:rPr>
              <w:t>29.20</w:t>
            </w:r>
          </w:p>
        </w:tc>
        <w:tc>
          <w:tcPr>
            <w:tcW w:w="1530" w:type="dxa"/>
            <w:shd w:val="clear" w:color="auto" w:fill="auto"/>
            <w:noWrap/>
            <w:vAlign w:val="bottom"/>
            <w:hideMark/>
          </w:tcPr>
          <w:p w:rsidR="00F923F7" w:rsidRPr="00B92F49" w:rsidRDefault="00982C2E" w:rsidP="001553CE">
            <w:pPr>
              <w:jc w:val="right"/>
              <w:rPr>
                <w:color w:val="000000"/>
                <w:sz w:val="20"/>
                <w:szCs w:val="20"/>
              </w:rPr>
            </w:pPr>
            <w:r>
              <w:rPr>
                <w:color w:val="000000"/>
                <w:sz w:val="20"/>
                <w:szCs w:val="20"/>
              </w:rPr>
              <w:t>$</w:t>
            </w:r>
            <w:r w:rsidR="00DC1083">
              <w:rPr>
                <w:color w:val="000000"/>
                <w:sz w:val="20"/>
                <w:szCs w:val="20"/>
              </w:rPr>
              <w:t>37.21</w:t>
            </w:r>
            <w:r w:rsidR="00F923F7" w:rsidRPr="00B92F49">
              <w:rPr>
                <w:color w:val="000000"/>
                <w:sz w:val="20"/>
                <w:szCs w:val="20"/>
              </w:rPr>
              <w:t xml:space="preserve"> </w:t>
            </w:r>
          </w:p>
        </w:tc>
        <w:tc>
          <w:tcPr>
            <w:tcW w:w="1784" w:type="dxa"/>
            <w:shd w:val="clear" w:color="auto" w:fill="auto"/>
            <w:noWrap/>
            <w:vAlign w:val="bottom"/>
            <w:hideMark/>
          </w:tcPr>
          <w:p w:rsidR="00F923F7" w:rsidRPr="00B92F49" w:rsidRDefault="00F923F7" w:rsidP="00DC1083">
            <w:pPr>
              <w:jc w:val="right"/>
              <w:rPr>
                <w:color w:val="000000"/>
                <w:sz w:val="20"/>
                <w:szCs w:val="20"/>
              </w:rPr>
            </w:pPr>
            <w:r w:rsidRPr="00B92F49">
              <w:rPr>
                <w:color w:val="000000"/>
                <w:sz w:val="20"/>
                <w:szCs w:val="20"/>
              </w:rPr>
              <w:t>$</w:t>
            </w:r>
            <w:r w:rsidR="00DC1083">
              <w:rPr>
                <w:color w:val="000000"/>
                <w:sz w:val="20"/>
                <w:szCs w:val="20"/>
              </w:rPr>
              <w:t>29</w:t>
            </w:r>
            <w:r w:rsidR="00E82EAE">
              <w:rPr>
                <w:color w:val="000000"/>
                <w:sz w:val="20"/>
                <w:szCs w:val="20"/>
              </w:rPr>
              <w:t>.</w:t>
            </w:r>
            <w:r w:rsidR="00DC1083">
              <w:rPr>
                <w:color w:val="000000"/>
                <w:sz w:val="20"/>
                <w:szCs w:val="20"/>
              </w:rPr>
              <w:t>04</w:t>
            </w:r>
          </w:p>
        </w:tc>
      </w:tr>
      <w:tr w:rsidR="00DF5331" w:rsidRPr="00FA77EF" w:rsidTr="004001A3">
        <w:trPr>
          <w:trHeight w:val="262"/>
          <w:jc w:val="center"/>
        </w:trPr>
        <w:tc>
          <w:tcPr>
            <w:tcW w:w="3764" w:type="dxa"/>
            <w:shd w:val="clear" w:color="auto" w:fill="auto"/>
            <w:noWrap/>
            <w:vAlign w:val="bottom"/>
            <w:hideMark/>
          </w:tcPr>
          <w:p w:rsidR="00F923F7" w:rsidRPr="00776FED" w:rsidRDefault="00DF5331" w:rsidP="00A5355B">
            <w:pPr>
              <w:rPr>
                <w:color w:val="000000"/>
                <w:sz w:val="20"/>
                <w:szCs w:val="20"/>
              </w:rPr>
            </w:pPr>
            <w:r>
              <w:rPr>
                <w:color w:val="000000"/>
                <w:sz w:val="20"/>
                <w:szCs w:val="20"/>
              </w:rPr>
              <w:t>6</w:t>
            </w:r>
            <w:r w:rsidR="00F923F7" w:rsidRPr="00776FED">
              <w:rPr>
                <w:color w:val="000000"/>
                <w:sz w:val="20"/>
                <w:szCs w:val="20"/>
              </w:rPr>
              <w:t>,000 Gallons</w:t>
            </w:r>
          </w:p>
        </w:tc>
        <w:tc>
          <w:tcPr>
            <w:tcW w:w="1440" w:type="dxa"/>
            <w:shd w:val="clear" w:color="auto" w:fill="auto"/>
            <w:noWrap/>
            <w:vAlign w:val="bottom"/>
            <w:hideMark/>
          </w:tcPr>
          <w:p w:rsidR="00F923F7" w:rsidRPr="00B92F49" w:rsidRDefault="00F923F7" w:rsidP="00DF5331">
            <w:pPr>
              <w:jc w:val="right"/>
              <w:rPr>
                <w:color w:val="000000"/>
                <w:sz w:val="20"/>
                <w:szCs w:val="20"/>
              </w:rPr>
            </w:pPr>
            <w:r w:rsidRPr="00B92F49">
              <w:rPr>
                <w:color w:val="000000"/>
                <w:sz w:val="20"/>
                <w:szCs w:val="20"/>
              </w:rPr>
              <w:t>$</w:t>
            </w:r>
            <w:r w:rsidR="00DF5331">
              <w:rPr>
                <w:color w:val="000000"/>
                <w:sz w:val="20"/>
                <w:szCs w:val="20"/>
              </w:rPr>
              <w:t>43</w:t>
            </w:r>
            <w:r w:rsidR="00B92F49">
              <w:rPr>
                <w:color w:val="000000"/>
                <w:sz w:val="20"/>
                <w:szCs w:val="20"/>
              </w:rPr>
              <w:t>.</w:t>
            </w:r>
            <w:r w:rsidR="00DF5331">
              <w:rPr>
                <w:color w:val="000000"/>
                <w:sz w:val="20"/>
                <w:szCs w:val="20"/>
              </w:rPr>
              <w:t>03</w:t>
            </w:r>
            <w:r w:rsidRPr="00B92F49">
              <w:rPr>
                <w:color w:val="000000"/>
                <w:sz w:val="20"/>
                <w:szCs w:val="20"/>
              </w:rPr>
              <w:t xml:space="preserve"> </w:t>
            </w:r>
          </w:p>
        </w:tc>
        <w:tc>
          <w:tcPr>
            <w:tcW w:w="2070" w:type="dxa"/>
            <w:shd w:val="clear" w:color="auto" w:fill="auto"/>
            <w:noWrap/>
            <w:vAlign w:val="bottom"/>
            <w:hideMark/>
          </w:tcPr>
          <w:p w:rsidR="00F923F7" w:rsidRPr="00B92F49" w:rsidRDefault="00F923F7" w:rsidP="00D1658D">
            <w:pPr>
              <w:jc w:val="right"/>
              <w:rPr>
                <w:color w:val="000000"/>
                <w:sz w:val="20"/>
                <w:szCs w:val="20"/>
              </w:rPr>
            </w:pPr>
            <w:r w:rsidRPr="00B92F49">
              <w:rPr>
                <w:color w:val="000000"/>
                <w:sz w:val="20"/>
                <w:szCs w:val="20"/>
              </w:rPr>
              <w:t>$</w:t>
            </w:r>
            <w:r w:rsidR="00D1658D">
              <w:rPr>
                <w:color w:val="000000"/>
                <w:sz w:val="20"/>
                <w:szCs w:val="20"/>
              </w:rPr>
              <w:t>59</w:t>
            </w:r>
            <w:r w:rsidR="00DF5331">
              <w:rPr>
                <w:color w:val="000000"/>
                <w:sz w:val="20"/>
                <w:szCs w:val="20"/>
              </w:rPr>
              <w:t>.</w:t>
            </w:r>
            <w:r w:rsidR="00D1658D">
              <w:rPr>
                <w:color w:val="000000"/>
                <w:sz w:val="20"/>
                <w:szCs w:val="20"/>
              </w:rPr>
              <w:t>89</w:t>
            </w:r>
          </w:p>
        </w:tc>
        <w:tc>
          <w:tcPr>
            <w:tcW w:w="1530" w:type="dxa"/>
            <w:shd w:val="clear" w:color="auto" w:fill="auto"/>
            <w:noWrap/>
            <w:vAlign w:val="bottom"/>
            <w:hideMark/>
          </w:tcPr>
          <w:p w:rsidR="00F923F7" w:rsidRPr="00B92F49" w:rsidRDefault="00982C2E" w:rsidP="00954467">
            <w:pPr>
              <w:jc w:val="right"/>
              <w:rPr>
                <w:color w:val="000000"/>
                <w:sz w:val="20"/>
                <w:szCs w:val="20"/>
              </w:rPr>
            </w:pPr>
            <w:r>
              <w:rPr>
                <w:color w:val="000000"/>
                <w:sz w:val="20"/>
                <w:szCs w:val="20"/>
              </w:rPr>
              <w:t>$</w:t>
            </w:r>
            <w:r w:rsidR="00DC1083">
              <w:rPr>
                <w:color w:val="000000"/>
                <w:sz w:val="20"/>
                <w:szCs w:val="20"/>
              </w:rPr>
              <w:t>64.06</w:t>
            </w:r>
            <w:r w:rsidR="00F923F7" w:rsidRPr="00B92F49">
              <w:rPr>
                <w:color w:val="000000"/>
                <w:sz w:val="20"/>
                <w:szCs w:val="20"/>
              </w:rPr>
              <w:t xml:space="preserve"> </w:t>
            </w:r>
          </w:p>
        </w:tc>
        <w:tc>
          <w:tcPr>
            <w:tcW w:w="1784" w:type="dxa"/>
            <w:shd w:val="clear" w:color="auto" w:fill="auto"/>
            <w:noWrap/>
            <w:vAlign w:val="bottom"/>
            <w:hideMark/>
          </w:tcPr>
          <w:p w:rsidR="00F923F7" w:rsidRPr="00B92F49" w:rsidRDefault="0097569D" w:rsidP="00C2577D">
            <w:pPr>
              <w:jc w:val="right"/>
              <w:rPr>
                <w:color w:val="000000"/>
                <w:sz w:val="20"/>
                <w:szCs w:val="20"/>
              </w:rPr>
            </w:pPr>
            <w:r>
              <w:rPr>
                <w:color w:val="000000"/>
                <w:sz w:val="20"/>
                <w:szCs w:val="20"/>
              </w:rPr>
              <w:t>$</w:t>
            </w:r>
            <w:r w:rsidR="00DC1083">
              <w:rPr>
                <w:color w:val="000000"/>
                <w:sz w:val="20"/>
                <w:szCs w:val="20"/>
              </w:rPr>
              <w:t>56.64</w:t>
            </w:r>
            <w:r w:rsidR="00F923F7" w:rsidRPr="00B92F49">
              <w:rPr>
                <w:color w:val="000000"/>
                <w:sz w:val="20"/>
                <w:szCs w:val="20"/>
              </w:rPr>
              <w:t xml:space="preserve"> </w:t>
            </w:r>
          </w:p>
        </w:tc>
      </w:tr>
      <w:tr w:rsidR="00DF5331" w:rsidRPr="00A438A0" w:rsidTr="004001A3">
        <w:trPr>
          <w:trHeight w:val="262"/>
          <w:jc w:val="center"/>
        </w:trPr>
        <w:tc>
          <w:tcPr>
            <w:tcW w:w="3764" w:type="dxa"/>
            <w:shd w:val="clear" w:color="auto" w:fill="auto"/>
            <w:noWrap/>
            <w:vAlign w:val="bottom"/>
            <w:hideMark/>
          </w:tcPr>
          <w:p w:rsidR="00F923F7" w:rsidRPr="00776FED" w:rsidRDefault="00DF5331" w:rsidP="00C36C9B">
            <w:pPr>
              <w:rPr>
                <w:color w:val="000000"/>
                <w:sz w:val="20"/>
                <w:szCs w:val="20"/>
              </w:rPr>
            </w:pPr>
            <w:r>
              <w:rPr>
                <w:color w:val="000000"/>
                <w:sz w:val="20"/>
                <w:szCs w:val="20"/>
              </w:rPr>
              <w:t>8</w:t>
            </w:r>
            <w:r w:rsidR="00F923F7" w:rsidRPr="00776FED">
              <w:rPr>
                <w:color w:val="000000"/>
                <w:sz w:val="20"/>
                <w:szCs w:val="20"/>
              </w:rPr>
              <w:t>,000 Gallons</w:t>
            </w:r>
          </w:p>
        </w:tc>
        <w:tc>
          <w:tcPr>
            <w:tcW w:w="1440" w:type="dxa"/>
            <w:shd w:val="clear" w:color="auto" w:fill="auto"/>
            <w:noWrap/>
            <w:vAlign w:val="bottom"/>
            <w:hideMark/>
          </w:tcPr>
          <w:p w:rsidR="00F923F7" w:rsidRPr="00B92F49" w:rsidRDefault="00F923F7" w:rsidP="00DF5331">
            <w:pPr>
              <w:jc w:val="right"/>
              <w:rPr>
                <w:color w:val="000000"/>
                <w:sz w:val="20"/>
                <w:szCs w:val="20"/>
              </w:rPr>
            </w:pPr>
            <w:r w:rsidRPr="00B92F49">
              <w:rPr>
                <w:color w:val="000000"/>
                <w:sz w:val="20"/>
                <w:szCs w:val="20"/>
              </w:rPr>
              <w:t>$</w:t>
            </w:r>
            <w:r w:rsidR="00DF5331">
              <w:rPr>
                <w:color w:val="000000"/>
                <w:sz w:val="20"/>
                <w:szCs w:val="20"/>
              </w:rPr>
              <w:t>58</w:t>
            </w:r>
            <w:r w:rsidRPr="00B92F49">
              <w:rPr>
                <w:color w:val="000000"/>
                <w:sz w:val="20"/>
                <w:szCs w:val="20"/>
              </w:rPr>
              <w:t>.</w:t>
            </w:r>
            <w:r w:rsidR="00DF5331">
              <w:rPr>
                <w:color w:val="000000"/>
                <w:sz w:val="20"/>
                <w:szCs w:val="20"/>
              </w:rPr>
              <w:t>79</w:t>
            </w:r>
            <w:r w:rsidRPr="00B92F49">
              <w:rPr>
                <w:color w:val="000000"/>
                <w:sz w:val="20"/>
                <w:szCs w:val="20"/>
              </w:rPr>
              <w:t xml:space="preserve"> </w:t>
            </w:r>
          </w:p>
        </w:tc>
        <w:tc>
          <w:tcPr>
            <w:tcW w:w="2070" w:type="dxa"/>
            <w:shd w:val="clear" w:color="auto" w:fill="auto"/>
            <w:noWrap/>
            <w:vAlign w:val="bottom"/>
            <w:hideMark/>
          </w:tcPr>
          <w:p w:rsidR="00F923F7" w:rsidRPr="00B92F49" w:rsidRDefault="00A55692" w:rsidP="00D1658D">
            <w:pPr>
              <w:jc w:val="right"/>
              <w:rPr>
                <w:color w:val="000000"/>
                <w:sz w:val="20"/>
                <w:szCs w:val="20"/>
              </w:rPr>
            </w:pPr>
            <w:r>
              <w:rPr>
                <w:color w:val="000000"/>
                <w:sz w:val="20"/>
                <w:szCs w:val="20"/>
              </w:rPr>
              <w:t>$</w:t>
            </w:r>
            <w:r w:rsidR="00D1658D">
              <w:rPr>
                <w:color w:val="000000"/>
                <w:sz w:val="20"/>
                <w:szCs w:val="20"/>
              </w:rPr>
              <w:t>75</w:t>
            </w:r>
            <w:r w:rsidR="00F923F7" w:rsidRPr="00B92F49">
              <w:rPr>
                <w:color w:val="000000"/>
                <w:sz w:val="20"/>
                <w:szCs w:val="20"/>
              </w:rPr>
              <w:t>.</w:t>
            </w:r>
            <w:r w:rsidR="00D1658D">
              <w:rPr>
                <w:color w:val="000000"/>
                <w:sz w:val="20"/>
                <w:szCs w:val="20"/>
              </w:rPr>
              <w:t>65</w:t>
            </w:r>
            <w:r w:rsidR="00F923F7" w:rsidRPr="00B92F49">
              <w:rPr>
                <w:color w:val="000000"/>
                <w:sz w:val="20"/>
                <w:szCs w:val="20"/>
              </w:rPr>
              <w:t xml:space="preserve"> </w:t>
            </w:r>
          </w:p>
        </w:tc>
        <w:tc>
          <w:tcPr>
            <w:tcW w:w="1530" w:type="dxa"/>
            <w:shd w:val="clear" w:color="auto" w:fill="auto"/>
            <w:noWrap/>
            <w:vAlign w:val="bottom"/>
            <w:hideMark/>
          </w:tcPr>
          <w:p w:rsidR="00F923F7" w:rsidRPr="00B92F49" w:rsidRDefault="00982C2E" w:rsidP="00954467">
            <w:pPr>
              <w:jc w:val="right"/>
              <w:rPr>
                <w:color w:val="000000"/>
                <w:sz w:val="20"/>
                <w:szCs w:val="20"/>
              </w:rPr>
            </w:pPr>
            <w:r>
              <w:rPr>
                <w:color w:val="000000"/>
                <w:sz w:val="20"/>
                <w:szCs w:val="20"/>
              </w:rPr>
              <w:t>$</w:t>
            </w:r>
            <w:r w:rsidR="00DC1083">
              <w:rPr>
                <w:color w:val="000000"/>
                <w:sz w:val="20"/>
                <w:szCs w:val="20"/>
              </w:rPr>
              <w:t>81.96</w:t>
            </w:r>
            <w:r w:rsidR="00F923F7" w:rsidRPr="00B92F49">
              <w:rPr>
                <w:color w:val="000000"/>
                <w:sz w:val="20"/>
                <w:szCs w:val="20"/>
              </w:rPr>
              <w:t xml:space="preserve"> </w:t>
            </w:r>
          </w:p>
        </w:tc>
        <w:tc>
          <w:tcPr>
            <w:tcW w:w="1784" w:type="dxa"/>
            <w:shd w:val="clear" w:color="auto" w:fill="auto"/>
            <w:noWrap/>
            <w:vAlign w:val="bottom"/>
            <w:hideMark/>
          </w:tcPr>
          <w:p w:rsidR="00F923F7" w:rsidRPr="00B92F49" w:rsidRDefault="00F923F7" w:rsidP="001553CE">
            <w:pPr>
              <w:jc w:val="right"/>
              <w:rPr>
                <w:color w:val="000000"/>
                <w:sz w:val="20"/>
                <w:szCs w:val="20"/>
              </w:rPr>
            </w:pPr>
            <w:r w:rsidRPr="00B92F49">
              <w:rPr>
                <w:color w:val="000000"/>
                <w:sz w:val="20"/>
                <w:szCs w:val="20"/>
              </w:rPr>
              <w:t>$</w:t>
            </w:r>
            <w:r w:rsidR="00DC1083">
              <w:rPr>
                <w:color w:val="000000"/>
                <w:sz w:val="20"/>
                <w:szCs w:val="20"/>
              </w:rPr>
              <w:t>70.76</w:t>
            </w:r>
            <w:r w:rsidRPr="00B92F49">
              <w:rPr>
                <w:color w:val="000000"/>
                <w:sz w:val="20"/>
                <w:szCs w:val="20"/>
              </w:rPr>
              <w:t xml:space="preserve"> </w:t>
            </w:r>
          </w:p>
        </w:tc>
      </w:tr>
    </w:tbl>
    <w:p w:rsidR="00F923F7" w:rsidRPr="001E6F78" w:rsidRDefault="00F923F7" w:rsidP="00DF5331">
      <w:pPr>
        <w:pStyle w:val="BodyText"/>
        <w:spacing w:after="0"/>
      </w:pPr>
      <w:r>
        <w:t>Source: Current tariff and staff’s calculations</w:t>
      </w:r>
    </w:p>
    <w:p w:rsidR="00F923F7" w:rsidRDefault="00F923F7" w:rsidP="00F923F7">
      <w:pPr>
        <w:pStyle w:val="BodyText"/>
        <w:spacing w:after="0"/>
        <w:rPr>
          <w:rFonts w:ascii="Arial" w:hAnsi="Arial" w:cs="Arial"/>
          <w:b/>
        </w:rPr>
      </w:pPr>
    </w:p>
    <w:p w:rsidR="00837B8B" w:rsidRDefault="00837B8B" w:rsidP="00F923F7">
      <w:pPr>
        <w:pStyle w:val="BodyText"/>
        <w:spacing w:after="0"/>
        <w:rPr>
          <w:rFonts w:ascii="Arial" w:hAnsi="Arial" w:cs="Arial"/>
          <w:b/>
        </w:rPr>
      </w:pPr>
      <w:r>
        <w:rPr>
          <w:rFonts w:ascii="Arial" w:hAnsi="Arial" w:cs="Arial"/>
          <w:b/>
        </w:rPr>
        <w:t>Wastewater Rates</w:t>
      </w:r>
    </w:p>
    <w:p w:rsidR="00030A05" w:rsidRDefault="001D777F" w:rsidP="00F923F7">
      <w:pPr>
        <w:autoSpaceDE w:val="0"/>
        <w:autoSpaceDN w:val="0"/>
        <w:adjustRightInd w:val="0"/>
        <w:jc w:val="both"/>
      </w:pPr>
      <w:r w:rsidRPr="001D777F">
        <w:t>Ni Florida’s waste</w:t>
      </w:r>
      <w:r>
        <w:t>w</w:t>
      </w:r>
      <w:r w:rsidRPr="001D777F">
        <w:t>ater</w:t>
      </w:r>
      <w:r>
        <w:t xml:space="preserve"> system is located in Pasco County. </w:t>
      </w:r>
      <w:r w:rsidR="00B27EDC">
        <w:t>The utility purchases bulk wastewater treatment from Pasco County</w:t>
      </w:r>
      <w:r w:rsidR="000F7640">
        <w:t xml:space="preserve">. </w:t>
      </w:r>
      <w:r w:rsidR="00B27EDC">
        <w:t xml:space="preserve">Ni Florida provides service to residential and general service customers. </w:t>
      </w:r>
      <w:r w:rsidR="00B240A1">
        <w:t xml:space="preserve">The general service customers include a mobile home park classified as a bulk customer, which is provided service via a four-inch meter. </w:t>
      </w:r>
      <w:r w:rsidR="008B4231">
        <w:t>Approximately 27 percent of the residential customers’ bills during the test year had zero gallons, which indicates a seasonal customer base. The average water demand for wastewater customers was 2,8</w:t>
      </w:r>
      <w:r w:rsidR="000808D2">
        <w:t>12</w:t>
      </w:r>
      <w:r w:rsidR="008B4231">
        <w:t xml:space="preserve"> gallons per month</w:t>
      </w:r>
      <w:r w:rsidR="00B240A1">
        <w:t xml:space="preserve">. </w:t>
      </w:r>
      <w:r w:rsidR="00422231">
        <w:t xml:space="preserve">The average wastewater demand excluding zero gallon bills is 3,841 per month. </w:t>
      </w:r>
      <w:r w:rsidR="00B240A1">
        <w:t>T</w:t>
      </w:r>
      <w:r w:rsidR="002E43D0">
        <w:t xml:space="preserve">he utility’s wastewater system rate structure consists of a uniform BFC for all meter sizes and a gallonage charge with </w:t>
      </w:r>
      <w:proofErr w:type="gramStart"/>
      <w:r w:rsidR="002E43D0">
        <w:t>a</w:t>
      </w:r>
      <w:proofErr w:type="gramEnd"/>
      <w:r w:rsidR="002E43D0">
        <w:t xml:space="preserve"> </w:t>
      </w:r>
      <w:r w:rsidR="00E62146">
        <w:t>8</w:t>
      </w:r>
      <w:r w:rsidR="002E43D0">
        <w:t xml:space="preserve">,000 gallon cap for residential customers. General </w:t>
      </w:r>
      <w:proofErr w:type="gramStart"/>
      <w:r w:rsidR="002E43D0">
        <w:t>service</w:t>
      </w:r>
      <w:proofErr w:type="gramEnd"/>
      <w:r w:rsidR="002E43D0">
        <w:t xml:space="preserve"> </w:t>
      </w:r>
      <w:r w:rsidR="00B240A1">
        <w:t xml:space="preserve">customers </w:t>
      </w:r>
      <w:r w:rsidR="002E43D0">
        <w:t>are billed a BFC by meter size and a gallonage charge that is 1.2 times higher than the residential gallon</w:t>
      </w:r>
      <w:r w:rsidR="000808D2">
        <w:t xml:space="preserve">age charge. </w:t>
      </w:r>
    </w:p>
    <w:p w:rsidR="00CB10C0" w:rsidRDefault="00CB10C0" w:rsidP="00F923F7">
      <w:pPr>
        <w:autoSpaceDE w:val="0"/>
        <w:autoSpaceDN w:val="0"/>
        <w:adjustRightInd w:val="0"/>
        <w:jc w:val="both"/>
      </w:pPr>
    </w:p>
    <w:p w:rsidR="003E0687" w:rsidRDefault="003E0687" w:rsidP="003E0687">
      <w:pPr>
        <w:jc w:val="both"/>
      </w:pPr>
      <w:r w:rsidRPr="00B74354">
        <w:t xml:space="preserve">Staff performed an analysis of the </w:t>
      </w:r>
      <w:r w:rsidR="00A21EE5">
        <w:t>u</w:t>
      </w:r>
      <w:r w:rsidRPr="00B74354">
        <w:t>tility’s billing data to evaluate various BFC cost recovery percentages and gallonage caps for the residential customers</w:t>
      </w:r>
      <w:r w:rsidR="000F7640">
        <w:t xml:space="preserve">. </w:t>
      </w:r>
      <w:r w:rsidRPr="00B74354">
        <w:t xml:space="preserve">The goal of the evaluation was to select the rate design parameters that: (1) produce the recommended revenue requirement; (2) equitably distribute cost recovery among the </w:t>
      </w:r>
      <w:r w:rsidR="006D1534">
        <w:t>u</w:t>
      </w:r>
      <w:r w:rsidRPr="00B74354">
        <w:t>tility’s customers; and (3) implement a gallonage cap that considers approximately the amount of water that may return to the wastewater system.</w:t>
      </w:r>
    </w:p>
    <w:p w:rsidR="00030A05" w:rsidRDefault="00030A05" w:rsidP="00F923F7">
      <w:pPr>
        <w:autoSpaceDE w:val="0"/>
        <w:autoSpaceDN w:val="0"/>
        <w:adjustRightInd w:val="0"/>
        <w:jc w:val="both"/>
      </w:pPr>
    </w:p>
    <w:p w:rsidR="00AC4CDC" w:rsidRDefault="003E5036" w:rsidP="00CD6EBC">
      <w:pPr>
        <w:pStyle w:val="BodyText"/>
        <w:spacing w:after="0"/>
      </w:pPr>
      <w:r>
        <w:t xml:space="preserve">The utility’s proposed BFC allocation is </w:t>
      </w:r>
      <w:r w:rsidR="000040EF">
        <w:t>39.81 percent</w:t>
      </w:r>
      <w:r w:rsidR="000F7640">
        <w:t xml:space="preserve">. </w:t>
      </w:r>
      <w:r w:rsidR="000040EF">
        <w:t>Typ</w:t>
      </w:r>
      <w:r w:rsidR="004140E6">
        <w:t>ically, the Commission’s practic</w:t>
      </w:r>
      <w:r w:rsidR="000040EF">
        <w:t xml:space="preserve">e is to set the BFC allocation to at least 50 percent due to the capital intensive nature of wastewater plants. </w:t>
      </w:r>
      <w:r w:rsidR="00D53C52">
        <w:t>A</w:t>
      </w:r>
      <w:r w:rsidR="00072029">
        <w:t>s mentioned earlier, the customer</w:t>
      </w:r>
      <w:r w:rsidR="00E43190">
        <w:t xml:space="preserve"> base is seasonal; therefore,</w:t>
      </w:r>
      <w:r w:rsidR="00267262">
        <w:t xml:space="preserve"> </w:t>
      </w:r>
      <w:r w:rsidR="00E43190">
        <w:t>5</w:t>
      </w:r>
      <w:r w:rsidR="004140E6">
        <w:t>0</w:t>
      </w:r>
      <w:r w:rsidR="00072029">
        <w:t xml:space="preserve"> percent of the </w:t>
      </w:r>
      <w:r w:rsidR="00072029">
        <w:lastRenderedPageBreak/>
        <w:t xml:space="preserve">wastewater revenue should be allocated to the BFC. </w:t>
      </w:r>
      <w:r w:rsidR="00072029" w:rsidRPr="00B74354">
        <w:t xml:space="preserve">Based on staff’s review of the billing analysis, </w:t>
      </w:r>
      <w:r w:rsidR="00D53C52">
        <w:t>84</w:t>
      </w:r>
      <w:r w:rsidR="00072029" w:rsidRPr="00B74354">
        <w:t xml:space="preserve"> percent of the </w:t>
      </w:r>
      <w:r w:rsidR="00267262">
        <w:t xml:space="preserve">residential </w:t>
      </w:r>
      <w:r w:rsidR="00072029" w:rsidRPr="00B74354">
        <w:t>gallons are captured at the 6,000 gallon consumption level.</w:t>
      </w:r>
      <w:r w:rsidR="00072029">
        <w:t xml:space="preserve"> </w:t>
      </w:r>
      <w:r w:rsidR="00267262">
        <w:t xml:space="preserve">Approximately 95 percent of the residential water gallons are included at the 8,000 gallons consumption level. </w:t>
      </w:r>
      <w:r w:rsidR="00072029" w:rsidRPr="00B74354">
        <w:t>The wastewater gallonage cap recognizes that not all water used by the residential customers is returned to the wastewater system</w:t>
      </w:r>
      <w:r w:rsidR="001E5182" w:rsidRPr="001E5182">
        <w:t xml:space="preserve"> </w:t>
      </w:r>
      <w:proofErr w:type="gramStart"/>
      <w:r w:rsidR="001E5182" w:rsidRPr="00B74354">
        <w:t>It</w:t>
      </w:r>
      <w:proofErr w:type="gramEnd"/>
      <w:r w:rsidR="001E5182" w:rsidRPr="00B74354">
        <w:t xml:space="preserve"> is Commission practice to set the wastewater cap at approximately 80 percent of residential water sold.</w:t>
      </w:r>
      <w:r w:rsidR="00072029" w:rsidRPr="00B74354">
        <w:t xml:space="preserve"> </w:t>
      </w:r>
      <w:r w:rsidR="00267262">
        <w:t>Therefore</w:t>
      </w:r>
      <w:r w:rsidR="00072029" w:rsidRPr="00B74354">
        <w:t xml:space="preserve">, staff recommends </w:t>
      </w:r>
      <w:r w:rsidR="00753929">
        <w:t>a</w:t>
      </w:r>
      <w:r w:rsidR="00072029" w:rsidRPr="00B74354">
        <w:t xml:space="preserve"> </w:t>
      </w:r>
      <w:r w:rsidR="00267262">
        <w:t xml:space="preserve">residential </w:t>
      </w:r>
      <w:r w:rsidR="00072029" w:rsidRPr="00B74354">
        <w:t xml:space="preserve">gallonage cap </w:t>
      </w:r>
      <w:r w:rsidR="00072029">
        <w:t xml:space="preserve">of 6,000 </w:t>
      </w:r>
      <w:r w:rsidR="00753929">
        <w:t xml:space="preserve">gallons </w:t>
      </w:r>
      <w:r w:rsidR="00072029">
        <w:t>per month</w:t>
      </w:r>
      <w:r w:rsidR="00753929">
        <w:t>.</w:t>
      </w:r>
    </w:p>
    <w:p w:rsidR="00AC4CDC" w:rsidRDefault="00AC4CDC" w:rsidP="00CD6EBC">
      <w:pPr>
        <w:pStyle w:val="BodyText"/>
        <w:spacing w:after="0"/>
      </w:pPr>
    </w:p>
    <w:p w:rsidR="00A37A56" w:rsidRDefault="00A64179" w:rsidP="006E5DE7">
      <w:pPr>
        <w:jc w:val="both"/>
      </w:pPr>
      <w:r>
        <w:t>Fur</w:t>
      </w:r>
      <w:r w:rsidR="00CE4A67">
        <w:t xml:space="preserve">thermore, staff evaluated whether a BFC for the </w:t>
      </w:r>
      <w:r>
        <w:t>mobile home park should be</w:t>
      </w:r>
      <w:r w:rsidR="00CE4A67">
        <w:t xml:space="preserve"> based on a </w:t>
      </w:r>
      <w:r>
        <w:t>four</w:t>
      </w:r>
      <w:r w:rsidR="00B15FCD">
        <w:t>-inch meter (</w:t>
      </w:r>
      <w:r>
        <w:t>25</w:t>
      </w:r>
      <w:r w:rsidR="00CE4A67">
        <w:t xml:space="preserve"> ERCs</w:t>
      </w:r>
      <w:r w:rsidR="00B15FCD">
        <w:t>)</w:t>
      </w:r>
      <w:r w:rsidR="000F7640">
        <w:t xml:space="preserve">. </w:t>
      </w:r>
      <w:r w:rsidR="0055235B">
        <w:t>The mobile home park consists of 475 manufactured homes, a clubhouse, and a pool</w:t>
      </w:r>
      <w:r w:rsidR="002266EB">
        <w:t>.</w:t>
      </w:r>
      <w:r w:rsidR="0055235B">
        <w:t xml:space="preserve"> During the test year, the water demand for</w:t>
      </w:r>
      <w:r w:rsidR="002266EB">
        <w:t xml:space="preserve"> the mobile home park was 37,605</w:t>
      </w:r>
      <w:r w:rsidR="0055235B">
        <w:t>,000</w:t>
      </w:r>
      <w:r w:rsidR="00A154F0">
        <w:t xml:space="preserve">. The average water demand for the bulk customer is 6,597 gallons. </w:t>
      </w:r>
      <w:r w:rsidR="005E6B15">
        <w:t>Compared with the average residential water demand of 2,812 gallons per month, the mobile home park demand represents approximately</w:t>
      </w:r>
      <w:r w:rsidR="0046246F">
        <w:t xml:space="preserve"> 1,114 ERCs (37,605,000/2,812/12)</w:t>
      </w:r>
      <w:r w:rsidR="000F7640">
        <w:t xml:space="preserve">. </w:t>
      </w:r>
      <w:r w:rsidR="00A154F0">
        <w:t>However, the average water demand also includes the clubhouse, pool and irrigation of common areas</w:t>
      </w:r>
      <w:r w:rsidR="000F7640">
        <w:t xml:space="preserve">. </w:t>
      </w:r>
      <w:r w:rsidR="0063731C">
        <w:t>Staff recognizes that not all water demand will return to the wastewater system</w:t>
      </w:r>
      <w:r w:rsidR="000F7640">
        <w:t xml:space="preserve">. </w:t>
      </w:r>
      <w:r w:rsidR="00A154F0">
        <w:t xml:space="preserve">As result, </w:t>
      </w:r>
      <w:r w:rsidR="0063731C">
        <w:t xml:space="preserve">staff believes it is appropriate to assign an ERC of .8 to each of the manufactured homes behind the meter pursuant to </w:t>
      </w:r>
      <w:r w:rsidR="00463622">
        <w:t>Rule 25-30.055 (1)(a)</w:t>
      </w:r>
      <w:r w:rsidR="00CB10C0">
        <w:t xml:space="preserve"> </w:t>
      </w:r>
      <w:r w:rsidR="0063731C">
        <w:t xml:space="preserve">which </w:t>
      </w:r>
      <w:r w:rsidR="00CB10C0">
        <w:t>states that a mobile home should be .8 ERC.</w:t>
      </w:r>
      <w:r w:rsidR="00463622">
        <w:t xml:space="preserve"> </w:t>
      </w:r>
      <w:r w:rsidR="00E22633" w:rsidRPr="00B74354">
        <w:t xml:space="preserve">Therefore, staff recommends that the </w:t>
      </w:r>
      <w:r w:rsidR="0063731C">
        <w:t>rate structure for the mobile home be based o</w:t>
      </w:r>
      <w:r w:rsidR="00650237">
        <w:t xml:space="preserve">n 380 ERCS (475 x .8 ERC) for the BFC and the residential </w:t>
      </w:r>
      <w:r w:rsidR="0063731C">
        <w:t>gallonage charge</w:t>
      </w:r>
      <w:r w:rsidR="00E22633" w:rsidRPr="00B74354">
        <w:t xml:space="preserve"> with a 6,000 gallon cap per ERC. </w:t>
      </w:r>
    </w:p>
    <w:p w:rsidR="00A37A56" w:rsidRDefault="00A37A56" w:rsidP="006E5DE7">
      <w:pPr>
        <w:jc w:val="both"/>
      </w:pPr>
    </w:p>
    <w:p w:rsidR="00A92BA0" w:rsidRDefault="000F7896" w:rsidP="006E5DE7">
      <w:pPr>
        <w:jc w:val="both"/>
      </w:pPr>
      <w:r>
        <w:t>In addition, staff evaluated whether a BFC for</w:t>
      </w:r>
      <w:r w:rsidR="00927E13">
        <w:t xml:space="preserve"> the </w:t>
      </w:r>
      <w:r w:rsidR="00812E1D">
        <w:t>condominiums</w:t>
      </w:r>
      <w:r w:rsidR="005F0C97">
        <w:t xml:space="preserve">, </w:t>
      </w:r>
      <w:r w:rsidR="004001A3">
        <w:t xml:space="preserve">a </w:t>
      </w:r>
      <w:r w:rsidR="005F0C97">
        <w:t>gated vacation community,</w:t>
      </w:r>
      <w:r w:rsidR="00A37A56">
        <w:t xml:space="preserve"> should be based on a six-inch meter (50 ERCs)</w:t>
      </w:r>
      <w:r w:rsidR="000F7640">
        <w:t xml:space="preserve">. </w:t>
      </w:r>
      <w:r w:rsidR="008E2B33">
        <w:t>The condominiums</w:t>
      </w:r>
      <w:r w:rsidR="005F0C97">
        <w:t xml:space="preserve"> </w:t>
      </w:r>
      <w:r w:rsidR="008E2B33">
        <w:t xml:space="preserve">consist of 333 units, a clubhouse, and pools. </w:t>
      </w:r>
      <w:r w:rsidR="00A37A56">
        <w:t>The water demand for the</w:t>
      </w:r>
      <w:r w:rsidR="00E25854">
        <w:t xml:space="preserve"> </w:t>
      </w:r>
      <w:r w:rsidR="00812E1D">
        <w:t>condominium</w:t>
      </w:r>
      <w:r w:rsidR="00E25854">
        <w:t xml:space="preserve"> was 6,79</w:t>
      </w:r>
      <w:r w:rsidR="00EC5E25">
        <w:t>6</w:t>
      </w:r>
      <w:r w:rsidR="00E25854">
        <w:t>,000. The ave</w:t>
      </w:r>
      <w:r w:rsidR="004F7FC2">
        <w:t>r</w:t>
      </w:r>
      <w:r w:rsidR="00E25854">
        <w:t>age water demand is</w:t>
      </w:r>
      <w:r w:rsidR="008E2B33">
        <w:t xml:space="preserve"> 1,701 gallons.</w:t>
      </w:r>
      <w:r w:rsidR="005F0C97">
        <w:t xml:space="preserve"> Compared with the average residential water demand 2,812 gallons per month, the condominiums demand represents approximately 201 ERCs (6,79</w:t>
      </w:r>
      <w:r w:rsidR="00C619CC">
        <w:t>6</w:t>
      </w:r>
      <w:r w:rsidR="005F0C97">
        <w:t xml:space="preserve">,000/2,812/12). Therefore, staff recommends a BFC based on 201 ERCs for </w:t>
      </w:r>
      <w:proofErr w:type="gramStart"/>
      <w:r w:rsidR="005F0C97">
        <w:t>the  condominiums</w:t>
      </w:r>
      <w:proofErr w:type="gramEnd"/>
      <w:r w:rsidR="005F0C97">
        <w:t xml:space="preserve"> and a uniform gallonage charge. All other g</w:t>
      </w:r>
      <w:r w:rsidR="005F0C97" w:rsidRPr="006A0705">
        <w:t xml:space="preserve">eneral service customers should be billed a BFC </w:t>
      </w:r>
      <w:r w:rsidR="005F0C97">
        <w:t xml:space="preserve">based on a meter size </w:t>
      </w:r>
      <w:r w:rsidR="005F0C97" w:rsidRPr="006A0705">
        <w:t>and uniform gallonage charge.</w:t>
      </w:r>
      <w:r w:rsidR="005F0C97">
        <w:t xml:space="preserve"> </w:t>
      </w:r>
      <w:r w:rsidR="00072029" w:rsidRPr="00B74354">
        <w:t>Staff also recommends that</w:t>
      </w:r>
      <w:r w:rsidR="005F0C97">
        <w:t xml:space="preserve"> </w:t>
      </w:r>
      <w:r w:rsidR="00072029" w:rsidRPr="00B74354">
        <w:t>general service gallonage charge be 1.2 times greater than the residential gallonage charge which is consistent with Commission practice.</w:t>
      </w:r>
      <w:r w:rsidR="00072029">
        <w:t xml:space="preserve"> </w:t>
      </w:r>
    </w:p>
    <w:p w:rsidR="00A92BA0" w:rsidRDefault="00A92BA0" w:rsidP="006E5DE7">
      <w:pPr>
        <w:jc w:val="both"/>
      </w:pPr>
    </w:p>
    <w:p w:rsidR="005744C1" w:rsidRDefault="00C73571" w:rsidP="006E5DE7">
      <w:pPr>
        <w:jc w:val="both"/>
      </w:pPr>
      <w:r w:rsidRPr="00DB6AE9">
        <w:t xml:space="preserve">On the following page, </w:t>
      </w:r>
      <w:r w:rsidR="00DB6AE9" w:rsidRPr="00DB6AE9">
        <w:t xml:space="preserve"> although staff</w:t>
      </w:r>
      <w:r w:rsidRPr="00DB6AE9">
        <w:t xml:space="preserve"> provided </w:t>
      </w:r>
      <w:r w:rsidR="00620567" w:rsidRPr="00DB6AE9">
        <w:t>a</w:t>
      </w:r>
      <w:r w:rsidR="00CA004C" w:rsidRPr="00DB6AE9">
        <w:t>lternatives</w:t>
      </w:r>
      <w:r w:rsidR="00DB6AE9" w:rsidRPr="00DB6AE9">
        <w:t>,</w:t>
      </w:r>
      <w:r w:rsidR="00CA004C" w:rsidRPr="00DB6AE9">
        <w:t xml:space="preserve"> </w:t>
      </w:r>
      <w:r w:rsidRPr="00DB6AE9">
        <w:t xml:space="preserve">staff is not in support of </w:t>
      </w:r>
      <w:r w:rsidR="00DB6AE9" w:rsidRPr="00DB6AE9">
        <w:t>alternativ</w:t>
      </w:r>
      <w:r w:rsidR="00DB6AE9" w:rsidRPr="000F7896">
        <w:t>e one because of the highly seasonal customer base coupled with a very low average consumption</w:t>
      </w:r>
      <w:r w:rsidR="006C22AD" w:rsidRPr="00F112AE">
        <w:rPr>
          <w:highlight w:val="yellow"/>
        </w:rPr>
        <w:t xml:space="preserve"> </w:t>
      </w:r>
      <w:r w:rsidR="00083686" w:rsidRPr="00812E1D">
        <w:t xml:space="preserve">For alternative two, </w:t>
      </w:r>
      <w:r w:rsidR="00083686">
        <w:t>staff is not opposed to this alternative because the BFC allocation provides revenue stability in regard</w:t>
      </w:r>
      <w:r w:rsidR="0075565F">
        <w:t>s</w:t>
      </w:r>
      <w:r w:rsidR="00083686">
        <w:t xml:space="preserve"> to the very seasonal customer base.</w:t>
      </w:r>
      <w:r w:rsidR="006C22AD">
        <w:t xml:space="preserve"> </w:t>
      </w:r>
    </w:p>
    <w:p w:rsidR="00E90939" w:rsidRDefault="00E90939" w:rsidP="00CD6EBC">
      <w:pPr>
        <w:pStyle w:val="BodyText"/>
        <w:spacing w:after="0"/>
      </w:pPr>
    </w:p>
    <w:p w:rsidR="00F82E55" w:rsidRDefault="00F82E55" w:rsidP="00CD6EBC">
      <w:pPr>
        <w:pStyle w:val="BodyText"/>
        <w:spacing w:after="0"/>
      </w:pPr>
    </w:p>
    <w:p w:rsidR="00F82E55" w:rsidRDefault="00F82E55" w:rsidP="00CD6EBC">
      <w:pPr>
        <w:pStyle w:val="BodyText"/>
        <w:spacing w:after="0"/>
      </w:pPr>
    </w:p>
    <w:p w:rsidR="00F82E55" w:rsidRDefault="00F82E55" w:rsidP="00CD6EBC">
      <w:pPr>
        <w:pStyle w:val="BodyText"/>
        <w:spacing w:after="0"/>
      </w:pPr>
    </w:p>
    <w:p w:rsidR="00E102FE" w:rsidRDefault="00E102FE" w:rsidP="00CD6EBC">
      <w:pPr>
        <w:pStyle w:val="BodyText"/>
        <w:spacing w:after="0"/>
      </w:pPr>
    </w:p>
    <w:p w:rsidR="005F2A55" w:rsidRDefault="005F2A55" w:rsidP="00CD6EBC">
      <w:pPr>
        <w:pStyle w:val="BodyText"/>
        <w:spacing w:after="0"/>
      </w:pPr>
    </w:p>
    <w:p w:rsidR="005568BA" w:rsidRDefault="005568BA" w:rsidP="00CD6EBC">
      <w:pPr>
        <w:pStyle w:val="BodyText"/>
        <w:spacing w:after="0"/>
      </w:pPr>
    </w:p>
    <w:p w:rsidR="005568BA" w:rsidRDefault="005568BA" w:rsidP="00CD6EBC">
      <w:pPr>
        <w:pStyle w:val="BodyText"/>
        <w:spacing w:after="0"/>
      </w:pPr>
    </w:p>
    <w:p w:rsidR="005568BA" w:rsidRDefault="005568BA" w:rsidP="00CD6EBC">
      <w:pPr>
        <w:pStyle w:val="BodyText"/>
        <w:spacing w:after="0"/>
      </w:pPr>
    </w:p>
    <w:p w:rsidR="005568BA" w:rsidRDefault="005568BA" w:rsidP="00CD6EBC">
      <w:pPr>
        <w:pStyle w:val="BodyText"/>
        <w:spacing w:after="0"/>
      </w:pPr>
    </w:p>
    <w:p w:rsidR="005F2A55" w:rsidRDefault="005F2A55" w:rsidP="00CD6EBC">
      <w:pPr>
        <w:pStyle w:val="BodyText"/>
        <w:spacing w:after="0"/>
      </w:pPr>
    </w:p>
    <w:p w:rsidR="005F2A55" w:rsidRDefault="005F2A55" w:rsidP="00CD6EBC">
      <w:pPr>
        <w:pStyle w:val="BodyText"/>
        <w:spacing w:after="0"/>
      </w:pPr>
    </w:p>
    <w:p w:rsidR="00CD6EBC" w:rsidRPr="00A438A0" w:rsidRDefault="00CD6EBC" w:rsidP="00CD6EBC">
      <w:pPr>
        <w:jc w:val="center"/>
        <w:rPr>
          <w:rFonts w:ascii="Arial" w:hAnsi="Arial" w:cs="Arial"/>
          <w:b/>
        </w:rPr>
      </w:pPr>
      <w:r w:rsidRPr="00A438A0">
        <w:t xml:space="preserve">  </w:t>
      </w:r>
      <w:r w:rsidRPr="00A438A0">
        <w:rPr>
          <w:rFonts w:ascii="Arial" w:hAnsi="Arial" w:cs="Arial"/>
          <w:b/>
        </w:rPr>
        <w:t>Table 1</w:t>
      </w:r>
      <w:r>
        <w:rPr>
          <w:rFonts w:ascii="Arial" w:hAnsi="Arial" w:cs="Arial"/>
          <w:b/>
        </w:rPr>
        <w:t>4</w:t>
      </w:r>
      <w:r w:rsidRPr="00A438A0">
        <w:rPr>
          <w:rFonts w:ascii="Arial" w:hAnsi="Arial" w:cs="Arial"/>
          <w:b/>
        </w:rPr>
        <w:t>-</w:t>
      </w:r>
      <w:r>
        <w:rPr>
          <w:rFonts w:ascii="Arial" w:hAnsi="Arial" w:cs="Arial"/>
          <w:b/>
        </w:rPr>
        <w:t>2</w:t>
      </w:r>
    </w:p>
    <w:p w:rsidR="00CD6EBC" w:rsidRPr="00A438A0" w:rsidRDefault="00CD6EBC" w:rsidP="00CD6EBC">
      <w:pPr>
        <w:jc w:val="center"/>
        <w:rPr>
          <w:rFonts w:ascii="Arial" w:hAnsi="Arial" w:cs="Arial"/>
          <w:b/>
        </w:rPr>
      </w:pPr>
      <w:r w:rsidRPr="00A438A0">
        <w:rPr>
          <w:rFonts w:ascii="Arial" w:hAnsi="Arial" w:cs="Arial"/>
          <w:b/>
        </w:rPr>
        <w:t>Staff’s Recommended and Alternative Wastewater Rate Structures and Rates</w:t>
      </w:r>
    </w:p>
    <w:tbl>
      <w:tblPr>
        <w:tblW w:w="9437" w:type="dxa"/>
        <w:jc w:val="center"/>
        <w:tblInd w:w="626" w:type="dxa"/>
        <w:tblLook w:val="04A0" w:firstRow="1" w:lastRow="0" w:firstColumn="1" w:lastColumn="0" w:noHBand="0" w:noVBand="1"/>
      </w:tblPr>
      <w:tblGrid>
        <w:gridCol w:w="2880"/>
        <w:gridCol w:w="1319"/>
        <w:gridCol w:w="1872"/>
        <w:gridCol w:w="1683"/>
        <w:gridCol w:w="1683"/>
      </w:tblGrid>
      <w:tr w:rsidR="00C36C9B" w:rsidRPr="00A438A0" w:rsidTr="00306B23">
        <w:trPr>
          <w:trHeight w:val="265"/>
          <w:jc w:val="center"/>
        </w:trPr>
        <w:tc>
          <w:tcPr>
            <w:tcW w:w="2880" w:type="dxa"/>
            <w:tcBorders>
              <w:top w:val="single" w:sz="8" w:space="0" w:color="000000"/>
              <w:left w:val="single" w:sz="8" w:space="0" w:color="000000"/>
              <w:bottom w:val="nil"/>
              <w:right w:val="nil"/>
            </w:tcBorders>
            <w:shd w:val="clear" w:color="000000" w:fill="auto"/>
            <w:noWrap/>
            <w:vAlign w:val="bottom"/>
            <w:hideMark/>
          </w:tcPr>
          <w:p w:rsidR="00C36C9B" w:rsidRPr="00A438A0" w:rsidRDefault="00C36C9B" w:rsidP="00C36C9B">
            <w:pPr>
              <w:rPr>
                <w:b/>
                <w:bCs/>
                <w:sz w:val="20"/>
                <w:szCs w:val="20"/>
              </w:rPr>
            </w:pPr>
            <w:r w:rsidRPr="00A438A0">
              <w:rPr>
                <w:b/>
                <w:bCs/>
                <w:sz w:val="20"/>
                <w:szCs w:val="20"/>
              </w:rPr>
              <w:t> </w:t>
            </w:r>
          </w:p>
        </w:tc>
        <w:tc>
          <w:tcPr>
            <w:tcW w:w="1319" w:type="dxa"/>
            <w:tcBorders>
              <w:top w:val="single" w:sz="8" w:space="0" w:color="000000"/>
              <w:left w:val="nil"/>
              <w:bottom w:val="nil"/>
              <w:right w:val="nil"/>
            </w:tcBorders>
            <w:shd w:val="clear" w:color="000000" w:fill="auto"/>
            <w:noWrap/>
            <w:vAlign w:val="bottom"/>
          </w:tcPr>
          <w:p w:rsidR="00C36C9B" w:rsidRPr="008D137C" w:rsidRDefault="00C36C9B" w:rsidP="00C36C9B">
            <w:pPr>
              <w:jc w:val="center"/>
              <w:rPr>
                <w:b/>
                <w:bCs/>
                <w:color w:val="000000"/>
              </w:rPr>
            </w:pPr>
          </w:p>
        </w:tc>
        <w:tc>
          <w:tcPr>
            <w:tcW w:w="1872" w:type="dxa"/>
            <w:tcBorders>
              <w:top w:val="single" w:sz="8" w:space="0" w:color="000000"/>
              <w:left w:val="nil"/>
              <w:bottom w:val="nil"/>
              <w:right w:val="nil"/>
            </w:tcBorders>
            <w:shd w:val="clear" w:color="000000" w:fill="auto"/>
            <w:noWrap/>
            <w:vAlign w:val="bottom"/>
            <w:hideMark/>
          </w:tcPr>
          <w:p w:rsidR="00C36C9B" w:rsidRPr="008D137C" w:rsidRDefault="006D07D9" w:rsidP="008D137C">
            <w:pPr>
              <w:jc w:val="center"/>
              <w:rPr>
                <w:b/>
                <w:bCs/>
                <w:color w:val="000000"/>
              </w:rPr>
            </w:pPr>
            <w:r w:rsidRPr="008D137C">
              <w:rPr>
                <w:b/>
                <w:bCs/>
                <w:color w:val="000000"/>
              </w:rPr>
              <w:t>S</w:t>
            </w:r>
            <w:r w:rsidR="008D137C" w:rsidRPr="008D137C">
              <w:rPr>
                <w:b/>
                <w:bCs/>
                <w:color w:val="000000"/>
              </w:rPr>
              <w:t>taff</w:t>
            </w:r>
          </w:p>
        </w:tc>
        <w:tc>
          <w:tcPr>
            <w:tcW w:w="1683" w:type="dxa"/>
            <w:tcBorders>
              <w:top w:val="single" w:sz="8" w:space="0" w:color="000000"/>
              <w:left w:val="nil"/>
              <w:bottom w:val="nil"/>
              <w:right w:val="nil"/>
            </w:tcBorders>
            <w:shd w:val="clear" w:color="000000" w:fill="auto"/>
            <w:noWrap/>
            <w:vAlign w:val="bottom"/>
            <w:hideMark/>
          </w:tcPr>
          <w:p w:rsidR="00C36C9B" w:rsidRPr="008D137C" w:rsidRDefault="00C36C9B" w:rsidP="00C36C9B">
            <w:pPr>
              <w:jc w:val="center"/>
              <w:rPr>
                <w:b/>
                <w:bCs/>
                <w:color w:val="000000"/>
              </w:rPr>
            </w:pPr>
            <w:r w:rsidRPr="008D137C">
              <w:rPr>
                <w:b/>
                <w:bCs/>
                <w:color w:val="000000"/>
              </w:rPr>
              <w:t> </w:t>
            </w:r>
          </w:p>
        </w:tc>
        <w:tc>
          <w:tcPr>
            <w:tcW w:w="1683" w:type="dxa"/>
            <w:tcBorders>
              <w:top w:val="single" w:sz="8" w:space="0" w:color="000000"/>
              <w:left w:val="nil"/>
              <w:bottom w:val="nil"/>
              <w:right w:val="single" w:sz="8" w:space="0" w:color="000000"/>
            </w:tcBorders>
            <w:shd w:val="clear" w:color="000000" w:fill="auto"/>
            <w:noWrap/>
            <w:vAlign w:val="bottom"/>
            <w:hideMark/>
          </w:tcPr>
          <w:p w:rsidR="00C36C9B" w:rsidRPr="008D137C" w:rsidRDefault="00C36C9B" w:rsidP="00C36C9B">
            <w:pPr>
              <w:jc w:val="center"/>
              <w:rPr>
                <w:b/>
                <w:bCs/>
                <w:color w:val="000000"/>
              </w:rPr>
            </w:pPr>
            <w:r w:rsidRPr="008D137C">
              <w:rPr>
                <w:b/>
                <w:bCs/>
                <w:color w:val="000000"/>
              </w:rPr>
              <w:t> </w:t>
            </w:r>
          </w:p>
        </w:tc>
      </w:tr>
      <w:tr w:rsidR="00C36C9B" w:rsidRPr="00A438A0" w:rsidTr="00C36C9B">
        <w:trPr>
          <w:trHeight w:val="265"/>
          <w:jc w:val="center"/>
        </w:trPr>
        <w:tc>
          <w:tcPr>
            <w:tcW w:w="2880" w:type="dxa"/>
            <w:tcBorders>
              <w:top w:val="nil"/>
              <w:left w:val="single" w:sz="8" w:space="0" w:color="000000"/>
              <w:right w:val="nil"/>
            </w:tcBorders>
            <w:shd w:val="clear" w:color="000000" w:fill="auto"/>
            <w:noWrap/>
            <w:vAlign w:val="bottom"/>
            <w:hideMark/>
          </w:tcPr>
          <w:p w:rsidR="00C36C9B" w:rsidRPr="00A438A0" w:rsidRDefault="00C36C9B" w:rsidP="00C36C9B">
            <w:pPr>
              <w:rPr>
                <w:b/>
                <w:bCs/>
                <w:sz w:val="20"/>
                <w:szCs w:val="20"/>
                <w:u w:val="single"/>
              </w:rPr>
            </w:pPr>
          </w:p>
        </w:tc>
        <w:tc>
          <w:tcPr>
            <w:tcW w:w="1319" w:type="dxa"/>
            <w:tcBorders>
              <w:top w:val="nil"/>
              <w:left w:val="nil"/>
              <w:right w:val="nil"/>
            </w:tcBorders>
            <w:shd w:val="clear" w:color="000000" w:fill="auto"/>
            <w:noWrap/>
            <w:vAlign w:val="bottom"/>
          </w:tcPr>
          <w:p w:rsidR="00C36C9B" w:rsidRPr="008D137C" w:rsidRDefault="00C36C9B" w:rsidP="008D137C">
            <w:pPr>
              <w:jc w:val="center"/>
              <w:rPr>
                <w:b/>
                <w:bCs/>
                <w:color w:val="000000"/>
              </w:rPr>
            </w:pPr>
            <w:r w:rsidRPr="008D137C">
              <w:rPr>
                <w:b/>
                <w:bCs/>
                <w:color w:val="000000"/>
              </w:rPr>
              <w:t>R</w:t>
            </w:r>
            <w:r w:rsidR="008D137C" w:rsidRPr="008D137C">
              <w:rPr>
                <w:b/>
                <w:bCs/>
                <w:color w:val="000000"/>
              </w:rPr>
              <w:t>ates</w:t>
            </w:r>
            <w:r w:rsidRPr="008D137C">
              <w:rPr>
                <w:b/>
                <w:bCs/>
                <w:color w:val="000000"/>
              </w:rPr>
              <w:t xml:space="preserve"> </w:t>
            </w:r>
            <w:r w:rsidR="008D137C" w:rsidRPr="008D137C">
              <w:rPr>
                <w:b/>
                <w:bCs/>
                <w:color w:val="000000"/>
              </w:rPr>
              <w:t>at</w:t>
            </w:r>
          </w:p>
        </w:tc>
        <w:tc>
          <w:tcPr>
            <w:tcW w:w="1872" w:type="dxa"/>
            <w:tcBorders>
              <w:top w:val="nil"/>
              <w:left w:val="nil"/>
              <w:right w:val="nil"/>
            </w:tcBorders>
            <w:shd w:val="clear" w:color="000000" w:fill="auto"/>
            <w:noWrap/>
            <w:vAlign w:val="bottom"/>
            <w:hideMark/>
          </w:tcPr>
          <w:p w:rsidR="00C36C9B" w:rsidRPr="008D137C" w:rsidRDefault="006D07D9" w:rsidP="008D137C">
            <w:pPr>
              <w:jc w:val="center"/>
              <w:rPr>
                <w:b/>
                <w:bCs/>
                <w:color w:val="000000"/>
              </w:rPr>
            </w:pPr>
            <w:r w:rsidRPr="008D137C">
              <w:rPr>
                <w:b/>
                <w:bCs/>
                <w:color w:val="000000"/>
              </w:rPr>
              <w:t>R</w:t>
            </w:r>
            <w:r w:rsidR="008D137C" w:rsidRPr="008D137C">
              <w:rPr>
                <w:b/>
                <w:bCs/>
                <w:color w:val="000000"/>
              </w:rPr>
              <w:t>ecommended</w:t>
            </w:r>
          </w:p>
        </w:tc>
        <w:tc>
          <w:tcPr>
            <w:tcW w:w="1683" w:type="dxa"/>
            <w:tcBorders>
              <w:top w:val="nil"/>
              <w:left w:val="nil"/>
              <w:right w:val="nil"/>
            </w:tcBorders>
            <w:shd w:val="clear" w:color="000000" w:fill="auto"/>
            <w:noWrap/>
            <w:vAlign w:val="bottom"/>
            <w:hideMark/>
          </w:tcPr>
          <w:p w:rsidR="00C36C9B" w:rsidRPr="008D137C" w:rsidRDefault="00C36C9B" w:rsidP="008D137C">
            <w:pPr>
              <w:jc w:val="center"/>
              <w:rPr>
                <w:b/>
                <w:bCs/>
                <w:color w:val="000000"/>
              </w:rPr>
            </w:pPr>
            <w:r w:rsidRPr="008D137C">
              <w:rPr>
                <w:b/>
                <w:bCs/>
                <w:color w:val="000000"/>
              </w:rPr>
              <w:t>A</w:t>
            </w:r>
            <w:r w:rsidR="008D137C" w:rsidRPr="008D137C">
              <w:rPr>
                <w:b/>
                <w:bCs/>
                <w:color w:val="000000"/>
              </w:rPr>
              <w:t>lternative</w:t>
            </w:r>
          </w:p>
        </w:tc>
        <w:tc>
          <w:tcPr>
            <w:tcW w:w="1683" w:type="dxa"/>
            <w:tcBorders>
              <w:top w:val="nil"/>
              <w:left w:val="nil"/>
              <w:right w:val="single" w:sz="8" w:space="0" w:color="000000"/>
            </w:tcBorders>
            <w:shd w:val="clear" w:color="000000" w:fill="auto"/>
            <w:noWrap/>
            <w:vAlign w:val="bottom"/>
            <w:hideMark/>
          </w:tcPr>
          <w:p w:rsidR="00C36C9B" w:rsidRPr="008D137C" w:rsidRDefault="00C36C9B" w:rsidP="008D137C">
            <w:pPr>
              <w:jc w:val="center"/>
              <w:rPr>
                <w:b/>
                <w:bCs/>
                <w:color w:val="000000"/>
              </w:rPr>
            </w:pPr>
            <w:r w:rsidRPr="008D137C">
              <w:rPr>
                <w:b/>
                <w:bCs/>
                <w:color w:val="000000"/>
              </w:rPr>
              <w:t>A</w:t>
            </w:r>
            <w:r w:rsidR="008D137C" w:rsidRPr="008D137C">
              <w:rPr>
                <w:b/>
                <w:bCs/>
                <w:color w:val="000000"/>
              </w:rPr>
              <w:t>lternative</w:t>
            </w:r>
          </w:p>
        </w:tc>
      </w:tr>
      <w:tr w:rsidR="00C36C9B" w:rsidRPr="00A438A0" w:rsidTr="00C36C9B">
        <w:trPr>
          <w:trHeight w:val="278"/>
          <w:jc w:val="center"/>
        </w:trPr>
        <w:tc>
          <w:tcPr>
            <w:tcW w:w="2880" w:type="dxa"/>
            <w:tcBorders>
              <w:top w:val="nil"/>
              <w:left w:val="single" w:sz="8" w:space="0" w:color="000000"/>
              <w:right w:val="nil"/>
            </w:tcBorders>
            <w:shd w:val="clear" w:color="000000" w:fill="auto"/>
            <w:noWrap/>
            <w:vAlign w:val="bottom"/>
            <w:hideMark/>
          </w:tcPr>
          <w:p w:rsidR="00C36C9B" w:rsidRPr="00A438A0" w:rsidRDefault="00C36C9B" w:rsidP="00C36C9B">
            <w:pPr>
              <w:rPr>
                <w:b/>
                <w:bCs/>
                <w:sz w:val="20"/>
                <w:szCs w:val="20"/>
                <w:u w:val="single"/>
              </w:rPr>
            </w:pPr>
          </w:p>
        </w:tc>
        <w:tc>
          <w:tcPr>
            <w:tcW w:w="1319" w:type="dxa"/>
            <w:tcBorders>
              <w:top w:val="nil"/>
              <w:left w:val="nil"/>
              <w:right w:val="nil"/>
            </w:tcBorders>
            <w:shd w:val="clear" w:color="000000" w:fill="auto"/>
            <w:noWrap/>
            <w:vAlign w:val="bottom"/>
          </w:tcPr>
          <w:p w:rsidR="00C36C9B" w:rsidRPr="008D137C" w:rsidRDefault="00C36C9B" w:rsidP="008D137C">
            <w:pPr>
              <w:jc w:val="center"/>
              <w:rPr>
                <w:b/>
                <w:bCs/>
                <w:color w:val="000000"/>
              </w:rPr>
            </w:pPr>
            <w:r w:rsidRPr="008D137C">
              <w:rPr>
                <w:b/>
                <w:bCs/>
                <w:color w:val="000000"/>
              </w:rPr>
              <w:t>T</w:t>
            </w:r>
            <w:r w:rsidR="008D137C" w:rsidRPr="008D137C">
              <w:rPr>
                <w:b/>
                <w:bCs/>
                <w:color w:val="000000"/>
              </w:rPr>
              <w:t>ime of</w:t>
            </w:r>
          </w:p>
        </w:tc>
        <w:tc>
          <w:tcPr>
            <w:tcW w:w="1872" w:type="dxa"/>
            <w:tcBorders>
              <w:top w:val="nil"/>
              <w:left w:val="nil"/>
              <w:right w:val="nil"/>
            </w:tcBorders>
            <w:shd w:val="clear" w:color="000000" w:fill="auto"/>
            <w:noWrap/>
            <w:vAlign w:val="bottom"/>
            <w:hideMark/>
          </w:tcPr>
          <w:p w:rsidR="00C36C9B" w:rsidRPr="008D137C" w:rsidRDefault="00C36C9B" w:rsidP="008D137C">
            <w:pPr>
              <w:jc w:val="center"/>
              <w:rPr>
                <w:b/>
                <w:bCs/>
                <w:color w:val="000000"/>
              </w:rPr>
            </w:pPr>
            <w:r w:rsidRPr="008D137C">
              <w:rPr>
                <w:b/>
                <w:bCs/>
                <w:color w:val="000000"/>
              </w:rPr>
              <w:t>R</w:t>
            </w:r>
            <w:r w:rsidR="008D137C" w:rsidRPr="008D137C">
              <w:rPr>
                <w:b/>
                <w:bCs/>
                <w:color w:val="000000"/>
              </w:rPr>
              <w:t>ates</w:t>
            </w:r>
          </w:p>
        </w:tc>
        <w:tc>
          <w:tcPr>
            <w:tcW w:w="1683" w:type="dxa"/>
            <w:tcBorders>
              <w:top w:val="nil"/>
              <w:left w:val="nil"/>
              <w:right w:val="nil"/>
            </w:tcBorders>
            <w:shd w:val="clear" w:color="000000" w:fill="auto"/>
            <w:noWrap/>
            <w:vAlign w:val="bottom"/>
            <w:hideMark/>
          </w:tcPr>
          <w:p w:rsidR="00C36C9B" w:rsidRPr="008D137C" w:rsidRDefault="00C36C9B" w:rsidP="00C36C9B">
            <w:pPr>
              <w:jc w:val="center"/>
              <w:rPr>
                <w:b/>
                <w:bCs/>
                <w:color w:val="000000"/>
              </w:rPr>
            </w:pPr>
            <w:r w:rsidRPr="008D137C">
              <w:rPr>
                <w:b/>
                <w:bCs/>
                <w:color w:val="000000"/>
              </w:rPr>
              <w:t>I</w:t>
            </w:r>
          </w:p>
        </w:tc>
        <w:tc>
          <w:tcPr>
            <w:tcW w:w="1683" w:type="dxa"/>
            <w:tcBorders>
              <w:top w:val="nil"/>
              <w:left w:val="nil"/>
              <w:right w:val="single" w:sz="8" w:space="0" w:color="000000"/>
            </w:tcBorders>
            <w:shd w:val="clear" w:color="000000" w:fill="auto"/>
            <w:noWrap/>
            <w:vAlign w:val="bottom"/>
            <w:hideMark/>
          </w:tcPr>
          <w:p w:rsidR="00C36C9B" w:rsidRPr="008D137C" w:rsidRDefault="00C36C9B" w:rsidP="00C36C9B">
            <w:pPr>
              <w:jc w:val="center"/>
              <w:rPr>
                <w:b/>
                <w:bCs/>
                <w:color w:val="000000"/>
              </w:rPr>
            </w:pPr>
            <w:r w:rsidRPr="008D137C">
              <w:rPr>
                <w:b/>
                <w:bCs/>
                <w:color w:val="000000"/>
              </w:rPr>
              <w:t>II</w:t>
            </w:r>
          </w:p>
        </w:tc>
      </w:tr>
      <w:tr w:rsidR="00C36C9B" w:rsidRPr="00A438A0" w:rsidTr="00C36C9B">
        <w:trPr>
          <w:trHeight w:val="278"/>
          <w:jc w:val="center"/>
        </w:trPr>
        <w:tc>
          <w:tcPr>
            <w:tcW w:w="2880" w:type="dxa"/>
            <w:tcBorders>
              <w:left w:val="single" w:sz="8" w:space="0" w:color="000000"/>
              <w:bottom w:val="single" w:sz="8" w:space="0" w:color="000000"/>
              <w:right w:val="nil"/>
            </w:tcBorders>
            <w:shd w:val="clear" w:color="000000" w:fill="auto"/>
            <w:noWrap/>
            <w:vAlign w:val="bottom"/>
          </w:tcPr>
          <w:p w:rsidR="00C36C9B" w:rsidRPr="00A438A0" w:rsidRDefault="00C36C9B" w:rsidP="00C36C9B">
            <w:pPr>
              <w:rPr>
                <w:b/>
                <w:bCs/>
                <w:sz w:val="20"/>
                <w:szCs w:val="20"/>
                <w:u w:val="single"/>
              </w:rPr>
            </w:pPr>
          </w:p>
        </w:tc>
        <w:tc>
          <w:tcPr>
            <w:tcW w:w="1319" w:type="dxa"/>
            <w:tcBorders>
              <w:left w:val="nil"/>
              <w:bottom w:val="single" w:sz="8" w:space="0" w:color="000000"/>
              <w:right w:val="nil"/>
            </w:tcBorders>
            <w:shd w:val="clear" w:color="000000" w:fill="auto"/>
            <w:noWrap/>
            <w:vAlign w:val="bottom"/>
          </w:tcPr>
          <w:p w:rsidR="00C36C9B" w:rsidRPr="008D137C" w:rsidRDefault="00C36C9B" w:rsidP="008D137C">
            <w:pPr>
              <w:jc w:val="center"/>
              <w:rPr>
                <w:b/>
                <w:bCs/>
                <w:color w:val="000000"/>
              </w:rPr>
            </w:pPr>
            <w:r w:rsidRPr="008D137C">
              <w:rPr>
                <w:b/>
                <w:bCs/>
                <w:color w:val="000000"/>
              </w:rPr>
              <w:t>F</w:t>
            </w:r>
            <w:r w:rsidR="008D137C" w:rsidRPr="008D137C">
              <w:rPr>
                <w:b/>
                <w:bCs/>
                <w:color w:val="000000"/>
              </w:rPr>
              <w:t>iling</w:t>
            </w:r>
          </w:p>
        </w:tc>
        <w:tc>
          <w:tcPr>
            <w:tcW w:w="1872" w:type="dxa"/>
            <w:tcBorders>
              <w:left w:val="nil"/>
              <w:bottom w:val="single" w:sz="8" w:space="0" w:color="000000"/>
              <w:right w:val="nil"/>
            </w:tcBorders>
            <w:shd w:val="clear" w:color="000000" w:fill="auto"/>
            <w:noWrap/>
            <w:vAlign w:val="bottom"/>
          </w:tcPr>
          <w:p w:rsidR="00C36C9B" w:rsidRPr="008D137C" w:rsidRDefault="00C36C9B" w:rsidP="00B7181C">
            <w:pPr>
              <w:jc w:val="center"/>
              <w:rPr>
                <w:b/>
                <w:bCs/>
                <w:color w:val="000000"/>
              </w:rPr>
            </w:pPr>
            <w:r w:rsidRPr="008D137C">
              <w:rPr>
                <w:b/>
                <w:bCs/>
                <w:color w:val="000000"/>
              </w:rPr>
              <w:t>(5</w:t>
            </w:r>
            <w:r w:rsidR="00B7181C" w:rsidRPr="008D137C">
              <w:rPr>
                <w:b/>
                <w:bCs/>
                <w:color w:val="000000"/>
              </w:rPr>
              <w:t>0</w:t>
            </w:r>
            <w:r w:rsidRPr="008D137C">
              <w:rPr>
                <w:b/>
                <w:bCs/>
                <w:color w:val="000000"/>
              </w:rPr>
              <w:t>% BFC)</w:t>
            </w:r>
          </w:p>
        </w:tc>
        <w:tc>
          <w:tcPr>
            <w:tcW w:w="1683" w:type="dxa"/>
            <w:tcBorders>
              <w:left w:val="nil"/>
              <w:bottom w:val="single" w:sz="8" w:space="0" w:color="000000"/>
              <w:right w:val="nil"/>
            </w:tcBorders>
            <w:shd w:val="clear" w:color="000000" w:fill="auto"/>
            <w:noWrap/>
            <w:vAlign w:val="bottom"/>
          </w:tcPr>
          <w:p w:rsidR="00C36C9B" w:rsidRPr="008D137C" w:rsidRDefault="00C36C9B" w:rsidP="00B7181C">
            <w:pPr>
              <w:jc w:val="center"/>
              <w:rPr>
                <w:b/>
                <w:bCs/>
                <w:color w:val="000000"/>
              </w:rPr>
            </w:pPr>
            <w:r w:rsidRPr="008D137C">
              <w:rPr>
                <w:b/>
                <w:bCs/>
                <w:color w:val="000000"/>
              </w:rPr>
              <w:t>(</w:t>
            </w:r>
            <w:r w:rsidR="00B7181C" w:rsidRPr="008D137C">
              <w:rPr>
                <w:b/>
                <w:bCs/>
                <w:color w:val="000000"/>
              </w:rPr>
              <w:t>4</w:t>
            </w:r>
            <w:r w:rsidR="004140E6" w:rsidRPr="008D137C">
              <w:rPr>
                <w:b/>
                <w:bCs/>
                <w:color w:val="000000"/>
              </w:rPr>
              <w:t>5</w:t>
            </w:r>
            <w:r w:rsidRPr="008D137C">
              <w:rPr>
                <w:b/>
                <w:bCs/>
                <w:color w:val="000000"/>
              </w:rPr>
              <w:t>% BFC)</w:t>
            </w:r>
          </w:p>
        </w:tc>
        <w:tc>
          <w:tcPr>
            <w:tcW w:w="1683" w:type="dxa"/>
            <w:tcBorders>
              <w:left w:val="nil"/>
              <w:bottom w:val="single" w:sz="8" w:space="0" w:color="000000"/>
              <w:right w:val="single" w:sz="8" w:space="0" w:color="000000"/>
            </w:tcBorders>
            <w:shd w:val="clear" w:color="000000" w:fill="auto"/>
            <w:noWrap/>
            <w:vAlign w:val="bottom"/>
          </w:tcPr>
          <w:p w:rsidR="00C36C9B" w:rsidRPr="008D137C" w:rsidRDefault="00C36C9B" w:rsidP="00C36C9B">
            <w:pPr>
              <w:jc w:val="center"/>
              <w:rPr>
                <w:b/>
                <w:bCs/>
                <w:color w:val="000000"/>
              </w:rPr>
            </w:pPr>
            <w:r w:rsidRPr="008D137C">
              <w:rPr>
                <w:b/>
                <w:bCs/>
                <w:color w:val="000000"/>
              </w:rPr>
              <w:t>(55% BFC)</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b/>
                <w:bCs/>
                <w:color w:val="000000"/>
                <w:sz w:val="20"/>
                <w:szCs w:val="20"/>
                <w:u w:val="single"/>
              </w:rPr>
            </w:pPr>
            <w:r w:rsidRPr="00A438A0">
              <w:rPr>
                <w:b/>
                <w:bCs/>
                <w:color w:val="000000"/>
                <w:sz w:val="20"/>
                <w:szCs w:val="20"/>
                <w:u w:val="single"/>
              </w:rPr>
              <w:t xml:space="preserve">Residential </w:t>
            </w:r>
          </w:p>
        </w:tc>
        <w:tc>
          <w:tcPr>
            <w:tcW w:w="1319" w:type="dxa"/>
            <w:tcBorders>
              <w:top w:val="nil"/>
              <w:left w:val="nil"/>
              <w:bottom w:val="nil"/>
              <w:right w:val="nil"/>
            </w:tcBorders>
            <w:shd w:val="clear" w:color="auto" w:fill="auto"/>
            <w:noWrap/>
            <w:vAlign w:val="bottom"/>
            <w:hideMark/>
          </w:tcPr>
          <w:p w:rsidR="00C36C9B" w:rsidRPr="00A438A0" w:rsidRDefault="00C36C9B" w:rsidP="00C36C9B">
            <w:pPr>
              <w:jc w:val="center"/>
              <w:rPr>
                <w:b/>
                <w:bCs/>
                <w:color w:val="000000"/>
                <w:sz w:val="20"/>
                <w:szCs w:val="20"/>
              </w:rPr>
            </w:pPr>
          </w:p>
        </w:tc>
        <w:tc>
          <w:tcPr>
            <w:tcW w:w="1872" w:type="dxa"/>
            <w:tcBorders>
              <w:top w:val="nil"/>
              <w:left w:val="nil"/>
              <w:bottom w:val="nil"/>
              <w:right w:val="nil"/>
            </w:tcBorders>
            <w:shd w:val="clear" w:color="auto" w:fill="auto"/>
            <w:noWrap/>
            <w:vAlign w:val="bottom"/>
            <w:hideMark/>
          </w:tcPr>
          <w:p w:rsidR="00C36C9B" w:rsidRPr="00A438A0" w:rsidRDefault="00C36C9B" w:rsidP="00C36C9B">
            <w:pPr>
              <w:jc w:val="center"/>
              <w:rPr>
                <w:b/>
                <w:bCs/>
                <w:color w:val="000000"/>
                <w:sz w:val="20"/>
                <w:szCs w:val="20"/>
              </w:rPr>
            </w:pPr>
            <w:r w:rsidRPr="00A438A0">
              <w:rPr>
                <w:b/>
                <w:bCs/>
                <w:color w:val="000000"/>
                <w:sz w:val="20"/>
                <w:szCs w:val="20"/>
              </w:rPr>
              <w:t> </w:t>
            </w:r>
          </w:p>
        </w:tc>
        <w:tc>
          <w:tcPr>
            <w:tcW w:w="1683" w:type="dxa"/>
            <w:tcBorders>
              <w:top w:val="nil"/>
              <w:left w:val="nil"/>
              <w:bottom w:val="nil"/>
              <w:right w:val="nil"/>
            </w:tcBorders>
            <w:shd w:val="clear" w:color="auto" w:fill="auto"/>
            <w:noWrap/>
            <w:vAlign w:val="bottom"/>
            <w:hideMark/>
          </w:tcPr>
          <w:p w:rsidR="00C36C9B" w:rsidRPr="00A438A0" w:rsidRDefault="00C36C9B" w:rsidP="00C36C9B">
            <w:pPr>
              <w:jc w:val="center"/>
              <w:rPr>
                <w:b/>
                <w:bCs/>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C36C9B" w:rsidRPr="00A438A0" w:rsidRDefault="00C36C9B" w:rsidP="00C36C9B">
            <w:pPr>
              <w:jc w:val="center"/>
              <w:rPr>
                <w:b/>
                <w:bCs/>
                <w:color w:val="000000"/>
                <w:sz w:val="20"/>
                <w:szCs w:val="20"/>
              </w:rPr>
            </w:pPr>
            <w:r w:rsidRPr="00A438A0">
              <w:rPr>
                <w:b/>
                <w:bCs/>
                <w:color w:val="000000"/>
                <w:sz w:val="20"/>
                <w:szCs w:val="20"/>
              </w:rPr>
              <w:t> </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Base Facility Charge</w:t>
            </w:r>
          </w:p>
        </w:tc>
        <w:tc>
          <w:tcPr>
            <w:tcW w:w="1319" w:type="dxa"/>
            <w:tcBorders>
              <w:top w:val="nil"/>
              <w:left w:val="nil"/>
              <w:bottom w:val="nil"/>
              <w:right w:val="nil"/>
            </w:tcBorders>
            <w:shd w:val="clear" w:color="auto" w:fill="auto"/>
            <w:noWrap/>
            <w:vAlign w:val="bottom"/>
            <w:hideMark/>
          </w:tcPr>
          <w:p w:rsidR="00C36C9B" w:rsidRPr="00A438A0" w:rsidRDefault="00C36C9B" w:rsidP="00AD3934">
            <w:pPr>
              <w:jc w:val="right"/>
              <w:rPr>
                <w:color w:val="000000"/>
                <w:sz w:val="20"/>
                <w:szCs w:val="20"/>
              </w:rPr>
            </w:pPr>
            <w:r w:rsidRPr="00A438A0">
              <w:rPr>
                <w:color w:val="000000"/>
                <w:sz w:val="20"/>
                <w:szCs w:val="20"/>
              </w:rPr>
              <w:t>$2</w:t>
            </w:r>
            <w:r w:rsidR="00AD3934">
              <w:rPr>
                <w:color w:val="000000"/>
                <w:sz w:val="20"/>
                <w:szCs w:val="20"/>
              </w:rPr>
              <w:t>0</w:t>
            </w:r>
            <w:r w:rsidRPr="00A438A0">
              <w:rPr>
                <w:color w:val="000000"/>
                <w:sz w:val="20"/>
                <w:szCs w:val="20"/>
              </w:rPr>
              <w:t>.</w:t>
            </w:r>
            <w:r w:rsidR="00AD3934">
              <w:rPr>
                <w:color w:val="000000"/>
                <w:sz w:val="20"/>
                <w:szCs w:val="20"/>
              </w:rPr>
              <w:t>95</w:t>
            </w:r>
          </w:p>
        </w:tc>
        <w:tc>
          <w:tcPr>
            <w:tcW w:w="1872" w:type="dxa"/>
            <w:tcBorders>
              <w:top w:val="nil"/>
              <w:left w:val="nil"/>
              <w:bottom w:val="nil"/>
              <w:right w:val="nil"/>
            </w:tcBorders>
            <w:shd w:val="clear" w:color="auto" w:fill="auto"/>
            <w:noWrap/>
            <w:vAlign w:val="bottom"/>
            <w:hideMark/>
          </w:tcPr>
          <w:p w:rsidR="00C36C9B" w:rsidRPr="00A438A0" w:rsidRDefault="00C36C9B" w:rsidP="005525CB">
            <w:pPr>
              <w:jc w:val="right"/>
              <w:rPr>
                <w:color w:val="000000"/>
                <w:sz w:val="20"/>
                <w:szCs w:val="20"/>
              </w:rPr>
            </w:pPr>
            <w:r w:rsidRPr="00A438A0">
              <w:rPr>
                <w:color w:val="000000"/>
                <w:sz w:val="20"/>
                <w:szCs w:val="20"/>
              </w:rPr>
              <w:t>$</w:t>
            </w:r>
            <w:r w:rsidR="005525CB">
              <w:rPr>
                <w:color w:val="000000"/>
                <w:sz w:val="20"/>
                <w:szCs w:val="20"/>
              </w:rPr>
              <w:t>26.03</w:t>
            </w:r>
          </w:p>
        </w:tc>
        <w:tc>
          <w:tcPr>
            <w:tcW w:w="1683" w:type="dxa"/>
            <w:tcBorders>
              <w:top w:val="nil"/>
              <w:left w:val="nil"/>
              <w:bottom w:val="nil"/>
              <w:right w:val="nil"/>
            </w:tcBorders>
            <w:shd w:val="clear" w:color="auto" w:fill="auto"/>
            <w:noWrap/>
            <w:vAlign w:val="bottom"/>
            <w:hideMark/>
          </w:tcPr>
          <w:p w:rsidR="00C36C9B" w:rsidRPr="00A438A0" w:rsidRDefault="00C36C9B" w:rsidP="005525CB">
            <w:pPr>
              <w:jc w:val="right"/>
              <w:rPr>
                <w:color w:val="000000"/>
                <w:sz w:val="20"/>
                <w:szCs w:val="20"/>
              </w:rPr>
            </w:pPr>
            <w:r w:rsidRPr="00A438A0">
              <w:rPr>
                <w:color w:val="000000"/>
                <w:sz w:val="20"/>
                <w:szCs w:val="20"/>
              </w:rPr>
              <w:t>$</w:t>
            </w:r>
            <w:r w:rsidR="005525CB">
              <w:rPr>
                <w:color w:val="000000"/>
                <w:sz w:val="20"/>
                <w:szCs w:val="20"/>
              </w:rPr>
              <w:t>23.43</w:t>
            </w:r>
          </w:p>
        </w:tc>
        <w:tc>
          <w:tcPr>
            <w:tcW w:w="1683" w:type="dxa"/>
            <w:tcBorders>
              <w:top w:val="nil"/>
              <w:left w:val="nil"/>
              <w:bottom w:val="nil"/>
              <w:right w:val="single" w:sz="8" w:space="0" w:color="000000"/>
            </w:tcBorders>
            <w:shd w:val="clear" w:color="auto" w:fill="auto"/>
            <w:noWrap/>
            <w:vAlign w:val="bottom"/>
            <w:hideMark/>
          </w:tcPr>
          <w:p w:rsidR="00C36C9B" w:rsidRPr="00A438A0" w:rsidRDefault="00C36C9B" w:rsidP="005525CB">
            <w:pPr>
              <w:jc w:val="right"/>
              <w:rPr>
                <w:color w:val="000000"/>
                <w:sz w:val="20"/>
                <w:szCs w:val="20"/>
              </w:rPr>
            </w:pPr>
            <w:r w:rsidRPr="00A438A0">
              <w:rPr>
                <w:color w:val="000000"/>
                <w:sz w:val="20"/>
                <w:szCs w:val="20"/>
              </w:rPr>
              <w:t>$</w:t>
            </w:r>
            <w:r w:rsidR="005525CB">
              <w:rPr>
                <w:color w:val="000000"/>
                <w:sz w:val="20"/>
                <w:szCs w:val="20"/>
              </w:rPr>
              <w:t>28.64</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 </w:t>
            </w:r>
          </w:p>
        </w:tc>
        <w:tc>
          <w:tcPr>
            <w:tcW w:w="1319"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683"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sz w:val="20"/>
                <w:szCs w:val="20"/>
              </w:rPr>
            </w:pPr>
            <w:r w:rsidRPr="00A438A0">
              <w:rPr>
                <w:sz w:val="20"/>
                <w:szCs w:val="20"/>
              </w:rPr>
              <w:t xml:space="preserve">Charge per 1,000 gallons </w:t>
            </w:r>
          </w:p>
        </w:tc>
        <w:tc>
          <w:tcPr>
            <w:tcW w:w="1319"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683"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C36C9B" w:rsidRPr="00A438A0" w:rsidRDefault="00C36C9B" w:rsidP="00C36C9B">
            <w:pPr>
              <w:jc w:val="right"/>
              <w:rPr>
                <w:color w:val="000000"/>
                <w:sz w:val="20"/>
                <w:szCs w:val="20"/>
              </w:rPr>
            </w:pP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tcPr>
          <w:p w:rsidR="00C36C9B" w:rsidRPr="00A438A0" w:rsidRDefault="00C36C9B" w:rsidP="00C36C9B">
            <w:pPr>
              <w:rPr>
                <w:sz w:val="20"/>
                <w:szCs w:val="20"/>
              </w:rPr>
            </w:pPr>
            <w:r w:rsidRPr="00A438A0">
              <w:rPr>
                <w:sz w:val="20"/>
                <w:szCs w:val="20"/>
              </w:rPr>
              <w:t>8,000 gallon cap</w:t>
            </w:r>
          </w:p>
        </w:tc>
        <w:tc>
          <w:tcPr>
            <w:tcW w:w="1319" w:type="dxa"/>
            <w:tcBorders>
              <w:top w:val="nil"/>
              <w:left w:val="nil"/>
              <w:bottom w:val="nil"/>
              <w:right w:val="nil"/>
            </w:tcBorders>
            <w:shd w:val="clear" w:color="auto" w:fill="auto"/>
            <w:noWrap/>
            <w:vAlign w:val="bottom"/>
          </w:tcPr>
          <w:p w:rsidR="00C36C9B" w:rsidRPr="00A438A0" w:rsidRDefault="00C36C9B" w:rsidP="00B7181C">
            <w:pPr>
              <w:jc w:val="right"/>
              <w:rPr>
                <w:sz w:val="20"/>
                <w:szCs w:val="20"/>
              </w:rPr>
            </w:pPr>
            <w:r w:rsidRPr="00A438A0">
              <w:rPr>
                <w:sz w:val="20"/>
                <w:szCs w:val="20"/>
              </w:rPr>
              <w:t>$6.</w:t>
            </w:r>
            <w:r w:rsidR="00B7181C">
              <w:rPr>
                <w:sz w:val="20"/>
                <w:szCs w:val="20"/>
              </w:rPr>
              <w:t>87</w:t>
            </w:r>
          </w:p>
        </w:tc>
        <w:tc>
          <w:tcPr>
            <w:tcW w:w="1872" w:type="dxa"/>
            <w:tcBorders>
              <w:top w:val="nil"/>
              <w:left w:val="nil"/>
              <w:bottom w:val="nil"/>
              <w:right w:val="nil"/>
            </w:tcBorders>
            <w:shd w:val="clear" w:color="auto" w:fill="auto"/>
            <w:noWrap/>
            <w:vAlign w:val="bottom"/>
          </w:tcPr>
          <w:p w:rsidR="00C36C9B" w:rsidRPr="00A438A0" w:rsidRDefault="00C36C9B" w:rsidP="00C36C9B">
            <w:pPr>
              <w:jc w:val="right"/>
              <w:rPr>
                <w:color w:val="000000"/>
                <w:sz w:val="20"/>
                <w:szCs w:val="20"/>
              </w:rPr>
            </w:pPr>
            <w:r w:rsidRPr="00A438A0">
              <w:rPr>
                <w:color w:val="000000"/>
                <w:sz w:val="20"/>
                <w:szCs w:val="20"/>
              </w:rPr>
              <w:t>N/A</w:t>
            </w:r>
          </w:p>
        </w:tc>
        <w:tc>
          <w:tcPr>
            <w:tcW w:w="1683" w:type="dxa"/>
            <w:tcBorders>
              <w:top w:val="nil"/>
              <w:left w:val="nil"/>
              <w:bottom w:val="nil"/>
              <w:right w:val="nil"/>
            </w:tcBorders>
            <w:shd w:val="clear" w:color="auto" w:fill="auto"/>
            <w:noWrap/>
            <w:vAlign w:val="bottom"/>
          </w:tcPr>
          <w:p w:rsidR="00C36C9B" w:rsidRPr="00A438A0" w:rsidRDefault="00C36C9B" w:rsidP="00C36C9B">
            <w:pPr>
              <w:jc w:val="right"/>
              <w:rPr>
                <w:color w:val="000000"/>
                <w:sz w:val="20"/>
                <w:szCs w:val="20"/>
              </w:rPr>
            </w:pPr>
            <w:r w:rsidRPr="00A438A0">
              <w:rPr>
                <w:color w:val="000000"/>
                <w:sz w:val="20"/>
                <w:szCs w:val="20"/>
              </w:rPr>
              <w:t>N/A</w:t>
            </w:r>
          </w:p>
        </w:tc>
        <w:tc>
          <w:tcPr>
            <w:tcW w:w="1683" w:type="dxa"/>
            <w:tcBorders>
              <w:top w:val="nil"/>
              <w:left w:val="nil"/>
              <w:bottom w:val="nil"/>
              <w:right w:val="single" w:sz="8" w:space="0" w:color="000000"/>
            </w:tcBorders>
            <w:shd w:val="clear" w:color="auto" w:fill="auto"/>
            <w:noWrap/>
            <w:vAlign w:val="bottom"/>
          </w:tcPr>
          <w:p w:rsidR="00C36C9B" w:rsidRPr="00A438A0" w:rsidRDefault="00DB6AE9" w:rsidP="006B30A7">
            <w:pPr>
              <w:jc w:val="right"/>
              <w:rPr>
                <w:color w:val="000000"/>
                <w:sz w:val="20"/>
                <w:szCs w:val="20"/>
              </w:rPr>
            </w:pPr>
            <w:r>
              <w:rPr>
                <w:color w:val="000000"/>
                <w:sz w:val="20"/>
                <w:szCs w:val="20"/>
              </w:rPr>
              <w:t>N/A</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sz w:val="20"/>
                <w:szCs w:val="20"/>
              </w:rPr>
            </w:pPr>
            <w:r w:rsidRPr="00A438A0">
              <w:rPr>
                <w:sz w:val="20"/>
                <w:szCs w:val="20"/>
              </w:rPr>
              <w:t>6,000 gallon cap</w:t>
            </w:r>
          </w:p>
        </w:tc>
        <w:tc>
          <w:tcPr>
            <w:tcW w:w="1319"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N/A</w:t>
            </w:r>
          </w:p>
        </w:tc>
        <w:tc>
          <w:tcPr>
            <w:tcW w:w="1872" w:type="dxa"/>
            <w:tcBorders>
              <w:top w:val="nil"/>
              <w:left w:val="nil"/>
              <w:bottom w:val="nil"/>
              <w:right w:val="nil"/>
            </w:tcBorders>
            <w:shd w:val="clear" w:color="auto" w:fill="auto"/>
            <w:noWrap/>
            <w:vAlign w:val="bottom"/>
            <w:hideMark/>
          </w:tcPr>
          <w:p w:rsidR="00C36C9B" w:rsidRPr="00A438A0" w:rsidRDefault="00C36C9B" w:rsidP="00B7181C">
            <w:pPr>
              <w:jc w:val="right"/>
              <w:rPr>
                <w:color w:val="000000"/>
                <w:sz w:val="20"/>
                <w:szCs w:val="20"/>
              </w:rPr>
            </w:pPr>
            <w:r w:rsidRPr="00A438A0">
              <w:rPr>
                <w:color w:val="000000"/>
                <w:sz w:val="20"/>
                <w:szCs w:val="20"/>
              </w:rPr>
              <w:t>$</w:t>
            </w:r>
            <w:r w:rsidR="005525CB">
              <w:rPr>
                <w:color w:val="000000"/>
                <w:sz w:val="20"/>
                <w:szCs w:val="20"/>
              </w:rPr>
              <w:t>6.90</w:t>
            </w:r>
          </w:p>
        </w:tc>
        <w:tc>
          <w:tcPr>
            <w:tcW w:w="1683" w:type="dxa"/>
            <w:tcBorders>
              <w:top w:val="nil"/>
              <w:left w:val="nil"/>
              <w:bottom w:val="nil"/>
              <w:right w:val="nil"/>
            </w:tcBorders>
            <w:shd w:val="clear" w:color="auto" w:fill="auto"/>
            <w:noWrap/>
            <w:vAlign w:val="bottom"/>
            <w:hideMark/>
          </w:tcPr>
          <w:p w:rsidR="00C36C9B" w:rsidRPr="00A438A0" w:rsidRDefault="00C36C9B" w:rsidP="00AB5304">
            <w:pPr>
              <w:jc w:val="right"/>
              <w:rPr>
                <w:color w:val="000000"/>
                <w:sz w:val="20"/>
                <w:szCs w:val="20"/>
              </w:rPr>
            </w:pPr>
            <w:r w:rsidRPr="00A438A0">
              <w:rPr>
                <w:color w:val="000000"/>
                <w:sz w:val="20"/>
                <w:szCs w:val="20"/>
              </w:rPr>
              <w:t>$</w:t>
            </w:r>
            <w:r w:rsidR="005525CB">
              <w:rPr>
                <w:color w:val="000000"/>
                <w:sz w:val="20"/>
                <w:szCs w:val="20"/>
              </w:rPr>
              <w:t>7.59</w:t>
            </w:r>
          </w:p>
        </w:tc>
        <w:tc>
          <w:tcPr>
            <w:tcW w:w="1683" w:type="dxa"/>
            <w:tcBorders>
              <w:top w:val="nil"/>
              <w:left w:val="nil"/>
              <w:bottom w:val="nil"/>
              <w:right w:val="single" w:sz="8" w:space="0" w:color="000000"/>
            </w:tcBorders>
            <w:shd w:val="clear" w:color="auto" w:fill="auto"/>
            <w:noWrap/>
            <w:vAlign w:val="bottom"/>
            <w:hideMark/>
          </w:tcPr>
          <w:p w:rsidR="00C36C9B" w:rsidRPr="00A438A0" w:rsidRDefault="005525CB" w:rsidP="00C36C9B">
            <w:pPr>
              <w:jc w:val="right"/>
              <w:rPr>
                <w:color w:val="000000"/>
                <w:sz w:val="20"/>
                <w:szCs w:val="20"/>
              </w:rPr>
            </w:pPr>
            <w:r>
              <w:rPr>
                <w:color w:val="000000"/>
                <w:sz w:val="20"/>
                <w:szCs w:val="20"/>
              </w:rPr>
              <w:t>$6.21</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tcPr>
          <w:p w:rsidR="00C36C9B" w:rsidRPr="00A438A0" w:rsidRDefault="00C36C9B" w:rsidP="00C36C9B">
            <w:pPr>
              <w:rPr>
                <w:sz w:val="20"/>
                <w:szCs w:val="20"/>
              </w:rPr>
            </w:pPr>
          </w:p>
        </w:tc>
        <w:tc>
          <w:tcPr>
            <w:tcW w:w="1319" w:type="dxa"/>
            <w:tcBorders>
              <w:top w:val="nil"/>
              <w:left w:val="nil"/>
              <w:bottom w:val="nil"/>
              <w:right w:val="nil"/>
            </w:tcBorders>
            <w:shd w:val="clear" w:color="auto" w:fill="auto"/>
            <w:noWrap/>
            <w:vAlign w:val="bottom"/>
          </w:tcPr>
          <w:p w:rsidR="00C36C9B" w:rsidRPr="00A438A0" w:rsidRDefault="00C36C9B" w:rsidP="00C36C9B">
            <w:pPr>
              <w:jc w:val="right"/>
              <w:rPr>
                <w:sz w:val="20"/>
                <w:szCs w:val="20"/>
              </w:rPr>
            </w:pPr>
          </w:p>
        </w:tc>
        <w:tc>
          <w:tcPr>
            <w:tcW w:w="1872" w:type="dxa"/>
            <w:tcBorders>
              <w:top w:val="nil"/>
              <w:left w:val="nil"/>
              <w:bottom w:val="nil"/>
              <w:right w:val="nil"/>
            </w:tcBorders>
            <w:shd w:val="clear" w:color="auto" w:fill="auto"/>
            <w:noWrap/>
            <w:vAlign w:val="bottom"/>
          </w:tcPr>
          <w:p w:rsidR="00C36C9B" w:rsidRPr="00A438A0" w:rsidRDefault="00C36C9B" w:rsidP="00C36C9B">
            <w:pPr>
              <w:jc w:val="right"/>
              <w:rPr>
                <w:color w:val="000000"/>
                <w:sz w:val="20"/>
                <w:szCs w:val="20"/>
              </w:rPr>
            </w:pPr>
          </w:p>
        </w:tc>
        <w:tc>
          <w:tcPr>
            <w:tcW w:w="1683" w:type="dxa"/>
            <w:tcBorders>
              <w:top w:val="nil"/>
              <w:left w:val="nil"/>
              <w:bottom w:val="nil"/>
              <w:right w:val="nil"/>
            </w:tcBorders>
            <w:shd w:val="clear" w:color="auto" w:fill="auto"/>
            <w:noWrap/>
            <w:vAlign w:val="bottom"/>
          </w:tcPr>
          <w:p w:rsidR="00C36C9B" w:rsidRPr="00A438A0" w:rsidRDefault="00C36C9B" w:rsidP="00C36C9B">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tcPr>
          <w:p w:rsidR="00C36C9B" w:rsidRPr="00A438A0" w:rsidRDefault="00C36C9B" w:rsidP="00C36C9B">
            <w:pPr>
              <w:jc w:val="right"/>
              <w:rPr>
                <w:color w:val="000000"/>
                <w:sz w:val="20"/>
                <w:szCs w:val="20"/>
              </w:rPr>
            </w:pPr>
          </w:p>
        </w:tc>
      </w:tr>
      <w:tr w:rsidR="00C36C9B" w:rsidRPr="00A438A0" w:rsidTr="00C36C9B">
        <w:trPr>
          <w:trHeight w:val="265"/>
          <w:jc w:val="center"/>
        </w:trPr>
        <w:tc>
          <w:tcPr>
            <w:tcW w:w="6071" w:type="dxa"/>
            <w:gridSpan w:val="3"/>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b/>
                <w:bCs/>
                <w:color w:val="000000"/>
                <w:sz w:val="20"/>
                <w:szCs w:val="20"/>
                <w:u w:val="single"/>
              </w:rPr>
              <w:t>Typical Residential 5/8" x 3/4" Meter Bill Comparison</w:t>
            </w:r>
          </w:p>
        </w:tc>
        <w:tc>
          <w:tcPr>
            <w:tcW w:w="1683" w:type="dxa"/>
            <w:tcBorders>
              <w:top w:val="nil"/>
              <w:left w:val="nil"/>
              <w:bottom w:val="nil"/>
              <w:right w:val="nil"/>
            </w:tcBorders>
            <w:shd w:val="clear" w:color="auto" w:fill="auto"/>
            <w:noWrap/>
            <w:vAlign w:val="bottom"/>
            <w:hideMark/>
          </w:tcPr>
          <w:p w:rsidR="00C36C9B" w:rsidRPr="00A438A0" w:rsidRDefault="00C36C9B" w:rsidP="00C36C9B">
            <w:pPr>
              <w:jc w:val="right"/>
              <w:rPr>
                <w:color w:val="000000"/>
                <w:sz w:val="20"/>
                <w:szCs w:val="20"/>
              </w:rPr>
            </w:pPr>
          </w:p>
        </w:tc>
        <w:tc>
          <w:tcPr>
            <w:tcW w:w="1683" w:type="dxa"/>
            <w:tcBorders>
              <w:top w:val="nil"/>
              <w:left w:val="nil"/>
              <w:bottom w:val="nil"/>
              <w:right w:val="single" w:sz="8" w:space="0" w:color="000000"/>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2,000 Gallons</w:t>
            </w:r>
          </w:p>
        </w:tc>
        <w:tc>
          <w:tcPr>
            <w:tcW w:w="1319" w:type="dxa"/>
            <w:tcBorders>
              <w:top w:val="nil"/>
              <w:left w:val="nil"/>
              <w:bottom w:val="nil"/>
              <w:right w:val="nil"/>
            </w:tcBorders>
            <w:shd w:val="clear" w:color="auto" w:fill="auto"/>
            <w:noWrap/>
            <w:vAlign w:val="bottom"/>
            <w:hideMark/>
          </w:tcPr>
          <w:p w:rsidR="00C36C9B" w:rsidRPr="00A438A0" w:rsidRDefault="00C36C9B" w:rsidP="00B7181C">
            <w:pPr>
              <w:jc w:val="right"/>
              <w:rPr>
                <w:color w:val="000000"/>
                <w:sz w:val="20"/>
                <w:szCs w:val="20"/>
              </w:rPr>
            </w:pPr>
            <w:r w:rsidRPr="00A438A0">
              <w:rPr>
                <w:color w:val="000000"/>
                <w:sz w:val="20"/>
                <w:szCs w:val="20"/>
              </w:rPr>
              <w:t>$</w:t>
            </w:r>
            <w:r w:rsidR="00B7181C">
              <w:rPr>
                <w:color w:val="000000"/>
                <w:sz w:val="20"/>
                <w:szCs w:val="20"/>
              </w:rPr>
              <w:t>34</w:t>
            </w:r>
            <w:r w:rsidRPr="00A438A0">
              <w:rPr>
                <w:color w:val="000000"/>
                <w:sz w:val="20"/>
                <w:szCs w:val="20"/>
              </w:rPr>
              <w:t>.</w:t>
            </w:r>
            <w:r w:rsidR="00B7181C">
              <w:rPr>
                <w:color w:val="000000"/>
                <w:sz w:val="20"/>
                <w:szCs w:val="20"/>
              </w:rPr>
              <w:t>69</w:t>
            </w:r>
            <w:r w:rsidRPr="00A438A0">
              <w:rPr>
                <w:color w:val="000000"/>
                <w:sz w:val="20"/>
                <w:szCs w:val="20"/>
              </w:rPr>
              <w:t xml:space="preserve"> </w:t>
            </w:r>
          </w:p>
        </w:tc>
        <w:tc>
          <w:tcPr>
            <w:tcW w:w="1872" w:type="dxa"/>
            <w:tcBorders>
              <w:top w:val="nil"/>
              <w:left w:val="nil"/>
              <w:bottom w:val="nil"/>
              <w:right w:val="nil"/>
            </w:tcBorders>
            <w:shd w:val="clear" w:color="auto" w:fill="auto"/>
            <w:noWrap/>
            <w:vAlign w:val="bottom"/>
            <w:hideMark/>
          </w:tcPr>
          <w:p w:rsidR="00C36C9B" w:rsidRPr="00A438A0" w:rsidRDefault="005525CB" w:rsidP="00BC097E">
            <w:pPr>
              <w:jc w:val="right"/>
              <w:rPr>
                <w:color w:val="000000"/>
                <w:sz w:val="20"/>
                <w:szCs w:val="20"/>
              </w:rPr>
            </w:pPr>
            <w:r>
              <w:rPr>
                <w:color w:val="000000"/>
                <w:sz w:val="20"/>
                <w:szCs w:val="20"/>
              </w:rPr>
              <w:t>$39.83</w:t>
            </w:r>
          </w:p>
        </w:tc>
        <w:tc>
          <w:tcPr>
            <w:tcW w:w="1683" w:type="dxa"/>
            <w:tcBorders>
              <w:top w:val="nil"/>
              <w:left w:val="nil"/>
              <w:bottom w:val="nil"/>
              <w:right w:val="nil"/>
            </w:tcBorders>
            <w:shd w:val="clear" w:color="auto" w:fill="auto"/>
            <w:noWrap/>
            <w:vAlign w:val="bottom"/>
            <w:hideMark/>
          </w:tcPr>
          <w:p w:rsidR="00C36C9B" w:rsidRPr="00A438A0" w:rsidRDefault="00C36C9B" w:rsidP="006B30A7">
            <w:pPr>
              <w:jc w:val="right"/>
              <w:rPr>
                <w:color w:val="000000"/>
                <w:sz w:val="20"/>
                <w:szCs w:val="20"/>
              </w:rPr>
            </w:pPr>
            <w:r w:rsidRPr="00A438A0">
              <w:rPr>
                <w:color w:val="000000"/>
                <w:sz w:val="20"/>
                <w:szCs w:val="20"/>
              </w:rPr>
              <w:t>$</w:t>
            </w:r>
            <w:r w:rsidR="005525CB">
              <w:rPr>
                <w:color w:val="000000"/>
                <w:sz w:val="20"/>
                <w:szCs w:val="20"/>
              </w:rPr>
              <w:t>38.61</w:t>
            </w:r>
            <w:r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C36C9B" w:rsidRPr="00A438A0" w:rsidRDefault="005525CB" w:rsidP="006B30A7">
            <w:pPr>
              <w:jc w:val="right"/>
              <w:rPr>
                <w:color w:val="000000"/>
                <w:sz w:val="20"/>
                <w:szCs w:val="20"/>
              </w:rPr>
            </w:pPr>
            <w:r>
              <w:rPr>
                <w:color w:val="000000"/>
                <w:sz w:val="20"/>
                <w:szCs w:val="20"/>
              </w:rPr>
              <w:t>$41.06</w:t>
            </w:r>
            <w:r w:rsidR="00C36C9B" w:rsidRPr="00A438A0">
              <w:rPr>
                <w:color w:val="000000"/>
                <w:sz w:val="20"/>
                <w:szCs w:val="20"/>
              </w:rPr>
              <w:t xml:space="preserve"> </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6,000 Gallons</w:t>
            </w:r>
          </w:p>
        </w:tc>
        <w:tc>
          <w:tcPr>
            <w:tcW w:w="1319" w:type="dxa"/>
            <w:tcBorders>
              <w:top w:val="nil"/>
              <w:left w:val="nil"/>
              <w:bottom w:val="nil"/>
              <w:right w:val="nil"/>
            </w:tcBorders>
            <w:shd w:val="clear" w:color="auto" w:fill="auto"/>
            <w:noWrap/>
            <w:vAlign w:val="bottom"/>
            <w:hideMark/>
          </w:tcPr>
          <w:p w:rsidR="00C36C9B" w:rsidRPr="00A438A0" w:rsidRDefault="00B7181C" w:rsidP="00B7181C">
            <w:pPr>
              <w:jc w:val="right"/>
              <w:rPr>
                <w:color w:val="000000"/>
                <w:sz w:val="20"/>
                <w:szCs w:val="20"/>
              </w:rPr>
            </w:pPr>
            <w:r>
              <w:rPr>
                <w:color w:val="000000"/>
                <w:sz w:val="20"/>
                <w:szCs w:val="20"/>
              </w:rPr>
              <w:t>$62</w:t>
            </w:r>
            <w:r w:rsidR="00C36C9B" w:rsidRPr="00A438A0">
              <w:rPr>
                <w:color w:val="000000"/>
                <w:sz w:val="20"/>
                <w:szCs w:val="20"/>
              </w:rPr>
              <w:t>.</w:t>
            </w:r>
            <w:r>
              <w:rPr>
                <w:color w:val="000000"/>
                <w:sz w:val="20"/>
                <w:szCs w:val="20"/>
              </w:rPr>
              <w:t>17</w:t>
            </w:r>
            <w:r w:rsidR="00C36C9B" w:rsidRPr="00A438A0">
              <w:rPr>
                <w:color w:val="000000"/>
                <w:sz w:val="20"/>
                <w:szCs w:val="20"/>
              </w:rPr>
              <w:t xml:space="preserve"> </w:t>
            </w:r>
          </w:p>
        </w:tc>
        <w:tc>
          <w:tcPr>
            <w:tcW w:w="1872" w:type="dxa"/>
            <w:tcBorders>
              <w:top w:val="nil"/>
              <w:left w:val="nil"/>
              <w:bottom w:val="nil"/>
              <w:right w:val="nil"/>
            </w:tcBorders>
            <w:shd w:val="clear" w:color="auto" w:fill="auto"/>
            <w:noWrap/>
            <w:vAlign w:val="bottom"/>
            <w:hideMark/>
          </w:tcPr>
          <w:p w:rsidR="00C36C9B" w:rsidRPr="00A438A0" w:rsidRDefault="00C36C9B" w:rsidP="00B7181C">
            <w:pPr>
              <w:jc w:val="right"/>
              <w:rPr>
                <w:color w:val="000000"/>
                <w:sz w:val="20"/>
                <w:szCs w:val="20"/>
              </w:rPr>
            </w:pPr>
            <w:r w:rsidRPr="00A438A0">
              <w:rPr>
                <w:color w:val="000000"/>
                <w:sz w:val="20"/>
                <w:szCs w:val="20"/>
              </w:rPr>
              <w:t>$</w:t>
            </w:r>
            <w:r w:rsidR="005525CB">
              <w:rPr>
                <w:color w:val="000000"/>
                <w:sz w:val="20"/>
                <w:szCs w:val="20"/>
              </w:rPr>
              <w:t>67.43</w:t>
            </w:r>
          </w:p>
        </w:tc>
        <w:tc>
          <w:tcPr>
            <w:tcW w:w="1683" w:type="dxa"/>
            <w:tcBorders>
              <w:top w:val="nil"/>
              <w:left w:val="nil"/>
              <w:bottom w:val="nil"/>
              <w:right w:val="nil"/>
            </w:tcBorders>
            <w:shd w:val="clear" w:color="auto" w:fill="auto"/>
            <w:noWrap/>
            <w:vAlign w:val="bottom"/>
            <w:hideMark/>
          </w:tcPr>
          <w:p w:rsidR="00C36C9B" w:rsidRPr="00A438A0" w:rsidRDefault="00C36C9B" w:rsidP="006B30A7">
            <w:pPr>
              <w:jc w:val="right"/>
              <w:rPr>
                <w:color w:val="000000"/>
                <w:sz w:val="20"/>
                <w:szCs w:val="20"/>
              </w:rPr>
            </w:pPr>
            <w:r>
              <w:rPr>
                <w:color w:val="000000"/>
                <w:sz w:val="20"/>
                <w:szCs w:val="20"/>
              </w:rPr>
              <w:t>$</w:t>
            </w:r>
            <w:r w:rsidR="005525CB">
              <w:rPr>
                <w:color w:val="000000"/>
                <w:sz w:val="20"/>
                <w:szCs w:val="20"/>
              </w:rPr>
              <w:t>68.97</w:t>
            </w:r>
            <w:r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C36C9B" w:rsidRPr="00A438A0" w:rsidRDefault="005525CB" w:rsidP="0091396B">
            <w:pPr>
              <w:jc w:val="right"/>
              <w:rPr>
                <w:color w:val="000000"/>
                <w:sz w:val="20"/>
                <w:szCs w:val="20"/>
              </w:rPr>
            </w:pPr>
            <w:r>
              <w:rPr>
                <w:color w:val="000000"/>
                <w:sz w:val="20"/>
                <w:szCs w:val="20"/>
              </w:rPr>
              <w:t>$65.90</w:t>
            </w:r>
            <w:r w:rsidR="00C36C9B" w:rsidRPr="00A438A0">
              <w:rPr>
                <w:color w:val="000000"/>
                <w:sz w:val="20"/>
                <w:szCs w:val="20"/>
              </w:rPr>
              <w:t xml:space="preserve"> </w:t>
            </w:r>
          </w:p>
        </w:tc>
      </w:tr>
      <w:tr w:rsidR="00C36C9B" w:rsidRPr="00A438A0" w:rsidTr="00C36C9B">
        <w:trPr>
          <w:trHeight w:val="265"/>
          <w:jc w:val="center"/>
        </w:trPr>
        <w:tc>
          <w:tcPr>
            <w:tcW w:w="2880" w:type="dxa"/>
            <w:tcBorders>
              <w:top w:val="nil"/>
              <w:left w:val="single" w:sz="8" w:space="0" w:color="000000"/>
              <w:bottom w:val="nil"/>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8,000 Gallons</w:t>
            </w:r>
          </w:p>
        </w:tc>
        <w:tc>
          <w:tcPr>
            <w:tcW w:w="1319" w:type="dxa"/>
            <w:tcBorders>
              <w:top w:val="nil"/>
              <w:left w:val="nil"/>
              <w:bottom w:val="nil"/>
              <w:right w:val="nil"/>
            </w:tcBorders>
            <w:shd w:val="clear" w:color="auto" w:fill="auto"/>
            <w:noWrap/>
            <w:vAlign w:val="bottom"/>
            <w:hideMark/>
          </w:tcPr>
          <w:p w:rsidR="00C36C9B" w:rsidRPr="00A438A0" w:rsidRDefault="00B7181C" w:rsidP="00B7181C">
            <w:pPr>
              <w:jc w:val="right"/>
              <w:rPr>
                <w:color w:val="000000"/>
                <w:sz w:val="20"/>
                <w:szCs w:val="20"/>
              </w:rPr>
            </w:pPr>
            <w:r>
              <w:rPr>
                <w:color w:val="000000"/>
                <w:sz w:val="20"/>
                <w:szCs w:val="20"/>
              </w:rPr>
              <w:t>$75</w:t>
            </w:r>
            <w:r w:rsidR="00C36C9B" w:rsidRPr="00A438A0">
              <w:rPr>
                <w:color w:val="000000"/>
                <w:sz w:val="20"/>
                <w:szCs w:val="20"/>
              </w:rPr>
              <w:t>.</w:t>
            </w:r>
            <w:r>
              <w:rPr>
                <w:color w:val="000000"/>
                <w:sz w:val="20"/>
                <w:szCs w:val="20"/>
              </w:rPr>
              <w:t>91</w:t>
            </w:r>
            <w:r w:rsidR="00C36C9B" w:rsidRPr="00A438A0">
              <w:rPr>
                <w:color w:val="000000"/>
                <w:sz w:val="20"/>
                <w:szCs w:val="20"/>
              </w:rPr>
              <w:t xml:space="preserve"> </w:t>
            </w:r>
          </w:p>
        </w:tc>
        <w:tc>
          <w:tcPr>
            <w:tcW w:w="1872" w:type="dxa"/>
            <w:tcBorders>
              <w:top w:val="nil"/>
              <w:left w:val="nil"/>
              <w:bottom w:val="nil"/>
              <w:right w:val="nil"/>
            </w:tcBorders>
            <w:shd w:val="clear" w:color="auto" w:fill="auto"/>
            <w:noWrap/>
            <w:vAlign w:val="bottom"/>
            <w:hideMark/>
          </w:tcPr>
          <w:p w:rsidR="00C36C9B" w:rsidRPr="00A438A0" w:rsidRDefault="00C36C9B" w:rsidP="00B7181C">
            <w:pPr>
              <w:jc w:val="right"/>
              <w:rPr>
                <w:color w:val="000000"/>
                <w:sz w:val="20"/>
                <w:szCs w:val="20"/>
              </w:rPr>
            </w:pPr>
            <w:r>
              <w:rPr>
                <w:color w:val="000000"/>
                <w:sz w:val="20"/>
                <w:szCs w:val="20"/>
              </w:rPr>
              <w:t>$</w:t>
            </w:r>
            <w:r w:rsidR="005525CB">
              <w:rPr>
                <w:color w:val="000000"/>
                <w:sz w:val="20"/>
                <w:szCs w:val="20"/>
              </w:rPr>
              <w:t>67.43</w:t>
            </w:r>
            <w:r w:rsidRPr="00A438A0">
              <w:rPr>
                <w:color w:val="000000"/>
                <w:sz w:val="20"/>
                <w:szCs w:val="20"/>
              </w:rPr>
              <w:t xml:space="preserve"> </w:t>
            </w:r>
          </w:p>
        </w:tc>
        <w:tc>
          <w:tcPr>
            <w:tcW w:w="1683" w:type="dxa"/>
            <w:tcBorders>
              <w:top w:val="nil"/>
              <w:left w:val="nil"/>
              <w:bottom w:val="nil"/>
              <w:right w:val="nil"/>
            </w:tcBorders>
            <w:shd w:val="clear" w:color="auto" w:fill="auto"/>
            <w:noWrap/>
            <w:vAlign w:val="bottom"/>
            <w:hideMark/>
          </w:tcPr>
          <w:p w:rsidR="00C36C9B" w:rsidRPr="00A438A0" w:rsidRDefault="00C36C9B" w:rsidP="00DB6AE9">
            <w:pPr>
              <w:jc w:val="right"/>
              <w:rPr>
                <w:color w:val="000000"/>
                <w:sz w:val="20"/>
                <w:szCs w:val="20"/>
              </w:rPr>
            </w:pPr>
            <w:r>
              <w:rPr>
                <w:color w:val="000000"/>
                <w:sz w:val="20"/>
                <w:szCs w:val="20"/>
              </w:rPr>
              <w:t>$</w:t>
            </w:r>
            <w:r w:rsidR="005525CB">
              <w:rPr>
                <w:color w:val="000000"/>
                <w:sz w:val="20"/>
                <w:szCs w:val="20"/>
              </w:rPr>
              <w:t>68.97</w:t>
            </w:r>
            <w:r w:rsidRPr="00A438A0">
              <w:rPr>
                <w:color w:val="000000"/>
                <w:sz w:val="20"/>
                <w:szCs w:val="20"/>
              </w:rPr>
              <w:t xml:space="preserve"> </w:t>
            </w:r>
          </w:p>
        </w:tc>
        <w:tc>
          <w:tcPr>
            <w:tcW w:w="1683" w:type="dxa"/>
            <w:tcBorders>
              <w:top w:val="nil"/>
              <w:left w:val="nil"/>
              <w:bottom w:val="nil"/>
              <w:right w:val="single" w:sz="8" w:space="0" w:color="auto"/>
            </w:tcBorders>
            <w:shd w:val="clear" w:color="auto" w:fill="auto"/>
            <w:noWrap/>
            <w:vAlign w:val="bottom"/>
            <w:hideMark/>
          </w:tcPr>
          <w:p w:rsidR="00C36C9B" w:rsidRPr="00A438A0" w:rsidRDefault="005525CB" w:rsidP="006B30A7">
            <w:pPr>
              <w:jc w:val="right"/>
              <w:rPr>
                <w:color w:val="000000"/>
                <w:sz w:val="20"/>
                <w:szCs w:val="20"/>
              </w:rPr>
            </w:pPr>
            <w:r>
              <w:rPr>
                <w:color w:val="000000"/>
                <w:sz w:val="20"/>
                <w:szCs w:val="20"/>
              </w:rPr>
              <w:t>$65.90</w:t>
            </w:r>
            <w:r w:rsidR="00C36C9B" w:rsidRPr="00A438A0">
              <w:rPr>
                <w:color w:val="000000"/>
                <w:sz w:val="20"/>
                <w:szCs w:val="20"/>
              </w:rPr>
              <w:t xml:space="preserve"> </w:t>
            </w:r>
          </w:p>
        </w:tc>
      </w:tr>
      <w:tr w:rsidR="00C36C9B" w:rsidRPr="00A438A0" w:rsidTr="00C36C9B">
        <w:trPr>
          <w:trHeight w:val="278"/>
          <w:jc w:val="center"/>
        </w:trPr>
        <w:tc>
          <w:tcPr>
            <w:tcW w:w="2880" w:type="dxa"/>
            <w:tcBorders>
              <w:top w:val="nil"/>
              <w:left w:val="single" w:sz="8" w:space="0" w:color="000000"/>
              <w:bottom w:val="single" w:sz="8" w:space="0" w:color="000000"/>
              <w:right w:val="nil"/>
            </w:tcBorders>
            <w:shd w:val="clear" w:color="auto" w:fill="auto"/>
            <w:noWrap/>
            <w:vAlign w:val="bottom"/>
            <w:hideMark/>
          </w:tcPr>
          <w:p w:rsidR="00C36C9B" w:rsidRPr="00A438A0" w:rsidRDefault="00C36C9B" w:rsidP="00C36C9B">
            <w:pPr>
              <w:rPr>
                <w:color w:val="000000"/>
                <w:sz w:val="20"/>
                <w:szCs w:val="20"/>
              </w:rPr>
            </w:pPr>
            <w:r w:rsidRPr="00A438A0">
              <w:rPr>
                <w:color w:val="000000"/>
                <w:sz w:val="20"/>
                <w:szCs w:val="20"/>
              </w:rPr>
              <w:t> </w:t>
            </w:r>
          </w:p>
        </w:tc>
        <w:tc>
          <w:tcPr>
            <w:tcW w:w="1319" w:type="dxa"/>
            <w:tcBorders>
              <w:top w:val="nil"/>
              <w:left w:val="nil"/>
              <w:bottom w:val="single" w:sz="8" w:space="0" w:color="000000"/>
              <w:right w:val="nil"/>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c>
          <w:tcPr>
            <w:tcW w:w="1872" w:type="dxa"/>
            <w:tcBorders>
              <w:top w:val="nil"/>
              <w:left w:val="nil"/>
              <w:bottom w:val="single" w:sz="8" w:space="0" w:color="000000"/>
              <w:right w:val="nil"/>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c>
          <w:tcPr>
            <w:tcW w:w="1683" w:type="dxa"/>
            <w:tcBorders>
              <w:top w:val="nil"/>
              <w:left w:val="nil"/>
              <w:bottom w:val="single" w:sz="8" w:space="0" w:color="000000"/>
              <w:right w:val="nil"/>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c>
          <w:tcPr>
            <w:tcW w:w="1683" w:type="dxa"/>
            <w:tcBorders>
              <w:top w:val="nil"/>
              <w:left w:val="nil"/>
              <w:bottom w:val="single" w:sz="8" w:space="0" w:color="000000"/>
              <w:right w:val="single" w:sz="8" w:space="0" w:color="000000"/>
            </w:tcBorders>
            <w:shd w:val="clear" w:color="auto" w:fill="auto"/>
            <w:noWrap/>
            <w:vAlign w:val="bottom"/>
            <w:hideMark/>
          </w:tcPr>
          <w:p w:rsidR="00C36C9B" w:rsidRPr="00A438A0" w:rsidRDefault="00C36C9B" w:rsidP="00C36C9B">
            <w:pPr>
              <w:jc w:val="right"/>
              <w:rPr>
                <w:color w:val="000000"/>
                <w:sz w:val="20"/>
                <w:szCs w:val="20"/>
              </w:rPr>
            </w:pPr>
            <w:r w:rsidRPr="00A438A0">
              <w:rPr>
                <w:color w:val="000000"/>
                <w:sz w:val="20"/>
                <w:szCs w:val="20"/>
              </w:rPr>
              <w:t> </w:t>
            </w:r>
          </w:p>
        </w:tc>
      </w:tr>
    </w:tbl>
    <w:p w:rsidR="00C36C9B" w:rsidRPr="00C36C9B" w:rsidRDefault="00C36C9B" w:rsidP="00F923F7">
      <w:pPr>
        <w:autoSpaceDE w:val="0"/>
        <w:autoSpaceDN w:val="0"/>
        <w:adjustRightInd w:val="0"/>
        <w:jc w:val="both"/>
        <w:rPr>
          <w:rFonts w:asciiTheme="majorHAnsi" w:hAnsiTheme="majorHAnsi" w:cstheme="majorHAnsi"/>
        </w:rPr>
      </w:pPr>
    </w:p>
    <w:p w:rsidR="00F923F7" w:rsidRPr="005744C1" w:rsidRDefault="00F923F7" w:rsidP="00F923F7">
      <w:pPr>
        <w:autoSpaceDE w:val="0"/>
        <w:autoSpaceDN w:val="0"/>
        <w:adjustRightInd w:val="0"/>
        <w:jc w:val="both"/>
        <w:rPr>
          <w:rFonts w:ascii="Arial" w:hAnsi="Arial" w:cs="Arial"/>
          <w:b/>
        </w:rPr>
      </w:pPr>
      <w:r w:rsidRPr="005744C1">
        <w:rPr>
          <w:rFonts w:ascii="Arial" w:hAnsi="Arial" w:cs="Arial"/>
          <w:b/>
        </w:rPr>
        <w:t xml:space="preserve">Summary </w:t>
      </w:r>
    </w:p>
    <w:p w:rsidR="00F923F7" w:rsidRDefault="00F923F7" w:rsidP="00F923F7">
      <w:pPr>
        <w:jc w:val="both"/>
      </w:pPr>
      <w:r w:rsidRPr="004F73C6">
        <w:t xml:space="preserve">The recommended </w:t>
      </w:r>
      <w:r>
        <w:t>rate structure and rates are shown on Schedule No</w:t>
      </w:r>
      <w:r w:rsidR="00022AA1">
        <w:t>s</w:t>
      </w:r>
      <w:r w:rsidRPr="004F73C6">
        <w:t>. 4</w:t>
      </w:r>
      <w:r w:rsidR="00022AA1">
        <w:t>-A and 4-B</w:t>
      </w:r>
      <w:r w:rsidRPr="004F73C6">
        <w:t>.</w:t>
      </w:r>
      <w:r>
        <w:t xml:space="preserve"> The u</w:t>
      </w:r>
      <w:r w:rsidRPr="004F73C6">
        <w:t>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w:t>
      </w:r>
      <w:r>
        <w:t>r notice and the notice has bee</w:t>
      </w:r>
      <w:r w:rsidRPr="004F73C6">
        <w:t>n</w:t>
      </w:r>
      <w:r>
        <w:t xml:space="preserve"> </w:t>
      </w:r>
      <w:r w:rsidRPr="004F73C6">
        <w:t>received by the customers.</w:t>
      </w:r>
      <w:r>
        <w:t xml:space="preserve"> The u</w:t>
      </w:r>
      <w:r w:rsidRPr="004F73C6">
        <w:t>tility should provide proof of the date notice was given within 10 days of the date of the notice.</w:t>
      </w:r>
    </w:p>
    <w:p w:rsidR="00C15095" w:rsidRDefault="00C15095">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15</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464661212"/>
      <w:r w:rsidR="007F50C0">
        <w:rPr>
          <w:noProof/>
        </w:rPr>
        <w:instrText>15</w:instrText>
      </w:r>
      <w:r>
        <w:fldChar w:fldCharType="end"/>
      </w:r>
      <w:r>
        <w:tab/>
        <w:instrText>Four-Year Rate Reduction</w:instrText>
      </w:r>
      <w:bookmarkEnd w:id="31"/>
      <w:r>
        <w:instrText xml:space="preserve">" \l 1 </w:instrText>
      </w:r>
      <w:r>
        <w:fldChar w:fldCharType="end"/>
      </w:r>
      <w:r>
        <w:t> </w:t>
      </w:r>
    </w:p>
    <w:p w:rsidR="00C15095" w:rsidRDefault="00C15095">
      <w:pPr>
        <w:pStyle w:val="BodyText"/>
      </w:pPr>
      <w:r>
        <w:t> What is the appropriate amount by which rates should be reduced four years after the established effective date to reflect the removal of the amortized rate case expense as required by Sections 367.0816,</w:t>
      </w:r>
      <w:r w:rsidR="004C23D3">
        <w:rPr>
          <w:rStyle w:val="FootnoteReference"/>
        </w:rPr>
        <w:footnoteReference w:id="38"/>
      </w:r>
      <w:r>
        <w:t xml:space="preserve"> Florida Statutes?</w:t>
      </w:r>
    </w:p>
    <w:p w:rsidR="00C15095" w:rsidRPr="004C3641" w:rsidRDefault="00C15095">
      <w:pPr>
        <w:pStyle w:val="IssueSubsectionHeading"/>
        <w:rPr>
          <w:vanish/>
          <w:specVanish/>
        </w:rPr>
      </w:pPr>
      <w:r w:rsidRPr="004C3641">
        <w:t>Recommendation: </w:t>
      </w:r>
    </w:p>
    <w:p w:rsidR="00C15095" w:rsidRDefault="00C15095">
      <w:pPr>
        <w:pStyle w:val="BodyText"/>
      </w:pPr>
      <w:r>
        <w:t> </w:t>
      </w:r>
      <w:r w:rsidR="00EF035E" w:rsidRPr="002F3911">
        <w:t>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w:t>
      </w:r>
      <w:r w:rsidR="004C23D3">
        <w:t>,</w:t>
      </w:r>
      <w:r w:rsidR="00EF035E" w:rsidRPr="002F3911">
        <w:t xml:space="preserve"> </w:t>
      </w:r>
      <w:r w:rsidR="00805C43">
        <w:t>Ni Florida</w:t>
      </w:r>
      <w:r w:rsidR="00EF035E" w:rsidRPr="002F3911">
        <w:t xml:space="preserve"> should be required to file revised tariffs and a proposed customer notice setting forth the lower rates and the reason for the reduction no later than one month prior to the actual date of the required rate reduction. If the </w:t>
      </w:r>
      <w:r w:rsidR="006D1534">
        <w:t>u</w:t>
      </w:r>
      <w:r w:rsidR="00EF035E">
        <w:t>tility</w:t>
      </w:r>
      <w:r w:rsidR="00EF035E"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w:t>
      </w:r>
      <w:r w:rsidR="000F7640">
        <w:t xml:space="preserve">. </w:t>
      </w:r>
      <w:r>
        <w:t>(Brown, Bruce)</w:t>
      </w:r>
    </w:p>
    <w:p w:rsidR="00C15095" w:rsidRPr="004C3641" w:rsidRDefault="00C15095">
      <w:pPr>
        <w:pStyle w:val="IssueSubsectionHeading"/>
        <w:rPr>
          <w:vanish/>
          <w:specVanish/>
        </w:rPr>
      </w:pPr>
      <w:r w:rsidRPr="004C3641">
        <w:t>Staff Analysis: </w:t>
      </w:r>
    </w:p>
    <w:p w:rsidR="00EF035E" w:rsidRDefault="00C15095" w:rsidP="00EF035E">
      <w:pPr>
        <w:jc w:val="both"/>
      </w:pPr>
      <w:r>
        <w:t> </w:t>
      </w:r>
      <w:r w:rsidR="00EF035E" w:rsidRPr="002F3911">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w:t>
      </w:r>
      <w:r w:rsidR="00EF035E" w:rsidRPr="00247B1E">
        <w:t xml:space="preserve">rate case expense, the associated return in working capital, and the gross-up for RAFs. This results in a reduction of </w:t>
      </w:r>
      <w:r w:rsidR="00EF035E" w:rsidRPr="006D07D9">
        <w:t>$</w:t>
      </w:r>
      <w:r w:rsidR="00E43190" w:rsidRPr="006D07D9">
        <w:t>6,07</w:t>
      </w:r>
      <w:r w:rsidR="00247B1E" w:rsidRPr="006D07D9">
        <w:t>5</w:t>
      </w:r>
      <w:r w:rsidR="00EF035E" w:rsidRPr="00247B1E">
        <w:t xml:space="preserve"> for water</w:t>
      </w:r>
      <w:r w:rsidR="00805C43" w:rsidRPr="00247B1E">
        <w:t xml:space="preserve"> a</w:t>
      </w:r>
      <w:r w:rsidR="00EF035E" w:rsidRPr="00247B1E">
        <w:t xml:space="preserve">nd </w:t>
      </w:r>
      <w:r w:rsidR="00EF035E" w:rsidRPr="006D07D9">
        <w:t>$</w:t>
      </w:r>
      <w:r w:rsidR="00E43190" w:rsidRPr="006D07D9">
        <w:t>22</w:t>
      </w:r>
      <w:r w:rsidR="00247B1E" w:rsidRPr="006D07D9">
        <w:t>,8</w:t>
      </w:r>
      <w:r w:rsidR="00E43190" w:rsidRPr="006D07D9">
        <w:t>5</w:t>
      </w:r>
      <w:r w:rsidR="00247B1E" w:rsidRPr="006D07D9">
        <w:t>3</w:t>
      </w:r>
      <w:r w:rsidR="00EF035E" w:rsidRPr="00247B1E">
        <w:t xml:space="preserve"> for wastewater.</w:t>
      </w:r>
      <w:r w:rsidR="00EF035E" w:rsidRPr="002F3911">
        <w:t xml:space="preserve"> </w:t>
      </w:r>
    </w:p>
    <w:p w:rsidR="00EF035E" w:rsidRPr="002F3911" w:rsidRDefault="00EF035E" w:rsidP="00EF035E">
      <w:pPr>
        <w:jc w:val="both"/>
      </w:pPr>
    </w:p>
    <w:p w:rsidR="00EF035E" w:rsidRDefault="00EF035E" w:rsidP="00EF035E">
      <w:pPr>
        <w:pStyle w:val="BodyText"/>
      </w:pPr>
      <w:r w:rsidRPr="002F3911">
        <w:t xml:space="preserve">The water and wastewater rates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367.0816, F.S. </w:t>
      </w:r>
      <w:r w:rsidR="00805C43">
        <w:t>Ni Florida</w:t>
      </w:r>
      <w:r w:rsidRPr="002F3911">
        <w:t xml:space="preserve"> should be required to file revised tariffs and a proposed customer notice setting forth the lower rates and the reason for the reduction no later than one month prior to the actual date of the required rate reduction. If the </w:t>
      </w:r>
      <w:r w:rsidR="006D1534">
        <w:t>u</w:t>
      </w:r>
      <w:r>
        <w:t>tility</w:t>
      </w:r>
      <w:r w:rsidRPr="002F3911">
        <w:t xml:space="preserve"> files this reduction in conjunction with a price index or pass-through rate adjustment, separate data should be filed for the price index and/or pass-through increase or decrease and the reduction in the rates due to the amortized rate case expense</w:t>
      </w:r>
      <w:r>
        <w:t>.</w:t>
      </w:r>
    </w:p>
    <w:p w:rsidR="00C15095" w:rsidRDefault="00C15095">
      <w:pPr>
        <w:pStyle w:val="BodyText"/>
      </w:pPr>
    </w:p>
    <w:p w:rsidR="00FE7E80" w:rsidRDefault="00FE7E8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16</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464661213"/>
      <w:r w:rsidR="007F50C0">
        <w:rPr>
          <w:noProof/>
        </w:rPr>
        <w:instrText>16</w:instrText>
      </w:r>
      <w:r>
        <w:fldChar w:fldCharType="end"/>
      </w:r>
      <w:r>
        <w:tab/>
      </w:r>
      <w:r w:rsidR="008F36C4">
        <w:instrText>Miscellaneous Service Charges</w:instrText>
      </w:r>
      <w:bookmarkEnd w:id="32"/>
      <w:r>
        <w:instrText xml:space="preserve">" \l 1 </w:instrText>
      </w:r>
      <w:r>
        <w:fldChar w:fldCharType="end"/>
      </w:r>
      <w:r>
        <w:t> </w:t>
      </w:r>
    </w:p>
    <w:p w:rsidR="00FE7E80" w:rsidRDefault="00FE7E80">
      <w:pPr>
        <w:pStyle w:val="BodyText"/>
      </w:pPr>
      <w:r>
        <w:t> </w:t>
      </w:r>
      <w:r w:rsidR="001E7AAF">
        <w:t xml:space="preserve">Should the Commission approve Ni Florida’s </w:t>
      </w:r>
      <w:r w:rsidR="00F3735F">
        <w:t>propos</w:t>
      </w:r>
      <w:r w:rsidR="001E7AAF">
        <w:t>ed rates for reconnection and meter re-reads based on a contract with Pasco County</w:t>
      </w:r>
      <w:r>
        <w:t>?</w:t>
      </w:r>
    </w:p>
    <w:p w:rsidR="00FE7E80" w:rsidRPr="004C3641" w:rsidRDefault="00FE7E80">
      <w:pPr>
        <w:pStyle w:val="IssueSubsectionHeading"/>
        <w:rPr>
          <w:vanish/>
          <w:specVanish/>
        </w:rPr>
      </w:pPr>
      <w:r w:rsidRPr="004C3641">
        <w:t>Recommendation: </w:t>
      </w:r>
    </w:p>
    <w:p w:rsidR="00FE7E80" w:rsidRDefault="00FE7E80">
      <w:pPr>
        <w:pStyle w:val="BodyText"/>
      </w:pPr>
      <w:r>
        <w:t> </w:t>
      </w:r>
      <w:r w:rsidR="00F3735F">
        <w:t xml:space="preserve">Yes. </w:t>
      </w:r>
      <w:r w:rsidR="00E03983">
        <w:t>Staff recommends that Ni Florida’s proposed violation reconnection charge of $125</w:t>
      </w:r>
      <w:r w:rsidR="00A2396A">
        <w:t>.00</w:t>
      </w:r>
      <w:r w:rsidR="00E03983">
        <w:t xml:space="preserve"> and $187.50 during normal business hours and after hours, respectively, and a $20</w:t>
      </w:r>
      <w:r w:rsidR="00A2396A">
        <w:t>.00</w:t>
      </w:r>
      <w:r w:rsidR="00E03983">
        <w:t xml:space="preserve"> meter re-read based on a contract with Pasco County </w:t>
      </w:r>
      <w:r w:rsidR="00A2396A">
        <w:t xml:space="preserve">should </w:t>
      </w:r>
      <w:r w:rsidR="00E03983">
        <w:t>be approved.</w:t>
      </w:r>
      <w:r w:rsidR="00F3735F">
        <w:t xml:space="preserve"> </w:t>
      </w:r>
      <w:r>
        <w:t>(Bruce)</w:t>
      </w:r>
    </w:p>
    <w:p w:rsidR="00882763" w:rsidRPr="009620D3" w:rsidRDefault="00FE7E80" w:rsidP="009620D3">
      <w:pPr>
        <w:pStyle w:val="IssueSubsectionHeading"/>
        <w:rPr>
          <w:rFonts w:ascii="Times New Roman" w:hAnsi="Times New Roman" w:cs="Times New Roman"/>
          <w:b w:val="0"/>
          <w:i w:val="0"/>
        </w:rPr>
      </w:pPr>
      <w:r w:rsidRPr="004C3641">
        <w:t>Staff Analysis:</w:t>
      </w:r>
      <w:r w:rsidR="008A3C28">
        <w:rPr>
          <w:rFonts w:ascii="Times New Roman" w:hAnsi="Times New Roman" w:cs="Times New Roman"/>
          <w:b w:val="0"/>
          <w:i w:val="0"/>
        </w:rPr>
        <w:t xml:space="preserve"> </w:t>
      </w:r>
      <w:r w:rsidR="00F3735F" w:rsidRPr="009620D3">
        <w:rPr>
          <w:rFonts w:ascii="Times New Roman" w:hAnsi="Times New Roman" w:cs="Times New Roman"/>
          <w:b w:val="0"/>
          <w:i w:val="0"/>
        </w:rPr>
        <w:t xml:space="preserve">Ni Florida </w:t>
      </w:r>
      <w:r w:rsidR="000E2FF7">
        <w:rPr>
          <w:rFonts w:ascii="Times New Roman" w:hAnsi="Times New Roman" w:cs="Times New Roman"/>
          <w:b w:val="0"/>
          <w:i w:val="0"/>
        </w:rPr>
        <w:t xml:space="preserve">provides </w:t>
      </w:r>
      <w:r w:rsidR="00F3735F" w:rsidRPr="009620D3">
        <w:rPr>
          <w:rFonts w:ascii="Times New Roman" w:hAnsi="Times New Roman" w:cs="Times New Roman"/>
          <w:b w:val="0"/>
          <w:i w:val="0"/>
        </w:rPr>
        <w:t>wastewater</w:t>
      </w:r>
      <w:r w:rsidR="004C23D3">
        <w:rPr>
          <w:rFonts w:ascii="Times New Roman" w:hAnsi="Times New Roman" w:cs="Times New Roman"/>
          <w:b w:val="0"/>
          <w:i w:val="0"/>
        </w:rPr>
        <w:t>-</w:t>
      </w:r>
      <w:r w:rsidR="000E2FF7">
        <w:rPr>
          <w:rFonts w:ascii="Times New Roman" w:hAnsi="Times New Roman" w:cs="Times New Roman"/>
          <w:b w:val="0"/>
          <w:i w:val="0"/>
        </w:rPr>
        <w:t>only service</w:t>
      </w:r>
      <w:r w:rsidR="00DB4D8F" w:rsidRPr="009620D3">
        <w:rPr>
          <w:rFonts w:ascii="Times New Roman" w:hAnsi="Times New Roman" w:cs="Times New Roman"/>
          <w:b w:val="0"/>
          <w:i w:val="0"/>
        </w:rPr>
        <w:t xml:space="preserve"> for its customers in Pasco County. The water service is provided by two utilities: Hudson Water Works and Pasco County. </w:t>
      </w:r>
      <w:r w:rsidR="00675169" w:rsidRPr="009620D3">
        <w:rPr>
          <w:rFonts w:ascii="Times New Roman" w:hAnsi="Times New Roman" w:cs="Times New Roman"/>
          <w:b w:val="0"/>
          <w:i w:val="0"/>
        </w:rPr>
        <w:t>In the past, the utility experienced a high level of bad debt expense due to uncollectable accounts.</w:t>
      </w:r>
      <w:r w:rsidR="00675169">
        <w:rPr>
          <w:rFonts w:ascii="Times New Roman" w:hAnsi="Times New Roman" w:cs="Times New Roman"/>
          <w:b w:val="0"/>
          <w:i w:val="0"/>
        </w:rPr>
        <w:t xml:space="preserve"> </w:t>
      </w:r>
      <w:r w:rsidR="00DB4D8F" w:rsidRPr="009620D3">
        <w:rPr>
          <w:rFonts w:ascii="Times New Roman" w:hAnsi="Times New Roman" w:cs="Times New Roman"/>
          <w:b w:val="0"/>
          <w:i w:val="0"/>
        </w:rPr>
        <w:t xml:space="preserve">Ni Florida does not have </w:t>
      </w:r>
      <w:r w:rsidR="005F1EC6" w:rsidRPr="009620D3">
        <w:rPr>
          <w:rFonts w:ascii="Times New Roman" w:hAnsi="Times New Roman" w:cs="Times New Roman"/>
          <w:b w:val="0"/>
          <w:i w:val="0"/>
        </w:rPr>
        <w:t>the ability to disconnect water service when a customer is delinquent in paying for wastewater service.</w:t>
      </w:r>
      <w:r w:rsidR="00675169">
        <w:rPr>
          <w:rFonts w:ascii="Times New Roman" w:hAnsi="Times New Roman" w:cs="Times New Roman"/>
          <w:b w:val="0"/>
          <w:i w:val="0"/>
        </w:rPr>
        <w:t xml:space="preserve"> In the last rate case, the Commission approved pro forma </w:t>
      </w:r>
      <w:r w:rsidR="000E2FF7">
        <w:rPr>
          <w:rFonts w:ascii="Times New Roman" w:hAnsi="Times New Roman" w:cs="Times New Roman"/>
          <w:b w:val="0"/>
          <w:i w:val="0"/>
        </w:rPr>
        <w:t xml:space="preserve">additions </w:t>
      </w:r>
      <w:r w:rsidR="00675169">
        <w:rPr>
          <w:rFonts w:ascii="Times New Roman" w:hAnsi="Times New Roman" w:cs="Times New Roman"/>
          <w:b w:val="0"/>
          <w:i w:val="0"/>
        </w:rPr>
        <w:t>for the installation of elder valves,</w:t>
      </w:r>
      <w:r w:rsidR="005F1EC6" w:rsidRPr="009620D3">
        <w:rPr>
          <w:rFonts w:ascii="Times New Roman" w:hAnsi="Times New Roman" w:cs="Times New Roman"/>
          <w:b w:val="0"/>
          <w:i w:val="0"/>
        </w:rPr>
        <w:t xml:space="preserve"> which </w:t>
      </w:r>
      <w:r w:rsidR="00675169">
        <w:rPr>
          <w:rFonts w:ascii="Times New Roman" w:hAnsi="Times New Roman" w:cs="Times New Roman"/>
          <w:b w:val="0"/>
          <w:i w:val="0"/>
        </w:rPr>
        <w:t xml:space="preserve">are </w:t>
      </w:r>
      <w:r w:rsidR="005F1EC6" w:rsidRPr="009620D3">
        <w:rPr>
          <w:rFonts w:ascii="Times New Roman" w:hAnsi="Times New Roman" w:cs="Times New Roman"/>
          <w:b w:val="0"/>
          <w:i w:val="0"/>
        </w:rPr>
        <w:t>lockable</w:t>
      </w:r>
      <w:r w:rsidR="000E2FF7">
        <w:rPr>
          <w:rFonts w:ascii="Times New Roman" w:hAnsi="Times New Roman" w:cs="Times New Roman"/>
          <w:b w:val="0"/>
          <w:i w:val="0"/>
        </w:rPr>
        <w:t>,</w:t>
      </w:r>
      <w:r w:rsidR="005F1EC6" w:rsidRPr="009620D3">
        <w:rPr>
          <w:rFonts w:ascii="Times New Roman" w:hAnsi="Times New Roman" w:cs="Times New Roman"/>
          <w:b w:val="0"/>
          <w:i w:val="0"/>
        </w:rPr>
        <w:t xml:space="preserve"> disconnection</w:t>
      </w:r>
      <w:r w:rsidR="000E2FF7">
        <w:rPr>
          <w:rFonts w:ascii="Times New Roman" w:hAnsi="Times New Roman" w:cs="Times New Roman"/>
          <w:b w:val="0"/>
          <w:i w:val="0"/>
        </w:rPr>
        <w:t>,</w:t>
      </w:r>
      <w:r w:rsidR="005F1EC6" w:rsidRPr="009620D3">
        <w:rPr>
          <w:rFonts w:ascii="Times New Roman" w:hAnsi="Times New Roman" w:cs="Times New Roman"/>
          <w:b w:val="0"/>
          <w:i w:val="0"/>
        </w:rPr>
        <w:t xml:space="preserve"> cleanout device</w:t>
      </w:r>
      <w:r w:rsidR="000E2FF7">
        <w:rPr>
          <w:rFonts w:ascii="Times New Roman" w:hAnsi="Times New Roman" w:cs="Times New Roman"/>
          <w:b w:val="0"/>
          <w:i w:val="0"/>
        </w:rPr>
        <w:t>s</w:t>
      </w:r>
      <w:r w:rsidR="005F1EC6" w:rsidRPr="009620D3">
        <w:rPr>
          <w:rFonts w:ascii="Times New Roman" w:hAnsi="Times New Roman" w:cs="Times New Roman"/>
          <w:b w:val="0"/>
          <w:i w:val="0"/>
        </w:rPr>
        <w:t xml:space="preserve"> consisting of a special tee and plunger that is used to stop all flow from the customer’s property to the wastewater system. </w:t>
      </w:r>
      <w:r w:rsidR="00FE760D" w:rsidRPr="009620D3">
        <w:rPr>
          <w:rFonts w:ascii="Times New Roman" w:hAnsi="Times New Roman" w:cs="Times New Roman"/>
          <w:b w:val="0"/>
          <w:i w:val="0"/>
        </w:rPr>
        <w:t xml:space="preserve">As in the past, the </w:t>
      </w:r>
      <w:r w:rsidR="004C23D3">
        <w:rPr>
          <w:rFonts w:ascii="Times New Roman" w:hAnsi="Times New Roman" w:cs="Times New Roman"/>
          <w:b w:val="0"/>
          <w:i w:val="0"/>
        </w:rPr>
        <w:t>Ni Florida</w:t>
      </w:r>
      <w:r w:rsidR="00D728EA" w:rsidRPr="009620D3">
        <w:rPr>
          <w:rFonts w:ascii="Times New Roman" w:hAnsi="Times New Roman" w:cs="Times New Roman"/>
          <w:b w:val="0"/>
          <w:i w:val="0"/>
        </w:rPr>
        <w:t xml:space="preserve"> </w:t>
      </w:r>
      <w:r w:rsidR="00FE760D" w:rsidRPr="009620D3">
        <w:rPr>
          <w:rFonts w:ascii="Times New Roman" w:hAnsi="Times New Roman" w:cs="Times New Roman"/>
          <w:b w:val="0"/>
          <w:i w:val="0"/>
        </w:rPr>
        <w:t xml:space="preserve">currently </w:t>
      </w:r>
      <w:r w:rsidR="00D728EA" w:rsidRPr="009620D3">
        <w:rPr>
          <w:rFonts w:ascii="Times New Roman" w:hAnsi="Times New Roman" w:cs="Times New Roman"/>
          <w:b w:val="0"/>
          <w:i w:val="0"/>
        </w:rPr>
        <w:t>ha</w:t>
      </w:r>
      <w:r w:rsidR="00675169">
        <w:rPr>
          <w:rFonts w:ascii="Times New Roman" w:hAnsi="Times New Roman" w:cs="Times New Roman"/>
          <w:b w:val="0"/>
          <w:i w:val="0"/>
        </w:rPr>
        <w:t>s</w:t>
      </w:r>
      <w:r w:rsidR="00D728EA" w:rsidRPr="009620D3">
        <w:rPr>
          <w:rFonts w:ascii="Times New Roman" w:hAnsi="Times New Roman" w:cs="Times New Roman"/>
          <w:b w:val="0"/>
          <w:i w:val="0"/>
        </w:rPr>
        <w:t xml:space="preserve"> customers with large</w:t>
      </w:r>
      <w:r w:rsidR="00883EA8">
        <w:rPr>
          <w:rFonts w:ascii="Times New Roman" w:hAnsi="Times New Roman" w:cs="Times New Roman"/>
          <w:b w:val="0"/>
          <w:i w:val="0"/>
        </w:rPr>
        <w:t xml:space="preserve"> </w:t>
      </w:r>
      <w:r w:rsidR="00D728EA" w:rsidRPr="009620D3">
        <w:rPr>
          <w:rFonts w:ascii="Times New Roman" w:hAnsi="Times New Roman" w:cs="Times New Roman"/>
          <w:b w:val="0"/>
          <w:i w:val="0"/>
        </w:rPr>
        <w:t xml:space="preserve">outstanding </w:t>
      </w:r>
      <w:r w:rsidR="000E2FF7">
        <w:rPr>
          <w:rFonts w:ascii="Times New Roman" w:hAnsi="Times New Roman" w:cs="Times New Roman"/>
          <w:b w:val="0"/>
          <w:i w:val="0"/>
        </w:rPr>
        <w:t>balances</w:t>
      </w:r>
      <w:r w:rsidR="00D728EA" w:rsidRPr="009620D3">
        <w:rPr>
          <w:rFonts w:ascii="Times New Roman" w:hAnsi="Times New Roman" w:cs="Times New Roman"/>
          <w:b w:val="0"/>
          <w:i w:val="0"/>
        </w:rPr>
        <w:t>.</w:t>
      </w:r>
    </w:p>
    <w:p w:rsidR="006B4753" w:rsidRDefault="004C23D3" w:rsidP="009E0061">
      <w:pPr>
        <w:pStyle w:val="BodyText"/>
      </w:pPr>
      <w:r w:rsidRPr="007F76F5">
        <w:t>Ni Florida</w:t>
      </w:r>
      <w:r w:rsidR="006D6423">
        <w:t xml:space="preserve"> </w:t>
      </w:r>
      <w:r w:rsidR="00882763">
        <w:t>believe</w:t>
      </w:r>
      <w:r w:rsidR="006D6423">
        <w:t>s</w:t>
      </w:r>
      <w:r w:rsidR="00882763">
        <w:t xml:space="preserve"> that customer service </w:t>
      </w:r>
      <w:r w:rsidR="00CF0B83">
        <w:t xml:space="preserve">and billing </w:t>
      </w:r>
      <w:r w:rsidR="001F2822">
        <w:t>issues can be better</w:t>
      </w:r>
      <w:r w:rsidR="00AC5ABF">
        <w:t xml:space="preserve"> addressed</w:t>
      </w:r>
      <w:r w:rsidR="00882763">
        <w:t xml:space="preserve"> through a </w:t>
      </w:r>
      <w:r w:rsidR="0010083B">
        <w:t>joint agreement</w:t>
      </w:r>
      <w:r w:rsidR="000F7640">
        <w:t xml:space="preserve">. </w:t>
      </w:r>
      <w:r w:rsidR="0010083B">
        <w:t>Such agreement will eliminate the need for Ni Florida to install elder valves to shut off a customer’s service for non-payment and will provide meter reading</w:t>
      </w:r>
      <w:r w:rsidR="000E2FF7">
        <w:t xml:space="preserve"> and </w:t>
      </w:r>
      <w:r w:rsidR="00883EA8">
        <w:t>violation reconnection</w:t>
      </w:r>
      <w:r w:rsidR="0010083B">
        <w:t xml:space="preserve"> services for their wastewater-only customers</w:t>
      </w:r>
      <w:r w:rsidR="00882763">
        <w:t xml:space="preserve"> within </w:t>
      </w:r>
      <w:r w:rsidR="00EC2632">
        <w:t xml:space="preserve">the </w:t>
      </w:r>
      <w:r w:rsidR="00882763">
        <w:t>Pasco County service area.</w:t>
      </w:r>
      <w:r w:rsidR="0010083B">
        <w:t xml:space="preserve"> </w:t>
      </w:r>
      <w:r w:rsidR="000E2FF7">
        <w:t>Pursuant to Pasco County’s Contract</w:t>
      </w:r>
      <w:r w:rsidR="007F76F5">
        <w:t xml:space="preserve"> (agreement)</w:t>
      </w:r>
      <w:r w:rsidR="000E2FF7">
        <w:t xml:space="preserve">, </w:t>
      </w:r>
      <w:r w:rsidR="006B4753">
        <w:t>Sections 3.1-3.2 state that Pasco County will disconnect water service for a delinquent account within five days of a written notice from Ni Florida. Pasco County will assess Ni Florida its current prevailing charge</w:t>
      </w:r>
      <w:r w:rsidR="006D6423">
        <w:t xml:space="preserve"> of  </w:t>
      </w:r>
      <w:r w:rsidR="006B4753">
        <w:t>$125</w:t>
      </w:r>
      <w:r w:rsidR="006D6423">
        <w:t xml:space="preserve">.00 (normal hours) and $187.50 (after-hours) for shut-off and restoration services, which is </w:t>
      </w:r>
      <w:r w:rsidR="001F2822">
        <w:t>a violation reconnection</w:t>
      </w:r>
      <w:r w:rsidR="006D6423">
        <w:t xml:space="preserve"> </w:t>
      </w:r>
      <w:r w:rsidR="007F76F5">
        <w:t xml:space="preserve">charge </w:t>
      </w:r>
      <w:r w:rsidR="006D6423">
        <w:t xml:space="preserve">pursuant </w:t>
      </w:r>
      <w:r w:rsidR="007F76F5">
        <w:t xml:space="preserve">to </w:t>
      </w:r>
      <w:r w:rsidR="006D6423">
        <w:t>Rule 25-30.460, F.A.C</w:t>
      </w:r>
      <w:r w:rsidR="006B4753">
        <w:t xml:space="preserve">. </w:t>
      </w:r>
      <w:r w:rsidR="004C2752">
        <w:t>As result</w:t>
      </w:r>
      <w:r w:rsidR="00064796">
        <w:t xml:space="preserve">, </w:t>
      </w:r>
      <w:r w:rsidR="00EC2632" w:rsidRPr="00EC2632">
        <w:t xml:space="preserve">Ni Florida </w:t>
      </w:r>
      <w:r w:rsidR="004C2752">
        <w:t xml:space="preserve">requested to increase its normal reconnection and violation reconnection charges to $125.00 and $187.50 for normal hours and after-hours, respectively. </w:t>
      </w:r>
      <w:r w:rsidR="00C03C35">
        <w:t xml:space="preserve">The </w:t>
      </w:r>
      <w:r w:rsidR="007F76F5">
        <w:t>agreement</w:t>
      </w:r>
      <w:r w:rsidR="00C03C35">
        <w:t xml:space="preserve"> addresses reconnections only in terms of reconnecting service after a disconnection</w:t>
      </w:r>
      <w:r w:rsidR="000F7640">
        <w:t xml:space="preserve">. </w:t>
      </w:r>
      <w:r w:rsidR="00C03C35">
        <w:t>Therefore, staff does not believe it is appropriate to increase the normal reconnection charge.</w:t>
      </w:r>
      <w:r w:rsidR="004C2752">
        <w:t xml:space="preserve"> </w:t>
      </w:r>
      <w:r w:rsidR="006B4753">
        <w:t xml:space="preserve">  </w:t>
      </w:r>
    </w:p>
    <w:p w:rsidR="007F76F5" w:rsidRDefault="006B4753" w:rsidP="009E0061">
      <w:pPr>
        <w:pStyle w:val="BodyText"/>
      </w:pPr>
      <w:r>
        <w:t xml:space="preserve">In addition, </w:t>
      </w:r>
      <w:r w:rsidR="00672F20">
        <w:t>Pasco County provides meter reading for Ni Florida’s wastewater billing</w:t>
      </w:r>
      <w:r w:rsidR="000F7640">
        <w:t xml:space="preserve">. </w:t>
      </w:r>
      <w:r w:rsidR="00672F20">
        <w:t>P</w:t>
      </w:r>
      <w:r w:rsidR="000E2FF7">
        <w:t xml:space="preserve">ursuant to </w:t>
      </w:r>
      <w:r w:rsidR="00255DE8">
        <w:t>Section 2.2</w:t>
      </w:r>
      <w:r w:rsidR="007F76F5">
        <w:t xml:space="preserve"> of the agreement</w:t>
      </w:r>
      <w:r w:rsidR="00255DE8">
        <w:t xml:space="preserve">, </w:t>
      </w:r>
      <w:r w:rsidR="009620D3">
        <w:t xml:space="preserve">Pasco </w:t>
      </w:r>
      <w:r w:rsidR="00E84312">
        <w:t xml:space="preserve">County </w:t>
      </w:r>
      <w:r w:rsidR="00967066">
        <w:t xml:space="preserve">will </w:t>
      </w:r>
      <w:r w:rsidR="00672F20">
        <w:t>per</w:t>
      </w:r>
      <w:r w:rsidR="00CC1E58">
        <w:t>form a meter re-read</w:t>
      </w:r>
      <w:r w:rsidR="00672F20">
        <w:t xml:space="preserve">, at the request of Ni Florida, if there is a </w:t>
      </w:r>
      <w:r w:rsidR="00A869C9">
        <w:t>discrepancy</w:t>
      </w:r>
      <w:r w:rsidR="00672F20">
        <w:t xml:space="preserve"> in the billing</w:t>
      </w:r>
      <w:r w:rsidR="00CC1E58">
        <w:t>.</w:t>
      </w:r>
      <w:r w:rsidR="00672F20">
        <w:t xml:space="preserve"> The </w:t>
      </w:r>
      <w:r w:rsidR="007762A7">
        <w:t xml:space="preserve">cost of </w:t>
      </w:r>
      <w:r w:rsidR="00672F20">
        <w:t>meter re-read is $20 if the meter reading is correct</w:t>
      </w:r>
      <w:r w:rsidR="00F92865">
        <w:t xml:space="preserve"> </w:t>
      </w:r>
      <w:r w:rsidR="00672F20">
        <w:t xml:space="preserve">and </w:t>
      </w:r>
      <w:r w:rsidR="00F92865">
        <w:t xml:space="preserve">no charge </w:t>
      </w:r>
      <w:r w:rsidR="00672F20">
        <w:t>if the initial reading is determined to be incorrect</w:t>
      </w:r>
      <w:r w:rsidR="000F7640">
        <w:t xml:space="preserve">. </w:t>
      </w:r>
      <w:r w:rsidR="00672F20">
        <w:t>Therefore, Ni Florida requested to implement a meter re-read at $20</w:t>
      </w:r>
      <w:r w:rsidR="00C03C35">
        <w:t>.</w:t>
      </w:r>
      <w:r w:rsidR="007F76F5">
        <w:t xml:space="preserve"> </w:t>
      </w:r>
      <w:r w:rsidR="004C2752">
        <w:t xml:space="preserve">Staff believes this agreement is reasonable remedy for handling delinquent accounts </w:t>
      </w:r>
      <w:r w:rsidR="00C03C35">
        <w:t xml:space="preserve">and meter re-reads </w:t>
      </w:r>
      <w:r w:rsidR="004C2752">
        <w:t>on going-forward basis.</w:t>
      </w:r>
      <w:r w:rsidR="00672F20">
        <w:t xml:space="preserve"> </w:t>
      </w:r>
    </w:p>
    <w:p w:rsidR="00B8471E" w:rsidRDefault="007F76F5" w:rsidP="009E0061">
      <w:pPr>
        <w:pStyle w:val="BodyText"/>
      </w:pPr>
      <w:r>
        <w:t xml:space="preserve">Based on the above, </w:t>
      </w:r>
      <w:r w:rsidR="00A2396A">
        <w:t>s</w:t>
      </w:r>
      <w:r>
        <w:t>taff recommends that Ni Florida’s proposed violation reconnection charge of $125</w:t>
      </w:r>
      <w:r w:rsidR="003E06AC">
        <w:t>.00</w:t>
      </w:r>
      <w:r>
        <w:t xml:space="preserve"> and $187.50 during normal business hours and after hours, respectively, and a $20</w:t>
      </w:r>
      <w:r w:rsidR="00A2396A">
        <w:t>.00</w:t>
      </w:r>
      <w:r>
        <w:t xml:space="preserve"> meter re-read based on a contract with Pasco County </w:t>
      </w:r>
      <w:r w:rsidR="00A2396A">
        <w:t xml:space="preserve">should </w:t>
      </w:r>
      <w:r>
        <w:t>be approved.</w:t>
      </w:r>
      <w:r w:rsidR="00534505">
        <w:t xml:space="preserve"> </w:t>
      </w:r>
      <w:r w:rsidR="00715076">
        <w:t xml:space="preserve"> </w:t>
      </w:r>
    </w:p>
    <w:p w:rsidR="00C15095" w:rsidRDefault="005F76D2" w:rsidP="008942B3">
      <w:pPr>
        <w:pStyle w:val="IssueHeading"/>
      </w:pPr>
      <w:r>
        <w:br w:type="page"/>
      </w:r>
      <w:r w:rsidR="00C15095"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17</w:t>
      </w:r>
      <w:r w:rsidR="00547E30">
        <w:rPr>
          <w:noProof/>
        </w:rPr>
        <w:fldChar w:fldCharType="end"/>
      </w:r>
      <w:r w:rsidR="00C15095" w:rsidRPr="004C3641">
        <w:t>:</w:t>
      </w:r>
      <w:r w:rsidR="00C15095">
        <w:fldChar w:fldCharType="begin"/>
      </w:r>
      <w:r w:rsidR="00C15095">
        <w:instrText xml:space="preserve"> TC "</w:instrText>
      </w:r>
      <w:r w:rsidR="00C15095">
        <w:fldChar w:fldCharType="begin"/>
      </w:r>
      <w:r w:rsidR="00C15095">
        <w:instrText xml:space="preserve"> SEQ issue \c </w:instrText>
      </w:r>
      <w:r w:rsidR="00C15095">
        <w:fldChar w:fldCharType="separate"/>
      </w:r>
      <w:bookmarkStart w:id="33" w:name="_Toc464661214"/>
      <w:r w:rsidR="007F50C0">
        <w:rPr>
          <w:noProof/>
        </w:rPr>
        <w:instrText>17</w:instrText>
      </w:r>
      <w:r w:rsidR="00C15095">
        <w:fldChar w:fldCharType="end"/>
      </w:r>
      <w:r w:rsidR="00C15095">
        <w:tab/>
      </w:r>
      <w:r w:rsidR="008F36C4">
        <w:instrText>Customer Deposits</w:instrText>
      </w:r>
      <w:bookmarkEnd w:id="33"/>
      <w:r w:rsidR="00C15095">
        <w:instrText xml:space="preserve">" \l 1 </w:instrText>
      </w:r>
      <w:r w:rsidR="00C15095">
        <w:fldChar w:fldCharType="end"/>
      </w:r>
      <w:r w:rsidR="008942B3">
        <w:t xml:space="preserve"> </w:t>
      </w:r>
      <w:r w:rsidR="00C15095" w:rsidRPr="008942B3">
        <w:rPr>
          <w:rFonts w:ascii="Times New Roman" w:hAnsi="Times New Roman" w:cs="Times New Roman"/>
          <w:b w:val="0"/>
          <w:i w:val="0"/>
        </w:rPr>
        <w:t> What are the appropriate customer deposits for Ni Florida's water and wastewater systems?</w:t>
      </w:r>
    </w:p>
    <w:p w:rsidR="00C15095" w:rsidRPr="004C3641" w:rsidRDefault="00C15095">
      <w:pPr>
        <w:pStyle w:val="IssueSubsectionHeading"/>
        <w:rPr>
          <w:vanish/>
          <w:specVanish/>
        </w:rPr>
      </w:pPr>
      <w:r w:rsidRPr="004C3641">
        <w:t>Recommendation: </w:t>
      </w:r>
    </w:p>
    <w:p w:rsidR="00C15095" w:rsidRDefault="00C15095">
      <w:pPr>
        <w:pStyle w:val="BodyText"/>
      </w:pPr>
      <w:r>
        <w:t> </w:t>
      </w:r>
      <w:r w:rsidR="00A83DE5" w:rsidRPr="00241173">
        <w:t xml:space="preserve">The appropriate initial customer deposits should be </w:t>
      </w:r>
      <w:r w:rsidR="00A83DE5" w:rsidRPr="00CA1105">
        <w:t>$</w:t>
      </w:r>
      <w:r w:rsidR="00BB5A97">
        <w:t>5</w:t>
      </w:r>
      <w:r w:rsidR="00602B9F">
        <w:t>1</w:t>
      </w:r>
      <w:r w:rsidR="00A83DE5" w:rsidRPr="00241173">
        <w:t xml:space="preserve"> and </w:t>
      </w:r>
      <w:r w:rsidR="00A83DE5" w:rsidRPr="00CA1105">
        <w:t>$</w:t>
      </w:r>
      <w:r w:rsidR="00CA1105">
        <w:t>9</w:t>
      </w:r>
      <w:r w:rsidR="009A09E6">
        <w:t>1</w:t>
      </w:r>
      <w:r w:rsidR="00A83DE5" w:rsidRPr="00241173">
        <w:t xml:space="preserve"> for the residential 5/8 inch x 3/4 inch meter size for water and wastewater, respectively. The initial customer deposits for all other residential meter sizes and all general service meter sizes should be two times the average estimated bill for water and wastewater</w:t>
      </w:r>
      <w:r w:rsidR="000F7640">
        <w:t xml:space="preserve">. </w:t>
      </w:r>
      <w:r w:rsidR="00A83DE5" w:rsidRPr="00241173">
        <w:t>The approved initial customer deposits should be effective for connections made on or after the stamped approval date on the tariff sheets, pursuant to Rule 25-30.475, F.A.C</w:t>
      </w:r>
      <w:r w:rsidR="000F7640">
        <w:t xml:space="preserve">. </w:t>
      </w:r>
      <w:r w:rsidR="00A83DE5" w:rsidRPr="00241173">
        <w:t xml:space="preserve">The </w:t>
      </w:r>
      <w:r w:rsidR="006D1534">
        <w:t>u</w:t>
      </w:r>
      <w:r w:rsidR="00A83DE5" w:rsidRPr="00241173">
        <w:t>tility should be required to collect the approved deposits until authorized to change them by the Commission in a subsequent proceeding.</w:t>
      </w:r>
      <w:r>
        <w:t xml:space="preserve"> (Bruce)</w:t>
      </w:r>
    </w:p>
    <w:p w:rsidR="00C15095" w:rsidRPr="004C3641" w:rsidRDefault="00C15095">
      <w:pPr>
        <w:pStyle w:val="IssueSubsectionHeading"/>
        <w:rPr>
          <w:vanish/>
          <w:specVanish/>
        </w:rPr>
      </w:pPr>
      <w:r w:rsidRPr="004C3641">
        <w:t>Staff Analysis: </w:t>
      </w:r>
    </w:p>
    <w:p w:rsidR="006D1534" w:rsidRDefault="00C15095" w:rsidP="006D1534">
      <w:pPr>
        <w:jc w:val="both"/>
      </w:pPr>
      <w:r>
        <w:t> </w:t>
      </w:r>
      <w:r w:rsidR="00A83DE5">
        <w:t> </w:t>
      </w:r>
      <w:r w:rsidR="00A83DE5" w:rsidRPr="00241173">
        <w:t>Rule 25-30.311, F.A.C., provides the criteria for collecting, administering, and refunding customer deposits</w:t>
      </w:r>
      <w:r w:rsidR="000F7640">
        <w:t xml:space="preserve">. </w:t>
      </w:r>
      <w:r w:rsidR="00A83DE5" w:rsidRPr="00241173">
        <w:t xml:space="preserve">Customer deposits are designed to minimize the exposure of bad debt expense for the </w:t>
      </w:r>
      <w:r w:rsidR="006D1534">
        <w:t>u</w:t>
      </w:r>
      <w:r w:rsidR="00A83DE5" w:rsidRPr="00241173">
        <w:t>tility and, ultimately, the general body of ratepayers.</w:t>
      </w:r>
      <w:r w:rsidR="00A83DE5">
        <w:t xml:space="preserve"> An i</w:t>
      </w:r>
      <w:r w:rsidR="00A83DE5" w:rsidRPr="00241173">
        <w:t>nitial customer deposit ensure</w:t>
      </w:r>
      <w:r w:rsidR="00A83DE5">
        <w:t>s</w:t>
      </w:r>
      <w:r w:rsidR="00A83DE5" w:rsidRPr="00241173">
        <w:t xml:space="preserve"> that the cost of providing service is recovered from the cost causer</w:t>
      </w:r>
      <w:r w:rsidR="000F7640">
        <w:t xml:space="preserve">. </w:t>
      </w:r>
      <w:r w:rsidR="00A83DE5" w:rsidRPr="00241173">
        <w:t>Historically, the Commission has set initial customer deposits equal to two times the average estimated bill.</w:t>
      </w:r>
      <w:r w:rsidR="00A83DE5" w:rsidRPr="00241173">
        <w:rPr>
          <w:color w:val="000000"/>
          <w:vertAlign w:val="superscript"/>
        </w:rPr>
        <w:footnoteReference w:id="39"/>
      </w:r>
      <w:r w:rsidR="00A83DE5" w:rsidRPr="00241173">
        <w:rPr>
          <w:color w:val="000000"/>
        </w:rPr>
        <w:t xml:space="preserve">  </w:t>
      </w:r>
      <w:r w:rsidR="00771426">
        <w:t xml:space="preserve">Currently, </w:t>
      </w:r>
      <w:r w:rsidR="00A83DE5" w:rsidRPr="00241173">
        <w:t xml:space="preserve">the </w:t>
      </w:r>
      <w:r w:rsidR="006D1534">
        <w:t>u</w:t>
      </w:r>
      <w:r w:rsidR="00A83DE5" w:rsidRPr="00241173">
        <w:t>t</w:t>
      </w:r>
      <w:r w:rsidR="00A83DE5">
        <w:t xml:space="preserve">ility’s initial deposits </w:t>
      </w:r>
      <w:r w:rsidR="00771426">
        <w:t xml:space="preserve">for residential and general service </w:t>
      </w:r>
      <w:r w:rsidR="00A83DE5">
        <w:t xml:space="preserve">are </w:t>
      </w:r>
      <w:r w:rsidR="00A83DE5" w:rsidRPr="00CA1105">
        <w:t>$</w:t>
      </w:r>
      <w:r w:rsidR="00771426">
        <w:t xml:space="preserve">40 for 5/8 x 3/4 inch meter size, $50 for 1 inch meter size, and $60 for 1 1/2 inch meter size for </w:t>
      </w:r>
      <w:r w:rsidR="00A83DE5" w:rsidRPr="00241173">
        <w:t>water</w:t>
      </w:r>
      <w:r w:rsidR="00771426">
        <w:t>.</w:t>
      </w:r>
      <w:r w:rsidR="00A83DE5" w:rsidRPr="00241173">
        <w:t xml:space="preserve"> </w:t>
      </w:r>
      <w:r w:rsidR="00771426">
        <w:t>For wastewater, the current initial customer deposit for the 5/8 x 3/4 inch meter size is $72 and two times the average estimated bill for the general service meter sizes.</w:t>
      </w:r>
      <w:r w:rsidR="00016121">
        <w:t xml:space="preserve"> Based on the staff recommended water rates and post repression</w:t>
      </w:r>
      <w:r w:rsidR="00A465C2">
        <w:t xml:space="preserve"> average residential demand,</w:t>
      </w:r>
      <w:r w:rsidR="00BB5A97">
        <w:t xml:space="preserve"> the appropriate initial customer deposit should be $5</w:t>
      </w:r>
      <w:r w:rsidR="00602B9F">
        <w:t>1</w:t>
      </w:r>
      <w:r w:rsidR="00BB5A97">
        <w:t xml:space="preserve"> to reflect an average residential customer bill for two months.</w:t>
      </w:r>
      <w:r w:rsidR="006D07D9">
        <w:t xml:space="preserve"> </w:t>
      </w:r>
      <w:r w:rsidR="00BB5A97">
        <w:t>T</w:t>
      </w:r>
      <w:r w:rsidR="005744C1">
        <w:t>he</w:t>
      </w:r>
      <w:r w:rsidR="00A83DE5">
        <w:t xml:space="preserve"> appropriate initial customer deposit </w:t>
      </w:r>
      <w:r w:rsidR="00BB5A97">
        <w:t xml:space="preserve">for wastewater </w:t>
      </w:r>
      <w:r w:rsidR="00A83DE5">
        <w:t xml:space="preserve">should be </w:t>
      </w:r>
      <w:r w:rsidR="00BB5A97">
        <w:t>$9</w:t>
      </w:r>
      <w:r w:rsidR="009A09E6">
        <w:t>1</w:t>
      </w:r>
      <w:r w:rsidR="00A83DE5">
        <w:t xml:space="preserve"> </w:t>
      </w:r>
      <w:r w:rsidR="00BB5A97">
        <w:t>to</w:t>
      </w:r>
      <w:r w:rsidR="00A83DE5">
        <w:t xml:space="preserve"> </w:t>
      </w:r>
      <w:r w:rsidR="00BB5A97">
        <w:t>ref</w:t>
      </w:r>
      <w:r w:rsidR="00A83DE5">
        <w:t>lect an average residential customer bill for two months</w:t>
      </w:r>
      <w:r w:rsidR="000F7640">
        <w:t xml:space="preserve">. </w:t>
      </w:r>
    </w:p>
    <w:p w:rsidR="006D1534" w:rsidRDefault="006D1534" w:rsidP="006D1534">
      <w:pPr>
        <w:jc w:val="both"/>
      </w:pPr>
    </w:p>
    <w:p w:rsidR="00A83DE5" w:rsidRPr="00241173" w:rsidRDefault="00A83DE5" w:rsidP="006D1534">
      <w:pPr>
        <w:jc w:val="both"/>
      </w:pPr>
      <w:r w:rsidRPr="00241173">
        <w:t xml:space="preserve">Staff recommends the appropriate initial customer deposits should be </w:t>
      </w:r>
      <w:r w:rsidRPr="00CA1105">
        <w:t>$</w:t>
      </w:r>
      <w:r w:rsidR="00602B9F">
        <w:t>51</w:t>
      </w:r>
      <w:r w:rsidRPr="00241173">
        <w:t xml:space="preserve"> and </w:t>
      </w:r>
      <w:r w:rsidRPr="00CA1105">
        <w:t>$</w:t>
      </w:r>
      <w:r w:rsidR="005826A2">
        <w:t>9</w:t>
      </w:r>
      <w:r w:rsidR="009A09E6">
        <w:t>1</w:t>
      </w:r>
      <w:r w:rsidRPr="00241173">
        <w:t xml:space="preserve"> for the residential 5/8 inch x 3/4 inch meter size for water and wastewater, respectively. The initial customer deposits for all other residential meter sizes and all general service meter sizes should be two times the average estimated bill for water and wastewater</w:t>
      </w:r>
      <w:r w:rsidR="000F7640">
        <w:t xml:space="preserve">. </w:t>
      </w:r>
      <w:r w:rsidRPr="00241173">
        <w:t xml:space="preserve">The approved initial customer deposits should be effective for services rendered or connections made on or after the stamped approval date on the tariff sheets, pursuant to Rule 25-30.475, F.A.C. The </w:t>
      </w:r>
      <w:r w:rsidR="006D1534">
        <w:t>u</w:t>
      </w:r>
      <w:r w:rsidRPr="00241173">
        <w:t>tility should be required to collect the approved deposits until authorized to change them by the Commission in a subsequent proceeding.</w:t>
      </w:r>
    </w:p>
    <w:p w:rsidR="00C15095" w:rsidRDefault="00C15095">
      <w:pPr>
        <w:pStyle w:val="BodyText"/>
      </w:pPr>
    </w:p>
    <w:p w:rsidR="00E30490" w:rsidRDefault="00E3049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18</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464661215"/>
      <w:r w:rsidR="007F50C0">
        <w:rPr>
          <w:noProof/>
        </w:rPr>
        <w:instrText>18</w:instrText>
      </w:r>
      <w:r>
        <w:fldChar w:fldCharType="end"/>
      </w:r>
      <w:r>
        <w:tab/>
      </w:r>
      <w:r w:rsidR="008F36C4">
        <w:instrText>Service Availability Charges</w:instrText>
      </w:r>
      <w:bookmarkEnd w:id="34"/>
      <w:r>
        <w:instrText xml:space="preserve">" \l 1 </w:instrText>
      </w:r>
      <w:r>
        <w:fldChar w:fldCharType="end"/>
      </w:r>
      <w:r>
        <w:t> </w:t>
      </w:r>
    </w:p>
    <w:p w:rsidR="00E30490" w:rsidRDefault="00E30490">
      <w:pPr>
        <w:pStyle w:val="BodyText"/>
      </w:pPr>
      <w:r>
        <w:t> </w:t>
      </w:r>
      <w:r w:rsidR="00A40418">
        <w:t xml:space="preserve">Should Ni Florida's existing service availability charges be revised, and if so, what </w:t>
      </w:r>
      <w:r w:rsidR="00A40418" w:rsidRPr="00E03983">
        <w:t>are the appropriate charges?</w:t>
      </w:r>
    </w:p>
    <w:p w:rsidR="00E30490" w:rsidRPr="004C3641" w:rsidRDefault="00E30490">
      <w:pPr>
        <w:pStyle w:val="IssueSubsectionHeading"/>
        <w:rPr>
          <w:vanish/>
          <w:specVanish/>
        </w:rPr>
      </w:pPr>
      <w:r w:rsidRPr="004C3641">
        <w:t>Recommendation: </w:t>
      </w:r>
    </w:p>
    <w:p w:rsidR="00E30490" w:rsidRPr="002156F6" w:rsidRDefault="00E30490">
      <w:pPr>
        <w:pStyle w:val="BodyText"/>
      </w:pPr>
      <w:r>
        <w:t> </w:t>
      </w:r>
      <w:r w:rsidR="008942B3" w:rsidRPr="00572F00">
        <w:t>Yes.</w:t>
      </w:r>
      <w:r w:rsidR="008942B3">
        <w:t xml:space="preserve"> Ni Florida’s existing wastewater service availability charges should be revised. For the wastewater system, a main extension charge of $1,405 per ERC and a plant capacity charge of $2,500 per ERC should be approved.</w:t>
      </w:r>
      <w:r w:rsidR="008942B3" w:rsidRPr="00572F00">
        <w:t xml:space="preserve"> </w:t>
      </w:r>
      <w:r w:rsidR="004001A3">
        <w:t xml:space="preserve">The recommended service availability charges should be based on an estimated 173 gallons per day per ERC of treated wastewater demand. </w:t>
      </w:r>
      <w:r w:rsidR="008942B3">
        <w:t>For water, the utility should continue to not have service availability charges. T</w:t>
      </w:r>
      <w:r w:rsidR="008942B3" w:rsidRPr="00572F00">
        <w:t>he approved service availability charges should be effective for service rendered on or after the stamped approval date of the tariff</w:t>
      </w:r>
      <w:r w:rsidR="008942B3">
        <w:t xml:space="preserve"> </w:t>
      </w:r>
      <w:r w:rsidR="008942B3" w:rsidRPr="00572F00">
        <w:t>pursuant to Rule 25-30.475, F.A.C.</w:t>
      </w:r>
      <w:r w:rsidR="007B70C3" w:rsidRPr="00572F00">
        <w:t xml:space="preserve"> </w:t>
      </w:r>
      <w:r w:rsidR="00AD1C7F" w:rsidRPr="00572F00">
        <w:t xml:space="preserve"> </w:t>
      </w:r>
      <w:r>
        <w:t xml:space="preserve"> (Bruce)</w:t>
      </w:r>
    </w:p>
    <w:p w:rsidR="00E30490" w:rsidRPr="004C3641" w:rsidRDefault="00E30490">
      <w:pPr>
        <w:pStyle w:val="IssueSubsectionHeading"/>
        <w:rPr>
          <w:vanish/>
          <w:specVanish/>
        </w:rPr>
      </w:pPr>
      <w:r w:rsidRPr="004C3641">
        <w:t>Staff Analysis: </w:t>
      </w:r>
    </w:p>
    <w:p w:rsidR="008942B3" w:rsidRDefault="00CE32F6" w:rsidP="008942B3">
      <w:pPr>
        <w:jc w:val="both"/>
      </w:pPr>
      <w:r>
        <w:t xml:space="preserve"> </w:t>
      </w:r>
      <w:r w:rsidR="008942B3">
        <w:t>In its filing, the utility did not propose to change its service availability charges. The utility does not currently have any service availability charges for its water system. In Docket No. 830558-WS, the Commission determined that no service availability charges were appropriate because the CIAC level was appropriate and the utility’s service area was nearly built out.</w:t>
      </w:r>
      <w:r w:rsidR="008942B3">
        <w:rPr>
          <w:rStyle w:val="FootnoteReference"/>
        </w:rPr>
        <w:footnoteReference w:id="40"/>
      </w:r>
      <w:r w:rsidR="008942B3">
        <w:t xml:space="preserve"> The current s</w:t>
      </w:r>
      <w:r w:rsidR="008942B3" w:rsidRPr="00572F00">
        <w:t>ervice availability charges</w:t>
      </w:r>
      <w:r w:rsidR="008942B3">
        <w:t xml:space="preserve"> for wastewater</w:t>
      </w:r>
      <w:r w:rsidR="008942B3" w:rsidRPr="00572F00">
        <w:t xml:space="preserve"> </w:t>
      </w:r>
      <w:r w:rsidR="008942B3">
        <w:t>w</w:t>
      </w:r>
      <w:r w:rsidR="008942B3" w:rsidRPr="00572F00">
        <w:t>ere la</w:t>
      </w:r>
      <w:r w:rsidR="008942B3">
        <w:t>st approved in Docket No. 020254-SU,</w:t>
      </w:r>
      <w:r w:rsidR="008942B3" w:rsidRPr="00572F00">
        <w:rPr>
          <w:vertAlign w:val="superscript"/>
        </w:rPr>
        <w:footnoteReference w:id="41"/>
      </w:r>
      <w:r w:rsidR="008942B3">
        <w:t xml:space="preserve"> which consists of a system capacity charge of $2,400.  </w:t>
      </w:r>
    </w:p>
    <w:p w:rsidR="008942B3" w:rsidRDefault="008942B3" w:rsidP="008942B3">
      <w:pPr>
        <w:jc w:val="both"/>
      </w:pPr>
    </w:p>
    <w:p w:rsidR="008942B3" w:rsidRDefault="008942B3" w:rsidP="008942B3">
      <w:pPr>
        <w:jc w:val="both"/>
      </w:pPr>
      <w:r>
        <w:t xml:space="preserve">A system capacity charge is a single service availability charge that includes the cost of both plant and lines. For a utility that receives donated lines from a developer, an individual customer connecting to those lines should only be responsible for a service availability charge that reflects plant costs. Therefore, separate charges are typically developed to reflect the customer’s share of plant costs (plant capacity charges) and the cost of lines in lieu of donated lines (main extension charges). </w:t>
      </w:r>
      <w:r w:rsidRPr="00572F00">
        <w:t>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w:t>
      </w:r>
      <w:r w:rsidR="000F7640">
        <w:t xml:space="preserve">. </w:t>
      </w:r>
      <w:r w:rsidRPr="00572F00">
        <w:t>The minimum amount</w:t>
      </w:r>
      <w:r>
        <w:t xml:space="preserve"> of</w:t>
      </w:r>
      <w:r w:rsidRPr="00572F00">
        <w:t xml:space="preserve"> CIAC should not be less than the percentage of such facilities and plant that is represented by the water transmission and distribution system</w:t>
      </w:r>
      <w:r>
        <w:t xml:space="preserve"> and sewage collection systems</w:t>
      </w:r>
      <w:r w:rsidRPr="00572F00">
        <w:t>.</w:t>
      </w:r>
      <w:r>
        <w:t xml:space="preserve">  </w:t>
      </w:r>
    </w:p>
    <w:p w:rsidR="008942B3" w:rsidRDefault="008942B3" w:rsidP="008942B3">
      <w:pPr>
        <w:jc w:val="both"/>
      </w:pPr>
    </w:p>
    <w:p w:rsidR="008942B3" w:rsidRPr="00572F00" w:rsidRDefault="008942B3" w:rsidP="008942B3">
      <w:pPr>
        <w:jc w:val="both"/>
      </w:pPr>
      <w:r>
        <w:t xml:space="preserve">The current contribution levels are zero percent and 30.51 percent for water and wastewater, respectively. Current policy for water requires </w:t>
      </w:r>
      <w:r w:rsidRPr="002244E2">
        <w:t>developers</w:t>
      </w:r>
      <w:r>
        <w:t xml:space="preserve"> to </w:t>
      </w:r>
      <w:r w:rsidRPr="002244E2">
        <w:t>donate or contribute the lines and facilities necessary to serve customers</w:t>
      </w:r>
      <w:r>
        <w:t xml:space="preserve"> in service territory that the utility does not have facilities. In Docket No. 830558-WS, the Commission imputed CIAC for the cost of the lines</w:t>
      </w:r>
      <w:r w:rsidR="000F7640">
        <w:t xml:space="preserve">. </w:t>
      </w:r>
      <w:r>
        <w:t>Ni Florida’s CIAC for water is fully amortized</w:t>
      </w:r>
      <w:r w:rsidR="000F7640">
        <w:t xml:space="preserve">. </w:t>
      </w:r>
      <w:r>
        <w:t>Therefore, staff believes a main extension charge is not appropriate for the water system</w:t>
      </w:r>
      <w:r w:rsidRPr="00461B30">
        <w:t>.</w:t>
      </w:r>
      <w:r>
        <w:t xml:space="preserve"> In addition, for the water system, the service</w:t>
      </w:r>
      <w:r w:rsidR="00812E1D">
        <w:t xml:space="preserve"> territory</w:t>
      </w:r>
      <w:r>
        <w:t xml:space="preserve"> is approximately 97 percent built out and </w:t>
      </w:r>
      <w:proofErr w:type="gramStart"/>
      <w:r w:rsidR="00812E1D">
        <w:t>historically,</w:t>
      </w:r>
      <w:proofErr w:type="gramEnd"/>
      <w:r w:rsidR="00812E1D">
        <w:t xml:space="preserve"> </w:t>
      </w:r>
      <w:r>
        <w:t>customers have not paid service availability charges</w:t>
      </w:r>
      <w:r w:rsidR="000F7640">
        <w:t xml:space="preserve">. </w:t>
      </w:r>
      <w:r>
        <w:t>As result, staff does not believe it is appropriate to impose a charge on the remaining three percent</w:t>
      </w:r>
      <w:r w:rsidR="000F7640">
        <w:t xml:space="preserve">. </w:t>
      </w:r>
      <w:r>
        <w:t>As result, staff recommends that the water system continues with no service</w:t>
      </w:r>
      <w:r w:rsidR="00083A43">
        <w:t xml:space="preserve"> availability</w:t>
      </w:r>
      <w:r>
        <w:t xml:space="preserve"> charges and its existing policy that requires the developers to </w:t>
      </w:r>
      <w:r w:rsidRPr="002244E2">
        <w:t>donate or contribute the lines and facilities necessary to serve customers</w:t>
      </w:r>
      <w:r>
        <w:t xml:space="preserve"> in service territory that the utility does not have </w:t>
      </w:r>
      <w:r>
        <w:lastRenderedPageBreak/>
        <w:t>facilities</w:t>
      </w:r>
      <w:r w:rsidR="000F7640">
        <w:t xml:space="preserve">. </w:t>
      </w:r>
      <w:r>
        <w:t xml:space="preserve">Below is </w:t>
      </w:r>
      <w:r w:rsidR="00812E1D">
        <w:t>the</w:t>
      </w:r>
      <w:r>
        <w:t xml:space="preserve"> discussion in regards to the appropriate wastewater service availability charges.</w:t>
      </w:r>
    </w:p>
    <w:p w:rsidR="008942B3" w:rsidRPr="00572F00" w:rsidRDefault="008942B3" w:rsidP="008942B3">
      <w:pPr>
        <w:jc w:val="both"/>
      </w:pPr>
    </w:p>
    <w:p w:rsidR="008942B3" w:rsidRPr="00A40418" w:rsidRDefault="008942B3" w:rsidP="008942B3">
      <w:pPr>
        <w:jc w:val="both"/>
        <w:rPr>
          <w:rFonts w:ascii="Arial" w:hAnsi="Arial" w:cs="Arial"/>
          <w:b/>
        </w:rPr>
      </w:pPr>
      <w:r w:rsidRPr="00A40418">
        <w:rPr>
          <w:rFonts w:ascii="Arial" w:hAnsi="Arial" w:cs="Arial"/>
          <w:b/>
        </w:rPr>
        <w:t>Main Extension Charge</w:t>
      </w:r>
    </w:p>
    <w:p w:rsidR="008942B3" w:rsidRDefault="008942B3" w:rsidP="008942B3">
      <w:pPr>
        <w:jc w:val="both"/>
      </w:pPr>
      <w:r>
        <w:t>Ni Florida’s current service availability policy for wastewater requires that the utility installs all of the facilities necessary to provide sewer service to a property. The customers must pay their pro rata share of the cost of the wastewater collection system which is installed by the utility</w:t>
      </w:r>
      <w:r w:rsidR="000F7640">
        <w:t xml:space="preserve">. </w:t>
      </w:r>
      <w:r>
        <w:t>The cost of the sewage collection system is $5,339,566 and the lines have a design capacity of 3,800 ERCs</w:t>
      </w:r>
      <w:r w:rsidR="000F7640">
        <w:t xml:space="preserve">. </w:t>
      </w:r>
      <w:r>
        <w:t xml:space="preserve">Based on the historical cost of the existing sewage collection systems, staff recommends a charge of $1,405 per ERC for the wastewater system. </w:t>
      </w:r>
    </w:p>
    <w:p w:rsidR="008942B3" w:rsidRDefault="008942B3" w:rsidP="008942B3">
      <w:pPr>
        <w:jc w:val="both"/>
      </w:pPr>
    </w:p>
    <w:p w:rsidR="008942B3" w:rsidRPr="00572F00" w:rsidRDefault="008942B3" w:rsidP="008942B3">
      <w:pPr>
        <w:jc w:val="both"/>
      </w:pPr>
      <w:r w:rsidRPr="00572F00">
        <w:t>Staff’s recommended main extension charge</w:t>
      </w:r>
      <w:r>
        <w:t>s</w:t>
      </w:r>
      <w:r w:rsidRPr="00572F00">
        <w:t xml:space="preserve"> </w:t>
      </w:r>
      <w:r>
        <w:t>for wastewater,</w:t>
      </w:r>
      <w:r w:rsidRPr="00572F00">
        <w:t xml:space="preserve"> </w:t>
      </w:r>
      <w:r>
        <w:t xml:space="preserve">is </w:t>
      </w:r>
      <w:r w:rsidRPr="00572F00">
        <w:t xml:space="preserve">consistent with the guidelines in Rule 25-30.580, F.A.C., which require that, at a minimum, the cost of the </w:t>
      </w:r>
      <w:r>
        <w:t>u</w:t>
      </w:r>
      <w:r w:rsidRPr="00572F00">
        <w:t>tility’s lines shou</w:t>
      </w:r>
      <w:r>
        <w:t>ld be contributed. Staff’s recommended</w:t>
      </w:r>
      <w:r w:rsidRPr="00572F00">
        <w:t xml:space="preserve"> main extension charge</w:t>
      </w:r>
      <w:r>
        <w:t xml:space="preserve"> wastewater</w:t>
      </w:r>
      <w:r w:rsidRPr="00572F00">
        <w:t xml:space="preserve"> will allow the </w:t>
      </w:r>
      <w:r>
        <w:t>u</w:t>
      </w:r>
      <w:r w:rsidRPr="00572F00">
        <w:t xml:space="preserve">tility to recover a portion of its investment </w:t>
      </w:r>
      <w:r>
        <w:t xml:space="preserve">wastewater collection </w:t>
      </w:r>
      <w:r w:rsidRPr="00572F00">
        <w:t>system from future connections consistent with Rule 25-30.580 (2), F.A.C</w:t>
      </w:r>
      <w:r w:rsidR="000F7640">
        <w:t xml:space="preserve">. </w:t>
      </w:r>
      <w:r>
        <w:t>In addition, the service availability policy for wastewater service should be revised to allow either donated lines or a main extension charge from new connections.</w:t>
      </w:r>
    </w:p>
    <w:p w:rsidR="008942B3" w:rsidRDefault="008942B3" w:rsidP="008942B3">
      <w:pPr>
        <w:jc w:val="both"/>
        <w:rPr>
          <w:b/>
        </w:rPr>
      </w:pPr>
    </w:p>
    <w:p w:rsidR="008942B3" w:rsidRPr="00A40418" w:rsidRDefault="008942B3" w:rsidP="008942B3">
      <w:pPr>
        <w:jc w:val="both"/>
        <w:rPr>
          <w:rFonts w:ascii="Arial" w:hAnsi="Arial" w:cs="Arial"/>
          <w:b/>
        </w:rPr>
      </w:pPr>
      <w:r w:rsidRPr="00A40418">
        <w:rPr>
          <w:rFonts w:ascii="Arial" w:hAnsi="Arial" w:cs="Arial"/>
          <w:b/>
        </w:rPr>
        <w:t xml:space="preserve">Plant Capacity Charge </w:t>
      </w:r>
    </w:p>
    <w:p w:rsidR="008942B3" w:rsidRDefault="008942B3" w:rsidP="008942B3">
      <w:pPr>
        <w:jc w:val="both"/>
      </w:pPr>
      <w:r>
        <w:t xml:space="preserve">Staff reviewed the contribution level of the wastewater system and found that the contribution level </w:t>
      </w:r>
      <w:r w:rsidR="00083A43">
        <w:t>is</w:t>
      </w:r>
      <w:r>
        <w:t xml:space="preserve"> less than the 75 percent maximum guideline provided in Rule 25-30.580, F.A.C. </w:t>
      </w:r>
      <w:r w:rsidRPr="00572F00">
        <w:t xml:space="preserve">The minimum amount </w:t>
      </w:r>
      <w:r>
        <w:t xml:space="preserve">of </w:t>
      </w:r>
      <w:r w:rsidRPr="00572F00">
        <w:t>CIAC should not be less than the percentage of such facilities an</w:t>
      </w:r>
      <w:r w:rsidR="00083A43">
        <w:t xml:space="preserve">d plant that is represented by wastewater </w:t>
      </w:r>
      <w:r>
        <w:t>collection systems</w:t>
      </w:r>
      <w:r w:rsidRPr="00572F00">
        <w:t>.</w:t>
      </w:r>
      <w:r>
        <w:t xml:space="preserve"> Based on staff’s review, increasing the contribution level to 75 percent, for wastewater, creates a relatively high plant capacity charge. For wastewater, the minimum contribution level is 56.42 percent and the current contribution level is 30.51 percent. As </w:t>
      </w:r>
      <w:r w:rsidR="00083A43">
        <w:t xml:space="preserve">a </w:t>
      </w:r>
      <w:r>
        <w:t xml:space="preserve">result, staff recommends a plant capacity charge of $2,500, which would allow the utility to be at a 57 percent contribution level at build out. </w:t>
      </w:r>
    </w:p>
    <w:p w:rsidR="008942B3" w:rsidRDefault="008942B3" w:rsidP="008942B3">
      <w:pPr>
        <w:ind w:firstLine="720"/>
        <w:jc w:val="both"/>
      </w:pPr>
    </w:p>
    <w:p w:rsidR="008942B3" w:rsidRDefault="008942B3" w:rsidP="008942B3">
      <w:pPr>
        <w:pStyle w:val="BodyText"/>
      </w:pPr>
      <w:r>
        <w:t>Based on the above, Ni Florida’s existing wastewater service availability charges should be revised. For the wastewater system, a main extension charge of $1,405 per ERC and a plant capacity charge of $2,500 per ERC should be approved.</w:t>
      </w:r>
      <w:r w:rsidRPr="00572F00">
        <w:t xml:space="preserve"> </w:t>
      </w:r>
      <w:r w:rsidR="004001A3">
        <w:t>The recommended service availability charges should be based on an estimated 173 gallons per day per ERC of treated wastewater demand.</w:t>
      </w:r>
      <w:r>
        <w:t>For water, the utility should continue to not have service availability charges. T</w:t>
      </w:r>
      <w:r w:rsidRPr="00572F00">
        <w:t>he approved service availability charges should be effective for service rendered on or after the stamped approval date of the tariff</w:t>
      </w:r>
      <w:r>
        <w:t xml:space="preserve"> </w:t>
      </w:r>
      <w:r w:rsidRPr="00572F00">
        <w:t>pursuant to Rule 25-30.475, F.A.C.</w:t>
      </w:r>
    </w:p>
    <w:p w:rsidR="0075565F" w:rsidRDefault="0075565F">
      <w:pPr>
        <w:rPr>
          <w:rFonts w:ascii="Arial" w:hAnsi="Arial" w:cs="Arial"/>
          <w:b/>
        </w:rPr>
      </w:pPr>
      <w:r>
        <w:rPr>
          <w:rFonts w:ascii="Arial" w:hAnsi="Arial" w:cs="Arial"/>
          <w:b/>
        </w:rPr>
        <w:br w:type="page"/>
      </w:r>
    </w:p>
    <w:p w:rsidR="008942B3" w:rsidRPr="00D52F68" w:rsidRDefault="008942B3" w:rsidP="008942B3">
      <w:pPr>
        <w:jc w:val="center"/>
        <w:rPr>
          <w:rFonts w:ascii="Arial" w:hAnsi="Arial" w:cs="Arial"/>
          <w:b/>
        </w:rPr>
      </w:pPr>
      <w:r w:rsidRPr="00D52F68">
        <w:rPr>
          <w:rFonts w:ascii="Arial" w:hAnsi="Arial" w:cs="Arial"/>
          <w:b/>
        </w:rPr>
        <w:lastRenderedPageBreak/>
        <w:t>Table 18-1</w:t>
      </w:r>
    </w:p>
    <w:p w:rsidR="008942B3" w:rsidRPr="00D52F68" w:rsidRDefault="008942B3" w:rsidP="008942B3">
      <w:pPr>
        <w:jc w:val="center"/>
        <w:rPr>
          <w:rFonts w:ascii="Arial" w:hAnsi="Arial" w:cs="Arial"/>
          <w:b/>
        </w:rPr>
      </w:pPr>
      <w:r>
        <w:rPr>
          <w:rFonts w:ascii="Arial" w:hAnsi="Arial" w:cs="Arial"/>
          <w:b/>
        </w:rPr>
        <w:t>Current and Recommended Service Availability Charges</w:t>
      </w:r>
    </w:p>
    <w:tbl>
      <w:tblPr>
        <w:tblStyle w:val="TableGrid"/>
        <w:tblW w:w="0" w:type="auto"/>
        <w:jc w:val="center"/>
        <w:tblLook w:val="04A0" w:firstRow="1" w:lastRow="0" w:firstColumn="1" w:lastColumn="0" w:noHBand="0" w:noVBand="1"/>
      </w:tblPr>
      <w:tblGrid>
        <w:gridCol w:w="2599"/>
        <w:gridCol w:w="1563"/>
        <w:gridCol w:w="1736"/>
      </w:tblGrid>
      <w:tr w:rsidR="00812E1D" w:rsidTr="00812E1D">
        <w:trPr>
          <w:trHeight w:val="296"/>
          <w:jc w:val="center"/>
        </w:trPr>
        <w:tc>
          <w:tcPr>
            <w:tcW w:w="2599" w:type="dxa"/>
          </w:tcPr>
          <w:p w:rsidR="00812E1D" w:rsidRDefault="00812E1D" w:rsidP="00F54A49">
            <w:pPr>
              <w:pStyle w:val="BodyText"/>
            </w:pPr>
          </w:p>
        </w:tc>
        <w:tc>
          <w:tcPr>
            <w:tcW w:w="3299" w:type="dxa"/>
            <w:gridSpan w:val="2"/>
          </w:tcPr>
          <w:p w:rsidR="00812E1D" w:rsidRPr="00D4588B" w:rsidRDefault="00812E1D" w:rsidP="00F54A49">
            <w:pPr>
              <w:pStyle w:val="BodyText"/>
              <w:jc w:val="center"/>
              <w:rPr>
                <w:b/>
              </w:rPr>
            </w:pPr>
            <w:r w:rsidRPr="00D4588B">
              <w:rPr>
                <w:b/>
              </w:rPr>
              <w:t>Wastewater</w:t>
            </w:r>
          </w:p>
        </w:tc>
      </w:tr>
      <w:tr w:rsidR="00812E1D" w:rsidTr="00812E1D">
        <w:trPr>
          <w:trHeight w:val="584"/>
          <w:jc w:val="center"/>
        </w:trPr>
        <w:tc>
          <w:tcPr>
            <w:tcW w:w="2599" w:type="dxa"/>
          </w:tcPr>
          <w:p w:rsidR="00812E1D" w:rsidRDefault="00812E1D" w:rsidP="00F54A49">
            <w:pPr>
              <w:pStyle w:val="BodyText"/>
            </w:pPr>
          </w:p>
        </w:tc>
        <w:tc>
          <w:tcPr>
            <w:tcW w:w="1563" w:type="dxa"/>
          </w:tcPr>
          <w:p w:rsidR="00812E1D" w:rsidRPr="00D4588B" w:rsidRDefault="00812E1D" w:rsidP="0075565F">
            <w:pPr>
              <w:pStyle w:val="BodyText"/>
              <w:jc w:val="center"/>
              <w:rPr>
                <w:b/>
              </w:rPr>
            </w:pPr>
            <w:r w:rsidRPr="00D4588B">
              <w:rPr>
                <w:b/>
              </w:rPr>
              <w:t>Current Charge</w:t>
            </w:r>
          </w:p>
        </w:tc>
        <w:tc>
          <w:tcPr>
            <w:tcW w:w="1736" w:type="dxa"/>
          </w:tcPr>
          <w:p w:rsidR="00812E1D" w:rsidRPr="00D4588B" w:rsidRDefault="00812E1D" w:rsidP="0075565F">
            <w:pPr>
              <w:pStyle w:val="BodyText"/>
              <w:jc w:val="center"/>
              <w:rPr>
                <w:b/>
              </w:rPr>
            </w:pPr>
            <w:r w:rsidRPr="00D4588B">
              <w:rPr>
                <w:b/>
              </w:rPr>
              <w:t>Recommended Charge</w:t>
            </w:r>
          </w:p>
        </w:tc>
      </w:tr>
      <w:tr w:rsidR="00812E1D" w:rsidTr="00812E1D">
        <w:trPr>
          <w:jc w:val="center"/>
        </w:trPr>
        <w:tc>
          <w:tcPr>
            <w:tcW w:w="2599" w:type="dxa"/>
          </w:tcPr>
          <w:p w:rsidR="00812E1D" w:rsidRDefault="00812E1D" w:rsidP="00F54A49">
            <w:pPr>
              <w:pStyle w:val="BodyText"/>
            </w:pPr>
            <w:r>
              <w:t>Main Extension Charge</w:t>
            </w:r>
          </w:p>
        </w:tc>
        <w:tc>
          <w:tcPr>
            <w:tcW w:w="1563" w:type="dxa"/>
          </w:tcPr>
          <w:p w:rsidR="00812E1D" w:rsidRDefault="00812E1D" w:rsidP="00F54A49">
            <w:pPr>
              <w:pStyle w:val="BodyText"/>
              <w:jc w:val="right"/>
            </w:pPr>
            <w:r>
              <w:t>$0</w:t>
            </w:r>
          </w:p>
        </w:tc>
        <w:tc>
          <w:tcPr>
            <w:tcW w:w="1736" w:type="dxa"/>
          </w:tcPr>
          <w:p w:rsidR="00812E1D" w:rsidRDefault="00812E1D" w:rsidP="00F54A49">
            <w:pPr>
              <w:pStyle w:val="BodyText"/>
              <w:jc w:val="right"/>
            </w:pPr>
            <w:r>
              <w:t>$1,405</w:t>
            </w:r>
          </w:p>
        </w:tc>
      </w:tr>
      <w:tr w:rsidR="00812E1D" w:rsidTr="00812E1D">
        <w:trPr>
          <w:trHeight w:val="242"/>
          <w:jc w:val="center"/>
        </w:trPr>
        <w:tc>
          <w:tcPr>
            <w:tcW w:w="2599" w:type="dxa"/>
          </w:tcPr>
          <w:p w:rsidR="00812E1D" w:rsidRDefault="00812E1D" w:rsidP="00F54A49">
            <w:pPr>
              <w:pStyle w:val="BodyText"/>
            </w:pPr>
            <w:r>
              <w:t>Plant Capacity Charge</w:t>
            </w:r>
          </w:p>
        </w:tc>
        <w:tc>
          <w:tcPr>
            <w:tcW w:w="1563" w:type="dxa"/>
          </w:tcPr>
          <w:p w:rsidR="00812E1D" w:rsidRDefault="00812E1D" w:rsidP="00F54A49">
            <w:pPr>
              <w:pStyle w:val="BodyText"/>
              <w:jc w:val="right"/>
            </w:pPr>
            <w:r>
              <w:t>$0</w:t>
            </w:r>
          </w:p>
        </w:tc>
        <w:tc>
          <w:tcPr>
            <w:tcW w:w="1736" w:type="dxa"/>
          </w:tcPr>
          <w:p w:rsidR="00812E1D" w:rsidRDefault="00812E1D" w:rsidP="00F54A49">
            <w:pPr>
              <w:pStyle w:val="BodyText"/>
              <w:jc w:val="right"/>
            </w:pPr>
            <w:r>
              <w:t>$2,500</w:t>
            </w:r>
          </w:p>
        </w:tc>
      </w:tr>
      <w:tr w:rsidR="00812E1D" w:rsidTr="00812E1D">
        <w:trPr>
          <w:jc w:val="center"/>
        </w:trPr>
        <w:tc>
          <w:tcPr>
            <w:tcW w:w="2599" w:type="dxa"/>
          </w:tcPr>
          <w:p w:rsidR="00812E1D" w:rsidRDefault="00812E1D" w:rsidP="00F54A49">
            <w:pPr>
              <w:pStyle w:val="BodyText"/>
            </w:pPr>
            <w:r>
              <w:t>System Capacity Charge</w:t>
            </w:r>
          </w:p>
        </w:tc>
        <w:tc>
          <w:tcPr>
            <w:tcW w:w="1563" w:type="dxa"/>
          </w:tcPr>
          <w:p w:rsidR="00812E1D" w:rsidRDefault="00812E1D" w:rsidP="00F54A49">
            <w:pPr>
              <w:pStyle w:val="BodyText"/>
              <w:jc w:val="right"/>
            </w:pPr>
            <w:r>
              <w:t>$2,400</w:t>
            </w:r>
          </w:p>
        </w:tc>
        <w:tc>
          <w:tcPr>
            <w:tcW w:w="1736" w:type="dxa"/>
          </w:tcPr>
          <w:p w:rsidR="00812E1D" w:rsidRDefault="00812E1D" w:rsidP="00F54A49">
            <w:pPr>
              <w:pStyle w:val="BodyText"/>
              <w:jc w:val="right"/>
            </w:pPr>
            <w:r>
              <w:t>$0</w:t>
            </w:r>
          </w:p>
        </w:tc>
      </w:tr>
    </w:tbl>
    <w:p w:rsidR="00E30490" w:rsidRDefault="00E30490" w:rsidP="008942B3">
      <w:pPr>
        <w:jc w:val="both"/>
      </w:pPr>
    </w:p>
    <w:p w:rsidR="00E30490" w:rsidRDefault="00E30490">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19</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464661216"/>
      <w:r w:rsidR="007F50C0">
        <w:rPr>
          <w:noProof/>
        </w:rPr>
        <w:instrText>19</w:instrText>
      </w:r>
      <w:r>
        <w:fldChar w:fldCharType="end"/>
      </w:r>
      <w:r>
        <w:tab/>
      </w:r>
      <w:r w:rsidR="008F36C4">
        <w:instrText>Interim Refund</w:instrText>
      </w:r>
      <w:bookmarkEnd w:id="35"/>
      <w:r>
        <w:instrText xml:space="preserve">" \l 1 </w:instrText>
      </w:r>
      <w:r>
        <w:fldChar w:fldCharType="end"/>
      </w:r>
      <w:r>
        <w:t> </w:t>
      </w:r>
    </w:p>
    <w:p w:rsidR="00E30490" w:rsidRDefault="00E30490">
      <w:pPr>
        <w:pStyle w:val="BodyText"/>
      </w:pPr>
      <w:r>
        <w:t> In determining whether any portion of the interim water and wastewater revenue increase granted should be refunded, how should the refund be calculated, and what is the amount of the refund, if any</w:t>
      </w:r>
    </w:p>
    <w:p w:rsidR="00E30490" w:rsidRPr="004C3641" w:rsidRDefault="00E30490">
      <w:pPr>
        <w:pStyle w:val="IssueSubsectionHeading"/>
        <w:rPr>
          <w:vanish/>
          <w:specVanish/>
        </w:rPr>
      </w:pPr>
      <w:r w:rsidRPr="004C3641">
        <w:t>Recommendation: </w:t>
      </w:r>
    </w:p>
    <w:p w:rsidR="00E30490" w:rsidRDefault="00E30490">
      <w:pPr>
        <w:pStyle w:val="BodyText"/>
      </w:pPr>
      <w:r>
        <w:t> </w:t>
      </w:r>
      <w:r w:rsidR="00804A25" w:rsidRPr="007A1687">
        <w:t>The appropriate refund amount should be calculated by using the same data used to establish final rates, excluding rate case expense and other items not in effect during the interim period. The revised revenue requirements for the interim collection period should be compared to the amount of interim revenues granted. This results in a refund of 8.44 percent for water and 0.92 percent for wastewater. The refund should be made with interest</w:t>
      </w:r>
      <w:r w:rsidR="00804A25">
        <w:t xml:space="preserve"> in accordance with Rule 25-30.</w:t>
      </w:r>
      <w:r w:rsidR="00804A25" w:rsidRPr="007A1687">
        <w:t>360(4), F.A.C. The Utility should be required to submit proper refund reports pursuant to Rule 25-30.360(7), F.A.C. The Utility should treat any u</w:t>
      </w:r>
      <w:r w:rsidR="00E1522E">
        <w:t>nclaimed refunds as Contributions</w:t>
      </w:r>
      <w:r w:rsidR="00804A25" w:rsidRPr="007A1687">
        <w:t xml:space="preserve"> in Aid of Construction (CIAC) pursua</w:t>
      </w:r>
      <w:r w:rsidR="00804A25">
        <w:t>nt to Rule 25-30.360(8), F.A.C.</w:t>
      </w:r>
      <w:r w:rsidR="00804A25" w:rsidRPr="007A1687">
        <w:t xml:space="preserve"> Further, the letter of credit should be released upon staff’s verification that the required refunds have been made.</w:t>
      </w:r>
      <w:r w:rsidR="00804A25">
        <w:rPr>
          <w:sz w:val="23"/>
          <w:szCs w:val="23"/>
        </w:rPr>
        <w:t xml:space="preserve"> </w:t>
      </w:r>
      <w:r>
        <w:t xml:space="preserve"> (Brown)</w:t>
      </w:r>
    </w:p>
    <w:p w:rsidR="00E30490" w:rsidRPr="004C3641" w:rsidRDefault="00E30490">
      <w:pPr>
        <w:pStyle w:val="IssueSubsectionHeading"/>
        <w:rPr>
          <w:vanish/>
          <w:specVanish/>
        </w:rPr>
      </w:pPr>
      <w:r w:rsidRPr="004C3641">
        <w:t>Staff Analysis: </w:t>
      </w:r>
    </w:p>
    <w:p w:rsidR="00A70266" w:rsidRPr="00A70266" w:rsidRDefault="00E30490" w:rsidP="00A70266">
      <w:pPr>
        <w:pStyle w:val="BodyText"/>
        <w:spacing w:after="0"/>
        <w:rPr>
          <w:bCs/>
        </w:rPr>
      </w:pPr>
      <w:r>
        <w:t> </w:t>
      </w:r>
      <w:proofErr w:type="gramStart"/>
      <w:r w:rsidR="00765891">
        <w:t>By Order No.</w:t>
      </w:r>
      <w:proofErr w:type="gramEnd"/>
      <w:r w:rsidR="00765891">
        <w:t xml:space="preserve"> PSC-16-0249-PCO-WS</w:t>
      </w:r>
      <w:r w:rsidR="00765891" w:rsidRPr="00790870">
        <w:t>,</w:t>
      </w:r>
      <w:r w:rsidR="00765891">
        <w:t xml:space="preserve"> issued June 29, 2016, t</w:t>
      </w:r>
      <w:r w:rsidR="00765891" w:rsidRPr="00A70266">
        <w:t xml:space="preserve">he </w:t>
      </w:r>
      <w:r w:rsidR="00765891">
        <w:t xml:space="preserve">Commission </w:t>
      </w:r>
      <w:r w:rsidR="00765891" w:rsidRPr="00A70266">
        <w:t>approved</w:t>
      </w:r>
      <w:r w:rsidR="00765891">
        <w:t xml:space="preserve"> an</w:t>
      </w:r>
      <w:r w:rsidR="00765891" w:rsidRPr="00A70266">
        <w:t xml:space="preserve"> interim revenue requirement of $310,891</w:t>
      </w:r>
      <w:r w:rsidR="00765891">
        <w:t xml:space="preserve"> for water and </w:t>
      </w:r>
      <w:r w:rsidR="00765891" w:rsidRPr="00A70266">
        <w:t>$2,264,770</w:t>
      </w:r>
      <w:r w:rsidR="00765891">
        <w:t xml:space="preserve"> for wastewater, subject to refund. The approved interim revenue requirements </w:t>
      </w:r>
      <w:r w:rsidR="00765891" w:rsidRPr="00A70266">
        <w:t>represented an increase of 38.98 percent</w:t>
      </w:r>
      <w:r w:rsidR="00765891">
        <w:t xml:space="preserve"> for water and </w:t>
      </w:r>
      <w:r w:rsidR="00765891" w:rsidRPr="00A70266">
        <w:t>17.21 percent</w:t>
      </w:r>
      <w:r w:rsidR="00765891">
        <w:t xml:space="preserve"> for wastewater.</w:t>
      </w:r>
    </w:p>
    <w:p w:rsidR="00A70266" w:rsidRPr="00A70266" w:rsidRDefault="00A70266" w:rsidP="00A70266">
      <w:pPr>
        <w:tabs>
          <w:tab w:val="center" w:pos="4680"/>
        </w:tabs>
        <w:jc w:val="both"/>
        <w:rPr>
          <w:bCs/>
        </w:rPr>
      </w:pPr>
      <w:r w:rsidRPr="00A70266">
        <w:rPr>
          <w:bCs/>
        </w:rPr>
        <w:t xml:space="preserve"> </w:t>
      </w:r>
      <w:r w:rsidRPr="00A70266">
        <w:rPr>
          <w:bCs/>
        </w:rPr>
        <w:tab/>
      </w:r>
    </w:p>
    <w:p w:rsidR="00A70266" w:rsidRPr="00A70266" w:rsidRDefault="00765891" w:rsidP="00A70266">
      <w:pPr>
        <w:jc w:val="both"/>
        <w:rPr>
          <w:bCs/>
        </w:rPr>
      </w:pPr>
      <w:r w:rsidRPr="007A1687">
        <w:t xml:space="preserve">According to Section 367.082, F.S., any refund should be calculated to reduce the rate of return of the </w:t>
      </w:r>
      <w:r>
        <w:t>u</w:t>
      </w:r>
      <w:r w:rsidRPr="007A1687">
        <w:t>tility during the pendency of the proceeding to the same level within the range of the newly authorized rate of return. Adjustments made in the rate case test period that do not relate to the period interim rates in effect should be removed. Rate case expense is an example of an adjustment which is recovered only after final rates are established.</w:t>
      </w:r>
    </w:p>
    <w:p w:rsidR="00A70266" w:rsidRPr="00A70266" w:rsidRDefault="00A70266" w:rsidP="00A70266">
      <w:pPr>
        <w:rPr>
          <w:bCs/>
        </w:rPr>
      </w:pPr>
    </w:p>
    <w:p w:rsidR="00A70266" w:rsidRDefault="00765891" w:rsidP="00A70266">
      <w:pPr>
        <w:jc w:val="both"/>
      </w:pPr>
      <w:r w:rsidRPr="007A1687">
        <w:t>In this proceeding, the test period for establishment of interim and final rates is the 12-month period, which ended December 31, 2015. Ni Florida’s approved interim rates did not include any provisions for pro forma operating expenses or plant. The interim increase was designed to allow recovery of actual interest costs, and the lower limit of the last authorized range of return on</w:t>
      </w:r>
      <w:r>
        <w:t xml:space="preserve"> equity. </w:t>
      </w:r>
      <w:r w:rsidRPr="007A1687">
        <w:t>To establish the proper refund amount, staff calculated revised interim revenue requirements utilizing the same data used to establish final rates. Rate case expense was excluded because this item is prospective in nature and did not occur during the interim collection period.</w:t>
      </w:r>
    </w:p>
    <w:p w:rsidR="00765891" w:rsidRDefault="00765891" w:rsidP="00A70266">
      <w:pPr>
        <w:jc w:val="both"/>
      </w:pPr>
    </w:p>
    <w:p w:rsidR="00765891" w:rsidRDefault="00765891" w:rsidP="00A70266">
      <w:pPr>
        <w:jc w:val="both"/>
      </w:pPr>
      <w:r w:rsidRPr="008F2747">
        <w:t>Using the principles discussed above, staff calculated an adjusted interim revenue requirements of $284,644 for water and $2,243,863 for wastewater. The adjusted water interim revenue requirement of $284,644 is lower than the interim revenue requirement of $310,891, resulting in a refund of 8.44 percent. The adjusted wastewater interim revenue requirement of $2,243,863 is lower than the interim revenue requirement of $2,264,770, resulting in a refund of 0.92 percent. As such, the letter of credit for Ni Florida’s funds should be released upon staff’s verification that the required refunds have been made.</w:t>
      </w:r>
    </w:p>
    <w:p w:rsidR="00765891" w:rsidRDefault="00765891" w:rsidP="00A70266">
      <w:pPr>
        <w:jc w:val="both"/>
      </w:pPr>
    </w:p>
    <w:p w:rsidR="00765891" w:rsidRPr="00A70266" w:rsidRDefault="00765891" w:rsidP="00A70266">
      <w:pPr>
        <w:jc w:val="both"/>
        <w:rPr>
          <w:bCs/>
        </w:rPr>
      </w:pPr>
    </w:p>
    <w:p w:rsidR="00A70266" w:rsidRPr="00A70266" w:rsidRDefault="00A70266" w:rsidP="00A70266">
      <w:pPr>
        <w:rPr>
          <w:bCs/>
        </w:rPr>
      </w:pPr>
    </w:p>
    <w:p w:rsidR="00E30490" w:rsidRPr="00CF5B2E" w:rsidRDefault="00E30490" w:rsidP="00A70266">
      <w:pPr>
        <w:pStyle w:val="BodyText"/>
        <w:spacing w:after="0"/>
        <w:rPr>
          <w:rFonts w:ascii="Arial" w:hAnsi="Arial" w:cs="Arial"/>
          <w:vanish/>
          <w:specVanish/>
        </w:rPr>
      </w:pPr>
      <w:r w:rsidRPr="004C3641">
        <w:rPr>
          <w:b/>
          <w:i/>
        </w:rPr>
        <w:br w:type="page"/>
      </w:r>
      <w:r w:rsidRPr="00CF5B2E">
        <w:rPr>
          <w:rFonts w:ascii="Arial" w:hAnsi="Arial" w:cs="Arial"/>
          <w:b/>
          <w:i/>
        </w:rPr>
        <w:lastRenderedPageBreak/>
        <w:t xml:space="preserve">Issue </w:t>
      </w:r>
      <w:r w:rsidR="000516D4" w:rsidRPr="00CF5B2E">
        <w:rPr>
          <w:rFonts w:ascii="Arial" w:hAnsi="Arial" w:cs="Arial"/>
          <w:b/>
          <w:i/>
        </w:rPr>
        <w:fldChar w:fldCharType="begin"/>
      </w:r>
      <w:r w:rsidR="000516D4" w:rsidRPr="00CF5B2E">
        <w:rPr>
          <w:rFonts w:ascii="Arial" w:hAnsi="Arial" w:cs="Arial"/>
          <w:b/>
          <w:i/>
        </w:rPr>
        <w:instrText xml:space="preserve"> SEQ Issue \* MERGEFORMAT </w:instrText>
      </w:r>
      <w:r w:rsidR="000516D4" w:rsidRPr="00CF5B2E">
        <w:rPr>
          <w:rFonts w:ascii="Arial" w:hAnsi="Arial" w:cs="Arial"/>
          <w:b/>
          <w:i/>
        </w:rPr>
        <w:fldChar w:fldCharType="separate"/>
      </w:r>
      <w:r w:rsidR="007F50C0">
        <w:rPr>
          <w:rFonts w:ascii="Arial" w:hAnsi="Arial" w:cs="Arial"/>
          <w:b/>
          <w:i/>
          <w:noProof/>
        </w:rPr>
        <w:t>20</w:t>
      </w:r>
      <w:r w:rsidR="000516D4" w:rsidRPr="00CF5B2E">
        <w:rPr>
          <w:rFonts w:ascii="Arial" w:hAnsi="Arial" w:cs="Arial"/>
          <w:b/>
          <w:i/>
          <w:noProof/>
        </w:rPr>
        <w:fldChar w:fldCharType="end"/>
      </w:r>
      <w:r w:rsidRPr="00CF5B2E">
        <w:rPr>
          <w:rFonts w:ascii="Arial" w:hAnsi="Arial" w:cs="Arial"/>
        </w:rPr>
        <w:t>:</w:t>
      </w:r>
      <w:r w:rsidRPr="000F4C1D">
        <w:rPr>
          <w:rFonts w:cs="Arial"/>
        </w:rPr>
        <w:fldChar w:fldCharType="begin"/>
      </w:r>
      <w:r w:rsidRPr="000F4C1D">
        <w:rPr>
          <w:rFonts w:cs="Arial"/>
        </w:rPr>
        <w:instrText xml:space="preserve"> TC "</w:instrText>
      </w:r>
      <w:r w:rsidRPr="000F4C1D">
        <w:rPr>
          <w:rFonts w:cs="Arial"/>
        </w:rPr>
        <w:fldChar w:fldCharType="begin"/>
      </w:r>
      <w:r w:rsidRPr="000F4C1D">
        <w:rPr>
          <w:rFonts w:cs="Arial"/>
        </w:rPr>
        <w:instrText xml:space="preserve"> SEQ issue \c </w:instrText>
      </w:r>
      <w:r w:rsidRPr="000F4C1D">
        <w:rPr>
          <w:rFonts w:cs="Arial"/>
        </w:rPr>
        <w:fldChar w:fldCharType="separate"/>
      </w:r>
      <w:bookmarkStart w:id="36" w:name="_Toc464661217"/>
      <w:r w:rsidR="007F50C0">
        <w:rPr>
          <w:rFonts w:cs="Arial"/>
          <w:noProof/>
        </w:rPr>
        <w:instrText>20</w:instrText>
      </w:r>
      <w:r w:rsidRPr="000F4C1D">
        <w:rPr>
          <w:rFonts w:cs="Arial"/>
        </w:rPr>
        <w:fldChar w:fldCharType="end"/>
      </w:r>
      <w:r w:rsidRPr="000F4C1D">
        <w:rPr>
          <w:rFonts w:cs="Arial"/>
        </w:rPr>
        <w:tab/>
      </w:r>
      <w:r w:rsidR="008F36C4" w:rsidRPr="000F4C1D">
        <w:rPr>
          <w:rFonts w:cs="Arial"/>
        </w:rPr>
        <w:instrText>Proof of Adjustments</w:instrText>
      </w:r>
      <w:bookmarkEnd w:id="36"/>
      <w:r w:rsidRPr="000F4C1D">
        <w:rPr>
          <w:rFonts w:cs="Arial"/>
        </w:rPr>
        <w:instrText xml:space="preserve">" \l 1 </w:instrText>
      </w:r>
      <w:r w:rsidRPr="000F4C1D">
        <w:rPr>
          <w:rFonts w:cs="Arial"/>
        </w:rPr>
        <w:fldChar w:fldCharType="end"/>
      </w:r>
      <w:r w:rsidRPr="00CF5B2E">
        <w:rPr>
          <w:rFonts w:ascii="Arial" w:hAnsi="Arial" w:cs="Arial"/>
        </w:rPr>
        <w:t> </w:t>
      </w:r>
    </w:p>
    <w:p w:rsidR="00E30490" w:rsidRPr="00CF5B2E" w:rsidRDefault="00E30490">
      <w:pPr>
        <w:pStyle w:val="BodyText"/>
      </w:pPr>
      <w:r w:rsidRPr="00CF5B2E">
        <w:rPr>
          <w:rFonts w:ascii="Arial" w:hAnsi="Arial" w:cs="Arial"/>
        </w:rPr>
        <w:t> </w:t>
      </w:r>
      <w:r w:rsidRPr="00CF5B2E">
        <w:t xml:space="preserve">Should the </w:t>
      </w:r>
      <w:r w:rsidR="008F769E">
        <w:t>u</w:t>
      </w:r>
      <w:r w:rsidRPr="00CF5B2E">
        <w:t>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E30490" w:rsidRPr="004C3641" w:rsidRDefault="00E30490">
      <w:pPr>
        <w:pStyle w:val="IssueSubsectionHeading"/>
        <w:rPr>
          <w:vanish/>
          <w:specVanish/>
        </w:rPr>
      </w:pPr>
      <w:r w:rsidRPr="004C3641">
        <w:t>Recommendation: </w:t>
      </w:r>
    </w:p>
    <w:p w:rsidR="00E30490" w:rsidRDefault="00E30490">
      <w:pPr>
        <w:pStyle w:val="BodyText"/>
      </w:pPr>
      <w:r>
        <w:t> </w:t>
      </w:r>
      <w:r w:rsidR="00A70266" w:rsidRPr="00A70266">
        <w:t xml:space="preserve">Yes. The </w:t>
      </w:r>
      <w:r w:rsidR="008F769E">
        <w:t>u</w:t>
      </w:r>
      <w:r w:rsidR="00A70266" w:rsidRPr="00A70266">
        <w:t xml:space="preserve">tility should be required to notify the Commission, in writing, that it has adjusted its books in accordance with the Commission's decision. Ni Florida should submit a letter within 90 days of the final order in this docket, confirming that the adjustments to all the applicable NARUC USOA accounts have been made to the </w:t>
      </w:r>
      <w:r w:rsidR="008F769E">
        <w:t>u</w:t>
      </w:r>
      <w:r w:rsidR="00A70266" w:rsidRPr="00A70266">
        <w:t xml:space="preserve">tility’s books and records. In the event the </w:t>
      </w:r>
      <w:r w:rsidR="008F769E">
        <w:t>u</w:t>
      </w:r>
      <w:r w:rsidR="00A70266" w:rsidRPr="00A70266">
        <w:t>tility needs additional time to complete the adjustments, notice should be provided within seven days prior to deadline. Upon providing good cause, staff should be given administrative authority to grant an extension of up to 60 days.</w:t>
      </w:r>
      <w:r>
        <w:t xml:space="preserve"> (Brown)</w:t>
      </w:r>
    </w:p>
    <w:p w:rsidR="00E30490" w:rsidRPr="004C3641" w:rsidRDefault="00E30490">
      <w:pPr>
        <w:pStyle w:val="IssueSubsectionHeading"/>
        <w:rPr>
          <w:vanish/>
          <w:specVanish/>
        </w:rPr>
      </w:pPr>
      <w:r w:rsidRPr="004C3641">
        <w:t>Staff Analysis: </w:t>
      </w:r>
    </w:p>
    <w:p w:rsidR="00E30490" w:rsidRDefault="00E30490">
      <w:pPr>
        <w:pStyle w:val="BodyText"/>
      </w:pPr>
      <w:r>
        <w:t> </w:t>
      </w:r>
      <w:r w:rsidR="00A70266" w:rsidRPr="00A70266">
        <w:t xml:space="preserve">The </w:t>
      </w:r>
      <w:r w:rsidR="008F769E">
        <w:t>u</w:t>
      </w:r>
      <w:r w:rsidR="00A70266" w:rsidRPr="00A70266">
        <w:t xml:space="preserve">tility should be required to notify the Commission, in writing that it has adjusted its books in accordance with the Commission's decision. Ni Florida should submit a letter within 90 days of the final order in this docket, confirming that the adjustments to all the applicable NARUC USOA accounts have been made to the </w:t>
      </w:r>
      <w:r w:rsidR="008F769E">
        <w:t>u</w:t>
      </w:r>
      <w:r w:rsidR="00A70266" w:rsidRPr="00A70266">
        <w:t xml:space="preserve">tility’s books and records. In the event the </w:t>
      </w:r>
      <w:r w:rsidR="008F769E">
        <w:t>u</w:t>
      </w:r>
      <w:r w:rsidR="00A70266" w:rsidRPr="00A70266">
        <w:t>tility needs additional time to complete the adjustments, notice should be provided within seven days prior to deadline. Upon providing good cause, staff should be given administrative authority to grant an extension of up to 60 days.</w:t>
      </w:r>
    </w:p>
    <w:p w:rsidR="00547649" w:rsidRDefault="00547649">
      <w:pPr>
        <w:pStyle w:val="IssueHeading"/>
        <w:rPr>
          <w:vanish/>
          <w:specVanish/>
        </w:rPr>
      </w:pPr>
      <w:r w:rsidRPr="004C3641">
        <w:rPr>
          <w:b w:val="0"/>
          <w:i w:val="0"/>
        </w:rPr>
        <w:br w:type="page"/>
      </w:r>
      <w:r w:rsidRPr="004C3641">
        <w:lastRenderedPageBreak/>
        <w:t xml:space="preserve">Issue </w:t>
      </w:r>
      <w:r w:rsidR="00547E30">
        <w:fldChar w:fldCharType="begin"/>
      </w:r>
      <w:r w:rsidR="00547E30">
        <w:instrText xml:space="preserve"> SEQ Issue \* MERGEFORMAT </w:instrText>
      </w:r>
      <w:r w:rsidR="00547E30">
        <w:fldChar w:fldCharType="separate"/>
      </w:r>
      <w:r w:rsidR="007F50C0">
        <w:rPr>
          <w:noProof/>
        </w:rPr>
        <w:t>21</w:t>
      </w:r>
      <w:r w:rsidR="00547E3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464661218"/>
      <w:r w:rsidR="007F50C0">
        <w:rPr>
          <w:noProof/>
        </w:rPr>
        <w:instrText>21</w:instrText>
      </w:r>
      <w:r>
        <w:fldChar w:fldCharType="end"/>
      </w:r>
      <w:r>
        <w:tab/>
      </w:r>
      <w:r w:rsidR="008F36C4">
        <w:instrText>Close Docket</w:instrText>
      </w:r>
      <w:bookmarkEnd w:id="37"/>
      <w:r w:rsidR="008F36C4">
        <w:instrText xml:space="preserve"> </w:instrText>
      </w:r>
      <w:r>
        <w:instrText xml:space="preserve">" \l 1 </w:instrText>
      </w:r>
      <w:r>
        <w:fldChar w:fldCharType="end"/>
      </w:r>
      <w:r>
        <w:t> </w:t>
      </w:r>
    </w:p>
    <w:p w:rsidR="00547649" w:rsidRDefault="00547649">
      <w:pPr>
        <w:pStyle w:val="BodyText"/>
      </w:pPr>
      <w:r>
        <w:t> Should this docket be closed?</w:t>
      </w:r>
    </w:p>
    <w:p w:rsidR="00547649" w:rsidRPr="004C3641" w:rsidRDefault="00547649">
      <w:pPr>
        <w:pStyle w:val="IssueSubsectionHeading"/>
        <w:rPr>
          <w:vanish/>
          <w:specVanish/>
        </w:rPr>
      </w:pPr>
      <w:r w:rsidRPr="004C3641">
        <w:t>Recommendation: </w:t>
      </w:r>
    </w:p>
    <w:p w:rsidR="00547649" w:rsidRDefault="00547649">
      <w:pPr>
        <w:pStyle w:val="BodyText"/>
      </w:pPr>
      <w:r>
        <w:t> </w:t>
      </w:r>
      <w:r w:rsidR="000E6143">
        <w:t>No.</w:t>
      </w:r>
      <w:r w:rsidR="000E6143" w:rsidRPr="00CA0BC4">
        <w:t xml:space="preserve"> If no person whose substantial interests are affected by the proposed agency action files a protest within 21 days of the issuance of the order, a consum</w:t>
      </w:r>
      <w:r w:rsidR="000E6143">
        <w:t xml:space="preserve">mating order should be issued. </w:t>
      </w:r>
      <w:r w:rsidR="000E6143" w:rsidRPr="00CA0BC4">
        <w:t>The docket should remain open for staff’s verification that the outstanding Phase I pro forma items have been completed, the revised tariff sheets and customer notice have been file</w:t>
      </w:r>
      <w:r w:rsidR="000E6143">
        <w:t>d by the u</w:t>
      </w:r>
      <w:r w:rsidR="000E6143" w:rsidRPr="00CA0BC4">
        <w:t xml:space="preserve">tility </w:t>
      </w:r>
      <w:r w:rsidR="000E6143">
        <w:t>and approved by staff, and the u</w:t>
      </w:r>
      <w:r w:rsidR="000E6143" w:rsidRPr="00CA0BC4">
        <w:t>tility has provided staff with proof that the adjustments for all the applicable NARUC USOA p</w:t>
      </w:r>
      <w:r w:rsidR="000E6143">
        <w:t>rimary accounts have been made.</w:t>
      </w:r>
      <w:r>
        <w:t xml:space="preserve"> </w:t>
      </w:r>
      <w:r w:rsidR="00C674F1">
        <w:t>(Mapp)</w:t>
      </w:r>
    </w:p>
    <w:p w:rsidR="00547649" w:rsidRPr="004C3641" w:rsidRDefault="00547649">
      <w:pPr>
        <w:pStyle w:val="IssueSubsectionHeading"/>
        <w:rPr>
          <w:vanish/>
          <w:specVanish/>
        </w:rPr>
      </w:pPr>
      <w:r w:rsidRPr="004C3641">
        <w:t>Staff Analysis: </w:t>
      </w:r>
    </w:p>
    <w:p w:rsidR="00547649" w:rsidRDefault="00547649">
      <w:pPr>
        <w:pStyle w:val="BodyText"/>
      </w:pPr>
      <w:r>
        <w:t> </w:t>
      </w:r>
      <w:r w:rsidR="000E6143" w:rsidRPr="00CA0BC4">
        <w:t>If no person whose substantial interests are affected by the proposed agency action files a protest within 21 days of the issuance of the order, a consum</w:t>
      </w:r>
      <w:r w:rsidR="000E6143">
        <w:t xml:space="preserve">mating order should be issued. </w:t>
      </w:r>
      <w:r w:rsidR="000E6143" w:rsidRPr="00CA0BC4">
        <w:t>The docket should remain open for staff’s verification that the outstanding Phase I pro forma items have been completed, the revised tariff sheets and customer</w:t>
      </w:r>
      <w:r w:rsidR="000E6143">
        <w:t xml:space="preserve"> notice have been filed by the u</w:t>
      </w:r>
      <w:r w:rsidR="000E6143" w:rsidRPr="00CA0BC4">
        <w:t xml:space="preserve">tility </w:t>
      </w:r>
      <w:r w:rsidR="000E6143">
        <w:t>and approved by staff, and the u</w:t>
      </w:r>
      <w:r w:rsidR="000E6143" w:rsidRPr="00CA0BC4">
        <w:t>tility has provided staff with proof that the adjustments for all applicable NARUC USOA p</w:t>
      </w:r>
      <w:r w:rsidR="000E6143">
        <w:t>rimary accounts have been made.</w:t>
      </w:r>
    </w:p>
    <w:p w:rsidR="000F4C1D" w:rsidRDefault="000F4C1D" w:rsidP="00E275D8">
      <w:pPr>
        <w:pStyle w:val="BodyText"/>
        <w:sectPr w:rsidR="000F4C1D" w:rsidSect="007762A7">
          <w:headerReference w:type="default" r:id="rId12"/>
          <w:headerReference w:type="first" r:id="rId13"/>
          <w:footerReference w:type="first" r:id="rId14"/>
          <w:pgSz w:w="12240" w:h="15840" w:code="1"/>
          <w:pgMar w:top="1584" w:right="1440" w:bottom="1152" w:left="1440" w:header="720" w:footer="720" w:gutter="0"/>
          <w:cols w:space="720"/>
          <w:formProt w:val="0"/>
          <w:docGrid w:linePitch="360"/>
        </w:sectPr>
      </w:pPr>
    </w:p>
    <w:tbl>
      <w:tblPr>
        <w:tblW w:w="10154" w:type="dxa"/>
        <w:jc w:val="center"/>
        <w:tblInd w:w="103" w:type="dxa"/>
        <w:tblLook w:val="04A0" w:firstRow="1" w:lastRow="0" w:firstColumn="1" w:lastColumn="0" w:noHBand="0" w:noVBand="1"/>
      </w:tblPr>
      <w:tblGrid>
        <w:gridCol w:w="348"/>
        <w:gridCol w:w="3289"/>
        <w:gridCol w:w="1307"/>
        <w:gridCol w:w="1348"/>
        <w:gridCol w:w="1328"/>
        <w:gridCol w:w="1019"/>
        <w:gridCol w:w="1249"/>
        <w:gridCol w:w="266"/>
      </w:tblGrid>
      <w:tr w:rsidR="000D2331" w:rsidRPr="009764E0" w:rsidTr="00D1658D">
        <w:trPr>
          <w:trHeight w:val="315"/>
          <w:jc w:val="center"/>
        </w:trPr>
        <w:tc>
          <w:tcPr>
            <w:tcW w:w="348" w:type="dxa"/>
            <w:tcBorders>
              <w:top w:val="single" w:sz="4" w:space="0" w:color="auto"/>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lastRenderedPageBreak/>
              <w:t> </w:t>
            </w:r>
          </w:p>
        </w:tc>
        <w:tc>
          <w:tcPr>
            <w:tcW w:w="3289"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Ni Florida, LLC</w:t>
            </w:r>
          </w:p>
        </w:tc>
        <w:tc>
          <w:tcPr>
            <w:tcW w:w="1307"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4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2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268" w:type="dxa"/>
            <w:gridSpan w:val="2"/>
            <w:tcBorders>
              <w:top w:val="single" w:sz="4" w:space="0" w:color="auto"/>
              <w:left w:val="nil"/>
              <w:bottom w:val="nil"/>
              <w:right w:val="nil"/>
            </w:tcBorders>
            <w:shd w:val="clear" w:color="000000" w:fill="FFFFFF"/>
            <w:noWrap/>
            <w:vAlign w:val="bottom"/>
            <w:hideMark/>
          </w:tcPr>
          <w:p w:rsidR="000D2331" w:rsidRPr="009764E0" w:rsidRDefault="000D2331" w:rsidP="00D1658D">
            <w:pPr>
              <w:jc w:val="right"/>
              <w:rPr>
                <w:b/>
                <w:bCs/>
                <w:color w:val="000000"/>
                <w:sz w:val="20"/>
                <w:szCs w:val="20"/>
              </w:rPr>
            </w:pPr>
            <w:r w:rsidRPr="009764E0">
              <w:rPr>
                <w:b/>
                <w:bCs/>
                <w:color w:val="000000"/>
                <w:sz w:val="20"/>
                <w:szCs w:val="20"/>
              </w:rPr>
              <w:t>Schedule No. 1-A</w:t>
            </w:r>
          </w:p>
        </w:tc>
        <w:tc>
          <w:tcPr>
            <w:tcW w:w="266" w:type="dxa"/>
            <w:tcBorders>
              <w:top w:val="single" w:sz="4" w:space="0" w:color="auto"/>
              <w:left w:val="nil"/>
              <w:bottom w:val="nil"/>
              <w:right w:val="single" w:sz="4" w:space="0" w:color="auto"/>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r>
      <w:tr w:rsidR="000D2331" w:rsidRPr="009764E0" w:rsidTr="00D1658D">
        <w:trPr>
          <w:trHeight w:val="315"/>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Schedule of Water Rate Base</w:t>
            </w:r>
          </w:p>
        </w:tc>
        <w:tc>
          <w:tcPr>
            <w:tcW w:w="1307" w:type="dxa"/>
            <w:tcBorders>
              <w:top w:val="nil"/>
              <w:left w:val="nil"/>
              <w:bottom w:val="nil"/>
              <w:right w:val="nil"/>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c>
          <w:tcPr>
            <w:tcW w:w="2268"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b/>
                <w:bCs/>
                <w:color w:val="000000"/>
                <w:sz w:val="20"/>
                <w:szCs w:val="20"/>
              </w:rPr>
            </w:pPr>
            <w:r w:rsidRPr="009764E0">
              <w:rPr>
                <w:b/>
                <w:bCs/>
                <w:color w:val="000000"/>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r>
      <w:tr w:rsidR="000D2331" w:rsidRPr="009764E0" w:rsidTr="00D1658D">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328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Test Year Ended 12/31/15</w:t>
            </w:r>
          </w:p>
        </w:tc>
        <w:tc>
          <w:tcPr>
            <w:tcW w:w="1307"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4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2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1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4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307"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Utility</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Adjusted</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Staff</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Staff</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307"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Per</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Adjusted</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Description</w:t>
            </w:r>
          </w:p>
        </w:tc>
        <w:tc>
          <w:tcPr>
            <w:tcW w:w="1307"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Utility</w:t>
            </w:r>
          </w:p>
        </w:tc>
        <w:tc>
          <w:tcPr>
            <w:tcW w:w="1348"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328"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Per Utility</w:t>
            </w:r>
          </w:p>
        </w:tc>
        <w:tc>
          <w:tcPr>
            <w:tcW w:w="1019"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249"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Plant in Service</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$568,878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$568,878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$568,878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2</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Accumulated Depreciation</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(303,287)</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(303,287)</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(303,287)</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3</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CIAC</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(110,779)</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(110,779)</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(110,779)</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4</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Amortization of CIAC</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110,779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110,779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110,779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5</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Acquisition Adjustments</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1,047,160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(1,047,160)</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6</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Accumulated Deferred Income Taxes</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(2,173)</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(2,173)</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(2,173)</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7</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Working Capital Allowance</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64,328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17,256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81,584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single"/>
              </w:rPr>
            </w:pPr>
            <w:r w:rsidRPr="009764E0">
              <w:rPr>
                <w:sz w:val="20"/>
                <w:szCs w:val="20"/>
                <w:u w:val="single"/>
              </w:rPr>
              <w:t>(4,534)</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single"/>
              </w:rPr>
            </w:pPr>
            <w:r w:rsidRPr="009764E0">
              <w:rPr>
                <w:sz w:val="20"/>
                <w:szCs w:val="20"/>
                <w:u w:val="single"/>
              </w:rPr>
              <w:t xml:space="preserve">77,050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jc w:val="center"/>
        </w:trPr>
        <w:tc>
          <w:tcPr>
            <w:tcW w:w="34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8</w:t>
            </w:r>
          </w:p>
        </w:tc>
        <w:tc>
          <w:tcPr>
            <w:tcW w:w="328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Rate Base</w:t>
            </w:r>
          </w:p>
        </w:tc>
        <w:tc>
          <w:tcPr>
            <w:tcW w:w="130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$1,377,079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($1,032,077)</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$345,002 </w:t>
            </w:r>
          </w:p>
        </w:tc>
        <w:tc>
          <w:tcPr>
            <w:tcW w:w="101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($4,534)</w:t>
            </w:r>
          </w:p>
        </w:tc>
        <w:tc>
          <w:tcPr>
            <w:tcW w:w="12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 xml:space="preserve">$340,468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u w:val="double"/>
              </w:rPr>
            </w:pPr>
          </w:p>
        </w:tc>
      </w:tr>
      <w:tr w:rsidR="000D2331" w:rsidRPr="009764E0" w:rsidTr="00D1658D">
        <w:trPr>
          <w:trHeight w:val="270"/>
          <w:jc w:val="center"/>
        </w:trPr>
        <w:tc>
          <w:tcPr>
            <w:tcW w:w="348"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289" w:type="dxa"/>
            <w:tcBorders>
              <w:top w:val="nil"/>
              <w:left w:val="nil"/>
              <w:bottom w:val="single" w:sz="4" w:space="0" w:color="auto"/>
              <w:right w:val="nil"/>
            </w:tcBorders>
            <w:shd w:val="clear" w:color="000000" w:fill="FFFFFF"/>
            <w:noWrap/>
            <w:vAlign w:val="bottom"/>
          </w:tcPr>
          <w:p w:rsidR="000D2331" w:rsidRPr="009764E0" w:rsidRDefault="000D2331" w:rsidP="00D1658D">
            <w:pPr>
              <w:rPr>
                <w:b/>
                <w:bCs/>
                <w:sz w:val="20"/>
                <w:szCs w:val="20"/>
              </w:rPr>
            </w:pPr>
          </w:p>
        </w:tc>
        <w:tc>
          <w:tcPr>
            <w:tcW w:w="1307" w:type="dxa"/>
            <w:tcBorders>
              <w:top w:val="nil"/>
              <w:left w:val="nil"/>
              <w:bottom w:val="single" w:sz="4" w:space="0" w:color="auto"/>
              <w:right w:val="nil"/>
            </w:tcBorders>
            <w:shd w:val="clear" w:color="000000" w:fill="FFFFFF"/>
            <w:noWrap/>
            <w:vAlign w:val="bottom"/>
          </w:tcPr>
          <w:p w:rsidR="000D2331" w:rsidRPr="009764E0" w:rsidRDefault="000D2331" w:rsidP="00D1658D">
            <w:pPr>
              <w:rPr>
                <w:sz w:val="20"/>
                <w:szCs w:val="20"/>
                <w:u w:val="double"/>
              </w:rPr>
            </w:pPr>
          </w:p>
        </w:tc>
        <w:tc>
          <w:tcPr>
            <w:tcW w:w="1348" w:type="dxa"/>
            <w:tcBorders>
              <w:top w:val="nil"/>
              <w:left w:val="nil"/>
              <w:bottom w:val="single" w:sz="4" w:space="0" w:color="auto"/>
              <w:right w:val="nil"/>
            </w:tcBorders>
            <w:shd w:val="clear" w:color="000000" w:fill="FFFFFF"/>
            <w:noWrap/>
            <w:vAlign w:val="bottom"/>
          </w:tcPr>
          <w:p w:rsidR="000D2331" w:rsidRPr="009764E0" w:rsidRDefault="000D2331" w:rsidP="00D1658D">
            <w:pPr>
              <w:rPr>
                <w:sz w:val="20"/>
                <w:szCs w:val="20"/>
                <w:u w:val="double"/>
              </w:rPr>
            </w:pPr>
          </w:p>
        </w:tc>
        <w:tc>
          <w:tcPr>
            <w:tcW w:w="1328" w:type="dxa"/>
            <w:tcBorders>
              <w:top w:val="nil"/>
              <w:left w:val="nil"/>
              <w:bottom w:val="single" w:sz="4" w:space="0" w:color="auto"/>
              <w:right w:val="nil"/>
            </w:tcBorders>
            <w:shd w:val="clear" w:color="000000" w:fill="FFFFFF"/>
            <w:noWrap/>
            <w:vAlign w:val="bottom"/>
          </w:tcPr>
          <w:p w:rsidR="000D2331" w:rsidRPr="009764E0" w:rsidRDefault="000D2331" w:rsidP="00D1658D">
            <w:pPr>
              <w:rPr>
                <w:sz w:val="20"/>
                <w:szCs w:val="20"/>
                <w:u w:val="double"/>
              </w:rPr>
            </w:pPr>
          </w:p>
        </w:tc>
        <w:tc>
          <w:tcPr>
            <w:tcW w:w="1019" w:type="dxa"/>
            <w:tcBorders>
              <w:top w:val="nil"/>
              <w:left w:val="nil"/>
              <w:bottom w:val="single" w:sz="4" w:space="0" w:color="auto"/>
              <w:right w:val="nil"/>
            </w:tcBorders>
            <w:shd w:val="clear" w:color="000000" w:fill="FFFFFF"/>
            <w:noWrap/>
            <w:vAlign w:val="bottom"/>
          </w:tcPr>
          <w:p w:rsidR="000D2331" w:rsidRPr="009764E0" w:rsidRDefault="000D2331" w:rsidP="00D1658D">
            <w:pPr>
              <w:rPr>
                <w:sz w:val="20"/>
                <w:szCs w:val="20"/>
                <w:u w:val="double"/>
              </w:rPr>
            </w:pPr>
          </w:p>
        </w:tc>
        <w:tc>
          <w:tcPr>
            <w:tcW w:w="1249" w:type="dxa"/>
            <w:tcBorders>
              <w:top w:val="nil"/>
              <w:left w:val="nil"/>
              <w:bottom w:val="single" w:sz="4" w:space="0" w:color="auto"/>
              <w:right w:val="nil"/>
            </w:tcBorders>
            <w:shd w:val="clear" w:color="000000" w:fill="FFFFFF"/>
            <w:noWrap/>
            <w:vAlign w:val="bottom"/>
          </w:tcPr>
          <w:p w:rsidR="000D2331" w:rsidRPr="009764E0" w:rsidRDefault="000D2331" w:rsidP="00D1658D">
            <w:pPr>
              <w:rPr>
                <w:sz w:val="20"/>
                <w:szCs w:val="20"/>
                <w:u w:val="double"/>
              </w:rPr>
            </w:pPr>
          </w:p>
        </w:tc>
        <w:tc>
          <w:tcPr>
            <w:tcW w:w="266" w:type="dxa"/>
            <w:tcBorders>
              <w:top w:val="nil"/>
              <w:left w:val="nil"/>
              <w:bottom w:val="single" w:sz="4" w:space="0" w:color="auto"/>
              <w:right w:val="single" w:sz="4" w:space="0" w:color="auto"/>
            </w:tcBorders>
            <w:shd w:val="clear" w:color="000000" w:fill="FFFFFF"/>
            <w:noWrap/>
            <w:vAlign w:val="bottom"/>
          </w:tcPr>
          <w:p w:rsidR="000D2331" w:rsidRPr="009764E0" w:rsidRDefault="000D2331" w:rsidP="00D1658D">
            <w:pPr>
              <w:rPr>
                <w:sz w:val="20"/>
                <w:szCs w:val="20"/>
                <w:u w:val="double"/>
              </w:rPr>
            </w:pPr>
          </w:p>
        </w:tc>
      </w:tr>
    </w:tbl>
    <w:p w:rsidR="00BA2A74" w:rsidRDefault="00BA2A74" w:rsidP="00BA2A74">
      <w:pPr>
        <w:pStyle w:val="BodyText"/>
      </w:pPr>
      <w:r>
        <w:fldChar w:fldCharType="begin"/>
      </w:r>
      <w:r>
        <w:instrText xml:space="preserve"> TC "</w:instrText>
      </w:r>
      <w:bookmarkStart w:id="38" w:name="_Toc448761991"/>
      <w:bookmarkStart w:id="39" w:name="_Toc460399837"/>
      <w:bookmarkStart w:id="40" w:name="_Toc463857749"/>
      <w:bookmarkStart w:id="41" w:name="_Toc464661219"/>
      <w:r>
        <w:tab/>
        <w:instrText>Schedule No. 1-A Water Rate Base</w:instrText>
      </w:r>
      <w:bookmarkEnd w:id="38"/>
      <w:bookmarkEnd w:id="39"/>
      <w:bookmarkEnd w:id="40"/>
      <w:bookmarkEnd w:id="41"/>
      <w:r>
        <w:instrText xml:space="preserve">" \l 1 </w:instrText>
      </w:r>
      <w:r>
        <w:fldChar w:fldCharType="end"/>
      </w:r>
    </w:p>
    <w:p w:rsidR="00254B88" w:rsidRDefault="00254B88" w:rsidP="00E275D8">
      <w:pPr>
        <w:pStyle w:val="BodyText"/>
        <w:sectPr w:rsidR="00254B88" w:rsidSect="007762A7">
          <w:headerReference w:type="default" r:id="rId15"/>
          <w:pgSz w:w="12240" w:h="15840" w:code="1"/>
          <w:pgMar w:top="1584" w:right="1440" w:bottom="1152" w:left="1440" w:header="720" w:footer="720" w:gutter="0"/>
          <w:cols w:space="720"/>
          <w:formProt w:val="0"/>
          <w:docGrid w:linePitch="360"/>
        </w:sectPr>
      </w:pPr>
    </w:p>
    <w:tbl>
      <w:tblPr>
        <w:tblW w:w="10222" w:type="dxa"/>
        <w:jc w:val="center"/>
        <w:tblInd w:w="103" w:type="dxa"/>
        <w:tblLook w:val="04A0" w:firstRow="1" w:lastRow="0" w:firstColumn="1" w:lastColumn="0" w:noHBand="0" w:noVBand="1"/>
      </w:tblPr>
      <w:tblGrid>
        <w:gridCol w:w="416"/>
        <w:gridCol w:w="3345"/>
        <w:gridCol w:w="1251"/>
        <w:gridCol w:w="1348"/>
        <w:gridCol w:w="1328"/>
        <w:gridCol w:w="959"/>
        <w:gridCol w:w="64"/>
        <w:gridCol w:w="1245"/>
        <w:gridCol w:w="266"/>
      </w:tblGrid>
      <w:tr w:rsidR="000D2331" w:rsidRPr="009764E0" w:rsidTr="00D1658D">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bookmarkStart w:id="42" w:name="RANGE!A32:H58"/>
            <w:r w:rsidRPr="009764E0">
              <w:rPr>
                <w:color w:val="000000"/>
                <w:sz w:val="20"/>
                <w:szCs w:val="20"/>
              </w:rPr>
              <w:lastRenderedPageBreak/>
              <w:t> </w:t>
            </w:r>
            <w:bookmarkEnd w:id="42"/>
          </w:p>
        </w:tc>
        <w:tc>
          <w:tcPr>
            <w:tcW w:w="3345"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Ni Florida, LLC</w:t>
            </w:r>
          </w:p>
        </w:tc>
        <w:tc>
          <w:tcPr>
            <w:tcW w:w="1251"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4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2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268" w:type="dxa"/>
            <w:gridSpan w:val="3"/>
            <w:tcBorders>
              <w:top w:val="single" w:sz="4" w:space="0" w:color="auto"/>
              <w:left w:val="nil"/>
              <w:bottom w:val="nil"/>
              <w:right w:val="nil"/>
            </w:tcBorders>
            <w:shd w:val="clear" w:color="000000" w:fill="FFFFFF"/>
            <w:noWrap/>
            <w:vAlign w:val="bottom"/>
            <w:hideMark/>
          </w:tcPr>
          <w:p w:rsidR="000D2331" w:rsidRPr="009764E0" w:rsidRDefault="000D2331" w:rsidP="00D1658D">
            <w:pPr>
              <w:jc w:val="right"/>
              <w:rPr>
                <w:b/>
                <w:bCs/>
                <w:color w:val="000000"/>
                <w:sz w:val="20"/>
                <w:szCs w:val="20"/>
              </w:rPr>
            </w:pPr>
            <w:r w:rsidRPr="009764E0">
              <w:rPr>
                <w:b/>
                <w:bCs/>
                <w:color w:val="000000"/>
                <w:sz w:val="20"/>
                <w:szCs w:val="20"/>
              </w:rPr>
              <w:t>Schedule No. 1-B</w:t>
            </w:r>
          </w:p>
        </w:tc>
        <w:tc>
          <w:tcPr>
            <w:tcW w:w="266" w:type="dxa"/>
            <w:tcBorders>
              <w:top w:val="single" w:sz="4" w:space="0" w:color="auto"/>
              <w:left w:val="nil"/>
              <w:bottom w:val="nil"/>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4596"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Schedule of Wastewater Rate Base</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c>
          <w:tcPr>
            <w:tcW w:w="2268" w:type="dxa"/>
            <w:gridSpan w:val="3"/>
            <w:tcBorders>
              <w:top w:val="nil"/>
              <w:left w:val="nil"/>
              <w:bottom w:val="nil"/>
              <w:right w:val="nil"/>
            </w:tcBorders>
            <w:shd w:val="clear" w:color="000000" w:fill="FFFFFF"/>
            <w:noWrap/>
            <w:vAlign w:val="bottom"/>
            <w:hideMark/>
          </w:tcPr>
          <w:p w:rsidR="000D2331" w:rsidRPr="009764E0" w:rsidRDefault="000D2331" w:rsidP="00D1658D">
            <w:pPr>
              <w:jc w:val="right"/>
              <w:rPr>
                <w:b/>
                <w:bCs/>
                <w:color w:val="000000"/>
                <w:sz w:val="20"/>
                <w:szCs w:val="20"/>
              </w:rPr>
            </w:pPr>
            <w:r w:rsidRPr="009764E0">
              <w:rPr>
                <w:b/>
                <w:bCs/>
                <w:color w:val="000000"/>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b/>
                <w:bCs/>
                <w:color w:val="000000"/>
                <w:sz w:val="20"/>
                <w:szCs w:val="20"/>
              </w:rPr>
            </w:pPr>
            <w:r w:rsidRPr="009764E0">
              <w:rPr>
                <w:b/>
                <w:bCs/>
                <w:color w:val="000000"/>
                <w:sz w:val="20"/>
                <w:szCs w:val="20"/>
              </w:rPr>
              <w:t> </w:t>
            </w:r>
          </w:p>
        </w:tc>
      </w:tr>
      <w:tr w:rsidR="000D2331" w:rsidRPr="009764E0" w:rsidTr="00D1658D">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3345"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Test Year Ended 12/31/15</w:t>
            </w:r>
          </w:p>
        </w:tc>
        <w:tc>
          <w:tcPr>
            <w:tcW w:w="1251"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4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2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95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9"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251"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Utility</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Adjusted</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Staff</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Staff</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251"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Per</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Adjusted</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Description</w:t>
            </w:r>
          </w:p>
        </w:tc>
        <w:tc>
          <w:tcPr>
            <w:tcW w:w="1251"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Utility</w:t>
            </w:r>
          </w:p>
        </w:tc>
        <w:tc>
          <w:tcPr>
            <w:tcW w:w="1348"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328"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Per Utility</w:t>
            </w:r>
          </w:p>
        </w:tc>
        <w:tc>
          <w:tcPr>
            <w:tcW w:w="959" w:type="dxa"/>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309"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Test Year</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48"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28"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Plant in Service</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$9,155,410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$266,889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$9,422,299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$32,306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$9,454,605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2</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Land and Land Rights</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9,513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9,513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9,513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3</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Accumulated Depreciation</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(4,520,375)</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545,254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(3,975,121)</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44,</w:t>
            </w:r>
            <w:r>
              <w:rPr>
                <w:sz w:val="20"/>
                <w:szCs w:val="20"/>
              </w:rPr>
              <w:t>844</w:t>
            </w:r>
            <w:r w:rsidRPr="009764E0">
              <w:rPr>
                <w:sz w:val="20"/>
                <w:szCs w:val="20"/>
              </w:rPr>
              <w:t xml:space="preserve">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(3,930,</w:t>
            </w:r>
            <w:r>
              <w:rPr>
                <w:sz w:val="20"/>
                <w:szCs w:val="20"/>
              </w:rPr>
              <w:t>277</w:t>
            </w:r>
            <w:r w:rsidRPr="009764E0">
              <w:rPr>
                <w:sz w:val="20"/>
                <w:szCs w:val="20"/>
              </w:rPr>
              <w:t>)</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4</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CIAC</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(3,638,516)</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(3,638,516)</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(3,638,516)</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5</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Amortization of CIAC</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1,946,580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1,946,580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6,568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1,953,148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6</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Construction Work in Progress</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479,348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(479,348)</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7</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Acquisition Adjustments</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5,726,865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(5,726,865)</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8</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Accumulated Deferred Income Taxes</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(3,634)</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(100,742)</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(104,376)</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3,634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(100,742)</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9</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Working Capital Allowance</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218,210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64,708 </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282,918 </w:t>
            </w:r>
          </w:p>
        </w:tc>
        <w:tc>
          <w:tcPr>
            <w:tcW w:w="1023"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single"/>
              </w:rPr>
            </w:pPr>
            <w:r w:rsidRPr="009764E0">
              <w:rPr>
                <w:sz w:val="20"/>
                <w:szCs w:val="20"/>
                <w:u w:val="single"/>
              </w:rPr>
              <w:t>(65,795)</w:t>
            </w:r>
          </w:p>
        </w:tc>
        <w:tc>
          <w:tcPr>
            <w:tcW w:w="1245"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single"/>
              </w:rPr>
            </w:pPr>
            <w:r w:rsidRPr="009764E0">
              <w:rPr>
                <w:sz w:val="20"/>
                <w:szCs w:val="20"/>
                <w:u w:val="single"/>
              </w:rPr>
              <w:t xml:space="preserve">217,123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4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10</w:t>
            </w:r>
          </w:p>
        </w:tc>
        <w:tc>
          <w:tcPr>
            <w:tcW w:w="3345"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Rate Base</w:t>
            </w:r>
          </w:p>
        </w:tc>
        <w:tc>
          <w:tcPr>
            <w:tcW w:w="125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$9,373,401 </w:t>
            </w:r>
          </w:p>
        </w:tc>
        <w:tc>
          <w:tcPr>
            <w:tcW w:w="134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($5,430,104)</w:t>
            </w:r>
          </w:p>
        </w:tc>
        <w:tc>
          <w:tcPr>
            <w:tcW w:w="1328"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$3,943,297 </w:t>
            </w:r>
          </w:p>
        </w:tc>
        <w:tc>
          <w:tcPr>
            <w:tcW w:w="95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$21,</w:t>
            </w:r>
            <w:r>
              <w:rPr>
                <w:sz w:val="20"/>
                <w:szCs w:val="20"/>
                <w:u w:val="double"/>
              </w:rPr>
              <w:t>557</w:t>
            </w:r>
            <w:r w:rsidRPr="009764E0">
              <w:rPr>
                <w:sz w:val="20"/>
                <w:szCs w:val="20"/>
                <w:u w:val="double"/>
              </w:rPr>
              <w:t xml:space="preserve"> </w:t>
            </w:r>
          </w:p>
        </w:tc>
        <w:tc>
          <w:tcPr>
            <w:tcW w:w="1309"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$3,964,</w:t>
            </w:r>
            <w:r>
              <w:rPr>
                <w:sz w:val="20"/>
                <w:szCs w:val="20"/>
                <w:u w:val="double"/>
              </w:rPr>
              <w:t>854</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u w:val="double"/>
              </w:rPr>
            </w:pPr>
          </w:p>
        </w:tc>
      </w:tr>
      <w:tr w:rsidR="000D2331" w:rsidRPr="009764E0" w:rsidTr="00D1658D">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345"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51" w:type="dxa"/>
            <w:tcBorders>
              <w:top w:val="nil"/>
              <w:left w:val="nil"/>
              <w:bottom w:val="single" w:sz="4" w:space="0" w:color="auto"/>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1348" w:type="dxa"/>
            <w:tcBorders>
              <w:top w:val="nil"/>
              <w:left w:val="nil"/>
              <w:bottom w:val="single" w:sz="4" w:space="0" w:color="auto"/>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1328" w:type="dxa"/>
            <w:tcBorders>
              <w:top w:val="nil"/>
              <w:left w:val="nil"/>
              <w:bottom w:val="single" w:sz="4" w:space="0" w:color="auto"/>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95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09"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bl>
    <w:p w:rsidR="00E06484" w:rsidRDefault="00E06484" w:rsidP="00E275D8">
      <w:pPr>
        <w:pStyle w:val="BodyText"/>
      </w:pPr>
    </w:p>
    <w:p w:rsidR="00BA2A74" w:rsidRDefault="00BA2A74" w:rsidP="00BA2A74">
      <w:pPr>
        <w:pStyle w:val="BodyText"/>
      </w:pPr>
      <w:r>
        <w:fldChar w:fldCharType="begin"/>
      </w:r>
      <w:r>
        <w:instrText xml:space="preserve"> TC "</w:instrText>
      </w:r>
      <w:bookmarkStart w:id="43" w:name="_Toc464661220"/>
      <w:r>
        <w:tab/>
        <w:instrText>Schedule No. 1-B Wastewater Rate Base</w:instrText>
      </w:r>
      <w:bookmarkEnd w:id="43"/>
      <w:r>
        <w:instrText xml:space="preserve">" \l 1 </w:instrText>
      </w:r>
      <w:r>
        <w:fldChar w:fldCharType="end"/>
      </w:r>
    </w:p>
    <w:p w:rsidR="008171BB" w:rsidRDefault="008171BB" w:rsidP="00E275D8">
      <w:pPr>
        <w:pStyle w:val="BodyText"/>
        <w:sectPr w:rsidR="008171BB" w:rsidSect="007762A7">
          <w:headerReference w:type="default" r:id="rId16"/>
          <w:pgSz w:w="12240" w:h="15840" w:code="1"/>
          <w:pgMar w:top="1584" w:right="1440" w:bottom="1152" w:left="1440" w:header="720" w:footer="720" w:gutter="0"/>
          <w:cols w:space="720"/>
          <w:formProt w:val="0"/>
          <w:docGrid w:linePitch="360"/>
        </w:sectPr>
      </w:pPr>
    </w:p>
    <w:tbl>
      <w:tblPr>
        <w:tblW w:w="10225" w:type="dxa"/>
        <w:jc w:val="center"/>
        <w:tblInd w:w="248" w:type="dxa"/>
        <w:tblLook w:val="04A0" w:firstRow="1" w:lastRow="0" w:firstColumn="1" w:lastColumn="0" w:noHBand="0" w:noVBand="1"/>
      </w:tblPr>
      <w:tblGrid>
        <w:gridCol w:w="363"/>
        <w:gridCol w:w="6288"/>
        <w:gridCol w:w="1326"/>
        <w:gridCol w:w="1982"/>
        <w:gridCol w:w="266"/>
      </w:tblGrid>
      <w:tr w:rsidR="000D2331" w:rsidRPr="009764E0" w:rsidTr="00D1658D">
        <w:trPr>
          <w:trHeight w:val="270"/>
          <w:jc w:val="center"/>
        </w:trPr>
        <w:tc>
          <w:tcPr>
            <w:tcW w:w="363" w:type="dxa"/>
            <w:tcBorders>
              <w:top w:val="single" w:sz="4" w:space="0" w:color="auto"/>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bookmarkStart w:id="44" w:name="RANGE!B5:E26"/>
            <w:r w:rsidRPr="009764E0">
              <w:rPr>
                <w:sz w:val="20"/>
                <w:szCs w:val="20"/>
              </w:rPr>
              <w:lastRenderedPageBreak/>
              <w:t> </w:t>
            </w:r>
            <w:bookmarkEnd w:id="44"/>
          </w:p>
        </w:tc>
        <w:tc>
          <w:tcPr>
            <w:tcW w:w="628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Ni Florida, LLC</w:t>
            </w:r>
          </w:p>
        </w:tc>
        <w:tc>
          <w:tcPr>
            <w:tcW w:w="3308" w:type="dxa"/>
            <w:gridSpan w:val="2"/>
            <w:tcBorders>
              <w:top w:val="single" w:sz="4" w:space="0" w:color="auto"/>
              <w:left w:val="nil"/>
              <w:bottom w:val="nil"/>
              <w:right w:val="nil"/>
            </w:tcBorders>
            <w:shd w:val="clear" w:color="000000" w:fill="FFFFFF"/>
            <w:noWrap/>
            <w:vAlign w:val="bottom"/>
            <w:hideMark/>
          </w:tcPr>
          <w:p w:rsidR="000D2331" w:rsidRPr="009764E0" w:rsidRDefault="000D2331" w:rsidP="00D1658D">
            <w:pPr>
              <w:jc w:val="right"/>
              <w:rPr>
                <w:b/>
                <w:bCs/>
                <w:sz w:val="20"/>
                <w:szCs w:val="20"/>
              </w:rPr>
            </w:pPr>
            <w:r w:rsidRPr="009764E0">
              <w:rPr>
                <w:b/>
                <w:bCs/>
                <w:sz w:val="20"/>
                <w:szCs w:val="20"/>
              </w:rPr>
              <w:t>Schedule No. 1-C</w:t>
            </w:r>
          </w:p>
        </w:tc>
        <w:tc>
          <w:tcPr>
            <w:tcW w:w="266" w:type="dxa"/>
            <w:tcBorders>
              <w:top w:val="single" w:sz="4" w:space="0" w:color="auto"/>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6288"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Adjustments to Rate Base</w:t>
            </w:r>
          </w:p>
        </w:tc>
        <w:tc>
          <w:tcPr>
            <w:tcW w:w="3308"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b/>
                <w:bCs/>
                <w:sz w:val="20"/>
                <w:szCs w:val="20"/>
              </w:rPr>
            </w:pPr>
            <w:r w:rsidRPr="009764E0">
              <w:rPr>
                <w:b/>
                <w:bCs/>
                <w:sz w:val="20"/>
                <w:szCs w:val="20"/>
              </w:rPr>
              <w:t>Docket No. 160030-WS</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6288"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Test Year Ended 12/31/15</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jc w:val="right"/>
              <w:rPr>
                <w:b/>
                <w:bCs/>
                <w:sz w:val="20"/>
                <w:szCs w:val="20"/>
              </w:rPr>
            </w:pPr>
            <w:r w:rsidRPr="009764E0">
              <w:rPr>
                <w:b/>
                <w:bCs/>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single" w:sz="4" w:space="0" w:color="000000"/>
              <w:left w:val="single" w:sz="4" w:space="0" w:color="auto"/>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6288" w:type="dxa"/>
            <w:tcBorders>
              <w:top w:val="single" w:sz="4" w:space="0" w:color="000000"/>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1326" w:type="dxa"/>
            <w:tcBorders>
              <w:top w:val="single" w:sz="4" w:space="0" w:color="000000"/>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single" w:sz="4" w:space="0" w:color="000000"/>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single" w:sz="4" w:space="0" w:color="000000"/>
              <w:left w:val="nil"/>
              <w:bottom w:val="nil"/>
              <w:right w:val="single" w:sz="4" w:space="0" w:color="auto"/>
            </w:tcBorders>
            <w:shd w:val="clear" w:color="auto" w:fill="auto"/>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r w:rsidRPr="009764E0">
              <w:rPr>
                <w:b/>
                <w:bCs/>
                <w:sz w:val="20"/>
                <w:szCs w:val="20"/>
              </w:rPr>
              <w:t>Explanation</w:t>
            </w:r>
          </w:p>
        </w:tc>
        <w:tc>
          <w:tcPr>
            <w:tcW w:w="1326"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Water</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Wastewater</w:t>
            </w:r>
          </w:p>
        </w:tc>
        <w:tc>
          <w:tcPr>
            <w:tcW w:w="266" w:type="dxa"/>
            <w:tcBorders>
              <w:top w:val="nil"/>
              <w:left w:val="nil"/>
              <w:bottom w:val="nil"/>
              <w:right w:val="single" w:sz="4" w:space="0" w:color="auto"/>
            </w:tcBorders>
            <w:shd w:val="clear" w:color="auto" w:fill="auto"/>
            <w:noWrap/>
            <w:vAlign w:val="bottom"/>
            <w:hideMark/>
          </w:tcPr>
          <w:p w:rsidR="000D2331" w:rsidRPr="009764E0" w:rsidRDefault="000D2331" w:rsidP="00D1658D">
            <w:pPr>
              <w:jc w:val="cente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6"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982"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266" w:type="dxa"/>
            <w:tcBorders>
              <w:top w:val="nil"/>
              <w:left w:val="nil"/>
              <w:bottom w:val="nil"/>
              <w:right w:val="single" w:sz="4" w:space="0" w:color="auto"/>
            </w:tcBorders>
            <w:shd w:val="clear" w:color="auto" w:fill="auto"/>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single" w:sz="4" w:space="0" w:color="000000"/>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single" w:sz="4" w:space="0" w:color="000000"/>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326" w:type="dxa"/>
            <w:tcBorders>
              <w:top w:val="single" w:sz="4" w:space="0" w:color="000000"/>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single" w:sz="4" w:space="0" w:color="000000"/>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single" w:sz="4" w:space="0" w:color="000000"/>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u w:val="single"/>
              </w:rPr>
            </w:pPr>
            <w:r w:rsidRPr="009764E0">
              <w:rPr>
                <w:sz w:val="20"/>
                <w:szCs w:val="20"/>
                <w:u w:val="single"/>
              </w:rPr>
              <w:t>Plant In Service</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appropriate pro forma plant adjustments. (Issue  4)</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$32,306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single"/>
              </w:rPr>
            </w:pPr>
            <w:r w:rsidRPr="009764E0">
              <w:rPr>
                <w:sz w:val="20"/>
                <w:szCs w:val="20"/>
                <w:u w:val="single"/>
              </w:rPr>
              <w:t>Accumulated Depreciation</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appropriate pro forma plant adjustments. (Issue 4)</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$44,</w:t>
            </w:r>
            <w:r>
              <w:rPr>
                <w:sz w:val="20"/>
                <w:szCs w:val="20"/>
                <w:u w:val="double"/>
              </w:rPr>
              <w:t>844</w:t>
            </w:r>
            <w:r w:rsidRPr="009764E0">
              <w:rPr>
                <w:sz w:val="20"/>
                <w:szCs w:val="20"/>
                <w:u w:val="double"/>
              </w:rPr>
              <w:t xml:space="preserve">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tcPr>
          <w:p w:rsidR="000D2331" w:rsidRPr="009764E0" w:rsidRDefault="000D2331" w:rsidP="00D1658D">
            <w:pPr>
              <w:rPr>
                <w:sz w:val="20"/>
                <w:szCs w:val="20"/>
              </w:rPr>
            </w:pPr>
          </w:p>
        </w:tc>
        <w:tc>
          <w:tcPr>
            <w:tcW w:w="1326" w:type="dxa"/>
            <w:tcBorders>
              <w:top w:val="nil"/>
              <w:left w:val="nil"/>
              <w:bottom w:val="nil"/>
              <w:right w:val="nil"/>
            </w:tcBorders>
            <w:shd w:val="clear" w:color="000000" w:fill="FFFFFF"/>
            <w:noWrap/>
            <w:vAlign w:val="bottom"/>
          </w:tcPr>
          <w:p w:rsidR="000D2331" w:rsidRPr="009764E0" w:rsidRDefault="000D2331" w:rsidP="00D1658D">
            <w:pPr>
              <w:rPr>
                <w:sz w:val="20"/>
                <w:szCs w:val="20"/>
                <w:u w:val="double"/>
              </w:rPr>
            </w:pPr>
          </w:p>
        </w:tc>
        <w:tc>
          <w:tcPr>
            <w:tcW w:w="1982" w:type="dxa"/>
            <w:tcBorders>
              <w:top w:val="nil"/>
              <w:left w:val="nil"/>
              <w:bottom w:val="nil"/>
              <w:right w:val="nil"/>
            </w:tcBorders>
            <w:shd w:val="clear" w:color="000000" w:fill="FFFFFF"/>
            <w:noWrap/>
            <w:vAlign w:val="bottom"/>
          </w:tcPr>
          <w:p w:rsidR="000D2331" w:rsidRPr="009764E0" w:rsidRDefault="000D2331" w:rsidP="00D1658D">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single"/>
              </w:rPr>
            </w:pPr>
            <w:r w:rsidRPr="009764E0">
              <w:rPr>
                <w:sz w:val="20"/>
                <w:szCs w:val="20"/>
                <w:u w:val="single"/>
              </w:rPr>
              <w:t>Amortization of CIAC</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rFonts w:ascii="Courier New" w:hAnsi="Courier New" w:cs="Courier New"/>
                <w:color w:val="000000"/>
                <w:sz w:val="20"/>
                <w:szCs w:val="20"/>
              </w:rPr>
            </w:pPr>
            <w:r w:rsidRPr="009764E0">
              <w:rPr>
                <w:rFonts w:ascii="Courier New" w:hAnsi="Courier New" w:cs="Courier New"/>
                <w:color w:val="000000"/>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agreed upon audit adjustments. (Issue 3)</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$6,568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double"/>
              </w:rPr>
            </w:pP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single"/>
              </w:rPr>
            </w:pPr>
            <w:r w:rsidRPr="009764E0">
              <w:rPr>
                <w:sz w:val="20"/>
                <w:szCs w:val="20"/>
                <w:u w:val="single"/>
              </w:rPr>
              <w:t>Accumulated Deferred Income Taxes</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u w:val="single"/>
              </w:rPr>
            </w:pP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agreed upon audit adjustments. (Issue 3)</w:t>
            </w:r>
          </w:p>
        </w:tc>
        <w:tc>
          <w:tcPr>
            <w:tcW w:w="1326"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$0 </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$3,634 </w:t>
            </w:r>
          </w:p>
        </w:tc>
        <w:tc>
          <w:tcPr>
            <w:tcW w:w="266" w:type="dxa"/>
            <w:tcBorders>
              <w:top w:val="nil"/>
              <w:left w:val="nil"/>
              <w:bottom w:val="nil"/>
              <w:right w:val="single" w:sz="4" w:space="0" w:color="auto"/>
            </w:tcBorders>
            <w:shd w:val="clear" w:color="auto" w:fill="auto"/>
            <w:noWrap/>
            <w:vAlign w:val="bottom"/>
          </w:tcPr>
          <w:p w:rsidR="000D2331" w:rsidRPr="009764E0" w:rsidRDefault="000D2331" w:rsidP="00D1658D">
            <w:pPr>
              <w:rPr>
                <w:sz w:val="20"/>
                <w:szCs w:val="20"/>
                <w:u w:val="single"/>
              </w:rPr>
            </w:pP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rFonts w:ascii="Courier New" w:hAnsi="Courier New" w:cs="Courier New"/>
                <w:color w:val="000000"/>
                <w:sz w:val="20"/>
                <w:szCs w:val="20"/>
              </w:rPr>
            </w:pP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single"/>
              </w:rPr>
            </w:pPr>
            <w:r w:rsidRPr="009764E0">
              <w:rPr>
                <w:sz w:val="20"/>
                <w:szCs w:val="20"/>
                <w:u w:val="single"/>
              </w:rPr>
              <w:t>Working Capital</w:t>
            </w:r>
          </w:p>
        </w:tc>
        <w:tc>
          <w:tcPr>
            <w:tcW w:w="1326"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appropriate deferred rate case expense. (Issue 6)</w:t>
            </w:r>
          </w:p>
        </w:tc>
        <w:tc>
          <w:tcPr>
            <w:tcW w:w="1326"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($4,534)</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($15,676)</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2</w:t>
            </w:r>
          </w:p>
        </w:tc>
        <w:tc>
          <w:tcPr>
            <w:tcW w:w="6288"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r w:rsidRPr="009764E0">
              <w:rPr>
                <w:sz w:val="20"/>
                <w:szCs w:val="20"/>
              </w:rPr>
              <w:t>Reflect agreed upon audit adjustments. (Issue 3)</w:t>
            </w:r>
          </w:p>
        </w:tc>
        <w:tc>
          <w:tcPr>
            <w:tcW w:w="1326" w:type="dxa"/>
            <w:tcBorders>
              <w:top w:val="nil"/>
              <w:left w:val="nil"/>
              <w:bottom w:val="nil"/>
              <w:right w:val="nil"/>
            </w:tcBorders>
            <w:shd w:val="clear" w:color="auto" w:fill="auto"/>
            <w:noWrap/>
            <w:vAlign w:val="bottom"/>
            <w:hideMark/>
          </w:tcPr>
          <w:p w:rsidR="000D2331" w:rsidRPr="000C006A" w:rsidRDefault="000D2331" w:rsidP="00D1658D">
            <w:pPr>
              <w:jc w:val="right"/>
              <w:rPr>
                <w:rFonts w:cstheme="minorHAnsi"/>
                <w:color w:val="000000"/>
                <w:sz w:val="20"/>
                <w:szCs w:val="20"/>
                <w:u w:val="single"/>
              </w:rPr>
            </w:pPr>
            <w:r w:rsidRPr="000C006A">
              <w:rPr>
                <w:rFonts w:cstheme="minorHAnsi"/>
                <w:color w:val="000000"/>
                <w:sz w:val="20"/>
                <w:szCs w:val="20"/>
                <w:u w:val="single"/>
              </w:rPr>
              <w:t>0</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color w:val="000000"/>
                <w:sz w:val="20"/>
                <w:szCs w:val="20"/>
                <w:u w:val="single"/>
              </w:rPr>
            </w:pPr>
            <w:r w:rsidRPr="009764E0">
              <w:rPr>
                <w:color w:val="000000"/>
                <w:sz w:val="20"/>
                <w:szCs w:val="20"/>
                <w:u w:val="single"/>
              </w:rPr>
              <w:t>(50,119)</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xml:space="preserve">   Total</w:t>
            </w:r>
          </w:p>
        </w:tc>
        <w:tc>
          <w:tcPr>
            <w:tcW w:w="1326"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($4,534)</w:t>
            </w:r>
          </w:p>
        </w:tc>
        <w:tc>
          <w:tcPr>
            <w:tcW w:w="1982"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($65,795)</w:t>
            </w:r>
          </w:p>
        </w:tc>
        <w:tc>
          <w:tcPr>
            <w:tcW w:w="266"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jc w:val="center"/>
        </w:trPr>
        <w:tc>
          <w:tcPr>
            <w:tcW w:w="363"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 </w:t>
            </w:r>
          </w:p>
        </w:tc>
        <w:tc>
          <w:tcPr>
            <w:tcW w:w="628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rFonts w:ascii="Arial" w:hAnsi="Arial" w:cs="Arial"/>
                <w:color w:val="000000"/>
                <w:sz w:val="20"/>
                <w:szCs w:val="20"/>
              </w:rPr>
            </w:pPr>
            <w:r w:rsidRPr="009764E0">
              <w:rPr>
                <w:rFonts w:ascii="Arial" w:hAnsi="Arial" w:cs="Arial"/>
                <w:color w:val="000000"/>
                <w:sz w:val="20"/>
                <w:szCs w:val="20"/>
              </w:rPr>
              <w:t> </w:t>
            </w:r>
          </w:p>
        </w:tc>
        <w:tc>
          <w:tcPr>
            <w:tcW w:w="1326"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982"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66"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bl>
    <w:p w:rsidR="008171BB" w:rsidRDefault="008171BB" w:rsidP="00E275D8">
      <w:pPr>
        <w:pStyle w:val="BodyText"/>
      </w:pPr>
    </w:p>
    <w:p w:rsidR="00BA2A74" w:rsidRDefault="00BA2A74" w:rsidP="00BA2A74">
      <w:pPr>
        <w:rPr>
          <w:noProof/>
        </w:rPr>
      </w:pPr>
      <w:r>
        <w:fldChar w:fldCharType="begin"/>
      </w:r>
      <w:r>
        <w:instrText xml:space="preserve"> TC "</w:instrText>
      </w:r>
      <w:bookmarkStart w:id="45" w:name="_Toc433269942"/>
      <w:bookmarkStart w:id="46" w:name="_Toc448761992"/>
      <w:bookmarkStart w:id="47" w:name="_Toc460399838"/>
      <w:bookmarkStart w:id="48" w:name="_Toc463857750"/>
      <w:bookmarkStart w:id="49" w:name="_Toc464661221"/>
      <w:r>
        <w:tab/>
        <w:instrText>Schedule No. 1-C Adjustments to Rate Base</w:instrText>
      </w:r>
      <w:bookmarkEnd w:id="45"/>
      <w:bookmarkEnd w:id="46"/>
      <w:bookmarkEnd w:id="47"/>
      <w:bookmarkEnd w:id="48"/>
      <w:bookmarkEnd w:id="49"/>
      <w:r>
        <w:instrText xml:space="preserve">" \l 1 </w:instrText>
      </w:r>
      <w:r>
        <w:fldChar w:fldCharType="end"/>
      </w:r>
    </w:p>
    <w:p w:rsidR="008171BB" w:rsidRDefault="008171BB" w:rsidP="00E275D8">
      <w:pPr>
        <w:pStyle w:val="BodyText"/>
        <w:sectPr w:rsidR="008171BB" w:rsidSect="007762A7">
          <w:headerReference w:type="default" r:id="rId17"/>
          <w:pgSz w:w="12240" w:h="15840" w:code="1"/>
          <w:pgMar w:top="1584" w:right="1440" w:bottom="1152" w:left="1440" w:header="720" w:footer="720" w:gutter="0"/>
          <w:cols w:space="720"/>
          <w:formProt w:val="0"/>
          <w:docGrid w:linePitch="360"/>
        </w:sectPr>
      </w:pPr>
    </w:p>
    <w:p w:rsidR="000D2331" w:rsidRDefault="000D2331" w:rsidP="000D2331">
      <w:pPr>
        <w:rPr>
          <w:noProof/>
        </w:rPr>
      </w:pPr>
      <w:r>
        <w:lastRenderedPageBreak/>
        <w:fldChar w:fldCharType="begin"/>
      </w:r>
      <w:r>
        <w:instrText xml:space="preserve"> TC "</w:instrText>
      </w:r>
      <w:bookmarkStart w:id="50" w:name="_Toc433269943"/>
      <w:bookmarkStart w:id="51" w:name="_Toc448761993"/>
      <w:bookmarkStart w:id="52" w:name="_Toc460399839"/>
      <w:bookmarkStart w:id="53" w:name="_Toc463857751"/>
      <w:bookmarkStart w:id="54" w:name="_Toc464661222"/>
      <w:r>
        <w:tab/>
        <w:instrText>Schedule No. 2 Capital Structure</w:instrText>
      </w:r>
      <w:bookmarkEnd w:id="50"/>
      <w:bookmarkEnd w:id="51"/>
      <w:bookmarkEnd w:id="52"/>
      <w:bookmarkEnd w:id="53"/>
      <w:bookmarkEnd w:id="54"/>
      <w:r>
        <w:instrText xml:space="preserve">" \l 1 </w:instrText>
      </w:r>
      <w:r>
        <w:fldChar w:fldCharType="end"/>
      </w:r>
    </w:p>
    <w:p w:rsidR="008171BB" w:rsidRDefault="008171BB" w:rsidP="00E275D8">
      <w:pPr>
        <w:pStyle w:val="BodyText"/>
      </w:pPr>
    </w:p>
    <w:tbl>
      <w:tblPr>
        <w:tblW w:w="12831" w:type="dxa"/>
        <w:tblInd w:w="103" w:type="dxa"/>
        <w:tblLook w:val="04A0" w:firstRow="1" w:lastRow="0" w:firstColumn="1" w:lastColumn="0" w:noHBand="0" w:noVBand="1"/>
      </w:tblPr>
      <w:tblGrid>
        <w:gridCol w:w="508"/>
        <w:gridCol w:w="2748"/>
        <w:gridCol w:w="79"/>
        <w:gridCol w:w="1149"/>
        <w:gridCol w:w="1281"/>
        <w:gridCol w:w="1350"/>
        <w:gridCol w:w="85"/>
        <w:gridCol w:w="995"/>
        <w:gridCol w:w="133"/>
        <w:gridCol w:w="1268"/>
        <w:gridCol w:w="947"/>
        <w:gridCol w:w="833"/>
        <w:gridCol w:w="1087"/>
        <w:gridCol w:w="368"/>
      </w:tblGrid>
      <w:tr w:rsidR="000D2331" w:rsidRPr="009764E0" w:rsidTr="00D1658D">
        <w:trPr>
          <w:trHeight w:val="270"/>
        </w:trPr>
        <w:tc>
          <w:tcPr>
            <w:tcW w:w="508" w:type="dxa"/>
            <w:tcBorders>
              <w:top w:val="single" w:sz="4" w:space="0" w:color="auto"/>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bookmarkStart w:id="55" w:name="RANGE!A4:J33"/>
            <w:r w:rsidRPr="009764E0">
              <w:rPr>
                <w:color w:val="000000"/>
                <w:sz w:val="20"/>
                <w:szCs w:val="20"/>
              </w:rPr>
              <w:t> </w:t>
            </w:r>
            <w:bookmarkEnd w:id="55"/>
          </w:p>
        </w:tc>
        <w:tc>
          <w:tcPr>
            <w:tcW w:w="2748"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Ni Florida, LLC</w:t>
            </w:r>
          </w:p>
        </w:tc>
        <w:tc>
          <w:tcPr>
            <w:tcW w:w="1228" w:type="dxa"/>
            <w:gridSpan w:val="2"/>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281"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350" w:type="dxa"/>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080" w:type="dxa"/>
            <w:gridSpan w:val="2"/>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401" w:type="dxa"/>
            <w:gridSpan w:val="2"/>
            <w:tcBorders>
              <w:top w:val="single" w:sz="4" w:space="0" w:color="auto"/>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2867" w:type="dxa"/>
            <w:gridSpan w:val="3"/>
            <w:tcBorders>
              <w:top w:val="single" w:sz="4" w:space="0" w:color="auto"/>
              <w:left w:val="nil"/>
              <w:bottom w:val="nil"/>
              <w:right w:val="nil"/>
            </w:tcBorders>
            <w:shd w:val="clear" w:color="000000" w:fill="FFFFFF"/>
            <w:noWrap/>
            <w:vAlign w:val="bottom"/>
            <w:hideMark/>
          </w:tcPr>
          <w:p w:rsidR="000D2331" w:rsidRPr="009764E0" w:rsidRDefault="000D2331" w:rsidP="00D1658D">
            <w:pPr>
              <w:jc w:val="right"/>
              <w:rPr>
                <w:b/>
                <w:bCs/>
                <w:sz w:val="20"/>
                <w:szCs w:val="20"/>
              </w:rPr>
            </w:pPr>
            <w:r w:rsidRPr="009764E0">
              <w:rPr>
                <w:b/>
                <w:bCs/>
                <w:sz w:val="20"/>
                <w:szCs w:val="20"/>
              </w:rPr>
              <w:t>Schedule No. 2</w:t>
            </w:r>
          </w:p>
        </w:tc>
        <w:tc>
          <w:tcPr>
            <w:tcW w:w="368" w:type="dxa"/>
            <w:tcBorders>
              <w:top w:val="single" w:sz="4" w:space="0" w:color="auto"/>
              <w:left w:val="nil"/>
              <w:bottom w:val="nil"/>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3976" w:type="dxa"/>
            <w:gridSpan w:val="3"/>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Pr>
                <w:b/>
                <w:bCs/>
                <w:sz w:val="20"/>
                <w:szCs w:val="20"/>
              </w:rPr>
              <w:t>Capital Structure – 13-Month</w:t>
            </w:r>
            <w:r w:rsidRPr="009764E0">
              <w:rPr>
                <w:b/>
                <w:bCs/>
                <w:sz w:val="20"/>
                <w:szCs w:val="20"/>
              </w:rPr>
              <w:t xml:space="preserve"> Average</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2867" w:type="dxa"/>
            <w:gridSpan w:val="3"/>
            <w:tcBorders>
              <w:top w:val="nil"/>
              <w:left w:val="nil"/>
              <w:bottom w:val="nil"/>
              <w:right w:val="nil"/>
            </w:tcBorders>
            <w:shd w:val="clear" w:color="000000" w:fill="FFFFFF"/>
            <w:noWrap/>
            <w:vAlign w:val="bottom"/>
            <w:hideMark/>
          </w:tcPr>
          <w:p w:rsidR="000D2331" w:rsidRPr="009764E0" w:rsidRDefault="000D2331" w:rsidP="00D1658D">
            <w:pPr>
              <w:jc w:val="right"/>
              <w:rPr>
                <w:b/>
                <w:bCs/>
                <w:sz w:val="20"/>
                <w:szCs w:val="20"/>
              </w:rPr>
            </w:pPr>
            <w:r w:rsidRPr="009764E0">
              <w:rPr>
                <w:b/>
                <w:bCs/>
                <w:sz w:val="20"/>
                <w:szCs w:val="20"/>
              </w:rPr>
              <w:t>Docket No. 160030-WS</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r>
      <w:tr w:rsidR="000D2331" w:rsidRPr="009764E0" w:rsidTr="00D1658D">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2827"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Test Year Ended 12/31/15</w:t>
            </w:r>
          </w:p>
        </w:tc>
        <w:tc>
          <w:tcPr>
            <w:tcW w:w="114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281"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350"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080"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401"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947"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833"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087"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auto" w:fill="auto"/>
            <w:noWrap/>
            <w:vAlign w:val="bottom"/>
            <w:hideMark/>
          </w:tcPr>
          <w:p w:rsidR="000D2331" w:rsidRPr="009764E0" w:rsidRDefault="000D2331" w:rsidP="00D1658D">
            <w:pPr>
              <w:rPr>
                <w:b/>
                <w:bCs/>
                <w:sz w:val="20"/>
                <w:szCs w:val="20"/>
              </w:rPr>
            </w:pPr>
            <w:r w:rsidRPr="009764E0">
              <w:rPr>
                <w:b/>
                <w:bCs/>
                <w:sz w:val="20"/>
                <w:szCs w:val="20"/>
              </w:rPr>
              <w:t> </w:t>
            </w:r>
          </w:p>
        </w:tc>
        <w:tc>
          <w:tcPr>
            <w:tcW w:w="2827" w:type="dxa"/>
            <w:gridSpan w:val="2"/>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1149"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Specific</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Subtotal</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Prorata</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Capital</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833"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1087"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368" w:type="dxa"/>
            <w:tcBorders>
              <w:top w:val="nil"/>
              <w:left w:val="nil"/>
              <w:bottom w:val="nil"/>
              <w:right w:val="single" w:sz="4" w:space="0" w:color="auto"/>
            </w:tcBorders>
            <w:shd w:val="clear" w:color="auto" w:fill="auto"/>
            <w:noWrap/>
            <w:vAlign w:val="bottom"/>
            <w:hideMark/>
          </w:tcPr>
          <w:p w:rsidR="000D2331" w:rsidRPr="009764E0" w:rsidRDefault="000D2331" w:rsidP="00D1658D">
            <w:pPr>
              <w:rPr>
                <w:b/>
                <w:bCs/>
                <w:sz w:val="20"/>
                <w:szCs w:val="20"/>
              </w:rPr>
            </w:pPr>
            <w:r w:rsidRPr="009764E0">
              <w:rPr>
                <w:b/>
                <w:bCs/>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auto" w:fill="auto"/>
            <w:noWrap/>
            <w:vAlign w:val="bottom"/>
            <w:hideMark/>
          </w:tcPr>
          <w:p w:rsidR="000D2331" w:rsidRPr="009764E0" w:rsidRDefault="000D2331" w:rsidP="00D1658D">
            <w:pPr>
              <w:rPr>
                <w:b/>
                <w:bCs/>
                <w:sz w:val="20"/>
                <w:szCs w:val="20"/>
              </w:rPr>
            </w:pPr>
            <w:r w:rsidRPr="009764E0">
              <w:rPr>
                <w:b/>
                <w:bCs/>
                <w:sz w:val="20"/>
                <w:szCs w:val="20"/>
              </w:rPr>
              <w:t> </w:t>
            </w:r>
          </w:p>
        </w:tc>
        <w:tc>
          <w:tcPr>
            <w:tcW w:w="2827" w:type="dxa"/>
            <w:gridSpan w:val="2"/>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Total</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Adjusted</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Adjust-</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Reconciled</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rPr>
                <w:b/>
                <w:bCs/>
                <w:sz w:val="20"/>
                <w:szCs w:val="20"/>
              </w:rPr>
            </w:pP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Cost</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Weighted</w:t>
            </w:r>
          </w:p>
        </w:tc>
        <w:tc>
          <w:tcPr>
            <w:tcW w:w="368" w:type="dxa"/>
            <w:tcBorders>
              <w:top w:val="nil"/>
              <w:left w:val="nil"/>
              <w:bottom w:val="nil"/>
              <w:right w:val="single" w:sz="4" w:space="0" w:color="auto"/>
            </w:tcBorders>
            <w:shd w:val="clear" w:color="auto" w:fill="auto"/>
            <w:noWrap/>
            <w:vAlign w:val="bottom"/>
            <w:hideMark/>
          </w:tcPr>
          <w:p w:rsidR="000D2331" w:rsidRPr="009764E0" w:rsidRDefault="000D2331" w:rsidP="00D1658D">
            <w:pPr>
              <w:rPr>
                <w:b/>
                <w:bCs/>
                <w:sz w:val="20"/>
                <w:szCs w:val="20"/>
              </w:rPr>
            </w:pPr>
            <w:r w:rsidRPr="009764E0">
              <w:rPr>
                <w:b/>
                <w:bCs/>
                <w:sz w:val="20"/>
                <w:szCs w:val="20"/>
              </w:rPr>
              <w:t> </w:t>
            </w:r>
          </w:p>
        </w:tc>
      </w:tr>
      <w:tr w:rsidR="000D2331" w:rsidRPr="009764E0" w:rsidTr="00D1658D">
        <w:trPr>
          <w:trHeight w:val="270"/>
        </w:trPr>
        <w:tc>
          <w:tcPr>
            <w:tcW w:w="508" w:type="dxa"/>
            <w:tcBorders>
              <w:top w:val="nil"/>
              <w:left w:val="single" w:sz="4" w:space="0" w:color="auto"/>
              <w:bottom w:val="single" w:sz="4" w:space="0" w:color="auto"/>
              <w:right w:val="nil"/>
            </w:tcBorders>
            <w:shd w:val="clear" w:color="auto" w:fill="auto"/>
            <w:noWrap/>
            <w:vAlign w:val="bottom"/>
            <w:hideMark/>
          </w:tcPr>
          <w:p w:rsidR="000D2331" w:rsidRPr="009764E0" w:rsidRDefault="000D2331" w:rsidP="00D1658D">
            <w:pPr>
              <w:rPr>
                <w:b/>
                <w:bCs/>
                <w:sz w:val="20"/>
                <w:szCs w:val="20"/>
              </w:rPr>
            </w:pPr>
            <w:r w:rsidRPr="009764E0">
              <w:rPr>
                <w:b/>
                <w:bCs/>
                <w:sz w:val="20"/>
                <w:szCs w:val="20"/>
              </w:rPr>
              <w:t> </w:t>
            </w:r>
          </w:p>
        </w:tc>
        <w:tc>
          <w:tcPr>
            <w:tcW w:w="2827" w:type="dxa"/>
            <w:gridSpan w:val="2"/>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Description</w:t>
            </w:r>
          </w:p>
        </w:tc>
        <w:tc>
          <w:tcPr>
            <w:tcW w:w="1149"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Capital</w:t>
            </w:r>
          </w:p>
        </w:tc>
        <w:tc>
          <w:tcPr>
            <w:tcW w:w="1281"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350"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Capital</w:t>
            </w:r>
          </w:p>
        </w:tc>
        <w:tc>
          <w:tcPr>
            <w:tcW w:w="1080" w:type="dxa"/>
            <w:gridSpan w:val="2"/>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ments</w:t>
            </w:r>
          </w:p>
        </w:tc>
        <w:tc>
          <w:tcPr>
            <w:tcW w:w="1401" w:type="dxa"/>
            <w:gridSpan w:val="2"/>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to Rate Base</w:t>
            </w:r>
          </w:p>
        </w:tc>
        <w:tc>
          <w:tcPr>
            <w:tcW w:w="947"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Ratio</w:t>
            </w:r>
          </w:p>
        </w:tc>
        <w:tc>
          <w:tcPr>
            <w:tcW w:w="833"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Rate</w:t>
            </w:r>
          </w:p>
        </w:tc>
        <w:tc>
          <w:tcPr>
            <w:tcW w:w="1087" w:type="dxa"/>
            <w:tcBorders>
              <w:top w:val="nil"/>
              <w:left w:val="nil"/>
              <w:bottom w:val="single" w:sz="4" w:space="0" w:color="auto"/>
              <w:right w:val="nil"/>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Cost</w:t>
            </w:r>
          </w:p>
        </w:tc>
        <w:tc>
          <w:tcPr>
            <w:tcW w:w="368" w:type="dxa"/>
            <w:tcBorders>
              <w:top w:val="nil"/>
              <w:left w:val="nil"/>
              <w:bottom w:val="single" w:sz="4" w:space="0" w:color="auto"/>
              <w:right w:val="single" w:sz="4" w:space="0" w:color="auto"/>
            </w:tcBorders>
            <w:shd w:val="clear" w:color="auto" w:fill="auto"/>
            <w:noWrap/>
            <w:vAlign w:val="bottom"/>
            <w:hideMark/>
          </w:tcPr>
          <w:p w:rsidR="000D2331" w:rsidRPr="009764E0" w:rsidRDefault="000D2331" w:rsidP="00D1658D">
            <w:pPr>
              <w:jc w:val="center"/>
              <w:rPr>
                <w:b/>
                <w:bCs/>
                <w:sz w:val="20"/>
                <w:szCs w:val="20"/>
              </w:rPr>
            </w:pPr>
            <w:r w:rsidRPr="009764E0">
              <w:rPr>
                <w:b/>
                <w:bCs/>
                <w:sz w:val="20"/>
                <w:szCs w:val="20"/>
              </w:rPr>
              <w:t> </w:t>
            </w:r>
          </w:p>
        </w:tc>
      </w:tr>
      <w:tr w:rsidR="000D2331" w:rsidRPr="009764E0" w:rsidTr="00D1658D">
        <w:trPr>
          <w:trHeight w:val="270"/>
        </w:trPr>
        <w:tc>
          <w:tcPr>
            <w:tcW w:w="3335" w:type="dxa"/>
            <w:gridSpan w:val="3"/>
            <w:tcBorders>
              <w:top w:val="nil"/>
              <w:left w:val="single" w:sz="4" w:space="0" w:color="auto"/>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Per Utility</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Long-term Debt - Fixed Rate</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48,567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48,567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48,567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1.13%</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8.50%</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0.10%</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2</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Long-term Debt - Variable Rate</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896,661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896,661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896,661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20.92%</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4.50%</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0.94%</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3</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Short-term Debt</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0.00%</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0.00%</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4</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Preferred Stock</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5</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Common Equity</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3,149,915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3,149,915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3,149,915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73.48%</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9.27%</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6.81%</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6</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Customer Deposits</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1.99%</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6.00%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0.12%</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7</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Deferred Income Taxes</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3,634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102,915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106,549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106,549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2.49%</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0.00%</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8</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Total Capital</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$4,183,979</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$102,915</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$4,286,894</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$4,286,894</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100.00%</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rPr>
                <w:sz w:val="20"/>
                <w:szCs w:val="20"/>
                <w:u w:val="double"/>
              </w:rPr>
            </w:pP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double"/>
              </w:rPr>
            </w:pPr>
            <w:r w:rsidRPr="009764E0">
              <w:rPr>
                <w:sz w:val="20"/>
                <w:szCs w:val="20"/>
                <w:u w:val="double"/>
              </w:rPr>
              <w:t>7.97%</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u w:val="double"/>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281"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350"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947"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833"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08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3335" w:type="dxa"/>
            <w:gridSpan w:val="3"/>
            <w:tcBorders>
              <w:top w:val="nil"/>
              <w:left w:val="single" w:sz="4" w:space="0" w:color="auto"/>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Per Staff</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281"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350"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947"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833" w:type="dxa"/>
            <w:tcBorders>
              <w:top w:val="nil"/>
              <w:left w:val="nil"/>
              <w:bottom w:val="nil"/>
              <w:right w:val="nil"/>
            </w:tcBorders>
            <w:shd w:val="clear" w:color="auto" w:fill="auto"/>
            <w:noWrap/>
            <w:vAlign w:val="bottom"/>
            <w:hideMark/>
          </w:tcPr>
          <w:p w:rsidR="000D2331" w:rsidRPr="009764E0" w:rsidRDefault="000D2331" w:rsidP="00D1658D">
            <w:pPr>
              <w:rPr>
                <w:color w:val="000000"/>
                <w:sz w:val="20"/>
                <w:szCs w:val="20"/>
              </w:rPr>
            </w:pPr>
          </w:p>
        </w:tc>
        <w:tc>
          <w:tcPr>
            <w:tcW w:w="1087"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9</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Long-term Debt- Fixed Rate</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48,567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48,567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22</w:t>
            </w:r>
            <w:r>
              <w:rPr>
                <w:sz w:val="20"/>
                <w:szCs w:val="20"/>
              </w:rPr>
              <w:t>6</w:t>
            </w:r>
            <w:r w:rsidRPr="009764E0">
              <w:rPr>
                <w:sz w:val="20"/>
                <w:szCs w:val="20"/>
              </w:rPr>
              <w:t xml:space="preserve">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48,7</w:t>
            </w:r>
            <w:r>
              <w:rPr>
                <w:sz w:val="20"/>
                <w:szCs w:val="20"/>
              </w:rPr>
              <w:t>93</w:t>
            </w:r>
            <w:r w:rsidRPr="009764E0">
              <w:rPr>
                <w:sz w:val="20"/>
                <w:szCs w:val="20"/>
              </w:rPr>
              <w:t xml:space="preserve">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1.13%</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8.50%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0.10%</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10</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Long-term Debt - Variable Rate</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896,661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896,661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w:t>
            </w:r>
            <w:r>
              <w:rPr>
                <w:sz w:val="20"/>
                <w:szCs w:val="20"/>
              </w:rPr>
              <w:t>165</w:t>
            </w:r>
            <w:r w:rsidRPr="009764E0">
              <w:rPr>
                <w:sz w:val="20"/>
                <w:szCs w:val="20"/>
              </w:rPr>
              <w:t xml:space="preserve">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900,</w:t>
            </w:r>
            <w:r>
              <w:rPr>
                <w:sz w:val="20"/>
                <w:szCs w:val="20"/>
              </w:rPr>
              <w:t>826</w:t>
            </w:r>
            <w:r w:rsidRPr="009764E0">
              <w:rPr>
                <w:sz w:val="20"/>
                <w:szCs w:val="20"/>
              </w:rPr>
              <w:t xml:space="preserve">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20.92%</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4.50%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0.94%</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11</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Short-term Debt</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12</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Preferred Stock</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13</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Common Equity</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3,149,915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3,149,915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14,</w:t>
            </w:r>
            <w:r>
              <w:rPr>
                <w:sz w:val="20"/>
                <w:szCs w:val="20"/>
              </w:rPr>
              <w:t>633</w:t>
            </w:r>
            <w:r w:rsidRPr="009764E0">
              <w:rPr>
                <w:sz w:val="20"/>
                <w:szCs w:val="20"/>
              </w:rPr>
              <w:t xml:space="preserve">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3,164,</w:t>
            </w:r>
            <w:r>
              <w:rPr>
                <w:sz w:val="20"/>
                <w:szCs w:val="20"/>
              </w:rPr>
              <w:t>548</w:t>
            </w:r>
            <w:r w:rsidRPr="009764E0">
              <w:rPr>
                <w:sz w:val="20"/>
                <w:szCs w:val="20"/>
              </w:rPr>
              <w:t xml:space="preserve">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73.5</w:t>
            </w:r>
            <w:r>
              <w:rPr>
                <w:sz w:val="20"/>
                <w:szCs w:val="20"/>
              </w:rPr>
              <w:t>0</w:t>
            </w:r>
            <w:r w:rsidRPr="009764E0">
              <w:rPr>
                <w:sz w:val="20"/>
                <w:szCs w:val="20"/>
              </w:rPr>
              <w:t>%</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9.56%</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7.03%</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14</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Customer Deposits</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 xml:space="preserve">85,202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1.98%</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2.00%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0.04%</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15</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Deferred Income Taxes</w:t>
            </w:r>
          </w:p>
        </w:tc>
        <w:tc>
          <w:tcPr>
            <w:tcW w:w="1149"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Pr>
                <w:sz w:val="20"/>
                <w:szCs w:val="20"/>
                <w:u w:val="single"/>
              </w:rPr>
              <w:t>3,038</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102,915 </w:t>
            </w:r>
          </w:p>
        </w:tc>
        <w:tc>
          <w:tcPr>
            <w:tcW w:w="1350"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105,</w:t>
            </w:r>
            <w:r>
              <w:rPr>
                <w:sz w:val="20"/>
                <w:szCs w:val="20"/>
                <w:u w:val="single"/>
              </w:rPr>
              <w:t>953</w:t>
            </w:r>
          </w:p>
        </w:tc>
        <w:tc>
          <w:tcPr>
            <w:tcW w:w="1080"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 xml:space="preserve">0 </w:t>
            </w:r>
          </w:p>
        </w:tc>
        <w:tc>
          <w:tcPr>
            <w:tcW w:w="1401" w:type="dxa"/>
            <w:gridSpan w:val="2"/>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105,</w:t>
            </w:r>
            <w:r>
              <w:rPr>
                <w:sz w:val="20"/>
                <w:szCs w:val="20"/>
                <w:u w:val="single"/>
              </w:rPr>
              <w:t>953</w:t>
            </w:r>
            <w:r w:rsidRPr="009764E0">
              <w:rPr>
                <w:sz w:val="20"/>
                <w:szCs w:val="20"/>
                <w:u w:val="single"/>
              </w:rPr>
              <w:t xml:space="preserve"> </w:t>
            </w:r>
          </w:p>
        </w:tc>
        <w:tc>
          <w:tcPr>
            <w:tcW w:w="94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2.46%</w:t>
            </w:r>
          </w:p>
        </w:tc>
        <w:tc>
          <w:tcPr>
            <w:tcW w:w="833"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rPr>
            </w:pPr>
            <w:r w:rsidRPr="009764E0">
              <w:rPr>
                <w:sz w:val="20"/>
                <w:szCs w:val="20"/>
              </w:rPr>
              <w:t>0.00%</w:t>
            </w:r>
          </w:p>
        </w:tc>
        <w:tc>
          <w:tcPr>
            <w:tcW w:w="1087" w:type="dxa"/>
            <w:tcBorders>
              <w:top w:val="nil"/>
              <w:left w:val="nil"/>
              <w:bottom w:val="nil"/>
              <w:right w:val="nil"/>
            </w:tcBorders>
            <w:shd w:val="clear" w:color="auto" w:fill="auto"/>
            <w:noWrap/>
            <w:vAlign w:val="bottom"/>
            <w:hideMark/>
          </w:tcPr>
          <w:p w:rsidR="000D2331" w:rsidRPr="009764E0" w:rsidRDefault="000D2331" w:rsidP="00D1658D">
            <w:pPr>
              <w:jc w:val="right"/>
              <w:rPr>
                <w:sz w:val="20"/>
                <w:szCs w:val="20"/>
                <w:u w:val="single"/>
              </w:rPr>
            </w:pPr>
            <w:r w:rsidRPr="009764E0">
              <w:rPr>
                <w:sz w:val="20"/>
                <w:szCs w:val="20"/>
                <w:u w:val="single"/>
              </w:rPr>
              <w:t>0.00%</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jc w:val="center"/>
              <w:rPr>
                <w:sz w:val="20"/>
                <w:szCs w:val="20"/>
              </w:rPr>
            </w:pPr>
            <w:r w:rsidRPr="009764E0">
              <w:rPr>
                <w:sz w:val="20"/>
                <w:szCs w:val="20"/>
              </w:rPr>
              <w:t>16</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Total Capital</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$4,183,</w:t>
            </w:r>
            <w:r>
              <w:rPr>
                <w:sz w:val="20"/>
                <w:szCs w:val="20"/>
                <w:u w:val="double"/>
              </w:rPr>
              <w:t>383</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$102,915</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$4,286,</w:t>
            </w:r>
            <w:r>
              <w:rPr>
                <w:sz w:val="20"/>
                <w:szCs w:val="20"/>
                <w:u w:val="double"/>
              </w:rPr>
              <w:t>298</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$1</w:t>
            </w:r>
            <w:r>
              <w:rPr>
                <w:sz w:val="20"/>
                <w:szCs w:val="20"/>
                <w:u w:val="double"/>
              </w:rPr>
              <w:t>9,024</w:t>
            </w:r>
            <w:r w:rsidRPr="009764E0">
              <w:rPr>
                <w:sz w:val="20"/>
                <w:szCs w:val="20"/>
                <w:u w:val="double"/>
              </w:rPr>
              <w:t xml:space="preserve">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$4,30</w:t>
            </w:r>
            <w:r>
              <w:rPr>
                <w:sz w:val="20"/>
                <w:szCs w:val="20"/>
                <w:u w:val="double"/>
              </w:rPr>
              <w:t>5,322</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100.00%</w:t>
            </w:r>
          </w:p>
        </w:tc>
        <w:tc>
          <w:tcPr>
            <w:tcW w:w="833" w:type="dxa"/>
            <w:tcBorders>
              <w:top w:val="nil"/>
              <w:left w:val="nil"/>
              <w:bottom w:val="nil"/>
              <w:right w:val="nil"/>
            </w:tcBorders>
            <w:shd w:val="clear" w:color="000000" w:fill="FFFFFF"/>
            <w:noWrap/>
            <w:vAlign w:val="bottom"/>
          </w:tcPr>
          <w:p w:rsidR="000D2331" w:rsidRPr="009764E0" w:rsidRDefault="000D2331" w:rsidP="00D1658D">
            <w:pPr>
              <w:rPr>
                <w:sz w:val="20"/>
                <w:szCs w:val="20"/>
                <w:u w:val="double"/>
              </w:rPr>
            </w:pP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8.11%</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u w:val="double"/>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nil"/>
              <w:right w:val="single" w:sz="4" w:space="0" w:color="auto"/>
            </w:tcBorders>
            <w:shd w:val="clear" w:color="000000" w:fill="FFFFFF"/>
            <w:noWrap/>
            <w:vAlign w:val="bottom"/>
          </w:tcPr>
          <w:p w:rsidR="000D2331" w:rsidRPr="009764E0" w:rsidRDefault="000D2331" w:rsidP="00D1658D">
            <w:pPr>
              <w:rPr>
                <w:sz w:val="20"/>
                <w:szCs w:val="20"/>
              </w:rPr>
            </w:pPr>
          </w:p>
        </w:tc>
      </w:tr>
      <w:tr w:rsidR="000D2331" w:rsidRPr="009764E0" w:rsidTr="00D1658D">
        <w:trPr>
          <w:trHeight w:val="270"/>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350"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080"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1401" w:type="dxa"/>
            <w:gridSpan w:val="2"/>
            <w:tcBorders>
              <w:top w:val="nil"/>
              <w:left w:val="nil"/>
              <w:bottom w:val="nil"/>
              <w:right w:val="nil"/>
            </w:tcBorders>
            <w:shd w:val="clear" w:color="000000" w:fill="FFFFFF"/>
            <w:noWrap/>
            <w:vAlign w:val="bottom"/>
            <w:hideMark/>
          </w:tcPr>
          <w:p w:rsidR="000D2331" w:rsidRPr="009764E0" w:rsidRDefault="000D2331" w:rsidP="00D1658D">
            <w:pPr>
              <w:rPr>
                <w:b/>
                <w:bCs/>
                <w:sz w:val="20"/>
                <w:szCs w:val="20"/>
              </w:rPr>
            </w:pPr>
            <w:r w:rsidRPr="009764E0">
              <w:rPr>
                <w:b/>
                <w:bCs/>
                <w:sz w:val="20"/>
                <w:szCs w:val="20"/>
              </w:rPr>
              <w:t> </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u w:val="single"/>
              </w:rPr>
            </w:pPr>
            <w:r w:rsidRPr="009764E0">
              <w:rPr>
                <w:b/>
                <w:bCs/>
                <w:sz w:val="20"/>
                <w:szCs w:val="20"/>
                <w:u w:val="single"/>
              </w:rPr>
              <w:t>LOW</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center"/>
              <w:rPr>
                <w:b/>
                <w:bCs/>
                <w:sz w:val="20"/>
                <w:szCs w:val="20"/>
                <w:u w:val="single"/>
              </w:rPr>
            </w:pPr>
            <w:r w:rsidRPr="009764E0">
              <w:rPr>
                <w:b/>
                <w:bCs/>
                <w:sz w:val="20"/>
                <w:szCs w:val="20"/>
                <w:u w:val="single"/>
              </w:rPr>
              <w:t>HIGH</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315"/>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81"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3831" w:type="dxa"/>
            <w:gridSpan w:val="5"/>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   RETURN ON EQUITY</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center"/>
              <w:rPr>
                <w:sz w:val="20"/>
                <w:szCs w:val="20"/>
                <w:u w:val="double"/>
              </w:rPr>
            </w:pPr>
            <w:r w:rsidRPr="009764E0">
              <w:rPr>
                <w:sz w:val="20"/>
                <w:szCs w:val="20"/>
                <w:u w:val="double"/>
              </w:rPr>
              <w:t>8.56%</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10.56%</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315"/>
        </w:trPr>
        <w:tc>
          <w:tcPr>
            <w:tcW w:w="508" w:type="dxa"/>
            <w:tcBorders>
              <w:top w:val="nil"/>
              <w:left w:val="single" w:sz="4" w:space="0" w:color="auto"/>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149" w:type="dxa"/>
            <w:tcBorders>
              <w:top w:val="nil"/>
              <w:left w:val="nil"/>
              <w:bottom w:val="nil"/>
              <w:right w:val="nil"/>
            </w:tcBorders>
            <w:shd w:val="clear" w:color="000000" w:fill="FFFFFF"/>
            <w:noWrap/>
            <w:vAlign w:val="bottom"/>
            <w:hideMark/>
          </w:tcPr>
          <w:p w:rsidR="000D2331" w:rsidRPr="009764E0" w:rsidRDefault="000D2331" w:rsidP="00D1658D">
            <w:pPr>
              <w:rPr>
                <w:color w:val="000000"/>
                <w:sz w:val="20"/>
                <w:szCs w:val="20"/>
              </w:rPr>
            </w:pPr>
            <w:r w:rsidRPr="009764E0">
              <w:rPr>
                <w:color w:val="000000"/>
                <w:sz w:val="20"/>
                <w:szCs w:val="20"/>
              </w:rPr>
              <w:t> </w:t>
            </w:r>
          </w:p>
        </w:tc>
        <w:tc>
          <w:tcPr>
            <w:tcW w:w="1281" w:type="dxa"/>
            <w:tcBorders>
              <w:top w:val="nil"/>
              <w:left w:val="nil"/>
              <w:bottom w:val="nil"/>
              <w:right w:val="nil"/>
            </w:tcBorders>
            <w:shd w:val="clear" w:color="auto" w:fill="auto"/>
            <w:noWrap/>
            <w:vAlign w:val="bottom"/>
            <w:hideMark/>
          </w:tcPr>
          <w:p w:rsidR="000D2331" w:rsidRPr="009764E0" w:rsidRDefault="000D2331" w:rsidP="00D1658D">
            <w:pPr>
              <w:rPr>
                <w:sz w:val="20"/>
                <w:szCs w:val="20"/>
              </w:rPr>
            </w:pPr>
          </w:p>
        </w:tc>
        <w:tc>
          <w:tcPr>
            <w:tcW w:w="3831" w:type="dxa"/>
            <w:gridSpan w:val="5"/>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rPr>
            </w:pPr>
            <w:r w:rsidRPr="009764E0">
              <w:rPr>
                <w:sz w:val="20"/>
                <w:szCs w:val="20"/>
              </w:rPr>
              <w:t xml:space="preserve">   OVERALL RATE OF RETURN</w:t>
            </w:r>
          </w:p>
        </w:tc>
        <w:tc>
          <w:tcPr>
            <w:tcW w:w="947" w:type="dxa"/>
            <w:tcBorders>
              <w:top w:val="nil"/>
              <w:left w:val="nil"/>
              <w:bottom w:val="nil"/>
              <w:right w:val="nil"/>
            </w:tcBorders>
            <w:shd w:val="clear" w:color="000000" w:fill="FFFFFF"/>
            <w:noWrap/>
            <w:vAlign w:val="bottom"/>
            <w:hideMark/>
          </w:tcPr>
          <w:p w:rsidR="000D2331" w:rsidRPr="009764E0" w:rsidRDefault="000D2331" w:rsidP="00D1658D">
            <w:pPr>
              <w:jc w:val="center"/>
              <w:rPr>
                <w:sz w:val="20"/>
                <w:szCs w:val="20"/>
                <w:u w:val="double"/>
              </w:rPr>
            </w:pPr>
            <w:r w:rsidRPr="009764E0">
              <w:rPr>
                <w:sz w:val="20"/>
                <w:szCs w:val="20"/>
                <w:u w:val="double"/>
              </w:rPr>
              <w:t>7.37%</w:t>
            </w:r>
          </w:p>
        </w:tc>
        <w:tc>
          <w:tcPr>
            <w:tcW w:w="833" w:type="dxa"/>
            <w:tcBorders>
              <w:top w:val="nil"/>
              <w:left w:val="nil"/>
              <w:bottom w:val="nil"/>
              <w:right w:val="nil"/>
            </w:tcBorders>
            <w:shd w:val="clear" w:color="000000" w:fill="FFFFFF"/>
            <w:noWrap/>
            <w:vAlign w:val="bottom"/>
            <w:hideMark/>
          </w:tcPr>
          <w:p w:rsidR="000D2331" w:rsidRPr="009764E0" w:rsidRDefault="000D2331" w:rsidP="00D1658D">
            <w:pPr>
              <w:jc w:val="right"/>
              <w:rPr>
                <w:sz w:val="20"/>
                <w:szCs w:val="20"/>
                <w:u w:val="double"/>
              </w:rPr>
            </w:pPr>
            <w:r w:rsidRPr="009764E0">
              <w:rPr>
                <w:sz w:val="20"/>
                <w:szCs w:val="20"/>
                <w:u w:val="double"/>
              </w:rPr>
              <w:t>8.84%</w:t>
            </w:r>
          </w:p>
        </w:tc>
        <w:tc>
          <w:tcPr>
            <w:tcW w:w="1087" w:type="dxa"/>
            <w:tcBorders>
              <w:top w:val="nil"/>
              <w:left w:val="nil"/>
              <w:bottom w:val="nil"/>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nil"/>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r w:rsidR="000D2331" w:rsidRPr="009764E0" w:rsidTr="00D1658D">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2827"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149"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81"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435"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128" w:type="dxa"/>
            <w:gridSpan w:val="2"/>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268"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947"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833"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1087" w:type="dxa"/>
            <w:tcBorders>
              <w:top w:val="nil"/>
              <w:left w:val="nil"/>
              <w:bottom w:val="single" w:sz="4" w:space="0" w:color="auto"/>
              <w:right w:val="nil"/>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c>
          <w:tcPr>
            <w:tcW w:w="368" w:type="dxa"/>
            <w:tcBorders>
              <w:top w:val="nil"/>
              <w:left w:val="nil"/>
              <w:bottom w:val="single" w:sz="4" w:space="0" w:color="auto"/>
              <w:right w:val="single" w:sz="4" w:space="0" w:color="auto"/>
            </w:tcBorders>
            <w:shd w:val="clear" w:color="000000" w:fill="FFFFFF"/>
            <w:noWrap/>
            <w:vAlign w:val="bottom"/>
            <w:hideMark/>
          </w:tcPr>
          <w:p w:rsidR="000D2331" w:rsidRPr="009764E0" w:rsidRDefault="000D2331" w:rsidP="00D1658D">
            <w:pPr>
              <w:rPr>
                <w:sz w:val="20"/>
                <w:szCs w:val="20"/>
              </w:rPr>
            </w:pPr>
            <w:r w:rsidRPr="009764E0">
              <w:rPr>
                <w:sz w:val="20"/>
                <w:szCs w:val="20"/>
              </w:rPr>
              <w:t> </w:t>
            </w:r>
          </w:p>
        </w:tc>
      </w:tr>
    </w:tbl>
    <w:p w:rsidR="000D2331" w:rsidRDefault="000D2331" w:rsidP="00E275D8">
      <w:pPr>
        <w:pStyle w:val="BodyText"/>
      </w:pPr>
    </w:p>
    <w:p w:rsidR="008171BB" w:rsidRDefault="008171BB" w:rsidP="00E275D8">
      <w:pPr>
        <w:pStyle w:val="BodyText"/>
        <w:sectPr w:rsidR="008171BB" w:rsidSect="007762A7">
          <w:headerReference w:type="default" r:id="rId18"/>
          <w:pgSz w:w="15840" w:h="12240" w:orient="landscape" w:code="1"/>
          <w:pgMar w:top="1440" w:right="1584" w:bottom="1440" w:left="1152" w:header="720" w:footer="720" w:gutter="0"/>
          <w:cols w:space="720"/>
          <w:formProt w:val="0"/>
          <w:docGrid w:linePitch="360"/>
        </w:sectPr>
      </w:pPr>
    </w:p>
    <w:tbl>
      <w:tblPr>
        <w:tblW w:w="14110" w:type="dxa"/>
        <w:jc w:val="center"/>
        <w:tblInd w:w="173" w:type="dxa"/>
        <w:tblLook w:val="04A0" w:firstRow="1" w:lastRow="0" w:firstColumn="1" w:lastColumn="0" w:noHBand="0" w:noVBand="1"/>
      </w:tblPr>
      <w:tblGrid>
        <w:gridCol w:w="416"/>
        <w:gridCol w:w="2928"/>
        <w:gridCol w:w="1588"/>
        <w:gridCol w:w="1588"/>
        <w:gridCol w:w="1588"/>
        <w:gridCol w:w="1528"/>
        <w:gridCol w:w="1448"/>
        <w:gridCol w:w="1087"/>
        <w:gridCol w:w="1661"/>
        <w:gridCol w:w="278"/>
      </w:tblGrid>
      <w:tr w:rsidR="000D2331" w:rsidRPr="00DD0306" w:rsidTr="00D1658D">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0D2331" w:rsidRPr="00DD0306" w:rsidRDefault="000D2331" w:rsidP="00D1658D">
            <w:pPr>
              <w:rPr>
                <w:color w:val="000000"/>
                <w:sz w:val="20"/>
                <w:szCs w:val="20"/>
              </w:rPr>
            </w:pPr>
            <w:bookmarkStart w:id="56" w:name="RANGE!A5:I32"/>
            <w:r w:rsidRPr="00DD0306">
              <w:rPr>
                <w:color w:val="000000"/>
                <w:sz w:val="20"/>
                <w:szCs w:val="20"/>
              </w:rPr>
              <w:lastRenderedPageBreak/>
              <w:t> </w:t>
            </w:r>
            <w:bookmarkEnd w:id="56"/>
          </w:p>
        </w:tc>
        <w:tc>
          <w:tcPr>
            <w:tcW w:w="292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Ni Florida, LLC</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2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44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2748" w:type="dxa"/>
            <w:gridSpan w:val="2"/>
            <w:tcBorders>
              <w:top w:val="single" w:sz="4" w:space="0" w:color="auto"/>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Schedule No. 3-A</w:t>
            </w:r>
          </w:p>
        </w:tc>
        <w:tc>
          <w:tcPr>
            <w:tcW w:w="278" w:type="dxa"/>
            <w:tcBorders>
              <w:top w:val="single" w:sz="4" w:space="0" w:color="auto"/>
              <w:left w:val="nil"/>
              <w:bottom w:val="nil"/>
              <w:right w:val="single" w:sz="4" w:space="0" w:color="auto"/>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c>
          <w:tcPr>
            <w:tcW w:w="4516" w:type="dxa"/>
            <w:gridSpan w:val="2"/>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Statement of Water Operations</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2748" w:type="dxa"/>
            <w:gridSpan w:val="2"/>
            <w:tcBorders>
              <w:top w:val="nil"/>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Docket No. 160030-WS</w:t>
            </w:r>
          </w:p>
        </w:tc>
        <w:tc>
          <w:tcPr>
            <w:tcW w:w="278"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r>
      <w:tr w:rsidR="000D2331" w:rsidRPr="00DD0306" w:rsidTr="00D1658D">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c>
          <w:tcPr>
            <w:tcW w:w="29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Test Year Ended 12/31/15</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5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44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087"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661"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r>
      <w:tr w:rsidR="000D2331" w:rsidRPr="00DD0306" w:rsidTr="00D1658D">
        <w:trPr>
          <w:trHeight w:val="270"/>
          <w:jc w:val="center"/>
        </w:trPr>
        <w:tc>
          <w:tcPr>
            <w:tcW w:w="416" w:type="dxa"/>
            <w:tcBorders>
              <w:top w:val="nil"/>
              <w:left w:val="single" w:sz="4" w:space="0" w:color="auto"/>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2928"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Utility</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Adjusted</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Staff</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Staff</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278" w:type="dxa"/>
            <w:tcBorders>
              <w:top w:val="nil"/>
              <w:left w:val="nil"/>
              <w:bottom w:val="nil"/>
              <w:right w:val="single" w:sz="4" w:space="0" w:color="auto"/>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r>
      <w:tr w:rsidR="000D2331" w:rsidRPr="00DD0306" w:rsidTr="00D1658D">
        <w:trPr>
          <w:trHeight w:val="270"/>
          <w:jc w:val="center"/>
        </w:trPr>
        <w:tc>
          <w:tcPr>
            <w:tcW w:w="416" w:type="dxa"/>
            <w:tcBorders>
              <w:top w:val="nil"/>
              <w:left w:val="single" w:sz="4" w:space="0" w:color="auto"/>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2928"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Per</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Adjusted</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Revenue</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Revenue</w:t>
            </w:r>
          </w:p>
        </w:tc>
        <w:tc>
          <w:tcPr>
            <w:tcW w:w="278" w:type="dxa"/>
            <w:tcBorders>
              <w:top w:val="nil"/>
              <w:left w:val="nil"/>
              <w:bottom w:val="nil"/>
              <w:right w:val="single" w:sz="4" w:space="0" w:color="auto"/>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 </w:t>
            </w:r>
          </w:p>
        </w:tc>
      </w:tr>
      <w:tr w:rsidR="000D2331" w:rsidRPr="00DD0306" w:rsidTr="00D1658D">
        <w:trPr>
          <w:trHeight w:val="270"/>
          <w:jc w:val="center"/>
        </w:trPr>
        <w:tc>
          <w:tcPr>
            <w:tcW w:w="416" w:type="dxa"/>
            <w:tcBorders>
              <w:top w:val="nil"/>
              <w:left w:val="single" w:sz="4" w:space="0" w:color="auto"/>
              <w:bottom w:val="single" w:sz="4" w:space="0" w:color="auto"/>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292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Description</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Utility</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ments</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Per Utility</w:t>
            </w:r>
          </w:p>
        </w:tc>
        <w:tc>
          <w:tcPr>
            <w:tcW w:w="152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ments</w:t>
            </w:r>
          </w:p>
        </w:tc>
        <w:tc>
          <w:tcPr>
            <w:tcW w:w="144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087"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Increase</w:t>
            </w:r>
          </w:p>
        </w:tc>
        <w:tc>
          <w:tcPr>
            <w:tcW w:w="1661"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Requirement</w:t>
            </w:r>
          </w:p>
        </w:tc>
        <w:tc>
          <w:tcPr>
            <w:tcW w:w="278" w:type="dxa"/>
            <w:tcBorders>
              <w:top w:val="nil"/>
              <w:left w:val="nil"/>
              <w:bottom w:val="single" w:sz="4" w:space="0" w:color="auto"/>
              <w:right w:val="single" w:sz="4" w:space="0" w:color="auto"/>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 </w:t>
            </w: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087"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61"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Revenues: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$243,169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$78,922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$322,091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($97,485)</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$224,606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Pr>
                <w:sz w:val="20"/>
                <w:szCs w:val="20"/>
                <w:u w:val="single"/>
              </w:rPr>
              <w:t>65,265</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Pr>
                <w:sz w:val="20"/>
                <w:szCs w:val="20"/>
                <w:u w:val="single"/>
              </w:rPr>
              <w:t>$289,872</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Pr>
                <w:sz w:val="20"/>
                <w:szCs w:val="20"/>
              </w:rPr>
              <w:t>29.06</w:t>
            </w:r>
            <w:r w:rsidRPr="00DD0306">
              <w:rPr>
                <w:sz w:val="20"/>
                <w:szCs w:val="20"/>
              </w:rPr>
              <w:t>%</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Expenses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2</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Operation &amp; Maintenance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$238,510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$9,115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$247,625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w:t>
            </w:r>
            <w:r>
              <w:rPr>
                <w:sz w:val="20"/>
                <w:szCs w:val="20"/>
              </w:rPr>
              <w:t>34,637</w:t>
            </w:r>
            <w:r w:rsidRPr="00DD0306">
              <w:rPr>
                <w:sz w:val="20"/>
                <w:szCs w:val="20"/>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$21</w:t>
            </w:r>
            <w:r>
              <w:rPr>
                <w:sz w:val="20"/>
                <w:szCs w:val="20"/>
              </w:rPr>
              <w:t>2,98</w:t>
            </w:r>
            <w:r w:rsidRPr="00DD0306">
              <w:rPr>
                <w:sz w:val="20"/>
                <w:szCs w:val="20"/>
              </w:rPr>
              <w:t xml:space="preserve">8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$21</w:t>
            </w:r>
            <w:r>
              <w:rPr>
                <w:sz w:val="20"/>
                <w:szCs w:val="20"/>
              </w:rPr>
              <w:t>2,98</w:t>
            </w:r>
            <w:r w:rsidRPr="00DD0306">
              <w:rPr>
                <w:sz w:val="20"/>
                <w:szCs w:val="20"/>
              </w:rPr>
              <w:t xml:space="preserve">8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3</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Depreciation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19,513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817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20,330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20,330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20,330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4</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Amortization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5</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Taxes Other Than Income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10,943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3,922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14,865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(5,222)</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9,643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Pr>
                <w:sz w:val="20"/>
                <w:szCs w:val="20"/>
              </w:rPr>
              <w:t>2,937</w:t>
            </w:r>
            <w:r w:rsidRPr="00DD0306">
              <w:rPr>
                <w:sz w:val="20"/>
                <w:szCs w:val="20"/>
              </w:rPr>
              <w:t xml:space="preserve">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12,</w:t>
            </w:r>
            <w:r>
              <w:rPr>
                <w:sz w:val="20"/>
                <w:szCs w:val="20"/>
              </w:rPr>
              <w:t>580</w:t>
            </w:r>
            <w:r w:rsidRPr="00DD0306">
              <w:rPr>
                <w:sz w:val="20"/>
                <w:szCs w:val="20"/>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6</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Income Taxes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12,882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12,882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Pr>
                <w:sz w:val="20"/>
                <w:szCs w:val="20"/>
                <w:u w:val="single"/>
              </w:rPr>
              <w:t>19,963</w:t>
            </w:r>
            <w:r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Pr>
                <w:sz w:val="20"/>
                <w:szCs w:val="20"/>
                <w:u w:val="single"/>
              </w:rPr>
              <w:t>7,081</w:t>
            </w:r>
            <w:r w:rsidRPr="00DD0306">
              <w:rPr>
                <w:sz w:val="20"/>
                <w:szCs w:val="20"/>
                <w:u w:val="single"/>
              </w:rPr>
              <w:t>)</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w:t>
            </w:r>
            <w:r>
              <w:rPr>
                <w:sz w:val="20"/>
                <w:szCs w:val="20"/>
                <w:u w:val="single"/>
              </w:rPr>
              <w:t>3,454</w:t>
            </w:r>
            <w:r w:rsidRPr="00DD0306">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16,37</w:t>
            </w:r>
            <w:r>
              <w:rPr>
                <w:sz w:val="20"/>
                <w:szCs w:val="20"/>
                <w:u w:val="single"/>
              </w:rPr>
              <w:t>3</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7</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Total Operating Expense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268,966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26,736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295,702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(5</w:t>
            </w:r>
            <w:r>
              <w:rPr>
                <w:sz w:val="20"/>
                <w:szCs w:val="20"/>
                <w:u w:val="single"/>
              </w:rPr>
              <w:t>9,822</w:t>
            </w:r>
            <w:r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23</w:t>
            </w:r>
            <w:r>
              <w:rPr>
                <w:sz w:val="20"/>
                <w:szCs w:val="20"/>
                <w:u w:val="single"/>
              </w:rPr>
              <w:t>5,880</w:t>
            </w:r>
            <w:r w:rsidRPr="00DD0306">
              <w:rPr>
                <w:sz w:val="20"/>
                <w:szCs w:val="20"/>
                <w:u w:val="single"/>
              </w:rPr>
              <w:t xml:space="preserve">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w:t>
            </w:r>
            <w:r>
              <w:rPr>
                <w:sz w:val="20"/>
                <w:szCs w:val="20"/>
                <w:u w:val="single"/>
              </w:rPr>
              <w:t>6,391</w:t>
            </w:r>
            <w:r w:rsidRPr="00DD0306">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26</w:t>
            </w:r>
            <w:r>
              <w:rPr>
                <w:sz w:val="20"/>
                <w:szCs w:val="20"/>
                <w:u w:val="single"/>
              </w:rPr>
              <w:t>2,271</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8</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Income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($25,797)</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$52,186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$26,389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Pr>
                <w:sz w:val="20"/>
                <w:szCs w:val="20"/>
                <w:u w:val="single"/>
              </w:rPr>
              <w:t>37,663</w:t>
            </w:r>
            <w:r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w:t>
            </w:r>
            <w:r>
              <w:rPr>
                <w:sz w:val="20"/>
                <w:szCs w:val="20"/>
                <w:u w:val="single"/>
              </w:rPr>
              <w:t>1,274</w:t>
            </w:r>
            <w:r w:rsidRPr="00DD0306">
              <w:rPr>
                <w:sz w:val="20"/>
                <w:szCs w:val="20"/>
                <w:u w:val="single"/>
              </w:rPr>
              <w:t>)</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Pr>
                <w:sz w:val="20"/>
                <w:szCs w:val="20"/>
                <w:u w:val="single"/>
              </w:rPr>
              <w:t>38,874</w:t>
            </w:r>
            <w:r w:rsidRPr="00DD0306">
              <w:rPr>
                <w:sz w:val="20"/>
                <w:szCs w:val="20"/>
                <w:u w:val="single"/>
              </w:rPr>
              <w:t xml:space="preserve"> </w:t>
            </w: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$27,60</w:t>
            </w:r>
            <w:r>
              <w:rPr>
                <w:sz w:val="20"/>
                <w:szCs w:val="20"/>
                <w:u w:val="single"/>
              </w:rPr>
              <w:t>0</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9</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Rate Base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$1,377,079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$345,002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$340,468 </w:t>
            </w:r>
          </w:p>
        </w:tc>
        <w:tc>
          <w:tcPr>
            <w:tcW w:w="1087"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66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$340,468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270"/>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087"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61"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416"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10</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Rate of Return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-1.87%</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7.65%</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jc w:val="right"/>
              <w:rPr>
                <w:sz w:val="20"/>
                <w:szCs w:val="20"/>
                <w:u w:val="double"/>
              </w:rPr>
            </w:pPr>
            <w:r>
              <w:rPr>
                <w:sz w:val="20"/>
                <w:szCs w:val="20"/>
                <w:u w:val="double"/>
              </w:rPr>
              <w:t>-3.31</w:t>
            </w:r>
            <w:r w:rsidRPr="00DD0306">
              <w:rPr>
                <w:sz w:val="20"/>
                <w:szCs w:val="20"/>
                <w:u w:val="double"/>
              </w:rPr>
              <w:t>%</w:t>
            </w:r>
          </w:p>
        </w:tc>
        <w:tc>
          <w:tcPr>
            <w:tcW w:w="1087"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61" w:type="dxa"/>
            <w:tcBorders>
              <w:top w:val="nil"/>
              <w:left w:val="nil"/>
              <w:bottom w:val="nil"/>
              <w:right w:val="nil"/>
            </w:tcBorders>
            <w:shd w:val="clear" w:color="000000" w:fill="FFFFFF"/>
            <w:noWrap/>
            <w:vAlign w:val="bottom"/>
            <w:hideMark/>
          </w:tcPr>
          <w:p w:rsidR="000D2331" w:rsidRPr="00DD0306" w:rsidRDefault="000D2331" w:rsidP="00D1658D">
            <w:pPr>
              <w:jc w:val="right"/>
              <w:rPr>
                <w:sz w:val="20"/>
                <w:szCs w:val="20"/>
                <w:u w:val="double"/>
              </w:rPr>
            </w:pPr>
            <w:r w:rsidRPr="00DD0306">
              <w:rPr>
                <w:sz w:val="20"/>
                <w:szCs w:val="20"/>
                <w:u w:val="double"/>
              </w:rPr>
              <w:t>8.11%</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087"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61"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tcPr>
          <w:p w:rsidR="000D2331" w:rsidRPr="00DD0306" w:rsidRDefault="000D2331" w:rsidP="00D1658D">
            <w:pPr>
              <w:rPr>
                <w:sz w:val="20"/>
                <w:szCs w:val="20"/>
              </w:rPr>
            </w:pPr>
          </w:p>
        </w:tc>
      </w:tr>
    </w:tbl>
    <w:p w:rsidR="008171BB" w:rsidRDefault="008171BB" w:rsidP="00E275D8">
      <w:pPr>
        <w:pStyle w:val="BodyText"/>
      </w:pPr>
    </w:p>
    <w:p w:rsidR="00B65D6F" w:rsidRDefault="00B65D6F" w:rsidP="00B65D6F">
      <w:pPr>
        <w:ind w:firstLine="720"/>
      </w:pPr>
      <w:r>
        <w:fldChar w:fldCharType="begin"/>
      </w:r>
      <w:r>
        <w:instrText xml:space="preserve"> TC "</w:instrText>
      </w:r>
      <w:bookmarkStart w:id="57" w:name="_Toc433269944"/>
      <w:bookmarkStart w:id="58" w:name="_Toc448761994"/>
      <w:bookmarkStart w:id="59" w:name="_Toc460399840"/>
      <w:bookmarkStart w:id="60" w:name="_Toc463857752"/>
      <w:bookmarkStart w:id="61" w:name="_Toc464661223"/>
      <w:r>
        <w:tab/>
        <w:instrText xml:space="preserve">Schedule No. 3-A Water </w:instrText>
      </w:r>
      <w:bookmarkEnd w:id="57"/>
      <w:bookmarkEnd w:id="58"/>
      <w:bookmarkEnd w:id="59"/>
      <w:bookmarkEnd w:id="60"/>
      <w:r w:rsidR="000C0A98">
        <w:instrText>Operating Income</w:instrText>
      </w:r>
      <w:bookmarkEnd w:id="61"/>
      <w:r>
        <w:instrText xml:space="preserve">" \l 1 </w:instrText>
      </w:r>
      <w:r>
        <w:fldChar w:fldCharType="end"/>
      </w:r>
    </w:p>
    <w:p w:rsidR="00257E5F" w:rsidRDefault="00257E5F" w:rsidP="00E275D8">
      <w:pPr>
        <w:pStyle w:val="BodyText"/>
        <w:sectPr w:rsidR="00257E5F" w:rsidSect="007762A7">
          <w:headerReference w:type="default" r:id="rId19"/>
          <w:pgSz w:w="15840" w:h="12240" w:orient="landscape" w:code="1"/>
          <w:pgMar w:top="1440" w:right="1584" w:bottom="1440" w:left="1152" w:header="720" w:footer="720" w:gutter="0"/>
          <w:cols w:space="720"/>
          <w:formProt w:val="0"/>
          <w:docGrid w:linePitch="360"/>
        </w:sectPr>
      </w:pPr>
    </w:p>
    <w:tbl>
      <w:tblPr>
        <w:tblW w:w="14075" w:type="dxa"/>
        <w:jc w:val="center"/>
        <w:tblInd w:w="263" w:type="dxa"/>
        <w:tblLook w:val="04A0" w:firstRow="1" w:lastRow="0" w:firstColumn="1" w:lastColumn="0" w:noHBand="0" w:noVBand="1"/>
      </w:tblPr>
      <w:tblGrid>
        <w:gridCol w:w="416"/>
        <w:gridCol w:w="2928"/>
        <w:gridCol w:w="1588"/>
        <w:gridCol w:w="1588"/>
        <w:gridCol w:w="1588"/>
        <w:gridCol w:w="1528"/>
        <w:gridCol w:w="1448"/>
        <w:gridCol w:w="1101"/>
        <w:gridCol w:w="1647"/>
        <w:gridCol w:w="278"/>
      </w:tblGrid>
      <w:tr w:rsidR="000D2331" w:rsidRPr="00DD0306" w:rsidTr="00D1658D">
        <w:trPr>
          <w:trHeight w:val="270"/>
          <w:jc w:val="center"/>
        </w:trPr>
        <w:tc>
          <w:tcPr>
            <w:tcW w:w="381" w:type="dxa"/>
            <w:tcBorders>
              <w:top w:val="single" w:sz="4" w:space="0" w:color="auto"/>
              <w:left w:val="single" w:sz="4" w:space="0" w:color="auto"/>
              <w:bottom w:val="nil"/>
              <w:right w:val="nil"/>
            </w:tcBorders>
            <w:shd w:val="clear" w:color="000000" w:fill="FFFFFF"/>
            <w:noWrap/>
            <w:vAlign w:val="bottom"/>
            <w:hideMark/>
          </w:tcPr>
          <w:p w:rsidR="000D2331" w:rsidRPr="00DD0306" w:rsidRDefault="000D2331" w:rsidP="00D1658D">
            <w:pPr>
              <w:rPr>
                <w:color w:val="000000"/>
                <w:sz w:val="20"/>
                <w:szCs w:val="20"/>
              </w:rPr>
            </w:pPr>
            <w:r>
              <w:lastRenderedPageBreak/>
              <w:br w:type="page"/>
            </w:r>
            <w:bookmarkStart w:id="62" w:name="RANGE!A39:J66"/>
            <w:bookmarkStart w:id="63" w:name="RANGE!A39:I66"/>
            <w:bookmarkEnd w:id="62"/>
            <w:r w:rsidRPr="00DD0306">
              <w:rPr>
                <w:color w:val="000000"/>
                <w:sz w:val="20"/>
                <w:szCs w:val="20"/>
              </w:rPr>
              <w:t> </w:t>
            </w:r>
            <w:bookmarkEnd w:id="63"/>
          </w:p>
        </w:tc>
        <w:tc>
          <w:tcPr>
            <w:tcW w:w="292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Ni Florida, LLC</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2748" w:type="dxa"/>
            <w:gridSpan w:val="2"/>
            <w:tcBorders>
              <w:top w:val="single" w:sz="4" w:space="0" w:color="auto"/>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Schedule No. 3-B</w:t>
            </w:r>
          </w:p>
        </w:tc>
        <w:tc>
          <w:tcPr>
            <w:tcW w:w="278" w:type="dxa"/>
            <w:tcBorders>
              <w:top w:val="single" w:sz="4" w:space="0" w:color="auto"/>
              <w:left w:val="nil"/>
              <w:bottom w:val="nil"/>
              <w:right w:val="single" w:sz="4" w:space="0" w:color="auto"/>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c>
          <w:tcPr>
            <w:tcW w:w="4516" w:type="dxa"/>
            <w:gridSpan w:val="2"/>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Statement of Wastewater Operations</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color w:val="FF0000"/>
                <w:sz w:val="20"/>
                <w:szCs w:val="20"/>
              </w:rPr>
            </w:pPr>
            <w:r w:rsidRPr="00DD0306">
              <w:rPr>
                <w:color w:val="FF0000"/>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48" w:type="dxa"/>
            <w:gridSpan w:val="2"/>
            <w:tcBorders>
              <w:top w:val="nil"/>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Docket No. 160030-WS</w:t>
            </w:r>
          </w:p>
        </w:tc>
        <w:tc>
          <w:tcPr>
            <w:tcW w:w="278"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r>
      <w:tr w:rsidR="000D2331" w:rsidRPr="00DD0306" w:rsidTr="00D1658D">
        <w:trPr>
          <w:trHeight w:val="270"/>
          <w:jc w:val="center"/>
        </w:trPr>
        <w:tc>
          <w:tcPr>
            <w:tcW w:w="381" w:type="dxa"/>
            <w:tcBorders>
              <w:top w:val="nil"/>
              <w:left w:val="single" w:sz="4" w:space="0" w:color="auto"/>
              <w:bottom w:val="single" w:sz="4" w:space="0" w:color="auto"/>
              <w:right w:val="nil"/>
            </w:tcBorders>
            <w:shd w:val="clear" w:color="000000" w:fill="FFFFFF"/>
            <w:noWrap/>
            <w:vAlign w:val="bottom"/>
            <w:hideMark/>
          </w:tcPr>
          <w:p w:rsidR="000D2331" w:rsidRPr="00DD0306" w:rsidRDefault="000D2331" w:rsidP="00D1658D">
            <w:pPr>
              <w:rPr>
                <w:color w:val="000000"/>
                <w:sz w:val="20"/>
                <w:szCs w:val="20"/>
              </w:rPr>
            </w:pPr>
            <w:r w:rsidRPr="00DD0306">
              <w:rPr>
                <w:color w:val="000000"/>
                <w:sz w:val="20"/>
                <w:szCs w:val="20"/>
              </w:rPr>
              <w:t> </w:t>
            </w:r>
          </w:p>
        </w:tc>
        <w:tc>
          <w:tcPr>
            <w:tcW w:w="29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Test Year Ended 12/31/15</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101"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47"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r>
      <w:tr w:rsidR="000D2331" w:rsidRPr="00DD0306" w:rsidTr="00D1658D">
        <w:trPr>
          <w:trHeight w:val="270"/>
          <w:jc w:val="center"/>
        </w:trPr>
        <w:tc>
          <w:tcPr>
            <w:tcW w:w="381" w:type="dxa"/>
            <w:tcBorders>
              <w:top w:val="nil"/>
              <w:left w:val="single" w:sz="4" w:space="0" w:color="auto"/>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Utility</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Adjusted</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Staff</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Staff</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c>
          <w:tcPr>
            <w:tcW w:w="278" w:type="dxa"/>
            <w:tcBorders>
              <w:top w:val="nil"/>
              <w:left w:val="nil"/>
              <w:bottom w:val="nil"/>
              <w:right w:val="single" w:sz="4" w:space="0" w:color="auto"/>
            </w:tcBorders>
            <w:shd w:val="clear" w:color="auto" w:fill="auto"/>
            <w:noWrap/>
            <w:vAlign w:val="bottom"/>
            <w:hideMark/>
          </w:tcPr>
          <w:p w:rsidR="000D2331" w:rsidRPr="00DD0306" w:rsidRDefault="000D2331" w:rsidP="00D1658D">
            <w:pPr>
              <w:rPr>
                <w:b/>
                <w:bCs/>
                <w:sz w:val="20"/>
                <w:szCs w:val="20"/>
              </w:rPr>
            </w:pPr>
            <w:r w:rsidRPr="00DD0306">
              <w:rPr>
                <w:b/>
                <w:bCs/>
                <w:sz w:val="20"/>
                <w:szCs w:val="20"/>
              </w:rPr>
              <w:t> </w:t>
            </w:r>
          </w:p>
        </w:tc>
      </w:tr>
      <w:tr w:rsidR="000D2331" w:rsidRPr="00DD0306" w:rsidTr="00D1658D">
        <w:trPr>
          <w:trHeight w:val="270"/>
          <w:jc w:val="center"/>
        </w:trPr>
        <w:tc>
          <w:tcPr>
            <w:tcW w:w="381" w:type="dxa"/>
            <w:tcBorders>
              <w:top w:val="nil"/>
              <w:left w:val="single" w:sz="4" w:space="0" w:color="auto"/>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Per</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Adjusted</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Revenue</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Revenue</w:t>
            </w:r>
          </w:p>
        </w:tc>
        <w:tc>
          <w:tcPr>
            <w:tcW w:w="278" w:type="dxa"/>
            <w:tcBorders>
              <w:top w:val="nil"/>
              <w:left w:val="nil"/>
              <w:bottom w:val="nil"/>
              <w:right w:val="single" w:sz="4" w:space="0" w:color="auto"/>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 </w:t>
            </w:r>
          </w:p>
        </w:tc>
      </w:tr>
      <w:tr w:rsidR="000D2331" w:rsidRPr="00DD0306" w:rsidTr="00D1658D">
        <w:trPr>
          <w:trHeight w:val="270"/>
          <w:jc w:val="center"/>
        </w:trPr>
        <w:tc>
          <w:tcPr>
            <w:tcW w:w="381" w:type="dxa"/>
            <w:tcBorders>
              <w:top w:val="nil"/>
              <w:left w:val="single" w:sz="4" w:space="0" w:color="auto"/>
              <w:bottom w:val="single" w:sz="4" w:space="0" w:color="auto"/>
              <w:right w:val="nil"/>
            </w:tcBorders>
            <w:shd w:val="clear" w:color="auto" w:fill="auto"/>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Description</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Utility</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ments</w:t>
            </w:r>
          </w:p>
        </w:tc>
        <w:tc>
          <w:tcPr>
            <w:tcW w:w="158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Per Utility</w:t>
            </w:r>
          </w:p>
        </w:tc>
        <w:tc>
          <w:tcPr>
            <w:tcW w:w="152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ments</w:t>
            </w:r>
          </w:p>
        </w:tc>
        <w:tc>
          <w:tcPr>
            <w:tcW w:w="1448"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Test Year</w:t>
            </w:r>
          </w:p>
        </w:tc>
        <w:tc>
          <w:tcPr>
            <w:tcW w:w="1101"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Increase</w:t>
            </w:r>
          </w:p>
        </w:tc>
        <w:tc>
          <w:tcPr>
            <w:tcW w:w="1647" w:type="dxa"/>
            <w:tcBorders>
              <w:top w:val="nil"/>
              <w:left w:val="nil"/>
              <w:bottom w:val="single" w:sz="4" w:space="0" w:color="auto"/>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Requirement</w:t>
            </w:r>
          </w:p>
        </w:tc>
        <w:tc>
          <w:tcPr>
            <w:tcW w:w="278" w:type="dxa"/>
            <w:tcBorders>
              <w:top w:val="nil"/>
              <w:left w:val="nil"/>
              <w:bottom w:val="single" w:sz="4" w:space="0" w:color="auto"/>
              <w:right w:val="single" w:sz="4" w:space="0" w:color="auto"/>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 </w:t>
            </w: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101"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47"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Revenues: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$1,929,738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$475,000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$2,404,738 </w:t>
            </w:r>
          </w:p>
        </w:tc>
        <w:tc>
          <w:tcPr>
            <w:tcW w:w="1528"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($4</w:t>
            </w:r>
            <w:r w:rsidR="0099537B">
              <w:rPr>
                <w:sz w:val="20"/>
                <w:szCs w:val="20"/>
                <w:u w:val="single"/>
              </w:rPr>
              <w:t>5</w:t>
            </w:r>
            <w:r w:rsidRPr="00DD0306">
              <w:rPr>
                <w:sz w:val="20"/>
                <w:szCs w:val="20"/>
                <w:u w:val="single"/>
              </w:rPr>
              <w:t>2,</w:t>
            </w:r>
            <w:r w:rsidR="0099537B">
              <w:rPr>
                <w:sz w:val="20"/>
                <w:szCs w:val="20"/>
                <w:u w:val="single"/>
              </w:rPr>
              <w:t>2</w:t>
            </w:r>
            <w:r w:rsidRPr="00DD0306">
              <w:rPr>
                <w:sz w:val="20"/>
                <w:szCs w:val="20"/>
                <w:u w:val="single"/>
              </w:rPr>
              <w:t>61)</w:t>
            </w:r>
          </w:p>
        </w:tc>
        <w:tc>
          <w:tcPr>
            <w:tcW w:w="1448"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$1,9</w:t>
            </w:r>
            <w:r w:rsidR="0099537B">
              <w:rPr>
                <w:sz w:val="20"/>
                <w:szCs w:val="20"/>
                <w:u w:val="single"/>
              </w:rPr>
              <w:t>5</w:t>
            </w:r>
            <w:r w:rsidRPr="00DD0306">
              <w:rPr>
                <w:sz w:val="20"/>
                <w:szCs w:val="20"/>
                <w:u w:val="single"/>
              </w:rPr>
              <w:t>2,</w:t>
            </w:r>
            <w:r w:rsidR="0099537B">
              <w:rPr>
                <w:sz w:val="20"/>
                <w:szCs w:val="20"/>
                <w:u w:val="single"/>
              </w:rPr>
              <w:t>4</w:t>
            </w:r>
            <w:r w:rsidRPr="00DD0306">
              <w:rPr>
                <w:sz w:val="20"/>
                <w:szCs w:val="20"/>
                <w:u w:val="single"/>
              </w:rPr>
              <w:t xml:space="preserve">77 </w:t>
            </w:r>
          </w:p>
        </w:tc>
        <w:tc>
          <w:tcPr>
            <w:tcW w:w="1101"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$3</w:t>
            </w:r>
            <w:r w:rsidR="0099537B">
              <w:rPr>
                <w:sz w:val="20"/>
                <w:szCs w:val="20"/>
                <w:u w:val="single"/>
              </w:rPr>
              <w:t>11</w:t>
            </w:r>
            <w:r>
              <w:rPr>
                <w:sz w:val="20"/>
                <w:szCs w:val="20"/>
                <w:u w:val="single"/>
              </w:rPr>
              <w:t>,</w:t>
            </w:r>
            <w:r w:rsidR="0099537B">
              <w:rPr>
                <w:sz w:val="20"/>
                <w:szCs w:val="20"/>
                <w:u w:val="single"/>
              </w:rPr>
              <w:t>0</w:t>
            </w:r>
            <w:r>
              <w:rPr>
                <w:sz w:val="20"/>
                <w:szCs w:val="20"/>
                <w:u w:val="single"/>
              </w:rPr>
              <w:t>50</w:t>
            </w:r>
            <w:r w:rsidRPr="00DD0306">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$2,2</w:t>
            </w:r>
            <w:r>
              <w:rPr>
                <w:sz w:val="20"/>
                <w:szCs w:val="20"/>
                <w:u w:val="single"/>
              </w:rPr>
              <w:t>63,527</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w:t>
            </w:r>
            <w:r w:rsidR="0099537B">
              <w:rPr>
                <w:sz w:val="20"/>
                <w:szCs w:val="20"/>
              </w:rPr>
              <w:t>5.93</w:t>
            </w:r>
            <w:r w:rsidRPr="00DD0306">
              <w:rPr>
                <w:sz w:val="20"/>
                <w:szCs w:val="20"/>
              </w:rPr>
              <w:t>%</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Expenses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2</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Operation &amp; Maintenance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1,515,833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65,633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1,581,466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w:t>
            </w:r>
            <w:r>
              <w:rPr>
                <w:sz w:val="20"/>
                <w:szCs w:val="20"/>
              </w:rPr>
              <w:t>203,345</w:t>
            </w:r>
            <w:r w:rsidRPr="00DD0306">
              <w:rPr>
                <w:sz w:val="20"/>
                <w:szCs w:val="20"/>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Pr>
                <w:sz w:val="20"/>
                <w:szCs w:val="20"/>
              </w:rPr>
              <w:t>1,378,121</w:t>
            </w:r>
            <w:r w:rsidRPr="00DD0306">
              <w:rPr>
                <w:sz w:val="20"/>
                <w:szCs w:val="20"/>
              </w:rPr>
              <w:t xml:space="preserve"> </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w:t>
            </w:r>
            <w:r>
              <w:rPr>
                <w:sz w:val="20"/>
                <w:szCs w:val="20"/>
              </w:rPr>
              <w:t>378,121</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3</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Depreciation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166,265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18,132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184,397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w:t>
            </w:r>
            <w:r>
              <w:rPr>
                <w:sz w:val="20"/>
                <w:szCs w:val="20"/>
              </w:rPr>
              <w:t>735</w:t>
            </w:r>
            <w:r w:rsidRPr="00DD0306">
              <w:rPr>
                <w:sz w:val="20"/>
                <w:szCs w:val="20"/>
              </w:rPr>
              <w:t>)</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18</w:t>
            </w:r>
            <w:r>
              <w:rPr>
                <w:sz w:val="20"/>
                <w:szCs w:val="20"/>
              </w:rPr>
              <w:t>3,622</w:t>
            </w:r>
            <w:r w:rsidRPr="00DD0306">
              <w:rPr>
                <w:sz w:val="20"/>
                <w:szCs w:val="20"/>
              </w:rPr>
              <w:t xml:space="preserve"> </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18</w:t>
            </w:r>
            <w:r>
              <w:rPr>
                <w:sz w:val="20"/>
                <w:szCs w:val="20"/>
              </w:rPr>
              <w:t>3,662</w:t>
            </w:r>
            <w:r w:rsidRPr="00DD0306">
              <w:rPr>
                <w:sz w:val="20"/>
                <w:szCs w:val="20"/>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4</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Amortization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(2,845)</w:t>
            </w: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(2,845)</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(2,845)</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5</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Taxes Other Than Income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164,261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25,939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190,200 </w:t>
            </w:r>
          </w:p>
        </w:tc>
        <w:tc>
          <w:tcPr>
            <w:tcW w:w="1528" w:type="dxa"/>
            <w:tcBorders>
              <w:top w:val="nil"/>
              <w:left w:val="nil"/>
              <w:bottom w:val="nil"/>
              <w:right w:val="nil"/>
            </w:tcBorders>
            <w:shd w:val="clear" w:color="auto" w:fill="auto"/>
            <w:noWrap/>
            <w:vAlign w:val="bottom"/>
            <w:hideMark/>
          </w:tcPr>
          <w:p w:rsidR="000D2331" w:rsidRPr="00DD0306" w:rsidRDefault="0099537B" w:rsidP="0099537B">
            <w:pPr>
              <w:jc w:val="right"/>
              <w:rPr>
                <w:sz w:val="20"/>
                <w:szCs w:val="20"/>
              </w:rPr>
            </w:pPr>
            <w:r>
              <w:rPr>
                <w:sz w:val="20"/>
                <w:szCs w:val="20"/>
              </w:rPr>
              <w:t>(11</w:t>
            </w:r>
            <w:r w:rsidR="000D2331" w:rsidRPr="00DD0306">
              <w:rPr>
                <w:sz w:val="20"/>
                <w:szCs w:val="20"/>
              </w:rPr>
              <w:t>,</w:t>
            </w:r>
            <w:r>
              <w:rPr>
                <w:sz w:val="20"/>
                <w:szCs w:val="20"/>
              </w:rPr>
              <w:t>693</w:t>
            </w:r>
            <w:r w:rsidR="000D2331" w:rsidRPr="00DD0306">
              <w:rPr>
                <w:sz w:val="20"/>
                <w:szCs w:val="20"/>
              </w:rPr>
              <w:t>)</w:t>
            </w:r>
          </w:p>
        </w:tc>
        <w:tc>
          <w:tcPr>
            <w:tcW w:w="1448" w:type="dxa"/>
            <w:tcBorders>
              <w:top w:val="nil"/>
              <w:left w:val="nil"/>
              <w:bottom w:val="nil"/>
              <w:right w:val="nil"/>
            </w:tcBorders>
            <w:shd w:val="clear" w:color="auto" w:fill="auto"/>
            <w:noWrap/>
            <w:vAlign w:val="bottom"/>
            <w:hideMark/>
          </w:tcPr>
          <w:p w:rsidR="000D2331" w:rsidRPr="00DD0306" w:rsidRDefault="00093B0A" w:rsidP="00D1658D">
            <w:pPr>
              <w:jc w:val="right"/>
              <w:rPr>
                <w:sz w:val="20"/>
                <w:szCs w:val="20"/>
              </w:rPr>
            </w:pPr>
            <w:r>
              <w:rPr>
                <w:sz w:val="20"/>
                <w:szCs w:val="20"/>
              </w:rPr>
              <w:t>178,507</w:t>
            </w:r>
            <w:r w:rsidR="000D2331" w:rsidRPr="00DD0306">
              <w:rPr>
                <w:sz w:val="20"/>
                <w:szCs w:val="20"/>
              </w:rPr>
              <w:t xml:space="preserve"> </w:t>
            </w:r>
          </w:p>
        </w:tc>
        <w:tc>
          <w:tcPr>
            <w:tcW w:w="1101" w:type="dxa"/>
            <w:tcBorders>
              <w:top w:val="nil"/>
              <w:left w:val="nil"/>
              <w:bottom w:val="nil"/>
              <w:right w:val="nil"/>
            </w:tcBorders>
            <w:shd w:val="clear" w:color="auto" w:fill="auto"/>
            <w:noWrap/>
            <w:vAlign w:val="bottom"/>
            <w:hideMark/>
          </w:tcPr>
          <w:p w:rsidR="000D2331" w:rsidRPr="00DD0306" w:rsidRDefault="0099537B" w:rsidP="0099537B">
            <w:pPr>
              <w:jc w:val="right"/>
              <w:rPr>
                <w:sz w:val="20"/>
                <w:szCs w:val="20"/>
              </w:rPr>
            </w:pPr>
            <w:r>
              <w:rPr>
                <w:sz w:val="20"/>
                <w:szCs w:val="20"/>
              </w:rPr>
              <w:t>13</w:t>
            </w:r>
            <w:r w:rsidR="000D2331" w:rsidRPr="00DD0306">
              <w:rPr>
                <w:sz w:val="20"/>
                <w:szCs w:val="20"/>
              </w:rPr>
              <w:t>,</w:t>
            </w:r>
            <w:r>
              <w:rPr>
                <w:sz w:val="20"/>
                <w:szCs w:val="20"/>
              </w:rPr>
              <w:t>997</w:t>
            </w:r>
            <w:r w:rsidR="000D2331" w:rsidRPr="00DD0306">
              <w:rPr>
                <w:sz w:val="20"/>
                <w:szCs w:val="20"/>
              </w:rPr>
              <w:t xml:space="preserve">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19</w:t>
            </w:r>
            <w:r>
              <w:rPr>
                <w:sz w:val="20"/>
                <w:szCs w:val="20"/>
              </w:rPr>
              <w:t>2</w:t>
            </w:r>
            <w:r w:rsidRPr="00DD0306">
              <w:rPr>
                <w:sz w:val="20"/>
                <w:szCs w:val="20"/>
              </w:rPr>
              <w:t>,</w:t>
            </w:r>
            <w:r>
              <w:rPr>
                <w:sz w:val="20"/>
                <w:szCs w:val="20"/>
              </w:rPr>
              <w:t>504</w:t>
            </w:r>
            <w:r w:rsidRPr="00DD0306">
              <w:rPr>
                <w:sz w:val="20"/>
                <w:szCs w:val="20"/>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6</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xml:space="preserve">    Income Taxes</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47,244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99,746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146,990 </w:t>
            </w:r>
          </w:p>
        </w:tc>
        <w:tc>
          <w:tcPr>
            <w:tcW w:w="1528" w:type="dxa"/>
            <w:tcBorders>
              <w:top w:val="nil"/>
              <w:left w:val="nil"/>
              <w:bottom w:val="nil"/>
              <w:right w:val="nil"/>
            </w:tcBorders>
            <w:shd w:val="clear" w:color="auto" w:fill="auto"/>
            <w:noWrap/>
            <w:vAlign w:val="bottom"/>
            <w:hideMark/>
          </w:tcPr>
          <w:p w:rsidR="000D2331" w:rsidRPr="00DD0306" w:rsidRDefault="0099537B" w:rsidP="0099537B">
            <w:pPr>
              <w:jc w:val="right"/>
              <w:rPr>
                <w:sz w:val="20"/>
                <w:szCs w:val="20"/>
                <w:u w:val="single"/>
              </w:rPr>
            </w:pPr>
            <w:r>
              <w:rPr>
                <w:sz w:val="20"/>
                <w:szCs w:val="20"/>
                <w:u w:val="single"/>
              </w:rPr>
              <w:t>(68</w:t>
            </w:r>
            <w:r w:rsidR="000D2331">
              <w:rPr>
                <w:sz w:val="20"/>
                <w:szCs w:val="20"/>
                <w:u w:val="single"/>
              </w:rPr>
              <w:t>,</w:t>
            </w:r>
            <w:r>
              <w:rPr>
                <w:sz w:val="20"/>
                <w:szCs w:val="20"/>
                <w:u w:val="single"/>
              </w:rPr>
              <w:t>101</w:t>
            </w:r>
            <w:r w:rsidR="000D2331"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93B0A" w:rsidP="00093B0A">
            <w:pPr>
              <w:jc w:val="right"/>
              <w:rPr>
                <w:sz w:val="20"/>
                <w:szCs w:val="20"/>
                <w:u w:val="single"/>
              </w:rPr>
            </w:pPr>
            <w:r>
              <w:rPr>
                <w:sz w:val="20"/>
                <w:szCs w:val="20"/>
                <w:u w:val="single"/>
              </w:rPr>
              <w:t>78</w:t>
            </w:r>
            <w:r w:rsidR="000D2331">
              <w:rPr>
                <w:sz w:val="20"/>
                <w:szCs w:val="20"/>
                <w:u w:val="single"/>
              </w:rPr>
              <w:t>,</w:t>
            </w:r>
            <w:r>
              <w:rPr>
                <w:sz w:val="20"/>
                <w:szCs w:val="20"/>
                <w:u w:val="single"/>
              </w:rPr>
              <w:t>889</w:t>
            </w:r>
            <w:r w:rsidR="000D2331" w:rsidRPr="00DD0306">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1</w:t>
            </w:r>
            <w:r w:rsidR="0099537B">
              <w:rPr>
                <w:sz w:val="20"/>
                <w:szCs w:val="20"/>
                <w:u w:val="single"/>
              </w:rPr>
              <w:t>11</w:t>
            </w:r>
            <w:r>
              <w:rPr>
                <w:sz w:val="20"/>
                <w:szCs w:val="20"/>
                <w:u w:val="single"/>
              </w:rPr>
              <w:t>,</w:t>
            </w:r>
            <w:r w:rsidR="0099537B">
              <w:rPr>
                <w:sz w:val="20"/>
                <w:szCs w:val="20"/>
                <w:u w:val="single"/>
              </w:rPr>
              <w:t>781</w:t>
            </w:r>
            <w:r w:rsidRPr="00DD0306">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190,6</w:t>
            </w:r>
            <w:r>
              <w:rPr>
                <w:sz w:val="20"/>
                <w:szCs w:val="20"/>
                <w:u w:val="single"/>
              </w:rPr>
              <w:t>70</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7</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Total Operating Expense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$1,893,603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$209,450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$2,103,053 </w:t>
            </w:r>
          </w:p>
        </w:tc>
        <w:tc>
          <w:tcPr>
            <w:tcW w:w="1528"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($2</w:t>
            </w:r>
            <w:r w:rsidR="0099537B">
              <w:rPr>
                <w:sz w:val="20"/>
                <w:szCs w:val="20"/>
                <w:u w:val="single"/>
              </w:rPr>
              <w:t>86</w:t>
            </w:r>
            <w:r>
              <w:rPr>
                <w:sz w:val="20"/>
                <w:szCs w:val="20"/>
                <w:u w:val="single"/>
              </w:rPr>
              <w:t>,</w:t>
            </w:r>
            <w:r w:rsidR="0099537B">
              <w:rPr>
                <w:sz w:val="20"/>
                <w:szCs w:val="20"/>
                <w:u w:val="single"/>
              </w:rPr>
              <w:t>719</w:t>
            </w:r>
            <w:r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D2331" w:rsidP="0088268C">
            <w:pPr>
              <w:jc w:val="right"/>
              <w:rPr>
                <w:sz w:val="20"/>
                <w:szCs w:val="20"/>
                <w:u w:val="single"/>
              </w:rPr>
            </w:pPr>
            <w:r w:rsidRPr="00DD0306">
              <w:rPr>
                <w:sz w:val="20"/>
                <w:szCs w:val="20"/>
                <w:u w:val="single"/>
              </w:rPr>
              <w:t>$</w:t>
            </w:r>
            <w:r w:rsidR="0088268C">
              <w:rPr>
                <w:sz w:val="20"/>
                <w:szCs w:val="20"/>
                <w:u w:val="single"/>
              </w:rPr>
              <w:t>1,816,334</w:t>
            </w:r>
          </w:p>
        </w:tc>
        <w:tc>
          <w:tcPr>
            <w:tcW w:w="1101"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$1</w:t>
            </w:r>
            <w:r w:rsidR="0099537B">
              <w:rPr>
                <w:sz w:val="20"/>
                <w:szCs w:val="20"/>
                <w:u w:val="single"/>
              </w:rPr>
              <w:t>25</w:t>
            </w:r>
            <w:r>
              <w:rPr>
                <w:sz w:val="20"/>
                <w:szCs w:val="20"/>
                <w:u w:val="single"/>
              </w:rPr>
              <w:t>,7</w:t>
            </w:r>
            <w:r w:rsidR="0099537B">
              <w:rPr>
                <w:sz w:val="20"/>
                <w:szCs w:val="20"/>
                <w:u w:val="single"/>
              </w:rPr>
              <w:t>78</w:t>
            </w:r>
            <w:r w:rsidRPr="00DD0306">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$1,9</w:t>
            </w:r>
            <w:r>
              <w:rPr>
                <w:sz w:val="20"/>
                <w:szCs w:val="20"/>
                <w:u w:val="single"/>
              </w:rPr>
              <w:t>42,112</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single"/>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8</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Operating Income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$36,135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$265,550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$301,685 </w:t>
            </w:r>
          </w:p>
        </w:tc>
        <w:tc>
          <w:tcPr>
            <w:tcW w:w="1528"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($1</w:t>
            </w:r>
            <w:r w:rsidR="0099537B">
              <w:rPr>
                <w:sz w:val="20"/>
                <w:szCs w:val="20"/>
                <w:u w:val="single"/>
              </w:rPr>
              <w:t>65</w:t>
            </w:r>
            <w:r>
              <w:rPr>
                <w:sz w:val="20"/>
                <w:szCs w:val="20"/>
                <w:u w:val="single"/>
              </w:rPr>
              <w:t>,</w:t>
            </w:r>
            <w:r w:rsidR="0099537B">
              <w:rPr>
                <w:sz w:val="20"/>
                <w:szCs w:val="20"/>
                <w:u w:val="single"/>
              </w:rPr>
              <w:t>542</w:t>
            </w:r>
            <w:r w:rsidRPr="00DD0306">
              <w:rPr>
                <w:sz w:val="20"/>
                <w:szCs w:val="20"/>
                <w:u w:val="single"/>
              </w:rPr>
              <w:t>)</w:t>
            </w:r>
          </w:p>
        </w:tc>
        <w:tc>
          <w:tcPr>
            <w:tcW w:w="1448" w:type="dxa"/>
            <w:tcBorders>
              <w:top w:val="nil"/>
              <w:left w:val="nil"/>
              <w:bottom w:val="nil"/>
              <w:right w:val="nil"/>
            </w:tcBorders>
            <w:shd w:val="clear" w:color="auto" w:fill="auto"/>
            <w:noWrap/>
            <w:vAlign w:val="bottom"/>
            <w:hideMark/>
          </w:tcPr>
          <w:p w:rsidR="000D2331" w:rsidRPr="00DD0306" w:rsidRDefault="000D2331" w:rsidP="0099537B">
            <w:pPr>
              <w:jc w:val="right"/>
              <w:rPr>
                <w:sz w:val="20"/>
                <w:szCs w:val="20"/>
                <w:u w:val="single"/>
              </w:rPr>
            </w:pPr>
            <w:r w:rsidRPr="00DD0306">
              <w:rPr>
                <w:sz w:val="20"/>
                <w:szCs w:val="20"/>
                <w:u w:val="single"/>
              </w:rPr>
              <w:t>$1</w:t>
            </w:r>
            <w:r w:rsidR="0099537B">
              <w:rPr>
                <w:sz w:val="20"/>
                <w:szCs w:val="20"/>
                <w:u w:val="single"/>
              </w:rPr>
              <w:t>36,143</w:t>
            </w:r>
            <w:r w:rsidRPr="00DD0306">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w:t>
            </w:r>
            <w:r w:rsidR="0099537B">
              <w:rPr>
                <w:sz w:val="20"/>
                <w:szCs w:val="20"/>
                <w:u w:val="single"/>
              </w:rPr>
              <w:t>185,272</w:t>
            </w:r>
            <w:r w:rsidRPr="00DD0306">
              <w:rPr>
                <w:sz w:val="20"/>
                <w:szCs w:val="20"/>
                <w:u w:val="single"/>
              </w:rPr>
              <w:t xml:space="preserve"> </w:t>
            </w: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$321,</w:t>
            </w:r>
            <w:r>
              <w:rPr>
                <w:sz w:val="20"/>
                <w:szCs w:val="20"/>
                <w:u w:val="single"/>
              </w:rPr>
              <w:t>415</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9</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Rate Base</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$9,373,401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 xml:space="preserve">$3,943,297 </w:t>
            </w:r>
          </w:p>
        </w:tc>
        <w:tc>
          <w:tcPr>
            <w:tcW w:w="152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44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$3,964,</w:t>
            </w:r>
            <w:r>
              <w:rPr>
                <w:sz w:val="20"/>
                <w:szCs w:val="20"/>
                <w:u w:val="single"/>
              </w:rPr>
              <w:t>854</w:t>
            </w:r>
            <w:r w:rsidRPr="00DD0306">
              <w:rPr>
                <w:sz w:val="20"/>
                <w:szCs w:val="20"/>
                <w:u w:val="single"/>
              </w:rPr>
              <w:t xml:space="preserve"> </w:t>
            </w:r>
          </w:p>
        </w:tc>
        <w:tc>
          <w:tcPr>
            <w:tcW w:w="1101"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647"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$3,964,</w:t>
            </w:r>
            <w:r>
              <w:rPr>
                <w:sz w:val="20"/>
                <w:szCs w:val="20"/>
                <w:u w:val="single"/>
              </w:rPr>
              <w:t>854</w:t>
            </w:r>
            <w:r w:rsidRPr="00DD0306">
              <w:rPr>
                <w:sz w:val="20"/>
                <w:szCs w:val="20"/>
                <w:u w:val="single"/>
              </w:rPr>
              <w:t xml:space="preserve">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315"/>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101"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47"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rPr>
            </w:pPr>
          </w:p>
        </w:tc>
      </w:tr>
      <w:tr w:rsidR="000D2331" w:rsidRPr="00DD0306" w:rsidTr="00D1658D">
        <w:trPr>
          <w:trHeight w:val="270"/>
          <w:jc w:val="center"/>
        </w:trPr>
        <w:tc>
          <w:tcPr>
            <w:tcW w:w="381"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10</w:t>
            </w:r>
          </w:p>
        </w:tc>
        <w:tc>
          <w:tcPr>
            <w:tcW w:w="292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Rate of Return</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0.39%</w:t>
            </w:r>
          </w:p>
        </w:tc>
        <w:tc>
          <w:tcPr>
            <w:tcW w:w="15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588"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7.65%</w:t>
            </w:r>
          </w:p>
        </w:tc>
        <w:tc>
          <w:tcPr>
            <w:tcW w:w="152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nil"/>
              <w:right w:val="nil"/>
            </w:tcBorders>
            <w:shd w:val="clear" w:color="000000" w:fill="FFFFFF"/>
            <w:noWrap/>
            <w:vAlign w:val="bottom"/>
            <w:hideMark/>
          </w:tcPr>
          <w:p w:rsidR="000D2331" w:rsidRPr="00DD0306" w:rsidRDefault="0099537B" w:rsidP="00D1658D">
            <w:pPr>
              <w:jc w:val="right"/>
              <w:rPr>
                <w:sz w:val="20"/>
                <w:szCs w:val="20"/>
                <w:u w:val="double"/>
              </w:rPr>
            </w:pPr>
            <w:r>
              <w:rPr>
                <w:sz w:val="20"/>
                <w:szCs w:val="20"/>
                <w:u w:val="double"/>
              </w:rPr>
              <w:t>3.43</w:t>
            </w:r>
            <w:r w:rsidR="000D2331" w:rsidRPr="00DD0306">
              <w:rPr>
                <w:sz w:val="20"/>
                <w:szCs w:val="20"/>
                <w:u w:val="double"/>
              </w:rPr>
              <w:t>%</w:t>
            </w:r>
          </w:p>
        </w:tc>
        <w:tc>
          <w:tcPr>
            <w:tcW w:w="1101"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47" w:type="dxa"/>
            <w:tcBorders>
              <w:top w:val="nil"/>
              <w:left w:val="nil"/>
              <w:bottom w:val="nil"/>
              <w:right w:val="nil"/>
            </w:tcBorders>
            <w:shd w:val="clear" w:color="000000" w:fill="FFFFFF"/>
            <w:noWrap/>
            <w:vAlign w:val="bottom"/>
            <w:hideMark/>
          </w:tcPr>
          <w:p w:rsidR="000D2331" w:rsidRPr="00DD0306" w:rsidRDefault="000D2331" w:rsidP="00D1658D">
            <w:pPr>
              <w:jc w:val="right"/>
              <w:rPr>
                <w:sz w:val="20"/>
                <w:szCs w:val="20"/>
                <w:u w:val="double"/>
              </w:rPr>
            </w:pPr>
            <w:r w:rsidRPr="00DD0306">
              <w:rPr>
                <w:sz w:val="20"/>
                <w:szCs w:val="20"/>
                <w:u w:val="double"/>
              </w:rPr>
              <w:t>8.11%</w:t>
            </w:r>
          </w:p>
        </w:tc>
        <w:tc>
          <w:tcPr>
            <w:tcW w:w="278" w:type="dxa"/>
            <w:tcBorders>
              <w:top w:val="nil"/>
              <w:left w:val="nil"/>
              <w:bottom w:val="nil"/>
              <w:right w:val="single" w:sz="4" w:space="0" w:color="auto"/>
            </w:tcBorders>
            <w:shd w:val="clear" w:color="000000" w:fill="FFFFFF"/>
            <w:noWrap/>
            <w:vAlign w:val="bottom"/>
          </w:tcPr>
          <w:p w:rsidR="000D2331" w:rsidRPr="00DD0306" w:rsidRDefault="000D2331" w:rsidP="00D1658D">
            <w:pPr>
              <w:rPr>
                <w:sz w:val="20"/>
                <w:szCs w:val="20"/>
                <w:u w:val="double"/>
              </w:rPr>
            </w:pPr>
          </w:p>
        </w:tc>
      </w:tr>
      <w:tr w:rsidR="000D2331" w:rsidRPr="00DD0306" w:rsidTr="00D1658D">
        <w:trPr>
          <w:trHeight w:val="315"/>
          <w:jc w:val="center"/>
        </w:trPr>
        <w:tc>
          <w:tcPr>
            <w:tcW w:w="381" w:type="dxa"/>
            <w:tcBorders>
              <w:top w:val="nil"/>
              <w:left w:val="single" w:sz="4" w:space="0" w:color="auto"/>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9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52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44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101"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647"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278" w:type="dxa"/>
            <w:tcBorders>
              <w:top w:val="nil"/>
              <w:left w:val="nil"/>
              <w:bottom w:val="single" w:sz="4" w:space="0" w:color="auto"/>
              <w:right w:val="single" w:sz="4" w:space="0" w:color="auto"/>
            </w:tcBorders>
            <w:shd w:val="clear" w:color="000000" w:fill="FFFFFF"/>
            <w:noWrap/>
            <w:vAlign w:val="bottom"/>
          </w:tcPr>
          <w:p w:rsidR="000D2331" w:rsidRPr="00DD0306" w:rsidRDefault="000D2331" w:rsidP="00D1658D">
            <w:pPr>
              <w:rPr>
                <w:sz w:val="20"/>
                <w:szCs w:val="20"/>
              </w:rPr>
            </w:pPr>
          </w:p>
        </w:tc>
      </w:tr>
    </w:tbl>
    <w:p w:rsidR="00257E5F" w:rsidRDefault="00257E5F" w:rsidP="00E275D8">
      <w:pPr>
        <w:pStyle w:val="BodyText"/>
      </w:pPr>
    </w:p>
    <w:p w:rsidR="00B65D6F" w:rsidRDefault="00B65D6F" w:rsidP="00B65D6F">
      <w:pPr>
        <w:ind w:firstLine="720"/>
      </w:pPr>
      <w:r>
        <w:fldChar w:fldCharType="begin"/>
      </w:r>
      <w:r>
        <w:instrText xml:space="preserve"> TC "</w:instrText>
      </w:r>
      <w:bookmarkStart w:id="64" w:name="_Toc464661224"/>
      <w:r>
        <w:tab/>
        <w:instrText>Schedule No. 3-B Wastewate</w:instrText>
      </w:r>
      <w:r w:rsidR="000C0A98">
        <w:instrText xml:space="preserve">r Operating </w:instrText>
      </w:r>
      <w:r>
        <w:instrText>I</w:instrText>
      </w:r>
      <w:r w:rsidR="000C0A98">
        <w:instrText>ncome</w:instrText>
      </w:r>
      <w:bookmarkEnd w:id="64"/>
      <w:r>
        <w:instrText xml:space="preserve">" \l 1 </w:instrText>
      </w:r>
      <w:r>
        <w:fldChar w:fldCharType="end"/>
      </w:r>
    </w:p>
    <w:p w:rsidR="00C00536" w:rsidRDefault="00C00536" w:rsidP="00E275D8">
      <w:pPr>
        <w:pStyle w:val="BodyText"/>
        <w:sectPr w:rsidR="00C00536" w:rsidSect="007762A7">
          <w:headerReference w:type="default" r:id="rId20"/>
          <w:pgSz w:w="15840" w:h="12240" w:orient="landscape" w:code="1"/>
          <w:pgMar w:top="1440" w:right="1584" w:bottom="1440" w:left="1152" w:header="720" w:footer="720" w:gutter="0"/>
          <w:cols w:space="720"/>
          <w:formProt w:val="0"/>
          <w:docGrid w:linePitch="360"/>
        </w:sectPr>
      </w:pPr>
    </w:p>
    <w:tbl>
      <w:tblPr>
        <w:tblW w:w="10313" w:type="dxa"/>
        <w:jc w:val="center"/>
        <w:tblInd w:w="209" w:type="dxa"/>
        <w:tblLook w:val="04A0" w:firstRow="1" w:lastRow="0" w:firstColumn="1" w:lastColumn="0" w:noHBand="0" w:noVBand="1"/>
      </w:tblPr>
      <w:tblGrid>
        <w:gridCol w:w="402"/>
        <w:gridCol w:w="6288"/>
        <w:gridCol w:w="1436"/>
        <w:gridCol w:w="1872"/>
        <w:gridCol w:w="315"/>
      </w:tblGrid>
      <w:tr w:rsidR="000D2331" w:rsidRPr="00DD0306" w:rsidTr="00D1658D">
        <w:trPr>
          <w:trHeight w:val="270"/>
          <w:jc w:val="center"/>
        </w:trPr>
        <w:tc>
          <w:tcPr>
            <w:tcW w:w="402" w:type="dxa"/>
            <w:tcBorders>
              <w:top w:val="single" w:sz="4" w:space="0" w:color="auto"/>
              <w:left w:val="single" w:sz="4" w:space="0" w:color="auto"/>
              <w:bottom w:val="nil"/>
              <w:right w:val="nil"/>
            </w:tcBorders>
            <w:shd w:val="clear" w:color="000000" w:fill="FFFFFF"/>
            <w:noWrap/>
            <w:vAlign w:val="bottom"/>
            <w:hideMark/>
          </w:tcPr>
          <w:p w:rsidR="000D2331" w:rsidRPr="00DD0306" w:rsidRDefault="000D2331" w:rsidP="00D1658D">
            <w:pPr>
              <w:rPr>
                <w:rFonts w:ascii="Arial" w:hAnsi="Arial" w:cs="Arial"/>
                <w:sz w:val="20"/>
                <w:szCs w:val="20"/>
              </w:rPr>
            </w:pPr>
            <w:bookmarkStart w:id="65" w:name="RANGE!B34:E64"/>
            <w:r w:rsidRPr="00DD0306">
              <w:rPr>
                <w:rFonts w:ascii="Arial" w:hAnsi="Arial" w:cs="Arial"/>
                <w:sz w:val="20"/>
                <w:szCs w:val="20"/>
              </w:rPr>
              <w:lastRenderedPageBreak/>
              <w:t> </w:t>
            </w:r>
            <w:bookmarkEnd w:id="65"/>
          </w:p>
        </w:tc>
        <w:tc>
          <w:tcPr>
            <w:tcW w:w="6288" w:type="dxa"/>
            <w:tcBorders>
              <w:top w:val="single" w:sz="4" w:space="0" w:color="auto"/>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Ni Florida, LLC</w:t>
            </w:r>
          </w:p>
        </w:tc>
        <w:tc>
          <w:tcPr>
            <w:tcW w:w="3308" w:type="dxa"/>
            <w:gridSpan w:val="2"/>
            <w:tcBorders>
              <w:top w:val="single" w:sz="4" w:space="0" w:color="auto"/>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Schedule 3-C</w:t>
            </w:r>
          </w:p>
        </w:tc>
        <w:tc>
          <w:tcPr>
            <w:tcW w:w="315" w:type="dxa"/>
            <w:tcBorders>
              <w:top w:val="single" w:sz="4" w:space="0" w:color="auto"/>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6288"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Adjustment to Operating Income</w:t>
            </w:r>
          </w:p>
        </w:tc>
        <w:tc>
          <w:tcPr>
            <w:tcW w:w="3308" w:type="dxa"/>
            <w:gridSpan w:val="2"/>
            <w:tcBorders>
              <w:top w:val="nil"/>
              <w:left w:val="nil"/>
              <w:bottom w:val="nil"/>
              <w:right w:val="nil"/>
            </w:tcBorders>
            <w:shd w:val="clear" w:color="000000" w:fill="FFFFFF"/>
            <w:noWrap/>
            <w:vAlign w:val="bottom"/>
            <w:hideMark/>
          </w:tcPr>
          <w:p w:rsidR="000D2331" w:rsidRPr="00DD0306" w:rsidRDefault="000D2331" w:rsidP="00D1658D">
            <w:pPr>
              <w:jc w:val="right"/>
              <w:rPr>
                <w:b/>
                <w:bCs/>
                <w:sz w:val="20"/>
                <w:szCs w:val="20"/>
              </w:rPr>
            </w:pPr>
            <w:r w:rsidRPr="00DD0306">
              <w:rPr>
                <w:b/>
                <w:bCs/>
                <w:sz w:val="20"/>
                <w:szCs w:val="20"/>
              </w:rPr>
              <w:t>Docket No. 160030-WS</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62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Test Year Ended 12/31/15</w:t>
            </w:r>
          </w:p>
        </w:tc>
        <w:tc>
          <w:tcPr>
            <w:tcW w:w="1436"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1872" w:type="dxa"/>
            <w:tcBorders>
              <w:top w:val="nil"/>
              <w:left w:val="nil"/>
              <w:bottom w:val="nil"/>
              <w:right w:val="nil"/>
            </w:tcBorders>
            <w:shd w:val="clear" w:color="000000" w:fill="FFFFFF"/>
            <w:noWrap/>
            <w:vAlign w:val="bottom"/>
            <w:hideMark/>
          </w:tcPr>
          <w:p w:rsidR="000D2331" w:rsidRPr="00DD0306" w:rsidRDefault="000D2331" w:rsidP="00D1658D">
            <w:pPr>
              <w:rPr>
                <w:b/>
                <w:bCs/>
                <w:sz w:val="20"/>
                <w:szCs w:val="20"/>
              </w:rPr>
            </w:pPr>
            <w:r w:rsidRPr="00DD0306">
              <w:rPr>
                <w:b/>
                <w:bCs/>
                <w:sz w:val="20"/>
                <w:szCs w:val="20"/>
              </w:rPr>
              <w:t> </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single" w:sz="4" w:space="0" w:color="000000"/>
              <w:left w:val="single" w:sz="4" w:space="0" w:color="auto"/>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6288" w:type="dxa"/>
            <w:tcBorders>
              <w:top w:val="nil"/>
              <w:left w:val="nil"/>
              <w:bottom w:val="nil"/>
              <w:right w:val="nil"/>
            </w:tcBorders>
            <w:shd w:val="clear" w:color="000000" w:fill="FFFFFF"/>
            <w:noWrap/>
            <w:vAlign w:val="bottom"/>
            <w:hideMark/>
          </w:tcPr>
          <w:p w:rsidR="000D2331" w:rsidRPr="00DD0306" w:rsidRDefault="000D2331" w:rsidP="00D1658D">
            <w:pPr>
              <w:rPr>
                <w:rFonts w:ascii="Arial" w:hAnsi="Arial" w:cs="Arial"/>
                <w:color w:val="000000"/>
                <w:sz w:val="20"/>
                <w:szCs w:val="20"/>
              </w:rPr>
            </w:pPr>
            <w:r w:rsidRPr="00DD0306">
              <w:rPr>
                <w:rFonts w:ascii="Arial" w:hAnsi="Arial" w:cs="Arial"/>
                <w:color w:val="000000"/>
                <w:sz w:val="20"/>
                <w:szCs w:val="20"/>
              </w:rPr>
              <w:t> </w:t>
            </w:r>
          </w:p>
        </w:tc>
        <w:tc>
          <w:tcPr>
            <w:tcW w:w="1436" w:type="dxa"/>
            <w:tcBorders>
              <w:top w:val="single" w:sz="4" w:space="0" w:color="000000"/>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w:t>
            </w:r>
          </w:p>
        </w:tc>
        <w:tc>
          <w:tcPr>
            <w:tcW w:w="1872" w:type="dxa"/>
            <w:tcBorders>
              <w:top w:val="single" w:sz="4" w:space="0" w:color="000000"/>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w:t>
            </w:r>
          </w:p>
        </w:tc>
        <w:tc>
          <w:tcPr>
            <w:tcW w:w="315" w:type="dxa"/>
            <w:tcBorders>
              <w:top w:val="single" w:sz="4" w:space="0" w:color="000000"/>
              <w:left w:val="nil"/>
              <w:bottom w:val="nil"/>
              <w:right w:val="single" w:sz="4" w:space="0" w:color="auto"/>
            </w:tcBorders>
            <w:shd w:val="clear" w:color="auto" w:fill="auto"/>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b/>
                <w:bCs/>
                <w:sz w:val="20"/>
                <w:szCs w:val="20"/>
              </w:rPr>
            </w:pPr>
            <w:r w:rsidRPr="00DD0306">
              <w:rPr>
                <w:b/>
                <w:bCs/>
                <w:sz w:val="20"/>
                <w:szCs w:val="20"/>
              </w:rPr>
              <w:t>Explanation</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Water</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center"/>
              <w:rPr>
                <w:b/>
                <w:bCs/>
                <w:sz w:val="20"/>
                <w:szCs w:val="20"/>
              </w:rPr>
            </w:pPr>
            <w:r w:rsidRPr="00DD0306">
              <w:rPr>
                <w:b/>
                <w:bCs/>
                <w:sz w:val="20"/>
                <w:szCs w:val="20"/>
              </w:rPr>
              <w:t>Wastewater</w:t>
            </w:r>
          </w:p>
        </w:tc>
        <w:tc>
          <w:tcPr>
            <w:tcW w:w="315" w:type="dxa"/>
            <w:tcBorders>
              <w:top w:val="nil"/>
              <w:left w:val="nil"/>
              <w:bottom w:val="nil"/>
              <w:right w:val="single" w:sz="4" w:space="0" w:color="auto"/>
            </w:tcBorders>
            <w:shd w:val="clear" w:color="auto" w:fill="auto"/>
            <w:noWrap/>
            <w:vAlign w:val="bottom"/>
            <w:hideMark/>
          </w:tcPr>
          <w:p w:rsidR="000D2331" w:rsidRPr="00DD0306" w:rsidRDefault="000D2331" w:rsidP="00D1658D">
            <w:pPr>
              <w:jc w:val="cente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6288" w:type="dxa"/>
            <w:tcBorders>
              <w:top w:val="nil"/>
              <w:left w:val="nil"/>
              <w:bottom w:val="single" w:sz="4" w:space="0" w:color="auto"/>
              <w:right w:val="nil"/>
            </w:tcBorders>
            <w:shd w:val="clear" w:color="000000" w:fill="FFFFFF"/>
            <w:noWrap/>
            <w:vAlign w:val="bottom"/>
            <w:hideMark/>
          </w:tcPr>
          <w:p w:rsidR="000D2331" w:rsidRPr="00DD0306" w:rsidRDefault="000D2331" w:rsidP="00D1658D">
            <w:pPr>
              <w:rPr>
                <w:rFonts w:ascii="Arial" w:hAnsi="Arial" w:cs="Arial"/>
                <w:color w:val="000000"/>
                <w:sz w:val="20"/>
                <w:szCs w:val="20"/>
              </w:rPr>
            </w:pPr>
            <w:r w:rsidRPr="00DD0306">
              <w:rPr>
                <w:rFonts w:ascii="Arial" w:hAnsi="Arial" w:cs="Arial"/>
                <w:color w:val="000000"/>
                <w:sz w:val="20"/>
                <w:szCs w:val="20"/>
              </w:rPr>
              <w:t> </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p>
        </w:tc>
        <w:tc>
          <w:tcPr>
            <w:tcW w:w="315" w:type="dxa"/>
            <w:tcBorders>
              <w:top w:val="nil"/>
              <w:left w:val="nil"/>
              <w:bottom w:val="nil"/>
              <w:right w:val="single" w:sz="4" w:space="0" w:color="auto"/>
            </w:tcBorders>
            <w:shd w:val="clear" w:color="auto" w:fill="auto"/>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single" w:sz="4" w:space="0" w:color="000000"/>
              <w:left w:val="single" w:sz="4" w:space="0" w:color="auto"/>
              <w:bottom w:val="nil"/>
              <w:right w:val="nil"/>
            </w:tcBorders>
            <w:shd w:val="clear" w:color="000000" w:fill="FFFFFF"/>
            <w:noWrap/>
            <w:vAlign w:val="bottom"/>
            <w:hideMark/>
          </w:tcPr>
          <w:p w:rsidR="000D2331" w:rsidRPr="00DD0306" w:rsidRDefault="000D2331" w:rsidP="00D1658D">
            <w:pPr>
              <w:jc w:val="center"/>
              <w:rPr>
                <w:rFonts w:ascii="Arial" w:hAnsi="Arial" w:cs="Arial"/>
                <w:sz w:val="20"/>
                <w:szCs w:val="20"/>
              </w:rPr>
            </w:pPr>
            <w:r w:rsidRPr="00DD0306">
              <w:rPr>
                <w:rFonts w:ascii="Arial" w:hAnsi="Arial" w:cs="Arial"/>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sz w:val="20"/>
                <w:szCs w:val="20"/>
              </w:rPr>
            </w:pPr>
          </w:p>
        </w:tc>
        <w:tc>
          <w:tcPr>
            <w:tcW w:w="1436" w:type="dxa"/>
            <w:tcBorders>
              <w:top w:val="single" w:sz="4" w:space="0" w:color="000000"/>
              <w:left w:val="nil"/>
              <w:bottom w:val="nil"/>
              <w:right w:val="nil"/>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1872" w:type="dxa"/>
            <w:tcBorders>
              <w:top w:val="single" w:sz="4" w:space="0" w:color="000000"/>
              <w:left w:val="nil"/>
              <w:bottom w:val="nil"/>
              <w:right w:val="nil"/>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c>
          <w:tcPr>
            <w:tcW w:w="315" w:type="dxa"/>
            <w:tcBorders>
              <w:top w:val="single" w:sz="4" w:space="0" w:color="000000"/>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u w:val="single"/>
              </w:rPr>
            </w:pPr>
            <w:r w:rsidRPr="00DD0306">
              <w:rPr>
                <w:sz w:val="20"/>
                <w:szCs w:val="20"/>
                <w:u w:val="single"/>
              </w:rPr>
              <w:t>Operating Revenues</w:t>
            </w:r>
          </w:p>
        </w:tc>
        <w:tc>
          <w:tcPr>
            <w:tcW w:w="1436"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1872" w:type="dxa"/>
            <w:tcBorders>
              <w:top w:val="nil"/>
              <w:left w:val="nil"/>
              <w:bottom w:val="nil"/>
              <w:right w:val="nil"/>
            </w:tcBorders>
            <w:shd w:val="clear" w:color="000000" w:fill="FFFFFF"/>
            <w:noWrap/>
            <w:vAlign w:val="bottom"/>
            <w:hideMark/>
          </w:tcPr>
          <w:p w:rsidR="000D2331" w:rsidRPr="00DD0306" w:rsidRDefault="000D2331" w:rsidP="00D1658D">
            <w:pPr>
              <w:rPr>
                <w:sz w:val="20"/>
                <w:szCs w:val="20"/>
              </w:rPr>
            </w:pPr>
            <w:r w:rsidRPr="00DD0306">
              <w:rPr>
                <w:sz w:val="20"/>
                <w:szCs w:val="20"/>
              </w:rPr>
              <w:t> </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xml:space="preserve">Remove requested final revenue increase. </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($87,150)</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($475,000)</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2</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Reflect the appropriate amount of test year revenues. (Issue 10)</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(10,335)</w:t>
            </w:r>
          </w:p>
        </w:tc>
        <w:tc>
          <w:tcPr>
            <w:tcW w:w="1872" w:type="dxa"/>
            <w:tcBorders>
              <w:top w:val="nil"/>
              <w:left w:val="nil"/>
              <w:bottom w:val="nil"/>
              <w:right w:val="nil"/>
            </w:tcBorders>
            <w:shd w:val="clear" w:color="auto" w:fill="auto"/>
            <w:noWrap/>
            <w:vAlign w:val="bottom"/>
            <w:hideMark/>
          </w:tcPr>
          <w:p w:rsidR="000D2331" w:rsidRPr="00DD0306" w:rsidRDefault="003D3373" w:rsidP="003D3373">
            <w:pPr>
              <w:jc w:val="right"/>
              <w:rPr>
                <w:sz w:val="20"/>
                <w:szCs w:val="20"/>
                <w:u w:val="single"/>
              </w:rPr>
            </w:pPr>
            <w:r>
              <w:rPr>
                <w:sz w:val="20"/>
                <w:szCs w:val="20"/>
                <w:u w:val="single"/>
              </w:rPr>
              <w:t>2</w:t>
            </w:r>
            <w:r w:rsidR="000D2331" w:rsidRPr="00DD0306">
              <w:rPr>
                <w:sz w:val="20"/>
                <w:szCs w:val="20"/>
                <w:u w:val="single"/>
              </w:rPr>
              <w:t>2,</w:t>
            </w:r>
            <w:r>
              <w:rPr>
                <w:sz w:val="20"/>
                <w:szCs w:val="20"/>
                <w:u w:val="single"/>
              </w:rPr>
              <w:t>7</w:t>
            </w:r>
            <w:r w:rsidR="000D2331" w:rsidRPr="00DD0306">
              <w:rPr>
                <w:sz w:val="20"/>
                <w:szCs w:val="20"/>
                <w:u w:val="single"/>
              </w:rPr>
              <w:t xml:space="preserve">39 </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color w:val="000000"/>
                <w:sz w:val="20"/>
                <w:szCs w:val="20"/>
              </w:rPr>
            </w:pPr>
            <w:r w:rsidRPr="00DD0306">
              <w:rPr>
                <w:color w:val="000000"/>
                <w:sz w:val="20"/>
                <w:szCs w:val="20"/>
              </w:rPr>
              <w:t xml:space="preserve"> Total</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($97,485)</w:t>
            </w:r>
          </w:p>
        </w:tc>
        <w:tc>
          <w:tcPr>
            <w:tcW w:w="1872" w:type="dxa"/>
            <w:tcBorders>
              <w:top w:val="nil"/>
              <w:left w:val="nil"/>
              <w:bottom w:val="nil"/>
              <w:right w:val="nil"/>
            </w:tcBorders>
            <w:shd w:val="clear" w:color="auto" w:fill="auto"/>
            <w:noWrap/>
            <w:vAlign w:val="bottom"/>
            <w:hideMark/>
          </w:tcPr>
          <w:p w:rsidR="000D2331" w:rsidRPr="00DD0306" w:rsidRDefault="003D3373" w:rsidP="003D3373">
            <w:pPr>
              <w:jc w:val="right"/>
              <w:rPr>
                <w:sz w:val="20"/>
                <w:szCs w:val="20"/>
                <w:u w:val="double"/>
              </w:rPr>
            </w:pPr>
            <w:r>
              <w:rPr>
                <w:sz w:val="20"/>
                <w:szCs w:val="20"/>
                <w:u w:val="double"/>
              </w:rPr>
              <w:t>($45</w:t>
            </w:r>
            <w:r w:rsidR="000D2331" w:rsidRPr="00DD0306">
              <w:rPr>
                <w:sz w:val="20"/>
                <w:szCs w:val="20"/>
                <w:u w:val="double"/>
              </w:rPr>
              <w:t>2,</w:t>
            </w:r>
            <w:r>
              <w:rPr>
                <w:sz w:val="20"/>
                <w:szCs w:val="20"/>
                <w:u w:val="double"/>
              </w:rPr>
              <w:t>2</w:t>
            </w:r>
            <w:r w:rsidR="000D2331" w:rsidRPr="00DD0306">
              <w:rPr>
                <w:sz w:val="20"/>
                <w:szCs w:val="20"/>
                <w:u w:val="double"/>
              </w:rPr>
              <w:t>61)</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r w:rsidRPr="00DD0306">
              <w:rPr>
                <w:sz w:val="20"/>
                <w:szCs w:val="20"/>
                <w:u w:val="single"/>
              </w:rPr>
              <w:t>Operation and Maintenance Expense</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50338A" w:rsidRPr="00DD0306" w:rsidTr="00105BAC">
        <w:trPr>
          <w:trHeight w:val="270"/>
          <w:jc w:val="center"/>
        </w:trPr>
        <w:tc>
          <w:tcPr>
            <w:tcW w:w="402" w:type="dxa"/>
            <w:tcBorders>
              <w:top w:val="nil"/>
              <w:left w:val="single" w:sz="4" w:space="0" w:color="auto"/>
              <w:bottom w:val="nil"/>
              <w:right w:val="nil"/>
            </w:tcBorders>
            <w:shd w:val="clear" w:color="000000" w:fill="FFFFFF"/>
            <w:noWrap/>
            <w:vAlign w:val="bottom"/>
            <w:hideMark/>
          </w:tcPr>
          <w:p w:rsidR="0050338A" w:rsidRPr="00DD0306" w:rsidRDefault="0050338A" w:rsidP="00105BAC">
            <w:pPr>
              <w:jc w:val="center"/>
              <w:rPr>
                <w:sz w:val="20"/>
                <w:szCs w:val="20"/>
              </w:rPr>
            </w:pPr>
            <w:r>
              <w:rPr>
                <w:sz w:val="20"/>
                <w:szCs w:val="20"/>
              </w:rPr>
              <w:t>1</w:t>
            </w:r>
          </w:p>
        </w:tc>
        <w:tc>
          <w:tcPr>
            <w:tcW w:w="6288" w:type="dxa"/>
            <w:tcBorders>
              <w:top w:val="nil"/>
              <w:left w:val="nil"/>
              <w:bottom w:val="nil"/>
              <w:right w:val="nil"/>
            </w:tcBorders>
            <w:shd w:val="clear" w:color="auto" w:fill="auto"/>
            <w:noWrap/>
            <w:vAlign w:val="bottom"/>
            <w:hideMark/>
          </w:tcPr>
          <w:p w:rsidR="0050338A" w:rsidRPr="00DD0306" w:rsidRDefault="0050338A" w:rsidP="00105BAC">
            <w:pPr>
              <w:rPr>
                <w:sz w:val="20"/>
                <w:szCs w:val="20"/>
              </w:rPr>
            </w:pPr>
            <w:r w:rsidRPr="00DD0306">
              <w:rPr>
                <w:sz w:val="20"/>
                <w:szCs w:val="20"/>
              </w:rPr>
              <w:t>Reflect contested audit adjustments. (Issue 3)</w:t>
            </w:r>
          </w:p>
        </w:tc>
        <w:tc>
          <w:tcPr>
            <w:tcW w:w="1436" w:type="dxa"/>
            <w:tcBorders>
              <w:top w:val="nil"/>
              <w:left w:val="nil"/>
              <w:bottom w:val="nil"/>
              <w:right w:val="nil"/>
            </w:tcBorders>
            <w:shd w:val="clear" w:color="auto" w:fill="auto"/>
            <w:noWrap/>
            <w:vAlign w:val="bottom"/>
            <w:hideMark/>
          </w:tcPr>
          <w:p w:rsidR="0050338A" w:rsidRPr="00DD0306" w:rsidRDefault="0050338A" w:rsidP="00105BAC">
            <w:pPr>
              <w:jc w:val="right"/>
              <w:rPr>
                <w:sz w:val="20"/>
                <w:szCs w:val="20"/>
              </w:rPr>
            </w:pPr>
            <w:r w:rsidRPr="00DD0306">
              <w:rPr>
                <w:sz w:val="20"/>
                <w:szCs w:val="20"/>
              </w:rPr>
              <w:t>(</w:t>
            </w:r>
            <w:r w:rsidR="0088268C">
              <w:rPr>
                <w:sz w:val="20"/>
                <w:szCs w:val="20"/>
              </w:rPr>
              <w:t>$</w:t>
            </w:r>
            <w:r w:rsidRPr="00DD0306">
              <w:rPr>
                <w:sz w:val="20"/>
                <w:szCs w:val="20"/>
              </w:rPr>
              <w:t>10,277)</w:t>
            </w:r>
          </w:p>
        </w:tc>
        <w:tc>
          <w:tcPr>
            <w:tcW w:w="1872" w:type="dxa"/>
            <w:tcBorders>
              <w:top w:val="nil"/>
              <w:left w:val="nil"/>
              <w:bottom w:val="nil"/>
              <w:right w:val="nil"/>
            </w:tcBorders>
            <w:shd w:val="clear" w:color="auto" w:fill="auto"/>
            <w:noWrap/>
            <w:vAlign w:val="bottom"/>
            <w:hideMark/>
          </w:tcPr>
          <w:p w:rsidR="0050338A" w:rsidRPr="00DD0306" w:rsidRDefault="0050338A" w:rsidP="00105BAC">
            <w:pPr>
              <w:jc w:val="right"/>
              <w:rPr>
                <w:sz w:val="20"/>
                <w:szCs w:val="20"/>
              </w:rPr>
            </w:pPr>
            <w:r w:rsidRPr="00DD0306">
              <w:rPr>
                <w:sz w:val="20"/>
                <w:szCs w:val="20"/>
              </w:rPr>
              <w:t>(</w:t>
            </w:r>
            <w:r w:rsidR="00840E7B">
              <w:rPr>
                <w:sz w:val="20"/>
                <w:szCs w:val="20"/>
              </w:rPr>
              <w:t>$</w:t>
            </w:r>
            <w:r w:rsidRPr="00DD0306">
              <w:rPr>
                <w:sz w:val="20"/>
                <w:szCs w:val="20"/>
              </w:rPr>
              <w:t>39,74</w:t>
            </w:r>
            <w:r w:rsidR="003D3373">
              <w:rPr>
                <w:sz w:val="20"/>
                <w:szCs w:val="20"/>
              </w:rPr>
              <w:t>2</w:t>
            </w:r>
            <w:r w:rsidRPr="00DD0306">
              <w:rPr>
                <w:sz w:val="20"/>
                <w:szCs w:val="20"/>
              </w:rPr>
              <w:t>)</w:t>
            </w:r>
          </w:p>
        </w:tc>
        <w:tc>
          <w:tcPr>
            <w:tcW w:w="315" w:type="dxa"/>
            <w:tcBorders>
              <w:top w:val="nil"/>
              <w:left w:val="nil"/>
              <w:bottom w:val="nil"/>
              <w:right w:val="single" w:sz="4" w:space="0" w:color="auto"/>
            </w:tcBorders>
            <w:shd w:val="clear" w:color="000000" w:fill="FFFFFF"/>
            <w:noWrap/>
            <w:vAlign w:val="bottom"/>
            <w:hideMark/>
          </w:tcPr>
          <w:p w:rsidR="0050338A" w:rsidRPr="00DD0306" w:rsidRDefault="0050338A" w:rsidP="00105BAC">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50338A" w:rsidP="00D1658D">
            <w:pPr>
              <w:jc w:val="center"/>
              <w:rPr>
                <w:sz w:val="20"/>
                <w:szCs w:val="20"/>
              </w:rPr>
            </w:pPr>
            <w:r>
              <w:rPr>
                <w:sz w:val="20"/>
                <w:szCs w:val="20"/>
              </w:rPr>
              <w:t>2</w:t>
            </w:r>
          </w:p>
        </w:tc>
        <w:tc>
          <w:tcPr>
            <w:tcW w:w="6288" w:type="dxa"/>
            <w:tcBorders>
              <w:top w:val="nil"/>
              <w:left w:val="nil"/>
              <w:bottom w:val="nil"/>
              <w:right w:val="nil"/>
            </w:tcBorders>
            <w:shd w:val="clear" w:color="auto" w:fill="auto"/>
            <w:noWrap/>
            <w:vAlign w:val="bottom"/>
            <w:hideMark/>
          </w:tcPr>
          <w:p w:rsidR="000D2331" w:rsidRPr="00DD0306" w:rsidRDefault="000D2331" w:rsidP="0050338A">
            <w:pPr>
              <w:rPr>
                <w:color w:val="000000"/>
                <w:sz w:val="20"/>
                <w:szCs w:val="20"/>
              </w:rPr>
            </w:pPr>
            <w:r w:rsidRPr="00DD0306">
              <w:rPr>
                <w:color w:val="000000"/>
                <w:sz w:val="20"/>
                <w:szCs w:val="20"/>
              </w:rPr>
              <w:t xml:space="preserve">To adjust purchased wastewater for excess I &amp; I. (Issue </w:t>
            </w:r>
            <w:r w:rsidR="0050338A">
              <w:rPr>
                <w:color w:val="000000"/>
                <w:sz w:val="20"/>
                <w:szCs w:val="20"/>
              </w:rPr>
              <w:t>5</w:t>
            </w:r>
            <w:r w:rsidRPr="00DD0306">
              <w:rPr>
                <w:color w:val="000000"/>
                <w:sz w:val="20"/>
                <w:szCs w:val="20"/>
              </w:rPr>
              <w:t>)</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 xml:space="preserve">0 </w:t>
            </w:r>
          </w:p>
        </w:tc>
        <w:tc>
          <w:tcPr>
            <w:tcW w:w="1872" w:type="dxa"/>
            <w:tcBorders>
              <w:top w:val="nil"/>
              <w:left w:val="nil"/>
              <w:bottom w:val="nil"/>
              <w:right w:val="nil"/>
            </w:tcBorders>
            <w:shd w:val="clear" w:color="auto" w:fill="auto"/>
            <w:noWrap/>
            <w:vAlign w:val="bottom"/>
            <w:hideMark/>
          </w:tcPr>
          <w:p w:rsidR="000D2331" w:rsidRPr="00DD0306" w:rsidRDefault="000D2331" w:rsidP="0088268C">
            <w:pPr>
              <w:jc w:val="right"/>
              <w:rPr>
                <w:sz w:val="20"/>
                <w:szCs w:val="20"/>
              </w:rPr>
            </w:pPr>
            <w:r w:rsidRPr="00DD0306">
              <w:rPr>
                <w:sz w:val="20"/>
                <w:szCs w:val="20"/>
              </w:rPr>
              <w:t>(13,478)</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50338A" w:rsidP="00D1658D">
            <w:pPr>
              <w:jc w:val="center"/>
              <w:rPr>
                <w:sz w:val="20"/>
                <w:szCs w:val="20"/>
              </w:rPr>
            </w:pPr>
            <w:r>
              <w:rPr>
                <w:sz w:val="20"/>
                <w:szCs w:val="20"/>
              </w:rPr>
              <w:t>3</w:t>
            </w:r>
          </w:p>
        </w:tc>
        <w:tc>
          <w:tcPr>
            <w:tcW w:w="6288" w:type="dxa"/>
            <w:tcBorders>
              <w:top w:val="nil"/>
              <w:left w:val="nil"/>
              <w:bottom w:val="nil"/>
              <w:right w:val="nil"/>
            </w:tcBorders>
            <w:shd w:val="clear" w:color="auto" w:fill="auto"/>
            <w:noWrap/>
            <w:vAlign w:val="bottom"/>
            <w:hideMark/>
          </w:tcPr>
          <w:p w:rsidR="000D2331" w:rsidRPr="00DD0306" w:rsidRDefault="000D2331" w:rsidP="0050338A">
            <w:pPr>
              <w:rPr>
                <w:color w:val="000000"/>
                <w:sz w:val="20"/>
                <w:szCs w:val="20"/>
              </w:rPr>
            </w:pPr>
            <w:r w:rsidRPr="00DD0306">
              <w:rPr>
                <w:color w:val="000000"/>
                <w:sz w:val="20"/>
                <w:szCs w:val="20"/>
              </w:rPr>
              <w:t xml:space="preserve">To adjust purchased power for excess I &amp; I. (Issue </w:t>
            </w:r>
            <w:r w:rsidR="0050338A">
              <w:rPr>
                <w:color w:val="000000"/>
                <w:sz w:val="20"/>
                <w:szCs w:val="20"/>
              </w:rPr>
              <w:t>5</w:t>
            </w:r>
            <w:r w:rsidRPr="00DD0306">
              <w:rPr>
                <w:color w:val="000000"/>
                <w:sz w:val="20"/>
                <w:szCs w:val="20"/>
              </w:rPr>
              <w:t>)</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rFonts w:cstheme="minorHAnsi"/>
                <w:sz w:val="20"/>
                <w:szCs w:val="20"/>
              </w:rPr>
            </w:pPr>
            <w:r w:rsidRPr="00DD0306">
              <w:rPr>
                <w:rFonts w:cstheme="minorHAnsi"/>
                <w:sz w:val="20"/>
                <w:szCs w:val="20"/>
              </w:rPr>
              <w:t xml:space="preserve">0 </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(496)</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4</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color w:val="000000"/>
                <w:sz w:val="20"/>
                <w:szCs w:val="20"/>
              </w:rPr>
            </w:pPr>
            <w:r w:rsidRPr="00DD0306">
              <w:rPr>
                <w:color w:val="000000"/>
                <w:sz w:val="20"/>
                <w:szCs w:val="20"/>
              </w:rPr>
              <w:t>Reflect appropriate rate case expense amortization. (Issue 11)</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(3,636)</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w:t>
            </w:r>
            <w:r w:rsidR="003D3373">
              <w:rPr>
                <w:sz w:val="20"/>
                <w:szCs w:val="20"/>
              </w:rPr>
              <w:t>$</w:t>
            </w:r>
            <w:r w:rsidRPr="00DD0306">
              <w:rPr>
                <w:sz w:val="20"/>
                <w:szCs w:val="20"/>
              </w:rPr>
              <w:t>13,575)</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5</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color w:val="000000"/>
                <w:sz w:val="20"/>
                <w:szCs w:val="20"/>
              </w:rPr>
            </w:pPr>
            <w:r w:rsidRPr="00DD0306">
              <w:rPr>
                <w:color w:val="000000"/>
                <w:sz w:val="20"/>
                <w:szCs w:val="20"/>
              </w:rPr>
              <w:t>Reflect further adjustments to O&amp;M expense. (Issue 12)</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color w:val="000000"/>
                <w:sz w:val="20"/>
                <w:szCs w:val="20"/>
                <w:u w:val="single"/>
              </w:rPr>
            </w:pPr>
            <w:r w:rsidRPr="00DD0306">
              <w:rPr>
                <w:color w:val="000000"/>
                <w:sz w:val="20"/>
                <w:szCs w:val="20"/>
                <w:u w:val="single"/>
              </w:rPr>
              <w:t>(</w:t>
            </w:r>
            <w:r>
              <w:rPr>
                <w:color w:val="000000"/>
                <w:sz w:val="20"/>
                <w:szCs w:val="20"/>
                <w:u w:val="single"/>
              </w:rPr>
              <w:t>20,72</w:t>
            </w:r>
            <w:r w:rsidRPr="00DD0306">
              <w:rPr>
                <w:color w:val="000000"/>
                <w:sz w:val="20"/>
                <w:szCs w:val="20"/>
                <w:u w:val="single"/>
              </w:rPr>
              <w:t>4)</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color w:val="000000"/>
                <w:sz w:val="20"/>
                <w:szCs w:val="20"/>
                <w:u w:val="single"/>
              </w:rPr>
            </w:pPr>
            <w:r w:rsidRPr="00DD0306">
              <w:rPr>
                <w:color w:val="000000"/>
                <w:sz w:val="20"/>
                <w:szCs w:val="20"/>
                <w:u w:val="single"/>
              </w:rPr>
              <w:t>(1</w:t>
            </w:r>
            <w:r>
              <w:rPr>
                <w:color w:val="000000"/>
                <w:sz w:val="20"/>
                <w:szCs w:val="20"/>
                <w:u w:val="single"/>
              </w:rPr>
              <w:t>36,054</w:t>
            </w:r>
            <w:r w:rsidRPr="00DD0306">
              <w:rPr>
                <w:color w:val="000000"/>
                <w:sz w:val="20"/>
                <w:szCs w:val="20"/>
                <w:u w:val="single"/>
              </w:rPr>
              <w:t>)</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xml:space="preserve">    Total</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w:t>
            </w:r>
            <w:r>
              <w:rPr>
                <w:sz w:val="20"/>
                <w:szCs w:val="20"/>
                <w:u w:val="double"/>
              </w:rPr>
              <w:t>34,63</w:t>
            </w:r>
            <w:r w:rsidRPr="00DD0306">
              <w:rPr>
                <w:sz w:val="20"/>
                <w:szCs w:val="20"/>
                <w:u w:val="double"/>
              </w:rPr>
              <w:t>7)</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w:t>
            </w:r>
            <w:r>
              <w:rPr>
                <w:sz w:val="20"/>
                <w:szCs w:val="20"/>
                <w:u w:val="double"/>
              </w:rPr>
              <w:t>203,345</w:t>
            </w:r>
            <w:r w:rsidRPr="00DD0306">
              <w:rPr>
                <w:sz w:val="20"/>
                <w:szCs w:val="20"/>
                <w:u w:val="double"/>
              </w:rPr>
              <w:t>)</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r w:rsidRPr="00DD0306">
              <w:rPr>
                <w:sz w:val="20"/>
                <w:szCs w:val="20"/>
                <w:u w:val="single"/>
              </w:rPr>
              <w:t>Depreciation Expense - Net</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Reflect appropriate pro forma plant adjustments. (Issue 4)</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 xml:space="preserve">$0 </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w:t>
            </w:r>
            <w:r>
              <w:rPr>
                <w:sz w:val="20"/>
                <w:szCs w:val="20"/>
                <w:u w:val="double"/>
              </w:rPr>
              <w:t>735</w:t>
            </w:r>
            <w:r w:rsidRPr="00DD0306">
              <w:rPr>
                <w:sz w:val="20"/>
                <w:szCs w:val="20"/>
                <w:u w:val="double"/>
              </w:rPr>
              <w:t>)</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double"/>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double"/>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r w:rsidRPr="00DD0306">
              <w:rPr>
                <w:sz w:val="20"/>
                <w:szCs w:val="20"/>
                <w:u w:val="single"/>
              </w:rPr>
              <w:t>Amortization Expense</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double"/>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double"/>
              </w:rPr>
            </w:pP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Reflect agreed upon audit adjustments. (Issue 2)</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 xml:space="preserve">$0 </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double"/>
              </w:rPr>
            </w:pPr>
            <w:r w:rsidRPr="00DD0306">
              <w:rPr>
                <w:sz w:val="20"/>
                <w:szCs w:val="20"/>
                <w:u w:val="double"/>
              </w:rPr>
              <w:t>($2,845)</w:t>
            </w:r>
          </w:p>
        </w:tc>
        <w:tc>
          <w:tcPr>
            <w:tcW w:w="315" w:type="dxa"/>
            <w:tcBorders>
              <w:top w:val="nil"/>
              <w:left w:val="nil"/>
              <w:bottom w:val="nil"/>
              <w:right w:val="single" w:sz="4" w:space="0" w:color="auto"/>
            </w:tcBorders>
            <w:shd w:val="clear" w:color="000000" w:fill="FFFFFF"/>
            <w:noWrap/>
            <w:vAlign w:val="bottom"/>
            <w:hideMark/>
          </w:tcPr>
          <w:p w:rsidR="000D2331" w:rsidRPr="00DD0306" w:rsidRDefault="000D2331" w:rsidP="00D1658D">
            <w:pPr>
              <w:rPr>
                <w:rFonts w:ascii="Arial" w:hAnsi="Arial" w:cs="Arial"/>
                <w:sz w:val="20"/>
                <w:szCs w:val="20"/>
              </w:rPr>
            </w:pPr>
            <w:r w:rsidRPr="00DD0306">
              <w:rPr>
                <w:rFonts w:ascii="Arial" w:hAnsi="Arial" w:cs="Arial"/>
                <w:sz w:val="20"/>
                <w:szCs w:val="20"/>
              </w:rPr>
              <w:t> </w:t>
            </w: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rFonts w:ascii="Arial" w:hAnsi="Arial" w:cs="Arial"/>
                <w:color w:val="000000"/>
                <w:sz w:val="20"/>
                <w:szCs w:val="20"/>
              </w:rPr>
            </w:pP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p>
        </w:tc>
        <w:tc>
          <w:tcPr>
            <w:tcW w:w="315" w:type="dxa"/>
            <w:tcBorders>
              <w:top w:val="nil"/>
              <w:left w:val="nil"/>
              <w:bottom w:val="nil"/>
              <w:right w:val="single" w:sz="4" w:space="0" w:color="auto"/>
            </w:tcBorders>
            <w:shd w:val="clear" w:color="000000" w:fill="FFFFFF"/>
            <w:noWrap/>
            <w:vAlign w:val="bottom"/>
          </w:tcPr>
          <w:p w:rsidR="000D2331" w:rsidRPr="00DD0306" w:rsidRDefault="000D2331" w:rsidP="00D1658D">
            <w:pPr>
              <w:rPr>
                <w:rFonts w:ascii="Arial" w:hAnsi="Arial" w:cs="Arial"/>
                <w:sz w:val="20"/>
                <w:szCs w:val="20"/>
                <w:u w:val="single"/>
              </w:rPr>
            </w:pP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u w:val="single"/>
              </w:rPr>
            </w:pPr>
            <w:r w:rsidRPr="00DD0306">
              <w:rPr>
                <w:sz w:val="20"/>
                <w:szCs w:val="20"/>
                <w:u w:val="single"/>
              </w:rPr>
              <w:t>Taxes Other Than Income</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1872"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p>
        </w:tc>
        <w:tc>
          <w:tcPr>
            <w:tcW w:w="315" w:type="dxa"/>
            <w:tcBorders>
              <w:top w:val="nil"/>
              <w:left w:val="nil"/>
              <w:bottom w:val="nil"/>
              <w:right w:val="single" w:sz="4" w:space="0" w:color="auto"/>
            </w:tcBorders>
            <w:shd w:val="clear" w:color="000000" w:fill="FFFFFF"/>
            <w:noWrap/>
            <w:vAlign w:val="bottom"/>
          </w:tcPr>
          <w:p w:rsidR="000D2331" w:rsidRPr="00DD0306" w:rsidRDefault="000D2331" w:rsidP="00D1658D">
            <w:pPr>
              <w:rPr>
                <w:rFonts w:ascii="Arial" w:hAnsi="Arial" w:cs="Arial"/>
                <w:sz w:val="20"/>
                <w:szCs w:val="20"/>
              </w:rPr>
            </w:pP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1</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Remove RAFs on revenue adjustments above.</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sidRPr="00DD0306">
              <w:rPr>
                <w:sz w:val="20"/>
                <w:szCs w:val="20"/>
              </w:rPr>
              <w:t>($4,387)</w:t>
            </w:r>
          </w:p>
        </w:tc>
        <w:tc>
          <w:tcPr>
            <w:tcW w:w="1872" w:type="dxa"/>
            <w:tcBorders>
              <w:top w:val="nil"/>
              <w:left w:val="nil"/>
              <w:bottom w:val="nil"/>
              <w:right w:val="nil"/>
            </w:tcBorders>
            <w:shd w:val="clear" w:color="auto" w:fill="auto"/>
            <w:noWrap/>
            <w:vAlign w:val="bottom"/>
            <w:hideMark/>
          </w:tcPr>
          <w:p w:rsidR="000D2331" w:rsidRPr="00DD0306" w:rsidRDefault="000D2331" w:rsidP="003D3373">
            <w:pPr>
              <w:jc w:val="right"/>
              <w:rPr>
                <w:sz w:val="20"/>
                <w:szCs w:val="20"/>
              </w:rPr>
            </w:pPr>
            <w:r w:rsidRPr="00DD0306">
              <w:rPr>
                <w:sz w:val="20"/>
                <w:szCs w:val="20"/>
              </w:rPr>
              <w:t>($20,3</w:t>
            </w:r>
            <w:r w:rsidR="003D3373">
              <w:rPr>
                <w:sz w:val="20"/>
                <w:szCs w:val="20"/>
              </w:rPr>
              <w:t>52</w:t>
            </w:r>
            <w:r w:rsidRPr="00DD0306">
              <w:rPr>
                <w:sz w:val="20"/>
                <w:szCs w:val="20"/>
              </w:rPr>
              <w:t>)</w:t>
            </w:r>
          </w:p>
        </w:tc>
        <w:tc>
          <w:tcPr>
            <w:tcW w:w="315" w:type="dxa"/>
            <w:tcBorders>
              <w:top w:val="nil"/>
              <w:left w:val="nil"/>
              <w:bottom w:val="nil"/>
              <w:right w:val="single" w:sz="4" w:space="0" w:color="auto"/>
            </w:tcBorders>
            <w:shd w:val="clear" w:color="000000" w:fill="FFFFFF"/>
            <w:noWrap/>
            <w:vAlign w:val="bottom"/>
          </w:tcPr>
          <w:p w:rsidR="000D2331" w:rsidRPr="00DD0306" w:rsidRDefault="000D2331" w:rsidP="00D1658D">
            <w:pPr>
              <w:rPr>
                <w:rFonts w:ascii="Arial" w:hAnsi="Arial" w:cs="Arial"/>
                <w:sz w:val="20"/>
                <w:szCs w:val="20"/>
              </w:rPr>
            </w:pP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2</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Reflect contested audit adjustments. (Issue 3)</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Pr>
                <w:sz w:val="20"/>
                <w:szCs w:val="20"/>
              </w:rPr>
              <w:t>(</w:t>
            </w:r>
            <w:r w:rsidRPr="00DD0306">
              <w:rPr>
                <w:sz w:val="20"/>
                <w:szCs w:val="20"/>
              </w:rPr>
              <w:t>835)</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rPr>
            </w:pPr>
            <w:r>
              <w:rPr>
                <w:sz w:val="20"/>
                <w:szCs w:val="20"/>
              </w:rPr>
              <w:t>(</w:t>
            </w:r>
            <w:r w:rsidRPr="00DD0306">
              <w:rPr>
                <w:sz w:val="20"/>
                <w:szCs w:val="20"/>
              </w:rPr>
              <w:t>1,378)</w:t>
            </w:r>
          </w:p>
        </w:tc>
        <w:tc>
          <w:tcPr>
            <w:tcW w:w="315" w:type="dxa"/>
            <w:tcBorders>
              <w:top w:val="nil"/>
              <w:left w:val="nil"/>
              <w:bottom w:val="nil"/>
              <w:right w:val="single" w:sz="4" w:space="0" w:color="auto"/>
            </w:tcBorders>
            <w:shd w:val="clear" w:color="auto" w:fill="auto"/>
            <w:noWrap/>
            <w:vAlign w:val="bottom"/>
          </w:tcPr>
          <w:p w:rsidR="000D2331" w:rsidRPr="00DD0306" w:rsidRDefault="000D2331" w:rsidP="00D1658D">
            <w:pPr>
              <w:rPr>
                <w:rFonts w:ascii="Arial" w:hAnsi="Arial" w:cs="Arial"/>
                <w:sz w:val="20"/>
                <w:szCs w:val="20"/>
              </w:rPr>
            </w:pP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3</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Reflect appropriate pro forma plant adjustments. (Issue 4)</w:t>
            </w:r>
          </w:p>
        </w:tc>
        <w:tc>
          <w:tcPr>
            <w:tcW w:w="1436" w:type="dxa"/>
            <w:tcBorders>
              <w:top w:val="nil"/>
              <w:left w:val="nil"/>
              <w:bottom w:val="nil"/>
              <w:right w:val="nil"/>
            </w:tcBorders>
            <w:shd w:val="clear" w:color="auto" w:fill="auto"/>
            <w:noWrap/>
            <w:vAlign w:val="bottom"/>
            <w:hideMark/>
          </w:tcPr>
          <w:p w:rsidR="000D2331" w:rsidRPr="00DD0306" w:rsidRDefault="000D2331" w:rsidP="00D1658D">
            <w:pPr>
              <w:jc w:val="right"/>
              <w:rPr>
                <w:rFonts w:cstheme="minorHAnsi"/>
                <w:sz w:val="20"/>
                <w:szCs w:val="20"/>
                <w:u w:val="single"/>
              </w:rPr>
            </w:pPr>
            <w:r w:rsidRPr="00DD0306">
              <w:rPr>
                <w:rFonts w:cstheme="minorHAnsi"/>
                <w:sz w:val="20"/>
                <w:szCs w:val="20"/>
                <w:u w:val="single"/>
              </w:rPr>
              <w:t xml:space="preserve">0 </w:t>
            </w:r>
          </w:p>
        </w:tc>
        <w:tc>
          <w:tcPr>
            <w:tcW w:w="1872" w:type="dxa"/>
            <w:tcBorders>
              <w:top w:val="nil"/>
              <w:left w:val="nil"/>
              <w:bottom w:val="nil"/>
              <w:right w:val="nil"/>
            </w:tcBorders>
            <w:shd w:val="clear" w:color="auto" w:fill="auto"/>
            <w:noWrap/>
            <w:vAlign w:val="bottom"/>
            <w:hideMark/>
          </w:tcPr>
          <w:p w:rsidR="000D2331" w:rsidRPr="00DD0306" w:rsidRDefault="000D2331" w:rsidP="00D1658D">
            <w:pPr>
              <w:jc w:val="right"/>
              <w:rPr>
                <w:sz w:val="20"/>
                <w:szCs w:val="20"/>
                <w:u w:val="single"/>
              </w:rPr>
            </w:pPr>
            <w:r w:rsidRPr="00DD0306">
              <w:rPr>
                <w:sz w:val="20"/>
                <w:szCs w:val="20"/>
                <w:u w:val="single"/>
              </w:rPr>
              <w:t>10,0</w:t>
            </w:r>
            <w:r>
              <w:rPr>
                <w:sz w:val="20"/>
                <w:szCs w:val="20"/>
                <w:u w:val="single"/>
              </w:rPr>
              <w:t>37</w:t>
            </w:r>
            <w:r w:rsidRPr="00DD0306">
              <w:rPr>
                <w:sz w:val="20"/>
                <w:szCs w:val="20"/>
                <w:u w:val="single"/>
              </w:rPr>
              <w:t xml:space="preserve"> </w:t>
            </w:r>
          </w:p>
        </w:tc>
        <w:tc>
          <w:tcPr>
            <w:tcW w:w="315" w:type="dxa"/>
            <w:tcBorders>
              <w:top w:val="nil"/>
              <w:left w:val="nil"/>
              <w:bottom w:val="nil"/>
              <w:right w:val="single" w:sz="4" w:space="0" w:color="auto"/>
            </w:tcBorders>
            <w:shd w:val="clear" w:color="000000" w:fill="FFFFFF"/>
            <w:noWrap/>
            <w:vAlign w:val="bottom"/>
          </w:tcPr>
          <w:p w:rsidR="000D2331" w:rsidRPr="00DD0306" w:rsidRDefault="000D2331" w:rsidP="00D1658D">
            <w:pPr>
              <w:rPr>
                <w:rFonts w:ascii="Arial" w:hAnsi="Arial" w:cs="Arial"/>
                <w:sz w:val="20"/>
                <w:szCs w:val="20"/>
              </w:rPr>
            </w:pPr>
          </w:p>
        </w:tc>
      </w:tr>
      <w:tr w:rsidR="000D2331" w:rsidRPr="00DD0306" w:rsidTr="00D1658D">
        <w:trPr>
          <w:trHeight w:val="270"/>
          <w:jc w:val="center"/>
        </w:trPr>
        <w:tc>
          <w:tcPr>
            <w:tcW w:w="402" w:type="dxa"/>
            <w:tcBorders>
              <w:top w:val="nil"/>
              <w:left w:val="single" w:sz="4" w:space="0" w:color="auto"/>
              <w:bottom w:val="nil"/>
              <w:right w:val="nil"/>
            </w:tcBorders>
            <w:shd w:val="clear" w:color="000000" w:fill="FFFFFF"/>
            <w:noWrap/>
            <w:vAlign w:val="bottom"/>
            <w:hideMark/>
          </w:tcPr>
          <w:p w:rsidR="000D2331" w:rsidRPr="00DD0306" w:rsidRDefault="000D2331" w:rsidP="00D1658D">
            <w:pPr>
              <w:jc w:val="center"/>
              <w:rPr>
                <w:sz w:val="20"/>
                <w:szCs w:val="20"/>
              </w:rPr>
            </w:pPr>
            <w:r w:rsidRPr="00DD0306">
              <w:rPr>
                <w:sz w:val="20"/>
                <w:szCs w:val="20"/>
              </w:rPr>
              <w:t> </w:t>
            </w:r>
          </w:p>
        </w:tc>
        <w:tc>
          <w:tcPr>
            <w:tcW w:w="6288" w:type="dxa"/>
            <w:tcBorders>
              <w:top w:val="nil"/>
              <w:left w:val="nil"/>
              <w:bottom w:val="nil"/>
              <w:right w:val="nil"/>
            </w:tcBorders>
            <w:shd w:val="clear" w:color="auto" w:fill="auto"/>
            <w:noWrap/>
            <w:vAlign w:val="bottom"/>
            <w:hideMark/>
          </w:tcPr>
          <w:p w:rsidR="000D2331" w:rsidRPr="00DD0306" w:rsidRDefault="000D2331" w:rsidP="00D1658D">
            <w:pPr>
              <w:rPr>
                <w:sz w:val="20"/>
                <w:szCs w:val="20"/>
              </w:rPr>
            </w:pPr>
            <w:r w:rsidRPr="00DD0306">
              <w:rPr>
                <w:sz w:val="20"/>
                <w:szCs w:val="20"/>
              </w:rPr>
              <w:t xml:space="preserve">    Total</w:t>
            </w:r>
          </w:p>
        </w:tc>
        <w:tc>
          <w:tcPr>
            <w:tcW w:w="1436" w:type="dxa"/>
            <w:tcBorders>
              <w:top w:val="nil"/>
              <w:left w:val="nil"/>
              <w:bottom w:val="nil"/>
              <w:right w:val="nil"/>
            </w:tcBorders>
            <w:shd w:val="clear" w:color="000000" w:fill="FFFFFF"/>
            <w:noWrap/>
            <w:vAlign w:val="bottom"/>
            <w:hideMark/>
          </w:tcPr>
          <w:p w:rsidR="000D2331" w:rsidRPr="00DD0306" w:rsidRDefault="000D2331" w:rsidP="00D1658D">
            <w:pPr>
              <w:jc w:val="right"/>
              <w:rPr>
                <w:sz w:val="20"/>
                <w:szCs w:val="20"/>
                <w:u w:val="double"/>
              </w:rPr>
            </w:pPr>
            <w:r w:rsidRPr="00DD0306">
              <w:rPr>
                <w:sz w:val="20"/>
                <w:szCs w:val="20"/>
                <w:u w:val="double"/>
              </w:rPr>
              <w:t>($5,222)</w:t>
            </w:r>
          </w:p>
        </w:tc>
        <w:tc>
          <w:tcPr>
            <w:tcW w:w="1872" w:type="dxa"/>
            <w:tcBorders>
              <w:top w:val="nil"/>
              <w:left w:val="nil"/>
              <w:bottom w:val="nil"/>
              <w:right w:val="nil"/>
            </w:tcBorders>
            <w:shd w:val="clear" w:color="000000" w:fill="FFFFFF"/>
            <w:noWrap/>
            <w:vAlign w:val="bottom"/>
            <w:hideMark/>
          </w:tcPr>
          <w:p w:rsidR="000D2331" w:rsidRPr="00DD0306" w:rsidRDefault="003D3373" w:rsidP="00D1658D">
            <w:pPr>
              <w:jc w:val="right"/>
              <w:rPr>
                <w:sz w:val="20"/>
                <w:szCs w:val="20"/>
                <w:u w:val="double"/>
              </w:rPr>
            </w:pPr>
            <w:r>
              <w:rPr>
                <w:sz w:val="20"/>
                <w:szCs w:val="20"/>
                <w:u w:val="double"/>
              </w:rPr>
              <w:t>($11,693</w:t>
            </w:r>
            <w:r w:rsidR="000D2331" w:rsidRPr="00DD0306">
              <w:rPr>
                <w:sz w:val="20"/>
                <w:szCs w:val="20"/>
                <w:u w:val="double"/>
              </w:rPr>
              <w:t>)</w:t>
            </w:r>
          </w:p>
        </w:tc>
        <w:tc>
          <w:tcPr>
            <w:tcW w:w="315" w:type="dxa"/>
            <w:tcBorders>
              <w:top w:val="nil"/>
              <w:left w:val="nil"/>
              <w:bottom w:val="nil"/>
              <w:right w:val="single" w:sz="4" w:space="0" w:color="auto"/>
            </w:tcBorders>
            <w:shd w:val="clear" w:color="000000" w:fill="FFFFFF"/>
            <w:noWrap/>
            <w:vAlign w:val="bottom"/>
          </w:tcPr>
          <w:p w:rsidR="000D2331" w:rsidRPr="00DD0306" w:rsidRDefault="000D2331" w:rsidP="00D1658D">
            <w:pPr>
              <w:rPr>
                <w:rFonts w:ascii="Arial" w:hAnsi="Arial" w:cs="Arial"/>
                <w:sz w:val="20"/>
                <w:szCs w:val="20"/>
                <w:u w:val="double"/>
              </w:rPr>
            </w:pPr>
          </w:p>
        </w:tc>
      </w:tr>
      <w:tr w:rsidR="000D2331" w:rsidRPr="00DD0306" w:rsidTr="00D1658D">
        <w:trPr>
          <w:trHeight w:val="270"/>
          <w:jc w:val="center"/>
        </w:trPr>
        <w:tc>
          <w:tcPr>
            <w:tcW w:w="402" w:type="dxa"/>
            <w:tcBorders>
              <w:top w:val="nil"/>
              <w:left w:val="single" w:sz="4" w:space="0" w:color="auto"/>
              <w:bottom w:val="single" w:sz="4" w:space="0" w:color="auto"/>
              <w:right w:val="nil"/>
            </w:tcBorders>
            <w:shd w:val="clear" w:color="000000" w:fill="FFFFFF"/>
            <w:noWrap/>
            <w:vAlign w:val="bottom"/>
          </w:tcPr>
          <w:p w:rsidR="000D2331" w:rsidRPr="00DD0306" w:rsidRDefault="000D2331" w:rsidP="00D1658D">
            <w:pPr>
              <w:jc w:val="center"/>
              <w:rPr>
                <w:rFonts w:ascii="Arial" w:hAnsi="Arial" w:cs="Arial"/>
                <w:sz w:val="20"/>
                <w:szCs w:val="20"/>
                <w:u w:val="single"/>
              </w:rPr>
            </w:pPr>
          </w:p>
        </w:tc>
        <w:tc>
          <w:tcPr>
            <w:tcW w:w="6288" w:type="dxa"/>
            <w:tcBorders>
              <w:top w:val="nil"/>
              <w:left w:val="nil"/>
              <w:bottom w:val="single" w:sz="4" w:space="0" w:color="auto"/>
              <w:right w:val="nil"/>
            </w:tcBorders>
            <w:shd w:val="clear" w:color="000000" w:fill="FFFFFF"/>
            <w:noWrap/>
            <w:vAlign w:val="bottom"/>
          </w:tcPr>
          <w:p w:rsidR="000D2331" w:rsidRPr="00DD0306" w:rsidRDefault="000D2331" w:rsidP="00D1658D">
            <w:pPr>
              <w:rPr>
                <w:rFonts w:ascii="Arial" w:hAnsi="Arial" w:cs="Arial"/>
                <w:color w:val="000000"/>
                <w:sz w:val="20"/>
                <w:szCs w:val="20"/>
                <w:u w:val="single"/>
              </w:rPr>
            </w:pPr>
          </w:p>
        </w:tc>
        <w:tc>
          <w:tcPr>
            <w:tcW w:w="1436" w:type="dxa"/>
            <w:tcBorders>
              <w:top w:val="nil"/>
              <w:left w:val="nil"/>
              <w:bottom w:val="single" w:sz="4" w:space="0" w:color="auto"/>
              <w:right w:val="nil"/>
            </w:tcBorders>
            <w:shd w:val="clear" w:color="000000" w:fill="FFFFFF"/>
            <w:noWrap/>
            <w:vAlign w:val="bottom"/>
          </w:tcPr>
          <w:p w:rsidR="000D2331" w:rsidRPr="00DD0306" w:rsidRDefault="000D2331" w:rsidP="00D1658D">
            <w:pPr>
              <w:rPr>
                <w:rFonts w:ascii="Arial" w:hAnsi="Arial" w:cs="Arial"/>
                <w:sz w:val="20"/>
                <w:szCs w:val="20"/>
                <w:u w:val="single"/>
              </w:rPr>
            </w:pPr>
          </w:p>
        </w:tc>
        <w:tc>
          <w:tcPr>
            <w:tcW w:w="1872" w:type="dxa"/>
            <w:tcBorders>
              <w:top w:val="nil"/>
              <w:left w:val="nil"/>
              <w:bottom w:val="single" w:sz="4" w:space="0" w:color="auto"/>
              <w:right w:val="nil"/>
            </w:tcBorders>
            <w:shd w:val="clear" w:color="000000" w:fill="FFFFFF"/>
            <w:noWrap/>
            <w:vAlign w:val="bottom"/>
          </w:tcPr>
          <w:p w:rsidR="000D2331" w:rsidRPr="00DD0306" w:rsidRDefault="000D2331" w:rsidP="00D1658D">
            <w:pPr>
              <w:rPr>
                <w:rFonts w:ascii="Arial" w:hAnsi="Arial" w:cs="Arial"/>
                <w:sz w:val="20"/>
                <w:szCs w:val="20"/>
                <w:u w:val="single"/>
              </w:rPr>
            </w:pPr>
          </w:p>
        </w:tc>
        <w:tc>
          <w:tcPr>
            <w:tcW w:w="315" w:type="dxa"/>
            <w:tcBorders>
              <w:top w:val="nil"/>
              <w:left w:val="nil"/>
              <w:bottom w:val="single" w:sz="4" w:space="0" w:color="auto"/>
              <w:right w:val="single" w:sz="4" w:space="0" w:color="auto"/>
            </w:tcBorders>
            <w:shd w:val="clear" w:color="000000" w:fill="FFFFFF"/>
            <w:noWrap/>
            <w:vAlign w:val="bottom"/>
          </w:tcPr>
          <w:p w:rsidR="000D2331" w:rsidRPr="00DD0306" w:rsidRDefault="000D2331" w:rsidP="00D1658D">
            <w:pPr>
              <w:rPr>
                <w:rFonts w:ascii="Arial" w:hAnsi="Arial" w:cs="Arial"/>
                <w:sz w:val="20"/>
                <w:szCs w:val="20"/>
                <w:u w:val="single"/>
              </w:rPr>
            </w:pPr>
          </w:p>
        </w:tc>
      </w:tr>
    </w:tbl>
    <w:p w:rsidR="000C0A98" w:rsidRDefault="000C0A98" w:rsidP="000C0A98">
      <w:r>
        <w:fldChar w:fldCharType="begin"/>
      </w:r>
      <w:r>
        <w:instrText xml:space="preserve"> TC "</w:instrText>
      </w:r>
      <w:bookmarkStart w:id="66" w:name="_Toc447627049"/>
      <w:bookmarkStart w:id="67" w:name="_Toc448761995"/>
      <w:bookmarkStart w:id="68" w:name="_Toc460399841"/>
      <w:bookmarkStart w:id="69" w:name="_Toc463857753"/>
      <w:bookmarkStart w:id="70" w:name="_Toc464661225"/>
      <w:r>
        <w:tab/>
        <w:instrText>Schedule No. 3-C Adjustments to O</w:instrText>
      </w:r>
      <w:bookmarkEnd w:id="66"/>
      <w:bookmarkEnd w:id="67"/>
      <w:bookmarkEnd w:id="68"/>
      <w:bookmarkEnd w:id="69"/>
      <w:r>
        <w:instrText>perating Income</w:instrText>
      </w:r>
      <w:bookmarkEnd w:id="70"/>
      <w:r>
        <w:instrText xml:space="preserve">" \l 1 </w:instrText>
      </w:r>
      <w:r>
        <w:fldChar w:fldCharType="end"/>
      </w:r>
    </w:p>
    <w:p w:rsidR="00EE4513" w:rsidRDefault="00EE4513" w:rsidP="00E275D8">
      <w:pPr>
        <w:pStyle w:val="BodyText"/>
        <w:sectPr w:rsidR="00EE4513" w:rsidSect="007762A7">
          <w:headerReference w:type="default" r:id="rId21"/>
          <w:pgSz w:w="12240" w:h="15840" w:code="1"/>
          <w:pgMar w:top="1584" w:right="1440" w:bottom="1152" w:left="1440" w:header="720" w:footer="720" w:gutter="0"/>
          <w:cols w:space="720"/>
          <w:formProt w:val="0"/>
          <w:docGrid w:linePitch="360"/>
        </w:sectPr>
      </w:pPr>
    </w:p>
    <w:p w:rsidR="00AC09B8" w:rsidRDefault="00AC09B8" w:rsidP="00E275D8">
      <w:pPr>
        <w:pStyle w:val="BodyText"/>
      </w:pPr>
      <w:r>
        <w:lastRenderedPageBreak/>
        <w:fldChar w:fldCharType="begin"/>
      </w:r>
      <w:r>
        <w:instrText xml:space="preserve"> TC "</w:instrText>
      </w:r>
      <w:bookmarkStart w:id="71" w:name="_Toc448761997"/>
      <w:bookmarkStart w:id="72" w:name="_Toc460399843"/>
      <w:bookmarkStart w:id="73" w:name="_Toc463857755"/>
      <w:bookmarkStart w:id="74" w:name="_Toc464661226"/>
      <w:r>
        <w:tab/>
        <w:instrText>Schedule No. 4-A Monthly Water Rates</w:instrText>
      </w:r>
      <w:bookmarkEnd w:id="71"/>
      <w:bookmarkEnd w:id="72"/>
      <w:bookmarkEnd w:id="73"/>
      <w:bookmarkEnd w:id="74"/>
      <w:r>
        <w:instrText xml:space="preserve">" \l 1 </w:instrText>
      </w:r>
      <w:r>
        <w:fldChar w:fldCharType="end"/>
      </w:r>
    </w:p>
    <w:tbl>
      <w:tblPr>
        <w:tblW w:w="12755" w:type="dxa"/>
        <w:jc w:val="center"/>
        <w:tblInd w:w="93" w:type="dxa"/>
        <w:tblLook w:val="04A0" w:firstRow="1" w:lastRow="0" w:firstColumn="1" w:lastColumn="0" w:noHBand="0" w:noVBand="1"/>
      </w:tblPr>
      <w:tblGrid>
        <w:gridCol w:w="5014"/>
        <w:gridCol w:w="1307"/>
        <w:gridCol w:w="1639"/>
        <w:gridCol w:w="1460"/>
        <w:gridCol w:w="1885"/>
        <w:gridCol w:w="1450"/>
      </w:tblGrid>
      <w:tr w:rsidR="00AC09B8" w:rsidTr="00AC09B8">
        <w:trPr>
          <w:trHeight w:val="183"/>
          <w:jc w:val="center"/>
        </w:trPr>
        <w:tc>
          <w:tcPr>
            <w:tcW w:w="5014" w:type="dxa"/>
            <w:tcBorders>
              <w:top w:val="single" w:sz="8" w:space="0" w:color="000000"/>
              <w:left w:val="single" w:sz="8" w:space="0" w:color="000000"/>
              <w:bottom w:val="nil"/>
              <w:right w:val="nil"/>
            </w:tcBorders>
            <w:shd w:val="clear" w:color="auto" w:fill="auto"/>
            <w:noWrap/>
            <w:vAlign w:val="bottom"/>
            <w:hideMark/>
          </w:tcPr>
          <w:p w:rsidR="00AC09B8" w:rsidRDefault="00AC09B8">
            <w:pPr>
              <w:rPr>
                <w:b/>
                <w:bCs/>
                <w:color w:val="000000"/>
                <w:sz w:val="20"/>
                <w:szCs w:val="20"/>
              </w:rPr>
            </w:pPr>
            <w:r>
              <w:rPr>
                <w:b/>
                <w:bCs/>
                <w:color w:val="000000"/>
                <w:sz w:val="20"/>
                <w:szCs w:val="20"/>
              </w:rPr>
              <w:t>NI FLORIDA, LLC.</w:t>
            </w:r>
          </w:p>
        </w:tc>
        <w:tc>
          <w:tcPr>
            <w:tcW w:w="1307" w:type="dxa"/>
            <w:tcBorders>
              <w:top w:val="single" w:sz="8" w:space="0" w:color="000000"/>
              <w:left w:val="nil"/>
              <w:bottom w:val="nil"/>
              <w:right w:val="nil"/>
            </w:tcBorders>
            <w:shd w:val="clear" w:color="auto" w:fill="auto"/>
            <w:noWrap/>
            <w:vAlign w:val="bottom"/>
            <w:hideMark/>
          </w:tcPr>
          <w:p w:rsidR="00AC09B8" w:rsidRDefault="00AC09B8">
            <w:r>
              <w:t> </w:t>
            </w:r>
          </w:p>
        </w:tc>
        <w:tc>
          <w:tcPr>
            <w:tcW w:w="1639" w:type="dxa"/>
            <w:tcBorders>
              <w:top w:val="single" w:sz="8" w:space="0" w:color="000000"/>
              <w:left w:val="nil"/>
              <w:bottom w:val="nil"/>
              <w:right w:val="nil"/>
            </w:tcBorders>
            <w:shd w:val="clear" w:color="auto" w:fill="auto"/>
            <w:noWrap/>
            <w:vAlign w:val="bottom"/>
            <w:hideMark/>
          </w:tcPr>
          <w:p w:rsidR="00AC09B8" w:rsidRDefault="00AC09B8">
            <w:r>
              <w:t> </w:t>
            </w:r>
          </w:p>
        </w:tc>
        <w:tc>
          <w:tcPr>
            <w:tcW w:w="1460" w:type="dxa"/>
            <w:tcBorders>
              <w:top w:val="single" w:sz="8" w:space="0" w:color="000000"/>
              <w:left w:val="nil"/>
              <w:bottom w:val="nil"/>
              <w:right w:val="nil"/>
            </w:tcBorders>
            <w:shd w:val="clear" w:color="auto" w:fill="auto"/>
            <w:noWrap/>
            <w:vAlign w:val="bottom"/>
            <w:hideMark/>
          </w:tcPr>
          <w:p w:rsidR="00AC09B8" w:rsidRDefault="00AC09B8">
            <w:r>
              <w:t> </w:t>
            </w:r>
          </w:p>
        </w:tc>
        <w:tc>
          <w:tcPr>
            <w:tcW w:w="3335" w:type="dxa"/>
            <w:gridSpan w:val="2"/>
            <w:tcBorders>
              <w:top w:val="single" w:sz="8" w:space="0" w:color="000000"/>
              <w:left w:val="nil"/>
              <w:bottom w:val="nil"/>
              <w:right w:val="single" w:sz="8" w:space="0" w:color="000000"/>
            </w:tcBorders>
            <w:shd w:val="clear" w:color="auto" w:fill="auto"/>
            <w:noWrap/>
            <w:vAlign w:val="bottom"/>
            <w:hideMark/>
          </w:tcPr>
          <w:p w:rsidR="00AC09B8" w:rsidRDefault="00AC09B8">
            <w:pPr>
              <w:jc w:val="right"/>
              <w:rPr>
                <w:b/>
                <w:bCs/>
                <w:sz w:val="20"/>
                <w:szCs w:val="20"/>
              </w:rPr>
            </w:pPr>
            <w:r>
              <w:rPr>
                <w:b/>
                <w:bCs/>
                <w:sz w:val="20"/>
                <w:szCs w:val="20"/>
              </w:rPr>
              <w:t>SCHEDULE NO. 4-A</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rsidP="0075565F">
            <w:pPr>
              <w:rPr>
                <w:b/>
                <w:bCs/>
                <w:color w:val="000000"/>
                <w:sz w:val="20"/>
                <w:szCs w:val="20"/>
              </w:rPr>
            </w:pPr>
            <w:r>
              <w:rPr>
                <w:b/>
                <w:bCs/>
                <w:color w:val="000000"/>
                <w:sz w:val="20"/>
                <w:szCs w:val="20"/>
              </w:rPr>
              <w:t xml:space="preserve">TEST YEAR ENDED </w:t>
            </w:r>
            <w:r w:rsidR="0075565F">
              <w:rPr>
                <w:b/>
                <w:bCs/>
                <w:color w:val="000000"/>
                <w:sz w:val="20"/>
                <w:szCs w:val="20"/>
              </w:rPr>
              <w:t>12/31/15</w:t>
            </w:r>
          </w:p>
        </w:tc>
        <w:tc>
          <w:tcPr>
            <w:tcW w:w="1307" w:type="dxa"/>
            <w:tcBorders>
              <w:top w:val="nil"/>
              <w:left w:val="nil"/>
              <w:bottom w:val="nil"/>
              <w:right w:val="nil"/>
            </w:tcBorders>
            <w:shd w:val="clear" w:color="auto" w:fill="auto"/>
            <w:noWrap/>
            <w:vAlign w:val="bottom"/>
            <w:hideMark/>
          </w:tcPr>
          <w:p w:rsidR="00AC09B8" w:rsidRDefault="00AC09B8">
            <w:pPr>
              <w:rPr>
                <w:b/>
                <w:bCs/>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rPr>
                <w:b/>
                <w:bCs/>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rPr>
                <w:b/>
                <w:bCs/>
                <w:color w:val="000000"/>
                <w:sz w:val="20"/>
                <w:szCs w:val="20"/>
              </w:rPr>
            </w:pPr>
          </w:p>
        </w:tc>
        <w:tc>
          <w:tcPr>
            <w:tcW w:w="3335" w:type="dxa"/>
            <w:gridSpan w:val="2"/>
            <w:tcBorders>
              <w:top w:val="nil"/>
              <w:left w:val="nil"/>
              <w:bottom w:val="nil"/>
              <w:right w:val="single" w:sz="8" w:space="0" w:color="000000"/>
            </w:tcBorders>
            <w:shd w:val="clear" w:color="auto" w:fill="auto"/>
            <w:noWrap/>
            <w:vAlign w:val="bottom"/>
            <w:hideMark/>
          </w:tcPr>
          <w:p w:rsidR="00AC09B8" w:rsidRDefault="00AC09B8">
            <w:pPr>
              <w:jc w:val="right"/>
              <w:rPr>
                <w:b/>
                <w:bCs/>
                <w:color w:val="000000"/>
                <w:sz w:val="20"/>
                <w:szCs w:val="20"/>
              </w:rPr>
            </w:pPr>
            <w:r>
              <w:rPr>
                <w:b/>
                <w:bCs/>
                <w:color w:val="000000"/>
                <w:sz w:val="20"/>
                <w:szCs w:val="20"/>
              </w:rPr>
              <w:t>DOCKET NO. 160030-WS</w:t>
            </w:r>
          </w:p>
        </w:tc>
      </w:tr>
      <w:tr w:rsidR="00AC09B8" w:rsidTr="00AC09B8">
        <w:trPr>
          <w:trHeight w:val="183"/>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b/>
                <w:bCs/>
                <w:color w:val="000000"/>
                <w:sz w:val="20"/>
                <w:szCs w:val="20"/>
              </w:rPr>
            </w:pPr>
            <w:r>
              <w:rPr>
                <w:b/>
                <w:bCs/>
                <w:color w:val="000000"/>
                <w:sz w:val="20"/>
                <w:szCs w:val="20"/>
              </w:rPr>
              <w:t>MONTHLY WATER RATES</w:t>
            </w:r>
          </w:p>
        </w:tc>
        <w:tc>
          <w:tcPr>
            <w:tcW w:w="1307" w:type="dxa"/>
            <w:tcBorders>
              <w:top w:val="nil"/>
              <w:left w:val="nil"/>
              <w:bottom w:val="single" w:sz="8" w:space="0" w:color="auto"/>
              <w:right w:val="nil"/>
            </w:tcBorders>
            <w:shd w:val="clear" w:color="auto" w:fill="auto"/>
            <w:noWrap/>
            <w:vAlign w:val="bottom"/>
            <w:hideMark/>
          </w:tcPr>
          <w:p w:rsidR="00AC09B8" w:rsidRDefault="00AC09B8">
            <w:pPr>
              <w:rPr>
                <w:b/>
                <w:bCs/>
                <w:color w:val="000000"/>
                <w:sz w:val="20"/>
                <w:szCs w:val="20"/>
              </w:rPr>
            </w:pPr>
            <w:r>
              <w:rPr>
                <w:b/>
                <w:bCs/>
                <w:color w:val="000000"/>
                <w:sz w:val="20"/>
                <w:szCs w:val="20"/>
              </w:rPr>
              <w:t> </w:t>
            </w:r>
          </w:p>
        </w:tc>
        <w:tc>
          <w:tcPr>
            <w:tcW w:w="1639" w:type="dxa"/>
            <w:tcBorders>
              <w:top w:val="nil"/>
              <w:left w:val="nil"/>
              <w:bottom w:val="single" w:sz="8" w:space="0" w:color="auto"/>
              <w:right w:val="nil"/>
            </w:tcBorders>
            <w:shd w:val="clear" w:color="auto" w:fill="auto"/>
            <w:noWrap/>
            <w:vAlign w:val="bottom"/>
            <w:hideMark/>
          </w:tcPr>
          <w:p w:rsidR="00AC09B8" w:rsidRDefault="00AC09B8">
            <w:pPr>
              <w:rPr>
                <w:b/>
                <w:bCs/>
                <w:color w:val="000000"/>
                <w:sz w:val="20"/>
                <w:szCs w:val="20"/>
              </w:rPr>
            </w:pPr>
            <w:r>
              <w:rPr>
                <w:b/>
                <w:bCs/>
                <w:color w:val="000000"/>
                <w:sz w:val="20"/>
                <w:szCs w:val="20"/>
              </w:rPr>
              <w:t> </w:t>
            </w:r>
          </w:p>
        </w:tc>
        <w:tc>
          <w:tcPr>
            <w:tcW w:w="1460" w:type="dxa"/>
            <w:tcBorders>
              <w:top w:val="nil"/>
              <w:left w:val="nil"/>
              <w:bottom w:val="single" w:sz="8" w:space="0" w:color="auto"/>
              <w:right w:val="nil"/>
            </w:tcBorders>
            <w:shd w:val="clear" w:color="auto" w:fill="auto"/>
            <w:noWrap/>
            <w:vAlign w:val="bottom"/>
            <w:hideMark/>
          </w:tcPr>
          <w:p w:rsidR="00AC09B8" w:rsidRDefault="00AC09B8">
            <w:pPr>
              <w:rPr>
                <w:b/>
                <w:bCs/>
                <w:color w:val="000000"/>
                <w:sz w:val="20"/>
                <w:szCs w:val="20"/>
              </w:rPr>
            </w:pPr>
            <w:r>
              <w:rPr>
                <w:b/>
                <w:bCs/>
                <w:color w:val="000000"/>
                <w:sz w:val="20"/>
                <w:szCs w:val="20"/>
              </w:rPr>
              <w:t> </w:t>
            </w:r>
          </w:p>
        </w:tc>
        <w:tc>
          <w:tcPr>
            <w:tcW w:w="3335" w:type="dxa"/>
            <w:gridSpan w:val="2"/>
            <w:tcBorders>
              <w:top w:val="nil"/>
              <w:left w:val="nil"/>
              <w:bottom w:val="single" w:sz="8" w:space="0" w:color="auto"/>
              <w:right w:val="single" w:sz="8" w:space="0" w:color="000000"/>
            </w:tcBorders>
            <w:shd w:val="clear" w:color="auto" w:fill="auto"/>
            <w:noWrap/>
            <w:vAlign w:val="bottom"/>
            <w:hideMark/>
          </w:tcPr>
          <w:p w:rsidR="00AC09B8" w:rsidRDefault="00AC09B8">
            <w:pPr>
              <w:jc w:val="right"/>
              <w:rPr>
                <w:b/>
                <w:bCs/>
                <w:color w:val="000000"/>
                <w:sz w:val="20"/>
                <w:szCs w:val="20"/>
              </w:rPr>
            </w:pPr>
            <w:r>
              <w:rPr>
                <w:b/>
                <w:bCs/>
                <w:color w:val="000000"/>
                <w:sz w:val="20"/>
                <w:szCs w:val="20"/>
              </w:rPr>
              <w:t> </w:t>
            </w:r>
          </w:p>
        </w:tc>
      </w:tr>
      <w:tr w:rsidR="00AC09B8" w:rsidTr="003D3373">
        <w:trPr>
          <w:trHeight w:val="183"/>
          <w:jc w:val="center"/>
        </w:trPr>
        <w:tc>
          <w:tcPr>
            <w:tcW w:w="5014" w:type="dxa"/>
            <w:tcBorders>
              <w:top w:val="single" w:sz="8" w:space="0" w:color="000000"/>
              <w:left w:val="single" w:sz="8" w:space="0" w:color="000000"/>
              <w:bottom w:val="nil"/>
              <w:right w:val="nil"/>
            </w:tcBorders>
            <w:shd w:val="clear" w:color="000000" w:fill="auto"/>
            <w:noWrap/>
            <w:vAlign w:val="bottom"/>
            <w:hideMark/>
          </w:tcPr>
          <w:p w:rsidR="00AC09B8" w:rsidRDefault="00AC09B8">
            <w:pPr>
              <w:rPr>
                <w:b/>
                <w:bCs/>
                <w:sz w:val="20"/>
                <w:szCs w:val="20"/>
              </w:rPr>
            </w:pPr>
            <w:r>
              <w:rPr>
                <w:b/>
                <w:bCs/>
                <w:sz w:val="20"/>
                <w:szCs w:val="20"/>
              </w:rPr>
              <w:t> </w:t>
            </w:r>
          </w:p>
        </w:tc>
        <w:tc>
          <w:tcPr>
            <w:tcW w:w="1307" w:type="dxa"/>
            <w:tcBorders>
              <w:top w:val="nil"/>
              <w:left w:val="nil"/>
              <w:bottom w:val="nil"/>
              <w:right w:val="nil"/>
            </w:tcBorders>
            <w:shd w:val="clear" w:color="000000" w:fill="auto"/>
            <w:noWrap/>
            <w:vAlign w:val="bottom"/>
            <w:hideMark/>
          </w:tcPr>
          <w:p w:rsidR="00AC09B8" w:rsidRDefault="00AC09B8">
            <w:r>
              <w:t> </w:t>
            </w:r>
          </w:p>
        </w:tc>
        <w:tc>
          <w:tcPr>
            <w:tcW w:w="1639" w:type="dxa"/>
            <w:tcBorders>
              <w:top w:val="nil"/>
              <w:left w:val="nil"/>
              <w:bottom w:val="nil"/>
              <w:right w:val="nil"/>
            </w:tcBorders>
            <w:shd w:val="clear" w:color="000000" w:fill="auto"/>
            <w:noWrap/>
            <w:vAlign w:val="bottom"/>
            <w:hideMark/>
          </w:tcPr>
          <w:p w:rsidR="00AC09B8" w:rsidRDefault="00AC09B8">
            <w:r>
              <w:t> </w:t>
            </w:r>
          </w:p>
        </w:tc>
        <w:tc>
          <w:tcPr>
            <w:tcW w:w="1460" w:type="dxa"/>
            <w:tcBorders>
              <w:top w:val="nil"/>
              <w:left w:val="nil"/>
              <w:bottom w:val="nil"/>
              <w:right w:val="nil"/>
            </w:tcBorders>
            <w:shd w:val="clear" w:color="000000" w:fill="auto"/>
            <w:noWrap/>
            <w:vAlign w:val="bottom"/>
            <w:hideMark/>
          </w:tcPr>
          <w:p w:rsidR="00AC09B8" w:rsidRDefault="00AC09B8">
            <w:r>
              <w:t> </w:t>
            </w:r>
          </w:p>
        </w:tc>
        <w:tc>
          <w:tcPr>
            <w:tcW w:w="1885"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 </w:t>
            </w:r>
          </w:p>
        </w:tc>
        <w:tc>
          <w:tcPr>
            <w:tcW w:w="1450" w:type="dxa"/>
            <w:tcBorders>
              <w:top w:val="nil"/>
              <w:left w:val="nil"/>
              <w:bottom w:val="nil"/>
              <w:right w:val="single" w:sz="8" w:space="0" w:color="auto"/>
            </w:tcBorders>
            <w:shd w:val="clear" w:color="000000" w:fill="auto"/>
            <w:noWrap/>
            <w:vAlign w:val="bottom"/>
            <w:hideMark/>
          </w:tcPr>
          <w:p w:rsidR="00AC09B8" w:rsidRDefault="00AC09B8">
            <w:pPr>
              <w:jc w:val="center"/>
              <w:rPr>
                <w:b/>
                <w:bCs/>
                <w:sz w:val="20"/>
                <w:szCs w:val="20"/>
              </w:rPr>
            </w:pPr>
            <w:r>
              <w:rPr>
                <w:b/>
                <w:bCs/>
                <w:sz w:val="20"/>
                <w:szCs w:val="20"/>
              </w:rPr>
              <w:t> </w:t>
            </w:r>
          </w:p>
        </w:tc>
      </w:tr>
      <w:tr w:rsidR="00AC09B8" w:rsidTr="003D3373">
        <w:trPr>
          <w:trHeight w:val="174"/>
          <w:jc w:val="center"/>
        </w:trPr>
        <w:tc>
          <w:tcPr>
            <w:tcW w:w="5014" w:type="dxa"/>
            <w:tcBorders>
              <w:top w:val="nil"/>
              <w:left w:val="single" w:sz="8" w:space="0" w:color="000000"/>
              <w:bottom w:val="nil"/>
              <w:right w:val="nil"/>
            </w:tcBorders>
            <w:shd w:val="clear" w:color="000000" w:fill="auto"/>
            <w:noWrap/>
            <w:vAlign w:val="bottom"/>
            <w:hideMark/>
          </w:tcPr>
          <w:p w:rsidR="00AC09B8" w:rsidRDefault="00AC09B8">
            <w:pPr>
              <w:rPr>
                <w:b/>
                <w:bCs/>
                <w:sz w:val="20"/>
                <w:szCs w:val="20"/>
              </w:rPr>
            </w:pPr>
            <w:r>
              <w:rPr>
                <w:b/>
                <w:bCs/>
                <w:sz w:val="20"/>
                <w:szCs w:val="20"/>
              </w:rPr>
              <w:t> </w:t>
            </w:r>
          </w:p>
        </w:tc>
        <w:tc>
          <w:tcPr>
            <w:tcW w:w="1307"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RATES AT</w:t>
            </w:r>
          </w:p>
        </w:tc>
        <w:tc>
          <w:tcPr>
            <w:tcW w:w="1639"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COMMISSION</w:t>
            </w:r>
          </w:p>
        </w:tc>
        <w:tc>
          <w:tcPr>
            <w:tcW w:w="1460"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UTILITY</w:t>
            </w:r>
          </w:p>
        </w:tc>
        <w:tc>
          <w:tcPr>
            <w:tcW w:w="1885"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STAFF</w:t>
            </w:r>
          </w:p>
        </w:tc>
        <w:tc>
          <w:tcPr>
            <w:tcW w:w="1450" w:type="dxa"/>
            <w:tcBorders>
              <w:top w:val="nil"/>
              <w:left w:val="nil"/>
              <w:bottom w:val="nil"/>
              <w:right w:val="single" w:sz="8" w:space="0" w:color="auto"/>
            </w:tcBorders>
            <w:shd w:val="clear" w:color="000000" w:fill="auto"/>
            <w:noWrap/>
            <w:vAlign w:val="bottom"/>
            <w:hideMark/>
          </w:tcPr>
          <w:p w:rsidR="00AC09B8" w:rsidRDefault="00AC09B8">
            <w:pPr>
              <w:jc w:val="center"/>
              <w:rPr>
                <w:b/>
                <w:bCs/>
                <w:sz w:val="20"/>
                <w:szCs w:val="20"/>
              </w:rPr>
            </w:pPr>
            <w:r>
              <w:rPr>
                <w:b/>
                <w:bCs/>
                <w:sz w:val="20"/>
                <w:szCs w:val="20"/>
              </w:rPr>
              <w:t>4 YEAR</w:t>
            </w:r>
          </w:p>
        </w:tc>
      </w:tr>
      <w:tr w:rsidR="00AC09B8" w:rsidTr="003D3373">
        <w:trPr>
          <w:trHeight w:val="174"/>
          <w:jc w:val="center"/>
        </w:trPr>
        <w:tc>
          <w:tcPr>
            <w:tcW w:w="5014" w:type="dxa"/>
            <w:tcBorders>
              <w:top w:val="nil"/>
              <w:left w:val="single" w:sz="8" w:space="0" w:color="000000"/>
              <w:bottom w:val="nil"/>
              <w:right w:val="nil"/>
            </w:tcBorders>
            <w:shd w:val="clear" w:color="000000" w:fill="auto"/>
            <w:noWrap/>
            <w:vAlign w:val="bottom"/>
            <w:hideMark/>
          </w:tcPr>
          <w:p w:rsidR="00AC09B8" w:rsidRDefault="00AC09B8">
            <w:pPr>
              <w:rPr>
                <w:b/>
                <w:bCs/>
                <w:sz w:val="20"/>
                <w:szCs w:val="20"/>
                <w:u w:val="single"/>
              </w:rPr>
            </w:pPr>
          </w:p>
        </w:tc>
        <w:tc>
          <w:tcPr>
            <w:tcW w:w="1307"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TIME OF</w:t>
            </w:r>
          </w:p>
        </w:tc>
        <w:tc>
          <w:tcPr>
            <w:tcW w:w="1639"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APPROVED</w:t>
            </w:r>
          </w:p>
        </w:tc>
        <w:tc>
          <w:tcPr>
            <w:tcW w:w="1460"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REQUESTED</w:t>
            </w:r>
          </w:p>
        </w:tc>
        <w:tc>
          <w:tcPr>
            <w:tcW w:w="1885" w:type="dxa"/>
            <w:tcBorders>
              <w:top w:val="nil"/>
              <w:left w:val="nil"/>
              <w:bottom w:val="nil"/>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RECOMMENDED</w:t>
            </w:r>
          </w:p>
        </w:tc>
        <w:tc>
          <w:tcPr>
            <w:tcW w:w="1450" w:type="dxa"/>
            <w:tcBorders>
              <w:top w:val="nil"/>
              <w:left w:val="nil"/>
              <w:bottom w:val="nil"/>
              <w:right w:val="single" w:sz="8" w:space="0" w:color="auto"/>
            </w:tcBorders>
            <w:shd w:val="clear" w:color="000000" w:fill="auto"/>
            <w:noWrap/>
            <w:vAlign w:val="bottom"/>
            <w:hideMark/>
          </w:tcPr>
          <w:p w:rsidR="00AC09B8" w:rsidRDefault="00AC09B8">
            <w:pPr>
              <w:jc w:val="center"/>
              <w:rPr>
                <w:b/>
                <w:bCs/>
                <w:sz w:val="20"/>
                <w:szCs w:val="20"/>
              </w:rPr>
            </w:pPr>
            <w:r>
              <w:rPr>
                <w:b/>
                <w:bCs/>
                <w:sz w:val="20"/>
                <w:szCs w:val="20"/>
              </w:rPr>
              <w:t>RATE</w:t>
            </w:r>
          </w:p>
        </w:tc>
      </w:tr>
      <w:tr w:rsidR="00AC09B8" w:rsidTr="003D3373">
        <w:trPr>
          <w:trHeight w:val="183"/>
          <w:jc w:val="center"/>
        </w:trPr>
        <w:tc>
          <w:tcPr>
            <w:tcW w:w="5014" w:type="dxa"/>
            <w:tcBorders>
              <w:top w:val="nil"/>
              <w:left w:val="single" w:sz="8" w:space="0" w:color="000000"/>
              <w:bottom w:val="single" w:sz="8" w:space="0" w:color="000000"/>
              <w:right w:val="nil"/>
            </w:tcBorders>
            <w:shd w:val="clear" w:color="000000" w:fill="auto"/>
            <w:noWrap/>
            <w:vAlign w:val="bottom"/>
            <w:hideMark/>
          </w:tcPr>
          <w:p w:rsidR="00AC09B8" w:rsidRDefault="00AC09B8">
            <w:pPr>
              <w:rPr>
                <w:b/>
                <w:bCs/>
                <w:sz w:val="20"/>
                <w:szCs w:val="20"/>
                <w:u w:val="single"/>
              </w:rPr>
            </w:pPr>
          </w:p>
        </w:tc>
        <w:tc>
          <w:tcPr>
            <w:tcW w:w="1307" w:type="dxa"/>
            <w:tcBorders>
              <w:top w:val="nil"/>
              <w:left w:val="nil"/>
              <w:bottom w:val="single" w:sz="8" w:space="0" w:color="000000"/>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FILING</w:t>
            </w:r>
          </w:p>
        </w:tc>
        <w:tc>
          <w:tcPr>
            <w:tcW w:w="1639" w:type="dxa"/>
            <w:tcBorders>
              <w:top w:val="nil"/>
              <w:left w:val="nil"/>
              <w:bottom w:val="single" w:sz="8" w:space="0" w:color="000000"/>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INTERIM</w:t>
            </w:r>
          </w:p>
        </w:tc>
        <w:tc>
          <w:tcPr>
            <w:tcW w:w="1460" w:type="dxa"/>
            <w:tcBorders>
              <w:top w:val="nil"/>
              <w:left w:val="nil"/>
              <w:bottom w:val="single" w:sz="8" w:space="0" w:color="000000"/>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RATES</w:t>
            </w:r>
          </w:p>
        </w:tc>
        <w:tc>
          <w:tcPr>
            <w:tcW w:w="1885" w:type="dxa"/>
            <w:tcBorders>
              <w:top w:val="nil"/>
              <w:left w:val="nil"/>
              <w:bottom w:val="single" w:sz="8" w:space="0" w:color="000000"/>
              <w:right w:val="nil"/>
            </w:tcBorders>
            <w:shd w:val="clear" w:color="000000" w:fill="auto"/>
            <w:noWrap/>
            <w:vAlign w:val="bottom"/>
            <w:hideMark/>
          </w:tcPr>
          <w:p w:rsidR="00AC09B8" w:rsidRDefault="00AC09B8">
            <w:pPr>
              <w:jc w:val="center"/>
              <w:rPr>
                <w:b/>
                <w:bCs/>
                <w:color w:val="000000"/>
                <w:sz w:val="20"/>
                <w:szCs w:val="20"/>
              </w:rPr>
            </w:pPr>
            <w:r>
              <w:rPr>
                <w:b/>
                <w:bCs/>
                <w:color w:val="000000"/>
                <w:sz w:val="20"/>
                <w:szCs w:val="20"/>
              </w:rPr>
              <w:t>RATES</w:t>
            </w:r>
          </w:p>
        </w:tc>
        <w:tc>
          <w:tcPr>
            <w:tcW w:w="1450" w:type="dxa"/>
            <w:tcBorders>
              <w:top w:val="nil"/>
              <w:left w:val="nil"/>
              <w:bottom w:val="single" w:sz="8" w:space="0" w:color="auto"/>
              <w:right w:val="single" w:sz="8" w:space="0" w:color="auto"/>
            </w:tcBorders>
            <w:shd w:val="clear" w:color="000000" w:fill="auto"/>
            <w:noWrap/>
            <w:vAlign w:val="bottom"/>
            <w:hideMark/>
          </w:tcPr>
          <w:p w:rsidR="00AC09B8" w:rsidRDefault="00AC09B8">
            <w:pPr>
              <w:jc w:val="center"/>
              <w:rPr>
                <w:b/>
                <w:bCs/>
                <w:sz w:val="20"/>
                <w:szCs w:val="20"/>
              </w:rPr>
            </w:pPr>
            <w:r>
              <w:rPr>
                <w:b/>
                <w:bCs/>
                <w:sz w:val="20"/>
                <w:szCs w:val="20"/>
              </w:rPr>
              <w:t>REDUCTION</w:t>
            </w:r>
          </w:p>
        </w:tc>
      </w:tr>
      <w:tr w:rsidR="00AC09B8" w:rsidTr="00AC09B8">
        <w:trPr>
          <w:trHeight w:val="183"/>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b/>
                <w:bCs/>
                <w:color w:val="000000"/>
                <w:sz w:val="20"/>
                <w:szCs w:val="20"/>
                <w:u w:val="single"/>
              </w:rPr>
            </w:pPr>
            <w:r>
              <w:rPr>
                <w:b/>
                <w:bCs/>
                <w:color w:val="000000"/>
                <w:sz w:val="20"/>
                <w:szCs w:val="20"/>
                <w:u w:val="single"/>
              </w:rPr>
              <w:t>Residential and  General Service</w:t>
            </w:r>
          </w:p>
        </w:tc>
        <w:tc>
          <w:tcPr>
            <w:tcW w:w="1307" w:type="dxa"/>
            <w:tcBorders>
              <w:top w:val="nil"/>
              <w:left w:val="nil"/>
              <w:bottom w:val="nil"/>
              <w:right w:val="nil"/>
            </w:tcBorders>
            <w:shd w:val="clear" w:color="auto" w:fill="auto"/>
            <w:noWrap/>
            <w:vAlign w:val="bottom"/>
            <w:hideMark/>
          </w:tcPr>
          <w:p w:rsidR="00AC09B8" w:rsidRDefault="00AC09B8">
            <w:pPr>
              <w:jc w:val="center"/>
              <w:rPr>
                <w:b/>
                <w:bCs/>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center"/>
              <w:rPr>
                <w:b/>
                <w:bCs/>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center"/>
              <w:rPr>
                <w:b/>
                <w:bCs/>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jc w:val="center"/>
              <w:rPr>
                <w:b/>
                <w:bCs/>
                <w:color w:val="000000"/>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Base Facility Charge by Meter Size</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5/8" x 3/4"</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$12.64</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$17.70</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$18.34</w:t>
            </w:r>
          </w:p>
        </w:tc>
        <w:tc>
          <w:tcPr>
            <w:tcW w:w="1885" w:type="dxa"/>
            <w:tcBorders>
              <w:top w:val="nil"/>
              <w:left w:val="nil"/>
              <w:bottom w:val="nil"/>
              <w:right w:val="nil"/>
            </w:tcBorders>
            <w:shd w:val="clear" w:color="auto" w:fill="auto"/>
            <w:noWrap/>
            <w:vAlign w:val="bottom"/>
            <w:hideMark/>
          </w:tcPr>
          <w:p w:rsidR="00AC09B8" w:rsidRDefault="00AC09B8" w:rsidP="00B52E25">
            <w:pPr>
              <w:jc w:val="right"/>
              <w:rPr>
                <w:sz w:val="20"/>
                <w:szCs w:val="20"/>
              </w:rPr>
            </w:pPr>
            <w:r>
              <w:rPr>
                <w:sz w:val="20"/>
                <w:szCs w:val="20"/>
              </w:rPr>
              <w:t>$15.</w:t>
            </w:r>
            <w:r w:rsidR="00B52E25">
              <w:rPr>
                <w:sz w:val="20"/>
                <w:szCs w:val="20"/>
              </w:rPr>
              <w:t>10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$0.32</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3/4"</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$18.96</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$26.54</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$27.52</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$22.65</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$0.49</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1"</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$31.60</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$44.24</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$45.86</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$37.75</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$0.81</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1-1/2"</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$63.21</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$88.49</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$91.73</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$75.50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$1.62</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2"</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$101.13</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$141.57</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$146.76</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$120.80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$2.59</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3"</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$202.27</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$312.69</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$293.54</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$241.60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$5.18</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4"</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$316.04</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$442.43</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$458.65</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$377.5</w:t>
            </w:r>
            <w:r w:rsidR="00AC09B8">
              <w:rPr>
                <w:sz w:val="20"/>
                <w:szCs w:val="20"/>
              </w:rPr>
              <w:t>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$8.09</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6"</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$632.08</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$884.86</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$917.29</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$755</w:t>
            </w:r>
            <w:r w:rsidR="00AC09B8">
              <w:rPr>
                <w:sz w:val="20"/>
                <w:szCs w:val="20"/>
              </w:rPr>
              <w:t>.00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$16.19</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8"</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$1,011.20</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$1,415.60</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$1,467.48</w:t>
            </w: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$1,208</w:t>
            </w:r>
            <w:r w:rsidR="00AC09B8">
              <w:rPr>
                <w:sz w:val="20"/>
                <w:szCs w:val="20"/>
              </w:rPr>
              <w:t>.80</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$25.90</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auto"/>
              <w:bottom w:val="nil"/>
              <w:right w:val="nil"/>
            </w:tcBorders>
            <w:shd w:val="clear" w:color="auto" w:fill="auto"/>
            <w:noWrap/>
            <w:vAlign w:val="bottom"/>
            <w:hideMark/>
          </w:tcPr>
          <w:p w:rsidR="00AC09B8" w:rsidRDefault="00AC09B8">
            <w:pPr>
              <w:rPr>
                <w:sz w:val="20"/>
                <w:szCs w:val="20"/>
              </w:rPr>
            </w:pPr>
            <w:r>
              <w:rPr>
                <w:sz w:val="20"/>
                <w:szCs w:val="20"/>
              </w:rPr>
              <w:t>RV Park</w:t>
            </w:r>
          </w:p>
        </w:tc>
        <w:tc>
          <w:tcPr>
            <w:tcW w:w="1307" w:type="dxa"/>
            <w:tcBorders>
              <w:top w:val="nil"/>
              <w:left w:val="nil"/>
              <w:bottom w:val="nil"/>
              <w:right w:val="nil"/>
            </w:tcBorders>
            <w:shd w:val="clear" w:color="auto" w:fill="auto"/>
            <w:noWrap/>
            <w:vAlign w:val="bottom"/>
            <w:hideMark/>
          </w:tcPr>
          <w:p w:rsidR="00AC09B8" w:rsidRDefault="00AC09B8">
            <w:pPr>
              <w:jc w:val="right"/>
              <w:rPr>
                <w:sz w:val="20"/>
                <w:szCs w:val="20"/>
              </w:rPr>
            </w:pPr>
            <w:r>
              <w:rPr>
                <w:sz w:val="20"/>
                <w:szCs w:val="20"/>
              </w:rPr>
              <w:t xml:space="preserve">$1,324.36 </w:t>
            </w:r>
          </w:p>
        </w:tc>
        <w:tc>
          <w:tcPr>
            <w:tcW w:w="1639" w:type="dxa"/>
            <w:tcBorders>
              <w:top w:val="nil"/>
              <w:left w:val="nil"/>
              <w:bottom w:val="nil"/>
              <w:right w:val="nil"/>
            </w:tcBorders>
            <w:shd w:val="clear" w:color="auto" w:fill="auto"/>
            <w:noWrap/>
            <w:vAlign w:val="bottom"/>
            <w:hideMark/>
          </w:tcPr>
          <w:p w:rsidR="00AC09B8" w:rsidRDefault="00AC09B8">
            <w:pPr>
              <w:jc w:val="right"/>
              <w:rPr>
                <w:sz w:val="20"/>
                <w:szCs w:val="20"/>
              </w:rPr>
            </w:pPr>
            <w:r>
              <w:rPr>
                <w:sz w:val="20"/>
                <w:szCs w:val="20"/>
              </w:rPr>
              <w:t xml:space="preserve">$1,854.00 </w:t>
            </w:r>
          </w:p>
        </w:tc>
        <w:tc>
          <w:tcPr>
            <w:tcW w:w="1460" w:type="dxa"/>
            <w:tcBorders>
              <w:top w:val="nil"/>
              <w:left w:val="nil"/>
              <w:bottom w:val="nil"/>
              <w:right w:val="nil"/>
            </w:tcBorders>
            <w:shd w:val="clear" w:color="auto" w:fill="auto"/>
            <w:noWrap/>
            <w:vAlign w:val="bottom"/>
            <w:hideMark/>
          </w:tcPr>
          <w:p w:rsidR="00AC09B8" w:rsidRDefault="00AC09B8">
            <w:pPr>
              <w:jc w:val="right"/>
              <w:rPr>
                <w:sz w:val="20"/>
                <w:szCs w:val="20"/>
              </w:rPr>
            </w:pPr>
            <w:r>
              <w:rPr>
                <w:sz w:val="20"/>
                <w:szCs w:val="20"/>
              </w:rPr>
              <w:t xml:space="preserve">$1,921.95 </w:t>
            </w:r>
          </w:p>
        </w:tc>
        <w:tc>
          <w:tcPr>
            <w:tcW w:w="1885" w:type="dxa"/>
            <w:tcBorders>
              <w:top w:val="nil"/>
              <w:left w:val="nil"/>
              <w:bottom w:val="nil"/>
              <w:right w:val="nil"/>
            </w:tcBorders>
            <w:shd w:val="clear" w:color="auto" w:fill="auto"/>
            <w:noWrap/>
            <w:vAlign w:val="bottom"/>
            <w:hideMark/>
          </w:tcPr>
          <w:p w:rsidR="00AC09B8" w:rsidRDefault="00B52E25" w:rsidP="00B52E25">
            <w:pPr>
              <w:jc w:val="right"/>
              <w:rPr>
                <w:sz w:val="20"/>
                <w:szCs w:val="20"/>
              </w:rPr>
            </w:pPr>
            <w:r>
              <w:rPr>
                <w:sz w:val="20"/>
                <w:szCs w:val="20"/>
              </w:rPr>
              <w:t>$1,343</w:t>
            </w:r>
            <w:r w:rsidR="00AC09B8">
              <w:rPr>
                <w:sz w:val="20"/>
                <w:szCs w:val="20"/>
              </w:rPr>
              <w:t>.</w:t>
            </w:r>
            <w:r>
              <w:rPr>
                <w:sz w:val="20"/>
                <w:szCs w:val="20"/>
              </w:rPr>
              <w:t>90</w:t>
            </w:r>
            <w:r w:rsidR="00AC09B8">
              <w:rPr>
                <w:sz w:val="20"/>
                <w:szCs w:val="20"/>
              </w:rPr>
              <w:t xml:space="preserve"> </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$28.81</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xml:space="preserve">Charge per 1,000 Gallons - Residential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0-3,000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$4.47</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$6.26</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$6.49</w:t>
            </w: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3,001-6,000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$5.66</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$7.92</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$8.21</w:t>
            </w: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Over 6,000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$7.88</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$11.03</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$11.44</w:t>
            </w: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0-3,000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$7.05</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$0.15</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Over 3,000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B52E25">
            <w:pPr>
              <w:jc w:val="right"/>
              <w:rPr>
                <w:sz w:val="20"/>
                <w:szCs w:val="20"/>
              </w:rPr>
            </w:pPr>
            <w:r>
              <w:rPr>
                <w:sz w:val="20"/>
                <w:szCs w:val="20"/>
              </w:rPr>
              <w:t>$7.88</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$0.17</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xml:space="preserve">Charge per 1,000 Gallons - General Service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$4.81</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$6.73</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$6.98</w:t>
            </w:r>
          </w:p>
        </w:tc>
        <w:tc>
          <w:tcPr>
            <w:tcW w:w="1885" w:type="dxa"/>
            <w:tcBorders>
              <w:top w:val="nil"/>
              <w:left w:val="nil"/>
              <w:bottom w:val="nil"/>
              <w:right w:val="nil"/>
            </w:tcBorders>
            <w:shd w:val="clear" w:color="auto" w:fill="auto"/>
            <w:noWrap/>
            <w:vAlign w:val="bottom"/>
            <w:hideMark/>
          </w:tcPr>
          <w:p w:rsidR="00AC09B8" w:rsidRDefault="00AC09B8">
            <w:pPr>
              <w:jc w:val="right"/>
              <w:rPr>
                <w:sz w:val="20"/>
                <w:szCs w:val="20"/>
              </w:rPr>
            </w:pPr>
            <w:r>
              <w:rPr>
                <w:sz w:val="20"/>
                <w:szCs w:val="20"/>
              </w:rPr>
              <w:t>$7.28</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sz w:val="20"/>
                <w:szCs w:val="20"/>
              </w:rPr>
            </w:pPr>
            <w:r>
              <w:rPr>
                <w:sz w:val="20"/>
                <w:szCs w:val="20"/>
              </w:rPr>
              <w:t>$0.15</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 </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rPr>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b/>
                <w:bCs/>
                <w:color w:val="000000"/>
                <w:sz w:val="20"/>
                <w:szCs w:val="20"/>
                <w:u w:val="single"/>
              </w:rPr>
            </w:pPr>
            <w:r>
              <w:rPr>
                <w:b/>
                <w:bCs/>
                <w:color w:val="000000"/>
                <w:sz w:val="20"/>
                <w:szCs w:val="20"/>
                <w:u w:val="single"/>
              </w:rPr>
              <w:t>Typical Residential 5/8" x 3/4" Meter Bill Comparison</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885"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p>
        </w:tc>
        <w:tc>
          <w:tcPr>
            <w:tcW w:w="1450" w:type="dxa"/>
            <w:tcBorders>
              <w:top w:val="nil"/>
              <w:left w:val="nil"/>
              <w:bottom w:val="nil"/>
              <w:right w:val="single" w:sz="8" w:space="0" w:color="auto"/>
            </w:tcBorders>
            <w:shd w:val="clear" w:color="auto" w:fill="auto"/>
            <w:noWrap/>
            <w:vAlign w:val="bottom"/>
            <w:hideMark/>
          </w:tcPr>
          <w:p w:rsidR="00AC09B8" w:rsidRDefault="00AC09B8">
            <w:pPr>
              <w:rPr>
                <w:sz w:val="20"/>
                <w:szCs w:val="20"/>
              </w:rPr>
            </w:pPr>
            <w:r>
              <w:rPr>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2,000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sidRPr="00AC09B8">
              <w:rPr>
                <w:color w:val="000000"/>
                <w:sz w:val="20"/>
                <w:szCs w:val="20"/>
              </w:rPr>
              <w:t xml:space="preserve">$21.58 </w:t>
            </w:r>
            <w:r>
              <w:rPr>
                <w:color w:val="000000"/>
                <w:sz w:val="20"/>
                <w:szCs w:val="20"/>
              </w:rPr>
              <w:t xml:space="preserve"> </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 xml:space="preserve">$30.22 </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 xml:space="preserve">$31.32 </w:t>
            </w:r>
          </w:p>
        </w:tc>
        <w:tc>
          <w:tcPr>
            <w:tcW w:w="1885" w:type="dxa"/>
            <w:tcBorders>
              <w:top w:val="nil"/>
              <w:left w:val="nil"/>
              <w:bottom w:val="nil"/>
              <w:right w:val="nil"/>
            </w:tcBorders>
            <w:shd w:val="clear" w:color="auto" w:fill="auto"/>
            <w:noWrap/>
            <w:vAlign w:val="bottom"/>
            <w:hideMark/>
          </w:tcPr>
          <w:p w:rsidR="00AC09B8" w:rsidRDefault="00B52E25">
            <w:pPr>
              <w:jc w:val="right"/>
              <w:rPr>
                <w:color w:val="000000"/>
                <w:sz w:val="20"/>
                <w:szCs w:val="20"/>
              </w:rPr>
            </w:pPr>
            <w:r>
              <w:rPr>
                <w:color w:val="000000"/>
                <w:sz w:val="20"/>
                <w:szCs w:val="20"/>
              </w:rPr>
              <w:t>$15.10</w:t>
            </w:r>
            <w:r w:rsidR="00AC09B8">
              <w:rPr>
                <w:color w:val="000000"/>
                <w:sz w:val="20"/>
                <w:szCs w:val="20"/>
              </w:rPr>
              <w:t xml:space="preserve"> </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color w:val="000000"/>
                <w:sz w:val="20"/>
                <w:szCs w:val="20"/>
              </w:rPr>
            </w:pPr>
            <w:r>
              <w:rPr>
                <w:color w:val="000000"/>
                <w:sz w:val="20"/>
                <w:szCs w:val="20"/>
              </w:rPr>
              <w:t> </w:t>
            </w:r>
          </w:p>
        </w:tc>
      </w:tr>
      <w:tr w:rsidR="00AC09B8" w:rsidTr="00AC09B8">
        <w:trPr>
          <w:trHeight w:val="174"/>
          <w:jc w:val="center"/>
        </w:trPr>
        <w:tc>
          <w:tcPr>
            <w:tcW w:w="5014" w:type="dxa"/>
            <w:tcBorders>
              <w:top w:val="nil"/>
              <w:left w:val="single" w:sz="8" w:space="0" w:color="000000"/>
              <w:bottom w:val="nil"/>
              <w:right w:val="nil"/>
            </w:tcBorders>
            <w:shd w:val="clear" w:color="auto" w:fill="auto"/>
            <w:noWrap/>
            <w:vAlign w:val="bottom"/>
            <w:hideMark/>
          </w:tcPr>
          <w:p w:rsidR="00AC09B8" w:rsidRDefault="00AC09B8">
            <w:pPr>
              <w:rPr>
                <w:color w:val="000000"/>
                <w:sz w:val="20"/>
                <w:szCs w:val="20"/>
              </w:rPr>
            </w:pPr>
            <w:r>
              <w:rPr>
                <w:color w:val="000000"/>
                <w:sz w:val="20"/>
                <w:szCs w:val="20"/>
              </w:rPr>
              <w:t>6,000 Gallons</w:t>
            </w:r>
          </w:p>
        </w:tc>
        <w:tc>
          <w:tcPr>
            <w:tcW w:w="1307"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 xml:space="preserve">$43.03 </w:t>
            </w:r>
          </w:p>
        </w:tc>
        <w:tc>
          <w:tcPr>
            <w:tcW w:w="1639"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 xml:space="preserve">$60.24 </w:t>
            </w:r>
          </w:p>
        </w:tc>
        <w:tc>
          <w:tcPr>
            <w:tcW w:w="1460" w:type="dxa"/>
            <w:tcBorders>
              <w:top w:val="nil"/>
              <w:left w:val="nil"/>
              <w:bottom w:val="nil"/>
              <w:right w:val="nil"/>
            </w:tcBorders>
            <w:shd w:val="clear" w:color="auto" w:fill="auto"/>
            <w:noWrap/>
            <w:vAlign w:val="bottom"/>
            <w:hideMark/>
          </w:tcPr>
          <w:p w:rsidR="00AC09B8" w:rsidRDefault="00AC09B8">
            <w:pPr>
              <w:jc w:val="right"/>
              <w:rPr>
                <w:color w:val="000000"/>
                <w:sz w:val="20"/>
                <w:szCs w:val="20"/>
              </w:rPr>
            </w:pPr>
            <w:r>
              <w:rPr>
                <w:color w:val="000000"/>
                <w:sz w:val="20"/>
                <w:szCs w:val="20"/>
              </w:rPr>
              <w:t xml:space="preserve">$62.44 </w:t>
            </w:r>
          </w:p>
        </w:tc>
        <w:tc>
          <w:tcPr>
            <w:tcW w:w="1885" w:type="dxa"/>
            <w:tcBorders>
              <w:top w:val="nil"/>
              <w:left w:val="nil"/>
              <w:bottom w:val="nil"/>
              <w:right w:val="nil"/>
            </w:tcBorders>
            <w:shd w:val="clear" w:color="auto" w:fill="auto"/>
            <w:noWrap/>
            <w:vAlign w:val="bottom"/>
            <w:hideMark/>
          </w:tcPr>
          <w:p w:rsidR="00AC09B8" w:rsidRDefault="00B52E25" w:rsidP="00B52E25">
            <w:pPr>
              <w:jc w:val="right"/>
              <w:rPr>
                <w:color w:val="000000"/>
                <w:sz w:val="20"/>
                <w:szCs w:val="20"/>
              </w:rPr>
            </w:pPr>
            <w:r>
              <w:rPr>
                <w:color w:val="000000"/>
                <w:sz w:val="20"/>
                <w:szCs w:val="20"/>
              </w:rPr>
              <w:t>$59</w:t>
            </w:r>
            <w:r w:rsidR="00AC09B8">
              <w:rPr>
                <w:color w:val="000000"/>
                <w:sz w:val="20"/>
                <w:szCs w:val="20"/>
              </w:rPr>
              <w:t>.</w:t>
            </w:r>
            <w:r>
              <w:rPr>
                <w:color w:val="000000"/>
                <w:sz w:val="20"/>
                <w:szCs w:val="20"/>
              </w:rPr>
              <w:t>89</w:t>
            </w:r>
            <w:r w:rsidR="00AC09B8">
              <w:rPr>
                <w:color w:val="000000"/>
                <w:sz w:val="20"/>
                <w:szCs w:val="20"/>
              </w:rPr>
              <w:t xml:space="preserve"> </w:t>
            </w:r>
          </w:p>
        </w:tc>
        <w:tc>
          <w:tcPr>
            <w:tcW w:w="1450" w:type="dxa"/>
            <w:tcBorders>
              <w:top w:val="nil"/>
              <w:left w:val="nil"/>
              <w:bottom w:val="nil"/>
              <w:right w:val="single" w:sz="8" w:space="0" w:color="auto"/>
            </w:tcBorders>
            <w:shd w:val="clear" w:color="auto" w:fill="auto"/>
            <w:noWrap/>
            <w:vAlign w:val="bottom"/>
            <w:hideMark/>
          </w:tcPr>
          <w:p w:rsidR="00AC09B8" w:rsidRDefault="00AC09B8">
            <w:pPr>
              <w:jc w:val="right"/>
              <w:rPr>
                <w:color w:val="000000"/>
                <w:sz w:val="20"/>
                <w:szCs w:val="20"/>
              </w:rPr>
            </w:pPr>
            <w:r>
              <w:rPr>
                <w:color w:val="000000"/>
                <w:sz w:val="20"/>
                <w:szCs w:val="20"/>
              </w:rPr>
              <w:t> </w:t>
            </w:r>
          </w:p>
        </w:tc>
      </w:tr>
      <w:tr w:rsidR="00AC09B8" w:rsidTr="00AC09B8">
        <w:trPr>
          <w:trHeight w:val="183"/>
          <w:jc w:val="center"/>
        </w:trPr>
        <w:tc>
          <w:tcPr>
            <w:tcW w:w="5014" w:type="dxa"/>
            <w:tcBorders>
              <w:top w:val="nil"/>
              <w:left w:val="single" w:sz="8" w:space="0" w:color="000000"/>
              <w:bottom w:val="single" w:sz="8" w:space="0" w:color="000000"/>
              <w:right w:val="nil"/>
            </w:tcBorders>
            <w:shd w:val="clear" w:color="auto" w:fill="auto"/>
            <w:noWrap/>
            <w:vAlign w:val="bottom"/>
            <w:hideMark/>
          </w:tcPr>
          <w:p w:rsidR="00AC09B8" w:rsidRDefault="00AC09B8">
            <w:pPr>
              <w:rPr>
                <w:color w:val="000000"/>
                <w:sz w:val="20"/>
                <w:szCs w:val="20"/>
              </w:rPr>
            </w:pPr>
            <w:r>
              <w:rPr>
                <w:color w:val="000000"/>
                <w:sz w:val="20"/>
                <w:szCs w:val="20"/>
              </w:rPr>
              <w:t>8,000 Gallons</w:t>
            </w:r>
          </w:p>
        </w:tc>
        <w:tc>
          <w:tcPr>
            <w:tcW w:w="1307" w:type="dxa"/>
            <w:tcBorders>
              <w:top w:val="nil"/>
              <w:left w:val="nil"/>
              <w:bottom w:val="single" w:sz="8" w:space="0" w:color="auto"/>
              <w:right w:val="nil"/>
            </w:tcBorders>
            <w:shd w:val="clear" w:color="auto" w:fill="auto"/>
            <w:noWrap/>
            <w:vAlign w:val="bottom"/>
            <w:hideMark/>
          </w:tcPr>
          <w:p w:rsidR="00AC09B8" w:rsidRDefault="00AC09B8">
            <w:pPr>
              <w:jc w:val="right"/>
              <w:rPr>
                <w:color w:val="000000"/>
                <w:sz w:val="20"/>
                <w:szCs w:val="20"/>
              </w:rPr>
            </w:pPr>
            <w:r>
              <w:rPr>
                <w:color w:val="000000"/>
                <w:sz w:val="20"/>
                <w:szCs w:val="20"/>
              </w:rPr>
              <w:t>$58.79</w:t>
            </w:r>
          </w:p>
        </w:tc>
        <w:tc>
          <w:tcPr>
            <w:tcW w:w="1639" w:type="dxa"/>
            <w:tcBorders>
              <w:top w:val="nil"/>
              <w:left w:val="nil"/>
              <w:bottom w:val="single" w:sz="8" w:space="0" w:color="auto"/>
              <w:right w:val="nil"/>
            </w:tcBorders>
            <w:shd w:val="clear" w:color="auto" w:fill="auto"/>
            <w:noWrap/>
            <w:vAlign w:val="bottom"/>
            <w:hideMark/>
          </w:tcPr>
          <w:p w:rsidR="00AC09B8" w:rsidRDefault="00AC09B8">
            <w:pPr>
              <w:jc w:val="right"/>
              <w:rPr>
                <w:color w:val="000000"/>
                <w:sz w:val="20"/>
                <w:szCs w:val="20"/>
              </w:rPr>
            </w:pPr>
            <w:r>
              <w:rPr>
                <w:color w:val="000000"/>
                <w:sz w:val="20"/>
                <w:szCs w:val="20"/>
              </w:rPr>
              <w:t>$82.30</w:t>
            </w:r>
          </w:p>
        </w:tc>
        <w:tc>
          <w:tcPr>
            <w:tcW w:w="1460" w:type="dxa"/>
            <w:tcBorders>
              <w:top w:val="nil"/>
              <w:left w:val="nil"/>
              <w:bottom w:val="single" w:sz="8" w:space="0" w:color="auto"/>
              <w:right w:val="nil"/>
            </w:tcBorders>
            <w:shd w:val="clear" w:color="auto" w:fill="auto"/>
            <w:noWrap/>
            <w:vAlign w:val="bottom"/>
            <w:hideMark/>
          </w:tcPr>
          <w:p w:rsidR="00AC09B8" w:rsidRDefault="00AC09B8">
            <w:pPr>
              <w:jc w:val="right"/>
              <w:rPr>
                <w:color w:val="000000"/>
                <w:sz w:val="20"/>
                <w:szCs w:val="20"/>
              </w:rPr>
            </w:pPr>
            <w:r>
              <w:rPr>
                <w:color w:val="000000"/>
                <w:sz w:val="20"/>
                <w:szCs w:val="20"/>
              </w:rPr>
              <w:t>$85.32</w:t>
            </w:r>
          </w:p>
        </w:tc>
        <w:tc>
          <w:tcPr>
            <w:tcW w:w="1885" w:type="dxa"/>
            <w:tcBorders>
              <w:top w:val="nil"/>
              <w:left w:val="nil"/>
              <w:bottom w:val="single" w:sz="8" w:space="0" w:color="auto"/>
              <w:right w:val="nil"/>
            </w:tcBorders>
            <w:shd w:val="clear" w:color="auto" w:fill="auto"/>
            <w:noWrap/>
            <w:vAlign w:val="bottom"/>
            <w:hideMark/>
          </w:tcPr>
          <w:p w:rsidR="00AC09B8" w:rsidRDefault="00B52E25" w:rsidP="00B52E25">
            <w:pPr>
              <w:jc w:val="right"/>
              <w:rPr>
                <w:color w:val="000000"/>
                <w:sz w:val="20"/>
                <w:szCs w:val="20"/>
              </w:rPr>
            </w:pPr>
            <w:r>
              <w:rPr>
                <w:color w:val="000000"/>
                <w:sz w:val="20"/>
                <w:szCs w:val="20"/>
              </w:rPr>
              <w:t>$75</w:t>
            </w:r>
            <w:r w:rsidR="00AC09B8">
              <w:rPr>
                <w:color w:val="000000"/>
                <w:sz w:val="20"/>
                <w:szCs w:val="20"/>
              </w:rPr>
              <w:t>.</w:t>
            </w:r>
            <w:r>
              <w:rPr>
                <w:color w:val="000000"/>
                <w:sz w:val="20"/>
                <w:szCs w:val="20"/>
              </w:rPr>
              <w:t>65</w:t>
            </w:r>
            <w:r w:rsidR="00AC09B8">
              <w:rPr>
                <w:color w:val="000000"/>
                <w:sz w:val="20"/>
                <w:szCs w:val="20"/>
              </w:rPr>
              <w:t xml:space="preserve"> </w:t>
            </w:r>
          </w:p>
        </w:tc>
        <w:tc>
          <w:tcPr>
            <w:tcW w:w="1450" w:type="dxa"/>
            <w:tcBorders>
              <w:top w:val="nil"/>
              <w:left w:val="nil"/>
              <w:bottom w:val="single" w:sz="8" w:space="0" w:color="000000"/>
              <w:right w:val="single" w:sz="8" w:space="0" w:color="auto"/>
            </w:tcBorders>
            <w:shd w:val="clear" w:color="auto" w:fill="auto"/>
            <w:noWrap/>
            <w:vAlign w:val="bottom"/>
            <w:hideMark/>
          </w:tcPr>
          <w:p w:rsidR="00AC09B8" w:rsidRDefault="00AC09B8">
            <w:pPr>
              <w:jc w:val="right"/>
              <w:rPr>
                <w:color w:val="000000"/>
                <w:sz w:val="20"/>
                <w:szCs w:val="20"/>
              </w:rPr>
            </w:pPr>
            <w:r>
              <w:rPr>
                <w:color w:val="000000"/>
                <w:sz w:val="20"/>
                <w:szCs w:val="20"/>
              </w:rPr>
              <w:t> </w:t>
            </w:r>
          </w:p>
        </w:tc>
      </w:tr>
    </w:tbl>
    <w:p w:rsidR="00AC09B8" w:rsidRDefault="00AC09B8" w:rsidP="00E275D8">
      <w:pPr>
        <w:pStyle w:val="BodyText"/>
        <w:sectPr w:rsidR="00AC09B8" w:rsidSect="007762A7">
          <w:headerReference w:type="default" r:id="rId22"/>
          <w:pgSz w:w="15840" w:h="12240" w:orient="landscape" w:code="1"/>
          <w:pgMar w:top="1440" w:right="1584" w:bottom="1440" w:left="1152" w:header="720" w:footer="720" w:gutter="0"/>
          <w:cols w:space="720"/>
          <w:formProt w:val="0"/>
          <w:docGrid w:linePitch="360"/>
        </w:sectPr>
      </w:pPr>
    </w:p>
    <w:tbl>
      <w:tblPr>
        <w:tblW w:w="12979" w:type="dxa"/>
        <w:tblInd w:w="93" w:type="dxa"/>
        <w:tblLook w:val="04A0" w:firstRow="1" w:lastRow="0" w:firstColumn="1" w:lastColumn="0" w:noHBand="0" w:noVBand="1"/>
      </w:tblPr>
      <w:tblGrid>
        <w:gridCol w:w="4063"/>
        <w:gridCol w:w="1442"/>
        <w:gridCol w:w="1572"/>
        <w:gridCol w:w="1668"/>
        <w:gridCol w:w="2070"/>
        <w:gridCol w:w="2164"/>
      </w:tblGrid>
      <w:tr w:rsidR="007762A7" w:rsidTr="007762A7">
        <w:trPr>
          <w:trHeight w:val="248"/>
        </w:trPr>
        <w:tc>
          <w:tcPr>
            <w:tcW w:w="4063" w:type="dxa"/>
            <w:tcBorders>
              <w:top w:val="single" w:sz="8" w:space="0" w:color="000000"/>
              <w:left w:val="single" w:sz="8" w:space="0" w:color="000000"/>
              <w:bottom w:val="nil"/>
              <w:right w:val="nil"/>
            </w:tcBorders>
            <w:shd w:val="clear" w:color="auto" w:fill="auto"/>
            <w:noWrap/>
            <w:vAlign w:val="bottom"/>
            <w:hideMark/>
          </w:tcPr>
          <w:p w:rsidR="007762A7" w:rsidRDefault="007762A7">
            <w:pPr>
              <w:rPr>
                <w:b/>
                <w:bCs/>
                <w:color w:val="000000"/>
                <w:sz w:val="20"/>
                <w:szCs w:val="20"/>
              </w:rPr>
            </w:pPr>
            <w:r>
              <w:rPr>
                <w:b/>
                <w:bCs/>
                <w:color w:val="000000"/>
                <w:sz w:val="20"/>
                <w:szCs w:val="20"/>
              </w:rPr>
              <w:lastRenderedPageBreak/>
              <w:t>NI FLORIDA, LLC.</w:t>
            </w:r>
          </w:p>
        </w:tc>
        <w:tc>
          <w:tcPr>
            <w:tcW w:w="1442" w:type="dxa"/>
            <w:tcBorders>
              <w:top w:val="single" w:sz="8" w:space="0" w:color="000000"/>
              <w:left w:val="nil"/>
              <w:bottom w:val="nil"/>
              <w:right w:val="nil"/>
            </w:tcBorders>
            <w:shd w:val="clear" w:color="auto" w:fill="auto"/>
            <w:noWrap/>
            <w:vAlign w:val="bottom"/>
            <w:hideMark/>
          </w:tcPr>
          <w:p w:rsidR="007762A7" w:rsidRDefault="007762A7">
            <w:r>
              <w:t> </w:t>
            </w:r>
          </w:p>
        </w:tc>
        <w:tc>
          <w:tcPr>
            <w:tcW w:w="1572" w:type="dxa"/>
            <w:tcBorders>
              <w:top w:val="single" w:sz="8" w:space="0" w:color="000000"/>
              <w:left w:val="nil"/>
              <w:bottom w:val="nil"/>
              <w:right w:val="nil"/>
            </w:tcBorders>
            <w:shd w:val="clear" w:color="auto" w:fill="auto"/>
            <w:noWrap/>
            <w:vAlign w:val="bottom"/>
            <w:hideMark/>
          </w:tcPr>
          <w:p w:rsidR="007762A7" w:rsidRDefault="007762A7">
            <w:r>
              <w:t> </w:t>
            </w:r>
          </w:p>
        </w:tc>
        <w:tc>
          <w:tcPr>
            <w:tcW w:w="1668" w:type="dxa"/>
            <w:tcBorders>
              <w:top w:val="single" w:sz="8" w:space="0" w:color="000000"/>
              <w:left w:val="nil"/>
              <w:bottom w:val="nil"/>
              <w:right w:val="nil"/>
            </w:tcBorders>
            <w:shd w:val="clear" w:color="auto" w:fill="auto"/>
            <w:noWrap/>
            <w:vAlign w:val="bottom"/>
            <w:hideMark/>
          </w:tcPr>
          <w:p w:rsidR="007762A7" w:rsidRDefault="007762A7">
            <w:r>
              <w:t> </w:t>
            </w:r>
          </w:p>
        </w:tc>
        <w:tc>
          <w:tcPr>
            <w:tcW w:w="4234" w:type="dxa"/>
            <w:gridSpan w:val="2"/>
            <w:tcBorders>
              <w:top w:val="single" w:sz="8" w:space="0" w:color="000000"/>
              <w:left w:val="nil"/>
              <w:bottom w:val="nil"/>
              <w:right w:val="single" w:sz="8" w:space="0" w:color="000000"/>
            </w:tcBorders>
            <w:shd w:val="clear" w:color="auto" w:fill="auto"/>
            <w:noWrap/>
            <w:vAlign w:val="bottom"/>
            <w:hideMark/>
          </w:tcPr>
          <w:p w:rsidR="007762A7" w:rsidRDefault="007762A7">
            <w:pPr>
              <w:jc w:val="right"/>
              <w:rPr>
                <w:b/>
                <w:bCs/>
                <w:sz w:val="20"/>
                <w:szCs w:val="20"/>
              </w:rPr>
            </w:pPr>
            <w:r>
              <w:rPr>
                <w:b/>
                <w:bCs/>
                <w:sz w:val="20"/>
                <w:szCs w:val="20"/>
              </w:rPr>
              <w:t>SCHEDULE NO. 4-B</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rsidP="0075565F">
            <w:pPr>
              <w:rPr>
                <w:b/>
                <w:bCs/>
                <w:color w:val="000000"/>
                <w:sz w:val="20"/>
                <w:szCs w:val="20"/>
              </w:rPr>
            </w:pPr>
            <w:r>
              <w:rPr>
                <w:b/>
                <w:bCs/>
                <w:color w:val="000000"/>
                <w:sz w:val="20"/>
                <w:szCs w:val="20"/>
              </w:rPr>
              <w:t xml:space="preserve">TEST YEAR ENDED </w:t>
            </w:r>
            <w:r w:rsidR="0075565F">
              <w:rPr>
                <w:b/>
                <w:bCs/>
                <w:color w:val="000000"/>
                <w:sz w:val="20"/>
                <w:szCs w:val="20"/>
              </w:rPr>
              <w:t>12/31/15</w:t>
            </w:r>
          </w:p>
        </w:tc>
        <w:tc>
          <w:tcPr>
            <w:tcW w:w="1442" w:type="dxa"/>
            <w:tcBorders>
              <w:top w:val="nil"/>
              <w:left w:val="nil"/>
              <w:bottom w:val="nil"/>
              <w:right w:val="nil"/>
            </w:tcBorders>
            <w:shd w:val="clear" w:color="auto" w:fill="auto"/>
            <w:noWrap/>
            <w:vAlign w:val="bottom"/>
            <w:hideMark/>
          </w:tcPr>
          <w:p w:rsidR="007762A7" w:rsidRDefault="007762A7">
            <w:pPr>
              <w:rPr>
                <w:b/>
                <w:bCs/>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rPr>
                <w:b/>
                <w:bCs/>
                <w:color w:val="000000"/>
                <w:sz w:val="20"/>
                <w:szCs w:val="20"/>
              </w:rPr>
            </w:pPr>
          </w:p>
        </w:tc>
        <w:tc>
          <w:tcPr>
            <w:tcW w:w="4234" w:type="dxa"/>
            <w:gridSpan w:val="2"/>
            <w:tcBorders>
              <w:top w:val="nil"/>
              <w:left w:val="nil"/>
              <w:bottom w:val="nil"/>
              <w:right w:val="single" w:sz="8" w:space="0" w:color="auto"/>
            </w:tcBorders>
            <w:shd w:val="clear" w:color="auto" w:fill="auto"/>
            <w:noWrap/>
            <w:vAlign w:val="bottom"/>
            <w:hideMark/>
          </w:tcPr>
          <w:p w:rsidR="007762A7" w:rsidRDefault="007762A7">
            <w:pPr>
              <w:jc w:val="right"/>
              <w:rPr>
                <w:b/>
                <w:bCs/>
                <w:color w:val="000000"/>
                <w:sz w:val="20"/>
                <w:szCs w:val="20"/>
              </w:rPr>
            </w:pPr>
            <w:r>
              <w:rPr>
                <w:b/>
                <w:bCs/>
                <w:color w:val="000000"/>
                <w:sz w:val="20"/>
                <w:szCs w:val="20"/>
              </w:rPr>
              <w:t>DOCKET NO. 160030-WS</w:t>
            </w:r>
          </w:p>
        </w:tc>
      </w:tr>
      <w:tr w:rsidR="007762A7" w:rsidTr="007762A7">
        <w:trPr>
          <w:trHeight w:val="248"/>
        </w:trPr>
        <w:tc>
          <w:tcPr>
            <w:tcW w:w="4063" w:type="dxa"/>
            <w:tcBorders>
              <w:top w:val="nil"/>
              <w:left w:val="single" w:sz="8" w:space="0" w:color="000000"/>
              <w:bottom w:val="nil"/>
              <w:right w:val="nil"/>
            </w:tcBorders>
            <w:shd w:val="clear" w:color="auto" w:fill="auto"/>
            <w:noWrap/>
            <w:vAlign w:val="bottom"/>
            <w:hideMark/>
          </w:tcPr>
          <w:p w:rsidR="007762A7" w:rsidRDefault="007762A7">
            <w:pPr>
              <w:rPr>
                <w:b/>
                <w:bCs/>
                <w:color w:val="000000"/>
                <w:sz w:val="20"/>
                <w:szCs w:val="20"/>
              </w:rPr>
            </w:pPr>
            <w:r>
              <w:rPr>
                <w:b/>
                <w:bCs/>
                <w:color w:val="000000"/>
                <w:sz w:val="20"/>
                <w:szCs w:val="20"/>
              </w:rPr>
              <w:t xml:space="preserve">MONTHLY WASTEWATER RATES </w:t>
            </w:r>
          </w:p>
        </w:tc>
        <w:tc>
          <w:tcPr>
            <w:tcW w:w="1442" w:type="dxa"/>
            <w:tcBorders>
              <w:top w:val="nil"/>
              <w:left w:val="nil"/>
              <w:bottom w:val="single" w:sz="8" w:space="0" w:color="auto"/>
              <w:right w:val="nil"/>
            </w:tcBorders>
            <w:shd w:val="clear" w:color="auto" w:fill="auto"/>
            <w:noWrap/>
            <w:vAlign w:val="bottom"/>
            <w:hideMark/>
          </w:tcPr>
          <w:p w:rsidR="007762A7" w:rsidRDefault="007762A7">
            <w:pPr>
              <w:rPr>
                <w:b/>
                <w:bCs/>
                <w:color w:val="000000"/>
                <w:sz w:val="20"/>
                <w:szCs w:val="20"/>
              </w:rPr>
            </w:pPr>
            <w:r>
              <w:rPr>
                <w:b/>
                <w:bCs/>
                <w:color w:val="000000"/>
                <w:sz w:val="20"/>
                <w:szCs w:val="20"/>
              </w:rPr>
              <w:t> </w:t>
            </w:r>
          </w:p>
        </w:tc>
        <w:tc>
          <w:tcPr>
            <w:tcW w:w="1572" w:type="dxa"/>
            <w:tcBorders>
              <w:top w:val="nil"/>
              <w:left w:val="nil"/>
              <w:bottom w:val="nil"/>
              <w:right w:val="nil"/>
            </w:tcBorders>
            <w:shd w:val="clear" w:color="auto" w:fill="auto"/>
            <w:noWrap/>
            <w:vAlign w:val="bottom"/>
            <w:hideMark/>
          </w:tcPr>
          <w:p w:rsidR="007762A7" w:rsidRDefault="007762A7">
            <w:pP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rPr>
                <w:b/>
                <w:bCs/>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rPr>
                <w:rFonts w:ascii="Arial" w:hAnsi="Arial" w:cs="Arial"/>
              </w:rPr>
            </w:pPr>
          </w:p>
        </w:tc>
        <w:tc>
          <w:tcPr>
            <w:tcW w:w="2164" w:type="dxa"/>
            <w:tcBorders>
              <w:top w:val="nil"/>
              <w:left w:val="nil"/>
              <w:bottom w:val="single" w:sz="8" w:space="0" w:color="auto"/>
              <w:right w:val="single" w:sz="8" w:space="0" w:color="auto"/>
            </w:tcBorders>
            <w:shd w:val="clear" w:color="auto" w:fill="auto"/>
            <w:noWrap/>
            <w:vAlign w:val="bottom"/>
            <w:hideMark/>
          </w:tcPr>
          <w:p w:rsidR="007762A7" w:rsidRDefault="007762A7">
            <w:pPr>
              <w:rPr>
                <w:rFonts w:ascii="Arial" w:hAnsi="Arial" w:cs="Arial"/>
              </w:rPr>
            </w:pPr>
            <w:r>
              <w:rPr>
                <w:rFonts w:ascii="Arial" w:hAnsi="Arial" w:cs="Arial"/>
              </w:rPr>
              <w:t> </w:t>
            </w:r>
          </w:p>
        </w:tc>
      </w:tr>
      <w:tr w:rsidR="007762A7" w:rsidTr="007762A7">
        <w:trPr>
          <w:trHeight w:val="248"/>
        </w:trPr>
        <w:tc>
          <w:tcPr>
            <w:tcW w:w="4063" w:type="dxa"/>
            <w:tcBorders>
              <w:top w:val="single" w:sz="8" w:space="0" w:color="000000"/>
              <w:left w:val="single" w:sz="8" w:space="0" w:color="000000"/>
              <w:bottom w:val="nil"/>
              <w:right w:val="nil"/>
            </w:tcBorders>
            <w:shd w:val="clear" w:color="000000" w:fill="FFFFFF" w:themeFill="background1"/>
            <w:noWrap/>
            <w:vAlign w:val="bottom"/>
            <w:hideMark/>
          </w:tcPr>
          <w:p w:rsidR="007762A7" w:rsidRDefault="007762A7">
            <w:pPr>
              <w:rPr>
                <w:b/>
                <w:bCs/>
                <w:sz w:val="20"/>
                <w:szCs w:val="20"/>
              </w:rPr>
            </w:pPr>
            <w:r>
              <w:rPr>
                <w:b/>
                <w:bCs/>
                <w:sz w:val="20"/>
                <w:szCs w:val="20"/>
              </w:rPr>
              <w:t> </w:t>
            </w:r>
          </w:p>
        </w:tc>
        <w:tc>
          <w:tcPr>
            <w:tcW w:w="1442" w:type="dxa"/>
            <w:tcBorders>
              <w:top w:val="nil"/>
              <w:left w:val="nil"/>
              <w:bottom w:val="nil"/>
              <w:right w:val="nil"/>
            </w:tcBorders>
            <w:shd w:val="clear" w:color="000000" w:fill="FFFFFF" w:themeFill="background1"/>
            <w:noWrap/>
            <w:vAlign w:val="bottom"/>
            <w:hideMark/>
          </w:tcPr>
          <w:p w:rsidR="007762A7" w:rsidRDefault="007762A7">
            <w:r>
              <w:t> </w:t>
            </w:r>
          </w:p>
        </w:tc>
        <w:tc>
          <w:tcPr>
            <w:tcW w:w="1572" w:type="dxa"/>
            <w:tcBorders>
              <w:top w:val="single" w:sz="8" w:space="0" w:color="auto"/>
              <w:left w:val="nil"/>
              <w:bottom w:val="nil"/>
              <w:right w:val="nil"/>
            </w:tcBorders>
            <w:shd w:val="clear" w:color="000000" w:fill="FFFFFF" w:themeFill="background1"/>
            <w:noWrap/>
            <w:vAlign w:val="bottom"/>
            <w:hideMark/>
          </w:tcPr>
          <w:p w:rsidR="007762A7" w:rsidRDefault="007762A7">
            <w:r>
              <w:t> </w:t>
            </w:r>
          </w:p>
        </w:tc>
        <w:tc>
          <w:tcPr>
            <w:tcW w:w="1668" w:type="dxa"/>
            <w:tcBorders>
              <w:top w:val="single" w:sz="8" w:space="0" w:color="auto"/>
              <w:left w:val="nil"/>
              <w:bottom w:val="nil"/>
              <w:right w:val="nil"/>
            </w:tcBorders>
            <w:shd w:val="clear" w:color="000000" w:fill="FFFFFF" w:themeFill="background1"/>
            <w:noWrap/>
            <w:vAlign w:val="bottom"/>
            <w:hideMark/>
          </w:tcPr>
          <w:p w:rsidR="007762A7" w:rsidRDefault="007762A7">
            <w:r>
              <w:t> </w:t>
            </w:r>
          </w:p>
        </w:tc>
        <w:tc>
          <w:tcPr>
            <w:tcW w:w="2070" w:type="dxa"/>
            <w:tcBorders>
              <w:top w:val="single" w:sz="8" w:space="0" w:color="auto"/>
              <w:left w:val="nil"/>
              <w:bottom w:val="nil"/>
              <w:right w:val="nil"/>
            </w:tcBorders>
            <w:shd w:val="clear" w:color="000000" w:fill="FFFFFF" w:themeFill="background1"/>
            <w:noWrap/>
            <w:vAlign w:val="bottom"/>
            <w:hideMark/>
          </w:tcPr>
          <w:p w:rsidR="007762A7" w:rsidRDefault="007762A7">
            <w:r>
              <w:t> </w:t>
            </w:r>
          </w:p>
        </w:tc>
        <w:tc>
          <w:tcPr>
            <w:tcW w:w="2164" w:type="dxa"/>
            <w:tcBorders>
              <w:top w:val="nil"/>
              <w:left w:val="nil"/>
              <w:bottom w:val="nil"/>
              <w:right w:val="single" w:sz="8" w:space="0" w:color="auto"/>
            </w:tcBorders>
            <w:shd w:val="clear" w:color="000000" w:fill="FFFFFF" w:themeFill="background1"/>
            <w:noWrap/>
            <w:vAlign w:val="bottom"/>
            <w:hideMark/>
          </w:tcPr>
          <w:p w:rsidR="007762A7" w:rsidRDefault="007762A7">
            <w:pPr>
              <w:jc w:val="center"/>
              <w:rPr>
                <w:b/>
                <w:bCs/>
                <w:sz w:val="20"/>
                <w:szCs w:val="20"/>
              </w:rPr>
            </w:pPr>
            <w:r>
              <w:rPr>
                <w:b/>
                <w:bCs/>
                <w:sz w:val="20"/>
                <w:szCs w:val="20"/>
              </w:rPr>
              <w:t> </w:t>
            </w:r>
          </w:p>
        </w:tc>
      </w:tr>
      <w:tr w:rsidR="007762A7" w:rsidTr="007762A7">
        <w:trPr>
          <w:trHeight w:val="237"/>
        </w:trPr>
        <w:tc>
          <w:tcPr>
            <w:tcW w:w="4063" w:type="dxa"/>
            <w:tcBorders>
              <w:top w:val="nil"/>
              <w:left w:val="single" w:sz="8" w:space="0" w:color="000000"/>
              <w:bottom w:val="nil"/>
              <w:right w:val="nil"/>
            </w:tcBorders>
            <w:shd w:val="clear" w:color="000000" w:fill="FFFFFF" w:themeFill="background1"/>
            <w:noWrap/>
            <w:vAlign w:val="bottom"/>
            <w:hideMark/>
          </w:tcPr>
          <w:p w:rsidR="007762A7" w:rsidRDefault="007762A7">
            <w:pPr>
              <w:rPr>
                <w:b/>
                <w:bCs/>
                <w:sz w:val="20"/>
                <w:szCs w:val="20"/>
              </w:rPr>
            </w:pPr>
            <w:r>
              <w:rPr>
                <w:b/>
                <w:bCs/>
                <w:sz w:val="20"/>
                <w:szCs w:val="20"/>
              </w:rPr>
              <w:t> </w:t>
            </w:r>
          </w:p>
        </w:tc>
        <w:tc>
          <w:tcPr>
            <w:tcW w:w="1442"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RATES AT</w:t>
            </w:r>
          </w:p>
        </w:tc>
        <w:tc>
          <w:tcPr>
            <w:tcW w:w="1572"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COMMISSION</w:t>
            </w:r>
          </w:p>
        </w:tc>
        <w:tc>
          <w:tcPr>
            <w:tcW w:w="1668"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UTILITY</w:t>
            </w:r>
          </w:p>
        </w:tc>
        <w:tc>
          <w:tcPr>
            <w:tcW w:w="2070"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STAFF</w:t>
            </w:r>
          </w:p>
        </w:tc>
        <w:tc>
          <w:tcPr>
            <w:tcW w:w="2164" w:type="dxa"/>
            <w:tcBorders>
              <w:top w:val="nil"/>
              <w:left w:val="nil"/>
              <w:bottom w:val="nil"/>
              <w:right w:val="single" w:sz="8" w:space="0" w:color="auto"/>
            </w:tcBorders>
            <w:shd w:val="clear" w:color="000000" w:fill="FFFFFF" w:themeFill="background1"/>
            <w:noWrap/>
            <w:vAlign w:val="bottom"/>
            <w:hideMark/>
          </w:tcPr>
          <w:p w:rsidR="007762A7" w:rsidRDefault="007762A7">
            <w:pPr>
              <w:jc w:val="center"/>
              <w:rPr>
                <w:b/>
                <w:bCs/>
                <w:sz w:val="20"/>
                <w:szCs w:val="20"/>
              </w:rPr>
            </w:pPr>
            <w:r>
              <w:rPr>
                <w:b/>
                <w:bCs/>
                <w:sz w:val="20"/>
                <w:szCs w:val="20"/>
              </w:rPr>
              <w:t>4 YEAR</w:t>
            </w:r>
          </w:p>
        </w:tc>
      </w:tr>
      <w:tr w:rsidR="007762A7" w:rsidTr="007762A7">
        <w:trPr>
          <w:trHeight w:val="237"/>
        </w:trPr>
        <w:tc>
          <w:tcPr>
            <w:tcW w:w="4063" w:type="dxa"/>
            <w:tcBorders>
              <w:top w:val="nil"/>
              <w:left w:val="single" w:sz="8" w:space="0" w:color="000000"/>
              <w:bottom w:val="nil"/>
              <w:right w:val="nil"/>
            </w:tcBorders>
            <w:shd w:val="clear" w:color="000000" w:fill="FFFFFF" w:themeFill="background1"/>
            <w:noWrap/>
            <w:vAlign w:val="bottom"/>
            <w:hideMark/>
          </w:tcPr>
          <w:p w:rsidR="007762A7" w:rsidRDefault="007762A7">
            <w:pPr>
              <w:rPr>
                <w:b/>
                <w:bCs/>
                <w:sz w:val="20"/>
                <w:szCs w:val="20"/>
                <w:u w:val="single"/>
              </w:rPr>
            </w:pPr>
          </w:p>
        </w:tc>
        <w:tc>
          <w:tcPr>
            <w:tcW w:w="1442"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TIME OF</w:t>
            </w:r>
          </w:p>
        </w:tc>
        <w:tc>
          <w:tcPr>
            <w:tcW w:w="1572"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APPROVED</w:t>
            </w:r>
          </w:p>
        </w:tc>
        <w:tc>
          <w:tcPr>
            <w:tcW w:w="1668"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REQUESTED</w:t>
            </w:r>
          </w:p>
        </w:tc>
        <w:tc>
          <w:tcPr>
            <w:tcW w:w="2070" w:type="dxa"/>
            <w:tcBorders>
              <w:top w:val="nil"/>
              <w:left w:val="nil"/>
              <w:bottom w:val="nil"/>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RECOMMENDED</w:t>
            </w:r>
          </w:p>
        </w:tc>
        <w:tc>
          <w:tcPr>
            <w:tcW w:w="2164" w:type="dxa"/>
            <w:tcBorders>
              <w:top w:val="nil"/>
              <w:left w:val="nil"/>
              <w:bottom w:val="nil"/>
              <w:right w:val="single" w:sz="8" w:space="0" w:color="auto"/>
            </w:tcBorders>
            <w:shd w:val="clear" w:color="000000" w:fill="FFFFFF" w:themeFill="background1"/>
            <w:noWrap/>
            <w:vAlign w:val="bottom"/>
            <w:hideMark/>
          </w:tcPr>
          <w:p w:rsidR="007762A7" w:rsidRDefault="007762A7">
            <w:pPr>
              <w:jc w:val="center"/>
              <w:rPr>
                <w:b/>
                <w:bCs/>
                <w:sz w:val="20"/>
                <w:szCs w:val="20"/>
              </w:rPr>
            </w:pPr>
            <w:r>
              <w:rPr>
                <w:b/>
                <w:bCs/>
                <w:sz w:val="20"/>
                <w:szCs w:val="20"/>
              </w:rPr>
              <w:t>RATE</w:t>
            </w:r>
          </w:p>
        </w:tc>
      </w:tr>
      <w:tr w:rsidR="007762A7" w:rsidTr="007762A7">
        <w:trPr>
          <w:trHeight w:val="248"/>
        </w:trPr>
        <w:tc>
          <w:tcPr>
            <w:tcW w:w="4063" w:type="dxa"/>
            <w:tcBorders>
              <w:top w:val="nil"/>
              <w:left w:val="single" w:sz="8" w:space="0" w:color="000000"/>
              <w:bottom w:val="single" w:sz="8" w:space="0" w:color="000000"/>
              <w:right w:val="nil"/>
            </w:tcBorders>
            <w:shd w:val="clear" w:color="000000" w:fill="FFFFFF" w:themeFill="background1"/>
            <w:noWrap/>
            <w:vAlign w:val="bottom"/>
            <w:hideMark/>
          </w:tcPr>
          <w:p w:rsidR="007762A7" w:rsidRDefault="007762A7">
            <w:pPr>
              <w:rPr>
                <w:b/>
                <w:bCs/>
                <w:sz w:val="20"/>
                <w:szCs w:val="20"/>
                <w:u w:val="single"/>
              </w:rPr>
            </w:pPr>
          </w:p>
        </w:tc>
        <w:tc>
          <w:tcPr>
            <w:tcW w:w="1442" w:type="dxa"/>
            <w:tcBorders>
              <w:top w:val="nil"/>
              <w:left w:val="nil"/>
              <w:bottom w:val="single" w:sz="8" w:space="0" w:color="000000"/>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FILING</w:t>
            </w:r>
          </w:p>
        </w:tc>
        <w:tc>
          <w:tcPr>
            <w:tcW w:w="1572" w:type="dxa"/>
            <w:tcBorders>
              <w:top w:val="nil"/>
              <w:left w:val="nil"/>
              <w:bottom w:val="single" w:sz="8" w:space="0" w:color="000000"/>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INTERIM</w:t>
            </w:r>
          </w:p>
        </w:tc>
        <w:tc>
          <w:tcPr>
            <w:tcW w:w="1668" w:type="dxa"/>
            <w:tcBorders>
              <w:top w:val="nil"/>
              <w:left w:val="nil"/>
              <w:bottom w:val="single" w:sz="8" w:space="0" w:color="000000"/>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RATES</w:t>
            </w:r>
          </w:p>
        </w:tc>
        <w:tc>
          <w:tcPr>
            <w:tcW w:w="2070" w:type="dxa"/>
            <w:tcBorders>
              <w:top w:val="nil"/>
              <w:left w:val="nil"/>
              <w:bottom w:val="single" w:sz="8" w:space="0" w:color="000000"/>
              <w:right w:val="nil"/>
            </w:tcBorders>
            <w:shd w:val="clear" w:color="000000" w:fill="FFFFFF" w:themeFill="background1"/>
            <w:noWrap/>
            <w:vAlign w:val="bottom"/>
            <w:hideMark/>
          </w:tcPr>
          <w:p w:rsidR="007762A7" w:rsidRDefault="007762A7">
            <w:pPr>
              <w:jc w:val="center"/>
              <w:rPr>
                <w:b/>
                <w:bCs/>
                <w:color w:val="000000"/>
                <w:sz w:val="20"/>
                <w:szCs w:val="20"/>
              </w:rPr>
            </w:pPr>
            <w:r>
              <w:rPr>
                <w:b/>
                <w:bCs/>
                <w:color w:val="000000"/>
                <w:sz w:val="20"/>
                <w:szCs w:val="20"/>
              </w:rPr>
              <w:t>RATES</w:t>
            </w:r>
          </w:p>
        </w:tc>
        <w:tc>
          <w:tcPr>
            <w:tcW w:w="2164" w:type="dxa"/>
            <w:tcBorders>
              <w:top w:val="nil"/>
              <w:left w:val="nil"/>
              <w:bottom w:val="single" w:sz="8" w:space="0" w:color="auto"/>
              <w:right w:val="single" w:sz="8" w:space="0" w:color="auto"/>
            </w:tcBorders>
            <w:shd w:val="clear" w:color="000000" w:fill="FFFFFF" w:themeFill="background1"/>
            <w:noWrap/>
            <w:vAlign w:val="bottom"/>
            <w:hideMark/>
          </w:tcPr>
          <w:p w:rsidR="007762A7" w:rsidRDefault="007762A7">
            <w:pPr>
              <w:jc w:val="center"/>
              <w:rPr>
                <w:b/>
                <w:bCs/>
                <w:sz w:val="20"/>
                <w:szCs w:val="20"/>
              </w:rPr>
            </w:pPr>
            <w:r>
              <w:rPr>
                <w:b/>
                <w:bCs/>
                <w:sz w:val="20"/>
                <w:szCs w:val="20"/>
              </w:rPr>
              <w:t>REDUCTION</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b/>
                <w:bCs/>
                <w:sz w:val="20"/>
                <w:szCs w:val="20"/>
                <w:u w:val="single"/>
              </w:rPr>
            </w:pPr>
            <w:r>
              <w:rPr>
                <w:b/>
                <w:bCs/>
                <w:sz w:val="20"/>
                <w:szCs w:val="20"/>
                <w:u w:val="single"/>
              </w:rPr>
              <w:t>Residential</w:t>
            </w:r>
          </w:p>
        </w:tc>
        <w:tc>
          <w:tcPr>
            <w:tcW w:w="144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r>
              <w:rPr>
                <w:b/>
                <w:bCs/>
                <w:color w:val="000000"/>
                <w:sz w:val="20"/>
                <w:szCs w:val="20"/>
              </w:rPr>
              <w:t> </w:t>
            </w: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Base Facility Charge - All Meter Sizes</w:t>
            </w:r>
          </w:p>
        </w:tc>
        <w:tc>
          <w:tcPr>
            <w:tcW w:w="144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 </w:t>
            </w:r>
          </w:p>
        </w:tc>
        <w:tc>
          <w:tcPr>
            <w:tcW w:w="144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 xml:space="preserve">Charge Per 1,000 gallons </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$20.95 </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$24.66 </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$26.12 </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$26.03 </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$0.27</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6,000 gallon cap</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$6.90 </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$0.07</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8,000 gallon cap</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$6.87 </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$8.09 </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$8.56 </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u w:val="single"/>
              </w:rPr>
            </w:pP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b/>
                <w:bCs/>
                <w:color w:val="000000"/>
                <w:sz w:val="20"/>
                <w:szCs w:val="20"/>
                <w:u w:val="single"/>
              </w:rPr>
            </w:pPr>
            <w:r>
              <w:rPr>
                <w:b/>
                <w:bCs/>
                <w:color w:val="000000"/>
                <w:sz w:val="20"/>
                <w:szCs w:val="20"/>
                <w:u w:val="single"/>
              </w:rPr>
              <w:t>General Service</w:t>
            </w:r>
          </w:p>
        </w:tc>
        <w:tc>
          <w:tcPr>
            <w:tcW w:w="144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center"/>
              <w:rPr>
                <w:b/>
                <w:bCs/>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Base Facility Charge by Meter Size</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5/8" x 3/4"</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$20.95</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$24.66</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$26.12</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$26.03</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$0.27</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3/4"</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$31.43</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$36.99</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$39.18</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$39.05</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$0.41</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1"</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$52.38</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$61.65</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$65.30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$65.08</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$0.68</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1-1/2"</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$105.46</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$123.30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$130.60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$130.15</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$1.35</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2"</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$167.64</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$197.28</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$208.96</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$208.24</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$2.16</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3"</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$335.27</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$394.56</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$391.80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$416.48</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$4.33</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4"</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$523.86</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$616.50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$653.00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$650.75</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$6.76</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6"</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$1,047.73</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$1,233.00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$1,306.00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$1,301.50</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$13.52</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8"</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$1,676.37</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$1,972.80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$2,089.60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$2,082.40</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$21.63</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10"</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$2,409.78</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$2,835.90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$3,003.80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$2,993.45</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$31.10</w:t>
            </w:r>
          </w:p>
        </w:tc>
      </w:tr>
      <w:tr w:rsidR="00DC22D3" w:rsidTr="007762A7">
        <w:trPr>
          <w:trHeight w:val="237"/>
        </w:trPr>
        <w:tc>
          <w:tcPr>
            <w:tcW w:w="4063" w:type="dxa"/>
            <w:tcBorders>
              <w:top w:val="nil"/>
              <w:left w:val="single" w:sz="8" w:space="0" w:color="000000"/>
              <w:bottom w:val="nil"/>
              <w:right w:val="nil"/>
            </w:tcBorders>
            <w:shd w:val="clear" w:color="auto" w:fill="auto"/>
            <w:noWrap/>
            <w:vAlign w:val="bottom"/>
            <w:hideMark/>
          </w:tcPr>
          <w:p w:rsidR="00DC22D3" w:rsidRDefault="00DC22D3" w:rsidP="0075565F">
            <w:pPr>
              <w:rPr>
                <w:sz w:val="20"/>
                <w:szCs w:val="20"/>
              </w:rPr>
            </w:pPr>
            <w:r>
              <w:rPr>
                <w:sz w:val="20"/>
                <w:szCs w:val="20"/>
              </w:rPr>
              <w:t xml:space="preserve">Mobile Home Park </w:t>
            </w:r>
          </w:p>
        </w:tc>
        <w:tc>
          <w:tcPr>
            <w:tcW w:w="1442" w:type="dxa"/>
            <w:tcBorders>
              <w:top w:val="nil"/>
              <w:left w:val="nil"/>
              <w:bottom w:val="nil"/>
              <w:right w:val="nil"/>
            </w:tcBorders>
            <w:shd w:val="clear" w:color="auto" w:fill="auto"/>
            <w:noWrap/>
            <w:vAlign w:val="bottom"/>
            <w:hideMark/>
          </w:tcPr>
          <w:p w:rsidR="00DC22D3" w:rsidRDefault="00DC22D3">
            <w:pPr>
              <w:jc w:val="right"/>
              <w:rPr>
                <w:color w:val="000000"/>
                <w:sz w:val="20"/>
                <w:szCs w:val="20"/>
              </w:rPr>
            </w:pPr>
            <w:r>
              <w:rPr>
                <w:color w:val="000000"/>
                <w:sz w:val="20"/>
                <w:szCs w:val="20"/>
              </w:rPr>
              <w:t>$523.86</w:t>
            </w:r>
          </w:p>
        </w:tc>
        <w:tc>
          <w:tcPr>
            <w:tcW w:w="1572" w:type="dxa"/>
            <w:tcBorders>
              <w:top w:val="nil"/>
              <w:left w:val="nil"/>
              <w:bottom w:val="nil"/>
              <w:right w:val="nil"/>
            </w:tcBorders>
            <w:shd w:val="clear" w:color="auto" w:fill="auto"/>
            <w:noWrap/>
            <w:vAlign w:val="bottom"/>
            <w:hideMark/>
          </w:tcPr>
          <w:p w:rsidR="00DC22D3" w:rsidRDefault="00DC22D3" w:rsidP="004001A3">
            <w:pPr>
              <w:jc w:val="right"/>
              <w:rPr>
                <w:color w:val="000000"/>
                <w:sz w:val="20"/>
                <w:szCs w:val="20"/>
              </w:rPr>
            </w:pPr>
            <w:r>
              <w:rPr>
                <w:color w:val="000000"/>
                <w:sz w:val="20"/>
                <w:szCs w:val="20"/>
              </w:rPr>
              <w:t>$616.50</w:t>
            </w:r>
          </w:p>
        </w:tc>
        <w:tc>
          <w:tcPr>
            <w:tcW w:w="1668" w:type="dxa"/>
            <w:tcBorders>
              <w:top w:val="nil"/>
              <w:left w:val="nil"/>
              <w:bottom w:val="nil"/>
              <w:right w:val="nil"/>
            </w:tcBorders>
            <w:shd w:val="clear" w:color="auto" w:fill="auto"/>
            <w:noWrap/>
            <w:vAlign w:val="bottom"/>
            <w:hideMark/>
          </w:tcPr>
          <w:p w:rsidR="00DC22D3" w:rsidRDefault="00DC22D3" w:rsidP="004001A3">
            <w:pPr>
              <w:jc w:val="right"/>
              <w:rPr>
                <w:color w:val="000000"/>
                <w:sz w:val="20"/>
                <w:szCs w:val="20"/>
              </w:rPr>
            </w:pPr>
            <w:r>
              <w:rPr>
                <w:color w:val="000000"/>
                <w:sz w:val="20"/>
                <w:szCs w:val="20"/>
              </w:rPr>
              <w:t>$653.00</w:t>
            </w:r>
          </w:p>
        </w:tc>
        <w:tc>
          <w:tcPr>
            <w:tcW w:w="2070" w:type="dxa"/>
            <w:tcBorders>
              <w:top w:val="nil"/>
              <w:left w:val="nil"/>
              <w:bottom w:val="nil"/>
              <w:right w:val="nil"/>
            </w:tcBorders>
            <w:shd w:val="clear" w:color="auto" w:fill="auto"/>
            <w:noWrap/>
            <w:vAlign w:val="bottom"/>
            <w:hideMark/>
          </w:tcPr>
          <w:p w:rsidR="00DC22D3" w:rsidRDefault="00DC22D3">
            <w:pPr>
              <w:jc w:val="right"/>
              <w:rPr>
                <w:color w:val="000000"/>
                <w:sz w:val="20"/>
                <w:szCs w:val="20"/>
              </w:rPr>
            </w:pPr>
            <w:r>
              <w:rPr>
                <w:color w:val="000000"/>
                <w:sz w:val="20"/>
                <w:szCs w:val="20"/>
              </w:rPr>
              <w:t>$9,891.40</w:t>
            </w:r>
          </w:p>
        </w:tc>
        <w:tc>
          <w:tcPr>
            <w:tcW w:w="2164" w:type="dxa"/>
            <w:tcBorders>
              <w:top w:val="nil"/>
              <w:left w:val="nil"/>
              <w:bottom w:val="nil"/>
              <w:right w:val="single" w:sz="8" w:space="0" w:color="auto"/>
            </w:tcBorders>
            <w:shd w:val="clear" w:color="auto" w:fill="auto"/>
            <w:noWrap/>
            <w:vAlign w:val="bottom"/>
            <w:hideMark/>
          </w:tcPr>
          <w:p w:rsidR="00DC22D3" w:rsidRDefault="00DC22D3">
            <w:pPr>
              <w:jc w:val="right"/>
              <w:rPr>
                <w:sz w:val="20"/>
                <w:szCs w:val="20"/>
              </w:rPr>
            </w:pPr>
            <w:r>
              <w:rPr>
                <w:sz w:val="20"/>
                <w:szCs w:val="20"/>
              </w:rPr>
              <w:t>$102.76</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rsidP="0075565F">
            <w:pPr>
              <w:rPr>
                <w:sz w:val="20"/>
                <w:szCs w:val="20"/>
              </w:rPr>
            </w:pPr>
            <w:r>
              <w:rPr>
                <w:sz w:val="20"/>
                <w:szCs w:val="20"/>
              </w:rPr>
              <w:t xml:space="preserve">Condominiums </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$1,047.73</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$1,233.00</w:t>
            </w:r>
          </w:p>
        </w:tc>
        <w:tc>
          <w:tcPr>
            <w:tcW w:w="1668" w:type="dxa"/>
            <w:tcBorders>
              <w:top w:val="nil"/>
              <w:left w:val="nil"/>
              <w:bottom w:val="nil"/>
              <w:right w:val="nil"/>
            </w:tcBorders>
            <w:shd w:val="clear" w:color="auto" w:fill="auto"/>
            <w:noWrap/>
            <w:vAlign w:val="bottom"/>
            <w:hideMark/>
          </w:tcPr>
          <w:p w:rsidR="007762A7" w:rsidRDefault="00DC22D3">
            <w:pPr>
              <w:jc w:val="right"/>
              <w:rPr>
                <w:color w:val="000000"/>
                <w:sz w:val="20"/>
                <w:szCs w:val="20"/>
              </w:rPr>
            </w:pPr>
            <w:r>
              <w:rPr>
                <w:color w:val="000000"/>
                <w:sz w:val="20"/>
                <w:szCs w:val="20"/>
              </w:rPr>
              <w:t>$1,306.00</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$5,232.03</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$54.36</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 </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Charge per 1,000 Gallons - General Service</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$8.24</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$9.70</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$10.27</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$8.28</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sz w:val="20"/>
                <w:szCs w:val="20"/>
              </w:rPr>
            </w:pPr>
            <w:r>
              <w:rPr>
                <w:sz w:val="20"/>
                <w:szCs w:val="20"/>
              </w:rPr>
              <w:t>$0.09</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sz w:val="20"/>
                <w:szCs w:val="20"/>
              </w:rPr>
            </w:pPr>
            <w:r>
              <w:rPr>
                <w:sz w:val="20"/>
                <w:szCs w:val="20"/>
              </w:rPr>
              <w:t> </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5505" w:type="dxa"/>
            <w:gridSpan w:val="2"/>
            <w:tcBorders>
              <w:top w:val="nil"/>
              <w:left w:val="single" w:sz="8" w:space="0" w:color="000000"/>
              <w:bottom w:val="nil"/>
              <w:right w:val="nil"/>
            </w:tcBorders>
            <w:shd w:val="clear" w:color="auto" w:fill="auto"/>
            <w:noWrap/>
            <w:vAlign w:val="bottom"/>
            <w:hideMark/>
          </w:tcPr>
          <w:p w:rsidR="007762A7" w:rsidRDefault="007762A7">
            <w:pPr>
              <w:rPr>
                <w:b/>
                <w:bCs/>
                <w:color w:val="000000"/>
                <w:sz w:val="20"/>
                <w:szCs w:val="20"/>
                <w:u w:val="single"/>
              </w:rPr>
            </w:pPr>
            <w:r>
              <w:rPr>
                <w:b/>
                <w:bCs/>
                <w:color w:val="000000"/>
                <w:sz w:val="20"/>
                <w:szCs w:val="20"/>
                <w:u w:val="single"/>
              </w:rPr>
              <w:t>Typical Residential 5/8" x 3/4" Meter Bill Comparison</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p>
        </w:tc>
        <w:tc>
          <w:tcPr>
            <w:tcW w:w="2164" w:type="dxa"/>
            <w:tcBorders>
              <w:top w:val="nil"/>
              <w:left w:val="nil"/>
              <w:bottom w:val="nil"/>
              <w:right w:val="single" w:sz="8" w:space="0" w:color="auto"/>
            </w:tcBorders>
            <w:shd w:val="clear" w:color="auto" w:fill="auto"/>
            <w:noWrap/>
            <w:vAlign w:val="bottom"/>
            <w:hideMark/>
          </w:tcPr>
          <w:p w:rsidR="007762A7" w:rsidRDefault="007762A7">
            <w:pPr>
              <w:rPr>
                <w:sz w:val="20"/>
                <w:szCs w:val="20"/>
              </w:rPr>
            </w:pPr>
            <w:r>
              <w:rPr>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2,000 Gallons</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$34.69 </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$40.84 </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$43.23 </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$39.83 </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color w:val="000000"/>
                <w:sz w:val="20"/>
                <w:szCs w:val="20"/>
              </w:rPr>
            </w:pPr>
            <w:r>
              <w:rPr>
                <w:color w:val="000000"/>
                <w:sz w:val="20"/>
                <w:szCs w:val="20"/>
              </w:rPr>
              <w:t> </w:t>
            </w:r>
          </w:p>
        </w:tc>
      </w:tr>
      <w:tr w:rsidR="007762A7" w:rsidTr="007762A7">
        <w:trPr>
          <w:trHeight w:val="237"/>
        </w:trPr>
        <w:tc>
          <w:tcPr>
            <w:tcW w:w="4063" w:type="dxa"/>
            <w:tcBorders>
              <w:top w:val="nil"/>
              <w:left w:val="single" w:sz="8" w:space="0" w:color="000000"/>
              <w:bottom w:val="nil"/>
              <w:right w:val="nil"/>
            </w:tcBorders>
            <w:shd w:val="clear" w:color="auto" w:fill="auto"/>
            <w:noWrap/>
            <w:vAlign w:val="bottom"/>
            <w:hideMark/>
          </w:tcPr>
          <w:p w:rsidR="007762A7" w:rsidRDefault="007762A7">
            <w:pPr>
              <w:rPr>
                <w:color w:val="000000"/>
                <w:sz w:val="20"/>
                <w:szCs w:val="20"/>
              </w:rPr>
            </w:pPr>
            <w:r>
              <w:rPr>
                <w:color w:val="000000"/>
                <w:sz w:val="20"/>
                <w:szCs w:val="20"/>
              </w:rPr>
              <w:t>6,000 Gallons</w:t>
            </w:r>
          </w:p>
        </w:tc>
        <w:tc>
          <w:tcPr>
            <w:tcW w:w="144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$62.17 </w:t>
            </w:r>
          </w:p>
        </w:tc>
        <w:tc>
          <w:tcPr>
            <w:tcW w:w="1572"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$73.20 </w:t>
            </w:r>
          </w:p>
        </w:tc>
        <w:tc>
          <w:tcPr>
            <w:tcW w:w="1668"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$77.47 </w:t>
            </w:r>
          </w:p>
        </w:tc>
        <w:tc>
          <w:tcPr>
            <w:tcW w:w="2070" w:type="dxa"/>
            <w:tcBorders>
              <w:top w:val="nil"/>
              <w:left w:val="nil"/>
              <w:bottom w:val="nil"/>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$67.43 </w:t>
            </w:r>
          </w:p>
        </w:tc>
        <w:tc>
          <w:tcPr>
            <w:tcW w:w="2164" w:type="dxa"/>
            <w:tcBorders>
              <w:top w:val="nil"/>
              <w:left w:val="nil"/>
              <w:bottom w:val="nil"/>
              <w:right w:val="single" w:sz="8" w:space="0" w:color="auto"/>
            </w:tcBorders>
            <w:shd w:val="clear" w:color="auto" w:fill="auto"/>
            <w:noWrap/>
            <w:vAlign w:val="bottom"/>
            <w:hideMark/>
          </w:tcPr>
          <w:p w:rsidR="007762A7" w:rsidRDefault="007762A7">
            <w:pPr>
              <w:jc w:val="right"/>
              <w:rPr>
                <w:color w:val="000000"/>
                <w:sz w:val="20"/>
                <w:szCs w:val="20"/>
              </w:rPr>
            </w:pPr>
            <w:r>
              <w:rPr>
                <w:color w:val="000000"/>
                <w:sz w:val="20"/>
                <w:szCs w:val="20"/>
              </w:rPr>
              <w:t> </w:t>
            </w:r>
          </w:p>
        </w:tc>
      </w:tr>
      <w:tr w:rsidR="007762A7" w:rsidTr="007762A7">
        <w:trPr>
          <w:trHeight w:val="248"/>
        </w:trPr>
        <w:tc>
          <w:tcPr>
            <w:tcW w:w="4063" w:type="dxa"/>
            <w:tcBorders>
              <w:top w:val="nil"/>
              <w:left w:val="single" w:sz="8" w:space="0" w:color="000000"/>
              <w:bottom w:val="single" w:sz="8" w:space="0" w:color="000000"/>
              <w:right w:val="nil"/>
            </w:tcBorders>
            <w:shd w:val="clear" w:color="auto" w:fill="auto"/>
            <w:noWrap/>
            <w:vAlign w:val="bottom"/>
            <w:hideMark/>
          </w:tcPr>
          <w:p w:rsidR="007762A7" w:rsidRDefault="007762A7">
            <w:pPr>
              <w:rPr>
                <w:color w:val="000000"/>
                <w:sz w:val="20"/>
                <w:szCs w:val="20"/>
              </w:rPr>
            </w:pPr>
            <w:r>
              <w:rPr>
                <w:color w:val="000000"/>
                <w:sz w:val="20"/>
                <w:szCs w:val="20"/>
              </w:rPr>
              <w:t>8,000 Gallons</w:t>
            </w:r>
          </w:p>
        </w:tc>
        <w:tc>
          <w:tcPr>
            <w:tcW w:w="1442" w:type="dxa"/>
            <w:tcBorders>
              <w:top w:val="nil"/>
              <w:left w:val="nil"/>
              <w:bottom w:val="single" w:sz="8" w:space="0" w:color="000000"/>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$62.17 </w:t>
            </w:r>
          </w:p>
        </w:tc>
        <w:tc>
          <w:tcPr>
            <w:tcW w:w="1572" w:type="dxa"/>
            <w:tcBorders>
              <w:top w:val="nil"/>
              <w:left w:val="nil"/>
              <w:bottom w:val="single" w:sz="8" w:space="0" w:color="000000"/>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$73.20 </w:t>
            </w:r>
          </w:p>
        </w:tc>
        <w:tc>
          <w:tcPr>
            <w:tcW w:w="1668" w:type="dxa"/>
            <w:tcBorders>
              <w:top w:val="nil"/>
              <w:left w:val="nil"/>
              <w:bottom w:val="single" w:sz="8" w:space="0" w:color="000000"/>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$77.47 </w:t>
            </w:r>
          </w:p>
        </w:tc>
        <w:tc>
          <w:tcPr>
            <w:tcW w:w="2070" w:type="dxa"/>
            <w:tcBorders>
              <w:top w:val="nil"/>
              <w:left w:val="nil"/>
              <w:bottom w:val="single" w:sz="8" w:space="0" w:color="000000"/>
              <w:right w:val="nil"/>
            </w:tcBorders>
            <w:shd w:val="clear" w:color="auto" w:fill="auto"/>
            <w:noWrap/>
            <w:vAlign w:val="bottom"/>
            <w:hideMark/>
          </w:tcPr>
          <w:p w:rsidR="007762A7" w:rsidRDefault="007762A7">
            <w:pPr>
              <w:jc w:val="right"/>
              <w:rPr>
                <w:color w:val="000000"/>
                <w:sz w:val="20"/>
                <w:szCs w:val="20"/>
              </w:rPr>
            </w:pPr>
            <w:r>
              <w:rPr>
                <w:color w:val="000000"/>
                <w:sz w:val="20"/>
                <w:szCs w:val="20"/>
              </w:rPr>
              <w:t xml:space="preserve">$68.90 </w:t>
            </w:r>
          </w:p>
        </w:tc>
        <w:tc>
          <w:tcPr>
            <w:tcW w:w="2164" w:type="dxa"/>
            <w:tcBorders>
              <w:top w:val="nil"/>
              <w:left w:val="nil"/>
              <w:bottom w:val="single" w:sz="8" w:space="0" w:color="000000"/>
              <w:right w:val="single" w:sz="8" w:space="0" w:color="auto"/>
            </w:tcBorders>
            <w:shd w:val="clear" w:color="auto" w:fill="auto"/>
            <w:noWrap/>
            <w:vAlign w:val="bottom"/>
            <w:hideMark/>
          </w:tcPr>
          <w:p w:rsidR="007762A7" w:rsidRDefault="007762A7">
            <w:pPr>
              <w:jc w:val="right"/>
              <w:rPr>
                <w:color w:val="000000"/>
                <w:sz w:val="20"/>
                <w:szCs w:val="20"/>
              </w:rPr>
            </w:pPr>
            <w:r>
              <w:rPr>
                <w:color w:val="000000"/>
                <w:sz w:val="20"/>
                <w:szCs w:val="20"/>
              </w:rPr>
              <w:t> </w:t>
            </w:r>
          </w:p>
        </w:tc>
      </w:tr>
    </w:tbl>
    <w:p w:rsidR="00C00536" w:rsidRDefault="00AC09B8" w:rsidP="00E275D8">
      <w:pPr>
        <w:pStyle w:val="BodyText"/>
      </w:pPr>
      <w:r>
        <w:fldChar w:fldCharType="begin"/>
      </w:r>
      <w:r>
        <w:instrText xml:space="preserve"> TC "</w:instrText>
      </w:r>
      <w:bookmarkStart w:id="75" w:name="_Toc464661227"/>
      <w:r>
        <w:tab/>
        <w:instrText>Schedule No. 4-B Monthly Wastewater Rates</w:instrText>
      </w:r>
      <w:bookmarkEnd w:id="75"/>
      <w:r>
        <w:instrText xml:space="preserve">" \l 1 </w:instrText>
      </w:r>
      <w:r>
        <w:fldChar w:fldCharType="end"/>
      </w:r>
    </w:p>
    <w:sectPr w:rsidR="00C00536" w:rsidSect="007762A7">
      <w:headerReference w:type="default" r:id="rId23"/>
      <w:pgSz w:w="15840" w:h="12240" w:orient="landscape" w:code="1"/>
      <w:pgMar w:top="1440" w:right="1584" w:bottom="1440" w:left="115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A3" w:rsidRDefault="004001A3">
      <w:r>
        <w:separator/>
      </w:r>
    </w:p>
  </w:endnote>
  <w:endnote w:type="continuationSeparator" w:id="0">
    <w:p w:rsidR="004001A3" w:rsidRDefault="0040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AC09B8">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82CBD">
      <w:rPr>
        <w:rStyle w:val="PageNumber"/>
        <w:noProof/>
      </w:rPr>
      <w:t>64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A3" w:rsidRDefault="004001A3">
      <w:r>
        <w:separator/>
      </w:r>
    </w:p>
  </w:footnote>
  <w:footnote w:type="continuationSeparator" w:id="0">
    <w:p w:rsidR="004001A3" w:rsidRDefault="004001A3">
      <w:r>
        <w:continuationSeparator/>
      </w:r>
    </w:p>
  </w:footnote>
  <w:footnote w:id="1">
    <w:p w:rsidR="004001A3" w:rsidRDefault="004001A3" w:rsidP="00FD17F7">
      <w:pPr>
        <w:pStyle w:val="FootnoteText"/>
      </w:pPr>
      <w:r>
        <w:rPr>
          <w:rStyle w:val="FootnoteReference"/>
        </w:rPr>
        <w:footnoteRef/>
      </w:r>
      <w:proofErr w:type="gramStart"/>
      <w:r>
        <w:t>Order No.</w:t>
      </w:r>
      <w:proofErr w:type="gramEnd"/>
      <w:r>
        <w:t xml:space="preserve"> PSC-13-0611-PAA-WS, issued November 19, 2013, in Docket No. 130010-WS, </w:t>
      </w:r>
      <w:r w:rsidRPr="001C4411">
        <w:rPr>
          <w:i/>
        </w:rPr>
        <w:t>In re: Application for increase in water rates in Lee County and wastewater rates in Pasco County by Ni Florida, LLC</w:t>
      </w:r>
      <w:r>
        <w:t>.</w:t>
      </w:r>
    </w:p>
  </w:footnote>
  <w:footnote w:id="2">
    <w:p w:rsidR="004001A3" w:rsidRDefault="004001A3" w:rsidP="002616BD">
      <w:pPr>
        <w:pStyle w:val="FootnoteText"/>
      </w:pPr>
      <w:r>
        <w:rPr>
          <w:rStyle w:val="FootnoteReference"/>
        </w:rPr>
        <w:footnoteRef/>
      </w:r>
      <w:r>
        <w:t>Document No. 07117-16</w:t>
      </w:r>
    </w:p>
  </w:footnote>
  <w:footnote w:id="3">
    <w:p w:rsidR="004001A3" w:rsidRDefault="004001A3" w:rsidP="002616BD">
      <w:pPr>
        <w:pStyle w:val="FootnoteText"/>
      </w:pPr>
      <w:r>
        <w:rPr>
          <w:rStyle w:val="FootnoteReference"/>
        </w:rPr>
        <w:footnoteRef/>
      </w:r>
      <w:r>
        <w:t>Document No. 07475-16</w:t>
      </w:r>
    </w:p>
  </w:footnote>
  <w:footnote w:id="4">
    <w:p w:rsidR="004001A3" w:rsidRDefault="004001A3" w:rsidP="00A8147A">
      <w:pPr>
        <w:pStyle w:val="FootnoteText"/>
      </w:pPr>
      <w:r>
        <w:rPr>
          <w:rStyle w:val="FootnoteReference"/>
        </w:rPr>
        <w:footnoteRef/>
      </w:r>
      <w:r>
        <w:t>Document Nos. 06552-16 (Rate Case Audit) and 06553-16 (Audit of Affiliate Transactions).</w:t>
      </w:r>
    </w:p>
  </w:footnote>
  <w:footnote w:id="5">
    <w:p w:rsidR="004001A3" w:rsidRDefault="004001A3" w:rsidP="00A8147A">
      <w:pPr>
        <w:pStyle w:val="FootnoteText"/>
      </w:pPr>
      <w:r>
        <w:rPr>
          <w:rStyle w:val="FootnoteReference"/>
        </w:rPr>
        <w:footnoteRef/>
      </w:r>
      <w:proofErr w:type="gramStart"/>
      <w:r w:rsidRPr="001A4FB8">
        <w:rPr>
          <w:rFonts w:eastAsiaTheme="minorHAnsi"/>
        </w:rPr>
        <w:t>Order No.</w:t>
      </w:r>
      <w:proofErr w:type="gramEnd"/>
      <w:r w:rsidRPr="001A4FB8">
        <w:rPr>
          <w:rFonts w:eastAsiaTheme="minorHAnsi"/>
        </w:rPr>
        <w:t xml:space="preserve"> </w:t>
      </w:r>
      <w:proofErr w:type="gramStart"/>
      <w:r w:rsidRPr="001A4FB8">
        <w:rPr>
          <w:rFonts w:eastAsiaTheme="minorHAnsi"/>
        </w:rPr>
        <w:t>PSC-13-0611-PAA-WS</w:t>
      </w:r>
      <w:r>
        <w:rPr>
          <w:rFonts w:eastAsiaTheme="minorHAnsi"/>
        </w:rPr>
        <w:t>, p.17.</w:t>
      </w:r>
      <w:proofErr w:type="gramEnd"/>
    </w:p>
  </w:footnote>
  <w:footnote w:id="6">
    <w:p w:rsidR="004001A3" w:rsidRDefault="004001A3" w:rsidP="00A8147A">
      <w:pPr>
        <w:pStyle w:val="FootnoteText"/>
      </w:pPr>
      <w:r w:rsidRPr="0080123F">
        <w:rPr>
          <w:rStyle w:val="FootnoteReference"/>
        </w:rPr>
        <w:footnoteRef/>
      </w:r>
      <w:r w:rsidRPr="0080123F">
        <w:t xml:space="preserve"> D</w:t>
      </w:r>
      <w:r>
        <w:t>ocument No. 08250-16, filed October 14, 2016.</w:t>
      </w:r>
    </w:p>
  </w:footnote>
  <w:footnote w:id="7">
    <w:p w:rsidR="004001A3" w:rsidRPr="001275D5" w:rsidRDefault="004001A3" w:rsidP="00A8147A">
      <w:pPr>
        <w:pStyle w:val="FootnoteText"/>
      </w:pPr>
      <w:r w:rsidRPr="001275D5">
        <w:rPr>
          <w:rStyle w:val="FootnoteReference"/>
        </w:rPr>
        <w:footnoteRef/>
      </w:r>
      <w:proofErr w:type="gramStart"/>
      <w:r w:rsidRPr="001275D5">
        <w:rPr>
          <w:rFonts w:eastAsiaTheme="minorHAnsi"/>
        </w:rPr>
        <w:t>Order No.</w:t>
      </w:r>
      <w:proofErr w:type="gramEnd"/>
      <w:r w:rsidRPr="001275D5">
        <w:rPr>
          <w:rFonts w:eastAsiaTheme="minorHAnsi"/>
        </w:rPr>
        <w:t xml:space="preserve"> PSC-13-0611-PAA-WS, </w:t>
      </w:r>
      <w:r w:rsidRPr="001275D5">
        <w:t>pp.13-14</w:t>
      </w:r>
    </w:p>
  </w:footnote>
  <w:footnote w:id="8">
    <w:p w:rsidR="004001A3" w:rsidRPr="001275D5" w:rsidRDefault="004001A3" w:rsidP="00A8147A">
      <w:pPr>
        <w:pStyle w:val="FootnoteText"/>
      </w:pPr>
      <w:r w:rsidRPr="001275D5">
        <w:rPr>
          <w:rStyle w:val="FootnoteReference"/>
        </w:rPr>
        <w:footnoteRef/>
      </w:r>
      <w:r w:rsidRPr="001275D5">
        <w:t xml:space="preserve">Document No. 07734-16, filed September 22, 2016. </w:t>
      </w:r>
    </w:p>
  </w:footnote>
  <w:footnote w:id="9">
    <w:p w:rsidR="004001A3" w:rsidRPr="001275D5" w:rsidRDefault="004001A3" w:rsidP="00A8147A">
      <w:pPr>
        <w:pStyle w:val="FootnoteText"/>
        <w:rPr>
          <w:rFonts w:asciiTheme="minorHAnsi" w:hAnsiTheme="minorHAnsi" w:cstheme="minorHAnsi"/>
        </w:rPr>
      </w:pPr>
      <w:r w:rsidRPr="001275D5">
        <w:rPr>
          <w:rStyle w:val="FootnoteReference"/>
        </w:rPr>
        <w:footnoteRef/>
      </w:r>
      <w:r w:rsidRPr="002D6F3D">
        <w:rPr>
          <w:rFonts w:eastAsiaTheme="minorHAnsi"/>
        </w:rPr>
        <w:t>Audit workpaper 44-3.3 identified a Texas employee with the title of Office Manager whose job duties were very similar to the Office Manager position listed above. This employee was one of several employees whose salaries and benefits were excluded from overhead.</w:t>
      </w:r>
      <w:r w:rsidRPr="002D6F3D">
        <w:t xml:space="preserve">  The Texas office manager’s duties follow: </w:t>
      </w:r>
      <w:r w:rsidRPr="002D6F3D">
        <w:rPr>
          <w:rFonts w:eastAsiaTheme="minorHAnsi"/>
        </w:rPr>
        <w:t>Ms. Rotermund is responsible for managing the Houston office for corporate employees of Ni America. She orders supplies, coordinates mailroom activities, assists with preparing expense reports, and assists other employees as needed.</w:t>
      </w:r>
      <w:r w:rsidRPr="001275D5">
        <w:rPr>
          <w:rFonts w:asciiTheme="minorHAnsi" w:eastAsiaTheme="minorHAnsi" w:hAnsiTheme="minorHAnsi" w:cstheme="minorHAnsi"/>
        </w:rPr>
        <w:t xml:space="preserve"> </w:t>
      </w:r>
    </w:p>
  </w:footnote>
  <w:footnote w:id="10">
    <w:p w:rsidR="004001A3" w:rsidRDefault="004001A3" w:rsidP="00A8147A">
      <w:pPr>
        <w:pStyle w:val="FootnoteText"/>
      </w:pPr>
      <w:r>
        <w:rPr>
          <w:rStyle w:val="FootnoteReference"/>
        </w:rPr>
        <w:footnoteRef/>
      </w:r>
      <w:r>
        <w:t>Document No. 07638-16, filed September 19, 2016.</w:t>
      </w:r>
    </w:p>
  </w:footnote>
  <w:footnote w:id="11">
    <w:p w:rsidR="004001A3" w:rsidRDefault="004001A3" w:rsidP="00A8147A">
      <w:pPr>
        <w:pStyle w:val="FootnoteText"/>
      </w:pPr>
      <w:r>
        <w:rPr>
          <w:rStyle w:val="FootnoteReference"/>
        </w:rPr>
        <w:footnoteRef/>
      </w:r>
      <w:r>
        <w:t>Bid contained numerous exclusions, including landscaping, fencing, fees &amp; permits, and fencing.</w:t>
      </w:r>
    </w:p>
  </w:footnote>
  <w:footnote w:id="12">
    <w:p w:rsidR="004001A3" w:rsidRPr="00E020D6" w:rsidRDefault="004001A3" w:rsidP="00A8147A">
      <w:pPr>
        <w:autoSpaceDE w:val="0"/>
        <w:autoSpaceDN w:val="0"/>
        <w:adjustRightInd w:val="0"/>
        <w:jc w:val="both"/>
        <w:rPr>
          <w:sz w:val="20"/>
          <w:szCs w:val="20"/>
        </w:rPr>
      </w:pPr>
      <w:r w:rsidRPr="0088268C">
        <w:rPr>
          <w:rStyle w:val="FootnoteReference"/>
          <w:sz w:val="20"/>
          <w:szCs w:val="20"/>
        </w:rPr>
        <w:footnoteRef/>
      </w:r>
      <w:r w:rsidRPr="00E020D6">
        <w:rPr>
          <w:sz w:val="20"/>
          <w:szCs w:val="20"/>
        </w:rPr>
        <w:t xml:space="preserve">Order Nos. </w:t>
      </w:r>
      <w:r w:rsidRPr="00E020D6">
        <w:rPr>
          <w:rFonts w:eastAsiaTheme="minorHAnsi"/>
          <w:sz w:val="20"/>
          <w:szCs w:val="20"/>
        </w:rPr>
        <w:t xml:space="preserve">PSC-13-0187-PAA-WS, issued May 2, 2013, in Docket No. 120152-WS, </w:t>
      </w:r>
      <w:r w:rsidRPr="00E020D6">
        <w:rPr>
          <w:rFonts w:eastAsiaTheme="minorHAnsi"/>
          <w:i/>
          <w:sz w:val="20"/>
          <w:szCs w:val="20"/>
        </w:rPr>
        <w:t>In re: Application for increase in water and wastewater rates in Orange County by Pluris Wedgefield, Inc.</w:t>
      </w:r>
      <w:r w:rsidRPr="00E020D6">
        <w:rPr>
          <w:rFonts w:eastAsiaTheme="minorHAnsi"/>
          <w:sz w:val="20"/>
          <w:szCs w:val="20"/>
        </w:rPr>
        <w:t xml:space="preserve">; </w:t>
      </w:r>
      <w:r w:rsidRPr="00E020D6">
        <w:rPr>
          <w:sz w:val="20"/>
          <w:szCs w:val="20"/>
        </w:rPr>
        <w:t xml:space="preserve">PSC-11-0587-PAA-SU, issued December 21, 2011, in Docket No. 110153-SU, </w:t>
      </w:r>
      <w:r w:rsidRPr="00E020D6">
        <w:rPr>
          <w:i/>
          <w:sz w:val="20"/>
          <w:szCs w:val="20"/>
        </w:rPr>
        <w:t>In re: Application for increase in wastewater rates in Lee County by Utilities. Inc. of Eagle Ridge</w:t>
      </w:r>
      <w:r w:rsidRPr="00E020D6">
        <w:rPr>
          <w:sz w:val="20"/>
          <w:szCs w:val="20"/>
        </w:rPr>
        <w:t xml:space="preserve">; PSC-10-0585-PAA-WS, issued September 22, 2010, in Docket No. 090462-WS, </w:t>
      </w:r>
      <w:r w:rsidRPr="00E020D6">
        <w:rPr>
          <w:i/>
          <w:sz w:val="20"/>
          <w:szCs w:val="20"/>
        </w:rPr>
        <w:t>In re: Application for increase in water and wastewater rates in Marion. Orange, Pasco. Pinellas and Seminole Counties by Utilities, Inc. of Florida</w:t>
      </w:r>
      <w:r w:rsidRPr="00E020D6">
        <w:rPr>
          <w:sz w:val="20"/>
          <w:szCs w:val="20"/>
        </w:rPr>
        <w:t xml:space="preserve">; PSC-09-0632-PAA-WU, issued September 17, 2009, in Docket No. 080353-WU, </w:t>
      </w:r>
      <w:r w:rsidRPr="00E020D6">
        <w:rPr>
          <w:i/>
          <w:sz w:val="20"/>
          <w:szCs w:val="20"/>
        </w:rPr>
        <w:t>In re: Application for increase in water rates in Highlands County by Placid Lakes Utilities. Inc.</w:t>
      </w:r>
      <w:r w:rsidRPr="00E020D6">
        <w:rPr>
          <w:sz w:val="20"/>
          <w:szCs w:val="20"/>
        </w:rPr>
        <w:t xml:space="preserve">; and PSC-05-0624-PAA-WS, issued June 7, 2005, in Docket No. 040450-WS, </w:t>
      </w:r>
      <w:r w:rsidRPr="00E020D6">
        <w:rPr>
          <w:i/>
          <w:sz w:val="20"/>
          <w:szCs w:val="20"/>
        </w:rPr>
        <w:t>In re: Application for rate increase in Martin County by Indiantown Company, Inc.</w:t>
      </w:r>
    </w:p>
  </w:footnote>
  <w:footnote w:id="13">
    <w:p w:rsidR="004001A3" w:rsidRDefault="004001A3" w:rsidP="00A449DC">
      <w:pPr>
        <w:pStyle w:val="FootnoteText"/>
      </w:pPr>
      <w:r>
        <w:rPr>
          <w:rStyle w:val="FootnoteReference"/>
        </w:rPr>
        <w:footnoteRef/>
      </w:r>
      <w:proofErr w:type="gramStart"/>
      <w:r>
        <w:t>Order No.</w:t>
      </w:r>
      <w:proofErr w:type="gramEnd"/>
      <w:r>
        <w:t xml:space="preserve"> </w:t>
      </w:r>
      <w:r w:rsidRPr="00F61F80">
        <w:t>PSC-93-0455-NOR-WS</w:t>
      </w:r>
      <w:r>
        <w:t xml:space="preserve">, issued on March 24, 1993, in Docket No. 911082-WS, </w:t>
      </w:r>
      <w:r w:rsidRPr="00CC7C59">
        <w:rPr>
          <w:i/>
        </w:rPr>
        <w:t>In re: Proposed revisions to Rules 25-22.0406, 25-30.020, 25-30.025, 25-30.030, 25-30.032 through 25-30.037, 25-30.060, 25-30.110, 25-30.111, 25-30.135, 25-30.255, 25-30.320, 25-30.335, 25-30.360, 25-30.430, 25-30.436, 25-30.437, 25-30.443, 25-30.455, 25-30.515, 25-30.565; adoption of Rules 25-22.0407, 25-22.0408, 25-22.0371, 25-30.038, 25-30.039, 25-30.090, 25-30.117, 25-30.432 through 25-30.435, 25-30.4385, 25-30.4415, 25-30.456, 25-30.460, 25-30.465, 25-30.470, 25-30.475; and repeal of Rule 25-30.441, F.A.C., pertaining to water and wastewater regulation</w:t>
      </w:r>
      <w:r>
        <w:t>, at p. 102</w:t>
      </w:r>
    </w:p>
  </w:footnote>
  <w:footnote w:id="14">
    <w:p w:rsidR="004001A3" w:rsidRPr="001D3EEA" w:rsidRDefault="004001A3" w:rsidP="00A8147A">
      <w:pPr>
        <w:autoSpaceDE w:val="0"/>
        <w:autoSpaceDN w:val="0"/>
        <w:adjustRightInd w:val="0"/>
        <w:jc w:val="both"/>
        <w:rPr>
          <w:u w:val="single"/>
        </w:rPr>
      </w:pPr>
      <w:r w:rsidRPr="001D3EEA">
        <w:rPr>
          <w:rStyle w:val="FootnoteReference"/>
          <w:sz w:val="20"/>
          <w:szCs w:val="20"/>
        </w:rPr>
        <w:footnoteRef/>
      </w:r>
      <w:r w:rsidRPr="001D3EEA">
        <w:rPr>
          <w:rFonts w:cs="Calibri"/>
          <w:sz w:val="20"/>
          <w:szCs w:val="20"/>
        </w:rPr>
        <w:t xml:space="preserve">Order Nos. PSC-09-0057-FOF-SU, issued January 27, 2009, in Docket No. 070293-SU, </w:t>
      </w:r>
      <w:r w:rsidRPr="001D3EEA">
        <w:rPr>
          <w:rFonts w:cs="Calibri"/>
          <w:i/>
          <w:sz w:val="20"/>
          <w:szCs w:val="20"/>
        </w:rPr>
        <w:t xml:space="preserve">In re: Application for increase in </w:t>
      </w:r>
      <w:r w:rsidRPr="001D3EEA">
        <w:rPr>
          <w:rFonts w:eastAsia="HiddenHorzOCR" w:cs="Calibri"/>
          <w:i/>
          <w:sz w:val="20"/>
          <w:szCs w:val="20"/>
        </w:rPr>
        <w:t xml:space="preserve">wastewater </w:t>
      </w:r>
      <w:r w:rsidRPr="001D3EEA">
        <w:rPr>
          <w:rFonts w:cs="Calibri"/>
          <w:i/>
          <w:sz w:val="20"/>
          <w:szCs w:val="20"/>
        </w:rPr>
        <w:t>rates in Monroe County by K W Resort Utilities Corp.</w:t>
      </w:r>
      <w:r w:rsidRPr="001D3EEA">
        <w:rPr>
          <w:rFonts w:cs="Calibri"/>
          <w:sz w:val="20"/>
          <w:szCs w:val="20"/>
        </w:rPr>
        <w:t xml:space="preserve">; PSC-04-0369-AS-EI, issued April 6, 2004, in Docket No. 030438-EI, </w:t>
      </w:r>
      <w:r w:rsidRPr="001D3EEA">
        <w:rPr>
          <w:rFonts w:cs="Calibri"/>
          <w:i/>
          <w:sz w:val="20"/>
          <w:szCs w:val="20"/>
        </w:rPr>
        <w:t>In re: Petition for rate increase by Florida Public Utilities Company</w:t>
      </w:r>
      <w:r w:rsidRPr="001D3EEA">
        <w:rPr>
          <w:rFonts w:cs="Calibri"/>
          <w:sz w:val="20"/>
          <w:szCs w:val="20"/>
        </w:rPr>
        <w:t xml:space="preserve">; and PSC-010326-FOF-SU, issued February 6,2001, in Docket No. 991643-SU, </w:t>
      </w:r>
      <w:r>
        <w:rPr>
          <w:rFonts w:cs="Calibri"/>
          <w:i/>
          <w:sz w:val="20"/>
          <w:szCs w:val="20"/>
        </w:rPr>
        <w:t>In re:</w:t>
      </w:r>
      <w:r w:rsidRPr="001D3EEA">
        <w:rPr>
          <w:rFonts w:cs="Calibri"/>
          <w:i/>
          <w:sz w:val="20"/>
          <w:szCs w:val="20"/>
        </w:rPr>
        <w:t xml:space="preserve"> Application for increase in wastewater rates in Seven Springs System in Pasco County by Aloha Utilities, Inc</w:t>
      </w:r>
      <w:r w:rsidRPr="0014405C">
        <w:rPr>
          <w:rFonts w:cs="Calibri"/>
          <w:sz w:val="20"/>
          <w:szCs w:val="20"/>
        </w:rPr>
        <w:t>.</w:t>
      </w:r>
    </w:p>
  </w:footnote>
  <w:footnote w:id="15">
    <w:p w:rsidR="004001A3" w:rsidRPr="001D3EEA" w:rsidRDefault="004001A3" w:rsidP="00A8147A">
      <w:pPr>
        <w:autoSpaceDE w:val="0"/>
        <w:autoSpaceDN w:val="0"/>
        <w:adjustRightInd w:val="0"/>
        <w:jc w:val="both"/>
        <w:rPr>
          <w:sz w:val="20"/>
          <w:szCs w:val="20"/>
        </w:rPr>
      </w:pPr>
      <w:r w:rsidRPr="006E7182">
        <w:rPr>
          <w:rStyle w:val="FootnoteReference"/>
          <w:rFonts w:cs="Calibri"/>
          <w:sz w:val="20"/>
          <w:szCs w:val="20"/>
        </w:rPr>
        <w:footnoteRef/>
      </w:r>
      <w:proofErr w:type="gramStart"/>
      <w:r w:rsidRPr="001D3EEA">
        <w:rPr>
          <w:sz w:val="20"/>
          <w:szCs w:val="20"/>
        </w:rPr>
        <w:t>O</w:t>
      </w:r>
      <w:r w:rsidRPr="001D3EEA">
        <w:rPr>
          <w:rFonts w:eastAsiaTheme="minorHAnsi"/>
          <w:sz w:val="20"/>
          <w:szCs w:val="20"/>
        </w:rPr>
        <w:t>rder No.</w:t>
      </w:r>
      <w:proofErr w:type="gramEnd"/>
      <w:r w:rsidRPr="001D3EEA">
        <w:rPr>
          <w:rFonts w:eastAsiaTheme="minorHAnsi"/>
          <w:sz w:val="20"/>
          <w:szCs w:val="20"/>
        </w:rPr>
        <w:t xml:space="preserve"> </w:t>
      </w:r>
      <w:r w:rsidRPr="001D3EEA">
        <w:rPr>
          <w:rFonts w:eastAsiaTheme="minorHAnsi"/>
          <w:sz w:val="19"/>
          <w:szCs w:val="19"/>
        </w:rPr>
        <w:t xml:space="preserve">PSC-13-0611-P </w:t>
      </w:r>
      <w:r w:rsidRPr="001D3EEA">
        <w:rPr>
          <w:rFonts w:eastAsiaTheme="minorHAnsi"/>
          <w:sz w:val="20"/>
          <w:szCs w:val="20"/>
        </w:rPr>
        <w:t>AA-</w:t>
      </w:r>
      <w:r w:rsidRPr="001D3EEA">
        <w:rPr>
          <w:rFonts w:eastAsiaTheme="minorHAnsi"/>
          <w:sz w:val="19"/>
          <w:szCs w:val="19"/>
        </w:rPr>
        <w:t>WS,</w:t>
      </w:r>
      <w:r w:rsidRPr="001D3EEA">
        <w:rPr>
          <w:rFonts w:eastAsiaTheme="minorHAnsi"/>
          <w:sz w:val="23"/>
          <w:szCs w:val="23"/>
        </w:rPr>
        <w:t xml:space="preserve"> </w:t>
      </w:r>
      <w:r w:rsidRPr="001D3EEA">
        <w:rPr>
          <w:rFonts w:eastAsiaTheme="minorHAnsi"/>
          <w:sz w:val="19"/>
          <w:szCs w:val="19"/>
        </w:rPr>
        <w:t>p.20.</w:t>
      </w:r>
    </w:p>
  </w:footnote>
  <w:footnote w:id="16">
    <w:p w:rsidR="004001A3" w:rsidRDefault="004001A3" w:rsidP="00C30A20">
      <w:pPr>
        <w:pStyle w:val="FootnoteText"/>
      </w:pPr>
      <w:r w:rsidRPr="0087082E">
        <w:rPr>
          <w:rStyle w:val="FootnoteReference"/>
        </w:rPr>
        <w:footnoteRef/>
      </w:r>
      <w:proofErr w:type="gramStart"/>
      <w:r w:rsidRPr="0087082E">
        <w:t>Order No.</w:t>
      </w:r>
      <w:proofErr w:type="gramEnd"/>
      <w:r w:rsidRPr="0087082E">
        <w:t xml:space="preserve"> </w:t>
      </w:r>
      <w:r w:rsidRPr="0087082E">
        <w:rPr>
          <w:rFonts w:eastAsiaTheme="minorHAnsi"/>
        </w:rPr>
        <w:t>PSC-16-0254-PAA-WS</w:t>
      </w:r>
      <w:r w:rsidRPr="0087082E">
        <w:t xml:space="preserve">, issued June 29, 2016, in Docket No. 160006-WS, </w:t>
      </w:r>
      <w:r w:rsidRPr="0087082E">
        <w:rPr>
          <w:i/>
        </w:rPr>
        <w:t>In re: Water and wastewater industry annual reestablishment of authorized range of return on common equity for water and wastewater utilities pursuant to Section 367.081(4) (f), Florida Statutes.</w:t>
      </w:r>
    </w:p>
  </w:footnote>
  <w:footnote w:id="17">
    <w:p w:rsidR="004001A3" w:rsidRPr="00D46E67" w:rsidRDefault="004001A3" w:rsidP="00C30A20">
      <w:pPr>
        <w:pStyle w:val="FootnoteText"/>
        <w:rPr>
          <w:rFonts w:asciiTheme="minorHAnsi" w:hAnsiTheme="minorHAnsi" w:cstheme="minorHAnsi"/>
        </w:rPr>
      </w:pPr>
      <w:r w:rsidRPr="00F54A49">
        <w:rPr>
          <w:rStyle w:val="FootnoteReference"/>
        </w:rPr>
        <w:footnoteRef/>
      </w:r>
      <w:r w:rsidRPr="00F54A49">
        <w:t>Document No. 07251-16, filed on September 1, 2016</w:t>
      </w:r>
      <w:r>
        <w:rPr>
          <w:rFonts w:asciiTheme="minorHAnsi" w:hAnsiTheme="minorHAnsi" w:cstheme="minorHAnsi"/>
        </w:rPr>
        <w:t>.</w:t>
      </w:r>
    </w:p>
  </w:footnote>
  <w:footnote w:id="18">
    <w:p w:rsidR="004001A3" w:rsidRDefault="004001A3" w:rsidP="00C30A20">
      <w:pPr>
        <w:pStyle w:val="FootnoteText"/>
      </w:pPr>
      <w:r>
        <w:rPr>
          <w:rStyle w:val="FootnoteReference"/>
        </w:rPr>
        <w:footnoteRef/>
      </w:r>
      <w:r>
        <w:t xml:space="preserve">Document No. 07475-16, filed September 13, 2016. </w:t>
      </w:r>
    </w:p>
  </w:footnote>
  <w:footnote w:id="19">
    <w:p w:rsidR="004001A3" w:rsidRDefault="004001A3" w:rsidP="00C30A20">
      <w:pPr>
        <w:pStyle w:val="FootnoteText"/>
      </w:pPr>
      <w:r>
        <w:rPr>
          <w:rStyle w:val="FootnoteReference"/>
        </w:rPr>
        <w:footnoteRef/>
      </w:r>
      <w:r>
        <w:t xml:space="preserve">Order Nos. PSC-05-0624-PAA-WS, issued June 7, 2005, in Docket No. 040450-WS, </w:t>
      </w:r>
      <w:r>
        <w:rPr>
          <w:i/>
        </w:rPr>
        <w:t xml:space="preserve">In re: </w:t>
      </w:r>
      <w:r w:rsidRPr="00E230BC">
        <w:rPr>
          <w:i/>
        </w:rPr>
        <w:t>Application for rate increase in Martin County by Indiantown Company, Inc.</w:t>
      </w:r>
      <w:r>
        <w:t xml:space="preserve">; and PSC-01-0326-FOF-SU, issued February 6, 2001, in Docket No. 991643-SU, </w:t>
      </w:r>
      <w:r w:rsidRPr="00E230BC">
        <w:rPr>
          <w:i/>
        </w:rPr>
        <w:t>In re: Application for increase in wastewater rates in Seven Springs System in Pasco County by Aloha Utilities, Inc</w:t>
      </w:r>
      <w:r w:rsidRPr="007C1637">
        <w:t>.</w:t>
      </w:r>
    </w:p>
  </w:footnote>
  <w:footnote w:id="20">
    <w:p w:rsidR="004001A3" w:rsidRDefault="004001A3" w:rsidP="00C30A20">
      <w:pPr>
        <w:pStyle w:val="FootnoteText"/>
      </w:pPr>
      <w:r>
        <w:rPr>
          <w:rStyle w:val="FootnoteReference"/>
        </w:rPr>
        <w:footnoteRef/>
      </w:r>
      <w:r>
        <w:t>Document No. 07475-16.</w:t>
      </w:r>
    </w:p>
  </w:footnote>
  <w:footnote w:id="21">
    <w:p w:rsidR="004001A3" w:rsidRDefault="004001A3" w:rsidP="00C30A20">
      <w:pPr>
        <w:pStyle w:val="FootnoteText"/>
      </w:pPr>
      <w:r>
        <w:rPr>
          <w:rStyle w:val="FootnoteReference"/>
        </w:rPr>
        <w:footnoteRef/>
      </w:r>
      <w:r>
        <w:t>Document No. 00366-16, filed on January 21, 2016.</w:t>
      </w:r>
    </w:p>
  </w:footnote>
  <w:footnote w:id="22">
    <w:p w:rsidR="004001A3" w:rsidRDefault="004001A3" w:rsidP="00C30A20">
      <w:pPr>
        <w:pStyle w:val="FootnoteText"/>
      </w:pPr>
      <w:r>
        <w:rPr>
          <w:rStyle w:val="FootnoteReference"/>
        </w:rPr>
        <w:footnoteRef/>
      </w:r>
      <w:proofErr w:type="gramStart"/>
      <w:r w:rsidRPr="00CB02C5">
        <w:t>Order No.</w:t>
      </w:r>
      <w:proofErr w:type="gramEnd"/>
      <w:r w:rsidRPr="00CB02C5">
        <w:t xml:space="preserve"> </w:t>
      </w:r>
      <w:proofErr w:type="gramStart"/>
      <w:r w:rsidRPr="00CB02C5">
        <w:t>PSC-13-0611-PAA-WS, p.19.</w:t>
      </w:r>
      <w:proofErr w:type="gramEnd"/>
    </w:p>
  </w:footnote>
  <w:footnote w:id="23">
    <w:p w:rsidR="004001A3" w:rsidRPr="00A4533B" w:rsidRDefault="004001A3" w:rsidP="00C30A20">
      <w:pPr>
        <w:autoSpaceDE w:val="0"/>
        <w:autoSpaceDN w:val="0"/>
        <w:adjustRightInd w:val="0"/>
        <w:jc w:val="both"/>
        <w:rPr>
          <w:sz w:val="20"/>
          <w:szCs w:val="20"/>
        </w:rPr>
      </w:pPr>
      <w:r w:rsidRPr="00A4533B">
        <w:rPr>
          <w:rStyle w:val="FootnoteReference"/>
          <w:sz w:val="20"/>
          <w:szCs w:val="20"/>
        </w:rPr>
        <w:footnoteRef/>
      </w:r>
      <w:proofErr w:type="gramStart"/>
      <w:r>
        <w:rPr>
          <w:rFonts w:eastAsiaTheme="minorHAnsi"/>
          <w:sz w:val="20"/>
          <w:szCs w:val="20"/>
        </w:rPr>
        <w:t>Order No.</w:t>
      </w:r>
      <w:proofErr w:type="gramEnd"/>
      <w:r>
        <w:rPr>
          <w:rFonts w:eastAsiaTheme="minorHAnsi"/>
          <w:sz w:val="20"/>
          <w:szCs w:val="20"/>
        </w:rPr>
        <w:t xml:space="preserve"> </w:t>
      </w:r>
      <w:r w:rsidRPr="00A4533B">
        <w:rPr>
          <w:rFonts w:eastAsiaTheme="minorHAnsi"/>
          <w:sz w:val="20"/>
          <w:szCs w:val="20"/>
        </w:rPr>
        <w:t xml:space="preserve">PSC-14-0025-PAA-WS issued January 10, 2014, in Docket No. 120209-WS, </w:t>
      </w:r>
      <w:r w:rsidRPr="00A4533B">
        <w:rPr>
          <w:rFonts w:eastAsiaTheme="minorHAnsi"/>
          <w:i/>
          <w:iCs/>
          <w:sz w:val="20"/>
          <w:szCs w:val="20"/>
        </w:rPr>
        <w:t>In re: Application for increase in water and wastewater rates in Marion, Orange, Pasco, Pinellas, and Seminole Counties by Utilities, Inc. of Florida.</w:t>
      </w:r>
    </w:p>
  </w:footnote>
  <w:footnote w:id="24">
    <w:p w:rsidR="004001A3" w:rsidRDefault="004001A3" w:rsidP="00C30A20">
      <w:pPr>
        <w:pStyle w:val="FootnoteText"/>
      </w:pPr>
      <w:r>
        <w:rPr>
          <w:rStyle w:val="FootnoteReference"/>
        </w:rPr>
        <w:footnoteRef/>
      </w:r>
      <w:proofErr w:type="gramStart"/>
      <w:r>
        <w:t>First class postage rate of $0.47, effective January 17, 2016.</w:t>
      </w:r>
      <w:proofErr w:type="gramEnd"/>
    </w:p>
  </w:footnote>
  <w:footnote w:id="25">
    <w:p w:rsidR="004001A3" w:rsidRDefault="004001A3" w:rsidP="00C30A20">
      <w:pPr>
        <w:autoSpaceDE w:val="0"/>
        <w:autoSpaceDN w:val="0"/>
        <w:adjustRightInd w:val="0"/>
      </w:pPr>
      <w:r w:rsidRPr="00F54A49">
        <w:rPr>
          <w:rStyle w:val="FootnoteReference"/>
          <w:sz w:val="20"/>
          <w:szCs w:val="20"/>
        </w:rPr>
        <w:footnoteRef/>
      </w:r>
      <w:r>
        <w:rPr>
          <w:rFonts w:eastAsiaTheme="minorHAnsi"/>
          <w:sz w:val="20"/>
          <w:szCs w:val="20"/>
        </w:rPr>
        <w:t>Staff anticipates that the final notice will be four pages.</w:t>
      </w:r>
    </w:p>
  </w:footnote>
  <w:footnote w:id="26">
    <w:p w:rsidR="004001A3" w:rsidRPr="00CB02C5" w:rsidRDefault="004001A3" w:rsidP="00C30A20">
      <w:pPr>
        <w:pStyle w:val="FootnoteText"/>
      </w:pPr>
      <w:r w:rsidRPr="00CB02C5">
        <w:rPr>
          <w:rStyle w:val="FootnoteReference"/>
        </w:rPr>
        <w:footnoteRef/>
      </w:r>
      <w:proofErr w:type="gramStart"/>
      <w:r w:rsidRPr="00CB02C5">
        <w:t>Order No.</w:t>
      </w:r>
      <w:proofErr w:type="gramEnd"/>
      <w:r w:rsidRPr="00CB02C5">
        <w:t xml:space="preserve"> </w:t>
      </w:r>
      <w:proofErr w:type="gramStart"/>
      <w:r w:rsidRPr="00CB02C5">
        <w:t>PSC-13-0611-PAA-WS, p.19.</w:t>
      </w:r>
      <w:proofErr w:type="gramEnd"/>
    </w:p>
  </w:footnote>
  <w:footnote w:id="27">
    <w:p w:rsidR="004001A3" w:rsidRPr="001D3EEA" w:rsidRDefault="004001A3" w:rsidP="00C30A20">
      <w:pPr>
        <w:autoSpaceDE w:val="0"/>
        <w:autoSpaceDN w:val="0"/>
        <w:adjustRightInd w:val="0"/>
        <w:jc w:val="both"/>
        <w:rPr>
          <w:sz w:val="20"/>
          <w:szCs w:val="20"/>
        </w:rPr>
      </w:pPr>
      <w:r w:rsidRPr="006E7182">
        <w:rPr>
          <w:rStyle w:val="FootnoteReference"/>
          <w:rFonts w:cs="Calibri"/>
          <w:sz w:val="20"/>
          <w:szCs w:val="20"/>
        </w:rPr>
        <w:footnoteRef/>
      </w:r>
      <w:proofErr w:type="gramStart"/>
      <w:r w:rsidRPr="001D3EEA">
        <w:rPr>
          <w:sz w:val="20"/>
          <w:szCs w:val="20"/>
        </w:rPr>
        <w:t>O</w:t>
      </w:r>
      <w:r w:rsidRPr="001D3EEA">
        <w:rPr>
          <w:rFonts w:eastAsiaTheme="minorHAnsi"/>
          <w:sz w:val="20"/>
          <w:szCs w:val="20"/>
        </w:rPr>
        <w:t>rder No.</w:t>
      </w:r>
      <w:proofErr w:type="gramEnd"/>
      <w:r w:rsidRPr="001D3EEA">
        <w:rPr>
          <w:rFonts w:eastAsiaTheme="minorHAnsi"/>
          <w:sz w:val="20"/>
          <w:szCs w:val="20"/>
        </w:rPr>
        <w:t xml:space="preserve"> </w:t>
      </w:r>
      <w:r w:rsidRPr="001D3EEA">
        <w:rPr>
          <w:rFonts w:eastAsiaTheme="minorHAnsi"/>
          <w:sz w:val="19"/>
          <w:szCs w:val="19"/>
        </w:rPr>
        <w:t xml:space="preserve">PSC-13-0611-P </w:t>
      </w:r>
      <w:r w:rsidRPr="001D3EEA">
        <w:rPr>
          <w:rFonts w:eastAsiaTheme="minorHAnsi"/>
          <w:sz w:val="20"/>
          <w:szCs w:val="20"/>
        </w:rPr>
        <w:t>AA-</w:t>
      </w:r>
      <w:r w:rsidRPr="001D3EEA">
        <w:rPr>
          <w:rFonts w:eastAsiaTheme="minorHAnsi"/>
          <w:sz w:val="19"/>
          <w:szCs w:val="19"/>
        </w:rPr>
        <w:t>WS,</w:t>
      </w:r>
      <w:r w:rsidRPr="001D3EEA">
        <w:rPr>
          <w:rFonts w:eastAsiaTheme="minorHAnsi"/>
          <w:sz w:val="23"/>
          <w:szCs w:val="23"/>
        </w:rPr>
        <w:t xml:space="preserve"> </w:t>
      </w:r>
      <w:r w:rsidRPr="001D3EEA">
        <w:rPr>
          <w:rFonts w:eastAsiaTheme="minorHAnsi"/>
          <w:sz w:val="19"/>
          <w:szCs w:val="19"/>
        </w:rPr>
        <w:t>p.20.</w:t>
      </w:r>
    </w:p>
  </w:footnote>
  <w:footnote w:id="28">
    <w:p w:rsidR="004001A3" w:rsidRPr="00881780" w:rsidRDefault="004001A3" w:rsidP="00A70266">
      <w:pPr>
        <w:pStyle w:val="Default"/>
        <w:jc w:val="both"/>
        <w:rPr>
          <w:sz w:val="20"/>
          <w:szCs w:val="20"/>
        </w:rPr>
      </w:pPr>
      <w:r w:rsidRPr="00F54A49">
        <w:rPr>
          <w:rStyle w:val="FootnoteReference"/>
          <w:sz w:val="20"/>
          <w:szCs w:val="20"/>
        </w:rPr>
        <w:footnoteRef/>
      </w:r>
      <w:proofErr w:type="gramStart"/>
      <w:r w:rsidRPr="00881780">
        <w:rPr>
          <w:sz w:val="20"/>
          <w:szCs w:val="20"/>
        </w:rPr>
        <w:t>Order No.</w:t>
      </w:r>
      <w:proofErr w:type="gramEnd"/>
      <w:r w:rsidRPr="00881780">
        <w:rPr>
          <w:sz w:val="20"/>
          <w:szCs w:val="20"/>
        </w:rPr>
        <w:t xml:space="preserve"> PSC-11-0199-PAA-WU, issued April 22, 2011,</w:t>
      </w:r>
      <w:r>
        <w:rPr>
          <w:sz w:val="20"/>
          <w:szCs w:val="20"/>
        </w:rPr>
        <w:t xml:space="preserve"> Docket No. 100149-WU,</w:t>
      </w:r>
      <w:r w:rsidRPr="00881780">
        <w:rPr>
          <w:sz w:val="20"/>
          <w:szCs w:val="20"/>
        </w:rPr>
        <w:t xml:space="preserve"> </w:t>
      </w:r>
      <w:r w:rsidRPr="00881780">
        <w:rPr>
          <w:i/>
          <w:sz w:val="20"/>
          <w:szCs w:val="20"/>
        </w:rPr>
        <w:t>In re: Application for increase in water rates in Lee County by Ni Florida, LLC</w:t>
      </w:r>
      <w:r w:rsidRPr="00881780">
        <w:rPr>
          <w:sz w:val="20"/>
          <w:szCs w:val="20"/>
        </w:rPr>
        <w:t>.</w:t>
      </w:r>
    </w:p>
  </w:footnote>
  <w:footnote w:id="29">
    <w:p w:rsidR="004001A3" w:rsidRDefault="004001A3" w:rsidP="00A70266">
      <w:pPr>
        <w:pStyle w:val="FootnoteText"/>
      </w:pPr>
      <w:r>
        <w:rPr>
          <w:rStyle w:val="FootnoteReference"/>
        </w:rPr>
        <w:footnoteRef/>
      </w:r>
      <w:r>
        <w:t>Document Nos. 03579-16 (Response to Staff’s First Data Request), filed June 16, 2016 and 07475-</w:t>
      </w:r>
      <w:proofErr w:type="gramStart"/>
      <w:r>
        <w:t>16  (</w:t>
      </w:r>
      <w:proofErr w:type="gramEnd"/>
      <w:r>
        <w:t>Response to OPC Issues and Concerns), filed September 13, 2016.</w:t>
      </w:r>
    </w:p>
  </w:footnote>
  <w:footnote w:id="30">
    <w:p w:rsidR="004001A3" w:rsidRDefault="004001A3" w:rsidP="00A70266">
      <w:pPr>
        <w:pStyle w:val="FootnoteText"/>
      </w:pPr>
      <w:r>
        <w:rPr>
          <w:rStyle w:val="FootnoteReference"/>
        </w:rPr>
        <w:footnoteRef/>
      </w:r>
      <w:r>
        <w:t>Document No. 07514-16, filed September 14, 2016, Utility Response to Staff’s Third Data Request, Question 5.</w:t>
      </w:r>
    </w:p>
  </w:footnote>
  <w:footnote w:id="31">
    <w:p w:rsidR="004001A3" w:rsidRDefault="004001A3" w:rsidP="00A70266">
      <w:pPr>
        <w:pStyle w:val="FootnoteText"/>
      </w:pPr>
      <w:r>
        <w:rPr>
          <w:rStyle w:val="FootnoteReference"/>
        </w:rPr>
        <w:footnoteRef/>
      </w:r>
      <w:r>
        <w:t>Document No. 07514-16.</w:t>
      </w:r>
    </w:p>
  </w:footnote>
  <w:footnote w:id="32">
    <w:p w:rsidR="004001A3" w:rsidRDefault="004001A3" w:rsidP="00A70266">
      <w:pPr>
        <w:pStyle w:val="FootnoteText"/>
      </w:pPr>
      <w:r>
        <w:rPr>
          <w:rStyle w:val="FootnoteReference"/>
        </w:rPr>
        <w:footnoteRef/>
      </w:r>
      <w:r>
        <w:t xml:space="preserve">Document No. 07551-16, filed </w:t>
      </w:r>
      <w:proofErr w:type="gramStart"/>
      <w:r>
        <w:t>September  15</w:t>
      </w:r>
      <w:proofErr w:type="gramEnd"/>
      <w:r>
        <w:t>, 2016.</w:t>
      </w:r>
    </w:p>
  </w:footnote>
  <w:footnote w:id="33">
    <w:p w:rsidR="004001A3" w:rsidRDefault="004001A3" w:rsidP="00A70266">
      <w:pPr>
        <w:pStyle w:val="FootnoteText"/>
      </w:pPr>
      <w:r>
        <w:rPr>
          <w:rStyle w:val="FootnoteReference"/>
        </w:rPr>
        <w:footnoteRef/>
      </w:r>
      <w:r>
        <w:t>Document No. 07514-16.</w:t>
      </w:r>
    </w:p>
  </w:footnote>
  <w:footnote w:id="34">
    <w:p w:rsidR="004001A3" w:rsidRPr="00613E32" w:rsidRDefault="004001A3" w:rsidP="00A70266">
      <w:pPr>
        <w:pStyle w:val="FootnoteText"/>
      </w:pPr>
      <w:r>
        <w:rPr>
          <w:rStyle w:val="FootnoteReference"/>
        </w:rPr>
        <w:footnoteRef/>
      </w:r>
      <w:proofErr w:type="gramStart"/>
      <w:r w:rsidRPr="00613E32">
        <w:t>Order No.</w:t>
      </w:r>
      <w:proofErr w:type="gramEnd"/>
      <w:r w:rsidRPr="00613E32">
        <w:t xml:space="preserve"> </w:t>
      </w:r>
      <w:proofErr w:type="gramStart"/>
      <w:r w:rsidRPr="00613E32">
        <w:t>PSC-13-0611-PAA-WS, pp.13-14, 16.</w:t>
      </w:r>
      <w:proofErr w:type="gramEnd"/>
    </w:p>
  </w:footnote>
  <w:footnote w:id="35">
    <w:p w:rsidR="004001A3" w:rsidRPr="00613E32" w:rsidRDefault="004001A3" w:rsidP="00A70266">
      <w:pPr>
        <w:pStyle w:val="FootnoteText"/>
      </w:pPr>
      <w:r w:rsidRPr="00613E32">
        <w:rPr>
          <w:rStyle w:val="FootnoteReference"/>
        </w:rPr>
        <w:footnoteRef/>
      </w:r>
      <w:r w:rsidRPr="00613E32">
        <w:t xml:space="preserve">Billing Supervisor, Customer Service Department Manager, Customer Service Representative – In Charge, Billing, </w:t>
      </w:r>
      <w:proofErr w:type="gramStart"/>
      <w:r w:rsidRPr="00613E32">
        <w:t>Customer</w:t>
      </w:r>
      <w:proofErr w:type="gramEnd"/>
      <w:r w:rsidRPr="00613E32">
        <w:t xml:space="preserve"> Service Representative – Part-Time.</w:t>
      </w:r>
    </w:p>
  </w:footnote>
  <w:footnote w:id="36">
    <w:p w:rsidR="004001A3" w:rsidRDefault="004001A3" w:rsidP="00A70266">
      <w:pPr>
        <w:pStyle w:val="FootnoteText"/>
      </w:pPr>
      <w:r>
        <w:rPr>
          <w:rStyle w:val="FootnoteReference"/>
        </w:rPr>
        <w:footnoteRef/>
      </w:r>
      <w:r>
        <w:t>This amount differs slightly from OPC’s recommended adjustment of</w:t>
      </w:r>
      <w:r w:rsidRPr="00A13DEA">
        <w:t xml:space="preserve"> $5,546 for water and $21,284 for wastewater.</w:t>
      </w:r>
      <w:r>
        <w:t xml:space="preserve"> Staff based its calculation on information provided in Confidential Document No. 06556-16.</w:t>
      </w:r>
    </w:p>
  </w:footnote>
  <w:footnote w:id="37">
    <w:p w:rsidR="004001A3" w:rsidRDefault="004001A3">
      <w:pPr>
        <w:pStyle w:val="FootnoteText"/>
      </w:pPr>
      <w:r>
        <w:rPr>
          <w:rStyle w:val="FootnoteReference"/>
        </w:rPr>
        <w:footnoteRef/>
      </w:r>
      <w:proofErr w:type="gramStart"/>
      <w:r>
        <w:t>Order No.</w:t>
      </w:r>
      <w:proofErr w:type="gramEnd"/>
      <w:r>
        <w:t xml:space="preserve"> PSC-06-0338-AS-WU, issued April 24, 2006, in Docket No. 050819-WU, </w:t>
      </w:r>
      <w:r w:rsidRPr="00EF2192">
        <w:rPr>
          <w:i/>
        </w:rPr>
        <w:t xml:space="preserve">In re: Request to establish new class of service for RV </w:t>
      </w:r>
      <w:proofErr w:type="gramStart"/>
      <w:r w:rsidRPr="00EF2192">
        <w:rPr>
          <w:i/>
        </w:rPr>
        <w:t>park</w:t>
      </w:r>
      <w:proofErr w:type="gramEnd"/>
      <w:r w:rsidRPr="00EF2192">
        <w:rPr>
          <w:i/>
        </w:rPr>
        <w:t xml:space="preserve"> in Lee Co</w:t>
      </w:r>
      <w:r>
        <w:rPr>
          <w:i/>
        </w:rPr>
        <w:t>u</w:t>
      </w:r>
      <w:r w:rsidRPr="00EF2192">
        <w:rPr>
          <w:i/>
        </w:rPr>
        <w:t>nty, by Tamiami Village Water Company, Inc.</w:t>
      </w:r>
    </w:p>
  </w:footnote>
  <w:footnote w:id="38">
    <w:p w:rsidR="004001A3" w:rsidRDefault="004001A3">
      <w:pPr>
        <w:pStyle w:val="FootnoteText"/>
      </w:pPr>
      <w:r>
        <w:rPr>
          <w:rStyle w:val="FootnoteReference"/>
        </w:rPr>
        <w:footnoteRef/>
      </w:r>
      <w:r>
        <w:t>Section 367.0816, F.S., was repealed by Laws 2016, c. 2016-216, § 5, effective July 1, 2016. However, the statute was implemented in this case because it was effective at the time the application was filed.</w:t>
      </w:r>
    </w:p>
  </w:footnote>
  <w:footnote w:id="39">
    <w:p w:rsidR="004001A3" w:rsidRPr="00B714E0" w:rsidRDefault="004001A3" w:rsidP="00A83DE5">
      <w:pPr>
        <w:pStyle w:val="FootnoteText"/>
        <w:rPr>
          <w:i/>
        </w:rPr>
      </w:pPr>
      <w:r>
        <w:rPr>
          <w:rStyle w:val="FootnoteReference"/>
        </w:rPr>
        <w:footnoteRef/>
      </w:r>
      <w:proofErr w:type="gramStart"/>
      <w:r>
        <w:t>Order No.</w:t>
      </w:r>
      <w:proofErr w:type="gramEnd"/>
      <w:r>
        <w:t xml:space="preserve"> PSC-15-0142-PAA-SU, issued March 26, 2015, in Docket No. 130178-SU, </w:t>
      </w:r>
      <w:r w:rsidRPr="00B714E0">
        <w:rPr>
          <w:i/>
        </w:rPr>
        <w:t>In re:  Application for staff-assisted rate case in Polk County by Crooked Lake Park Sewerage Company.</w:t>
      </w:r>
    </w:p>
  </w:footnote>
  <w:footnote w:id="40">
    <w:p w:rsidR="004001A3" w:rsidRDefault="004001A3" w:rsidP="008942B3">
      <w:pPr>
        <w:pStyle w:val="FootnoteText"/>
      </w:pPr>
      <w:r>
        <w:rPr>
          <w:rStyle w:val="FootnoteReference"/>
        </w:rPr>
        <w:footnoteRef/>
      </w:r>
      <w:r>
        <w:t xml:space="preserve">Order No. 13796, issued October 22, 1984, in Docket No. 830558-WS, In Re:  </w:t>
      </w:r>
      <w:r w:rsidRPr="002244E2">
        <w:rPr>
          <w:i/>
        </w:rPr>
        <w:t>Application of Tamiami Utility Company for increased water and sewer rates and charges to customers in Lee County, Florida.</w:t>
      </w:r>
    </w:p>
  </w:footnote>
  <w:footnote w:id="41">
    <w:p w:rsidR="004001A3" w:rsidRDefault="004001A3" w:rsidP="008942B3">
      <w:pPr>
        <w:pStyle w:val="FootnoteText"/>
      </w:pPr>
      <w:r>
        <w:rPr>
          <w:rStyle w:val="FootnoteReference"/>
        </w:rPr>
        <w:footnoteRef/>
      </w:r>
      <w:proofErr w:type="gramStart"/>
      <w:r>
        <w:t>Order No.</w:t>
      </w:r>
      <w:proofErr w:type="gramEnd"/>
      <w:r>
        <w:t xml:space="preserve"> PSC-02-1626-PAA-SU, issued November 25, 2002, in Docket No. 020254-SU, In Re: </w:t>
      </w:r>
      <w:r>
        <w:rPr>
          <w:i/>
        </w:rPr>
        <w:t>Application for increase in service availability charges in Pasco County by Hudson Utilities,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bookmarkStart w:id="14" w:name="DocketLabel"/>
    <w:r>
      <w:t>Docket No.</w:t>
    </w:r>
    <w:bookmarkEnd w:id="14"/>
    <w:r>
      <w:t xml:space="preserve"> </w:t>
    </w:r>
    <w:bookmarkStart w:id="15" w:name="DocketList"/>
    <w:r>
      <w:t>160030-WS</w:t>
    </w:r>
    <w:bookmarkEnd w:id="15"/>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3-C</w:t>
    </w:r>
    <w:r>
      <w:tab/>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4-A</w:t>
    </w:r>
    <w:r>
      <w:tab/>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4-B</w:t>
    </w:r>
    <w:r>
      <w:tab/>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 xml:space="preserve">Issue </w:t>
    </w:r>
    <w:r w:rsidR="00547E30">
      <w:fldChar w:fldCharType="begin"/>
    </w:r>
    <w:r w:rsidR="00547E30">
      <w:instrText xml:space="preserve"> Seq Issue \c \* Arabic </w:instrText>
    </w:r>
    <w:r w:rsidR="00547E30">
      <w:fldChar w:fldCharType="separate"/>
    </w:r>
    <w:r w:rsidR="00682CBD">
      <w:rPr>
        <w:noProof/>
      </w:rPr>
      <w:t>21</w:t>
    </w:r>
    <w:r w:rsidR="00547E30">
      <w:rPr>
        <w:noProof/>
      </w:rPr>
      <w:fldChar w:fldCharType="end"/>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1-A</w:t>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1-B</w:t>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t>Schedule No. 1-C</w:t>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r>
    <w:r>
      <w:tab/>
    </w:r>
    <w:r>
      <w:tab/>
      <w:t>Schedule No. 2</w:t>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r>
    <w:r>
      <w:tab/>
    </w:r>
    <w:r>
      <w:tab/>
      <w:t>Schedule No. 3-A</w:t>
    </w:r>
    <w:r>
      <w:tab/>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1A3" w:rsidRDefault="004001A3" w:rsidP="00220732">
    <w:pPr>
      <w:pStyle w:val="Header"/>
      <w:tabs>
        <w:tab w:val="clear" w:pos="4320"/>
        <w:tab w:val="clear" w:pos="8640"/>
        <w:tab w:val="right" w:pos="9360"/>
      </w:tabs>
    </w:pPr>
    <w:r>
      <w:fldChar w:fldCharType="begin"/>
    </w:r>
    <w:r>
      <w:instrText xml:space="preserve"> REF DocketLabel</w:instrText>
    </w:r>
    <w:r>
      <w:fldChar w:fldCharType="separate"/>
    </w:r>
    <w:r w:rsidR="007F50C0">
      <w:t>Docket No.</w:t>
    </w:r>
    <w:r>
      <w:fldChar w:fldCharType="end"/>
    </w:r>
    <w:r>
      <w:t xml:space="preserve"> </w:t>
    </w:r>
    <w:r>
      <w:fldChar w:fldCharType="begin"/>
    </w:r>
    <w:r>
      <w:instrText xml:space="preserve"> REF DocketList</w:instrText>
    </w:r>
    <w:r>
      <w:fldChar w:fldCharType="separate"/>
    </w:r>
    <w:r w:rsidR="007F50C0">
      <w:t>160030-WS</w:t>
    </w:r>
    <w:r>
      <w:fldChar w:fldCharType="end"/>
    </w:r>
    <w:r>
      <w:tab/>
    </w:r>
    <w:r>
      <w:tab/>
    </w:r>
    <w:r>
      <w:tab/>
      <w:t>Schedule No. 3-B</w:t>
    </w:r>
    <w:r>
      <w:tab/>
    </w:r>
  </w:p>
  <w:p w:rsidR="004001A3" w:rsidRDefault="004001A3">
    <w:pPr>
      <w:pStyle w:val="Header"/>
    </w:pPr>
    <w:r>
      <w:t xml:space="preserve">Date: </w:t>
    </w:r>
    <w:r w:rsidR="00547E30">
      <w:fldChar w:fldCharType="begin"/>
    </w:r>
    <w:r w:rsidR="00547E30">
      <w:instrText xml:space="preserve"> REF FilingDate </w:instrText>
    </w:r>
    <w:r w:rsidR="00547E30">
      <w:fldChar w:fldCharType="separate"/>
    </w:r>
    <w:r w:rsidR="007F50C0">
      <w:t>October 20, 2016</w:t>
    </w:r>
    <w:r w:rsidR="00547E30">
      <w:fldChar w:fldCharType="end"/>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E4D6BA5"/>
    <w:multiLevelType w:val="hybridMultilevel"/>
    <w:tmpl w:val="032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716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794219"/>
    <w:rsid w:val="000040EF"/>
    <w:rsid w:val="00010667"/>
    <w:rsid w:val="00010E37"/>
    <w:rsid w:val="00010F46"/>
    <w:rsid w:val="00016121"/>
    <w:rsid w:val="00021FCD"/>
    <w:rsid w:val="00022AA1"/>
    <w:rsid w:val="000247C5"/>
    <w:rsid w:val="000277C2"/>
    <w:rsid w:val="00030A05"/>
    <w:rsid w:val="000344A9"/>
    <w:rsid w:val="000356B4"/>
    <w:rsid w:val="00035B48"/>
    <w:rsid w:val="00036CE2"/>
    <w:rsid w:val="00040DCC"/>
    <w:rsid w:val="00040E8A"/>
    <w:rsid w:val="000437FE"/>
    <w:rsid w:val="000513BE"/>
    <w:rsid w:val="000516D4"/>
    <w:rsid w:val="000538AD"/>
    <w:rsid w:val="00055D8F"/>
    <w:rsid w:val="00062C12"/>
    <w:rsid w:val="00064796"/>
    <w:rsid w:val="00065A06"/>
    <w:rsid w:val="000666F3"/>
    <w:rsid w:val="0007056F"/>
    <w:rsid w:val="00070DCB"/>
    <w:rsid w:val="00072029"/>
    <w:rsid w:val="00073120"/>
    <w:rsid w:val="000764D0"/>
    <w:rsid w:val="000808D2"/>
    <w:rsid w:val="000828D3"/>
    <w:rsid w:val="00083686"/>
    <w:rsid w:val="00083A43"/>
    <w:rsid w:val="00085A7F"/>
    <w:rsid w:val="00085F11"/>
    <w:rsid w:val="000915D7"/>
    <w:rsid w:val="00093B0A"/>
    <w:rsid w:val="00096859"/>
    <w:rsid w:val="000A20BC"/>
    <w:rsid w:val="000A2B57"/>
    <w:rsid w:val="000A324F"/>
    <w:rsid w:val="000A418B"/>
    <w:rsid w:val="000A6846"/>
    <w:rsid w:val="000A7C8D"/>
    <w:rsid w:val="000B1E0C"/>
    <w:rsid w:val="000C0A98"/>
    <w:rsid w:val="000C2F55"/>
    <w:rsid w:val="000C3AE0"/>
    <w:rsid w:val="000C4431"/>
    <w:rsid w:val="000C53C6"/>
    <w:rsid w:val="000C752D"/>
    <w:rsid w:val="000D1088"/>
    <w:rsid w:val="000D2331"/>
    <w:rsid w:val="000D3D7F"/>
    <w:rsid w:val="000D4319"/>
    <w:rsid w:val="000D778A"/>
    <w:rsid w:val="000E2FF7"/>
    <w:rsid w:val="000E3E7D"/>
    <w:rsid w:val="000E6143"/>
    <w:rsid w:val="000E7D7D"/>
    <w:rsid w:val="000F1097"/>
    <w:rsid w:val="000F2C87"/>
    <w:rsid w:val="000F374A"/>
    <w:rsid w:val="000F4C1D"/>
    <w:rsid w:val="000F7640"/>
    <w:rsid w:val="000F7896"/>
    <w:rsid w:val="000F7CFF"/>
    <w:rsid w:val="0010083B"/>
    <w:rsid w:val="00105ABA"/>
    <w:rsid w:val="00105BAC"/>
    <w:rsid w:val="00110C9A"/>
    <w:rsid w:val="00110E01"/>
    <w:rsid w:val="00111C27"/>
    <w:rsid w:val="00112B9D"/>
    <w:rsid w:val="001133E2"/>
    <w:rsid w:val="00114423"/>
    <w:rsid w:val="00117C8C"/>
    <w:rsid w:val="00124E2E"/>
    <w:rsid w:val="00125ED4"/>
    <w:rsid w:val="001305E9"/>
    <w:rsid w:val="001307AF"/>
    <w:rsid w:val="001313E5"/>
    <w:rsid w:val="00135687"/>
    <w:rsid w:val="00144F2E"/>
    <w:rsid w:val="00153EB6"/>
    <w:rsid w:val="0015506E"/>
    <w:rsid w:val="001553CE"/>
    <w:rsid w:val="001558DB"/>
    <w:rsid w:val="001578C6"/>
    <w:rsid w:val="00163031"/>
    <w:rsid w:val="0016416E"/>
    <w:rsid w:val="00171A90"/>
    <w:rsid w:val="00174C52"/>
    <w:rsid w:val="001754E3"/>
    <w:rsid w:val="00180254"/>
    <w:rsid w:val="00183711"/>
    <w:rsid w:val="00183F4D"/>
    <w:rsid w:val="00191E1F"/>
    <w:rsid w:val="00192943"/>
    <w:rsid w:val="001A2D47"/>
    <w:rsid w:val="001A4857"/>
    <w:rsid w:val="001A7406"/>
    <w:rsid w:val="001B4FEE"/>
    <w:rsid w:val="001B51C5"/>
    <w:rsid w:val="001B6F3F"/>
    <w:rsid w:val="001C32BC"/>
    <w:rsid w:val="001C428E"/>
    <w:rsid w:val="001C52B5"/>
    <w:rsid w:val="001C77F9"/>
    <w:rsid w:val="001C7FA4"/>
    <w:rsid w:val="001D0D3E"/>
    <w:rsid w:val="001D27AC"/>
    <w:rsid w:val="001D777F"/>
    <w:rsid w:val="001E4B45"/>
    <w:rsid w:val="001E5182"/>
    <w:rsid w:val="001E7AAF"/>
    <w:rsid w:val="001F2245"/>
    <w:rsid w:val="001F2822"/>
    <w:rsid w:val="001F324F"/>
    <w:rsid w:val="001F6DA1"/>
    <w:rsid w:val="002020E4"/>
    <w:rsid w:val="002044E6"/>
    <w:rsid w:val="0020464D"/>
    <w:rsid w:val="00205345"/>
    <w:rsid w:val="00205C82"/>
    <w:rsid w:val="00205DC2"/>
    <w:rsid w:val="00212B17"/>
    <w:rsid w:val="002156F6"/>
    <w:rsid w:val="002160BD"/>
    <w:rsid w:val="002163B6"/>
    <w:rsid w:val="00216D1D"/>
    <w:rsid w:val="00220732"/>
    <w:rsid w:val="00221D32"/>
    <w:rsid w:val="002234BC"/>
    <w:rsid w:val="00224B1A"/>
    <w:rsid w:val="00225C3F"/>
    <w:rsid w:val="002266EB"/>
    <w:rsid w:val="002422D6"/>
    <w:rsid w:val="0024460F"/>
    <w:rsid w:val="00246DFC"/>
    <w:rsid w:val="002473BF"/>
    <w:rsid w:val="00247B1E"/>
    <w:rsid w:val="00250E42"/>
    <w:rsid w:val="0025418E"/>
    <w:rsid w:val="00254381"/>
    <w:rsid w:val="00254B88"/>
    <w:rsid w:val="00255DE8"/>
    <w:rsid w:val="0025783A"/>
    <w:rsid w:val="00257E5F"/>
    <w:rsid w:val="002616BD"/>
    <w:rsid w:val="00261AC8"/>
    <w:rsid w:val="00263D44"/>
    <w:rsid w:val="00267262"/>
    <w:rsid w:val="00267379"/>
    <w:rsid w:val="002702AD"/>
    <w:rsid w:val="00283033"/>
    <w:rsid w:val="00283F4A"/>
    <w:rsid w:val="00286723"/>
    <w:rsid w:val="002868E4"/>
    <w:rsid w:val="00290DDC"/>
    <w:rsid w:val="00291BE5"/>
    <w:rsid w:val="00292D82"/>
    <w:rsid w:val="00294A08"/>
    <w:rsid w:val="00295DF9"/>
    <w:rsid w:val="002963CB"/>
    <w:rsid w:val="002A685C"/>
    <w:rsid w:val="002B1AEA"/>
    <w:rsid w:val="002B7572"/>
    <w:rsid w:val="002B76A1"/>
    <w:rsid w:val="002C1484"/>
    <w:rsid w:val="002C276C"/>
    <w:rsid w:val="002D226D"/>
    <w:rsid w:val="002D6F3D"/>
    <w:rsid w:val="002E43D0"/>
    <w:rsid w:val="002F1AFE"/>
    <w:rsid w:val="002F25D0"/>
    <w:rsid w:val="002F6030"/>
    <w:rsid w:val="003037E1"/>
    <w:rsid w:val="003049C6"/>
    <w:rsid w:val="00306B23"/>
    <w:rsid w:val="00307E51"/>
    <w:rsid w:val="003103EC"/>
    <w:rsid w:val="003144EF"/>
    <w:rsid w:val="0032031D"/>
    <w:rsid w:val="003207E5"/>
    <w:rsid w:val="0032236A"/>
    <w:rsid w:val="00322F74"/>
    <w:rsid w:val="003230D6"/>
    <w:rsid w:val="00327A3C"/>
    <w:rsid w:val="00330A2F"/>
    <w:rsid w:val="0033374C"/>
    <w:rsid w:val="00340073"/>
    <w:rsid w:val="003410E1"/>
    <w:rsid w:val="003512B6"/>
    <w:rsid w:val="00361D5D"/>
    <w:rsid w:val="00372805"/>
    <w:rsid w:val="00373180"/>
    <w:rsid w:val="00373502"/>
    <w:rsid w:val="00374F84"/>
    <w:rsid w:val="00375AB9"/>
    <w:rsid w:val="00375F18"/>
    <w:rsid w:val="00380FAE"/>
    <w:rsid w:val="003821A0"/>
    <w:rsid w:val="003852D0"/>
    <w:rsid w:val="00385B04"/>
    <w:rsid w:val="003864CF"/>
    <w:rsid w:val="00390E34"/>
    <w:rsid w:val="003914EC"/>
    <w:rsid w:val="003A042F"/>
    <w:rsid w:val="003A1DB9"/>
    <w:rsid w:val="003A22A6"/>
    <w:rsid w:val="003A5494"/>
    <w:rsid w:val="003A76FD"/>
    <w:rsid w:val="003B2510"/>
    <w:rsid w:val="003B72CB"/>
    <w:rsid w:val="003C2CC4"/>
    <w:rsid w:val="003C3584"/>
    <w:rsid w:val="003C4627"/>
    <w:rsid w:val="003D143C"/>
    <w:rsid w:val="003D2775"/>
    <w:rsid w:val="003D3373"/>
    <w:rsid w:val="003E0687"/>
    <w:rsid w:val="003E06AC"/>
    <w:rsid w:val="003E0EFC"/>
    <w:rsid w:val="003E2403"/>
    <w:rsid w:val="003E3B28"/>
    <w:rsid w:val="003E4A2B"/>
    <w:rsid w:val="003E5036"/>
    <w:rsid w:val="003E530F"/>
    <w:rsid w:val="003E76C2"/>
    <w:rsid w:val="003E7E4C"/>
    <w:rsid w:val="003F1679"/>
    <w:rsid w:val="003F4A35"/>
    <w:rsid w:val="003F4C37"/>
    <w:rsid w:val="003F7FDD"/>
    <w:rsid w:val="004001A3"/>
    <w:rsid w:val="00400222"/>
    <w:rsid w:val="0040045F"/>
    <w:rsid w:val="00402481"/>
    <w:rsid w:val="004042B4"/>
    <w:rsid w:val="00412DAE"/>
    <w:rsid w:val="004140E6"/>
    <w:rsid w:val="00415321"/>
    <w:rsid w:val="00415C96"/>
    <w:rsid w:val="0042070C"/>
    <w:rsid w:val="00422231"/>
    <w:rsid w:val="0042437C"/>
    <w:rsid w:val="00427E88"/>
    <w:rsid w:val="00431598"/>
    <w:rsid w:val="00433661"/>
    <w:rsid w:val="004426B8"/>
    <w:rsid w:val="00444432"/>
    <w:rsid w:val="00446081"/>
    <w:rsid w:val="004474D8"/>
    <w:rsid w:val="004521F2"/>
    <w:rsid w:val="0046246F"/>
    <w:rsid w:val="00462EB4"/>
    <w:rsid w:val="00463622"/>
    <w:rsid w:val="00466DBC"/>
    <w:rsid w:val="0046723D"/>
    <w:rsid w:val="0046764B"/>
    <w:rsid w:val="00470B32"/>
    <w:rsid w:val="00470CF8"/>
    <w:rsid w:val="00471860"/>
    <w:rsid w:val="00477536"/>
    <w:rsid w:val="00495639"/>
    <w:rsid w:val="004A16A8"/>
    <w:rsid w:val="004A4E14"/>
    <w:rsid w:val="004A73B0"/>
    <w:rsid w:val="004B0EBD"/>
    <w:rsid w:val="004B127F"/>
    <w:rsid w:val="004B12F7"/>
    <w:rsid w:val="004B3BBF"/>
    <w:rsid w:val="004B60BD"/>
    <w:rsid w:val="004B6AD1"/>
    <w:rsid w:val="004C1EDD"/>
    <w:rsid w:val="004C23D3"/>
    <w:rsid w:val="004C2752"/>
    <w:rsid w:val="004C3150"/>
    <w:rsid w:val="004C3641"/>
    <w:rsid w:val="004C4390"/>
    <w:rsid w:val="004C476D"/>
    <w:rsid w:val="004C4AF7"/>
    <w:rsid w:val="004D03C3"/>
    <w:rsid w:val="004D2881"/>
    <w:rsid w:val="004D385F"/>
    <w:rsid w:val="004D5B39"/>
    <w:rsid w:val="004E330D"/>
    <w:rsid w:val="004E5147"/>
    <w:rsid w:val="004E772F"/>
    <w:rsid w:val="004F0D53"/>
    <w:rsid w:val="004F2B03"/>
    <w:rsid w:val="004F2E88"/>
    <w:rsid w:val="004F7FC2"/>
    <w:rsid w:val="0050338A"/>
    <w:rsid w:val="005050AD"/>
    <w:rsid w:val="0050652D"/>
    <w:rsid w:val="00506C03"/>
    <w:rsid w:val="005120B1"/>
    <w:rsid w:val="00516496"/>
    <w:rsid w:val="00523227"/>
    <w:rsid w:val="0052572A"/>
    <w:rsid w:val="00525775"/>
    <w:rsid w:val="0053133D"/>
    <w:rsid w:val="00534505"/>
    <w:rsid w:val="005348C8"/>
    <w:rsid w:val="00540DF0"/>
    <w:rsid w:val="0054302E"/>
    <w:rsid w:val="00543CB3"/>
    <w:rsid w:val="00547649"/>
    <w:rsid w:val="0055235B"/>
    <w:rsid w:val="005525CB"/>
    <w:rsid w:val="00555549"/>
    <w:rsid w:val="005559FF"/>
    <w:rsid w:val="005568BA"/>
    <w:rsid w:val="00560FF0"/>
    <w:rsid w:val="005614BD"/>
    <w:rsid w:val="00566936"/>
    <w:rsid w:val="0057154F"/>
    <w:rsid w:val="005744C1"/>
    <w:rsid w:val="005769A7"/>
    <w:rsid w:val="0058177E"/>
    <w:rsid w:val="00581CA3"/>
    <w:rsid w:val="005826A2"/>
    <w:rsid w:val="00587A44"/>
    <w:rsid w:val="00587B3C"/>
    <w:rsid w:val="00587C5C"/>
    <w:rsid w:val="005916BB"/>
    <w:rsid w:val="00597730"/>
    <w:rsid w:val="005977EC"/>
    <w:rsid w:val="00597DE7"/>
    <w:rsid w:val="005A4AA2"/>
    <w:rsid w:val="005B34B6"/>
    <w:rsid w:val="005B4E37"/>
    <w:rsid w:val="005B6C8F"/>
    <w:rsid w:val="005B70EF"/>
    <w:rsid w:val="005C26F2"/>
    <w:rsid w:val="005C689F"/>
    <w:rsid w:val="005D0F74"/>
    <w:rsid w:val="005D2D05"/>
    <w:rsid w:val="005D2E7D"/>
    <w:rsid w:val="005D329A"/>
    <w:rsid w:val="005D4A8F"/>
    <w:rsid w:val="005D561B"/>
    <w:rsid w:val="005D6EA5"/>
    <w:rsid w:val="005D7B1A"/>
    <w:rsid w:val="005E2D75"/>
    <w:rsid w:val="005E395D"/>
    <w:rsid w:val="005E6B15"/>
    <w:rsid w:val="005E7F30"/>
    <w:rsid w:val="005F0C97"/>
    <w:rsid w:val="005F1EC6"/>
    <w:rsid w:val="005F1FE9"/>
    <w:rsid w:val="005F2A55"/>
    <w:rsid w:val="005F468D"/>
    <w:rsid w:val="005F69A3"/>
    <w:rsid w:val="005F76D2"/>
    <w:rsid w:val="005F76F0"/>
    <w:rsid w:val="00602B9F"/>
    <w:rsid w:val="006105E4"/>
    <w:rsid w:val="00611181"/>
    <w:rsid w:val="00615423"/>
    <w:rsid w:val="006165B2"/>
    <w:rsid w:val="00617276"/>
    <w:rsid w:val="0061785C"/>
    <w:rsid w:val="00620567"/>
    <w:rsid w:val="0062453E"/>
    <w:rsid w:val="00624664"/>
    <w:rsid w:val="00625D97"/>
    <w:rsid w:val="00625F1C"/>
    <w:rsid w:val="0063043A"/>
    <w:rsid w:val="00630CEB"/>
    <w:rsid w:val="00632264"/>
    <w:rsid w:val="00634B03"/>
    <w:rsid w:val="0063731C"/>
    <w:rsid w:val="00637873"/>
    <w:rsid w:val="006470BC"/>
    <w:rsid w:val="00650237"/>
    <w:rsid w:val="00660191"/>
    <w:rsid w:val="006620BC"/>
    <w:rsid w:val="00667036"/>
    <w:rsid w:val="00667B56"/>
    <w:rsid w:val="006714A8"/>
    <w:rsid w:val="00672F20"/>
    <w:rsid w:val="00673BDB"/>
    <w:rsid w:val="00675169"/>
    <w:rsid w:val="00675250"/>
    <w:rsid w:val="006771B8"/>
    <w:rsid w:val="0068078A"/>
    <w:rsid w:val="00682CBD"/>
    <w:rsid w:val="006843B6"/>
    <w:rsid w:val="0068481F"/>
    <w:rsid w:val="0068572B"/>
    <w:rsid w:val="0069606F"/>
    <w:rsid w:val="00696234"/>
    <w:rsid w:val="00696F5D"/>
    <w:rsid w:val="00697249"/>
    <w:rsid w:val="006A0705"/>
    <w:rsid w:val="006A68F1"/>
    <w:rsid w:val="006B008D"/>
    <w:rsid w:val="006B2296"/>
    <w:rsid w:val="006B30A7"/>
    <w:rsid w:val="006B3947"/>
    <w:rsid w:val="006B4293"/>
    <w:rsid w:val="006B4753"/>
    <w:rsid w:val="006B624F"/>
    <w:rsid w:val="006C22AD"/>
    <w:rsid w:val="006C31E3"/>
    <w:rsid w:val="006C5403"/>
    <w:rsid w:val="006C6AA8"/>
    <w:rsid w:val="006C779B"/>
    <w:rsid w:val="006D07D9"/>
    <w:rsid w:val="006D0DF9"/>
    <w:rsid w:val="006D1534"/>
    <w:rsid w:val="006D18D3"/>
    <w:rsid w:val="006D1D8C"/>
    <w:rsid w:val="006D6423"/>
    <w:rsid w:val="006D6CB3"/>
    <w:rsid w:val="006D783E"/>
    <w:rsid w:val="006D7A80"/>
    <w:rsid w:val="006E08CB"/>
    <w:rsid w:val="006E598D"/>
    <w:rsid w:val="006E5DE7"/>
    <w:rsid w:val="006F512E"/>
    <w:rsid w:val="0070437D"/>
    <w:rsid w:val="00704EB7"/>
    <w:rsid w:val="00705B04"/>
    <w:rsid w:val="007075BF"/>
    <w:rsid w:val="00707C84"/>
    <w:rsid w:val="00712288"/>
    <w:rsid w:val="00712FCA"/>
    <w:rsid w:val="00715076"/>
    <w:rsid w:val="00721974"/>
    <w:rsid w:val="00731E8A"/>
    <w:rsid w:val="00734820"/>
    <w:rsid w:val="007349DC"/>
    <w:rsid w:val="007370FC"/>
    <w:rsid w:val="00737BC3"/>
    <w:rsid w:val="00741011"/>
    <w:rsid w:val="00741219"/>
    <w:rsid w:val="00742831"/>
    <w:rsid w:val="0074365E"/>
    <w:rsid w:val="00746CF6"/>
    <w:rsid w:val="00747644"/>
    <w:rsid w:val="00747AE6"/>
    <w:rsid w:val="007515FD"/>
    <w:rsid w:val="00753929"/>
    <w:rsid w:val="0075565F"/>
    <w:rsid w:val="00760D80"/>
    <w:rsid w:val="00765891"/>
    <w:rsid w:val="007663DA"/>
    <w:rsid w:val="00771426"/>
    <w:rsid w:val="00773300"/>
    <w:rsid w:val="0077380C"/>
    <w:rsid w:val="007762A7"/>
    <w:rsid w:val="00776C62"/>
    <w:rsid w:val="007807B1"/>
    <w:rsid w:val="00780C09"/>
    <w:rsid w:val="00780DDF"/>
    <w:rsid w:val="007834E9"/>
    <w:rsid w:val="0078521C"/>
    <w:rsid w:val="00787DBC"/>
    <w:rsid w:val="00792935"/>
    <w:rsid w:val="00794219"/>
    <w:rsid w:val="007948B3"/>
    <w:rsid w:val="007948C6"/>
    <w:rsid w:val="00797DAB"/>
    <w:rsid w:val="007A04A1"/>
    <w:rsid w:val="007A1840"/>
    <w:rsid w:val="007A215A"/>
    <w:rsid w:val="007A24FF"/>
    <w:rsid w:val="007A27C2"/>
    <w:rsid w:val="007A4C67"/>
    <w:rsid w:val="007A5A94"/>
    <w:rsid w:val="007B17CA"/>
    <w:rsid w:val="007B6167"/>
    <w:rsid w:val="007B70C3"/>
    <w:rsid w:val="007C0528"/>
    <w:rsid w:val="007C3D38"/>
    <w:rsid w:val="007C54FD"/>
    <w:rsid w:val="007C66B6"/>
    <w:rsid w:val="007C67B6"/>
    <w:rsid w:val="007D0F35"/>
    <w:rsid w:val="007D4FEB"/>
    <w:rsid w:val="007D6146"/>
    <w:rsid w:val="007E0CE7"/>
    <w:rsid w:val="007E11B6"/>
    <w:rsid w:val="007E58A6"/>
    <w:rsid w:val="007F1193"/>
    <w:rsid w:val="007F417F"/>
    <w:rsid w:val="007F50C0"/>
    <w:rsid w:val="007F76F5"/>
    <w:rsid w:val="0080123F"/>
    <w:rsid w:val="008042BD"/>
    <w:rsid w:val="00804A25"/>
    <w:rsid w:val="00805C43"/>
    <w:rsid w:val="00812E1D"/>
    <w:rsid w:val="008141A3"/>
    <w:rsid w:val="00816624"/>
    <w:rsid w:val="008171BB"/>
    <w:rsid w:val="00822427"/>
    <w:rsid w:val="00822562"/>
    <w:rsid w:val="00823663"/>
    <w:rsid w:val="00824EB1"/>
    <w:rsid w:val="00827EDA"/>
    <w:rsid w:val="008317B8"/>
    <w:rsid w:val="00832DDC"/>
    <w:rsid w:val="00837795"/>
    <w:rsid w:val="00837B8B"/>
    <w:rsid w:val="00840E7B"/>
    <w:rsid w:val="008472F4"/>
    <w:rsid w:val="00847AEF"/>
    <w:rsid w:val="00850BAC"/>
    <w:rsid w:val="00854A3E"/>
    <w:rsid w:val="00855D08"/>
    <w:rsid w:val="00860887"/>
    <w:rsid w:val="008613C2"/>
    <w:rsid w:val="00862B64"/>
    <w:rsid w:val="0086445E"/>
    <w:rsid w:val="008646E3"/>
    <w:rsid w:val="00874344"/>
    <w:rsid w:val="00880DC0"/>
    <w:rsid w:val="00882155"/>
    <w:rsid w:val="0088233B"/>
    <w:rsid w:val="0088268C"/>
    <w:rsid w:val="00882763"/>
    <w:rsid w:val="00883EA8"/>
    <w:rsid w:val="0088599E"/>
    <w:rsid w:val="00886C37"/>
    <w:rsid w:val="00891939"/>
    <w:rsid w:val="00891BA3"/>
    <w:rsid w:val="00892A97"/>
    <w:rsid w:val="00892D99"/>
    <w:rsid w:val="008942B3"/>
    <w:rsid w:val="008942B7"/>
    <w:rsid w:val="008956C6"/>
    <w:rsid w:val="008A3C28"/>
    <w:rsid w:val="008A4D61"/>
    <w:rsid w:val="008B4231"/>
    <w:rsid w:val="008B62AE"/>
    <w:rsid w:val="008C01F1"/>
    <w:rsid w:val="008C04B5"/>
    <w:rsid w:val="008C0FB9"/>
    <w:rsid w:val="008C14FA"/>
    <w:rsid w:val="008C606D"/>
    <w:rsid w:val="008C6DE2"/>
    <w:rsid w:val="008C7246"/>
    <w:rsid w:val="008D05FC"/>
    <w:rsid w:val="008D137C"/>
    <w:rsid w:val="008D309F"/>
    <w:rsid w:val="008D4057"/>
    <w:rsid w:val="008D658E"/>
    <w:rsid w:val="008E0164"/>
    <w:rsid w:val="008E1F19"/>
    <w:rsid w:val="008E2B33"/>
    <w:rsid w:val="008E3125"/>
    <w:rsid w:val="008F0B0C"/>
    <w:rsid w:val="008F2262"/>
    <w:rsid w:val="008F2475"/>
    <w:rsid w:val="008F36C4"/>
    <w:rsid w:val="008F6811"/>
    <w:rsid w:val="008F6C39"/>
    <w:rsid w:val="008F769E"/>
    <w:rsid w:val="008F7736"/>
    <w:rsid w:val="008F78E6"/>
    <w:rsid w:val="0090019E"/>
    <w:rsid w:val="009005E3"/>
    <w:rsid w:val="00901086"/>
    <w:rsid w:val="00901C8A"/>
    <w:rsid w:val="00902E13"/>
    <w:rsid w:val="0090350E"/>
    <w:rsid w:val="00905886"/>
    <w:rsid w:val="009070D6"/>
    <w:rsid w:val="009076C6"/>
    <w:rsid w:val="009079C4"/>
    <w:rsid w:val="00907D7B"/>
    <w:rsid w:val="0091019E"/>
    <w:rsid w:val="009106F1"/>
    <w:rsid w:val="0091396B"/>
    <w:rsid w:val="009145D6"/>
    <w:rsid w:val="00920E64"/>
    <w:rsid w:val="00922002"/>
    <w:rsid w:val="00924020"/>
    <w:rsid w:val="00925B88"/>
    <w:rsid w:val="009271A7"/>
    <w:rsid w:val="009279D5"/>
    <w:rsid w:val="00927E13"/>
    <w:rsid w:val="0093222D"/>
    <w:rsid w:val="009331C8"/>
    <w:rsid w:val="00934C20"/>
    <w:rsid w:val="0093658B"/>
    <w:rsid w:val="00937A7F"/>
    <w:rsid w:val="00940B87"/>
    <w:rsid w:val="009429FF"/>
    <w:rsid w:val="00945BD6"/>
    <w:rsid w:val="00947537"/>
    <w:rsid w:val="009479FB"/>
    <w:rsid w:val="00951C45"/>
    <w:rsid w:val="009542E2"/>
    <w:rsid w:val="00954467"/>
    <w:rsid w:val="00960FC5"/>
    <w:rsid w:val="009620D3"/>
    <w:rsid w:val="009656F2"/>
    <w:rsid w:val="00965AA0"/>
    <w:rsid w:val="00966A08"/>
    <w:rsid w:val="00966CD3"/>
    <w:rsid w:val="00967066"/>
    <w:rsid w:val="00970213"/>
    <w:rsid w:val="00971207"/>
    <w:rsid w:val="0097569D"/>
    <w:rsid w:val="00975CB4"/>
    <w:rsid w:val="0097711C"/>
    <w:rsid w:val="00981E98"/>
    <w:rsid w:val="00982C2E"/>
    <w:rsid w:val="00983210"/>
    <w:rsid w:val="00984A59"/>
    <w:rsid w:val="00985271"/>
    <w:rsid w:val="009863B0"/>
    <w:rsid w:val="00987DE1"/>
    <w:rsid w:val="00990571"/>
    <w:rsid w:val="0099113D"/>
    <w:rsid w:val="009920B9"/>
    <w:rsid w:val="00992C59"/>
    <w:rsid w:val="0099356B"/>
    <w:rsid w:val="00994969"/>
    <w:rsid w:val="0099537B"/>
    <w:rsid w:val="00996568"/>
    <w:rsid w:val="0099673A"/>
    <w:rsid w:val="009A09E6"/>
    <w:rsid w:val="009A20BE"/>
    <w:rsid w:val="009A3330"/>
    <w:rsid w:val="009A6C63"/>
    <w:rsid w:val="009A7C96"/>
    <w:rsid w:val="009B7754"/>
    <w:rsid w:val="009C3DB9"/>
    <w:rsid w:val="009C4CBD"/>
    <w:rsid w:val="009D46E5"/>
    <w:rsid w:val="009D568A"/>
    <w:rsid w:val="009E0061"/>
    <w:rsid w:val="009E0AC0"/>
    <w:rsid w:val="009E56AA"/>
    <w:rsid w:val="009F04EC"/>
    <w:rsid w:val="009F1659"/>
    <w:rsid w:val="009F3B36"/>
    <w:rsid w:val="009F4F44"/>
    <w:rsid w:val="00A019B9"/>
    <w:rsid w:val="00A0312B"/>
    <w:rsid w:val="00A1195E"/>
    <w:rsid w:val="00A12508"/>
    <w:rsid w:val="00A1282B"/>
    <w:rsid w:val="00A13A27"/>
    <w:rsid w:val="00A13DEA"/>
    <w:rsid w:val="00A154F0"/>
    <w:rsid w:val="00A175B6"/>
    <w:rsid w:val="00A21835"/>
    <w:rsid w:val="00A21EE5"/>
    <w:rsid w:val="00A2396A"/>
    <w:rsid w:val="00A27D6E"/>
    <w:rsid w:val="00A30AEA"/>
    <w:rsid w:val="00A31F89"/>
    <w:rsid w:val="00A328EC"/>
    <w:rsid w:val="00A33A51"/>
    <w:rsid w:val="00A37A56"/>
    <w:rsid w:val="00A40418"/>
    <w:rsid w:val="00A41CA6"/>
    <w:rsid w:val="00A41F82"/>
    <w:rsid w:val="00A449DC"/>
    <w:rsid w:val="00A465C2"/>
    <w:rsid w:val="00A47927"/>
    <w:rsid w:val="00A47FFC"/>
    <w:rsid w:val="00A5355B"/>
    <w:rsid w:val="00A5442F"/>
    <w:rsid w:val="00A54FF9"/>
    <w:rsid w:val="00A55692"/>
    <w:rsid w:val="00A56765"/>
    <w:rsid w:val="00A57823"/>
    <w:rsid w:val="00A64179"/>
    <w:rsid w:val="00A675AC"/>
    <w:rsid w:val="00A67988"/>
    <w:rsid w:val="00A67EC7"/>
    <w:rsid w:val="00A70266"/>
    <w:rsid w:val="00A70583"/>
    <w:rsid w:val="00A7581F"/>
    <w:rsid w:val="00A76BF4"/>
    <w:rsid w:val="00A8147A"/>
    <w:rsid w:val="00A83DE5"/>
    <w:rsid w:val="00A84A31"/>
    <w:rsid w:val="00A869C9"/>
    <w:rsid w:val="00A92BA0"/>
    <w:rsid w:val="00A92FB1"/>
    <w:rsid w:val="00A93591"/>
    <w:rsid w:val="00A95A0C"/>
    <w:rsid w:val="00AA2765"/>
    <w:rsid w:val="00AA4E7B"/>
    <w:rsid w:val="00AA5787"/>
    <w:rsid w:val="00AA5FAA"/>
    <w:rsid w:val="00AA652D"/>
    <w:rsid w:val="00AA77B5"/>
    <w:rsid w:val="00AB5304"/>
    <w:rsid w:val="00AB6C5D"/>
    <w:rsid w:val="00AC09B8"/>
    <w:rsid w:val="00AC4CDC"/>
    <w:rsid w:val="00AC51A7"/>
    <w:rsid w:val="00AC5ABF"/>
    <w:rsid w:val="00AD1C7F"/>
    <w:rsid w:val="00AD3934"/>
    <w:rsid w:val="00AD444B"/>
    <w:rsid w:val="00AD6C78"/>
    <w:rsid w:val="00AE2EAB"/>
    <w:rsid w:val="00AF206B"/>
    <w:rsid w:val="00AF5F89"/>
    <w:rsid w:val="00AF73CB"/>
    <w:rsid w:val="00B002D6"/>
    <w:rsid w:val="00B05B51"/>
    <w:rsid w:val="00B074CF"/>
    <w:rsid w:val="00B14E5A"/>
    <w:rsid w:val="00B15370"/>
    <w:rsid w:val="00B15FCD"/>
    <w:rsid w:val="00B17BEB"/>
    <w:rsid w:val="00B21A3C"/>
    <w:rsid w:val="00B223C0"/>
    <w:rsid w:val="00B234ED"/>
    <w:rsid w:val="00B23B25"/>
    <w:rsid w:val="00B23EE2"/>
    <w:rsid w:val="00B240A1"/>
    <w:rsid w:val="00B249B2"/>
    <w:rsid w:val="00B25CA3"/>
    <w:rsid w:val="00B27EDC"/>
    <w:rsid w:val="00B34B3C"/>
    <w:rsid w:val="00B42CAD"/>
    <w:rsid w:val="00B45861"/>
    <w:rsid w:val="00B45EBD"/>
    <w:rsid w:val="00B469BC"/>
    <w:rsid w:val="00B52E25"/>
    <w:rsid w:val="00B57A6A"/>
    <w:rsid w:val="00B63414"/>
    <w:rsid w:val="00B65D6F"/>
    <w:rsid w:val="00B714E0"/>
    <w:rsid w:val="00B7181C"/>
    <w:rsid w:val="00B71A05"/>
    <w:rsid w:val="00B73425"/>
    <w:rsid w:val="00B73FFC"/>
    <w:rsid w:val="00B760F1"/>
    <w:rsid w:val="00B7669E"/>
    <w:rsid w:val="00B76C80"/>
    <w:rsid w:val="00B77975"/>
    <w:rsid w:val="00B77DA1"/>
    <w:rsid w:val="00B83998"/>
    <w:rsid w:val="00B8471E"/>
    <w:rsid w:val="00B92F49"/>
    <w:rsid w:val="00BA0D55"/>
    <w:rsid w:val="00BA2A74"/>
    <w:rsid w:val="00BA37B3"/>
    <w:rsid w:val="00BA4CC6"/>
    <w:rsid w:val="00BB0F20"/>
    <w:rsid w:val="00BB3493"/>
    <w:rsid w:val="00BB3696"/>
    <w:rsid w:val="00BB5A97"/>
    <w:rsid w:val="00BB7468"/>
    <w:rsid w:val="00BB76AC"/>
    <w:rsid w:val="00BC097E"/>
    <w:rsid w:val="00BC188A"/>
    <w:rsid w:val="00BD3358"/>
    <w:rsid w:val="00BD59A0"/>
    <w:rsid w:val="00BD7795"/>
    <w:rsid w:val="00BF5010"/>
    <w:rsid w:val="00C00171"/>
    <w:rsid w:val="00C00536"/>
    <w:rsid w:val="00C03C35"/>
    <w:rsid w:val="00C067F3"/>
    <w:rsid w:val="00C10F0A"/>
    <w:rsid w:val="00C11B29"/>
    <w:rsid w:val="00C12AB0"/>
    <w:rsid w:val="00C13791"/>
    <w:rsid w:val="00C15095"/>
    <w:rsid w:val="00C24F28"/>
    <w:rsid w:val="00C2577D"/>
    <w:rsid w:val="00C26799"/>
    <w:rsid w:val="00C30A20"/>
    <w:rsid w:val="00C31BB3"/>
    <w:rsid w:val="00C34ECB"/>
    <w:rsid w:val="00C3659C"/>
    <w:rsid w:val="00C36977"/>
    <w:rsid w:val="00C36C9B"/>
    <w:rsid w:val="00C43223"/>
    <w:rsid w:val="00C45771"/>
    <w:rsid w:val="00C477D9"/>
    <w:rsid w:val="00C50786"/>
    <w:rsid w:val="00C5359B"/>
    <w:rsid w:val="00C537AC"/>
    <w:rsid w:val="00C5682C"/>
    <w:rsid w:val="00C5732D"/>
    <w:rsid w:val="00C60BA3"/>
    <w:rsid w:val="00C613F6"/>
    <w:rsid w:val="00C619CC"/>
    <w:rsid w:val="00C623F7"/>
    <w:rsid w:val="00C62BE6"/>
    <w:rsid w:val="00C674F1"/>
    <w:rsid w:val="00C7220D"/>
    <w:rsid w:val="00C72CDB"/>
    <w:rsid w:val="00C73571"/>
    <w:rsid w:val="00C77373"/>
    <w:rsid w:val="00C80414"/>
    <w:rsid w:val="00C80FA1"/>
    <w:rsid w:val="00C81670"/>
    <w:rsid w:val="00C81773"/>
    <w:rsid w:val="00C82861"/>
    <w:rsid w:val="00C8380A"/>
    <w:rsid w:val="00C84B40"/>
    <w:rsid w:val="00C86896"/>
    <w:rsid w:val="00C907A8"/>
    <w:rsid w:val="00C91DE9"/>
    <w:rsid w:val="00C93211"/>
    <w:rsid w:val="00C942EC"/>
    <w:rsid w:val="00C96047"/>
    <w:rsid w:val="00C9686A"/>
    <w:rsid w:val="00C979D0"/>
    <w:rsid w:val="00CA004C"/>
    <w:rsid w:val="00CA0818"/>
    <w:rsid w:val="00CA1105"/>
    <w:rsid w:val="00CA2C8F"/>
    <w:rsid w:val="00CA30DA"/>
    <w:rsid w:val="00CA3A24"/>
    <w:rsid w:val="00CA7135"/>
    <w:rsid w:val="00CB10C0"/>
    <w:rsid w:val="00CB1777"/>
    <w:rsid w:val="00CB1F1D"/>
    <w:rsid w:val="00CB33E9"/>
    <w:rsid w:val="00CC10A9"/>
    <w:rsid w:val="00CC1E58"/>
    <w:rsid w:val="00CC3252"/>
    <w:rsid w:val="00CD0997"/>
    <w:rsid w:val="00CD6EBC"/>
    <w:rsid w:val="00CE2BF8"/>
    <w:rsid w:val="00CE32F6"/>
    <w:rsid w:val="00CE3DDC"/>
    <w:rsid w:val="00CE484E"/>
    <w:rsid w:val="00CE4A67"/>
    <w:rsid w:val="00CE7123"/>
    <w:rsid w:val="00CE71DD"/>
    <w:rsid w:val="00CF0B83"/>
    <w:rsid w:val="00CF0DA8"/>
    <w:rsid w:val="00CF2E25"/>
    <w:rsid w:val="00CF4453"/>
    <w:rsid w:val="00CF4993"/>
    <w:rsid w:val="00CF5B2E"/>
    <w:rsid w:val="00CF5D94"/>
    <w:rsid w:val="00CF6226"/>
    <w:rsid w:val="00D02C36"/>
    <w:rsid w:val="00D034D7"/>
    <w:rsid w:val="00D04BE4"/>
    <w:rsid w:val="00D07A8C"/>
    <w:rsid w:val="00D12565"/>
    <w:rsid w:val="00D12CED"/>
    <w:rsid w:val="00D14127"/>
    <w:rsid w:val="00D1658D"/>
    <w:rsid w:val="00D246D4"/>
    <w:rsid w:val="00D31B85"/>
    <w:rsid w:val="00D36DDA"/>
    <w:rsid w:val="00D4588B"/>
    <w:rsid w:val="00D47B0B"/>
    <w:rsid w:val="00D52F68"/>
    <w:rsid w:val="00D53A2C"/>
    <w:rsid w:val="00D53C52"/>
    <w:rsid w:val="00D60F02"/>
    <w:rsid w:val="00D66E49"/>
    <w:rsid w:val="00D67FE6"/>
    <w:rsid w:val="00D728EA"/>
    <w:rsid w:val="00D72DAC"/>
    <w:rsid w:val="00D72F74"/>
    <w:rsid w:val="00D752C8"/>
    <w:rsid w:val="00D75681"/>
    <w:rsid w:val="00D764C2"/>
    <w:rsid w:val="00D81563"/>
    <w:rsid w:val="00D85907"/>
    <w:rsid w:val="00D863F4"/>
    <w:rsid w:val="00D9073E"/>
    <w:rsid w:val="00D9221D"/>
    <w:rsid w:val="00D958DF"/>
    <w:rsid w:val="00D96DA1"/>
    <w:rsid w:val="00D97393"/>
    <w:rsid w:val="00DA16A3"/>
    <w:rsid w:val="00DA51E7"/>
    <w:rsid w:val="00DA6F07"/>
    <w:rsid w:val="00DB1C78"/>
    <w:rsid w:val="00DB4D8F"/>
    <w:rsid w:val="00DB6AE9"/>
    <w:rsid w:val="00DB7D96"/>
    <w:rsid w:val="00DC1083"/>
    <w:rsid w:val="00DC22D3"/>
    <w:rsid w:val="00DC23FE"/>
    <w:rsid w:val="00DC3EA1"/>
    <w:rsid w:val="00DC475D"/>
    <w:rsid w:val="00DC4927"/>
    <w:rsid w:val="00DC59E6"/>
    <w:rsid w:val="00DD1243"/>
    <w:rsid w:val="00DD150B"/>
    <w:rsid w:val="00DD2579"/>
    <w:rsid w:val="00DD293C"/>
    <w:rsid w:val="00DD5025"/>
    <w:rsid w:val="00DD5D01"/>
    <w:rsid w:val="00DE0884"/>
    <w:rsid w:val="00DF1510"/>
    <w:rsid w:val="00DF5331"/>
    <w:rsid w:val="00DF62A7"/>
    <w:rsid w:val="00DF75F8"/>
    <w:rsid w:val="00E03983"/>
    <w:rsid w:val="00E06484"/>
    <w:rsid w:val="00E0693A"/>
    <w:rsid w:val="00E069F0"/>
    <w:rsid w:val="00E102FE"/>
    <w:rsid w:val="00E147FC"/>
    <w:rsid w:val="00E1522E"/>
    <w:rsid w:val="00E16B37"/>
    <w:rsid w:val="00E20A7D"/>
    <w:rsid w:val="00E22633"/>
    <w:rsid w:val="00E23369"/>
    <w:rsid w:val="00E25854"/>
    <w:rsid w:val="00E275D8"/>
    <w:rsid w:val="00E30490"/>
    <w:rsid w:val="00E32DAA"/>
    <w:rsid w:val="00E32E06"/>
    <w:rsid w:val="00E33A68"/>
    <w:rsid w:val="00E375CA"/>
    <w:rsid w:val="00E43190"/>
    <w:rsid w:val="00E43E3C"/>
    <w:rsid w:val="00E46E81"/>
    <w:rsid w:val="00E511A4"/>
    <w:rsid w:val="00E5334E"/>
    <w:rsid w:val="00E547CA"/>
    <w:rsid w:val="00E5481C"/>
    <w:rsid w:val="00E54FF5"/>
    <w:rsid w:val="00E567E8"/>
    <w:rsid w:val="00E57062"/>
    <w:rsid w:val="00E579E4"/>
    <w:rsid w:val="00E61B90"/>
    <w:rsid w:val="00E62146"/>
    <w:rsid w:val="00E64679"/>
    <w:rsid w:val="00E648B1"/>
    <w:rsid w:val="00E65EBC"/>
    <w:rsid w:val="00E72A08"/>
    <w:rsid w:val="00E72A93"/>
    <w:rsid w:val="00E73432"/>
    <w:rsid w:val="00E758BF"/>
    <w:rsid w:val="00E77B0C"/>
    <w:rsid w:val="00E77FB8"/>
    <w:rsid w:val="00E82EAE"/>
    <w:rsid w:val="00E838B0"/>
    <w:rsid w:val="00E84312"/>
    <w:rsid w:val="00E86A7C"/>
    <w:rsid w:val="00E878E1"/>
    <w:rsid w:val="00E87F2C"/>
    <w:rsid w:val="00E90939"/>
    <w:rsid w:val="00E910E5"/>
    <w:rsid w:val="00E95278"/>
    <w:rsid w:val="00E9781A"/>
    <w:rsid w:val="00E97E99"/>
    <w:rsid w:val="00EA0F30"/>
    <w:rsid w:val="00EA2273"/>
    <w:rsid w:val="00EA5906"/>
    <w:rsid w:val="00EB2DB3"/>
    <w:rsid w:val="00EB5FE2"/>
    <w:rsid w:val="00EB716F"/>
    <w:rsid w:val="00EC045A"/>
    <w:rsid w:val="00EC2632"/>
    <w:rsid w:val="00EC3948"/>
    <w:rsid w:val="00EC3FBB"/>
    <w:rsid w:val="00EC5E25"/>
    <w:rsid w:val="00EC6B7A"/>
    <w:rsid w:val="00EC71D5"/>
    <w:rsid w:val="00ED0C9B"/>
    <w:rsid w:val="00ED1E7C"/>
    <w:rsid w:val="00ED3A87"/>
    <w:rsid w:val="00ED5B67"/>
    <w:rsid w:val="00EE4513"/>
    <w:rsid w:val="00EE465F"/>
    <w:rsid w:val="00EE74EE"/>
    <w:rsid w:val="00EF035E"/>
    <w:rsid w:val="00EF0850"/>
    <w:rsid w:val="00EF1E1D"/>
    <w:rsid w:val="00EF2192"/>
    <w:rsid w:val="00EF264C"/>
    <w:rsid w:val="00EF3FEE"/>
    <w:rsid w:val="00EF688A"/>
    <w:rsid w:val="00F04447"/>
    <w:rsid w:val="00F04B59"/>
    <w:rsid w:val="00F112AE"/>
    <w:rsid w:val="00F11741"/>
    <w:rsid w:val="00F12B1C"/>
    <w:rsid w:val="00F13CF8"/>
    <w:rsid w:val="00F15855"/>
    <w:rsid w:val="00F175E4"/>
    <w:rsid w:val="00F201DA"/>
    <w:rsid w:val="00F212E3"/>
    <w:rsid w:val="00F31174"/>
    <w:rsid w:val="00F32978"/>
    <w:rsid w:val="00F36114"/>
    <w:rsid w:val="00F3735F"/>
    <w:rsid w:val="00F448E1"/>
    <w:rsid w:val="00F45CB2"/>
    <w:rsid w:val="00F46BDC"/>
    <w:rsid w:val="00F479AF"/>
    <w:rsid w:val="00F50586"/>
    <w:rsid w:val="00F52C23"/>
    <w:rsid w:val="00F544C0"/>
    <w:rsid w:val="00F54A49"/>
    <w:rsid w:val="00F55332"/>
    <w:rsid w:val="00F65519"/>
    <w:rsid w:val="00F713C0"/>
    <w:rsid w:val="00F7301C"/>
    <w:rsid w:val="00F75DDC"/>
    <w:rsid w:val="00F76B4D"/>
    <w:rsid w:val="00F7792F"/>
    <w:rsid w:val="00F82E55"/>
    <w:rsid w:val="00F8396B"/>
    <w:rsid w:val="00F842AA"/>
    <w:rsid w:val="00F8476F"/>
    <w:rsid w:val="00F853E1"/>
    <w:rsid w:val="00F86B14"/>
    <w:rsid w:val="00F923F7"/>
    <w:rsid w:val="00F92865"/>
    <w:rsid w:val="00F94315"/>
    <w:rsid w:val="00F94B7A"/>
    <w:rsid w:val="00F96046"/>
    <w:rsid w:val="00FA17AC"/>
    <w:rsid w:val="00FA32DE"/>
    <w:rsid w:val="00FA3382"/>
    <w:rsid w:val="00FA59CD"/>
    <w:rsid w:val="00FB1740"/>
    <w:rsid w:val="00FC494A"/>
    <w:rsid w:val="00FC5469"/>
    <w:rsid w:val="00FC6D7D"/>
    <w:rsid w:val="00FC75C7"/>
    <w:rsid w:val="00FC7A48"/>
    <w:rsid w:val="00FD16B0"/>
    <w:rsid w:val="00FD17F7"/>
    <w:rsid w:val="00FD23F7"/>
    <w:rsid w:val="00FD4FED"/>
    <w:rsid w:val="00FD5CD6"/>
    <w:rsid w:val="00FD684E"/>
    <w:rsid w:val="00FE0577"/>
    <w:rsid w:val="00FE59EC"/>
    <w:rsid w:val="00FE760D"/>
    <w:rsid w:val="00FE7E80"/>
    <w:rsid w:val="00FF05FB"/>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1A3"/>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D17F7"/>
    <w:rPr>
      <w:vertAlign w:val="superscript"/>
    </w:rPr>
  </w:style>
  <w:style w:type="character" w:customStyle="1" w:styleId="FootnoteTextChar">
    <w:name w:val="Footnote Text Char"/>
    <w:link w:val="FootnoteText"/>
    <w:uiPriority w:val="99"/>
    <w:rsid w:val="00A83DE5"/>
  </w:style>
  <w:style w:type="paragraph" w:styleId="ListParagraph">
    <w:name w:val="List Paragraph"/>
    <w:basedOn w:val="Normal"/>
    <w:uiPriority w:val="34"/>
    <w:qFormat/>
    <w:rsid w:val="00C00171"/>
    <w:pPr>
      <w:ind w:left="720"/>
      <w:contextualSpacing/>
    </w:pPr>
  </w:style>
  <w:style w:type="numbering" w:styleId="111111">
    <w:name w:val="Outline List 2"/>
    <w:basedOn w:val="NoList"/>
    <w:rsid w:val="00EE465F"/>
    <w:pPr>
      <w:numPr>
        <w:numId w:val="12"/>
      </w:numPr>
    </w:pPr>
  </w:style>
  <w:style w:type="paragraph" w:customStyle="1" w:styleId="Default">
    <w:name w:val="Default"/>
    <w:rsid w:val="00216D1D"/>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8147A"/>
  </w:style>
  <w:style w:type="table" w:customStyle="1" w:styleId="TableGrid3">
    <w:name w:val="Table Grid3"/>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30A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702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A70266"/>
  </w:style>
  <w:style w:type="character" w:styleId="EndnoteReference">
    <w:name w:val="endnote reference"/>
    <w:basedOn w:val="DefaultParagraphFont"/>
    <w:rsid w:val="00ED1E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1A3"/>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D17F7"/>
    <w:rPr>
      <w:vertAlign w:val="superscript"/>
    </w:rPr>
  </w:style>
  <w:style w:type="character" w:customStyle="1" w:styleId="FootnoteTextChar">
    <w:name w:val="Footnote Text Char"/>
    <w:link w:val="FootnoteText"/>
    <w:uiPriority w:val="99"/>
    <w:rsid w:val="00A83DE5"/>
  </w:style>
  <w:style w:type="paragraph" w:styleId="ListParagraph">
    <w:name w:val="List Paragraph"/>
    <w:basedOn w:val="Normal"/>
    <w:uiPriority w:val="34"/>
    <w:qFormat/>
    <w:rsid w:val="00C00171"/>
    <w:pPr>
      <w:ind w:left="720"/>
      <w:contextualSpacing/>
    </w:pPr>
  </w:style>
  <w:style w:type="numbering" w:styleId="111111">
    <w:name w:val="Outline List 2"/>
    <w:basedOn w:val="NoList"/>
    <w:rsid w:val="00EE465F"/>
    <w:pPr>
      <w:numPr>
        <w:numId w:val="12"/>
      </w:numPr>
    </w:pPr>
  </w:style>
  <w:style w:type="paragraph" w:customStyle="1" w:styleId="Default">
    <w:name w:val="Default"/>
    <w:rsid w:val="00216D1D"/>
    <w:pPr>
      <w:autoSpaceDE w:val="0"/>
      <w:autoSpaceDN w:val="0"/>
      <w:adjustRightInd w:val="0"/>
    </w:pPr>
    <w:rPr>
      <w:rFonts w:eastAsiaTheme="minorHAnsi"/>
      <w:color w:val="000000"/>
      <w:sz w:val="24"/>
      <w:szCs w:val="24"/>
    </w:rPr>
  </w:style>
  <w:style w:type="table" w:customStyle="1" w:styleId="TableGrid1">
    <w:name w:val="Table Grid1"/>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8147A"/>
  </w:style>
  <w:style w:type="table" w:customStyle="1" w:styleId="TableGrid3">
    <w:name w:val="Table Grid3"/>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814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30A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702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A70266"/>
  </w:style>
  <w:style w:type="character" w:styleId="EndnoteReference">
    <w:name w:val="endnote reference"/>
    <w:basedOn w:val="DefaultParagraphFont"/>
    <w:rsid w:val="00ED1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87799">
      <w:bodyDiv w:val="1"/>
      <w:marLeft w:val="0"/>
      <w:marRight w:val="0"/>
      <w:marTop w:val="0"/>
      <w:marBottom w:val="0"/>
      <w:divBdr>
        <w:top w:val="none" w:sz="0" w:space="0" w:color="auto"/>
        <w:left w:val="none" w:sz="0" w:space="0" w:color="auto"/>
        <w:bottom w:val="none" w:sz="0" w:space="0" w:color="auto"/>
        <w:right w:val="none" w:sz="0" w:space="0" w:color="auto"/>
      </w:divBdr>
    </w:div>
    <w:div w:id="1098526198">
      <w:bodyDiv w:val="1"/>
      <w:marLeft w:val="0"/>
      <w:marRight w:val="0"/>
      <w:marTop w:val="0"/>
      <w:marBottom w:val="0"/>
      <w:divBdr>
        <w:top w:val="none" w:sz="0" w:space="0" w:color="auto"/>
        <w:left w:val="none" w:sz="0" w:space="0" w:color="auto"/>
        <w:bottom w:val="none" w:sz="0" w:space="0" w:color="auto"/>
        <w:right w:val="none" w:sz="0" w:space="0" w:color="auto"/>
      </w:divBdr>
    </w:div>
    <w:div w:id="1182476239">
      <w:bodyDiv w:val="1"/>
      <w:marLeft w:val="0"/>
      <w:marRight w:val="0"/>
      <w:marTop w:val="0"/>
      <w:marBottom w:val="0"/>
      <w:divBdr>
        <w:top w:val="none" w:sz="0" w:space="0" w:color="auto"/>
        <w:left w:val="none" w:sz="0" w:space="0" w:color="auto"/>
        <w:bottom w:val="none" w:sz="0" w:space="0" w:color="auto"/>
        <w:right w:val="none" w:sz="0" w:space="0" w:color="auto"/>
      </w:divBdr>
    </w:div>
    <w:div w:id="1223785216">
      <w:bodyDiv w:val="1"/>
      <w:marLeft w:val="0"/>
      <w:marRight w:val="0"/>
      <w:marTop w:val="0"/>
      <w:marBottom w:val="0"/>
      <w:divBdr>
        <w:top w:val="none" w:sz="0" w:space="0" w:color="auto"/>
        <w:left w:val="none" w:sz="0" w:space="0" w:color="auto"/>
        <w:bottom w:val="none" w:sz="0" w:space="0" w:color="auto"/>
        <w:right w:val="none" w:sz="0" w:space="0" w:color="auto"/>
      </w:divBdr>
    </w:div>
    <w:div w:id="1227884360">
      <w:bodyDiv w:val="1"/>
      <w:marLeft w:val="0"/>
      <w:marRight w:val="0"/>
      <w:marTop w:val="0"/>
      <w:marBottom w:val="0"/>
      <w:divBdr>
        <w:top w:val="none" w:sz="0" w:space="0" w:color="auto"/>
        <w:left w:val="none" w:sz="0" w:space="0" w:color="auto"/>
        <w:bottom w:val="none" w:sz="0" w:space="0" w:color="auto"/>
        <w:right w:val="none" w:sz="0" w:space="0" w:color="auto"/>
      </w:divBdr>
    </w:div>
    <w:div w:id="1808039758">
      <w:bodyDiv w:val="1"/>
      <w:marLeft w:val="0"/>
      <w:marRight w:val="0"/>
      <w:marTop w:val="0"/>
      <w:marBottom w:val="0"/>
      <w:divBdr>
        <w:top w:val="none" w:sz="0" w:space="0" w:color="auto"/>
        <w:left w:val="none" w:sz="0" w:space="0" w:color="auto"/>
        <w:bottom w:val="none" w:sz="0" w:space="0" w:color="auto"/>
        <w:right w:val="none" w:sz="0" w:space="0" w:color="auto"/>
      </w:divBdr>
    </w:div>
    <w:div w:id="18111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DCCCA-21FD-470E-A1B3-205C4C9E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64</Pages>
  <Words>20300</Words>
  <Characters>119037</Characters>
  <Application>Microsoft Office Word</Application>
  <DocSecurity>0</DocSecurity>
  <Lines>991</Lines>
  <Paragraphs>278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2016-10-20T18:05:00Z</cp:lastPrinted>
  <dcterms:created xsi:type="dcterms:W3CDTF">2016-10-20T18:13:00Z</dcterms:created>
  <dcterms:modified xsi:type="dcterms:W3CDTF">2016-10-20T18:13:00Z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160030-WS</vt:lpwstr>
  </property>
  <property fmtid="{D5CDD505-2E9C-101B-9397-08002B2CF9AE}" pid="3" name="MasterDocument">
    <vt:bool>false</vt:bool>
  </property>
</Properties>
</file>