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6832" w:rsidP="00EC0B1C">
      <w:pPr>
        <w:pStyle w:val="OrderHeading"/>
      </w:pPr>
      <w:r>
        <w:t>BEFORE THE FLORIDA PUBLIC SERVICE COMMISSION</w:t>
      </w:r>
    </w:p>
    <w:p w:rsidR="001A6832" w:rsidRDefault="001A6832" w:rsidP="00EC0B1C">
      <w:pPr>
        <w:pStyle w:val="OrderHeading"/>
      </w:pPr>
    </w:p>
    <w:p w:rsidR="001A6832" w:rsidRDefault="001A6832" w:rsidP="00EC0B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6832" w:rsidRPr="00C63FCF" w:rsidTr="003D4918">
        <w:trPr>
          <w:trHeight w:val="828"/>
        </w:trPr>
        <w:tc>
          <w:tcPr>
            <w:tcW w:w="4788" w:type="dxa"/>
            <w:tcBorders>
              <w:bottom w:val="single" w:sz="8" w:space="0" w:color="auto"/>
              <w:right w:val="double" w:sz="6" w:space="0" w:color="auto"/>
            </w:tcBorders>
            <w:shd w:val="clear" w:color="auto" w:fill="auto"/>
          </w:tcPr>
          <w:p w:rsidR="001A6832" w:rsidRDefault="001A6832" w:rsidP="00EC0B1C">
            <w:pPr>
              <w:pStyle w:val="OrderBody"/>
              <w:tabs>
                <w:tab w:val="center" w:pos="4320"/>
                <w:tab w:val="right" w:pos="8640"/>
              </w:tabs>
              <w:jc w:val="left"/>
            </w:pPr>
            <w:r>
              <w:t xml:space="preserve">In re: </w:t>
            </w:r>
            <w:bookmarkStart w:id="0" w:name="SSInRe"/>
            <w:bookmarkEnd w:id="0"/>
            <w:r>
              <w:t>Application for increase in water rates in Lee County and wastewater rates in Pasco County by Ni Florida, LLC.</w:t>
            </w:r>
          </w:p>
        </w:tc>
        <w:tc>
          <w:tcPr>
            <w:tcW w:w="4788" w:type="dxa"/>
            <w:tcBorders>
              <w:left w:val="double" w:sz="6" w:space="0" w:color="auto"/>
            </w:tcBorders>
            <w:shd w:val="clear" w:color="auto" w:fill="auto"/>
          </w:tcPr>
          <w:p w:rsidR="001A6832" w:rsidRDefault="001A6832" w:rsidP="00EC0B1C">
            <w:pPr>
              <w:pStyle w:val="OrderBody"/>
            </w:pPr>
            <w:r>
              <w:t xml:space="preserve">DOCKET NO. </w:t>
            </w:r>
            <w:bookmarkStart w:id="1" w:name="SSDocketNo"/>
            <w:bookmarkEnd w:id="1"/>
            <w:r>
              <w:t>160030-WS</w:t>
            </w:r>
          </w:p>
          <w:p w:rsidR="001A6832" w:rsidRDefault="001A6832" w:rsidP="00EC0B1C">
            <w:pPr>
              <w:pStyle w:val="OrderBody"/>
              <w:tabs>
                <w:tab w:val="center" w:pos="4320"/>
                <w:tab w:val="right" w:pos="8640"/>
              </w:tabs>
              <w:jc w:val="left"/>
            </w:pPr>
            <w:r>
              <w:t xml:space="preserve">ORDER NO. </w:t>
            </w:r>
            <w:bookmarkStart w:id="2" w:name="OrderNo0525"/>
            <w:r w:rsidR="009C3637">
              <w:t>PSC-16-0525-PAA-WS</w:t>
            </w:r>
            <w:bookmarkEnd w:id="2"/>
          </w:p>
          <w:p w:rsidR="001A6832" w:rsidRDefault="001A6832" w:rsidP="00EC0B1C">
            <w:pPr>
              <w:pStyle w:val="OrderBody"/>
              <w:tabs>
                <w:tab w:val="center" w:pos="4320"/>
                <w:tab w:val="right" w:pos="8640"/>
              </w:tabs>
              <w:jc w:val="left"/>
            </w:pPr>
            <w:r>
              <w:t xml:space="preserve">ISSUED: </w:t>
            </w:r>
            <w:r w:rsidR="009C3637">
              <w:t>November 21, 2016</w:t>
            </w:r>
          </w:p>
        </w:tc>
      </w:tr>
    </w:tbl>
    <w:p w:rsidR="001A6832" w:rsidRDefault="001A6832" w:rsidP="00EC0B1C"/>
    <w:p w:rsidR="001A6832" w:rsidRDefault="001A6832" w:rsidP="00EC0B1C"/>
    <w:p w:rsidR="001A6832" w:rsidRPr="00E46E1F" w:rsidRDefault="001A6832" w:rsidP="00EC0B1C">
      <w:pPr>
        <w:ind w:firstLine="720"/>
        <w:jc w:val="both"/>
      </w:pPr>
      <w:bookmarkStart w:id="3" w:name="Commissioners"/>
      <w:bookmarkEnd w:id="3"/>
      <w:r w:rsidRPr="00E46E1F">
        <w:t>The following Commissioners participated in the disposition of this matter:</w:t>
      </w:r>
    </w:p>
    <w:p w:rsidR="001A6832" w:rsidRPr="00E46E1F" w:rsidRDefault="001A6832" w:rsidP="00EC0B1C"/>
    <w:p w:rsidR="001A6832" w:rsidRDefault="001A6832" w:rsidP="00EC0B1C">
      <w:pPr>
        <w:jc w:val="center"/>
      </w:pPr>
      <w:r>
        <w:t>JULIE I. BROWN</w:t>
      </w:r>
      <w:r w:rsidRPr="00E46E1F">
        <w:t>, Chairman</w:t>
      </w:r>
    </w:p>
    <w:p w:rsidR="001A6832" w:rsidRPr="00E46E1F" w:rsidRDefault="001A6832" w:rsidP="00EC0B1C">
      <w:pPr>
        <w:jc w:val="center"/>
      </w:pPr>
      <w:r w:rsidRPr="00E46E1F">
        <w:t>LISA POLAK EDGAR</w:t>
      </w:r>
    </w:p>
    <w:p w:rsidR="001A6832" w:rsidRDefault="001A6832" w:rsidP="00EC0B1C">
      <w:pPr>
        <w:jc w:val="center"/>
      </w:pPr>
      <w:r>
        <w:t>ART GRAHAM</w:t>
      </w:r>
    </w:p>
    <w:p w:rsidR="001A6832" w:rsidRDefault="001A6832" w:rsidP="00EC0B1C">
      <w:pPr>
        <w:jc w:val="center"/>
      </w:pPr>
      <w:r>
        <w:t>RONALD A. BRISÉ</w:t>
      </w:r>
    </w:p>
    <w:p w:rsidR="001A6832" w:rsidRDefault="001A6832" w:rsidP="00EC0B1C">
      <w:pPr>
        <w:jc w:val="center"/>
      </w:pPr>
      <w:r>
        <w:t>JIMMY PATRONIS</w:t>
      </w:r>
    </w:p>
    <w:p w:rsidR="00CB5276" w:rsidRDefault="00CB5276" w:rsidP="00EC0B1C">
      <w:pPr>
        <w:pStyle w:val="OrderBody"/>
      </w:pPr>
    </w:p>
    <w:p w:rsidR="001A6832" w:rsidRDefault="001A6832" w:rsidP="00EC0B1C">
      <w:pPr>
        <w:pStyle w:val="OrderBody"/>
      </w:pPr>
    </w:p>
    <w:p w:rsidR="001A6832" w:rsidRDefault="001A6832" w:rsidP="00EC0B1C">
      <w:pPr>
        <w:pStyle w:val="OrderBody"/>
      </w:pPr>
    </w:p>
    <w:bookmarkStart w:id="4" w:name="OrderText"/>
    <w:bookmarkEnd w:id="4"/>
    <w:p w:rsidR="001A6832" w:rsidRPr="003E4B2D" w:rsidRDefault="001A6832" w:rsidP="00EC0B1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D4918" w:rsidRDefault="001A6832" w:rsidP="00EC0B1C">
      <w:pPr>
        <w:pStyle w:val="OrderBody"/>
        <w:jc w:val="center"/>
        <w:rPr>
          <w:u w:val="single"/>
        </w:rPr>
      </w:pPr>
      <w:r w:rsidRPr="003E4B2D">
        <w:rPr>
          <w:u w:val="single"/>
        </w:rPr>
        <w:t>ORDER</w:t>
      </w:r>
      <w:bookmarkStart w:id="5" w:name="OrderTitle"/>
      <w:r w:rsidR="003D4918">
        <w:rPr>
          <w:u w:val="single"/>
        </w:rPr>
        <w:t xml:space="preserve"> GRANTING AN INCREASE IN WATER AND WASTEWATER RATES</w:t>
      </w:r>
    </w:p>
    <w:p w:rsidR="003D4918" w:rsidRDefault="003D4918" w:rsidP="00EC0B1C">
      <w:pPr>
        <w:pStyle w:val="OrderBody"/>
        <w:jc w:val="center"/>
        <w:rPr>
          <w:u w:val="single"/>
        </w:rPr>
      </w:pPr>
      <w:r>
        <w:rPr>
          <w:u w:val="single"/>
        </w:rPr>
        <w:t>AND</w:t>
      </w:r>
    </w:p>
    <w:p w:rsidR="001A6832" w:rsidRPr="003E4B2D" w:rsidRDefault="003D4918" w:rsidP="00EC0B1C">
      <w:pPr>
        <w:pStyle w:val="OrderBody"/>
        <w:jc w:val="center"/>
        <w:rPr>
          <w:u w:val="single"/>
        </w:rPr>
      </w:pPr>
      <w:r>
        <w:rPr>
          <w:u w:val="single"/>
        </w:rPr>
        <w:t>FINAL ORDER ON FOUR-YEAR RATE REDUCTION AND PROOF OF ADJUSTMENTS</w:t>
      </w:r>
      <w:r w:rsidR="001A6832">
        <w:rPr>
          <w:u w:val="single"/>
        </w:rPr>
        <w:t xml:space="preserve"> </w:t>
      </w:r>
      <w:bookmarkEnd w:id="5"/>
    </w:p>
    <w:p w:rsidR="001A6832" w:rsidRPr="003E4B2D" w:rsidRDefault="001A6832" w:rsidP="00EC0B1C">
      <w:pPr>
        <w:pStyle w:val="OrderBody"/>
      </w:pPr>
    </w:p>
    <w:p w:rsidR="001A6832" w:rsidRPr="003E4B2D" w:rsidRDefault="001A6832" w:rsidP="00EC0B1C">
      <w:pPr>
        <w:pStyle w:val="OrderBody"/>
      </w:pPr>
    </w:p>
    <w:p w:rsidR="001A6832" w:rsidRPr="003E4B2D" w:rsidRDefault="001A6832" w:rsidP="00EC0B1C">
      <w:pPr>
        <w:pStyle w:val="OrderBody"/>
      </w:pPr>
      <w:r w:rsidRPr="003E4B2D">
        <w:t>BY THE COMMISSION:</w:t>
      </w:r>
    </w:p>
    <w:p w:rsidR="001A6832" w:rsidRPr="003E4B2D" w:rsidRDefault="001A6832" w:rsidP="00EC0B1C">
      <w:pPr>
        <w:pStyle w:val="OrderBody"/>
      </w:pPr>
    </w:p>
    <w:p w:rsidR="001A6832" w:rsidRDefault="001A6832" w:rsidP="00EC0B1C">
      <w:pPr>
        <w:pStyle w:val="OrderBody"/>
      </w:pPr>
      <w:r w:rsidRPr="003E4B2D">
        <w:tab/>
        <w:t>NOTICE is hereby given by the Florida Public Service Commission that the action discussed herein</w:t>
      </w:r>
      <w:r w:rsidR="003D4918">
        <w:t>, except for the four-year reduction in rates and proof of adjustments,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C0B1C"/>
    <w:p w:rsidR="0097603B" w:rsidRDefault="001A6832" w:rsidP="00EC0B1C">
      <w:pPr>
        <w:pStyle w:val="RecommendationMajorSectionHeading"/>
        <w:spacing w:after="0"/>
        <w:rPr>
          <w:rFonts w:ascii="Times New Roman" w:hAnsi="Times New Roman" w:cs="Times New Roman"/>
          <w:b w:val="0"/>
          <w:u w:val="single"/>
        </w:rPr>
      </w:pPr>
      <w:bookmarkStart w:id="6" w:name="CaseBackground"/>
      <w:r w:rsidRPr="003D4918">
        <w:rPr>
          <w:rFonts w:ascii="Times New Roman" w:hAnsi="Times New Roman" w:cs="Times New Roman"/>
          <w:b w:val="0"/>
          <w:u w:val="single"/>
        </w:rPr>
        <w:t>Background</w:t>
      </w:r>
    </w:p>
    <w:p w:rsidR="001A6832" w:rsidRPr="003D4918" w:rsidRDefault="001A6832" w:rsidP="00EC0B1C">
      <w:pPr>
        <w:pStyle w:val="RecommendationMajorSectionHeading"/>
        <w:spacing w:after="0"/>
        <w:rPr>
          <w:rFonts w:ascii="Times New Roman" w:hAnsi="Times New Roman" w:cs="Times New Roman"/>
          <w:b w:val="0"/>
          <w:u w:val="single"/>
        </w:rPr>
      </w:pPr>
      <w:r w:rsidRPr="003D4918">
        <w:rPr>
          <w:rFonts w:ascii="Times New Roman" w:hAnsi="Times New Roman" w:cs="Times New Roman"/>
          <w:b w:val="0"/>
          <w:u w:val="single"/>
        </w:rPr>
        <w:fldChar w:fldCharType="begin"/>
      </w:r>
      <w:r w:rsidRPr="003D4918">
        <w:rPr>
          <w:rFonts w:ascii="Times New Roman" w:hAnsi="Times New Roman" w:cs="Times New Roman"/>
          <w:b w:val="0"/>
          <w:u w:val="single"/>
        </w:rPr>
        <w:instrText xml:space="preserve"> TC  "</w:instrText>
      </w:r>
      <w:bookmarkStart w:id="7" w:name="_Toc465928098"/>
      <w:r w:rsidRPr="003D4918">
        <w:rPr>
          <w:rFonts w:ascii="Times New Roman" w:hAnsi="Times New Roman" w:cs="Times New Roman"/>
          <w:b w:val="0"/>
          <w:u w:val="single"/>
        </w:rPr>
        <w:tab/>
        <w:instrText>Case Background</w:instrText>
      </w:r>
      <w:bookmarkEnd w:id="7"/>
      <w:r w:rsidRPr="003D4918">
        <w:rPr>
          <w:rFonts w:ascii="Times New Roman" w:hAnsi="Times New Roman" w:cs="Times New Roman"/>
          <w:b w:val="0"/>
          <w:u w:val="single"/>
        </w:rPr>
        <w:instrText xml:space="preserve">" \l 1 </w:instrText>
      </w:r>
      <w:r w:rsidRPr="003D4918">
        <w:rPr>
          <w:rFonts w:ascii="Times New Roman" w:hAnsi="Times New Roman" w:cs="Times New Roman"/>
          <w:b w:val="0"/>
          <w:u w:val="single"/>
        </w:rPr>
        <w:fldChar w:fldCharType="end"/>
      </w:r>
    </w:p>
    <w:p w:rsidR="001A6832" w:rsidRDefault="001A6832" w:rsidP="00EC0B1C">
      <w:pPr>
        <w:ind w:firstLine="720"/>
        <w:jc w:val="both"/>
      </w:pPr>
      <w:r w:rsidRPr="001A6832">
        <w:t xml:space="preserve">Ni Florida, LLC (Ni Florida or </w:t>
      </w:r>
      <w:r w:rsidR="003D4918">
        <w:t>Utility</w:t>
      </w:r>
      <w:r w:rsidRPr="001A6832">
        <w:t xml:space="preserve">) is a Class A </w:t>
      </w:r>
      <w:r w:rsidR="003D4918">
        <w:t>Utility</w:t>
      </w:r>
      <w:r w:rsidRPr="001A6832">
        <w:t xml:space="preserve"> serving approximately 745 water connections in Lee County and 2,757 wastewater connections in Pasco County. Water and wastewater rates were last established for the </w:t>
      </w:r>
      <w:r w:rsidR="003D4918">
        <w:t>Utility</w:t>
      </w:r>
      <w:r w:rsidRPr="001A6832">
        <w:t xml:space="preserve"> in 2013.</w:t>
      </w:r>
      <w:r w:rsidRPr="001A6832">
        <w:rPr>
          <w:vertAlign w:val="superscript"/>
        </w:rPr>
        <w:footnoteReference w:id="1"/>
      </w:r>
      <w:r w:rsidRPr="001A6832">
        <w:t xml:space="preserve"> On April 4, 2016, Ni Florida filed its application to increase rates. </w:t>
      </w:r>
    </w:p>
    <w:p w:rsidR="00EC0B1C" w:rsidRPr="001A6832" w:rsidRDefault="00EC0B1C" w:rsidP="00EC0B1C">
      <w:pPr>
        <w:ind w:firstLine="720"/>
        <w:jc w:val="both"/>
      </w:pPr>
    </w:p>
    <w:p w:rsidR="001A6832" w:rsidRDefault="001A6832" w:rsidP="00EC0B1C">
      <w:pPr>
        <w:ind w:firstLine="720"/>
        <w:jc w:val="both"/>
      </w:pPr>
      <w:r w:rsidRPr="001A6832">
        <w:t xml:space="preserve">On May 3, 2016, </w:t>
      </w:r>
      <w:r w:rsidR="003D4918">
        <w:t xml:space="preserve">Commission </w:t>
      </w:r>
      <w:r w:rsidRPr="001A6832">
        <w:t xml:space="preserve">staff sent the </w:t>
      </w:r>
      <w:r w:rsidR="003D4918">
        <w:t>Utility</w:t>
      </w:r>
      <w:r w:rsidRPr="001A6832">
        <w:t xml:space="preserve"> a letter indicating deficiencies in the filing of its minimum filing requirements (MFRs). On May 13, 2016, the </w:t>
      </w:r>
      <w:r w:rsidR="003D4918">
        <w:t>Utility</w:t>
      </w:r>
      <w:r w:rsidRPr="001A6832">
        <w:t xml:space="preserve"> provided corrections to the MFRs and </w:t>
      </w:r>
      <w:r w:rsidR="00D71EB9">
        <w:t xml:space="preserve">Commission </w:t>
      </w:r>
      <w:r w:rsidRPr="001A6832">
        <w:t xml:space="preserve">staff determined that the MFRs were complete. Therefore, the official filing date is May 13, 2016. The </w:t>
      </w:r>
      <w:r w:rsidR="003D4918">
        <w:t>Utility</w:t>
      </w:r>
      <w:r w:rsidRPr="001A6832">
        <w:t xml:space="preserve"> requested that the application be processed using the Proposed Agency Action (PAA) procedure and requested interim rates. The </w:t>
      </w:r>
      <w:r w:rsidRPr="001A6832">
        <w:lastRenderedPageBreak/>
        <w:t xml:space="preserve">test year established for final rates is based on a 13-month average for the period ended December 31, 2015. Ni Florida requested final revenue increases of $87,150 (37.1 percent) for water and $475,000 (24.6 percent) for wastewater. </w:t>
      </w:r>
    </w:p>
    <w:p w:rsidR="00EC0B1C" w:rsidRPr="001A6832" w:rsidRDefault="00EC0B1C" w:rsidP="00EC0B1C">
      <w:pPr>
        <w:ind w:firstLine="720"/>
        <w:jc w:val="both"/>
      </w:pPr>
    </w:p>
    <w:p w:rsidR="001A6832" w:rsidRPr="001A6832" w:rsidRDefault="001A6832" w:rsidP="00EC0B1C">
      <w:pPr>
        <w:ind w:firstLine="720"/>
        <w:jc w:val="both"/>
      </w:pPr>
      <w:r w:rsidRPr="001A6832">
        <w:t>By Order No. PSC-16-0249-PCO-WS, issued Ju</w:t>
      </w:r>
      <w:r w:rsidR="003D4918">
        <w:t>ne 29, 2016 (Interim Order), this</w:t>
      </w:r>
      <w:r w:rsidRPr="001A6832">
        <w:t xml:space="preserve"> Commission authorized the collection of interim water and wastewater rates, subject to refund, pursuant to Section 367.082, Florida Statues (F.S.). The approved interim revenue requirement for water was $310,891, which represented an increase of $87,202 or 38.98 percent. The approved interim revenue requirement for wastewater was $2,264,770, which represented an increase of $332,619 or 17.21 percent.</w:t>
      </w:r>
    </w:p>
    <w:p w:rsidR="001A6832" w:rsidRPr="001A6832" w:rsidRDefault="001A6832" w:rsidP="00EC0B1C">
      <w:pPr>
        <w:jc w:val="both"/>
      </w:pPr>
    </w:p>
    <w:p w:rsidR="001A6832" w:rsidRDefault="001A6832" w:rsidP="00EC0B1C">
      <w:pPr>
        <w:ind w:firstLine="720"/>
        <w:jc w:val="both"/>
      </w:pPr>
      <w:r w:rsidRPr="001A6832">
        <w:t>The five-</w:t>
      </w:r>
      <w:r w:rsidR="003D4918">
        <w:t>month statutory deadline for this</w:t>
      </w:r>
      <w:r w:rsidRPr="001A6832">
        <w:t xml:space="preserve"> Commission to vote on the </w:t>
      </w:r>
      <w:r w:rsidR="003D4918">
        <w:t>Utility</w:t>
      </w:r>
      <w:r w:rsidRPr="001A6832">
        <w:t xml:space="preserve">’s proposed rates was September 13, 2016. However, by letter dated August 23, 2016, the </w:t>
      </w:r>
      <w:r w:rsidR="003D4918">
        <w:t>Utility</w:t>
      </w:r>
      <w:r w:rsidRPr="001A6832">
        <w:t xml:space="preserve"> agreed to waive the time to the November 1, 2016 Commission Conference. The Office of the Public Counsel (OPC) is actively monitoring this docket and provided a letter of concerns and issues on August 30, 2016.</w:t>
      </w:r>
    </w:p>
    <w:p w:rsidR="00EC0B1C" w:rsidRPr="001A6832" w:rsidRDefault="00EC0B1C" w:rsidP="00EC0B1C">
      <w:pPr>
        <w:ind w:firstLine="720"/>
        <w:jc w:val="both"/>
      </w:pPr>
    </w:p>
    <w:p w:rsidR="001A6832" w:rsidRPr="001A6832" w:rsidRDefault="001A6832" w:rsidP="00EC0B1C">
      <w:pPr>
        <w:ind w:firstLine="720"/>
        <w:jc w:val="both"/>
      </w:pPr>
      <w:r w:rsidRPr="001A6832">
        <w:t xml:space="preserve">This </w:t>
      </w:r>
      <w:r w:rsidR="003D4918">
        <w:t>order</w:t>
      </w:r>
      <w:r w:rsidRPr="001A6832">
        <w:t xml:space="preserve"> addresses Ni Florida’s request for final rates. </w:t>
      </w:r>
      <w:r w:rsidR="003D4918">
        <w:t>We have</w:t>
      </w:r>
      <w:r w:rsidRPr="001A6832">
        <w:t xml:space="preserve"> jurisdiction pursuant to Section Nos. 367.081, 367.0816, and 367.091, F.S.</w:t>
      </w:r>
    </w:p>
    <w:bookmarkEnd w:id="6"/>
    <w:p w:rsidR="00EC0B1C" w:rsidRDefault="00EC0B1C" w:rsidP="00EC0B1C">
      <w:pPr>
        <w:rPr>
          <w:bCs/>
          <w:kern w:val="32"/>
          <w:szCs w:val="32"/>
          <w:u w:val="single"/>
        </w:rPr>
      </w:pPr>
    </w:p>
    <w:p w:rsidR="00D97EA2" w:rsidRDefault="003D4918" w:rsidP="00D97EA2">
      <w:pPr>
        <w:jc w:val="center"/>
        <w:rPr>
          <w:bCs/>
          <w:kern w:val="32"/>
          <w:szCs w:val="32"/>
          <w:u w:val="single"/>
        </w:rPr>
      </w:pPr>
      <w:r w:rsidRPr="003D4918">
        <w:rPr>
          <w:bCs/>
          <w:kern w:val="32"/>
          <w:szCs w:val="32"/>
          <w:u w:val="single"/>
        </w:rPr>
        <w:t>Decision</w:t>
      </w:r>
    </w:p>
    <w:p w:rsidR="003D4918" w:rsidRDefault="003D4918" w:rsidP="00D97EA2">
      <w:pPr>
        <w:rPr>
          <w:bCs/>
          <w:kern w:val="32"/>
          <w:szCs w:val="32"/>
          <w:u w:val="single"/>
        </w:rPr>
      </w:pPr>
      <w:r>
        <w:rPr>
          <w:bCs/>
          <w:kern w:val="32"/>
          <w:szCs w:val="32"/>
          <w:u w:val="single"/>
        </w:rPr>
        <w:t>Quality of Service</w:t>
      </w:r>
    </w:p>
    <w:p w:rsidR="003D4918" w:rsidRPr="003D4918" w:rsidRDefault="003D4918" w:rsidP="00EC0B1C">
      <w:pPr>
        <w:jc w:val="center"/>
        <w:rPr>
          <w:bCs/>
          <w:kern w:val="32"/>
          <w:szCs w:val="32"/>
        </w:rPr>
      </w:pPr>
    </w:p>
    <w:p w:rsidR="001A6832" w:rsidRDefault="001A6832" w:rsidP="00EC0B1C">
      <w:pPr>
        <w:autoSpaceDE w:val="0"/>
        <w:autoSpaceDN w:val="0"/>
        <w:adjustRightInd w:val="0"/>
        <w:ind w:firstLine="720"/>
        <w:jc w:val="both"/>
      </w:pPr>
      <w:r w:rsidRPr="001A6832">
        <w:t>Pursuant to Rule 25-30.433(1),</w:t>
      </w:r>
      <w:r w:rsidR="003D4918" w:rsidRPr="001A6832">
        <w:t xml:space="preserve"> </w:t>
      </w:r>
      <w:r w:rsidR="003D4918">
        <w:t>F.A.C.</w:t>
      </w:r>
      <w:r w:rsidRPr="001A6832">
        <w:t>, in wate</w:t>
      </w:r>
      <w:r w:rsidR="003D4918">
        <w:t>r and wastewater rate cases, this</w:t>
      </w:r>
      <w:r w:rsidRPr="001A6832">
        <w:t xml:space="preserve"> Commission shall determine the overall quality of service provided by the </w:t>
      </w:r>
      <w:r w:rsidR="003D4918">
        <w:t>Utility</w:t>
      </w:r>
      <w:r w:rsidRPr="001A6832">
        <w:t xml:space="preserve">. This is derived from an evaluation of three separate components of the </w:t>
      </w:r>
      <w:r w:rsidR="003D4918">
        <w:t>Utility</w:t>
      </w:r>
      <w:r w:rsidRPr="001A6832">
        <w:t xml:space="preserve">’s operations. These components are: (1) the quality of the </w:t>
      </w:r>
      <w:r w:rsidR="003D4918">
        <w:t>Utility</w:t>
      </w:r>
      <w:r w:rsidRPr="001A6832">
        <w:t xml:space="preserve">’s product; (2) the operating conditions of the </w:t>
      </w:r>
      <w:r w:rsidR="003D4918">
        <w:t>Utility</w:t>
      </w:r>
      <w:r w:rsidRPr="001A6832">
        <w:t xml:space="preserve">’s plant and facilities; and (3) the </w:t>
      </w:r>
      <w:r w:rsidR="003D4918">
        <w:t>Utility</w:t>
      </w:r>
      <w:r w:rsidRPr="001A6832">
        <w:t xml:space="preserve">’s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w:t>
      </w:r>
      <w:r w:rsidR="003D4918" w:rsidRPr="003D4918">
        <w:t xml:space="preserve">this </w:t>
      </w:r>
      <w:r w:rsidRPr="001A6832">
        <w:t xml:space="preserve">Commission to consider the extent to which the </w:t>
      </w:r>
      <w:r w:rsidR="003D4918">
        <w:t>Utility</w:t>
      </w:r>
      <w:r w:rsidRPr="001A6832">
        <w:t xml:space="preserve"> provides water service that meets secondary water quality standards as established by the DEP.</w:t>
      </w:r>
    </w:p>
    <w:p w:rsidR="00EC0B1C" w:rsidRPr="001A6832" w:rsidRDefault="00EC0B1C" w:rsidP="00EC0B1C">
      <w:pPr>
        <w:autoSpaceDE w:val="0"/>
        <w:autoSpaceDN w:val="0"/>
        <w:adjustRightInd w:val="0"/>
        <w:ind w:firstLine="720"/>
        <w:jc w:val="both"/>
      </w:pPr>
    </w:p>
    <w:p w:rsidR="003D4918" w:rsidRPr="003D4918" w:rsidRDefault="001A6832" w:rsidP="00EC0B1C">
      <w:pPr>
        <w:jc w:val="both"/>
        <w:rPr>
          <w:color w:val="000000"/>
          <w:u w:val="single"/>
        </w:rPr>
      </w:pPr>
      <w:r w:rsidRPr="003D4918">
        <w:rPr>
          <w:color w:val="000000"/>
          <w:u w:val="single"/>
        </w:rPr>
        <w:t xml:space="preserve">Quality of </w:t>
      </w:r>
      <w:r w:rsidR="003D4918" w:rsidRPr="003D4918">
        <w:rPr>
          <w:color w:val="000000"/>
          <w:u w:val="single"/>
        </w:rPr>
        <w:t>Utility</w:t>
      </w:r>
      <w:r w:rsidRPr="003D4918">
        <w:rPr>
          <w:color w:val="000000"/>
          <w:u w:val="single"/>
        </w:rPr>
        <w:t xml:space="preserve">’s Product and Operating Conditions of the </w:t>
      </w:r>
      <w:r w:rsidR="003D4918" w:rsidRPr="003D4918">
        <w:rPr>
          <w:color w:val="000000"/>
          <w:u w:val="single"/>
        </w:rPr>
        <w:t>Utility</w:t>
      </w:r>
      <w:r w:rsidRPr="003D4918">
        <w:rPr>
          <w:color w:val="000000"/>
          <w:u w:val="single"/>
        </w:rPr>
        <w:t>’s Facilities</w:t>
      </w:r>
    </w:p>
    <w:p w:rsidR="003D4918" w:rsidRDefault="003D4918" w:rsidP="00EC0B1C">
      <w:pPr>
        <w:jc w:val="both"/>
      </w:pPr>
    </w:p>
    <w:p w:rsidR="001A6832" w:rsidRPr="001A6832" w:rsidRDefault="001A6832" w:rsidP="00EC0B1C">
      <w:pPr>
        <w:ind w:firstLine="720"/>
        <w:jc w:val="both"/>
        <w:rPr>
          <w:color w:val="000000"/>
        </w:rPr>
      </w:pPr>
      <w:r w:rsidRPr="001A6832">
        <w:t xml:space="preserve">Ni Florida’s service areas are located in Lee and Pasco Counties. Ni Florida’s water system is located in Lee County. The </w:t>
      </w:r>
      <w:r w:rsidR="003D4918">
        <w:t>Utility</w:t>
      </w:r>
      <w:r w:rsidRPr="001A6832">
        <w:t xml:space="preserve"> purchases all of the water it sells to customers from Lee County Utilities. The </w:t>
      </w:r>
      <w:r w:rsidR="003D4918">
        <w:t>Utility</w:t>
      </w:r>
      <w:r w:rsidRPr="001A6832">
        <w:t xml:space="preserve"> maintains and operates the distribution system that delivers the treated water to its customers. Ni Florida’s wastewater collection system is located in Pasco County. All wastewater is pumped to Pasco County Utilities for treatment and disposal pursuant to an agreement made in 1990. Similar to its water system, Ni Florida maintains and operates its wastewater collection system. Because Ni Florida does not have water or wastewater treatment </w:t>
      </w:r>
      <w:r w:rsidRPr="001A6832">
        <w:lastRenderedPageBreak/>
        <w:t xml:space="preserve">plants, its existing facilities are not inspected by DEP. </w:t>
      </w:r>
      <w:r w:rsidR="00D71EB9">
        <w:t>We note</w:t>
      </w:r>
      <w:r w:rsidRPr="001A6832">
        <w:t xml:space="preserve"> however, that the</w:t>
      </w:r>
      <w:r w:rsidRPr="001A6832">
        <w:rPr>
          <w:color w:val="000000"/>
        </w:rPr>
        <w:t xml:space="preserve"> </w:t>
      </w:r>
      <w:r w:rsidR="003D4918">
        <w:rPr>
          <w:color w:val="000000"/>
        </w:rPr>
        <w:t>Utility</w:t>
      </w:r>
      <w:r w:rsidRPr="001A6832">
        <w:rPr>
          <w:color w:val="000000"/>
        </w:rPr>
        <w:t xml:space="preserve">’s facility operators maintain licenses issued by the DEP. </w:t>
      </w:r>
    </w:p>
    <w:p w:rsidR="001A6832" w:rsidRPr="001A6832" w:rsidRDefault="001A6832" w:rsidP="00EC0B1C">
      <w:pPr>
        <w:jc w:val="both"/>
        <w:rPr>
          <w:color w:val="000000"/>
        </w:rPr>
      </w:pPr>
    </w:p>
    <w:p w:rsidR="001A6832" w:rsidRDefault="003D4918" w:rsidP="00EC0B1C">
      <w:pPr>
        <w:ind w:firstLine="720"/>
        <w:jc w:val="both"/>
        <w:rPr>
          <w:color w:val="000000"/>
        </w:rPr>
      </w:pPr>
      <w:r>
        <w:rPr>
          <w:color w:val="000000"/>
        </w:rPr>
        <w:t>We</w:t>
      </w:r>
      <w:r w:rsidR="001A6832" w:rsidRPr="001A6832">
        <w:rPr>
          <w:color w:val="000000"/>
        </w:rPr>
        <w:t xml:space="preserve"> reviewed analyses of water samples dated December 15, 2015, and all results were deemed satisfactory by the Lee County Health Department. Based on the discussion above,</w:t>
      </w:r>
      <w:r w:rsidR="00CD724F">
        <w:rPr>
          <w:color w:val="000000"/>
        </w:rPr>
        <w:t xml:space="preserve"> </w:t>
      </w:r>
      <w:r>
        <w:rPr>
          <w:color w:val="000000"/>
        </w:rPr>
        <w:t>we find</w:t>
      </w:r>
      <w:r w:rsidR="001A6832" w:rsidRPr="001A6832">
        <w:rPr>
          <w:color w:val="000000"/>
        </w:rPr>
        <w:t xml:space="preserve"> that the quality of Ni Florida’s product and the condition of its facilities are satisfactory at this time.</w:t>
      </w:r>
    </w:p>
    <w:p w:rsidR="00EC0B1C" w:rsidRPr="001A6832" w:rsidRDefault="00EC0B1C" w:rsidP="00EC0B1C">
      <w:pPr>
        <w:ind w:firstLine="720"/>
        <w:jc w:val="both"/>
        <w:rPr>
          <w:color w:val="000000"/>
        </w:rPr>
      </w:pPr>
    </w:p>
    <w:p w:rsidR="001A6832" w:rsidRPr="003D4918" w:rsidRDefault="001A6832" w:rsidP="00EC0B1C">
      <w:pPr>
        <w:jc w:val="both"/>
        <w:rPr>
          <w:color w:val="000000"/>
          <w:u w:val="single"/>
        </w:rPr>
      </w:pPr>
      <w:r w:rsidRPr="003D4918">
        <w:rPr>
          <w:color w:val="000000"/>
          <w:u w:val="single"/>
        </w:rPr>
        <w:t xml:space="preserve">The </w:t>
      </w:r>
      <w:r w:rsidR="003D4918" w:rsidRPr="003D4918">
        <w:rPr>
          <w:color w:val="000000"/>
          <w:u w:val="single"/>
        </w:rPr>
        <w:t>Utility</w:t>
      </w:r>
      <w:r w:rsidRPr="003D4918">
        <w:rPr>
          <w:color w:val="000000"/>
          <w:u w:val="single"/>
        </w:rPr>
        <w:t>’s Attempt to Address Customer Satisfaction</w:t>
      </w:r>
    </w:p>
    <w:p w:rsidR="003D4918" w:rsidRDefault="003D4918" w:rsidP="00EC0B1C">
      <w:pPr>
        <w:autoSpaceDE w:val="0"/>
        <w:autoSpaceDN w:val="0"/>
        <w:adjustRightInd w:val="0"/>
        <w:jc w:val="both"/>
      </w:pPr>
    </w:p>
    <w:p w:rsidR="001A6832" w:rsidRPr="001A6832" w:rsidRDefault="001A6832" w:rsidP="00EC0B1C">
      <w:pPr>
        <w:autoSpaceDE w:val="0"/>
        <w:autoSpaceDN w:val="0"/>
        <w:adjustRightInd w:val="0"/>
        <w:ind w:firstLine="720"/>
        <w:jc w:val="both"/>
        <w:rPr>
          <w:u w:val="single"/>
        </w:rPr>
      </w:pPr>
      <w:r w:rsidRPr="001A6832">
        <w:t xml:space="preserve">In Ni Florida’s last rate case, </w:t>
      </w:r>
      <w:r w:rsidR="003D4918" w:rsidRPr="003D4918">
        <w:t xml:space="preserve">this </w:t>
      </w:r>
      <w:r w:rsidRPr="001A6832">
        <w:t xml:space="preserve">Commission determined that the </w:t>
      </w:r>
      <w:r w:rsidR="003D4918">
        <w:t>Utility</w:t>
      </w:r>
      <w:r w:rsidRPr="001A6832">
        <w:t xml:space="preserve">’s quality of service with regards to its wastewater system in Pasco County was satisfactory. </w:t>
      </w:r>
      <w:r w:rsidR="003D4918">
        <w:t xml:space="preserve">We </w:t>
      </w:r>
      <w:r w:rsidRPr="001A6832">
        <w:t xml:space="preserve">found the quality of service for the </w:t>
      </w:r>
      <w:r w:rsidR="003D4918">
        <w:t>Utility</w:t>
      </w:r>
      <w:r w:rsidRPr="001A6832">
        <w:t xml:space="preserve">’s water system, in Lee County, to be marginal based on the </w:t>
      </w:r>
      <w:r w:rsidR="003D4918">
        <w:t>Utility</w:t>
      </w:r>
      <w:r w:rsidRPr="001A6832">
        <w:t xml:space="preserve">’s responsiveness to customers. Based on </w:t>
      </w:r>
      <w:r w:rsidR="00EC0B1C" w:rsidRPr="00EC0B1C">
        <w:t>this</w:t>
      </w:r>
      <w:r w:rsidR="00EC0B1C">
        <w:t xml:space="preserve"> </w:t>
      </w:r>
      <w:r w:rsidRPr="001A6832">
        <w:t xml:space="preserve">Commission’s prior decision and the difference in the size of the customer base of Ni Florida’s two systems, </w:t>
      </w:r>
      <w:r w:rsidR="00EC0B1C">
        <w:t>we</w:t>
      </w:r>
      <w:r w:rsidRPr="001A6832">
        <w:t xml:space="preserve"> will analyze the </w:t>
      </w:r>
      <w:r w:rsidR="003D4918">
        <w:t>Utility</w:t>
      </w:r>
      <w:r w:rsidRPr="001A6832">
        <w:t>’s attempt to address its water and wastewater customer satisfaction separately.</w:t>
      </w:r>
    </w:p>
    <w:p w:rsidR="00EC0B1C" w:rsidRDefault="00EC0B1C" w:rsidP="00EC0B1C">
      <w:pPr>
        <w:jc w:val="both"/>
        <w:rPr>
          <w:color w:val="000000"/>
          <w:u w:val="single"/>
        </w:rPr>
      </w:pPr>
    </w:p>
    <w:p w:rsidR="001A6832" w:rsidRPr="00EC0B1C" w:rsidRDefault="001A6832" w:rsidP="00EC0B1C">
      <w:pPr>
        <w:jc w:val="both"/>
        <w:rPr>
          <w:color w:val="000000"/>
          <w:u w:val="single"/>
        </w:rPr>
      </w:pPr>
      <w:r w:rsidRPr="00EC0B1C">
        <w:rPr>
          <w:color w:val="000000"/>
          <w:u w:val="single"/>
        </w:rPr>
        <w:t>Wastewater</w:t>
      </w:r>
    </w:p>
    <w:p w:rsidR="00EC0B1C" w:rsidRDefault="00EC0B1C" w:rsidP="00EC0B1C">
      <w:pPr>
        <w:jc w:val="both"/>
      </w:pPr>
    </w:p>
    <w:p w:rsidR="001A6832" w:rsidRDefault="00EC0B1C" w:rsidP="00EC0B1C">
      <w:pPr>
        <w:ind w:firstLine="720"/>
        <w:jc w:val="both"/>
      </w:pPr>
      <w:r>
        <w:t>A</w:t>
      </w:r>
      <w:r w:rsidR="001A6832" w:rsidRPr="001A6832">
        <w:t xml:space="preserve"> customer meeting for Ni Florida’s wastewater customers </w:t>
      </w:r>
      <w:r>
        <w:t xml:space="preserve">was held </w:t>
      </w:r>
      <w:r w:rsidR="001A6832" w:rsidRPr="001A6832">
        <w:t>on July 27, 2016, in New Port Richey, Florida. No customers attended</w:t>
      </w:r>
      <w:r>
        <w:t xml:space="preserve"> this meeting, however, t</w:t>
      </w:r>
      <w:r w:rsidR="001A6832" w:rsidRPr="001A6832">
        <w:t xml:space="preserve">hree wastewater customers provided written comments to </w:t>
      </w:r>
      <w:r w:rsidRPr="00EC0B1C">
        <w:t xml:space="preserve">this </w:t>
      </w:r>
      <w:r w:rsidR="001A6832" w:rsidRPr="001A6832">
        <w:t xml:space="preserve">Commission (docket correspondence) expressing concern with the proposed rate increase. </w:t>
      </w:r>
    </w:p>
    <w:p w:rsidR="00EC0B1C" w:rsidRPr="001A6832" w:rsidRDefault="00EC0B1C" w:rsidP="00EC0B1C">
      <w:pPr>
        <w:ind w:firstLine="720"/>
        <w:jc w:val="both"/>
      </w:pPr>
    </w:p>
    <w:p w:rsidR="001A6832" w:rsidRDefault="001A6832" w:rsidP="00EC0B1C">
      <w:pPr>
        <w:ind w:firstLine="720"/>
        <w:jc w:val="both"/>
      </w:pPr>
      <w:r w:rsidRPr="001A6832">
        <w:t xml:space="preserve">In its MFRs the </w:t>
      </w:r>
      <w:r w:rsidR="003D4918">
        <w:t>Utility</w:t>
      </w:r>
      <w:r w:rsidRPr="001A6832">
        <w:t xml:space="preserve"> provided customer complaints filed with the </w:t>
      </w:r>
      <w:r w:rsidR="003D4918">
        <w:t>Utility</w:t>
      </w:r>
      <w:r w:rsidRPr="001A6832">
        <w:t xml:space="preserve"> during the test year and four years prior. The </w:t>
      </w:r>
      <w:r w:rsidR="003D4918">
        <w:t>Utility</w:t>
      </w:r>
      <w:r w:rsidRPr="001A6832">
        <w:t xml:space="preserve"> provided 31 complaints as well as the </w:t>
      </w:r>
      <w:r w:rsidR="003D4918">
        <w:t>Utility</w:t>
      </w:r>
      <w:r w:rsidRPr="001A6832">
        <w:t xml:space="preserve">’s resolution of each respective complaint. The majority of the complaints dealt with billing issues. Many of these complaints were resolved by the </w:t>
      </w:r>
      <w:r w:rsidR="003D4918">
        <w:t>Utility</w:t>
      </w:r>
      <w:r w:rsidRPr="001A6832">
        <w:t xml:space="preserve"> making an adjustment to the customer’s bill. All complaints filed with </w:t>
      </w:r>
      <w:r w:rsidR="00EC0B1C" w:rsidRPr="00EC0B1C">
        <w:t xml:space="preserve">this </w:t>
      </w:r>
      <w:r w:rsidRPr="001A6832">
        <w:t xml:space="preserve">Commission were contained in the </w:t>
      </w:r>
      <w:r w:rsidR="003D4918">
        <w:t>Utility</w:t>
      </w:r>
      <w:r w:rsidRPr="001A6832">
        <w:t xml:space="preserve">’s filing. Subsequent to the test year, two complaints have been filed with </w:t>
      </w:r>
      <w:r w:rsidR="00EC0B1C" w:rsidRPr="00EC0B1C">
        <w:t xml:space="preserve">this </w:t>
      </w:r>
      <w:r w:rsidRPr="001A6832">
        <w:t>Commission, both of w</w:t>
      </w:r>
      <w:r w:rsidR="00EC0B1C">
        <w:t>hich have been closed. Table 1</w:t>
      </w:r>
      <w:r w:rsidRPr="001A6832">
        <w:t xml:space="preserve"> below summarizes the complaints considered and reviewed by </w:t>
      </w:r>
      <w:r w:rsidR="00EC0B1C">
        <w:t>this Commission</w:t>
      </w:r>
      <w:r w:rsidRPr="001A6832">
        <w:t xml:space="preserve"> in evaluating the </w:t>
      </w:r>
      <w:r w:rsidR="003D4918">
        <w:t>Utility</w:t>
      </w:r>
      <w:r w:rsidRPr="001A6832">
        <w:t>’s attempt to address its wastewater customers’ concerns.</w:t>
      </w:r>
    </w:p>
    <w:p w:rsidR="00D97EA2" w:rsidRDefault="00D97EA2" w:rsidP="00EC0B1C">
      <w:pPr>
        <w:keepNext/>
        <w:jc w:val="center"/>
        <w:rPr>
          <w:rFonts w:ascii="Arial" w:hAnsi="Arial" w:cs="Arial"/>
          <w:b/>
          <w:bCs/>
        </w:rPr>
      </w:pPr>
    </w:p>
    <w:p w:rsidR="001A6832" w:rsidRPr="00D97EA2" w:rsidRDefault="001A6832" w:rsidP="00EC0B1C">
      <w:pPr>
        <w:keepNext/>
        <w:jc w:val="center"/>
        <w:rPr>
          <w:rFonts w:ascii="Arial" w:hAnsi="Arial" w:cs="Arial"/>
          <w:b/>
          <w:bCs/>
          <w:sz w:val="22"/>
        </w:rPr>
      </w:pPr>
      <w:r w:rsidRPr="00D97EA2">
        <w:rPr>
          <w:rFonts w:ascii="Arial" w:hAnsi="Arial" w:cs="Arial"/>
          <w:b/>
          <w:bCs/>
          <w:sz w:val="22"/>
        </w:rPr>
        <w:t xml:space="preserve">Table </w:t>
      </w:r>
      <w:r w:rsidRPr="00D97EA2">
        <w:rPr>
          <w:rFonts w:ascii="Arial" w:hAnsi="Arial" w:cs="Arial"/>
          <w:b/>
          <w:bCs/>
          <w:sz w:val="22"/>
        </w:rPr>
        <w:fldChar w:fldCharType="begin"/>
      </w:r>
      <w:r w:rsidRPr="00D97EA2">
        <w:rPr>
          <w:rFonts w:ascii="Arial" w:hAnsi="Arial" w:cs="Arial"/>
          <w:b/>
          <w:bCs/>
          <w:sz w:val="22"/>
        </w:rPr>
        <w:instrText xml:space="preserve"> SEQ Table \* ARABIC </w:instrText>
      </w:r>
      <w:r w:rsidRPr="00D97EA2">
        <w:rPr>
          <w:rFonts w:ascii="Arial" w:hAnsi="Arial" w:cs="Arial"/>
          <w:b/>
          <w:bCs/>
          <w:sz w:val="22"/>
        </w:rPr>
        <w:fldChar w:fldCharType="separate"/>
      </w:r>
      <w:r w:rsidR="009C3637">
        <w:rPr>
          <w:rFonts w:ascii="Arial" w:hAnsi="Arial" w:cs="Arial"/>
          <w:b/>
          <w:bCs/>
          <w:noProof/>
          <w:sz w:val="22"/>
        </w:rPr>
        <w:t>1</w:t>
      </w:r>
      <w:r w:rsidRPr="00D97EA2">
        <w:rPr>
          <w:rFonts w:ascii="Arial" w:hAnsi="Arial" w:cs="Arial"/>
          <w:b/>
          <w:bCs/>
          <w:sz w:val="22"/>
        </w:rPr>
        <w:fldChar w:fldCharType="end"/>
      </w:r>
    </w:p>
    <w:p w:rsidR="001A6832" w:rsidRPr="00D97EA2" w:rsidRDefault="001A6832" w:rsidP="00EC0B1C">
      <w:pPr>
        <w:keepNext/>
        <w:jc w:val="center"/>
        <w:rPr>
          <w:rFonts w:ascii="Arial" w:hAnsi="Arial" w:cs="Arial"/>
          <w:b/>
          <w:bCs/>
          <w:sz w:val="22"/>
        </w:rPr>
      </w:pPr>
      <w:r w:rsidRPr="00D97EA2">
        <w:rPr>
          <w:rFonts w:ascii="Arial" w:hAnsi="Arial" w:cs="Arial"/>
          <w:b/>
          <w:bCs/>
          <w:sz w:val="22"/>
        </w:rPr>
        <w:t>Summary of Wastewater Complaints</w:t>
      </w:r>
    </w:p>
    <w:tbl>
      <w:tblPr>
        <w:tblW w:w="9505" w:type="dxa"/>
        <w:tblInd w:w="93" w:type="dxa"/>
        <w:tblLook w:val="04A0" w:firstRow="1" w:lastRow="0" w:firstColumn="1" w:lastColumn="0" w:noHBand="0" w:noVBand="1"/>
      </w:tblPr>
      <w:tblGrid>
        <w:gridCol w:w="2191"/>
        <w:gridCol w:w="1747"/>
        <w:gridCol w:w="1752"/>
        <w:gridCol w:w="2017"/>
        <w:gridCol w:w="1798"/>
      </w:tblGrid>
      <w:tr w:rsidR="001A6832" w:rsidRPr="001A6832" w:rsidTr="00D97EA2">
        <w:trPr>
          <w:trHeight w:val="619"/>
        </w:trPr>
        <w:tc>
          <w:tcPr>
            <w:tcW w:w="21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Subject of Complaint</w:t>
            </w:r>
          </w:p>
        </w:tc>
        <w:tc>
          <w:tcPr>
            <w:tcW w:w="1747"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 xml:space="preserve">PSC’s Records (CATS)         </w:t>
            </w:r>
          </w:p>
        </w:tc>
        <w:tc>
          <w:tcPr>
            <w:tcW w:w="1752"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3D4918" w:rsidP="00EC0B1C">
            <w:pPr>
              <w:jc w:val="center"/>
              <w:rPr>
                <w:rFonts w:ascii="Arial" w:hAnsi="Arial" w:cs="Arial"/>
                <w:b/>
                <w:color w:val="000000"/>
                <w:sz w:val="20"/>
                <w:szCs w:val="20"/>
              </w:rPr>
            </w:pPr>
            <w:r>
              <w:rPr>
                <w:rFonts w:ascii="Arial" w:hAnsi="Arial" w:cs="Arial"/>
                <w:b/>
                <w:color w:val="000000"/>
                <w:sz w:val="20"/>
                <w:szCs w:val="20"/>
              </w:rPr>
              <w:t>Utility</w:t>
            </w:r>
            <w:r w:rsidR="001A6832" w:rsidRPr="001A6832">
              <w:rPr>
                <w:rFonts w:ascii="Arial" w:hAnsi="Arial" w:cs="Arial"/>
                <w:b/>
                <w:color w:val="000000"/>
                <w:sz w:val="20"/>
                <w:szCs w:val="20"/>
              </w:rPr>
              <w:t xml:space="preserve">’s Records       </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Docket Correspondence</w:t>
            </w:r>
          </w:p>
        </w:tc>
        <w:tc>
          <w:tcPr>
            <w:tcW w:w="1798"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Customer Meeting</w:t>
            </w:r>
          </w:p>
        </w:tc>
      </w:tr>
      <w:tr w:rsidR="001A6832" w:rsidRPr="001A6832" w:rsidTr="00D97EA2">
        <w:trPr>
          <w:trHeight w:val="316"/>
        </w:trPr>
        <w:tc>
          <w:tcPr>
            <w:tcW w:w="2191"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Billing Related</w:t>
            </w:r>
          </w:p>
        </w:tc>
        <w:tc>
          <w:tcPr>
            <w:tcW w:w="174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25</w:t>
            </w:r>
          </w:p>
        </w:tc>
        <w:tc>
          <w:tcPr>
            <w:tcW w:w="1752"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27</w:t>
            </w:r>
          </w:p>
        </w:tc>
        <w:tc>
          <w:tcPr>
            <w:tcW w:w="201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1</w:t>
            </w:r>
          </w:p>
        </w:tc>
        <w:tc>
          <w:tcPr>
            <w:tcW w:w="1798"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r>
      <w:tr w:rsidR="001A6832" w:rsidRPr="001A6832" w:rsidTr="00D97EA2">
        <w:trPr>
          <w:trHeight w:val="316"/>
        </w:trPr>
        <w:tc>
          <w:tcPr>
            <w:tcW w:w="2191"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Opposing Rate Increase</w:t>
            </w:r>
          </w:p>
        </w:tc>
        <w:tc>
          <w:tcPr>
            <w:tcW w:w="174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52"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201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3</w:t>
            </w:r>
          </w:p>
        </w:tc>
        <w:tc>
          <w:tcPr>
            <w:tcW w:w="1798"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r>
      <w:tr w:rsidR="001A6832" w:rsidRPr="001A6832" w:rsidTr="00D97EA2">
        <w:trPr>
          <w:trHeight w:val="316"/>
        </w:trPr>
        <w:tc>
          <w:tcPr>
            <w:tcW w:w="2191"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Quality of Service</w:t>
            </w:r>
          </w:p>
        </w:tc>
        <w:tc>
          <w:tcPr>
            <w:tcW w:w="174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xml:space="preserve"> 1</w:t>
            </w:r>
          </w:p>
        </w:tc>
        <w:tc>
          <w:tcPr>
            <w:tcW w:w="1752"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201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98"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r>
      <w:tr w:rsidR="001A6832" w:rsidRPr="001A6832" w:rsidTr="00D97EA2">
        <w:trPr>
          <w:trHeight w:val="316"/>
        </w:trPr>
        <w:tc>
          <w:tcPr>
            <w:tcW w:w="2191"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Other</w:t>
            </w:r>
          </w:p>
        </w:tc>
        <w:tc>
          <w:tcPr>
            <w:tcW w:w="174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4</w:t>
            </w:r>
          </w:p>
        </w:tc>
        <w:tc>
          <w:tcPr>
            <w:tcW w:w="1752"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4</w:t>
            </w:r>
          </w:p>
        </w:tc>
        <w:tc>
          <w:tcPr>
            <w:tcW w:w="201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p>
        </w:tc>
        <w:tc>
          <w:tcPr>
            <w:tcW w:w="1798"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r>
      <w:tr w:rsidR="001A6832" w:rsidRPr="001A6832" w:rsidTr="00D97EA2">
        <w:trPr>
          <w:trHeight w:val="316"/>
        </w:trPr>
        <w:tc>
          <w:tcPr>
            <w:tcW w:w="2191"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Total*</w:t>
            </w:r>
          </w:p>
        </w:tc>
        <w:tc>
          <w:tcPr>
            <w:tcW w:w="174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30</w:t>
            </w:r>
          </w:p>
        </w:tc>
        <w:tc>
          <w:tcPr>
            <w:tcW w:w="1752"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31</w:t>
            </w:r>
          </w:p>
        </w:tc>
        <w:tc>
          <w:tcPr>
            <w:tcW w:w="2017"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bCs/>
                <w:color w:val="000000"/>
                <w:sz w:val="20"/>
                <w:szCs w:val="20"/>
              </w:rPr>
            </w:pPr>
            <w:r w:rsidRPr="001A6832">
              <w:rPr>
                <w:bCs/>
                <w:color w:val="000000"/>
                <w:sz w:val="20"/>
                <w:szCs w:val="20"/>
              </w:rPr>
              <w:t>3</w:t>
            </w:r>
          </w:p>
        </w:tc>
        <w:tc>
          <w:tcPr>
            <w:tcW w:w="1798"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0</w:t>
            </w:r>
          </w:p>
        </w:tc>
      </w:tr>
    </w:tbl>
    <w:p w:rsidR="00EC0B1C" w:rsidRPr="00D97EA2" w:rsidRDefault="001A6832" w:rsidP="00D97EA2">
      <w:pPr>
        <w:ind w:firstLine="720"/>
        <w:jc w:val="both"/>
        <w:rPr>
          <w:sz w:val="20"/>
          <w:szCs w:val="20"/>
        </w:rPr>
      </w:pPr>
      <w:r w:rsidRPr="001A6832">
        <w:rPr>
          <w:sz w:val="20"/>
          <w:szCs w:val="20"/>
        </w:rPr>
        <w:t>* A customer may appear twice in this table if they made multiple complaints.</w:t>
      </w:r>
    </w:p>
    <w:p w:rsidR="001A6832" w:rsidRPr="001A6832" w:rsidRDefault="001A6832" w:rsidP="00EC0B1C">
      <w:pPr>
        <w:ind w:firstLine="720"/>
        <w:jc w:val="both"/>
      </w:pPr>
      <w:r w:rsidRPr="001A6832">
        <w:lastRenderedPageBreak/>
        <w:t xml:space="preserve">Based on the small number of complaints, considering more than 2,500 wastewater connections, it appears that Ni Florida’s wastewater customers are satisfied with the service provided by the </w:t>
      </w:r>
      <w:r w:rsidR="003D4918">
        <w:t>Utility</w:t>
      </w:r>
      <w:r w:rsidRPr="001A6832">
        <w:t xml:space="preserve">. Additionally, it appears that the </w:t>
      </w:r>
      <w:r w:rsidR="003D4918">
        <w:t>Utility</w:t>
      </w:r>
      <w:r w:rsidRPr="001A6832">
        <w:t xml:space="preserve"> has adequately responded to customers when a complaint was received. Therefore, </w:t>
      </w:r>
      <w:r w:rsidR="00EC0B1C">
        <w:t>we determine</w:t>
      </w:r>
      <w:r w:rsidRPr="001A6832">
        <w:t xml:space="preserve"> that Ni Florida has satisfactorily attempted to address its wastewater customers’ concerns.</w:t>
      </w:r>
    </w:p>
    <w:p w:rsidR="00EC0B1C" w:rsidRDefault="00EC0B1C" w:rsidP="00EC0B1C">
      <w:pPr>
        <w:jc w:val="both"/>
        <w:rPr>
          <w:color w:val="000000"/>
          <w:u w:val="single"/>
        </w:rPr>
      </w:pPr>
    </w:p>
    <w:p w:rsidR="001A6832" w:rsidRPr="00EC0B1C" w:rsidRDefault="001A6832" w:rsidP="00EC0B1C">
      <w:pPr>
        <w:jc w:val="both"/>
        <w:rPr>
          <w:color w:val="000000"/>
          <w:u w:val="single"/>
        </w:rPr>
      </w:pPr>
      <w:r w:rsidRPr="00EC0B1C">
        <w:rPr>
          <w:color w:val="000000"/>
          <w:u w:val="single"/>
        </w:rPr>
        <w:t>Water</w:t>
      </w:r>
    </w:p>
    <w:p w:rsidR="00EC0B1C" w:rsidRDefault="00EC0B1C" w:rsidP="00EC0B1C">
      <w:pPr>
        <w:jc w:val="both"/>
      </w:pPr>
    </w:p>
    <w:p w:rsidR="001A6832" w:rsidRPr="001A6832" w:rsidRDefault="001A6832" w:rsidP="00EC0B1C">
      <w:pPr>
        <w:ind w:firstLine="720"/>
        <w:jc w:val="both"/>
      </w:pPr>
      <w:r w:rsidRPr="001A6832">
        <w:t xml:space="preserve">As previously stated, in Ni Florida’s last rate case </w:t>
      </w:r>
      <w:r w:rsidR="00EC0B1C">
        <w:t xml:space="preserve">we found </w:t>
      </w:r>
      <w:r w:rsidRPr="001A6832">
        <w:t xml:space="preserve">the quality of the </w:t>
      </w:r>
      <w:r w:rsidR="003D4918">
        <w:t>Utility</w:t>
      </w:r>
      <w:r w:rsidRPr="001A6832">
        <w:t xml:space="preserve">’s water service </w:t>
      </w:r>
      <w:r w:rsidR="00EC0B1C">
        <w:t>to be</w:t>
      </w:r>
      <w:r w:rsidRPr="001A6832">
        <w:t xml:space="preserve"> marginal. Order No. PSC-13-0611-PAA-WS, specifically states “it is clear from customer comments at the service hearing and before this Commission that the </w:t>
      </w:r>
      <w:r w:rsidR="003D4918">
        <w:t>Utility</w:t>
      </w:r>
      <w:r w:rsidRPr="001A6832">
        <w:t xml:space="preserve"> has continued to fail to provide timely responses and service when problems do arise in Lee County.” </w:t>
      </w:r>
      <w:r w:rsidR="00EC0B1C">
        <w:t>We</w:t>
      </w:r>
      <w:r w:rsidRPr="001A6832">
        <w:t xml:space="preserve"> further stated that “[q]uality of service is totally within the control of the </w:t>
      </w:r>
      <w:r w:rsidR="003D4918">
        <w:t>Utility</w:t>
      </w:r>
      <w:r w:rsidRPr="001A6832">
        <w:t xml:space="preserve"> and there is no excuse for the </w:t>
      </w:r>
      <w:r w:rsidR="003D4918">
        <w:t>Utility</w:t>
      </w:r>
      <w:r w:rsidRPr="001A6832">
        <w:t xml:space="preserve">’s continued failure to resolve billing and service problems both quickly and politely.” </w:t>
      </w:r>
    </w:p>
    <w:p w:rsidR="00EC0B1C" w:rsidRDefault="00EC0B1C" w:rsidP="00EC0B1C">
      <w:pPr>
        <w:jc w:val="both"/>
      </w:pPr>
    </w:p>
    <w:p w:rsidR="001A6832" w:rsidRPr="001A6832" w:rsidRDefault="001A6832" w:rsidP="00EC0B1C">
      <w:pPr>
        <w:ind w:firstLine="720"/>
        <w:jc w:val="both"/>
      </w:pPr>
      <w:r w:rsidRPr="001A6832">
        <w:t xml:space="preserve">On August 30, 2016, </w:t>
      </w:r>
      <w:r w:rsidRPr="001A6832">
        <w:rPr>
          <w:color w:val="000000"/>
        </w:rPr>
        <w:t>OPC</w:t>
      </w:r>
      <w:r w:rsidRPr="001A6832">
        <w:t xml:space="preserve"> submitted a </w:t>
      </w:r>
      <w:r w:rsidRPr="001A6832">
        <w:rPr>
          <w:color w:val="000000"/>
        </w:rPr>
        <w:t>letter</w:t>
      </w:r>
      <w:r w:rsidRPr="001A6832">
        <w:rPr>
          <w:color w:val="000000"/>
          <w:vertAlign w:val="superscript"/>
        </w:rPr>
        <w:footnoteReference w:id="2"/>
      </w:r>
      <w:r w:rsidRPr="001A6832">
        <w:t xml:space="preserve"> stating that it believes that the customers continue to experience problems communicating with the </w:t>
      </w:r>
      <w:r w:rsidR="003D4918">
        <w:t>Utility</w:t>
      </w:r>
      <w:r w:rsidRPr="001A6832">
        <w:t xml:space="preserve">. </w:t>
      </w:r>
      <w:r w:rsidR="00EC0B1C">
        <w:t>Our</w:t>
      </w:r>
      <w:r w:rsidRPr="001A6832">
        <w:t xml:space="preserve"> analysis outlined below gives consideration to </w:t>
      </w:r>
      <w:r w:rsidR="00EC0B1C">
        <w:t>our</w:t>
      </w:r>
      <w:r w:rsidRPr="001A6832">
        <w:t xml:space="preserve"> decision in Ni Florida’s previous rate case as well as the concerns expressed by OPC. </w:t>
      </w:r>
    </w:p>
    <w:p w:rsidR="00EC0B1C" w:rsidRDefault="00EC0B1C" w:rsidP="00EC0B1C">
      <w:pPr>
        <w:jc w:val="both"/>
      </w:pPr>
    </w:p>
    <w:p w:rsidR="001A6832" w:rsidRPr="001A6832" w:rsidRDefault="001A6832" w:rsidP="00D44A8B">
      <w:pPr>
        <w:ind w:firstLine="720"/>
        <w:jc w:val="both"/>
      </w:pPr>
      <w:r w:rsidRPr="001A6832">
        <w:t xml:space="preserve">A customer meeting was held in Fort Myers, Florida, on July 28, 2016, for the customers of Ni Florida’s water system. Eighty customers attended the meeting and seven spoke. The concerns raised during the meeting included the amount of the rate increase and the quality of the water. Two customers expressed concern regarding the </w:t>
      </w:r>
      <w:r w:rsidR="003D4918">
        <w:t>Utility</w:t>
      </w:r>
      <w:r w:rsidRPr="001A6832">
        <w:t xml:space="preserve">’s responsiveness to customer inquiries or requests and no customers asserted that the </w:t>
      </w:r>
      <w:r w:rsidR="003D4918">
        <w:t>Utility</w:t>
      </w:r>
      <w:r w:rsidRPr="001A6832">
        <w:t xml:space="preserve"> was impolite. In addition to the customers who spoke at the meeting, four customers </w:t>
      </w:r>
      <w:r w:rsidR="00D44A8B">
        <w:t>submitted</w:t>
      </w:r>
      <w:r w:rsidRPr="001A6832">
        <w:t xml:space="preserve"> written comments to </w:t>
      </w:r>
      <w:r w:rsidR="00D44A8B">
        <w:t>this</w:t>
      </w:r>
      <w:r w:rsidRPr="001A6832">
        <w:t xml:space="preserve"> Commission. These four comments address similar concerns raised at the customer meeting regarding the rate increase and water quality. </w:t>
      </w:r>
    </w:p>
    <w:p w:rsidR="00EC0B1C" w:rsidRDefault="00EC0B1C" w:rsidP="00EC0B1C">
      <w:pPr>
        <w:jc w:val="both"/>
      </w:pPr>
    </w:p>
    <w:p w:rsidR="001A6832" w:rsidRPr="001A6832" w:rsidRDefault="001A6832" w:rsidP="00D44A8B">
      <w:pPr>
        <w:ind w:firstLine="720"/>
        <w:jc w:val="both"/>
      </w:pPr>
      <w:r w:rsidRPr="001A6832">
        <w:t xml:space="preserve">In its August 30, 2016, letter, OPC identified three events that it believes demonstrates that the </w:t>
      </w:r>
      <w:r w:rsidR="003D4918">
        <w:t>Utility</w:t>
      </w:r>
      <w:r w:rsidRPr="001A6832">
        <w:t xml:space="preserve"> continues to have issues communicating with its customers. First, in May 2016, Tamiami Village &amp; RV Park (Park) asserted it had sent a letter to the </w:t>
      </w:r>
      <w:r w:rsidR="003D4918">
        <w:t>Utility</w:t>
      </w:r>
      <w:r w:rsidRPr="001A6832">
        <w:t xml:space="preserve"> to coordinate future infrastructure work, and that Ni Florida had not responded. In a letter</w:t>
      </w:r>
      <w:r w:rsidRPr="001A6832">
        <w:rPr>
          <w:color w:val="000000"/>
          <w:vertAlign w:val="superscript"/>
        </w:rPr>
        <w:footnoteReference w:id="3"/>
      </w:r>
      <w:r w:rsidRPr="001A6832">
        <w:t xml:space="preserve"> responding to this specific allegation, the </w:t>
      </w:r>
      <w:r w:rsidR="003D4918">
        <w:t>Utility</w:t>
      </w:r>
      <w:r w:rsidRPr="001A6832">
        <w:t xml:space="preserve"> stated that, at the time the Park contacted the </w:t>
      </w:r>
      <w:r w:rsidR="003D4918">
        <w:t>Utility</w:t>
      </w:r>
      <w:r w:rsidRPr="001A6832">
        <w:t xml:space="preserve">, it had no infrastructure work to coordinate and thus had not communicated with the Park.  </w:t>
      </w:r>
    </w:p>
    <w:p w:rsidR="00EC0B1C" w:rsidRDefault="00EC0B1C" w:rsidP="00EC0B1C">
      <w:pPr>
        <w:jc w:val="both"/>
      </w:pPr>
    </w:p>
    <w:p w:rsidR="001A6832" w:rsidRPr="001A6832" w:rsidRDefault="001A6832" w:rsidP="00D44A8B">
      <w:pPr>
        <w:ind w:firstLine="720"/>
        <w:jc w:val="both"/>
      </w:pPr>
      <w:r w:rsidRPr="001A6832">
        <w:t xml:space="preserve">Second, at the customer meeting held on July 28, 2016, Park representatives stated that they </w:t>
      </w:r>
      <w:r w:rsidR="00D44A8B">
        <w:t>had</w:t>
      </w:r>
      <w:r w:rsidRPr="001A6832">
        <w:t xml:space="preserve"> never met the new </w:t>
      </w:r>
      <w:r w:rsidR="003D4918">
        <w:t>Utility</w:t>
      </w:r>
      <w:r w:rsidRPr="001A6832">
        <w:t xml:space="preserve"> contract operator and wished to do so considering how much the Park works as a liaison between the customers and the </w:t>
      </w:r>
      <w:r w:rsidR="003D4918">
        <w:t>Utility</w:t>
      </w:r>
      <w:r w:rsidRPr="001A6832">
        <w:t xml:space="preserve">. OPC states that to date the </w:t>
      </w:r>
      <w:r w:rsidR="003D4918">
        <w:t>Utility</w:t>
      </w:r>
      <w:r w:rsidRPr="001A6832">
        <w:t xml:space="preserve"> had not made an effort to organize such a meeting since. The </w:t>
      </w:r>
      <w:r w:rsidR="003D4918">
        <w:t>Utility</w:t>
      </w:r>
      <w:r w:rsidRPr="001A6832">
        <w:t xml:space="preserve"> responded that it had </w:t>
      </w:r>
      <w:r w:rsidRPr="001A6832">
        <w:lastRenderedPageBreak/>
        <w:t xml:space="preserve">provided cell phone numbers for the Chief Financial Officer of Ni America and the President of the </w:t>
      </w:r>
      <w:r w:rsidR="003D4918">
        <w:t>Utility</w:t>
      </w:r>
      <w:r w:rsidRPr="001A6832">
        <w:t xml:space="preserve"> Group of Florida, and that they had directed the contract operator to stop by the Park office to introduce himself to the Park</w:t>
      </w:r>
      <w:r w:rsidR="00D44A8B">
        <w:t xml:space="preserve"> Staff</w:t>
      </w:r>
      <w:r w:rsidRPr="001A6832">
        <w:t xml:space="preserve">. </w:t>
      </w:r>
    </w:p>
    <w:p w:rsidR="00EC0B1C" w:rsidRDefault="00EC0B1C" w:rsidP="00EC0B1C">
      <w:pPr>
        <w:jc w:val="both"/>
      </w:pPr>
    </w:p>
    <w:p w:rsidR="001A6832" w:rsidRPr="001A6832" w:rsidRDefault="001A6832" w:rsidP="00926374">
      <w:pPr>
        <w:ind w:firstLine="720"/>
        <w:jc w:val="both"/>
      </w:pPr>
      <w:r w:rsidRPr="001A6832">
        <w:t xml:space="preserve">Third, OPC’s letter notes that the </w:t>
      </w:r>
      <w:r w:rsidR="003D4918">
        <w:t>Utility</w:t>
      </w:r>
      <w:r w:rsidRPr="001A6832">
        <w:t xml:space="preserve"> was not responsive when Park representatives attempted to reach </w:t>
      </w:r>
      <w:r w:rsidR="00926374">
        <w:t>the Utility</w:t>
      </w:r>
      <w:r w:rsidRPr="001A6832">
        <w:t xml:space="preserve"> regarding flooding caused by a water main break. While the break was subsequently found to be on Lee County Utilities’ system, the Park was concerned about the contract operator’s lack of response. Ni Florida responded that it assumed Lee County would respond to the affected customers. The </w:t>
      </w:r>
      <w:r w:rsidR="003D4918">
        <w:t>Utility</w:t>
      </w:r>
      <w:r w:rsidRPr="001A6832">
        <w:t xml:space="preserve"> additionally stated that it would attempt to improve its communication with customers in cases where the problem is outside of the </w:t>
      </w:r>
      <w:r w:rsidR="003D4918">
        <w:t>Utility</w:t>
      </w:r>
      <w:r w:rsidRPr="001A6832">
        <w:t xml:space="preserve">’s control. </w:t>
      </w:r>
    </w:p>
    <w:p w:rsidR="00EC0B1C" w:rsidRDefault="00EC0B1C" w:rsidP="00EC0B1C">
      <w:pPr>
        <w:jc w:val="both"/>
      </w:pPr>
    </w:p>
    <w:p w:rsidR="001A6832" w:rsidRDefault="001A6832" w:rsidP="00926374">
      <w:pPr>
        <w:ind w:firstLine="720"/>
        <w:jc w:val="both"/>
      </w:pPr>
      <w:r w:rsidRPr="001A6832">
        <w:t xml:space="preserve">In its MFRs, the </w:t>
      </w:r>
      <w:r w:rsidR="003D4918">
        <w:t>Utility</w:t>
      </w:r>
      <w:r w:rsidRPr="001A6832">
        <w:t xml:space="preserve"> provided customer complaints filed with the </w:t>
      </w:r>
      <w:r w:rsidR="003D4918">
        <w:t>Utility</w:t>
      </w:r>
      <w:r w:rsidRPr="001A6832">
        <w:t xml:space="preserve"> during the test year and four years prior. The </w:t>
      </w:r>
      <w:r w:rsidR="003D4918">
        <w:t>Utility</w:t>
      </w:r>
      <w:r w:rsidRPr="001A6832">
        <w:t xml:space="preserve"> provided six complaints as well as the </w:t>
      </w:r>
      <w:r w:rsidR="003D4918">
        <w:t>Utility</w:t>
      </w:r>
      <w:r w:rsidRPr="001A6832">
        <w:t xml:space="preserve">’s resolution of each respective complaint. All six complaints dealt with billing issues. All complaints filed with </w:t>
      </w:r>
      <w:r w:rsidR="00926374" w:rsidRPr="00926374">
        <w:t xml:space="preserve">this </w:t>
      </w:r>
      <w:r w:rsidRPr="001A6832">
        <w:t xml:space="preserve">Commission were contained in the </w:t>
      </w:r>
      <w:r w:rsidR="003D4918">
        <w:t>Utility</w:t>
      </w:r>
      <w:r w:rsidRPr="001A6832">
        <w:t xml:space="preserve">’s filing and all have been closed. Table 1-2 below summarizes the complaints considered and reviewed by </w:t>
      </w:r>
      <w:r w:rsidR="00926374">
        <w:t>the Commission</w:t>
      </w:r>
      <w:r w:rsidRPr="001A6832">
        <w:t xml:space="preserve"> in evaluating the </w:t>
      </w:r>
      <w:r w:rsidR="003D4918">
        <w:t>Utility</w:t>
      </w:r>
      <w:r w:rsidRPr="001A6832">
        <w:t xml:space="preserve">’s attempt to address its water customers’ concerns. </w:t>
      </w:r>
    </w:p>
    <w:p w:rsidR="00926374" w:rsidRPr="001A6832" w:rsidRDefault="00926374" w:rsidP="00926374">
      <w:pPr>
        <w:ind w:firstLine="720"/>
        <w:jc w:val="both"/>
      </w:pPr>
    </w:p>
    <w:p w:rsidR="001A6832" w:rsidRPr="00926374" w:rsidRDefault="00926374" w:rsidP="00926374">
      <w:pPr>
        <w:jc w:val="center"/>
      </w:pPr>
      <w:r>
        <w:rPr>
          <w:rFonts w:ascii="Arial" w:hAnsi="Arial" w:cs="Arial"/>
          <w:b/>
          <w:bCs/>
        </w:rPr>
        <w:t xml:space="preserve">Table </w:t>
      </w:r>
      <w:r w:rsidR="001A6832" w:rsidRPr="001A6832">
        <w:rPr>
          <w:rFonts w:ascii="Arial" w:hAnsi="Arial" w:cs="Arial"/>
          <w:b/>
          <w:bCs/>
        </w:rPr>
        <w:t>2</w:t>
      </w:r>
    </w:p>
    <w:p w:rsidR="001A6832" w:rsidRPr="001A6832" w:rsidRDefault="001A6832" w:rsidP="00EC0B1C">
      <w:pPr>
        <w:keepNext/>
        <w:jc w:val="center"/>
        <w:rPr>
          <w:rFonts w:ascii="Arial" w:hAnsi="Arial" w:cs="Arial"/>
          <w:b/>
          <w:bCs/>
        </w:rPr>
      </w:pPr>
      <w:r w:rsidRPr="001A6832">
        <w:rPr>
          <w:rFonts w:ascii="Arial" w:hAnsi="Arial" w:cs="Arial"/>
          <w:b/>
          <w:bCs/>
        </w:rPr>
        <w:t>Summary of Water Complaints</w:t>
      </w:r>
    </w:p>
    <w:tbl>
      <w:tblPr>
        <w:tblW w:w="9360" w:type="dxa"/>
        <w:tblInd w:w="93" w:type="dxa"/>
        <w:tblLook w:val="04A0" w:firstRow="1" w:lastRow="0" w:firstColumn="1" w:lastColumn="0" w:noHBand="0" w:noVBand="1"/>
      </w:tblPr>
      <w:tblGrid>
        <w:gridCol w:w="1982"/>
        <w:gridCol w:w="1786"/>
        <w:gridCol w:w="1789"/>
        <w:gridCol w:w="1980"/>
        <w:gridCol w:w="1823"/>
      </w:tblGrid>
      <w:tr w:rsidR="001A6832" w:rsidRPr="001A6832" w:rsidTr="003D4918">
        <w:trPr>
          <w:trHeight w:val="645"/>
        </w:trPr>
        <w:tc>
          <w:tcPr>
            <w:tcW w:w="1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Subject of Complaint</w:t>
            </w:r>
          </w:p>
        </w:tc>
        <w:tc>
          <w:tcPr>
            <w:tcW w:w="1786"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 xml:space="preserve">PSC’s Records (CATS)         </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3D4918" w:rsidP="00EC0B1C">
            <w:pPr>
              <w:jc w:val="center"/>
              <w:rPr>
                <w:rFonts w:ascii="Arial" w:hAnsi="Arial" w:cs="Arial"/>
                <w:b/>
                <w:color w:val="000000"/>
                <w:sz w:val="20"/>
                <w:szCs w:val="20"/>
              </w:rPr>
            </w:pPr>
            <w:r>
              <w:rPr>
                <w:rFonts w:ascii="Arial" w:hAnsi="Arial" w:cs="Arial"/>
                <w:b/>
                <w:color w:val="000000"/>
                <w:sz w:val="20"/>
                <w:szCs w:val="20"/>
              </w:rPr>
              <w:t>Utility</w:t>
            </w:r>
            <w:r w:rsidR="001A6832" w:rsidRPr="001A6832">
              <w:rPr>
                <w:rFonts w:ascii="Arial" w:hAnsi="Arial" w:cs="Arial"/>
                <w:b/>
                <w:color w:val="000000"/>
                <w:sz w:val="20"/>
                <w:szCs w:val="20"/>
              </w:rPr>
              <w:t xml:space="preserve">’s Records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Docket Correspondence</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rFonts w:ascii="Arial" w:hAnsi="Arial" w:cs="Arial"/>
                <w:b/>
                <w:color w:val="000000"/>
                <w:sz w:val="20"/>
                <w:szCs w:val="20"/>
              </w:rPr>
            </w:pPr>
            <w:r w:rsidRPr="001A6832">
              <w:rPr>
                <w:rFonts w:ascii="Arial" w:hAnsi="Arial" w:cs="Arial"/>
                <w:b/>
                <w:color w:val="000000"/>
                <w:sz w:val="20"/>
                <w:szCs w:val="20"/>
              </w:rPr>
              <w:t>Customer Meeting</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Billing Related</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6</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6 </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Opposing Rate Increase</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3</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3</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Quality of Water</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1</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2</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Quality of Service</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1</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2</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Other</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2</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1</w:t>
            </w:r>
          </w:p>
        </w:tc>
      </w:tr>
      <w:tr w:rsidR="001A6832" w:rsidRPr="001A6832" w:rsidTr="003D4918">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1A6832" w:rsidRPr="001A6832" w:rsidRDefault="001A6832" w:rsidP="00EC0B1C">
            <w:pPr>
              <w:rPr>
                <w:color w:val="000000"/>
                <w:sz w:val="20"/>
                <w:szCs w:val="20"/>
              </w:rPr>
            </w:pPr>
            <w:r w:rsidRPr="001A6832">
              <w:rPr>
                <w:color w:val="000000"/>
                <w:sz w:val="20"/>
                <w:szCs w:val="20"/>
              </w:rPr>
              <w:t>Total*</w:t>
            </w:r>
          </w:p>
        </w:tc>
        <w:tc>
          <w:tcPr>
            <w:tcW w:w="1786"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6</w:t>
            </w:r>
          </w:p>
        </w:tc>
        <w:tc>
          <w:tcPr>
            <w:tcW w:w="1789"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6</w:t>
            </w:r>
          </w:p>
        </w:tc>
        <w:tc>
          <w:tcPr>
            <w:tcW w:w="1980"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4</w:t>
            </w:r>
          </w:p>
        </w:tc>
        <w:tc>
          <w:tcPr>
            <w:tcW w:w="1823" w:type="dxa"/>
            <w:tcBorders>
              <w:top w:val="nil"/>
              <w:left w:val="nil"/>
              <w:bottom w:val="single" w:sz="8" w:space="0" w:color="auto"/>
              <w:right w:val="single" w:sz="8" w:space="0" w:color="auto"/>
            </w:tcBorders>
            <w:shd w:val="clear" w:color="auto" w:fill="auto"/>
            <w:vAlign w:val="center"/>
            <w:hideMark/>
          </w:tcPr>
          <w:p w:rsidR="001A6832" w:rsidRPr="001A6832" w:rsidRDefault="001A6832" w:rsidP="00EC0B1C">
            <w:pPr>
              <w:jc w:val="center"/>
              <w:rPr>
                <w:color w:val="000000"/>
                <w:sz w:val="20"/>
                <w:szCs w:val="20"/>
              </w:rPr>
            </w:pPr>
            <w:r w:rsidRPr="001A6832">
              <w:rPr>
                <w:color w:val="000000"/>
                <w:sz w:val="20"/>
                <w:szCs w:val="20"/>
              </w:rPr>
              <w:t>8</w:t>
            </w:r>
          </w:p>
        </w:tc>
      </w:tr>
    </w:tbl>
    <w:p w:rsidR="001A6832" w:rsidRPr="001A6832" w:rsidRDefault="001A6832" w:rsidP="00EC0B1C">
      <w:pPr>
        <w:ind w:firstLine="720"/>
        <w:jc w:val="both"/>
        <w:rPr>
          <w:sz w:val="20"/>
          <w:szCs w:val="20"/>
        </w:rPr>
      </w:pPr>
      <w:r w:rsidRPr="001A6832">
        <w:rPr>
          <w:sz w:val="20"/>
          <w:szCs w:val="20"/>
        </w:rPr>
        <w:t>* A customer may appear twice in this table if they made multiple complaints.</w:t>
      </w:r>
    </w:p>
    <w:p w:rsidR="00EC0B1C" w:rsidRDefault="00EC0B1C" w:rsidP="00EC0B1C">
      <w:pPr>
        <w:jc w:val="both"/>
      </w:pPr>
    </w:p>
    <w:p w:rsidR="001A6832" w:rsidRPr="001A6832" w:rsidRDefault="001A6832" w:rsidP="00926374">
      <w:pPr>
        <w:ind w:firstLine="720"/>
        <w:jc w:val="both"/>
      </w:pPr>
      <w:r w:rsidRPr="001A6832">
        <w:t xml:space="preserve">As previously discussed, no customer input in the current docket has specified that the </w:t>
      </w:r>
      <w:r w:rsidR="003D4918">
        <w:t>Utility</w:t>
      </w:r>
      <w:r w:rsidRPr="001A6832">
        <w:t xml:space="preserve">’s customer service is impolite as was the circumstance in the </w:t>
      </w:r>
      <w:r w:rsidR="003D4918">
        <w:t>Utility</w:t>
      </w:r>
      <w:r w:rsidRPr="001A6832">
        <w:t xml:space="preserve">’s previous rate case. Furthermore, only one complaint has been filed with </w:t>
      </w:r>
      <w:r w:rsidR="00926374" w:rsidRPr="00926374">
        <w:t xml:space="preserve">this </w:t>
      </w:r>
      <w:r w:rsidRPr="001A6832">
        <w:t xml:space="preserve">Commission since the </w:t>
      </w:r>
      <w:r w:rsidR="003D4918">
        <w:t>Utility</w:t>
      </w:r>
      <w:r w:rsidRPr="001A6832">
        <w:t xml:space="preserve">’s last rate case in 2013. Therefore, it is reasonable to believe that customer satisfaction has improved since the last rate case in which the </w:t>
      </w:r>
      <w:r w:rsidR="003D4918">
        <w:t>Utility</w:t>
      </w:r>
      <w:r w:rsidRPr="001A6832">
        <w:t xml:space="preserve">’s quality of service was deemed marginal. </w:t>
      </w:r>
      <w:r w:rsidR="0028498B">
        <w:t>T</w:t>
      </w:r>
      <w:r w:rsidR="0028498B" w:rsidRPr="001A6832">
        <w:t>he</w:t>
      </w:r>
      <w:r w:rsidRPr="001A6832">
        <w:t xml:space="preserve"> overall number of complaints is minimal considering that the </w:t>
      </w:r>
      <w:r w:rsidR="003D4918">
        <w:t>Utility</w:t>
      </w:r>
      <w:r w:rsidRPr="001A6832">
        <w:t xml:space="preserve"> serves more than 700 water connections. Based on this review, </w:t>
      </w:r>
      <w:r w:rsidR="00926374">
        <w:t>we find</w:t>
      </w:r>
      <w:r w:rsidRPr="001A6832">
        <w:t xml:space="preserve"> that </w:t>
      </w:r>
      <w:r w:rsidR="00926374">
        <w:t xml:space="preserve">the </w:t>
      </w:r>
      <w:r w:rsidR="003D4918">
        <w:t>Utility</w:t>
      </w:r>
      <w:r w:rsidRPr="001A6832">
        <w:t xml:space="preserve"> has improved the quality of its service to water customers since its last rate case and the </w:t>
      </w:r>
      <w:r w:rsidR="003D4918">
        <w:t>Utility</w:t>
      </w:r>
      <w:r w:rsidRPr="001A6832">
        <w:t xml:space="preserve"> has satisfactorily attempted to address </w:t>
      </w:r>
      <w:r w:rsidR="0097603B">
        <w:t>its water customers’</w:t>
      </w:r>
      <w:r w:rsidRPr="001A6832">
        <w:t xml:space="preserve"> concerns. </w:t>
      </w:r>
    </w:p>
    <w:p w:rsidR="0097603B" w:rsidRDefault="0097603B" w:rsidP="00EC0B1C">
      <w:pPr>
        <w:jc w:val="both"/>
        <w:rPr>
          <w:rFonts w:ascii="Arial" w:hAnsi="Arial" w:cs="Arial"/>
          <w:b/>
          <w:color w:val="000000"/>
        </w:rPr>
      </w:pPr>
    </w:p>
    <w:p w:rsidR="00D97EA2" w:rsidRDefault="00D97EA2" w:rsidP="00EC0B1C">
      <w:pPr>
        <w:jc w:val="both"/>
        <w:rPr>
          <w:color w:val="000000"/>
          <w:u w:val="single"/>
        </w:rPr>
      </w:pPr>
    </w:p>
    <w:p w:rsidR="001A6832" w:rsidRPr="00926374" w:rsidRDefault="00926374" w:rsidP="00EC0B1C">
      <w:pPr>
        <w:jc w:val="both"/>
        <w:rPr>
          <w:color w:val="000000"/>
          <w:u w:val="single"/>
        </w:rPr>
      </w:pPr>
      <w:r w:rsidRPr="00926374">
        <w:rPr>
          <w:color w:val="000000"/>
          <w:u w:val="single"/>
        </w:rPr>
        <w:lastRenderedPageBreak/>
        <w:t>Conclusion</w:t>
      </w:r>
    </w:p>
    <w:p w:rsidR="00EC0B1C" w:rsidRDefault="00EC0B1C" w:rsidP="00EC0B1C">
      <w:pPr>
        <w:jc w:val="both"/>
      </w:pPr>
    </w:p>
    <w:p w:rsidR="001A6832" w:rsidRPr="001A6832" w:rsidRDefault="00926374" w:rsidP="00926374">
      <w:pPr>
        <w:ind w:firstLine="720"/>
        <w:jc w:val="both"/>
      </w:pPr>
      <w:r>
        <w:t>We</w:t>
      </w:r>
      <w:r w:rsidR="001A6832" w:rsidRPr="001A6832">
        <w:t xml:space="preserve"> </w:t>
      </w:r>
      <w:r>
        <w:t xml:space="preserve">hereby find </w:t>
      </w:r>
      <w:r w:rsidR="001A6832" w:rsidRPr="001A6832">
        <w:t xml:space="preserve">that the condition of the water distribution system and wastewater collection systems are satisfactory. </w:t>
      </w:r>
      <w:r>
        <w:t>Additionally, given that it</w:t>
      </w:r>
      <w:r w:rsidR="001A6832" w:rsidRPr="001A6832">
        <w:t xml:space="preserve"> appears that the </w:t>
      </w:r>
      <w:r w:rsidR="003D4918">
        <w:t>Utility</w:t>
      </w:r>
      <w:r w:rsidR="001A6832" w:rsidRPr="001A6832">
        <w:t xml:space="preserve"> has attempted to address customers’ concerns. Therefore, </w:t>
      </w:r>
      <w:r>
        <w:t>we hereby find</w:t>
      </w:r>
      <w:r w:rsidR="001A6832" w:rsidRPr="001A6832">
        <w:t xml:space="preserve"> that the overall quality of service for the Ni Florida water and wastewater systems in Lee and Pasco Counties is satisfactory.</w:t>
      </w:r>
    </w:p>
    <w:p w:rsidR="00926374" w:rsidRDefault="00926374" w:rsidP="00EC0B1C">
      <w:pPr>
        <w:jc w:val="both"/>
        <w:rPr>
          <w:rFonts w:ascii="Arial" w:hAnsi="Arial" w:cs="Arial"/>
          <w:b/>
          <w:bCs/>
          <w:i/>
          <w:iCs/>
          <w:szCs w:val="28"/>
        </w:rPr>
      </w:pPr>
    </w:p>
    <w:p w:rsidR="00926374" w:rsidRPr="00926374" w:rsidRDefault="00926374" w:rsidP="00926374">
      <w:pPr>
        <w:jc w:val="center"/>
        <w:rPr>
          <w:bCs/>
          <w:iCs/>
          <w:szCs w:val="28"/>
          <w:u w:val="single"/>
        </w:rPr>
      </w:pPr>
      <w:r w:rsidRPr="00926374">
        <w:rPr>
          <w:bCs/>
          <w:iCs/>
          <w:szCs w:val="28"/>
          <w:u w:val="single"/>
        </w:rPr>
        <w:t>Audit Adjustments</w:t>
      </w:r>
    </w:p>
    <w:p w:rsidR="00926374" w:rsidRPr="00926374" w:rsidRDefault="00926374" w:rsidP="00EC0B1C">
      <w:pPr>
        <w:jc w:val="both"/>
        <w:rPr>
          <w:rFonts w:ascii="Arial" w:hAnsi="Arial" w:cs="Arial"/>
          <w:bCs/>
          <w:iCs/>
          <w:szCs w:val="28"/>
        </w:rPr>
      </w:pPr>
    </w:p>
    <w:p w:rsidR="001A6832" w:rsidRPr="001A6832" w:rsidRDefault="001A6832" w:rsidP="00926374">
      <w:pPr>
        <w:ind w:firstLine="720"/>
        <w:jc w:val="both"/>
      </w:pPr>
      <w:r w:rsidRPr="001A6832">
        <w:t xml:space="preserve">In its response to </w:t>
      </w:r>
      <w:r w:rsidR="00926374">
        <w:t>a Commission audit staff’s</w:t>
      </w:r>
      <w:r w:rsidRPr="001A6832">
        <w:t xml:space="preserve"> Ni Florida audit report and the audit of affiliate transactions, received September 22, 2016, the </w:t>
      </w:r>
      <w:r w:rsidR="003D4918">
        <w:t>Utility</w:t>
      </w:r>
      <w:r w:rsidRPr="001A6832">
        <w:t xml:space="preserve"> agreed to the audit adjustments as set forth in the table below.</w:t>
      </w:r>
    </w:p>
    <w:p w:rsidR="001A6832" w:rsidRPr="001A6832" w:rsidRDefault="001A6832" w:rsidP="00EC0B1C">
      <w:pPr>
        <w:jc w:val="both"/>
      </w:pPr>
    </w:p>
    <w:p w:rsidR="001A6832" w:rsidRPr="001A6832" w:rsidRDefault="00926374" w:rsidP="00EC0B1C">
      <w:pPr>
        <w:jc w:val="center"/>
        <w:rPr>
          <w:rFonts w:ascii="Arial" w:hAnsi="Arial" w:cs="Arial"/>
          <w:b/>
        </w:rPr>
      </w:pPr>
      <w:r>
        <w:rPr>
          <w:rFonts w:ascii="Arial" w:hAnsi="Arial" w:cs="Arial"/>
          <w:b/>
        </w:rPr>
        <w:t>Table 3</w:t>
      </w:r>
    </w:p>
    <w:p w:rsidR="001A6832" w:rsidRPr="001A6832" w:rsidRDefault="001A6832" w:rsidP="00EC0B1C">
      <w:pPr>
        <w:jc w:val="center"/>
        <w:rPr>
          <w:rFonts w:ascii="Arial" w:hAnsi="Arial" w:cs="Arial"/>
          <w:b/>
        </w:rPr>
      </w:pPr>
      <w:r w:rsidRPr="001A6832">
        <w:rPr>
          <w:rFonts w:ascii="Arial" w:hAnsi="Arial" w:cs="Arial"/>
          <w:b/>
        </w:rPr>
        <w:t>Ni Florida Audit Adjustments</w:t>
      </w:r>
    </w:p>
    <w:tbl>
      <w:tblPr>
        <w:tblStyle w:val="TableGrid1"/>
        <w:tblW w:w="0" w:type="auto"/>
        <w:tblInd w:w="18" w:type="dxa"/>
        <w:tblLook w:val="04A0" w:firstRow="1" w:lastRow="0" w:firstColumn="1" w:lastColumn="0" w:noHBand="0" w:noVBand="1"/>
      </w:tblPr>
      <w:tblGrid>
        <w:gridCol w:w="2340"/>
        <w:gridCol w:w="7200"/>
      </w:tblGrid>
      <w:tr w:rsidR="001A6832" w:rsidRPr="001A6832" w:rsidTr="003D4918">
        <w:tc>
          <w:tcPr>
            <w:tcW w:w="2340" w:type="dxa"/>
          </w:tcPr>
          <w:p w:rsidR="001A6832" w:rsidRPr="001A6832" w:rsidRDefault="001A6832" w:rsidP="00EC0B1C">
            <w:pPr>
              <w:jc w:val="center"/>
              <w:rPr>
                <w:rFonts w:ascii="Arial" w:hAnsi="Arial" w:cs="Arial"/>
                <w:b/>
              </w:rPr>
            </w:pPr>
            <w:r w:rsidRPr="001A6832">
              <w:rPr>
                <w:rFonts w:ascii="Arial" w:hAnsi="Arial" w:cs="Arial"/>
                <w:b/>
              </w:rPr>
              <w:t>Audit Finding</w:t>
            </w:r>
          </w:p>
        </w:tc>
        <w:tc>
          <w:tcPr>
            <w:tcW w:w="7200" w:type="dxa"/>
          </w:tcPr>
          <w:p w:rsidR="001A6832" w:rsidRPr="001A6832" w:rsidRDefault="001A6832" w:rsidP="00EC0B1C">
            <w:pPr>
              <w:jc w:val="center"/>
              <w:rPr>
                <w:rFonts w:ascii="Arial" w:hAnsi="Arial" w:cs="Arial"/>
                <w:b/>
              </w:rPr>
            </w:pPr>
            <w:r w:rsidRPr="001A6832">
              <w:rPr>
                <w:rFonts w:ascii="Arial" w:hAnsi="Arial" w:cs="Arial"/>
                <w:b/>
              </w:rPr>
              <w:t>Description of Adjustments</w:t>
            </w:r>
          </w:p>
        </w:tc>
      </w:tr>
      <w:tr w:rsidR="001A6832" w:rsidRPr="001A6832" w:rsidTr="003D4918">
        <w:tc>
          <w:tcPr>
            <w:tcW w:w="2340" w:type="dxa"/>
          </w:tcPr>
          <w:p w:rsidR="001A6832" w:rsidRPr="001A6832" w:rsidRDefault="001A6832" w:rsidP="00EC0B1C">
            <w:r w:rsidRPr="001A6832">
              <w:t>Audit Finding No. 4</w:t>
            </w:r>
          </w:p>
        </w:tc>
        <w:tc>
          <w:tcPr>
            <w:tcW w:w="7200" w:type="dxa"/>
          </w:tcPr>
          <w:p w:rsidR="001A6832" w:rsidRPr="001A6832" w:rsidRDefault="001A6832" w:rsidP="00EC0B1C">
            <w:pPr>
              <w:autoSpaceDE w:val="0"/>
              <w:autoSpaceDN w:val="0"/>
              <w:adjustRightInd w:val="0"/>
              <w:jc w:val="both"/>
            </w:pPr>
            <w:r w:rsidRPr="001A6832">
              <w:t xml:space="preserve">This finding relates to the correction of the cost rate for customer deposits. Audit staff found that the </w:t>
            </w:r>
            <w:r w:rsidR="003D4918">
              <w:t>Utility</w:t>
            </w:r>
            <w:r w:rsidRPr="001A6832">
              <w:t xml:space="preserve"> has been applying a cost rate of 6% instead of 2% in the MFRs. </w:t>
            </w:r>
          </w:p>
        </w:tc>
      </w:tr>
      <w:tr w:rsidR="001A6832" w:rsidRPr="001A6832" w:rsidTr="003D4918">
        <w:tc>
          <w:tcPr>
            <w:tcW w:w="2340" w:type="dxa"/>
          </w:tcPr>
          <w:p w:rsidR="001A6832" w:rsidRPr="001A6832" w:rsidRDefault="001A6832" w:rsidP="00EC0B1C">
            <w:r w:rsidRPr="001A6832">
              <w:t>Audit Finding No. 6</w:t>
            </w:r>
          </w:p>
        </w:tc>
        <w:tc>
          <w:tcPr>
            <w:tcW w:w="7200" w:type="dxa"/>
          </w:tcPr>
          <w:p w:rsidR="001A6832" w:rsidRPr="001A6832" w:rsidRDefault="001A6832" w:rsidP="00EC0B1C">
            <w:pPr>
              <w:jc w:val="both"/>
            </w:pPr>
            <w:r w:rsidRPr="001A6832">
              <w:t>This finding relates to adjustments made to correct the number of customer bills for water and wastewater and to take into account a four-year rate reduction in calculating the annualized test year.</w:t>
            </w:r>
          </w:p>
        </w:tc>
      </w:tr>
    </w:tbl>
    <w:p w:rsidR="001A6832" w:rsidRPr="001A6832" w:rsidRDefault="00926374" w:rsidP="00EC0B1C">
      <w:r>
        <w:t>Source: Commission s</w:t>
      </w:r>
      <w:r w:rsidR="001A6832" w:rsidRPr="001A6832">
        <w:t xml:space="preserve">taff audit and </w:t>
      </w:r>
      <w:r w:rsidR="003D4918">
        <w:t>Utility</w:t>
      </w:r>
      <w:r w:rsidR="001A6832" w:rsidRPr="001A6832">
        <w:t xml:space="preserve"> responses to audit reports</w:t>
      </w:r>
    </w:p>
    <w:p w:rsidR="001A6832" w:rsidRPr="001A6832" w:rsidRDefault="001A6832" w:rsidP="00EC0B1C"/>
    <w:p w:rsidR="001A6832" w:rsidRPr="001A6832" w:rsidRDefault="00926374" w:rsidP="00926374">
      <w:pPr>
        <w:ind w:firstLine="720"/>
        <w:jc w:val="both"/>
      </w:pPr>
      <w:r>
        <w:t>We</w:t>
      </w:r>
      <w:r w:rsidR="001A6832" w:rsidRPr="001A6832">
        <w:t xml:space="preserve"> made the appropriate change to the customer deposit cost rate and </w:t>
      </w:r>
      <w:r>
        <w:t xml:space="preserve">it </w:t>
      </w:r>
      <w:r w:rsidR="001A6832" w:rsidRPr="001A6832">
        <w:t xml:space="preserve">is reflected in Schedule No. 2. While the </w:t>
      </w:r>
      <w:r w:rsidR="003D4918">
        <w:t>Utility</w:t>
      </w:r>
      <w:r w:rsidR="001A6832" w:rsidRPr="001A6832">
        <w:t xml:space="preserve"> agreed to Audit Finding No. 6, a different adjustment to operating revenues </w:t>
      </w:r>
      <w:r>
        <w:t>was also made later in this order</w:t>
      </w:r>
      <w:r w:rsidR="001A6832" w:rsidRPr="001A6832">
        <w:t>.</w:t>
      </w:r>
    </w:p>
    <w:p w:rsidR="001A6832" w:rsidRPr="001A6832" w:rsidRDefault="001A6832" w:rsidP="00EC0B1C"/>
    <w:p w:rsidR="001A6832" w:rsidRPr="001A6832" w:rsidRDefault="001A6832" w:rsidP="00926374">
      <w:pPr>
        <w:ind w:firstLine="720"/>
        <w:jc w:val="both"/>
      </w:pPr>
      <w:r w:rsidRPr="001A6832">
        <w:t xml:space="preserve">In addition to the specific findings agreed to by Ni Florida, there were several other audit adjustments that the </w:t>
      </w:r>
      <w:r w:rsidR="003D4918">
        <w:t>Utility</w:t>
      </w:r>
      <w:r w:rsidRPr="001A6832">
        <w:t xml:space="preserve"> did not explicitly address in its audit response. </w:t>
      </w:r>
      <w:r w:rsidR="00926374">
        <w:t>We have</w:t>
      </w:r>
      <w:r w:rsidRPr="001A6832">
        <w:t xml:space="preserve"> included discussion of those adjustments here because they were not objected to in writing. Since Ni Florida took the time to file audit responses for 8 of the 12 audit findings, if the </w:t>
      </w:r>
      <w:r w:rsidR="003D4918">
        <w:t>Utility</w:t>
      </w:r>
      <w:r w:rsidRPr="001A6832">
        <w:t xml:space="preserve"> had any issues or concerns with the 4 audit findings below, they would have been included with the other audit responses. As such, the audit adjustments as set forth in the table below </w:t>
      </w:r>
      <w:r w:rsidR="00926374">
        <w:t>shall</w:t>
      </w:r>
      <w:r w:rsidRPr="001A6832">
        <w:t xml:space="preserve"> be considered uncontested for purposes of this </w:t>
      </w:r>
      <w:r w:rsidR="00926374">
        <w:t>order</w:t>
      </w:r>
      <w:r w:rsidRPr="001A6832">
        <w:t>.</w:t>
      </w:r>
    </w:p>
    <w:p w:rsidR="001A6832" w:rsidRPr="001A6832" w:rsidRDefault="001A6832" w:rsidP="00EC0B1C"/>
    <w:p w:rsidR="00926374" w:rsidRDefault="00926374" w:rsidP="00926374">
      <w:pPr>
        <w:rPr>
          <w:rFonts w:ascii="Arial" w:hAnsi="Arial" w:cs="Arial"/>
          <w:b/>
        </w:rPr>
      </w:pPr>
    </w:p>
    <w:p w:rsidR="00926374" w:rsidRDefault="00926374" w:rsidP="00926374">
      <w:pPr>
        <w:rPr>
          <w:rFonts w:ascii="Arial" w:hAnsi="Arial" w:cs="Arial"/>
          <w:b/>
        </w:rPr>
      </w:pPr>
    </w:p>
    <w:p w:rsidR="00926374" w:rsidRDefault="00926374" w:rsidP="00926374">
      <w:pPr>
        <w:rPr>
          <w:rFonts w:ascii="Arial" w:hAnsi="Arial" w:cs="Arial"/>
          <w:b/>
        </w:rPr>
      </w:pPr>
    </w:p>
    <w:p w:rsidR="00926374" w:rsidRDefault="00926374" w:rsidP="00926374">
      <w:pPr>
        <w:rPr>
          <w:rFonts w:ascii="Arial" w:hAnsi="Arial" w:cs="Arial"/>
          <w:b/>
        </w:rPr>
      </w:pPr>
    </w:p>
    <w:p w:rsidR="00926374" w:rsidRDefault="00926374" w:rsidP="00926374">
      <w:pPr>
        <w:rPr>
          <w:rFonts w:ascii="Arial" w:hAnsi="Arial" w:cs="Arial"/>
          <w:b/>
        </w:rPr>
      </w:pPr>
    </w:p>
    <w:p w:rsidR="00926374" w:rsidRDefault="00926374" w:rsidP="00926374">
      <w:pPr>
        <w:rPr>
          <w:rFonts w:ascii="Arial" w:hAnsi="Arial" w:cs="Arial"/>
          <w:b/>
        </w:rPr>
      </w:pPr>
    </w:p>
    <w:p w:rsidR="00072F5F" w:rsidRDefault="00072F5F" w:rsidP="00072F5F">
      <w:pPr>
        <w:rPr>
          <w:rFonts w:ascii="Arial" w:hAnsi="Arial" w:cs="Arial"/>
          <w:b/>
        </w:rPr>
      </w:pPr>
    </w:p>
    <w:p w:rsidR="001A6832" w:rsidRPr="001A6832" w:rsidRDefault="001A6832" w:rsidP="00072F5F">
      <w:pPr>
        <w:jc w:val="center"/>
        <w:rPr>
          <w:rFonts w:ascii="Arial" w:hAnsi="Arial" w:cs="Arial"/>
          <w:b/>
        </w:rPr>
      </w:pPr>
      <w:r w:rsidRPr="001A6832">
        <w:rPr>
          <w:rFonts w:ascii="Arial" w:hAnsi="Arial" w:cs="Arial"/>
          <w:b/>
        </w:rPr>
        <w:lastRenderedPageBreak/>
        <w:t xml:space="preserve">Table </w:t>
      </w:r>
      <w:r w:rsidR="00926374">
        <w:rPr>
          <w:rFonts w:ascii="Arial" w:hAnsi="Arial" w:cs="Arial"/>
          <w:b/>
        </w:rPr>
        <w:t>4</w:t>
      </w:r>
    </w:p>
    <w:p w:rsidR="001A6832" w:rsidRPr="001A6832" w:rsidRDefault="001A6832" w:rsidP="00EC0B1C">
      <w:pPr>
        <w:jc w:val="center"/>
        <w:rPr>
          <w:rFonts w:ascii="Arial" w:hAnsi="Arial" w:cs="Arial"/>
          <w:b/>
        </w:rPr>
      </w:pPr>
      <w:r w:rsidRPr="001A6832">
        <w:rPr>
          <w:rFonts w:ascii="Arial" w:hAnsi="Arial" w:cs="Arial"/>
          <w:b/>
        </w:rPr>
        <w:t xml:space="preserve">Ni Florida Audit Adjustments – No </w:t>
      </w:r>
      <w:r w:rsidR="003D4918">
        <w:rPr>
          <w:rFonts w:ascii="Arial" w:hAnsi="Arial" w:cs="Arial"/>
          <w:b/>
        </w:rPr>
        <w:t>Utility</w:t>
      </w:r>
      <w:r w:rsidRPr="001A6832">
        <w:rPr>
          <w:rFonts w:ascii="Arial" w:hAnsi="Arial" w:cs="Arial"/>
          <w:b/>
        </w:rPr>
        <w:t xml:space="preserve"> Response</w:t>
      </w:r>
    </w:p>
    <w:tbl>
      <w:tblPr>
        <w:tblStyle w:val="TableGrid1"/>
        <w:tblW w:w="0" w:type="auto"/>
        <w:tblInd w:w="18" w:type="dxa"/>
        <w:tblLook w:val="04A0" w:firstRow="1" w:lastRow="0" w:firstColumn="1" w:lastColumn="0" w:noHBand="0" w:noVBand="1"/>
      </w:tblPr>
      <w:tblGrid>
        <w:gridCol w:w="2700"/>
        <w:gridCol w:w="6840"/>
      </w:tblGrid>
      <w:tr w:rsidR="001A6832" w:rsidRPr="001A6832" w:rsidTr="003D4918">
        <w:tc>
          <w:tcPr>
            <w:tcW w:w="2700" w:type="dxa"/>
          </w:tcPr>
          <w:p w:rsidR="001A6832" w:rsidRPr="001A6832" w:rsidRDefault="001A6832" w:rsidP="00EC0B1C">
            <w:pPr>
              <w:jc w:val="center"/>
              <w:rPr>
                <w:b/>
              </w:rPr>
            </w:pPr>
            <w:r w:rsidRPr="001A6832">
              <w:rPr>
                <w:b/>
              </w:rPr>
              <w:t>Audit Finding</w:t>
            </w:r>
          </w:p>
        </w:tc>
        <w:tc>
          <w:tcPr>
            <w:tcW w:w="6840" w:type="dxa"/>
          </w:tcPr>
          <w:p w:rsidR="001A6832" w:rsidRPr="001A6832" w:rsidRDefault="001A6832" w:rsidP="00EC0B1C">
            <w:pPr>
              <w:jc w:val="center"/>
              <w:rPr>
                <w:b/>
              </w:rPr>
            </w:pPr>
            <w:r w:rsidRPr="001A6832">
              <w:rPr>
                <w:b/>
              </w:rPr>
              <w:t>Description of Adjustments</w:t>
            </w:r>
          </w:p>
        </w:tc>
      </w:tr>
      <w:tr w:rsidR="001A6832" w:rsidRPr="001A6832" w:rsidTr="003D4918">
        <w:tc>
          <w:tcPr>
            <w:tcW w:w="2700" w:type="dxa"/>
            <w:shd w:val="clear" w:color="auto" w:fill="auto"/>
          </w:tcPr>
          <w:p w:rsidR="001A6832" w:rsidRPr="001A6832" w:rsidRDefault="001A6832" w:rsidP="00EC0B1C">
            <w:r w:rsidRPr="001A6832">
              <w:t>Aff. Audit Finding No. 4</w:t>
            </w:r>
          </w:p>
        </w:tc>
        <w:tc>
          <w:tcPr>
            <w:tcW w:w="6840" w:type="dxa"/>
          </w:tcPr>
          <w:p w:rsidR="001A6832" w:rsidRPr="001A6832" w:rsidRDefault="001A6832" w:rsidP="00EC0B1C">
            <w:pPr>
              <w:autoSpaceDE w:val="0"/>
              <w:autoSpaceDN w:val="0"/>
              <w:adjustRightInd w:val="0"/>
              <w:jc w:val="both"/>
            </w:pPr>
            <w:r w:rsidRPr="001A6832">
              <w:t>This finding relates to the appropriate amount of debt and the cost rate for debt to be included in cost of capital.</w:t>
            </w:r>
          </w:p>
        </w:tc>
      </w:tr>
      <w:tr w:rsidR="001A6832" w:rsidRPr="001A6832" w:rsidTr="003D4918">
        <w:tc>
          <w:tcPr>
            <w:tcW w:w="2700" w:type="dxa"/>
            <w:shd w:val="clear" w:color="auto" w:fill="auto"/>
          </w:tcPr>
          <w:p w:rsidR="001A6832" w:rsidRPr="001A6832" w:rsidRDefault="001A6832" w:rsidP="00EC0B1C">
            <w:r w:rsidRPr="001A6832">
              <w:t>Audit Finding No. 2</w:t>
            </w:r>
          </w:p>
        </w:tc>
        <w:tc>
          <w:tcPr>
            <w:tcW w:w="6840" w:type="dxa"/>
          </w:tcPr>
          <w:p w:rsidR="001A6832" w:rsidRPr="001A6832" w:rsidRDefault="001A6832" w:rsidP="00EC0B1C">
            <w:pPr>
              <w:autoSpaceDE w:val="0"/>
              <w:autoSpaceDN w:val="0"/>
              <w:adjustRightInd w:val="0"/>
              <w:jc w:val="both"/>
            </w:pPr>
            <w:r w:rsidRPr="001A6832">
              <w:t>This finding relates to the appropriate adjustment to accumulated amortization of wastewater CIAC using the current composite rate.</w:t>
            </w:r>
          </w:p>
        </w:tc>
      </w:tr>
      <w:tr w:rsidR="001A6832" w:rsidRPr="001A6832" w:rsidTr="003D4918">
        <w:tc>
          <w:tcPr>
            <w:tcW w:w="2700" w:type="dxa"/>
            <w:shd w:val="clear" w:color="auto" w:fill="auto"/>
          </w:tcPr>
          <w:p w:rsidR="001A6832" w:rsidRPr="001A6832" w:rsidRDefault="001A6832" w:rsidP="00EC0B1C">
            <w:r w:rsidRPr="001A6832">
              <w:t>Audit Finding No. 3</w:t>
            </w:r>
          </w:p>
        </w:tc>
        <w:tc>
          <w:tcPr>
            <w:tcW w:w="6840" w:type="dxa"/>
          </w:tcPr>
          <w:p w:rsidR="001A6832" w:rsidRPr="001A6832" w:rsidRDefault="001A6832" w:rsidP="00EC0B1C">
            <w:pPr>
              <w:autoSpaceDE w:val="0"/>
              <w:autoSpaceDN w:val="0"/>
              <w:adjustRightInd w:val="0"/>
              <w:jc w:val="both"/>
            </w:pPr>
            <w:r w:rsidRPr="001A6832">
              <w:t xml:space="preserve">This finding relates to a $50,119 adjustment made to wastewater working capital to correct a mathematical error, prepayments, and accrued interest </w:t>
            </w:r>
          </w:p>
        </w:tc>
      </w:tr>
      <w:tr w:rsidR="001A6832" w:rsidRPr="001A6832" w:rsidTr="003D4918">
        <w:tc>
          <w:tcPr>
            <w:tcW w:w="2700" w:type="dxa"/>
            <w:shd w:val="clear" w:color="auto" w:fill="auto"/>
          </w:tcPr>
          <w:p w:rsidR="001A6832" w:rsidRPr="001A6832" w:rsidRDefault="001A6832" w:rsidP="00EC0B1C">
            <w:r w:rsidRPr="001A6832">
              <w:t>Audit Finding No. 5</w:t>
            </w:r>
          </w:p>
        </w:tc>
        <w:tc>
          <w:tcPr>
            <w:tcW w:w="6840" w:type="dxa"/>
          </w:tcPr>
          <w:p w:rsidR="001A6832" w:rsidRPr="001A6832" w:rsidRDefault="001A6832" w:rsidP="00EC0B1C">
            <w:pPr>
              <w:autoSpaceDE w:val="0"/>
              <w:autoSpaceDN w:val="0"/>
              <w:adjustRightInd w:val="0"/>
              <w:jc w:val="both"/>
            </w:pPr>
            <w:r w:rsidRPr="001A6832">
              <w:t xml:space="preserve">This finding relates to the removal of a deferred income tax credit balance of $3,634 for wastewater from rate base. The amount is still reflected in the capital structure schedule. </w:t>
            </w:r>
          </w:p>
        </w:tc>
      </w:tr>
    </w:tbl>
    <w:p w:rsidR="001A6832" w:rsidRPr="001A6832" w:rsidRDefault="00926374" w:rsidP="00EC0B1C">
      <w:r>
        <w:t>Source: Commission s</w:t>
      </w:r>
      <w:r w:rsidR="001A6832" w:rsidRPr="001A6832">
        <w:t xml:space="preserve">taff audit and </w:t>
      </w:r>
      <w:r w:rsidR="003D4918">
        <w:t>Utility</w:t>
      </w:r>
      <w:r w:rsidR="001A6832" w:rsidRPr="001A6832">
        <w:t xml:space="preserve"> responses to audit reports</w:t>
      </w:r>
    </w:p>
    <w:p w:rsidR="001A6832" w:rsidRPr="001A6832" w:rsidRDefault="001A6832" w:rsidP="00EC0B1C">
      <w:pPr>
        <w:autoSpaceDE w:val="0"/>
        <w:autoSpaceDN w:val="0"/>
        <w:adjustRightInd w:val="0"/>
        <w:jc w:val="both"/>
      </w:pPr>
    </w:p>
    <w:p w:rsidR="001A6832" w:rsidRPr="001A6832" w:rsidRDefault="001A6832" w:rsidP="00926374">
      <w:pPr>
        <w:autoSpaceDE w:val="0"/>
        <w:autoSpaceDN w:val="0"/>
        <w:adjustRightInd w:val="0"/>
        <w:ind w:firstLine="720"/>
        <w:jc w:val="both"/>
      </w:pPr>
      <w:r w:rsidRPr="001A6832">
        <w:t xml:space="preserve">In Affiliate Audit Finding No. 4, </w:t>
      </w:r>
      <w:r w:rsidR="00926374">
        <w:t xml:space="preserve">Commission </w:t>
      </w:r>
      <w:r w:rsidRPr="001A6832">
        <w:t xml:space="preserve">audit staff found that the subsidiary included two long-term debts that were paid off during the test year and recommended that they not be included in the </w:t>
      </w:r>
      <w:r w:rsidR="003D4918">
        <w:t>Utility</w:t>
      </w:r>
      <w:r w:rsidRPr="001A6832">
        <w:t xml:space="preserve">’s cost of capital calculations. However, the audit finding also noted that zero debt is reflected from March 2015 to August 2015. Starting in September 2015, the parent allocated a portion of its debt to Ni Florida in the amount $4,736,843 for September, October, and November. This amount increased to $5,000,000 in December 2015. </w:t>
      </w:r>
      <w:r w:rsidR="00926374">
        <w:t>We believe that</w:t>
      </w:r>
      <w:r w:rsidRPr="001A6832">
        <w:t xml:space="preserve"> the amounts included in the </w:t>
      </w:r>
      <w:r w:rsidR="003D4918">
        <w:t>Utility</w:t>
      </w:r>
      <w:r w:rsidRPr="001A6832">
        <w:t xml:space="preserve">’s MFRs accurately reflect the capital structure and are representative of the long-term debt on the </w:t>
      </w:r>
      <w:r w:rsidR="003D4918">
        <w:t>Utility</w:t>
      </w:r>
      <w:r w:rsidRPr="001A6832">
        <w:t xml:space="preserve">’s books during the historic test year. Using a 13-month average, the </w:t>
      </w:r>
      <w:r w:rsidR="003D4918">
        <w:t>Utility</w:t>
      </w:r>
      <w:r w:rsidRPr="001A6832">
        <w:t xml:space="preserve"> has reflected when debt was paid off and included new debt as it was incurred, including a several month period where </w:t>
      </w:r>
      <w:r w:rsidR="00926374">
        <w:t xml:space="preserve">the balance was zero. As such, </w:t>
      </w:r>
      <w:r w:rsidRPr="001A6832">
        <w:t>no audit adjustment needs to be made.</w:t>
      </w:r>
    </w:p>
    <w:p w:rsidR="001A6832" w:rsidRPr="001A6832" w:rsidRDefault="001A6832" w:rsidP="00EC0B1C">
      <w:pPr>
        <w:jc w:val="both"/>
      </w:pPr>
    </w:p>
    <w:p w:rsidR="001A6832" w:rsidRPr="001A6832" w:rsidRDefault="001A6832" w:rsidP="00926374">
      <w:pPr>
        <w:autoSpaceDE w:val="0"/>
        <w:autoSpaceDN w:val="0"/>
        <w:adjustRightInd w:val="0"/>
        <w:ind w:firstLine="720"/>
        <w:jc w:val="both"/>
      </w:pPr>
      <w:r w:rsidRPr="001A6832">
        <w:t xml:space="preserve">In regard to Audit Finding No. 2, the </w:t>
      </w:r>
      <w:r w:rsidR="003D4918">
        <w:t>Utility</w:t>
      </w:r>
      <w:r w:rsidRPr="001A6832">
        <w:t xml:space="preserve"> amortized wastewater CIAC using the composite rate from the previous rate case. Ni Florida should have amortized CIAC based on the plant that it is related to, which would require an upd</w:t>
      </w:r>
      <w:r w:rsidR="00926374">
        <w:t>ated composite rate. Commission a</w:t>
      </w:r>
      <w:r w:rsidRPr="001A6832">
        <w:t xml:space="preserve">udit staff calculated the current composite rate and applied that rate to amortized CIAC for wastewater. Based on the updated composite rate, the 13-month average accumulated amortization of CIAC for wastewater </w:t>
      </w:r>
      <w:r w:rsidR="00926374">
        <w:t>shall</w:t>
      </w:r>
      <w:r w:rsidRPr="001A6832">
        <w:t xml:space="preserve"> be increased by $6,568 and amortization expense </w:t>
      </w:r>
      <w:r w:rsidR="00926374">
        <w:t>shall</w:t>
      </w:r>
      <w:r w:rsidRPr="001A6832">
        <w:t xml:space="preserve"> be increased by $2,845.</w:t>
      </w:r>
    </w:p>
    <w:p w:rsidR="001A6832" w:rsidRPr="001A6832" w:rsidRDefault="001A6832" w:rsidP="00EC0B1C">
      <w:pPr>
        <w:autoSpaceDE w:val="0"/>
        <w:autoSpaceDN w:val="0"/>
        <w:adjustRightInd w:val="0"/>
        <w:jc w:val="both"/>
      </w:pPr>
    </w:p>
    <w:p w:rsidR="001A6832" w:rsidRPr="001A6832" w:rsidRDefault="00926374" w:rsidP="00926374">
      <w:pPr>
        <w:autoSpaceDE w:val="0"/>
        <w:autoSpaceDN w:val="0"/>
        <w:adjustRightInd w:val="0"/>
        <w:ind w:firstLine="720"/>
        <w:jc w:val="both"/>
      </w:pPr>
      <w:r>
        <w:t>We</w:t>
      </w:r>
      <w:r w:rsidR="001A6832" w:rsidRPr="001A6832">
        <w:t xml:space="preserve"> also reduced working capital by $50,119 and removed the deferred income tax credit balance of $3,634 for wastewater from rate base. Rule 25-30.433(3) F.A.C. states that a credit deferred tax balance shall be included only in capital structure. As such, </w:t>
      </w:r>
      <w:r>
        <w:t>we</w:t>
      </w:r>
      <w:r w:rsidR="001A6832" w:rsidRPr="001A6832">
        <w:t xml:space="preserve"> made the appropriate adjustment.</w:t>
      </w:r>
    </w:p>
    <w:p w:rsidR="001A6832" w:rsidRPr="001A6832" w:rsidRDefault="001A6832" w:rsidP="00EC0B1C">
      <w:pPr>
        <w:jc w:val="both"/>
      </w:pPr>
    </w:p>
    <w:p w:rsidR="001A6832" w:rsidRPr="001A6832" w:rsidRDefault="001A6832" w:rsidP="00926374">
      <w:pPr>
        <w:ind w:firstLine="720"/>
        <w:jc w:val="both"/>
        <w:rPr>
          <w:rFonts w:eastAsia="Calibri"/>
        </w:rPr>
      </w:pPr>
      <w:r w:rsidRPr="001A6832">
        <w:t xml:space="preserve">Based on the audit adjustments agreed to by the </w:t>
      </w:r>
      <w:r w:rsidR="003D4918">
        <w:t>Utility</w:t>
      </w:r>
      <w:r w:rsidRPr="001A6832">
        <w:t xml:space="preserve"> above, </w:t>
      </w:r>
      <w:r w:rsidR="00505A3E" w:rsidRPr="001A6832">
        <w:t xml:space="preserve">wastewater </w:t>
      </w:r>
      <w:r w:rsidR="00505A3E">
        <w:t xml:space="preserve">amortization of </w:t>
      </w:r>
      <w:r w:rsidRPr="001A6832">
        <w:t xml:space="preserve">CIAC </w:t>
      </w:r>
      <w:r w:rsidR="00926374">
        <w:t xml:space="preserve">shall be increased </w:t>
      </w:r>
      <w:r w:rsidRPr="001A6832">
        <w:t xml:space="preserve">by $6,568 and deferred income taxes </w:t>
      </w:r>
      <w:r w:rsidR="00926374">
        <w:t xml:space="preserve">shall be decreased </w:t>
      </w:r>
      <w:r w:rsidRPr="001A6832">
        <w:t xml:space="preserve">by $3,634. Wastewater </w:t>
      </w:r>
      <w:r w:rsidR="00505A3E">
        <w:t xml:space="preserve">CIAC </w:t>
      </w:r>
      <w:r w:rsidRPr="001A6832">
        <w:t xml:space="preserve">amortization expense </w:t>
      </w:r>
      <w:r w:rsidR="00926374">
        <w:t>shall</w:t>
      </w:r>
      <w:r w:rsidRPr="001A6832">
        <w:t xml:space="preserve"> be reduced by $2,845.</w:t>
      </w:r>
    </w:p>
    <w:p w:rsidR="00BE0D25" w:rsidRPr="00BE0D25" w:rsidRDefault="001A6832" w:rsidP="00BE0D25">
      <w:pPr>
        <w:jc w:val="center"/>
        <w:rPr>
          <w:u w:val="single"/>
        </w:rPr>
      </w:pPr>
      <w:r w:rsidRPr="001A6832">
        <w:rPr>
          <w:rFonts w:eastAsia="Calibri"/>
        </w:rPr>
        <w:br w:type="page"/>
      </w:r>
      <w:r w:rsidR="00BE0D25" w:rsidRPr="00BE0D25">
        <w:rPr>
          <w:u w:val="single"/>
        </w:rPr>
        <w:lastRenderedPageBreak/>
        <w:t>Audit Adjustments Contested by the Utility</w:t>
      </w:r>
    </w:p>
    <w:p w:rsidR="00BE0D25" w:rsidRDefault="00BE0D25" w:rsidP="00EC0B1C">
      <w:pPr>
        <w:autoSpaceDE w:val="0"/>
        <w:autoSpaceDN w:val="0"/>
        <w:adjustRightInd w:val="0"/>
        <w:jc w:val="both"/>
      </w:pPr>
    </w:p>
    <w:p w:rsidR="001A6832" w:rsidRPr="001A6832" w:rsidRDefault="00BE0D25" w:rsidP="00BE0D25">
      <w:pPr>
        <w:autoSpaceDE w:val="0"/>
        <w:autoSpaceDN w:val="0"/>
        <w:adjustRightInd w:val="0"/>
        <w:ind w:firstLine="720"/>
        <w:jc w:val="both"/>
      </w:pPr>
      <w:r>
        <w:t>Commission s</w:t>
      </w:r>
      <w:r w:rsidR="001A6832" w:rsidRPr="001A6832">
        <w:t>taff’s audit reports were released on August 12, 2016,</w:t>
      </w:r>
      <w:r w:rsidR="001A6832" w:rsidRPr="001A6832">
        <w:rPr>
          <w:vertAlign w:val="superscript"/>
        </w:rPr>
        <w:footnoteReference w:id="4"/>
      </w:r>
      <w:r w:rsidR="001A6832" w:rsidRPr="001A6832">
        <w:t xml:space="preserve"> and the </w:t>
      </w:r>
      <w:r w:rsidR="003D4918">
        <w:t>Utility</w:t>
      </w:r>
      <w:r w:rsidR="001A6832" w:rsidRPr="001A6832">
        <w:t xml:space="preserve">'s response was received on September 22, 2016. The following addresses the contested audit adjustment and the appropriate adjustments that </w:t>
      </w:r>
      <w:r w:rsidR="00357CA0">
        <w:t>shall</w:t>
      </w:r>
      <w:r w:rsidR="001A6832" w:rsidRPr="001A6832">
        <w:t xml:space="preserve"> be made.</w:t>
      </w:r>
    </w:p>
    <w:p w:rsidR="001A6832" w:rsidRPr="001A6832" w:rsidRDefault="001A6832" w:rsidP="00EC0B1C">
      <w:pPr>
        <w:autoSpaceDE w:val="0"/>
        <w:autoSpaceDN w:val="0"/>
        <w:adjustRightInd w:val="0"/>
      </w:pPr>
    </w:p>
    <w:p w:rsidR="001A6832" w:rsidRPr="00357CA0" w:rsidRDefault="001A6832" w:rsidP="00EC0B1C">
      <w:pPr>
        <w:autoSpaceDE w:val="0"/>
        <w:autoSpaceDN w:val="0"/>
        <w:adjustRightInd w:val="0"/>
        <w:rPr>
          <w:u w:val="single"/>
        </w:rPr>
      </w:pPr>
      <w:r w:rsidRPr="00357CA0">
        <w:rPr>
          <w:u w:val="single"/>
        </w:rPr>
        <w:t>Affiliate Audit Finding No. 1</w:t>
      </w:r>
    </w:p>
    <w:p w:rsidR="00357CA0" w:rsidRDefault="00357CA0" w:rsidP="00EC0B1C">
      <w:pPr>
        <w:autoSpaceDE w:val="0"/>
        <w:autoSpaceDN w:val="0"/>
        <w:adjustRightInd w:val="0"/>
        <w:jc w:val="both"/>
      </w:pPr>
    </w:p>
    <w:p w:rsidR="001A6832" w:rsidRPr="001A6832" w:rsidRDefault="00357CA0" w:rsidP="00357CA0">
      <w:pPr>
        <w:autoSpaceDE w:val="0"/>
        <w:autoSpaceDN w:val="0"/>
        <w:adjustRightInd w:val="0"/>
        <w:ind w:firstLine="720"/>
        <w:jc w:val="both"/>
      </w:pPr>
      <w:r>
        <w:t xml:space="preserve">Commission </w:t>
      </w:r>
      <w:r w:rsidR="001A6832" w:rsidRPr="001A6832">
        <w:t>staff</w:t>
      </w:r>
      <w:r>
        <w:t>’s</w:t>
      </w:r>
      <w:r w:rsidR="001A6832" w:rsidRPr="001A6832">
        <w:t xml:space="preserve"> audit report noted non-</w:t>
      </w:r>
      <w:r w:rsidR="003D4918">
        <w:t>Utility</w:t>
      </w:r>
      <w:r w:rsidR="001A6832" w:rsidRPr="001A6832">
        <w:t xml:space="preserve"> expense adjustments, allocated down, in the amount of $187 for water and $717 for wastewater. These adjustments consisted of late payment fees, country club membership fees, non-</w:t>
      </w:r>
      <w:r w:rsidR="003D4918">
        <w:t>Utility</w:t>
      </w:r>
      <w:r w:rsidR="001A6832" w:rsidRPr="001A6832">
        <w:t xml:space="preserve"> office expenses, non-supported expenses, and outside the test year expenses. The </w:t>
      </w:r>
      <w:r w:rsidR="003D4918">
        <w:t>Utility</w:t>
      </w:r>
      <w:r w:rsidR="001A6832" w:rsidRPr="001A6832">
        <w:t xml:space="preserve"> did not specifically disagree with these adjustments and </w:t>
      </w:r>
      <w:r>
        <w:t>we find</w:t>
      </w:r>
      <w:r w:rsidR="001A6832" w:rsidRPr="001A6832">
        <w:t xml:space="preserve"> that they are appropriate. In its response to OPC’s concerns, Ni Florida also agreed to remove the cost of the country club membership for the entire year. Membership fees for the year are $2,508 ($209 per mo. x 12 months) and </w:t>
      </w:r>
      <w:r>
        <w:t xml:space="preserve">Commission </w:t>
      </w:r>
      <w:r w:rsidR="001A6832" w:rsidRPr="001A6832">
        <w:t xml:space="preserve">staff auditors had already removed approximately $1,885 as part of their review. To calculate the additional adjustment necessary, </w:t>
      </w:r>
      <w:r>
        <w:t>we</w:t>
      </w:r>
      <w:r w:rsidR="001A6832" w:rsidRPr="001A6832">
        <w:t xml:space="preserve"> then allocated the difference, $623 ($2,508 - $1,885), to Ni Florida. On an allocated basis, this represents a reduction of $11 to water and $43 to wastewater. As such, water and wastewater miscellaneous expense </w:t>
      </w:r>
      <w:r w:rsidR="00B2432F">
        <w:t>shall</w:t>
      </w:r>
      <w:r w:rsidR="001A6832" w:rsidRPr="001A6832">
        <w:t xml:space="preserve"> be reduced by $198 and $760, respectively.</w:t>
      </w:r>
    </w:p>
    <w:p w:rsidR="001A6832" w:rsidRPr="001A6832" w:rsidRDefault="001A6832" w:rsidP="00EC0B1C">
      <w:pPr>
        <w:autoSpaceDE w:val="0"/>
        <w:autoSpaceDN w:val="0"/>
        <w:adjustRightInd w:val="0"/>
        <w:jc w:val="both"/>
      </w:pPr>
    </w:p>
    <w:p w:rsidR="001A6832" w:rsidRPr="001A6832" w:rsidRDefault="00B2432F" w:rsidP="00B2432F">
      <w:pPr>
        <w:autoSpaceDE w:val="0"/>
        <w:autoSpaceDN w:val="0"/>
        <w:adjustRightInd w:val="0"/>
        <w:ind w:firstLine="720"/>
        <w:jc w:val="both"/>
      </w:pPr>
      <w:r>
        <w:t>Commission s</w:t>
      </w:r>
      <w:r w:rsidR="001A6832" w:rsidRPr="001A6832">
        <w:t>taff’s audit report also noted that adjustments to Director and Officer Liability (</w:t>
      </w:r>
      <w:r>
        <w:t>DOL) Insurance were necessary. Commission a</w:t>
      </w:r>
      <w:r w:rsidR="001A6832" w:rsidRPr="001A6832">
        <w:t xml:space="preserve">udit staff calculated a total annualized cost of $19,479 ($14,568 + $4,911). This amount consisted of a six-year coverage in the amount of $4,911 ($29,464/6) and $14,568 annually for a DOL policy. In the </w:t>
      </w:r>
      <w:r w:rsidR="003D4918">
        <w:t>Utility</w:t>
      </w:r>
      <w:r w:rsidR="001A6832" w:rsidRPr="001A6832">
        <w:t xml:space="preserve">’s last rate case, </w:t>
      </w:r>
      <w:r w:rsidRPr="00B2432F">
        <w:t xml:space="preserve">this </w:t>
      </w:r>
      <w:r w:rsidR="001A6832" w:rsidRPr="001A6832">
        <w:t>Commission determined that the cost of DOL insurance benefits both the ratepayers and the shareholders, and should be shared equally between them.</w:t>
      </w:r>
      <w:r w:rsidR="001A6832" w:rsidRPr="001A6832">
        <w:rPr>
          <w:vertAlign w:val="superscript"/>
        </w:rPr>
        <w:footnoteReference w:id="5"/>
      </w:r>
      <w:r w:rsidR="001A6832" w:rsidRPr="001A6832">
        <w:t xml:space="preserve"> Using that methodology, and the </w:t>
      </w:r>
      <w:r w:rsidR="003D4918">
        <w:t>Utility</w:t>
      </w:r>
      <w:r w:rsidR="001A6832" w:rsidRPr="001A6832">
        <w:t xml:space="preserve">’s allocation percentages, the audit report recommended DOL insurance costs of $173 for water and $665 for wastewater. The resulting audit adjustments, $610 for water and $2,340 for wastewater, reflect the allocation of the six-year coverage insurance and the removal of the shared costs. The </w:t>
      </w:r>
      <w:r w:rsidR="003D4918">
        <w:t>Utility</w:t>
      </w:r>
      <w:r w:rsidR="001A6832" w:rsidRPr="001A6832">
        <w:t xml:space="preserve"> did not specifically disagree with these adjustments. </w:t>
      </w:r>
      <w:r>
        <w:t>We agree</w:t>
      </w:r>
      <w:r w:rsidR="001A6832" w:rsidRPr="001A6832">
        <w:t xml:space="preserve"> that the appropriate amount of DOL insurance is $173 for water and $665 for wastewater. </w:t>
      </w:r>
      <w:r>
        <w:t>This Commission’s</w:t>
      </w:r>
      <w:r w:rsidR="001A6832" w:rsidRPr="001A6832">
        <w:t xml:space="preserve"> adjustments differ slightly from the audit </w:t>
      </w:r>
      <w:r>
        <w:t>because</w:t>
      </w:r>
      <w:r w:rsidR="001A6832" w:rsidRPr="001A6832">
        <w:t xml:space="preserve"> it is being made to the amount included in the MFRs. According to the </w:t>
      </w:r>
      <w:r w:rsidR="003D4918">
        <w:t>Utility</w:t>
      </w:r>
      <w:r w:rsidR="001A6832" w:rsidRPr="001A6832">
        <w:t>, the MFRs included $851 and $3,267 for water and wastewater, respectively, for DOL insurance.</w:t>
      </w:r>
      <w:r w:rsidR="001A6832" w:rsidRPr="001A6832">
        <w:rPr>
          <w:vertAlign w:val="superscript"/>
        </w:rPr>
        <w:footnoteReference w:id="6"/>
      </w:r>
      <w:r w:rsidR="001A6832" w:rsidRPr="001A6832">
        <w:t xml:space="preserve"> As such, </w:t>
      </w:r>
      <w:r>
        <w:t xml:space="preserve">water shall be reduced by </w:t>
      </w:r>
      <w:r w:rsidR="001A6832" w:rsidRPr="001A6832">
        <w:t xml:space="preserve">$678 ($173 - $851) for water and </w:t>
      </w:r>
      <w:r>
        <w:t xml:space="preserve">wastewater shall be reduced by </w:t>
      </w:r>
      <w:r w:rsidR="001A6832" w:rsidRPr="001A6832">
        <w:t>$2,602 ($665 - $3,267).</w:t>
      </w:r>
    </w:p>
    <w:p w:rsidR="001A6832" w:rsidRPr="001A6832" w:rsidRDefault="001A6832" w:rsidP="00EC0B1C">
      <w:pPr>
        <w:autoSpaceDE w:val="0"/>
        <w:autoSpaceDN w:val="0"/>
        <w:adjustRightInd w:val="0"/>
        <w:jc w:val="both"/>
      </w:pPr>
    </w:p>
    <w:p w:rsidR="001A6832" w:rsidRPr="001A6832" w:rsidRDefault="001A6832" w:rsidP="00B2432F">
      <w:pPr>
        <w:autoSpaceDE w:val="0"/>
        <w:autoSpaceDN w:val="0"/>
        <w:adjustRightInd w:val="0"/>
        <w:ind w:firstLine="720"/>
        <w:jc w:val="both"/>
      </w:pPr>
      <w:r w:rsidRPr="001A6832">
        <w:t xml:space="preserve">In addition, </w:t>
      </w:r>
      <w:r w:rsidR="00B2432F">
        <w:t xml:space="preserve">Commission </w:t>
      </w:r>
      <w:r w:rsidRPr="001A6832">
        <w:t xml:space="preserve">audit staff recommended the reclassification of $390 to water and $13,195 to wastewater based on Ni America Operating, LLC's books. The water adjustment consisted of $390 for legal expenses, while the wastewater adjustments consisted of $3,900 for legal expenses and $9,295 for transportation expenses. These particular adjustments were the only ones the </w:t>
      </w:r>
      <w:r w:rsidR="003D4918">
        <w:t>Utility</w:t>
      </w:r>
      <w:r w:rsidRPr="001A6832">
        <w:t xml:space="preserve"> disagreed with in its response. The </w:t>
      </w:r>
      <w:r w:rsidR="003D4918">
        <w:t>Utility</w:t>
      </w:r>
      <w:r w:rsidRPr="001A6832">
        <w:t xml:space="preserve"> believes that this is effectively </w:t>
      </w:r>
      <w:r w:rsidRPr="001A6832">
        <w:lastRenderedPageBreak/>
        <w:t xml:space="preserve">what was done with these costs in the specific assignment of these costs in the MFRs. Although these costs were recorded on the books of Ni America, they were specifically assigned to Ni Florida’s water and wastewater systems. </w:t>
      </w:r>
      <w:r w:rsidR="00B2432F">
        <w:t>We agree</w:t>
      </w:r>
      <w:r w:rsidRPr="001A6832">
        <w:t xml:space="preserve"> with the </w:t>
      </w:r>
      <w:r w:rsidR="003D4918">
        <w:t>Utility</w:t>
      </w:r>
      <w:r w:rsidRPr="001A6832">
        <w:t xml:space="preserve"> that these assignments were adequately addressed in the MFRs. As such, no reclassification is necessary. </w:t>
      </w:r>
    </w:p>
    <w:p w:rsidR="001A6832" w:rsidRPr="001A6832" w:rsidRDefault="001A6832" w:rsidP="00EC0B1C">
      <w:pPr>
        <w:autoSpaceDE w:val="0"/>
        <w:autoSpaceDN w:val="0"/>
        <w:adjustRightInd w:val="0"/>
        <w:jc w:val="both"/>
      </w:pPr>
    </w:p>
    <w:p w:rsidR="001A6832" w:rsidRPr="001A6832" w:rsidRDefault="001A6832" w:rsidP="00B2432F">
      <w:pPr>
        <w:autoSpaceDE w:val="0"/>
        <w:autoSpaceDN w:val="0"/>
        <w:adjustRightInd w:val="0"/>
        <w:ind w:firstLine="720"/>
        <w:jc w:val="both"/>
      </w:pPr>
      <w:r w:rsidRPr="001A6832">
        <w:t xml:space="preserve">Based on the above analysis, expense water </w:t>
      </w:r>
      <w:r w:rsidR="00B2432F">
        <w:t>shall</w:t>
      </w:r>
      <w:r w:rsidRPr="001A6832">
        <w:t xml:space="preserve"> be reduced by $876 ($198 + $678) and wastewater </w:t>
      </w:r>
      <w:r w:rsidR="00B2432F">
        <w:t>shall</w:t>
      </w:r>
      <w:r w:rsidRPr="001A6832">
        <w:t xml:space="preserve"> be reduced by $3,362  ($760 + $2,602).</w:t>
      </w:r>
    </w:p>
    <w:p w:rsidR="001A6832" w:rsidRPr="001A6832" w:rsidRDefault="001A6832" w:rsidP="00EC0B1C">
      <w:pPr>
        <w:autoSpaceDE w:val="0"/>
        <w:autoSpaceDN w:val="0"/>
        <w:adjustRightInd w:val="0"/>
      </w:pPr>
    </w:p>
    <w:p w:rsidR="001A6832" w:rsidRPr="00B2432F" w:rsidRDefault="001A6832" w:rsidP="00EC0B1C">
      <w:pPr>
        <w:autoSpaceDE w:val="0"/>
        <w:autoSpaceDN w:val="0"/>
        <w:adjustRightInd w:val="0"/>
        <w:rPr>
          <w:u w:val="single"/>
        </w:rPr>
      </w:pPr>
      <w:r w:rsidRPr="00B2432F">
        <w:rPr>
          <w:u w:val="single"/>
        </w:rPr>
        <w:t>Affiliate Audit Finding No. 2</w:t>
      </w:r>
    </w:p>
    <w:p w:rsidR="00B2432F" w:rsidRDefault="00B2432F" w:rsidP="00EC0B1C">
      <w:pPr>
        <w:autoSpaceDE w:val="0"/>
        <w:autoSpaceDN w:val="0"/>
        <w:adjustRightInd w:val="0"/>
        <w:jc w:val="both"/>
      </w:pPr>
    </w:p>
    <w:p w:rsidR="001A6832" w:rsidRPr="001A6832" w:rsidRDefault="00B2432F" w:rsidP="00B2432F">
      <w:pPr>
        <w:autoSpaceDE w:val="0"/>
        <w:autoSpaceDN w:val="0"/>
        <w:adjustRightInd w:val="0"/>
        <w:ind w:firstLine="720"/>
        <w:jc w:val="both"/>
      </w:pPr>
      <w:r>
        <w:t>Commission a</w:t>
      </w:r>
      <w:r w:rsidR="001A6832" w:rsidRPr="001A6832">
        <w:t xml:space="preserve">udit staff reviewed the descriptions of employee duties and responsibilities and identified five employees who appeared to work only in South Carolina or Texas. The total salaries and benefits for the employees that work in South Carolina or Texas utilities according to their job descriptions was $459,461 ($382,799 for salaries and $76,662 for benefits). In addition, 5 percent of another employee's salary was allocated to due diligence, which was disallowed in the </w:t>
      </w:r>
      <w:r w:rsidR="003D4918">
        <w:t>Utility</w:t>
      </w:r>
      <w:r w:rsidR="001A6832" w:rsidRPr="001A6832">
        <w:t>’s last rate case.</w:t>
      </w:r>
      <w:r w:rsidR="001A6832" w:rsidRPr="001A6832">
        <w:rPr>
          <w:vertAlign w:val="superscript"/>
        </w:rPr>
        <w:footnoteReference w:id="7"/>
      </w:r>
      <w:r w:rsidR="001A6832" w:rsidRPr="001A6832">
        <w:t xml:space="preserve"> In total, </w:t>
      </w:r>
      <w:r>
        <w:t xml:space="preserve">Commission </w:t>
      </w:r>
      <w:r w:rsidR="001A6832" w:rsidRPr="001A6832">
        <w:t xml:space="preserve">audit staff believed that corporate salaries and benefits were overstated by $40,349. </w:t>
      </w:r>
    </w:p>
    <w:p w:rsidR="001A6832" w:rsidRPr="001A6832" w:rsidRDefault="001A6832" w:rsidP="00EC0B1C">
      <w:pPr>
        <w:autoSpaceDE w:val="0"/>
        <w:autoSpaceDN w:val="0"/>
        <w:adjustRightInd w:val="0"/>
      </w:pPr>
    </w:p>
    <w:p w:rsidR="001A6832" w:rsidRPr="001A6832" w:rsidRDefault="001A6832" w:rsidP="00B2432F">
      <w:pPr>
        <w:autoSpaceDE w:val="0"/>
        <w:autoSpaceDN w:val="0"/>
        <w:adjustRightInd w:val="0"/>
        <w:ind w:firstLine="720"/>
        <w:jc w:val="both"/>
      </w:pPr>
      <w:r w:rsidRPr="001A6832">
        <w:t xml:space="preserve">The </w:t>
      </w:r>
      <w:r w:rsidR="003D4918">
        <w:t>Utility</w:t>
      </w:r>
      <w:r w:rsidRPr="001A6832">
        <w:t xml:space="preserve"> did not specifically disagree with the adjustment related to due diligence, but objected to the removal of salaries and benefits for two of the five employees identified in </w:t>
      </w:r>
      <w:r w:rsidR="00B2432F">
        <w:t xml:space="preserve">Commission </w:t>
      </w:r>
      <w:r w:rsidRPr="001A6832">
        <w:t>audit staff’s adjustments. In regard to those two employees, Ni Florida argued the following:</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left="720" w:right="720"/>
        <w:jc w:val="both"/>
      </w:pPr>
      <w:r w:rsidRPr="001A6832">
        <w:t>Both of these employees perform corporate functions and effectively do tasks for all utilities. These employees' payroll and benefits should remain as an allocable expense.</w:t>
      </w:r>
      <w:r w:rsidRPr="001A6832">
        <w:rPr>
          <w:vertAlign w:val="superscript"/>
        </w:rPr>
        <w:footnoteReference w:id="8"/>
      </w:r>
    </w:p>
    <w:p w:rsidR="001A6832" w:rsidRPr="001A6832" w:rsidRDefault="001A6832" w:rsidP="00EC0B1C">
      <w:pPr>
        <w:autoSpaceDE w:val="0"/>
        <w:autoSpaceDN w:val="0"/>
        <w:adjustRightInd w:val="0"/>
      </w:pPr>
    </w:p>
    <w:p w:rsidR="001A6832" w:rsidRDefault="001A6832" w:rsidP="00EC0B1C">
      <w:pPr>
        <w:autoSpaceDE w:val="0"/>
        <w:autoSpaceDN w:val="0"/>
        <w:adjustRightInd w:val="0"/>
      </w:pPr>
      <w:r w:rsidRPr="001A6832">
        <w:t xml:space="preserve">The job descriptions for the contested positions at issue are included in Table </w:t>
      </w:r>
      <w:r w:rsidR="00B2432F">
        <w:t>5</w:t>
      </w:r>
      <w:r w:rsidR="00CD724F">
        <w:t>, below.</w:t>
      </w:r>
    </w:p>
    <w:p w:rsidR="00927CE3" w:rsidRDefault="00927CE3" w:rsidP="00EC0B1C">
      <w:pPr>
        <w:autoSpaceDE w:val="0"/>
        <w:autoSpaceDN w:val="0"/>
        <w:adjustRightInd w:val="0"/>
      </w:pP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Table</w:t>
      </w:r>
      <w:r w:rsidR="00B2432F">
        <w:rPr>
          <w:rFonts w:ascii="Arial" w:hAnsi="Arial" w:cs="Arial"/>
          <w:b/>
        </w:rPr>
        <w:t xml:space="preserve"> 5 </w:t>
      </w: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Title and Duties of Contested Positions</w:t>
      </w:r>
    </w:p>
    <w:tbl>
      <w:tblPr>
        <w:tblStyle w:val="TableGrid2"/>
        <w:tblW w:w="0" w:type="auto"/>
        <w:tblInd w:w="108" w:type="dxa"/>
        <w:tblLook w:val="04A0" w:firstRow="1" w:lastRow="0" w:firstColumn="1" w:lastColumn="0" w:noHBand="0" w:noVBand="1"/>
      </w:tblPr>
      <w:tblGrid>
        <w:gridCol w:w="1620"/>
        <w:gridCol w:w="7740"/>
      </w:tblGrid>
      <w:tr w:rsidR="001A6832" w:rsidRPr="001A6832" w:rsidTr="003D4918">
        <w:tc>
          <w:tcPr>
            <w:tcW w:w="1620" w:type="dxa"/>
          </w:tcPr>
          <w:p w:rsidR="001A6832" w:rsidRPr="001A6832" w:rsidRDefault="001A6832" w:rsidP="00EC0B1C">
            <w:pPr>
              <w:autoSpaceDE w:val="0"/>
              <w:autoSpaceDN w:val="0"/>
              <w:adjustRightInd w:val="0"/>
              <w:jc w:val="center"/>
            </w:pPr>
            <w:r w:rsidRPr="001A6832">
              <w:rPr>
                <w:b/>
                <w:bCs/>
              </w:rPr>
              <w:t>Title</w:t>
            </w:r>
          </w:p>
        </w:tc>
        <w:tc>
          <w:tcPr>
            <w:tcW w:w="7740" w:type="dxa"/>
          </w:tcPr>
          <w:p w:rsidR="001A6832" w:rsidRPr="001A6832" w:rsidRDefault="001A6832" w:rsidP="00EC0B1C">
            <w:pPr>
              <w:autoSpaceDE w:val="0"/>
              <w:autoSpaceDN w:val="0"/>
              <w:adjustRightInd w:val="0"/>
              <w:jc w:val="center"/>
            </w:pPr>
            <w:r w:rsidRPr="001A6832">
              <w:rPr>
                <w:b/>
                <w:bCs/>
              </w:rPr>
              <w:t>Duties</w:t>
            </w:r>
          </w:p>
        </w:tc>
      </w:tr>
      <w:tr w:rsidR="001A6832" w:rsidRPr="001A6832" w:rsidTr="00D97EA2">
        <w:trPr>
          <w:trHeight w:val="1205"/>
        </w:trPr>
        <w:tc>
          <w:tcPr>
            <w:tcW w:w="1620" w:type="dxa"/>
            <w:vAlign w:val="center"/>
          </w:tcPr>
          <w:p w:rsidR="001A6832" w:rsidRPr="001A6832" w:rsidRDefault="001A6832" w:rsidP="00EC0B1C">
            <w:pPr>
              <w:autoSpaceDE w:val="0"/>
              <w:autoSpaceDN w:val="0"/>
              <w:adjustRightInd w:val="0"/>
            </w:pPr>
            <w:r w:rsidRPr="001A6832">
              <w:t>Senior Analyst</w:t>
            </w:r>
          </w:p>
        </w:tc>
        <w:tc>
          <w:tcPr>
            <w:tcW w:w="7740" w:type="dxa"/>
          </w:tcPr>
          <w:p w:rsidR="001A6832" w:rsidRPr="001A6832" w:rsidRDefault="001A6832" w:rsidP="00EC0B1C">
            <w:pPr>
              <w:autoSpaceDE w:val="0"/>
              <w:autoSpaceDN w:val="0"/>
              <w:adjustRightInd w:val="0"/>
              <w:jc w:val="both"/>
            </w:pPr>
            <w:r w:rsidRPr="001A6832">
              <w:t>Responsible for handling general accounting for the South Carolina utilities owned by Ni America, prepares each of the utilities' monthly financial statements in accordance with U.S. GAAP. Also responsible for determining and reevaluating Equivalent Residential Customers (ERCs) for each of the South Carolina utilities owned by Ni America.</w:t>
            </w:r>
          </w:p>
        </w:tc>
      </w:tr>
      <w:tr w:rsidR="001A6832" w:rsidRPr="001A6832" w:rsidTr="00D97EA2">
        <w:trPr>
          <w:trHeight w:val="890"/>
        </w:trPr>
        <w:tc>
          <w:tcPr>
            <w:tcW w:w="1620" w:type="dxa"/>
            <w:vAlign w:val="center"/>
          </w:tcPr>
          <w:p w:rsidR="001A6832" w:rsidRPr="001A6832" w:rsidRDefault="001A6832" w:rsidP="00EC0B1C">
            <w:pPr>
              <w:autoSpaceDE w:val="0"/>
              <w:autoSpaceDN w:val="0"/>
              <w:adjustRightInd w:val="0"/>
            </w:pPr>
            <w:r w:rsidRPr="001A6832">
              <w:t>Office Manager</w:t>
            </w:r>
          </w:p>
        </w:tc>
        <w:tc>
          <w:tcPr>
            <w:tcW w:w="7740" w:type="dxa"/>
          </w:tcPr>
          <w:p w:rsidR="001A6832" w:rsidRPr="001A6832" w:rsidRDefault="001A6832" w:rsidP="00EC0B1C">
            <w:pPr>
              <w:autoSpaceDE w:val="0"/>
              <w:autoSpaceDN w:val="0"/>
              <w:adjustRightInd w:val="0"/>
              <w:jc w:val="both"/>
            </w:pPr>
            <w:r w:rsidRPr="001A6832">
              <w:t>Responsible for managing the South Carolina office for employees of Ni America. Orders supplies, coordinates mailroom activities, assists with making bank deposits from the personnel posting payments, and assists other employees as needed.</w:t>
            </w:r>
          </w:p>
        </w:tc>
      </w:tr>
    </w:tbl>
    <w:p w:rsidR="001A6832" w:rsidRPr="001A6832" w:rsidRDefault="001A6832" w:rsidP="00EC0B1C">
      <w:pPr>
        <w:autoSpaceDE w:val="0"/>
        <w:autoSpaceDN w:val="0"/>
        <w:adjustRightInd w:val="0"/>
      </w:pPr>
      <w:r w:rsidRPr="001A6832">
        <w:lastRenderedPageBreak/>
        <w:t>Source: Audit workpaper 44-3.3</w:t>
      </w:r>
    </w:p>
    <w:p w:rsidR="001A6832" w:rsidRPr="001A6832" w:rsidRDefault="001A6832" w:rsidP="00EC0B1C">
      <w:pPr>
        <w:autoSpaceDE w:val="0"/>
        <w:autoSpaceDN w:val="0"/>
        <w:adjustRightInd w:val="0"/>
      </w:pPr>
    </w:p>
    <w:p w:rsidR="001A6832" w:rsidRPr="001A6832" w:rsidRDefault="00B2432F" w:rsidP="00B2432F">
      <w:pPr>
        <w:autoSpaceDE w:val="0"/>
        <w:autoSpaceDN w:val="0"/>
        <w:adjustRightInd w:val="0"/>
        <w:ind w:firstLine="720"/>
        <w:jc w:val="both"/>
      </w:pPr>
      <w:r>
        <w:t>We have removed both positions</w:t>
      </w:r>
      <w:r w:rsidR="001A6832" w:rsidRPr="001A6832">
        <w:t xml:space="preserve">. The Senior Auditor position </w:t>
      </w:r>
      <w:r>
        <w:t>is to</w:t>
      </w:r>
      <w:r w:rsidR="001A6832" w:rsidRPr="001A6832">
        <w:t xml:space="preserve"> be removed because the job duties provided above clearly reflect work activity performed for Ni America’s South Carolina utilities alone. Similarly, the Office Manager’s duties also reflect ties to Ni America’s South Carolina operations and provide no clear indication of how the position benefits Florida customers. </w:t>
      </w:r>
      <w:r>
        <w:t>We acknowledge</w:t>
      </w:r>
      <w:r w:rsidR="001A6832" w:rsidRPr="001A6832">
        <w:t xml:space="preserve"> that some of the office manager’s duties may also overlap with services being provided through the management services contract with </w:t>
      </w:r>
      <w:r w:rsidR="003D4918">
        <w:t>Utility</w:t>
      </w:r>
      <w:r w:rsidR="001A6832" w:rsidRPr="001A6832">
        <w:t xml:space="preserve"> Group of Florida, LLC. Additionally, the </w:t>
      </w:r>
      <w:r w:rsidR="003D4918">
        <w:t>Utility</w:t>
      </w:r>
      <w:r w:rsidR="001A6832" w:rsidRPr="001A6832">
        <w:t>’s removal of salaries and benefits from overhead for a similar position in Texas is a compelling reason to remove the salaries and benefits associated with the South Carolina Office Manager here.</w:t>
      </w:r>
      <w:r w:rsidR="001A6832" w:rsidRPr="001A6832">
        <w:rPr>
          <w:vertAlign w:val="superscript"/>
        </w:rPr>
        <w:footnoteReference w:id="9"/>
      </w:r>
      <w:r w:rsidR="001A6832" w:rsidRPr="001A6832">
        <w:t xml:space="preserve"> </w:t>
      </w:r>
    </w:p>
    <w:p w:rsidR="001A6832" w:rsidRPr="001A6832" w:rsidRDefault="001A6832" w:rsidP="00EC0B1C">
      <w:pPr>
        <w:autoSpaceDE w:val="0"/>
        <w:autoSpaceDN w:val="0"/>
        <w:adjustRightInd w:val="0"/>
        <w:jc w:val="both"/>
      </w:pPr>
    </w:p>
    <w:p w:rsidR="001A6832" w:rsidRPr="001A6832" w:rsidRDefault="001A6832" w:rsidP="00B2432F">
      <w:pPr>
        <w:autoSpaceDE w:val="0"/>
        <w:autoSpaceDN w:val="0"/>
        <w:adjustRightInd w:val="0"/>
        <w:ind w:firstLine="720"/>
        <w:jc w:val="both"/>
      </w:pPr>
      <w:r w:rsidRPr="001A6832">
        <w:t xml:space="preserve">In its audit response, Ni Florida indicated that it identified one additional employee whose salary and benefits should be part of the reduction since their duties are limited to South Carolina. </w:t>
      </w:r>
      <w:r w:rsidR="00B2432F">
        <w:t>We agree</w:t>
      </w:r>
      <w:r w:rsidRPr="001A6832">
        <w:t xml:space="preserve"> that it is appropriate to remove salaries and benefits for this employee as well. Because this adjustment is specific to one employee and the salary information is confidential, </w:t>
      </w:r>
      <w:r w:rsidR="00B2432F">
        <w:t xml:space="preserve">we </w:t>
      </w:r>
      <w:r w:rsidRPr="001A6832">
        <w:t xml:space="preserve">will not disclose salary and benefit information here. </w:t>
      </w:r>
      <w:r w:rsidR="00B2432F">
        <w:t>We</w:t>
      </w:r>
      <w:r w:rsidRPr="001A6832">
        <w:t xml:space="preserve"> included the employee’s salary and benefits in the reduction below.</w:t>
      </w:r>
    </w:p>
    <w:p w:rsidR="001A6832" w:rsidRPr="001A6832" w:rsidRDefault="001A6832" w:rsidP="00EC0B1C">
      <w:pPr>
        <w:autoSpaceDE w:val="0"/>
        <w:autoSpaceDN w:val="0"/>
        <w:adjustRightInd w:val="0"/>
        <w:jc w:val="both"/>
      </w:pPr>
    </w:p>
    <w:p w:rsidR="001A6832" w:rsidRPr="001A6832" w:rsidRDefault="001A6832" w:rsidP="00B2432F">
      <w:pPr>
        <w:autoSpaceDE w:val="0"/>
        <w:autoSpaceDN w:val="0"/>
        <w:adjustRightInd w:val="0"/>
        <w:ind w:firstLine="720"/>
        <w:jc w:val="both"/>
      </w:pPr>
      <w:r w:rsidRPr="001A6832">
        <w:t>In total,</w:t>
      </w:r>
      <w:r w:rsidR="00B2432F">
        <w:t xml:space="preserve"> we find</w:t>
      </w:r>
      <w:r w:rsidRPr="001A6832">
        <w:t xml:space="preserve"> that</w:t>
      </w:r>
      <w:r w:rsidR="00B2432F">
        <w:t xml:space="preserve"> the</w:t>
      </w:r>
      <w:r w:rsidRPr="001A6832">
        <w:t xml:space="preserve"> allocated corporate salaries and benefits were overstated by $63,297. </w:t>
      </w:r>
      <w:r w:rsidR="00B2432F">
        <w:t>As a result, we</w:t>
      </w:r>
      <w:r w:rsidRPr="001A6832">
        <w:t xml:space="preserve"> removed $13,086 from water and $50,211 from wastewater.</w:t>
      </w:r>
    </w:p>
    <w:p w:rsidR="001A6832" w:rsidRPr="001A6832" w:rsidRDefault="001A6832" w:rsidP="00EC0B1C">
      <w:pPr>
        <w:autoSpaceDE w:val="0"/>
        <w:autoSpaceDN w:val="0"/>
        <w:adjustRightInd w:val="0"/>
      </w:pPr>
    </w:p>
    <w:p w:rsidR="001A6832" w:rsidRPr="00B2432F" w:rsidRDefault="001A6832" w:rsidP="00EC0B1C">
      <w:pPr>
        <w:autoSpaceDE w:val="0"/>
        <w:autoSpaceDN w:val="0"/>
        <w:adjustRightInd w:val="0"/>
        <w:rPr>
          <w:u w:val="single"/>
        </w:rPr>
      </w:pPr>
      <w:r w:rsidRPr="00B2432F">
        <w:rPr>
          <w:u w:val="single"/>
        </w:rPr>
        <w:t>Affiliate Audit Finding No. 3</w:t>
      </w:r>
    </w:p>
    <w:p w:rsidR="00B2432F" w:rsidRDefault="00B2432F" w:rsidP="00EC0B1C">
      <w:pPr>
        <w:autoSpaceDE w:val="0"/>
        <w:autoSpaceDN w:val="0"/>
        <w:adjustRightInd w:val="0"/>
        <w:jc w:val="both"/>
      </w:pPr>
    </w:p>
    <w:p w:rsidR="001A6832" w:rsidRPr="001A6832" w:rsidRDefault="001A6832" w:rsidP="00B2432F">
      <w:pPr>
        <w:autoSpaceDE w:val="0"/>
        <w:autoSpaceDN w:val="0"/>
        <w:adjustRightInd w:val="0"/>
        <w:ind w:firstLine="720"/>
        <w:jc w:val="both"/>
      </w:pPr>
      <w:r w:rsidRPr="001A6832">
        <w:t xml:space="preserve">The affiliated audit recommended that depreciation expense not be allocated to Ni Florida in the amount of $1,575 because the fixed assets are not allocated to Ni Florida. The </w:t>
      </w:r>
      <w:r w:rsidR="003D4918">
        <w:t>Utility</w:t>
      </w:r>
      <w:r w:rsidRPr="001A6832">
        <w:t xml:space="preserve"> argued that this is likely the result of a misunderstanding in the response given by Ni Florida when asked about these assets. According to the </w:t>
      </w:r>
      <w:r w:rsidR="003D4918">
        <w:t>Utility</w:t>
      </w:r>
      <w:r w:rsidRPr="001A6832">
        <w:t xml:space="preserve">, these assets are not allocated to Ni Florida, because they reside on the books of Ni America. The </w:t>
      </w:r>
      <w:r w:rsidR="003D4918">
        <w:t>Utility</w:t>
      </w:r>
      <w:r w:rsidRPr="001A6832">
        <w:t xml:space="preserve"> added, and </w:t>
      </w:r>
      <w:r w:rsidR="00B2432F">
        <w:t>we agree</w:t>
      </w:r>
      <w:r w:rsidRPr="001A6832">
        <w:t xml:space="preserve">, that the assets in question support the corporate employees of Ni America; therefore, the depreciation expense of these assets </w:t>
      </w:r>
      <w:r w:rsidR="00B2432F">
        <w:t>shall</w:t>
      </w:r>
      <w:r w:rsidRPr="001A6832">
        <w:t xml:space="preserve"> be allocated to Ni Florida, the same as is done with the payroll and benefits of these employees. As such,</w:t>
      </w:r>
      <w:r w:rsidR="00B2432F">
        <w:t xml:space="preserve"> this</w:t>
      </w:r>
      <w:r w:rsidRPr="001A6832">
        <w:t xml:space="preserve"> audit adjustment </w:t>
      </w:r>
      <w:r w:rsidR="00B2432F">
        <w:t>shall not</w:t>
      </w:r>
      <w:r w:rsidRPr="001A6832">
        <w:t xml:space="preserve"> be included.</w:t>
      </w:r>
    </w:p>
    <w:p w:rsidR="001A6832" w:rsidRPr="001A6832" w:rsidRDefault="001A6832" w:rsidP="00EC0B1C">
      <w:pPr>
        <w:autoSpaceDE w:val="0"/>
        <w:autoSpaceDN w:val="0"/>
        <w:adjustRightInd w:val="0"/>
      </w:pPr>
    </w:p>
    <w:p w:rsidR="001A6832" w:rsidRPr="00B2432F" w:rsidRDefault="001A6832" w:rsidP="00EC0B1C">
      <w:pPr>
        <w:autoSpaceDE w:val="0"/>
        <w:autoSpaceDN w:val="0"/>
        <w:adjustRightInd w:val="0"/>
        <w:rPr>
          <w:u w:val="single"/>
        </w:rPr>
      </w:pPr>
      <w:r w:rsidRPr="00B2432F">
        <w:rPr>
          <w:u w:val="single"/>
        </w:rPr>
        <w:t>Audit Finding No. 1</w:t>
      </w:r>
    </w:p>
    <w:p w:rsidR="00B2432F" w:rsidRDefault="00B2432F" w:rsidP="00B2432F">
      <w:pPr>
        <w:autoSpaceDE w:val="0"/>
        <w:autoSpaceDN w:val="0"/>
        <w:adjustRightInd w:val="0"/>
        <w:ind w:firstLine="720"/>
        <w:jc w:val="both"/>
      </w:pPr>
    </w:p>
    <w:p w:rsidR="001A6832" w:rsidRPr="001A6832" w:rsidRDefault="001A6832" w:rsidP="00B2432F">
      <w:pPr>
        <w:autoSpaceDE w:val="0"/>
        <w:autoSpaceDN w:val="0"/>
        <w:adjustRightInd w:val="0"/>
        <w:ind w:firstLine="720"/>
        <w:jc w:val="both"/>
      </w:pPr>
      <w:r w:rsidRPr="001A6832">
        <w:t xml:space="preserve">The </w:t>
      </w:r>
      <w:r w:rsidR="003D4918">
        <w:t>Utility</w:t>
      </w:r>
      <w:r w:rsidRPr="001A6832">
        <w:t xml:space="preserve"> began a construction project to provide </w:t>
      </w:r>
      <w:r w:rsidR="003D4918">
        <w:t>Utility</w:t>
      </w:r>
      <w:r w:rsidRPr="001A6832">
        <w:t xml:space="preserve"> service to an outreach center (Rhodes Road Project) in 2015. In March of the same year, the </w:t>
      </w:r>
      <w:r w:rsidR="003D4918">
        <w:t>Utility</w:t>
      </w:r>
      <w:r w:rsidRPr="001A6832">
        <w:t xml:space="preserve"> calculated the wastewater CIAC for this center using a residential service tariff to calculate the CIAC amount because they do not have an authorized general service tariff. Using this, the </w:t>
      </w:r>
      <w:r w:rsidR="003D4918">
        <w:t>Utility</w:t>
      </w:r>
      <w:r w:rsidRPr="001A6832">
        <w:t xml:space="preserve"> calculated a CIAC </w:t>
      </w:r>
      <w:r w:rsidRPr="001A6832">
        <w:lastRenderedPageBreak/>
        <w:t xml:space="preserve">requirement of $77,760, which the </w:t>
      </w:r>
      <w:r w:rsidR="003D4918">
        <w:t>Utility</w:t>
      </w:r>
      <w:r w:rsidRPr="001A6832">
        <w:t xml:space="preserve"> booked in March 2015 and reflected in their MFRs. The project was still in construction work in progress (CWIP) at the end of 2015. The </w:t>
      </w:r>
      <w:r w:rsidR="003D4918">
        <w:t>Utility</w:t>
      </w:r>
      <w:r w:rsidRPr="001A6832">
        <w:t xml:space="preserve"> has not included CWIP in rate base. As such,</w:t>
      </w:r>
      <w:r w:rsidR="00B2432F">
        <w:t xml:space="preserve"> Commission</w:t>
      </w:r>
      <w:r w:rsidRPr="001A6832">
        <w:t xml:space="preserve"> audit staff recommended removing this amount from CIAC and the fall out amounts charged to Accumulated Amortization of CIAC and CIAC expense pending completion of the project. Ni Florida did not agree with the audit finding that the CIAC should be removed. The </w:t>
      </w:r>
      <w:r w:rsidR="003D4918">
        <w:t>Utility</w:t>
      </w:r>
      <w:r w:rsidRPr="001A6832">
        <w:t xml:space="preserve"> explained that in its rate filing, Ni Florida included the Rhodes Road Project CWIP as a pro forma addition to plant in service. </w:t>
      </w:r>
      <w:r w:rsidR="00B2432F">
        <w:t>T</w:t>
      </w:r>
      <w:r w:rsidRPr="001A6832">
        <w:t xml:space="preserve">his project is currently in service. Because the </w:t>
      </w:r>
      <w:r w:rsidR="003D4918">
        <w:t>Utility</w:t>
      </w:r>
      <w:r w:rsidRPr="001A6832">
        <w:t xml:space="preserve"> included the project in pro forma plant and the project is now complete, </w:t>
      </w:r>
      <w:r w:rsidR="00B2432F">
        <w:t xml:space="preserve">we find </w:t>
      </w:r>
      <w:r w:rsidRPr="001A6832">
        <w:t xml:space="preserve">that CIAC </w:t>
      </w:r>
      <w:r w:rsidR="00B2432F">
        <w:t>shall</w:t>
      </w:r>
      <w:r w:rsidRPr="001A6832">
        <w:t xml:space="preserve"> remain in rate base as reflected in the </w:t>
      </w:r>
      <w:r w:rsidR="003D4918">
        <w:t>Utility</w:t>
      </w:r>
      <w:r w:rsidRPr="001A6832">
        <w:t>’s MFRs. As such, the audit adjustment is not required.</w:t>
      </w:r>
    </w:p>
    <w:p w:rsidR="001A6832" w:rsidRPr="001A6832" w:rsidRDefault="001A6832" w:rsidP="00EC0B1C">
      <w:pPr>
        <w:autoSpaceDE w:val="0"/>
        <w:autoSpaceDN w:val="0"/>
        <w:adjustRightInd w:val="0"/>
        <w:rPr>
          <w:rFonts w:ascii="Arial" w:hAnsi="Arial" w:cs="Arial"/>
          <w:b/>
        </w:rPr>
      </w:pPr>
    </w:p>
    <w:p w:rsidR="001A6832" w:rsidRPr="00B2432F" w:rsidRDefault="001A6832" w:rsidP="00EC0B1C">
      <w:pPr>
        <w:autoSpaceDE w:val="0"/>
        <w:autoSpaceDN w:val="0"/>
        <w:adjustRightInd w:val="0"/>
        <w:rPr>
          <w:u w:val="single"/>
        </w:rPr>
      </w:pPr>
      <w:r w:rsidRPr="00B2432F">
        <w:rPr>
          <w:u w:val="single"/>
        </w:rPr>
        <w:t xml:space="preserve">Audit Finding No. 7 </w:t>
      </w:r>
    </w:p>
    <w:p w:rsidR="00D97EA2" w:rsidRDefault="00D97EA2" w:rsidP="00D97EA2">
      <w:pPr>
        <w:autoSpaceDE w:val="0"/>
        <w:autoSpaceDN w:val="0"/>
        <w:adjustRightInd w:val="0"/>
        <w:jc w:val="both"/>
      </w:pPr>
    </w:p>
    <w:p w:rsidR="001A6832" w:rsidRPr="001A6832" w:rsidRDefault="00B2432F" w:rsidP="00D97EA2">
      <w:pPr>
        <w:autoSpaceDE w:val="0"/>
        <w:autoSpaceDN w:val="0"/>
        <w:adjustRightInd w:val="0"/>
        <w:ind w:firstLine="720"/>
        <w:jc w:val="both"/>
      </w:pPr>
      <w:r>
        <w:t>Commission a</w:t>
      </w:r>
      <w:r w:rsidR="001A6832" w:rsidRPr="001A6832">
        <w:t xml:space="preserve">udit staff determined that </w:t>
      </w:r>
      <w:r w:rsidR="00FF4675">
        <w:t>operation and maintenance (</w:t>
      </w:r>
      <w:r w:rsidR="001A6832" w:rsidRPr="001A6832">
        <w:t>O&amp;M</w:t>
      </w:r>
      <w:r w:rsidR="00FF4675">
        <w:t>)</w:t>
      </w:r>
      <w:r w:rsidR="001A6832" w:rsidRPr="001A6832">
        <w:t xml:space="preserve"> expenses should be $240,935 and $1,524,366 for water and wastewater, respectively, representing net increases of $2,425 for water and $8,853 for wastewater. As part of the adjustment, auditors removed out of period expenses and pollution insurance, added the current cost of a general liability insurance policy, and made several reclassification adjustments. The </w:t>
      </w:r>
      <w:r w:rsidR="003D4918">
        <w:t>Utility</w:t>
      </w:r>
      <w:r w:rsidR="001A6832" w:rsidRPr="001A6832">
        <w:t xml:space="preserve"> only references the removal of the pollution insurance in its audit response. </w:t>
      </w:r>
      <w:r w:rsidR="009935CD">
        <w:t>Commission</w:t>
      </w:r>
      <w:r w:rsidR="001A6832" w:rsidRPr="001A6832">
        <w:t xml:space="preserve"> auditors recommended the removal of the pollution insurance because Ni Florida was not included when the policy was renewed. In its response, the </w:t>
      </w:r>
      <w:r w:rsidR="003D4918">
        <w:t>Utility</w:t>
      </w:r>
      <w:r w:rsidR="001A6832" w:rsidRPr="001A6832">
        <w:t xml:space="preserve"> explained that it was inadvertently left off of the Ni Pacolet Milliken Utilities policy, but has since been added. The </w:t>
      </w:r>
      <w:r w:rsidR="003D4918">
        <w:t>Utility</w:t>
      </w:r>
      <w:r w:rsidR="001A6832" w:rsidRPr="001A6832">
        <w:t xml:space="preserve"> provided support documentation, including premium information, in response to</w:t>
      </w:r>
      <w:r w:rsidR="009935CD" w:rsidRPr="001A6832">
        <w:t xml:space="preserve"> </w:t>
      </w:r>
      <w:r w:rsidR="009935CD">
        <w:t xml:space="preserve">Commission </w:t>
      </w:r>
      <w:r w:rsidR="009935CD" w:rsidRPr="001A6832">
        <w:t>staff’s 4th data request</w:t>
      </w:r>
      <w:r w:rsidR="001A6832" w:rsidRPr="001A6832">
        <w:t>, Question No. 5.</w:t>
      </w:r>
      <w:r w:rsidR="001A6832" w:rsidRPr="001A6832">
        <w:rPr>
          <w:vertAlign w:val="superscript"/>
        </w:rPr>
        <w:footnoteReference w:id="10"/>
      </w:r>
      <w:r w:rsidR="001A6832" w:rsidRPr="001A6832">
        <w:t xml:space="preserve"> The $6,000 premium associated with adding Ni Florida to the pollution insurance policy </w:t>
      </w:r>
      <w:r w:rsidR="009935CD">
        <w:t>shall</w:t>
      </w:r>
      <w:r w:rsidR="001A6832" w:rsidRPr="001A6832">
        <w:t xml:space="preserve"> be allocated to water and wastewater and included in O&amp;M. This results in an increase of $574 to Account 659 for water and $2,106 to Account 759 for wastewater. </w:t>
      </w:r>
      <w:r w:rsidR="009935CD">
        <w:t>We find</w:t>
      </w:r>
      <w:r w:rsidR="001A6832" w:rsidRPr="001A6832">
        <w:t xml:space="preserve"> that the following audit adjustments are also appropriate:</w:t>
      </w:r>
    </w:p>
    <w:p w:rsidR="001A6832" w:rsidRPr="001A6832" w:rsidRDefault="001A6832" w:rsidP="00EC0B1C">
      <w:pPr>
        <w:autoSpaceDE w:val="0"/>
        <w:autoSpaceDN w:val="0"/>
        <w:adjustRightInd w:val="0"/>
        <w:jc w:val="both"/>
      </w:pPr>
    </w:p>
    <w:p w:rsidR="001A6832" w:rsidRPr="001A6832" w:rsidRDefault="001A6832" w:rsidP="00EC0B1C">
      <w:pPr>
        <w:numPr>
          <w:ilvl w:val="0"/>
          <w:numId w:val="11"/>
        </w:numPr>
        <w:autoSpaceDE w:val="0"/>
        <w:autoSpaceDN w:val="0"/>
        <w:adjustRightInd w:val="0"/>
        <w:contextualSpacing/>
        <w:jc w:val="both"/>
      </w:pPr>
      <w:r w:rsidRPr="001A6832">
        <w:t>Increase insurance-general liability by $3,111 and $12,001 for water and wastewater respectively, to reflect current renewal policy premiums.</w:t>
      </w:r>
    </w:p>
    <w:p w:rsidR="001A6832" w:rsidRPr="001A6832" w:rsidRDefault="001A6832" w:rsidP="00EC0B1C">
      <w:pPr>
        <w:numPr>
          <w:ilvl w:val="0"/>
          <w:numId w:val="11"/>
        </w:numPr>
        <w:autoSpaceDE w:val="0"/>
        <w:autoSpaceDN w:val="0"/>
        <w:adjustRightInd w:val="0"/>
        <w:contextualSpacing/>
        <w:jc w:val="both"/>
      </w:pPr>
      <w:r w:rsidRPr="001A6832">
        <w:t>Remove $126 from wastewater materials and supplies for out of period costs.</w:t>
      </w:r>
    </w:p>
    <w:p w:rsidR="001A6832" w:rsidRPr="001A6832" w:rsidRDefault="001A6832" w:rsidP="00EC0B1C">
      <w:pPr>
        <w:numPr>
          <w:ilvl w:val="0"/>
          <w:numId w:val="11"/>
        </w:numPr>
        <w:autoSpaceDE w:val="0"/>
        <w:autoSpaceDN w:val="0"/>
        <w:adjustRightInd w:val="0"/>
        <w:contextualSpacing/>
        <w:jc w:val="both"/>
      </w:pPr>
      <w:r w:rsidRPr="001A6832">
        <w:t>Remove $150 from contractual services-testing for out of period costs.</w:t>
      </w:r>
    </w:p>
    <w:p w:rsidR="001A6832" w:rsidRPr="001A6832" w:rsidRDefault="001A6832" w:rsidP="00EC0B1C">
      <w:pPr>
        <w:autoSpaceDE w:val="0"/>
        <w:autoSpaceDN w:val="0"/>
        <w:adjustRightInd w:val="0"/>
        <w:jc w:val="both"/>
      </w:pPr>
    </w:p>
    <w:p w:rsidR="001A6832" w:rsidRPr="001A6832" w:rsidRDefault="001A6832" w:rsidP="00D97EA2">
      <w:pPr>
        <w:autoSpaceDE w:val="0"/>
        <w:autoSpaceDN w:val="0"/>
        <w:adjustRightInd w:val="0"/>
        <w:ind w:firstLine="720"/>
        <w:jc w:val="both"/>
      </w:pPr>
      <w:r w:rsidRPr="001A6832">
        <w:t xml:space="preserve">As such, </w:t>
      </w:r>
      <w:r w:rsidR="009935CD">
        <w:t>we</w:t>
      </w:r>
      <w:r w:rsidRPr="001A6832">
        <w:t xml:space="preserve"> increased water and wastewater O&amp;M by $3,685 ($574 + $3,111) and $13,831 ($2,106 + 12,001 - $126 - $150), respectively, for Audit Finding 7.</w:t>
      </w:r>
    </w:p>
    <w:p w:rsidR="001A6832" w:rsidRPr="001A6832" w:rsidRDefault="001A6832" w:rsidP="00EC0B1C">
      <w:pPr>
        <w:autoSpaceDE w:val="0"/>
        <w:autoSpaceDN w:val="0"/>
        <w:adjustRightInd w:val="0"/>
        <w:jc w:val="both"/>
      </w:pPr>
    </w:p>
    <w:p w:rsidR="001A6832" w:rsidRPr="009935CD" w:rsidRDefault="001A6832" w:rsidP="00EC0B1C">
      <w:pPr>
        <w:autoSpaceDE w:val="0"/>
        <w:autoSpaceDN w:val="0"/>
        <w:adjustRightInd w:val="0"/>
        <w:rPr>
          <w:u w:val="single"/>
        </w:rPr>
      </w:pPr>
      <w:r w:rsidRPr="009935CD">
        <w:rPr>
          <w:u w:val="single"/>
        </w:rPr>
        <w:t>Audit Finding No. 8</w:t>
      </w:r>
    </w:p>
    <w:p w:rsidR="009935CD" w:rsidRDefault="009935CD" w:rsidP="00EC0B1C">
      <w:pPr>
        <w:autoSpaceDE w:val="0"/>
        <w:autoSpaceDN w:val="0"/>
        <w:adjustRightInd w:val="0"/>
        <w:jc w:val="both"/>
      </w:pPr>
    </w:p>
    <w:p w:rsidR="001A6832" w:rsidRPr="001A6832" w:rsidRDefault="009935CD" w:rsidP="009935CD">
      <w:pPr>
        <w:autoSpaceDE w:val="0"/>
        <w:autoSpaceDN w:val="0"/>
        <w:adjustRightInd w:val="0"/>
        <w:ind w:firstLine="720"/>
        <w:jc w:val="both"/>
      </w:pPr>
      <w:r>
        <w:t>Commission s</w:t>
      </w:r>
      <w:r w:rsidR="001A6832" w:rsidRPr="001A6832">
        <w:t xml:space="preserve">taff’s audit report reduced water related Regulatory Assessment Fees (RAF) by $835, and increased wastewater RAF fees by $582. Real estate and property taxes were also reduced by $1,572 for wastewater and an additional reduction of $388 was made to remove late fees. The only portion of the audit finding that the </w:t>
      </w:r>
      <w:r w:rsidR="003D4918">
        <w:t>Utility</w:t>
      </w:r>
      <w:r w:rsidR="001A6832" w:rsidRPr="001A6832">
        <w:t xml:space="preserve"> appears to disagree</w:t>
      </w:r>
      <w:r>
        <w:t xml:space="preserve"> with</w:t>
      </w:r>
      <w:r w:rsidR="001A6832" w:rsidRPr="001A6832">
        <w:t xml:space="preserve"> is </w:t>
      </w:r>
      <w:r w:rsidR="001A6832" w:rsidRPr="001A6832">
        <w:lastRenderedPageBreak/>
        <w:t xml:space="preserve">with the portion related to the Pasco County property tax discount for early payment. The </w:t>
      </w:r>
      <w:r w:rsidR="003D4918">
        <w:t>Utility</w:t>
      </w:r>
      <w:r w:rsidR="001A6832" w:rsidRPr="001A6832">
        <w:t xml:space="preserve"> indicated that the bill was paid two months in advance and that Ni Florida received a 2 percent discount. It is longstanding Commission practice to recognize the maximum discount, whether the </w:t>
      </w:r>
      <w:r w:rsidR="003D4918">
        <w:t>Utility</w:t>
      </w:r>
      <w:r w:rsidR="001A6832" w:rsidRPr="001A6832">
        <w:t xml:space="preserve"> receives the discount or not. As such, </w:t>
      </w:r>
      <w:r>
        <w:t>we agree</w:t>
      </w:r>
      <w:r w:rsidR="001A6832" w:rsidRPr="001A6832">
        <w:t xml:space="preserve"> with the </w:t>
      </w:r>
      <w:r>
        <w:t xml:space="preserve">Commission </w:t>
      </w:r>
      <w:r w:rsidR="001A6832" w:rsidRPr="001A6832">
        <w:t xml:space="preserve">auditors that the property tax expense should reflect the maximum discount available. The maximum discount available was on November 30, 2015 and property taxes </w:t>
      </w:r>
      <w:r w:rsidRPr="009935CD">
        <w:t xml:space="preserve">shall </w:t>
      </w:r>
      <w:r w:rsidR="001A6832" w:rsidRPr="001A6832">
        <w:t xml:space="preserve">be reduced by $1,572. The </w:t>
      </w:r>
      <w:r w:rsidR="003D4918">
        <w:t>Utility</w:t>
      </w:r>
      <w:r w:rsidR="001A6832" w:rsidRPr="001A6832">
        <w:t xml:space="preserve"> did not specifically address the RAF adjustment or the removal of the late fees. As such, </w:t>
      </w:r>
      <w:r>
        <w:t>we</w:t>
      </w:r>
      <w:r w:rsidR="001A6832" w:rsidRPr="001A6832">
        <w:t xml:space="preserve"> reduced RAFs for water by $835 and reduced the amount for wastewater by $1,378 ($582 - $1,572 - $388).</w:t>
      </w:r>
    </w:p>
    <w:p w:rsidR="001A6832" w:rsidRPr="001A6832" w:rsidRDefault="001A6832" w:rsidP="00EC0B1C">
      <w:pPr>
        <w:autoSpaceDE w:val="0"/>
        <w:autoSpaceDN w:val="0"/>
        <w:adjustRightInd w:val="0"/>
        <w:jc w:val="both"/>
      </w:pPr>
    </w:p>
    <w:p w:rsidR="001A6832" w:rsidRPr="001A6832" w:rsidRDefault="001A6832" w:rsidP="009935CD">
      <w:pPr>
        <w:ind w:firstLine="720"/>
        <w:jc w:val="both"/>
      </w:pPr>
      <w:r w:rsidRPr="001A6832">
        <w:t xml:space="preserve">Based on the audit adjustments discussed above, </w:t>
      </w:r>
      <w:r w:rsidR="009935CD">
        <w:t>we hereby approve</w:t>
      </w:r>
      <w:r w:rsidRPr="001A6832">
        <w:t xml:space="preserve"> the adjustments set forth in Table</w:t>
      </w:r>
      <w:r w:rsidR="009935CD">
        <w:t xml:space="preserve"> 6</w:t>
      </w:r>
      <w:r w:rsidRPr="001A6832">
        <w:t>.</w:t>
      </w:r>
    </w:p>
    <w:p w:rsidR="001A6832" w:rsidRPr="001A6832" w:rsidRDefault="001A6832" w:rsidP="00EC0B1C">
      <w:pPr>
        <w:rPr>
          <w:rFonts w:ascii="Arial" w:hAnsi="Arial" w:cs="Arial"/>
          <w:b/>
        </w:rPr>
      </w:pPr>
    </w:p>
    <w:p w:rsidR="001A6832" w:rsidRPr="001A6832" w:rsidRDefault="009935CD" w:rsidP="009935CD">
      <w:pPr>
        <w:jc w:val="center"/>
        <w:rPr>
          <w:rFonts w:ascii="Arial" w:hAnsi="Arial" w:cs="Arial"/>
          <w:b/>
        </w:rPr>
      </w:pPr>
      <w:r>
        <w:rPr>
          <w:rFonts w:ascii="Arial" w:hAnsi="Arial" w:cs="Arial"/>
          <w:b/>
        </w:rPr>
        <w:t>Table 6</w:t>
      </w:r>
    </w:p>
    <w:p w:rsidR="001A6832" w:rsidRPr="001A6832" w:rsidRDefault="009935CD" w:rsidP="00EC0B1C">
      <w:pPr>
        <w:autoSpaceDE w:val="0"/>
        <w:autoSpaceDN w:val="0"/>
        <w:adjustRightInd w:val="0"/>
        <w:jc w:val="center"/>
        <w:rPr>
          <w:rFonts w:ascii="Arial" w:hAnsi="Arial" w:cs="Arial"/>
          <w:b/>
        </w:rPr>
      </w:pPr>
      <w:r>
        <w:rPr>
          <w:rFonts w:ascii="Arial" w:hAnsi="Arial" w:cs="Arial"/>
          <w:b/>
        </w:rPr>
        <w:t>Approved</w:t>
      </w:r>
      <w:r w:rsidR="001A6832" w:rsidRPr="001A6832">
        <w:rPr>
          <w:rFonts w:ascii="Arial" w:hAnsi="Arial" w:cs="Arial"/>
          <w:b/>
        </w:rPr>
        <w:t xml:space="preserve"> Contested Audit Adjustments</w:t>
      </w:r>
    </w:p>
    <w:tbl>
      <w:tblPr>
        <w:tblStyle w:val="TableGrid2"/>
        <w:tblW w:w="0" w:type="auto"/>
        <w:jc w:val="center"/>
        <w:tblInd w:w="1188" w:type="dxa"/>
        <w:tblLook w:val="04A0" w:firstRow="1" w:lastRow="0" w:firstColumn="1" w:lastColumn="0" w:noHBand="0" w:noVBand="1"/>
      </w:tblPr>
      <w:tblGrid>
        <w:gridCol w:w="4559"/>
        <w:gridCol w:w="1167"/>
        <w:gridCol w:w="1455"/>
      </w:tblGrid>
      <w:tr w:rsidR="001A6832" w:rsidRPr="001A6832" w:rsidTr="003D4918">
        <w:trPr>
          <w:jc w:val="center"/>
        </w:trPr>
        <w:tc>
          <w:tcPr>
            <w:tcW w:w="4559" w:type="dxa"/>
          </w:tcPr>
          <w:p w:rsidR="001A6832" w:rsidRPr="001A6832" w:rsidRDefault="001A6832" w:rsidP="00EC0B1C">
            <w:pPr>
              <w:jc w:val="center"/>
              <w:rPr>
                <w:b/>
              </w:rPr>
            </w:pPr>
            <w:r w:rsidRPr="001A6832">
              <w:rPr>
                <w:b/>
              </w:rPr>
              <w:t>Audit Finding</w:t>
            </w:r>
          </w:p>
        </w:tc>
        <w:tc>
          <w:tcPr>
            <w:tcW w:w="1167" w:type="dxa"/>
          </w:tcPr>
          <w:p w:rsidR="001A6832" w:rsidRPr="001A6832" w:rsidRDefault="001A6832" w:rsidP="00EC0B1C">
            <w:pPr>
              <w:jc w:val="center"/>
              <w:rPr>
                <w:b/>
              </w:rPr>
            </w:pPr>
            <w:r w:rsidRPr="001A6832">
              <w:rPr>
                <w:b/>
              </w:rPr>
              <w:t>Water</w:t>
            </w:r>
          </w:p>
        </w:tc>
        <w:tc>
          <w:tcPr>
            <w:tcW w:w="1455" w:type="dxa"/>
          </w:tcPr>
          <w:p w:rsidR="001A6832" w:rsidRPr="001A6832" w:rsidRDefault="001A6832" w:rsidP="00EC0B1C">
            <w:pPr>
              <w:jc w:val="center"/>
              <w:rPr>
                <w:b/>
              </w:rPr>
            </w:pPr>
            <w:r w:rsidRPr="001A6832">
              <w:rPr>
                <w:b/>
              </w:rPr>
              <w:t>Wastewater</w:t>
            </w:r>
          </w:p>
        </w:tc>
      </w:tr>
      <w:tr w:rsidR="001A6832" w:rsidRPr="001A6832" w:rsidTr="003D4918">
        <w:trPr>
          <w:jc w:val="center"/>
        </w:trPr>
        <w:tc>
          <w:tcPr>
            <w:tcW w:w="4559" w:type="dxa"/>
          </w:tcPr>
          <w:p w:rsidR="001A6832" w:rsidRPr="001A6832" w:rsidRDefault="001A6832" w:rsidP="00EC0B1C">
            <w:r w:rsidRPr="001A6832">
              <w:t>Affiliate Audit Finding No. 1</w:t>
            </w:r>
          </w:p>
        </w:tc>
        <w:tc>
          <w:tcPr>
            <w:tcW w:w="1167" w:type="dxa"/>
          </w:tcPr>
          <w:p w:rsidR="001A6832" w:rsidRPr="001A6832" w:rsidRDefault="001A6832" w:rsidP="00EC0B1C">
            <w:pPr>
              <w:jc w:val="right"/>
            </w:pPr>
            <w:r w:rsidRPr="001A6832">
              <w:t>($876)</w:t>
            </w:r>
          </w:p>
        </w:tc>
        <w:tc>
          <w:tcPr>
            <w:tcW w:w="1455" w:type="dxa"/>
          </w:tcPr>
          <w:p w:rsidR="001A6832" w:rsidRPr="001A6832" w:rsidRDefault="001A6832" w:rsidP="00EC0B1C">
            <w:pPr>
              <w:jc w:val="right"/>
            </w:pPr>
            <w:r w:rsidRPr="001A6832">
              <w:t>($3,362)</w:t>
            </w:r>
          </w:p>
        </w:tc>
      </w:tr>
      <w:tr w:rsidR="001A6832" w:rsidRPr="001A6832" w:rsidTr="003D4918">
        <w:trPr>
          <w:jc w:val="center"/>
        </w:trPr>
        <w:tc>
          <w:tcPr>
            <w:tcW w:w="4559" w:type="dxa"/>
          </w:tcPr>
          <w:p w:rsidR="001A6832" w:rsidRPr="001A6832" w:rsidRDefault="001A6832" w:rsidP="00EC0B1C">
            <w:r w:rsidRPr="001A6832">
              <w:t>Affiliate Audit Finding No. 2</w:t>
            </w:r>
          </w:p>
        </w:tc>
        <w:tc>
          <w:tcPr>
            <w:tcW w:w="1167" w:type="dxa"/>
          </w:tcPr>
          <w:p w:rsidR="001A6832" w:rsidRPr="001A6832" w:rsidRDefault="001A6832" w:rsidP="00EC0B1C">
            <w:pPr>
              <w:jc w:val="right"/>
            </w:pPr>
            <w:r w:rsidRPr="001A6832">
              <w:t>(13,086)</w:t>
            </w:r>
          </w:p>
        </w:tc>
        <w:tc>
          <w:tcPr>
            <w:tcW w:w="1455" w:type="dxa"/>
          </w:tcPr>
          <w:p w:rsidR="001A6832" w:rsidRPr="001A6832" w:rsidRDefault="001A6832" w:rsidP="00EC0B1C">
            <w:pPr>
              <w:jc w:val="right"/>
            </w:pPr>
            <w:r w:rsidRPr="001A6832">
              <w:t>(50,211)</w:t>
            </w:r>
          </w:p>
        </w:tc>
      </w:tr>
      <w:tr w:rsidR="001A6832" w:rsidRPr="001A6832" w:rsidTr="003D4918">
        <w:trPr>
          <w:jc w:val="center"/>
        </w:trPr>
        <w:tc>
          <w:tcPr>
            <w:tcW w:w="4559" w:type="dxa"/>
          </w:tcPr>
          <w:p w:rsidR="001A6832" w:rsidRPr="001A6832" w:rsidRDefault="001A6832" w:rsidP="00EC0B1C">
            <w:r w:rsidRPr="001A6832">
              <w:t>Affiliate Audit Finding No. 3</w:t>
            </w:r>
          </w:p>
        </w:tc>
        <w:tc>
          <w:tcPr>
            <w:tcW w:w="1167" w:type="dxa"/>
          </w:tcPr>
          <w:p w:rsidR="001A6832" w:rsidRPr="001A6832" w:rsidRDefault="001A6832" w:rsidP="00EC0B1C">
            <w:pPr>
              <w:jc w:val="right"/>
            </w:pPr>
            <w:r w:rsidRPr="001A6832">
              <w:t>0</w:t>
            </w:r>
          </w:p>
        </w:tc>
        <w:tc>
          <w:tcPr>
            <w:tcW w:w="1455" w:type="dxa"/>
          </w:tcPr>
          <w:p w:rsidR="001A6832" w:rsidRPr="001A6832" w:rsidRDefault="001A6832" w:rsidP="00EC0B1C">
            <w:pPr>
              <w:jc w:val="right"/>
            </w:pPr>
            <w:r w:rsidRPr="001A6832">
              <w:t>0</w:t>
            </w:r>
          </w:p>
        </w:tc>
      </w:tr>
      <w:tr w:rsidR="001A6832" w:rsidRPr="001A6832" w:rsidTr="003D4918">
        <w:trPr>
          <w:jc w:val="center"/>
        </w:trPr>
        <w:tc>
          <w:tcPr>
            <w:tcW w:w="4559" w:type="dxa"/>
          </w:tcPr>
          <w:p w:rsidR="001A6832" w:rsidRPr="001A6832" w:rsidRDefault="001A6832" w:rsidP="00EC0B1C">
            <w:r w:rsidRPr="001A6832">
              <w:t>Audit Finding No. 1</w:t>
            </w:r>
          </w:p>
        </w:tc>
        <w:tc>
          <w:tcPr>
            <w:tcW w:w="1167" w:type="dxa"/>
          </w:tcPr>
          <w:p w:rsidR="001A6832" w:rsidRPr="001A6832" w:rsidRDefault="001A6832" w:rsidP="00EC0B1C">
            <w:pPr>
              <w:jc w:val="right"/>
            </w:pPr>
            <w:r w:rsidRPr="001A6832">
              <w:t>0</w:t>
            </w:r>
          </w:p>
        </w:tc>
        <w:tc>
          <w:tcPr>
            <w:tcW w:w="1455" w:type="dxa"/>
          </w:tcPr>
          <w:p w:rsidR="001A6832" w:rsidRPr="001A6832" w:rsidRDefault="001A6832" w:rsidP="00EC0B1C">
            <w:pPr>
              <w:jc w:val="right"/>
            </w:pPr>
            <w:r w:rsidRPr="001A6832">
              <w:t>0</w:t>
            </w:r>
          </w:p>
        </w:tc>
      </w:tr>
      <w:tr w:rsidR="001A6832" w:rsidRPr="001A6832" w:rsidTr="003D4918">
        <w:trPr>
          <w:jc w:val="center"/>
        </w:trPr>
        <w:tc>
          <w:tcPr>
            <w:tcW w:w="4559" w:type="dxa"/>
          </w:tcPr>
          <w:p w:rsidR="001A6832" w:rsidRPr="001A6832" w:rsidRDefault="001A6832" w:rsidP="00EC0B1C">
            <w:r w:rsidRPr="001A6832">
              <w:t>Audit Finding No. 7</w:t>
            </w:r>
          </w:p>
        </w:tc>
        <w:tc>
          <w:tcPr>
            <w:tcW w:w="1167" w:type="dxa"/>
          </w:tcPr>
          <w:p w:rsidR="001A6832" w:rsidRPr="001A6832" w:rsidRDefault="001A6832" w:rsidP="00EC0B1C">
            <w:pPr>
              <w:jc w:val="right"/>
              <w:rPr>
                <w:u w:val="single"/>
              </w:rPr>
            </w:pPr>
            <w:r w:rsidRPr="001A6832">
              <w:rPr>
                <w:u w:val="single"/>
              </w:rPr>
              <w:t>3,685</w:t>
            </w:r>
          </w:p>
        </w:tc>
        <w:tc>
          <w:tcPr>
            <w:tcW w:w="1455" w:type="dxa"/>
          </w:tcPr>
          <w:p w:rsidR="001A6832" w:rsidRPr="001A6832" w:rsidRDefault="001A6832" w:rsidP="00EC0B1C">
            <w:pPr>
              <w:jc w:val="right"/>
              <w:rPr>
                <w:u w:val="single"/>
              </w:rPr>
            </w:pPr>
            <w:r w:rsidRPr="001A6832">
              <w:rPr>
                <w:u w:val="single"/>
              </w:rPr>
              <w:t>13,831</w:t>
            </w:r>
          </w:p>
        </w:tc>
      </w:tr>
      <w:tr w:rsidR="001A6832" w:rsidRPr="001A6832" w:rsidTr="003D4918">
        <w:trPr>
          <w:trHeight w:val="332"/>
          <w:jc w:val="center"/>
        </w:trPr>
        <w:tc>
          <w:tcPr>
            <w:tcW w:w="4559" w:type="dxa"/>
            <w:vAlign w:val="center"/>
          </w:tcPr>
          <w:p w:rsidR="001A6832" w:rsidRPr="001A6832" w:rsidRDefault="001A6832" w:rsidP="00EC0B1C">
            <w:pPr>
              <w:rPr>
                <w:b/>
              </w:rPr>
            </w:pPr>
            <w:r w:rsidRPr="001A6832">
              <w:rPr>
                <w:b/>
              </w:rPr>
              <w:t xml:space="preserve">   Total O&amp;M</w:t>
            </w:r>
          </w:p>
        </w:tc>
        <w:tc>
          <w:tcPr>
            <w:tcW w:w="1167" w:type="dxa"/>
            <w:vAlign w:val="center"/>
          </w:tcPr>
          <w:p w:rsidR="001A6832" w:rsidRPr="001A6832" w:rsidRDefault="001A6832" w:rsidP="00EC0B1C">
            <w:pPr>
              <w:jc w:val="right"/>
            </w:pPr>
            <w:r w:rsidRPr="001A6832">
              <w:rPr>
                <w:u w:val="double"/>
              </w:rPr>
              <w:t>($10,277</w:t>
            </w:r>
            <w:r w:rsidRPr="001A6832">
              <w:t>)</w:t>
            </w:r>
          </w:p>
        </w:tc>
        <w:tc>
          <w:tcPr>
            <w:tcW w:w="1455" w:type="dxa"/>
            <w:vAlign w:val="center"/>
          </w:tcPr>
          <w:p w:rsidR="001A6832" w:rsidRPr="001A6832" w:rsidRDefault="001A6832" w:rsidP="00EC0B1C">
            <w:pPr>
              <w:jc w:val="right"/>
              <w:rPr>
                <w:u w:val="double"/>
              </w:rPr>
            </w:pPr>
            <w:r w:rsidRPr="001A6832">
              <w:rPr>
                <w:u w:val="double"/>
              </w:rPr>
              <w:t>($39,742)</w:t>
            </w:r>
          </w:p>
        </w:tc>
      </w:tr>
      <w:tr w:rsidR="001A6832" w:rsidRPr="001A6832" w:rsidTr="003D4918">
        <w:trPr>
          <w:jc w:val="center"/>
        </w:trPr>
        <w:tc>
          <w:tcPr>
            <w:tcW w:w="4559" w:type="dxa"/>
          </w:tcPr>
          <w:p w:rsidR="001A6832" w:rsidRPr="001A6832" w:rsidRDefault="001A6832" w:rsidP="00EC0B1C">
            <w:r w:rsidRPr="001A6832">
              <w:t>Audit Finding No. 8</w:t>
            </w:r>
          </w:p>
        </w:tc>
        <w:tc>
          <w:tcPr>
            <w:tcW w:w="1167" w:type="dxa"/>
          </w:tcPr>
          <w:p w:rsidR="001A6832" w:rsidRPr="001A6832" w:rsidRDefault="001A6832" w:rsidP="00EC0B1C">
            <w:pPr>
              <w:jc w:val="right"/>
              <w:rPr>
                <w:u w:val="single"/>
              </w:rPr>
            </w:pPr>
            <w:r w:rsidRPr="001A6832">
              <w:rPr>
                <w:u w:val="single"/>
              </w:rPr>
              <w:t>($835)</w:t>
            </w:r>
          </w:p>
        </w:tc>
        <w:tc>
          <w:tcPr>
            <w:tcW w:w="1455" w:type="dxa"/>
          </w:tcPr>
          <w:p w:rsidR="001A6832" w:rsidRPr="001A6832" w:rsidRDefault="001A6832" w:rsidP="00EC0B1C">
            <w:pPr>
              <w:jc w:val="right"/>
              <w:rPr>
                <w:u w:val="single"/>
              </w:rPr>
            </w:pPr>
            <w:r w:rsidRPr="001A6832">
              <w:rPr>
                <w:u w:val="single"/>
              </w:rPr>
              <w:t>($1,378)</w:t>
            </w:r>
          </w:p>
        </w:tc>
      </w:tr>
      <w:tr w:rsidR="001A6832" w:rsidRPr="001A6832" w:rsidTr="003D4918">
        <w:trPr>
          <w:trHeight w:val="341"/>
          <w:jc w:val="center"/>
        </w:trPr>
        <w:tc>
          <w:tcPr>
            <w:tcW w:w="4559" w:type="dxa"/>
            <w:vAlign w:val="center"/>
          </w:tcPr>
          <w:p w:rsidR="001A6832" w:rsidRPr="001A6832" w:rsidRDefault="001A6832" w:rsidP="00EC0B1C">
            <w:pPr>
              <w:rPr>
                <w:b/>
              </w:rPr>
            </w:pPr>
            <w:r w:rsidRPr="001A6832">
              <w:rPr>
                <w:b/>
              </w:rPr>
              <w:t xml:space="preserve">   Total TOTI</w:t>
            </w:r>
          </w:p>
        </w:tc>
        <w:tc>
          <w:tcPr>
            <w:tcW w:w="1167" w:type="dxa"/>
            <w:vAlign w:val="center"/>
          </w:tcPr>
          <w:p w:rsidR="001A6832" w:rsidRPr="001A6832" w:rsidRDefault="001A6832" w:rsidP="00EC0B1C">
            <w:pPr>
              <w:jc w:val="right"/>
              <w:rPr>
                <w:u w:val="double"/>
              </w:rPr>
            </w:pPr>
            <w:r w:rsidRPr="001A6832">
              <w:rPr>
                <w:u w:val="double"/>
              </w:rPr>
              <w:t>($835)</w:t>
            </w:r>
          </w:p>
        </w:tc>
        <w:tc>
          <w:tcPr>
            <w:tcW w:w="1455" w:type="dxa"/>
            <w:vAlign w:val="center"/>
          </w:tcPr>
          <w:p w:rsidR="001A6832" w:rsidRPr="001A6832" w:rsidRDefault="001A6832" w:rsidP="00EC0B1C">
            <w:pPr>
              <w:jc w:val="right"/>
              <w:rPr>
                <w:u w:val="double"/>
              </w:rPr>
            </w:pPr>
            <w:r w:rsidRPr="001A6832">
              <w:rPr>
                <w:u w:val="double"/>
              </w:rPr>
              <w:t>($1,378)</w:t>
            </w:r>
          </w:p>
        </w:tc>
      </w:tr>
    </w:tbl>
    <w:p w:rsidR="001A6832" w:rsidRPr="001A6832" w:rsidRDefault="001A6832" w:rsidP="00EC0B1C"/>
    <w:p w:rsidR="001A6832" w:rsidRDefault="001A6832" w:rsidP="00EC0B1C">
      <w:pPr>
        <w:autoSpaceDE w:val="0"/>
        <w:autoSpaceDN w:val="0"/>
        <w:adjustRightInd w:val="0"/>
        <w:jc w:val="both"/>
      </w:pPr>
      <w:r w:rsidRPr="001A6832">
        <w:t>Additional O&amp;M adjustments are addressed</w:t>
      </w:r>
      <w:r w:rsidR="009935CD">
        <w:t xml:space="preserve"> later in this order</w:t>
      </w:r>
      <w:r w:rsidRPr="001A6832">
        <w:t>.</w:t>
      </w:r>
    </w:p>
    <w:p w:rsidR="00CD724F" w:rsidRDefault="00CD724F" w:rsidP="009935CD">
      <w:pPr>
        <w:autoSpaceDE w:val="0"/>
        <w:autoSpaceDN w:val="0"/>
        <w:adjustRightInd w:val="0"/>
        <w:jc w:val="center"/>
        <w:rPr>
          <w:u w:val="single"/>
        </w:rPr>
      </w:pPr>
    </w:p>
    <w:p w:rsidR="009935CD" w:rsidRPr="009935CD" w:rsidRDefault="009935CD" w:rsidP="009935CD">
      <w:pPr>
        <w:autoSpaceDE w:val="0"/>
        <w:autoSpaceDN w:val="0"/>
        <w:adjustRightInd w:val="0"/>
        <w:jc w:val="center"/>
        <w:rPr>
          <w:u w:val="single"/>
        </w:rPr>
      </w:pPr>
      <w:r w:rsidRPr="009935CD">
        <w:rPr>
          <w:u w:val="single"/>
        </w:rPr>
        <w:t>Proforma Plant Additions and Associated Expenses</w:t>
      </w:r>
    </w:p>
    <w:p w:rsidR="009935CD" w:rsidRPr="001A6832" w:rsidRDefault="009935CD" w:rsidP="00EC0B1C">
      <w:pPr>
        <w:autoSpaceDE w:val="0"/>
        <w:autoSpaceDN w:val="0"/>
        <w:adjustRightInd w:val="0"/>
        <w:jc w:val="both"/>
        <w:rPr>
          <w:rFonts w:eastAsia="Calibri"/>
        </w:rPr>
      </w:pPr>
    </w:p>
    <w:p w:rsidR="001A6832" w:rsidRPr="001A6832" w:rsidRDefault="001A6832" w:rsidP="009935CD">
      <w:pPr>
        <w:ind w:firstLine="720"/>
        <w:jc w:val="both"/>
        <w:rPr>
          <w:color w:val="000000"/>
        </w:rPr>
      </w:pPr>
      <w:r w:rsidRPr="001A6832">
        <w:rPr>
          <w:color w:val="000000"/>
        </w:rPr>
        <w:t>In its MFRs, Ni Florida reflected two pro forma wastewater additions totaling $266,889, net of retirements. The following table provides a breakdown of each pro forma plant addition.</w:t>
      </w:r>
      <w:r w:rsidRPr="001A6832">
        <w:rPr>
          <w:color w:val="000000"/>
        </w:rPr>
        <w:br/>
      </w: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 xml:space="preserve">Table </w:t>
      </w:r>
      <w:r w:rsidR="009935CD">
        <w:rPr>
          <w:rFonts w:ascii="Arial" w:hAnsi="Arial" w:cs="Arial"/>
          <w:b/>
        </w:rPr>
        <w:t>7</w:t>
      </w:r>
      <w:r w:rsidRPr="001A6832">
        <w:rPr>
          <w:rFonts w:ascii="Arial" w:hAnsi="Arial" w:cs="Arial"/>
          <w:b/>
        </w:rPr>
        <w:br/>
        <w:t>Ni Florida’s Pro Forma Projects</w:t>
      </w:r>
    </w:p>
    <w:tbl>
      <w:tblPr>
        <w:tblW w:w="6995" w:type="dxa"/>
        <w:jc w:val="center"/>
        <w:tblInd w:w="1192" w:type="dxa"/>
        <w:tblLook w:val="04A0" w:firstRow="1" w:lastRow="0" w:firstColumn="1" w:lastColumn="0" w:noHBand="0" w:noVBand="1"/>
      </w:tblPr>
      <w:tblGrid>
        <w:gridCol w:w="5740"/>
        <w:gridCol w:w="1443"/>
      </w:tblGrid>
      <w:tr w:rsidR="001A6832" w:rsidRPr="001A6832" w:rsidTr="003D4918">
        <w:trPr>
          <w:trHeight w:val="300"/>
          <w:jc w:val="center"/>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rPr>
            </w:pPr>
            <w:r w:rsidRPr="001A6832">
              <w:rPr>
                <w:b/>
                <w:color w:val="000000"/>
              </w:rPr>
              <w:t>Pro Forma Projects</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rPr>
            </w:pPr>
            <w:r w:rsidRPr="001A6832">
              <w:rPr>
                <w:b/>
                <w:color w:val="000000"/>
              </w:rPr>
              <w:t>Wastewater</w:t>
            </w:r>
          </w:p>
        </w:tc>
      </w:tr>
      <w:tr w:rsidR="001A6832" w:rsidRPr="001A6832" w:rsidTr="003D4918">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rPr>
            </w:pPr>
            <w:r w:rsidRPr="001A6832">
              <w:rPr>
                <w:color w:val="000000"/>
              </w:rPr>
              <w:t>Tower Dr. Collection System Replacement Project</w:t>
            </w:r>
          </w:p>
        </w:tc>
        <w:tc>
          <w:tcPr>
            <w:tcW w:w="1255"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rPr>
            </w:pPr>
            <w:r w:rsidRPr="001A6832">
              <w:rPr>
                <w:color w:val="000000"/>
              </w:rPr>
              <w:t>$729,262</w:t>
            </w:r>
          </w:p>
        </w:tc>
      </w:tr>
      <w:tr w:rsidR="001A6832" w:rsidRPr="001A6832" w:rsidTr="003D4918">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rPr>
            </w:pPr>
            <w:r w:rsidRPr="001A6832">
              <w:rPr>
                <w:color w:val="000000"/>
              </w:rPr>
              <w:t>Retirement for Tower Dr. Replacement Project</w:t>
            </w:r>
          </w:p>
        </w:tc>
        <w:tc>
          <w:tcPr>
            <w:tcW w:w="1255"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pPr>
            <w:r w:rsidRPr="001A6832">
              <w:t>(545,254)</w:t>
            </w:r>
          </w:p>
        </w:tc>
      </w:tr>
      <w:tr w:rsidR="001A6832" w:rsidRPr="001A6832" w:rsidTr="003D4918">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rPr>
            </w:pPr>
            <w:r w:rsidRPr="001A6832">
              <w:rPr>
                <w:color w:val="000000"/>
              </w:rPr>
              <w:t>ROPES – Rhodes Rd. Project (New Service)</w:t>
            </w:r>
          </w:p>
        </w:tc>
        <w:tc>
          <w:tcPr>
            <w:tcW w:w="1255"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u w:val="single"/>
              </w:rPr>
            </w:pPr>
            <w:r w:rsidRPr="001A6832">
              <w:rPr>
                <w:u w:val="single"/>
              </w:rPr>
              <w:t xml:space="preserve">82,880 </w:t>
            </w:r>
          </w:p>
        </w:tc>
      </w:tr>
      <w:tr w:rsidR="001A6832" w:rsidRPr="001A6832" w:rsidTr="003D4918">
        <w:trPr>
          <w:trHeight w:val="35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rPr>
            </w:pPr>
            <w:r w:rsidRPr="001A6832">
              <w:rPr>
                <w:color w:val="000000"/>
              </w:rPr>
              <w:t>Net Addition</w:t>
            </w:r>
          </w:p>
        </w:tc>
        <w:tc>
          <w:tcPr>
            <w:tcW w:w="1255"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u w:val="double"/>
              </w:rPr>
            </w:pPr>
            <w:r w:rsidRPr="001A6832">
              <w:rPr>
                <w:u w:val="double"/>
              </w:rPr>
              <w:t xml:space="preserve">$266,888 </w:t>
            </w:r>
          </w:p>
        </w:tc>
      </w:tr>
    </w:tbl>
    <w:p w:rsidR="001A6832" w:rsidRPr="001A6832" w:rsidRDefault="001A6832" w:rsidP="00EC0B1C">
      <w:pPr>
        <w:jc w:val="both"/>
        <w:rPr>
          <w:color w:val="000000"/>
        </w:rPr>
      </w:pPr>
      <w:r w:rsidRPr="001A6832">
        <w:rPr>
          <w:color w:val="000000"/>
        </w:rPr>
        <w:t xml:space="preserve">  </w:t>
      </w:r>
      <w:r w:rsidRPr="001A6832">
        <w:rPr>
          <w:color w:val="000000"/>
        </w:rPr>
        <w:tab/>
        <w:t xml:space="preserve">      Source: MFR Schedule No. A-3</w:t>
      </w:r>
    </w:p>
    <w:p w:rsidR="001A6832" w:rsidRPr="001A6832" w:rsidRDefault="001A6832" w:rsidP="00EC0B1C">
      <w:pPr>
        <w:jc w:val="both"/>
        <w:rPr>
          <w:color w:val="000000"/>
        </w:rPr>
      </w:pPr>
    </w:p>
    <w:p w:rsidR="009935CD" w:rsidRDefault="009935CD" w:rsidP="00EC0B1C">
      <w:pPr>
        <w:rPr>
          <w:rFonts w:ascii="Arial" w:hAnsi="Arial" w:cs="Arial"/>
          <w:b/>
        </w:rPr>
      </w:pPr>
    </w:p>
    <w:p w:rsidR="00D97EA2" w:rsidRDefault="00D97EA2" w:rsidP="00EC0B1C">
      <w:pPr>
        <w:rPr>
          <w:u w:val="single"/>
        </w:rPr>
      </w:pPr>
    </w:p>
    <w:p w:rsidR="001A6832" w:rsidRPr="009935CD" w:rsidRDefault="001A6832" w:rsidP="00EC0B1C">
      <w:pPr>
        <w:rPr>
          <w:u w:val="single"/>
        </w:rPr>
      </w:pPr>
      <w:r w:rsidRPr="009935CD">
        <w:rPr>
          <w:u w:val="single"/>
        </w:rPr>
        <w:t>Tower Drive Project</w:t>
      </w:r>
    </w:p>
    <w:p w:rsidR="009935CD" w:rsidRDefault="009935CD" w:rsidP="00EC0B1C">
      <w:pPr>
        <w:jc w:val="both"/>
        <w:rPr>
          <w:color w:val="000000"/>
        </w:rPr>
      </w:pPr>
    </w:p>
    <w:p w:rsidR="001A6832" w:rsidRPr="001A6832" w:rsidRDefault="001A6832" w:rsidP="009935CD">
      <w:pPr>
        <w:ind w:firstLine="720"/>
        <w:jc w:val="both"/>
        <w:rPr>
          <w:color w:val="000000"/>
        </w:rPr>
      </w:pPr>
      <w:r w:rsidRPr="001A6832">
        <w:rPr>
          <w:color w:val="000000"/>
        </w:rPr>
        <w:t>Ni Florida’s MFRs included $729,262 for the replacement of wastewater collection lines to address inflow and infiltration along Tower Drive. There is a corresponding $545,254 retirement associated with this work, so the net impact on plant in service for this project is $184,008. On April 20, 2015, DEP authorized the construction and installation of the discussed components. Ni Florida received final clearance from DEP on June 15, 2016, and placed the project into service on September 30, 2016.</w:t>
      </w:r>
    </w:p>
    <w:p w:rsidR="009935CD" w:rsidRDefault="009935CD" w:rsidP="009935CD">
      <w:pPr>
        <w:ind w:firstLine="720"/>
        <w:jc w:val="both"/>
        <w:rPr>
          <w:color w:val="000000"/>
        </w:rPr>
      </w:pPr>
    </w:p>
    <w:p w:rsidR="001A6832" w:rsidRPr="001A6832" w:rsidRDefault="001A6832" w:rsidP="009935CD">
      <w:pPr>
        <w:ind w:firstLine="720"/>
        <w:jc w:val="both"/>
        <w:rPr>
          <w:color w:val="000000"/>
        </w:rPr>
      </w:pPr>
      <w:r w:rsidRPr="001A6832">
        <w:rPr>
          <w:color w:val="000000"/>
        </w:rPr>
        <w:t xml:space="preserve">The </w:t>
      </w:r>
      <w:r w:rsidR="003D4918">
        <w:rPr>
          <w:color w:val="000000"/>
        </w:rPr>
        <w:t>Utility</w:t>
      </w:r>
      <w:r w:rsidRPr="001A6832">
        <w:rPr>
          <w:color w:val="000000"/>
        </w:rPr>
        <w:t xml:space="preserve"> provided </w:t>
      </w:r>
      <w:r w:rsidR="009935CD">
        <w:rPr>
          <w:color w:val="000000"/>
        </w:rPr>
        <w:t xml:space="preserve">Commission </w:t>
      </w:r>
      <w:r w:rsidRPr="001A6832">
        <w:rPr>
          <w:color w:val="000000"/>
        </w:rPr>
        <w:t>staff with four bids, ranging from approximately $646,000 to $1,174,000, for the Tower Drive project. Bid information is provided below:</w:t>
      </w:r>
    </w:p>
    <w:p w:rsidR="001A6832" w:rsidRPr="001A6832" w:rsidRDefault="001A6832" w:rsidP="00EC0B1C">
      <w:pPr>
        <w:jc w:val="both"/>
        <w:rPr>
          <w:color w:val="000000"/>
        </w:rPr>
      </w:pPr>
    </w:p>
    <w:p w:rsidR="001A6832" w:rsidRPr="001A6832" w:rsidRDefault="001A6832" w:rsidP="00EC0B1C">
      <w:pPr>
        <w:jc w:val="center"/>
        <w:rPr>
          <w:rFonts w:ascii="Arial" w:hAnsi="Arial" w:cs="Arial"/>
          <w:b/>
          <w:color w:val="000000"/>
        </w:rPr>
      </w:pPr>
      <w:r w:rsidRPr="001A6832">
        <w:rPr>
          <w:rFonts w:ascii="Arial" w:hAnsi="Arial" w:cs="Arial"/>
          <w:b/>
          <w:color w:val="000000"/>
        </w:rPr>
        <w:t xml:space="preserve">Table </w:t>
      </w:r>
      <w:r w:rsidR="009935CD">
        <w:rPr>
          <w:rFonts w:ascii="Arial" w:hAnsi="Arial" w:cs="Arial"/>
          <w:b/>
          <w:color w:val="000000"/>
        </w:rPr>
        <w:t>8</w:t>
      </w:r>
    </w:p>
    <w:p w:rsidR="001A6832" w:rsidRPr="001A6832" w:rsidRDefault="001A6832" w:rsidP="00EC0B1C">
      <w:pPr>
        <w:jc w:val="center"/>
        <w:rPr>
          <w:rFonts w:ascii="Arial" w:hAnsi="Arial" w:cs="Arial"/>
          <w:b/>
          <w:color w:val="000000"/>
        </w:rPr>
      </w:pPr>
      <w:r w:rsidRPr="001A6832">
        <w:rPr>
          <w:rFonts w:ascii="Arial" w:hAnsi="Arial" w:cs="Arial"/>
          <w:b/>
          <w:color w:val="000000"/>
        </w:rPr>
        <w:t>Tower Drive Bids</w:t>
      </w:r>
    </w:p>
    <w:tbl>
      <w:tblPr>
        <w:tblStyle w:val="TableGrid3"/>
        <w:tblW w:w="0" w:type="auto"/>
        <w:jc w:val="center"/>
        <w:tblInd w:w="1627" w:type="dxa"/>
        <w:tblLook w:val="04A0" w:firstRow="1" w:lastRow="0" w:firstColumn="1" w:lastColumn="0" w:noHBand="0" w:noVBand="1"/>
      </w:tblPr>
      <w:tblGrid>
        <w:gridCol w:w="4410"/>
        <w:gridCol w:w="1710"/>
      </w:tblGrid>
      <w:tr w:rsidR="001A6832" w:rsidRPr="001A6832" w:rsidTr="003D4918">
        <w:trPr>
          <w:jc w:val="center"/>
        </w:trPr>
        <w:tc>
          <w:tcPr>
            <w:tcW w:w="4410" w:type="dxa"/>
          </w:tcPr>
          <w:p w:rsidR="001A6832" w:rsidRPr="001A6832" w:rsidRDefault="001A6832" w:rsidP="00EC0B1C">
            <w:pPr>
              <w:jc w:val="center"/>
              <w:rPr>
                <w:b/>
                <w:color w:val="000000"/>
              </w:rPr>
            </w:pPr>
            <w:r w:rsidRPr="001A6832">
              <w:rPr>
                <w:b/>
                <w:color w:val="000000"/>
              </w:rPr>
              <w:t>Bid Provider</w:t>
            </w:r>
          </w:p>
        </w:tc>
        <w:tc>
          <w:tcPr>
            <w:tcW w:w="1710" w:type="dxa"/>
          </w:tcPr>
          <w:p w:rsidR="001A6832" w:rsidRPr="001A6832" w:rsidRDefault="001A6832" w:rsidP="00EC0B1C">
            <w:pPr>
              <w:jc w:val="center"/>
              <w:rPr>
                <w:b/>
                <w:color w:val="000000"/>
              </w:rPr>
            </w:pPr>
            <w:r w:rsidRPr="001A6832">
              <w:rPr>
                <w:b/>
                <w:color w:val="000000"/>
              </w:rPr>
              <w:t>Amount</w:t>
            </w:r>
          </w:p>
        </w:tc>
      </w:tr>
      <w:tr w:rsidR="001A6832" w:rsidRPr="001A6832" w:rsidTr="003D4918">
        <w:trPr>
          <w:jc w:val="center"/>
        </w:trPr>
        <w:tc>
          <w:tcPr>
            <w:tcW w:w="4410" w:type="dxa"/>
          </w:tcPr>
          <w:p w:rsidR="001A6832" w:rsidRPr="001A6832" w:rsidRDefault="001A6832" w:rsidP="00EC0B1C">
            <w:pPr>
              <w:jc w:val="both"/>
              <w:rPr>
                <w:color w:val="000000"/>
              </w:rPr>
            </w:pPr>
            <w:r w:rsidRPr="001A6832">
              <w:rPr>
                <w:color w:val="000000"/>
              </w:rPr>
              <w:t>Flave A. Williams III Dozer Service, Inc.</w:t>
            </w:r>
          </w:p>
        </w:tc>
        <w:tc>
          <w:tcPr>
            <w:tcW w:w="1710" w:type="dxa"/>
          </w:tcPr>
          <w:p w:rsidR="001A6832" w:rsidRPr="001A6832" w:rsidRDefault="001A6832" w:rsidP="00EC0B1C">
            <w:pPr>
              <w:jc w:val="right"/>
              <w:rPr>
                <w:color w:val="000000"/>
              </w:rPr>
            </w:pPr>
            <w:r w:rsidRPr="001A6832">
              <w:rPr>
                <w:color w:val="000000"/>
              </w:rPr>
              <w:t>$645,937</w:t>
            </w:r>
            <w:r w:rsidRPr="001A6832">
              <w:rPr>
                <w:color w:val="000000"/>
                <w:vertAlign w:val="superscript"/>
              </w:rPr>
              <w:footnoteReference w:id="11"/>
            </w:r>
          </w:p>
        </w:tc>
      </w:tr>
      <w:tr w:rsidR="001A6832" w:rsidRPr="001A6832" w:rsidTr="003D4918">
        <w:trPr>
          <w:jc w:val="center"/>
        </w:trPr>
        <w:tc>
          <w:tcPr>
            <w:tcW w:w="4410" w:type="dxa"/>
          </w:tcPr>
          <w:p w:rsidR="001A6832" w:rsidRPr="001A6832" w:rsidRDefault="003D4918" w:rsidP="00EC0B1C">
            <w:pPr>
              <w:jc w:val="both"/>
              <w:rPr>
                <w:color w:val="000000"/>
              </w:rPr>
            </w:pPr>
            <w:r>
              <w:rPr>
                <w:color w:val="000000"/>
              </w:rPr>
              <w:t>Utility</w:t>
            </w:r>
            <w:r w:rsidR="001A6832" w:rsidRPr="001A6832">
              <w:rPr>
                <w:color w:val="000000"/>
              </w:rPr>
              <w:t xml:space="preserve"> Group of Florida, LLC</w:t>
            </w:r>
          </w:p>
        </w:tc>
        <w:tc>
          <w:tcPr>
            <w:tcW w:w="1710" w:type="dxa"/>
          </w:tcPr>
          <w:p w:rsidR="001A6832" w:rsidRPr="001A6832" w:rsidRDefault="001A6832" w:rsidP="00EC0B1C">
            <w:pPr>
              <w:jc w:val="right"/>
              <w:rPr>
                <w:color w:val="000000"/>
              </w:rPr>
            </w:pPr>
            <w:r w:rsidRPr="001A6832">
              <w:rPr>
                <w:color w:val="000000"/>
              </w:rPr>
              <w:t>$710,872</w:t>
            </w:r>
          </w:p>
        </w:tc>
      </w:tr>
      <w:tr w:rsidR="001A6832" w:rsidRPr="001A6832" w:rsidTr="003D4918">
        <w:trPr>
          <w:jc w:val="center"/>
        </w:trPr>
        <w:tc>
          <w:tcPr>
            <w:tcW w:w="4410" w:type="dxa"/>
          </w:tcPr>
          <w:p w:rsidR="001A6832" w:rsidRPr="001A6832" w:rsidRDefault="001A6832" w:rsidP="00EC0B1C">
            <w:pPr>
              <w:jc w:val="both"/>
              <w:rPr>
                <w:color w:val="000000"/>
              </w:rPr>
            </w:pPr>
            <w:r w:rsidRPr="001A6832">
              <w:rPr>
                <w:color w:val="000000"/>
              </w:rPr>
              <w:t>JMJ Site Development Inc.</w:t>
            </w:r>
          </w:p>
        </w:tc>
        <w:tc>
          <w:tcPr>
            <w:tcW w:w="1710" w:type="dxa"/>
          </w:tcPr>
          <w:p w:rsidR="001A6832" w:rsidRPr="001A6832" w:rsidRDefault="001A6832" w:rsidP="00EC0B1C">
            <w:pPr>
              <w:jc w:val="right"/>
              <w:rPr>
                <w:color w:val="000000"/>
              </w:rPr>
            </w:pPr>
            <w:r w:rsidRPr="001A6832">
              <w:rPr>
                <w:color w:val="000000"/>
              </w:rPr>
              <w:t>$1,159,091</w:t>
            </w:r>
          </w:p>
        </w:tc>
      </w:tr>
      <w:tr w:rsidR="001A6832" w:rsidRPr="001A6832" w:rsidTr="003D4918">
        <w:trPr>
          <w:trHeight w:val="287"/>
          <w:jc w:val="center"/>
        </w:trPr>
        <w:tc>
          <w:tcPr>
            <w:tcW w:w="4410" w:type="dxa"/>
          </w:tcPr>
          <w:p w:rsidR="001A6832" w:rsidRPr="001A6832" w:rsidRDefault="001A6832" w:rsidP="00EC0B1C">
            <w:pPr>
              <w:jc w:val="both"/>
              <w:rPr>
                <w:color w:val="000000"/>
              </w:rPr>
            </w:pPr>
            <w:r w:rsidRPr="001A6832">
              <w:rPr>
                <w:color w:val="000000"/>
              </w:rPr>
              <w:t>Environmental Equipment Sales, Inc.</w:t>
            </w:r>
          </w:p>
        </w:tc>
        <w:tc>
          <w:tcPr>
            <w:tcW w:w="1710" w:type="dxa"/>
          </w:tcPr>
          <w:p w:rsidR="001A6832" w:rsidRPr="001A6832" w:rsidRDefault="001A6832" w:rsidP="00EC0B1C">
            <w:pPr>
              <w:jc w:val="right"/>
              <w:rPr>
                <w:color w:val="000000"/>
              </w:rPr>
            </w:pPr>
            <w:r w:rsidRPr="001A6832">
              <w:rPr>
                <w:color w:val="000000"/>
              </w:rPr>
              <w:t>$1,173,430</w:t>
            </w:r>
          </w:p>
        </w:tc>
      </w:tr>
    </w:tbl>
    <w:p w:rsidR="001A6832" w:rsidRPr="001A6832" w:rsidRDefault="001A6832" w:rsidP="00EC0B1C">
      <w:pPr>
        <w:jc w:val="both"/>
        <w:rPr>
          <w:color w:val="000000"/>
        </w:rPr>
      </w:pPr>
      <w:r w:rsidRPr="001A6832">
        <w:rPr>
          <w:color w:val="000000"/>
        </w:rPr>
        <w:tab/>
      </w:r>
      <w:r w:rsidRPr="001A6832">
        <w:rPr>
          <w:color w:val="000000"/>
        </w:rPr>
        <w:tab/>
        <w:t xml:space="preserve">   Source: Response to</w:t>
      </w:r>
      <w:r w:rsidR="009935CD">
        <w:rPr>
          <w:color w:val="000000"/>
        </w:rPr>
        <w:t xml:space="preserve"> Commission staff’s second data r</w:t>
      </w:r>
      <w:r w:rsidRPr="001A6832">
        <w:rPr>
          <w:color w:val="000000"/>
        </w:rPr>
        <w:t>equest</w:t>
      </w:r>
    </w:p>
    <w:p w:rsidR="001A6832" w:rsidRPr="001A6832" w:rsidRDefault="001A6832" w:rsidP="00EC0B1C">
      <w:pPr>
        <w:rPr>
          <w:color w:val="000000"/>
        </w:rPr>
      </w:pPr>
    </w:p>
    <w:p w:rsidR="001A6832" w:rsidRPr="001A6832" w:rsidRDefault="001A6832" w:rsidP="009935CD">
      <w:pPr>
        <w:autoSpaceDE w:val="0"/>
        <w:autoSpaceDN w:val="0"/>
        <w:adjustRightInd w:val="0"/>
        <w:jc w:val="both"/>
        <w:rPr>
          <w:color w:val="000000"/>
        </w:rPr>
      </w:pPr>
      <w:r w:rsidRPr="001A6832">
        <w:rPr>
          <w:color w:val="000000"/>
        </w:rPr>
        <w:t xml:space="preserve">Ni Florida selected the bid provided by </w:t>
      </w:r>
      <w:r w:rsidR="003D4918">
        <w:rPr>
          <w:color w:val="000000"/>
        </w:rPr>
        <w:t>Utility</w:t>
      </w:r>
      <w:r w:rsidRPr="001A6832">
        <w:rPr>
          <w:color w:val="000000"/>
        </w:rPr>
        <w:t xml:space="preserve"> Group of Florida. While not the lowest bid, the </w:t>
      </w:r>
      <w:r w:rsidR="003D4918">
        <w:rPr>
          <w:color w:val="000000"/>
        </w:rPr>
        <w:t>Utility</w:t>
      </w:r>
      <w:r w:rsidRPr="001A6832">
        <w:rPr>
          <w:color w:val="000000"/>
        </w:rPr>
        <w:t xml:space="preserve"> Group of Florida bid did not contain the exclusions that the lowest bid contained. </w:t>
      </w:r>
    </w:p>
    <w:p w:rsidR="001A6832" w:rsidRPr="001A6832" w:rsidRDefault="001A6832" w:rsidP="00EC0B1C">
      <w:pPr>
        <w:autoSpaceDE w:val="0"/>
        <w:autoSpaceDN w:val="0"/>
        <w:adjustRightInd w:val="0"/>
        <w:jc w:val="both"/>
        <w:rPr>
          <w:color w:val="000000"/>
        </w:rPr>
      </w:pPr>
    </w:p>
    <w:p w:rsidR="001A6832" w:rsidRPr="001A6832" w:rsidRDefault="001A6832" w:rsidP="0097603B">
      <w:pPr>
        <w:autoSpaceDE w:val="0"/>
        <w:autoSpaceDN w:val="0"/>
        <w:adjustRightInd w:val="0"/>
        <w:ind w:firstLine="720"/>
        <w:jc w:val="both"/>
        <w:rPr>
          <w:color w:val="000000"/>
        </w:rPr>
      </w:pPr>
      <w:r w:rsidRPr="001A6832">
        <w:t xml:space="preserve">The </w:t>
      </w:r>
      <w:r w:rsidR="003D4918">
        <w:t>Utility</w:t>
      </w:r>
      <w:r w:rsidRPr="001A6832">
        <w:t xml:space="preserve"> included $729,262 in its MFRs for this pro forma plant, and </w:t>
      </w:r>
      <w:r w:rsidR="009935CD">
        <w:t>our</w:t>
      </w:r>
      <w:r w:rsidRPr="001A6832">
        <w:t xml:space="preserve"> review of the actual expense totaled $854,860. Since no original cost invoices were available, 75 percent of the cost of the replacement was used as the retirement value by the </w:t>
      </w:r>
      <w:r w:rsidR="003D4918">
        <w:t>Utility</w:t>
      </w:r>
      <w:r w:rsidRPr="001A6832">
        <w:t xml:space="preserve"> and </w:t>
      </w:r>
      <w:r w:rsidR="009935CD">
        <w:t>this Commission</w:t>
      </w:r>
      <w:r w:rsidRPr="001A6832">
        <w:t>. This is consistent with Commission practice.</w:t>
      </w:r>
      <w:r w:rsidRPr="001A6832">
        <w:rPr>
          <w:vertAlign w:val="superscript"/>
        </w:rPr>
        <w:footnoteReference w:id="12"/>
      </w:r>
      <w:r w:rsidRPr="001A6832">
        <w:t xml:space="preserve"> The </w:t>
      </w:r>
      <w:r w:rsidR="003D4918">
        <w:t>Utility</w:t>
      </w:r>
      <w:r w:rsidRPr="001A6832">
        <w:t xml:space="preserve"> calculated retirements at $545,254. Based on the actual cost of the project, </w:t>
      </w:r>
      <w:r w:rsidR="00BE56A1">
        <w:t>we</w:t>
      </w:r>
      <w:r w:rsidRPr="001A6832">
        <w:t xml:space="preserve"> calculated retirements at $639,159. </w:t>
      </w:r>
      <w:r w:rsidR="009935CD">
        <w:rPr>
          <w:color w:val="000000"/>
        </w:rPr>
        <w:t>We</w:t>
      </w:r>
      <w:r w:rsidRPr="001A6832">
        <w:rPr>
          <w:color w:val="000000"/>
        </w:rPr>
        <w:t xml:space="preserve"> reviewed the bids as well as recent invoices and </w:t>
      </w:r>
      <w:r w:rsidR="009935CD">
        <w:rPr>
          <w:color w:val="000000"/>
        </w:rPr>
        <w:t>hereby</w:t>
      </w:r>
      <w:r w:rsidRPr="001A6832">
        <w:rPr>
          <w:color w:val="000000"/>
        </w:rPr>
        <w:t xml:space="preserve"> approve $854,860 for this project.</w:t>
      </w:r>
    </w:p>
    <w:p w:rsidR="001A6832" w:rsidRPr="001A6832" w:rsidRDefault="001A6832" w:rsidP="00EC0B1C">
      <w:pPr>
        <w:jc w:val="both"/>
        <w:rPr>
          <w:color w:val="000000"/>
          <w:highlight w:val="yellow"/>
        </w:rPr>
      </w:pPr>
    </w:p>
    <w:p w:rsidR="00D97EA2" w:rsidRDefault="00D97EA2" w:rsidP="00EC0B1C">
      <w:pPr>
        <w:rPr>
          <w:color w:val="000000"/>
          <w:u w:val="single"/>
        </w:rPr>
      </w:pPr>
    </w:p>
    <w:p w:rsidR="00D97EA2" w:rsidRDefault="00D97EA2" w:rsidP="00EC0B1C">
      <w:pPr>
        <w:rPr>
          <w:color w:val="000000"/>
          <w:u w:val="single"/>
        </w:rPr>
      </w:pPr>
    </w:p>
    <w:p w:rsidR="001A6832" w:rsidRPr="009935CD" w:rsidRDefault="001A6832" w:rsidP="00EC0B1C">
      <w:pPr>
        <w:rPr>
          <w:u w:val="single"/>
        </w:rPr>
      </w:pPr>
      <w:r w:rsidRPr="009935CD">
        <w:rPr>
          <w:color w:val="000000"/>
          <w:u w:val="single"/>
        </w:rPr>
        <w:lastRenderedPageBreak/>
        <w:t>ROPES-Rhodes Road Project</w:t>
      </w:r>
    </w:p>
    <w:p w:rsidR="009935CD" w:rsidRDefault="009935CD" w:rsidP="00EC0B1C">
      <w:pPr>
        <w:jc w:val="both"/>
        <w:rPr>
          <w:color w:val="000000"/>
        </w:rPr>
      </w:pPr>
    </w:p>
    <w:p w:rsidR="001A6832" w:rsidRPr="001A6832" w:rsidRDefault="001A6832" w:rsidP="009935CD">
      <w:pPr>
        <w:ind w:firstLine="720"/>
        <w:jc w:val="both"/>
        <w:rPr>
          <w:color w:val="000000"/>
        </w:rPr>
      </w:pPr>
      <w:r w:rsidRPr="001A6832">
        <w:rPr>
          <w:color w:val="000000"/>
        </w:rPr>
        <w:t xml:space="preserve">Ni Florida’s MFRs included $82,880 for a project to connect a new general service customer at 7839 Rhodes Road. The </w:t>
      </w:r>
      <w:r w:rsidR="003D4918">
        <w:rPr>
          <w:color w:val="000000"/>
        </w:rPr>
        <w:t>Utility</w:t>
      </w:r>
      <w:r w:rsidRPr="001A6832">
        <w:rPr>
          <w:color w:val="000000"/>
        </w:rPr>
        <w:t xml:space="preserve"> has since submitted an invoice of $613 for DEP certification and final testing, which brings the total for this project to $83,493. The project was completed on April 26, 2016, has been approved by DEP, and has been placed into service.</w:t>
      </w:r>
    </w:p>
    <w:p w:rsidR="001A6832" w:rsidRPr="001A6832" w:rsidRDefault="001A6832" w:rsidP="00EC0B1C">
      <w:pPr>
        <w:autoSpaceDE w:val="0"/>
        <w:autoSpaceDN w:val="0"/>
        <w:adjustRightInd w:val="0"/>
        <w:jc w:val="both"/>
      </w:pPr>
    </w:p>
    <w:p w:rsidR="001A6832" w:rsidRPr="001A6832" w:rsidRDefault="001A6832" w:rsidP="009935CD">
      <w:pPr>
        <w:autoSpaceDE w:val="0"/>
        <w:autoSpaceDN w:val="0"/>
        <w:adjustRightInd w:val="0"/>
        <w:ind w:firstLine="720"/>
        <w:jc w:val="both"/>
      </w:pPr>
      <w:r w:rsidRPr="001A6832">
        <w:t xml:space="preserve">The </w:t>
      </w:r>
      <w:r w:rsidR="003D4918">
        <w:t>Utility</w:t>
      </w:r>
      <w:r w:rsidRPr="001A6832">
        <w:t xml:space="preserve"> provided a feasibility report for the Rhodes Road project prepared by a professional engineer which estimated costs for this project at $75,000. As mentioned previously, the </w:t>
      </w:r>
      <w:r w:rsidR="003D4918">
        <w:t>Utility</w:t>
      </w:r>
      <w:r w:rsidRPr="001A6832">
        <w:t xml:space="preserve"> included $82,880 in its MFRs for the this pro forma project, and </w:t>
      </w:r>
      <w:r w:rsidR="00BE56A1">
        <w:t>our</w:t>
      </w:r>
      <w:r w:rsidRPr="001A6832">
        <w:t xml:space="preserve"> review of the actual expense totaled $83,493. </w:t>
      </w:r>
      <w:r w:rsidR="009935CD">
        <w:t>We believe</w:t>
      </w:r>
      <w:r w:rsidRPr="001A6832">
        <w:t xml:space="preserve"> that the difference between the estimated cost and the actual cost of the project is likely a result of the report being prepared in 2011. </w:t>
      </w:r>
      <w:r w:rsidR="009935CD">
        <w:t>We note</w:t>
      </w:r>
      <w:r w:rsidRPr="001A6832">
        <w:t xml:space="preserve"> that the final cost for the Rhodes Road project included $6,500 for contingencies. It appears that these costs were part of the billing for a fixed-amount, lump-sum project, which was intended to be billed at 100 percent of the accepted bid. There were no retirements associated with this project because it was new construction. </w:t>
      </w:r>
      <w:r w:rsidR="009935CD">
        <w:t>We hereby</w:t>
      </w:r>
      <w:r w:rsidRPr="001A6832">
        <w:rPr>
          <w:color w:val="000000"/>
        </w:rPr>
        <w:t xml:space="preserve"> approve $83,493 for this project.</w:t>
      </w:r>
    </w:p>
    <w:p w:rsidR="001A6832" w:rsidRPr="001A6832" w:rsidRDefault="001A6832" w:rsidP="00EC0B1C">
      <w:pPr>
        <w:rPr>
          <w:color w:val="000000"/>
        </w:rPr>
      </w:pPr>
    </w:p>
    <w:p w:rsidR="001A6832" w:rsidRPr="009935CD" w:rsidRDefault="001A6832" w:rsidP="00EC0B1C">
      <w:pPr>
        <w:jc w:val="both"/>
        <w:rPr>
          <w:u w:val="single"/>
        </w:rPr>
      </w:pPr>
      <w:r w:rsidRPr="009935CD">
        <w:rPr>
          <w:u w:val="single"/>
        </w:rPr>
        <w:t>Conclusion</w:t>
      </w:r>
    </w:p>
    <w:p w:rsidR="009935CD" w:rsidRDefault="009935CD" w:rsidP="00EC0B1C">
      <w:pPr>
        <w:jc w:val="both"/>
        <w:outlineLvl w:val="0"/>
        <w:rPr>
          <w:bCs/>
          <w:kern w:val="32"/>
          <w:szCs w:val="32"/>
        </w:rPr>
      </w:pPr>
    </w:p>
    <w:p w:rsidR="001A6832" w:rsidRPr="001A6832" w:rsidRDefault="009935CD" w:rsidP="009935CD">
      <w:pPr>
        <w:ind w:firstLine="720"/>
        <w:jc w:val="both"/>
        <w:outlineLvl w:val="0"/>
        <w:rPr>
          <w:bCs/>
          <w:kern w:val="32"/>
          <w:szCs w:val="32"/>
        </w:rPr>
      </w:pPr>
      <w:r>
        <w:rPr>
          <w:bCs/>
          <w:kern w:val="32"/>
          <w:szCs w:val="32"/>
        </w:rPr>
        <w:t>We</w:t>
      </w:r>
      <w:r w:rsidR="001A6832" w:rsidRPr="001A6832">
        <w:rPr>
          <w:bCs/>
          <w:kern w:val="32"/>
          <w:szCs w:val="32"/>
        </w:rPr>
        <w:t xml:space="preserve"> made adjustments to reflect the difference between actual costs and estimated pro forma plant. </w:t>
      </w:r>
      <w:r>
        <w:rPr>
          <w:bCs/>
          <w:kern w:val="32"/>
          <w:szCs w:val="32"/>
        </w:rPr>
        <w:t>Our</w:t>
      </w:r>
      <w:r w:rsidR="001A6832" w:rsidRPr="001A6832">
        <w:rPr>
          <w:bCs/>
          <w:kern w:val="32"/>
          <w:szCs w:val="32"/>
        </w:rPr>
        <w:t xml:space="preserve"> adjustments to plant resulted in corresponding flow-through adjustments to </w:t>
      </w:r>
      <w:r w:rsidR="001A6832" w:rsidRPr="001A6832">
        <w:rPr>
          <w:bCs/>
          <w:color w:val="000000"/>
          <w:kern w:val="32"/>
          <w:szCs w:val="32"/>
        </w:rPr>
        <w:t xml:space="preserve">accumulated depreciation, depreciation expense, property taxes, and </w:t>
      </w:r>
      <w:r w:rsidR="001A6832" w:rsidRPr="001A6832">
        <w:rPr>
          <w:bCs/>
          <w:kern w:val="32"/>
          <w:szCs w:val="32"/>
        </w:rPr>
        <w:t xml:space="preserve">accumulated deferred income taxes (ADITs). </w:t>
      </w:r>
      <w:r>
        <w:rPr>
          <w:bCs/>
          <w:kern w:val="32"/>
          <w:szCs w:val="32"/>
        </w:rPr>
        <w:t>This Commission’s</w:t>
      </w:r>
      <w:r w:rsidR="001A6832" w:rsidRPr="001A6832">
        <w:rPr>
          <w:bCs/>
          <w:kern w:val="32"/>
          <w:szCs w:val="32"/>
        </w:rPr>
        <w:t xml:space="preserve"> adjustments, excluding ADITs, are shown in the following tables.</w:t>
      </w:r>
      <w:r w:rsidR="001A6832" w:rsidRPr="001A6832">
        <w:rPr>
          <w:bCs/>
          <w:color w:val="000000"/>
          <w:kern w:val="32"/>
          <w:szCs w:val="32"/>
        </w:rPr>
        <w:t xml:space="preserve"> </w:t>
      </w:r>
    </w:p>
    <w:p w:rsidR="00CD724F" w:rsidRPr="001A6832" w:rsidRDefault="00CD724F" w:rsidP="00EC0B1C">
      <w:pPr>
        <w:rPr>
          <w:rFonts w:ascii="Arial" w:hAnsi="Arial" w:cs="Arial"/>
          <w:b/>
        </w:rPr>
      </w:pPr>
    </w:p>
    <w:p w:rsidR="001A6832" w:rsidRPr="001A6832" w:rsidRDefault="001A6832" w:rsidP="00EC0B1C">
      <w:pPr>
        <w:jc w:val="center"/>
        <w:rPr>
          <w:rFonts w:ascii="Arial" w:hAnsi="Arial" w:cs="Arial"/>
          <w:b/>
        </w:rPr>
      </w:pPr>
      <w:r w:rsidRPr="001A6832">
        <w:rPr>
          <w:rFonts w:ascii="Arial" w:hAnsi="Arial" w:cs="Arial"/>
          <w:b/>
        </w:rPr>
        <w:t xml:space="preserve">Table </w:t>
      </w:r>
      <w:r w:rsidR="009935CD">
        <w:rPr>
          <w:rFonts w:ascii="Arial" w:hAnsi="Arial" w:cs="Arial"/>
          <w:b/>
        </w:rPr>
        <w:t>9</w:t>
      </w:r>
    </w:p>
    <w:p w:rsidR="001A6832" w:rsidRPr="001A6832" w:rsidRDefault="001A6832" w:rsidP="00EC0B1C">
      <w:pPr>
        <w:jc w:val="center"/>
        <w:rPr>
          <w:rFonts w:ascii="Arial" w:hAnsi="Arial" w:cs="Arial"/>
          <w:b/>
        </w:rPr>
      </w:pPr>
      <w:r w:rsidRPr="001A6832">
        <w:rPr>
          <w:rFonts w:ascii="Arial" w:hAnsi="Arial" w:cs="Arial"/>
          <w:b/>
          <w:color w:val="000000"/>
        </w:rPr>
        <w:t>Plant Adjustments</w:t>
      </w:r>
    </w:p>
    <w:tbl>
      <w:tblPr>
        <w:tblW w:w="8658" w:type="dxa"/>
        <w:jc w:val="center"/>
        <w:tblInd w:w="918" w:type="dxa"/>
        <w:tblLook w:val="04A0" w:firstRow="1" w:lastRow="0" w:firstColumn="1" w:lastColumn="0" w:noHBand="0" w:noVBand="1"/>
      </w:tblPr>
      <w:tblGrid>
        <w:gridCol w:w="4843"/>
        <w:gridCol w:w="1256"/>
        <w:gridCol w:w="1470"/>
        <w:gridCol w:w="1089"/>
      </w:tblGrid>
      <w:tr w:rsidR="001A6832" w:rsidRPr="001A6832" w:rsidTr="009935CD">
        <w:trPr>
          <w:trHeight w:val="300"/>
          <w:jc w:val="center"/>
        </w:trPr>
        <w:tc>
          <w:tcPr>
            <w:tcW w:w="4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sz w:val="22"/>
                <w:szCs w:val="22"/>
              </w:rPr>
            </w:pPr>
            <w:r w:rsidRPr="001A6832">
              <w:rPr>
                <w:b/>
                <w:color w:val="000000"/>
                <w:sz w:val="22"/>
                <w:szCs w:val="22"/>
              </w:rPr>
              <w:t>Pro Forma Projects</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sz w:val="22"/>
                <w:szCs w:val="22"/>
              </w:rPr>
            </w:pPr>
            <w:r w:rsidRPr="001A6832">
              <w:rPr>
                <w:b/>
                <w:color w:val="000000"/>
                <w:sz w:val="22"/>
                <w:szCs w:val="22"/>
              </w:rPr>
              <w:t>MFR Plant</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9935CD" w:rsidP="00EC0B1C">
            <w:pPr>
              <w:jc w:val="center"/>
              <w:rPr>
                <w:b/>
                <w:color w:val="000000"/>
                <w:sz w:val="22"/>
                <w:szCs w:val="22"/>
              </w:rPr>
            </w:pPr>
            <w:r>
              <w:rPr>
                <w:b/>
                <w:color w:val="000000"/>
                <w:sz w:val="22"/>
                <w:szCs w:val="22"/>
              </w:rPr>
              <w:t>Commission</w:t>
            </w:r>
            <w:r w:rsidR="001A6832" w:rsidRPr="001A6832">
              <w:rPr>
                <w:b/>
                <w:color w:val="000000"/>
                <w:sz w:val="22"/>
                <w:szCs w:val="22"/>
              </w:rPr>
              <w:t xml:space="preserve"> Plant</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sz w:val="22"/>
                <w:szCs w:val="22"/>
              </w:rPr>
            </w:pPr>
            <w:r w:rsidRPr="001A6832">
              <w:rPr>
                <w:b/>
                <w:color w:val="000000"/>
                <w:sz w:val="22"/>
                <w:szCs w:val="22"/>
              </w:rPr>
              <w:t>Plant Adj.</w:t>
            </w:r>
          </w:p>
        </w:tc>
      </w:tr>
      <w:tr w:rsidR="001A6832" w:rsidRPr="001A6832" w:rsidTr="009935CD">
        <w:trPr>
          <w:trHeight w:val="300"/>
          <w:jc w:val="center"/>
        </w:trPr>
        <w:tc>
          <w:tcPr>
            <w:tcW w:w="4843"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Tower Dr. Collection System Replacement Project</w:t>
            </w:r>
          </w:p>
        </w:tc>
        <w:tc>
          <w:tcPr>
            <w:tcW w:w="1256"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$729,262</w:t>
            </w:r>
          </w:p>
        </w:tc>
        <w:tc>
          <w:tcPr>
            <w:tcW w:w="1470"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 xml:space="preserve">$854,860 </w:t>
            </w:r>
          </w:p>
        </w:tc>
        <w:tc>
          <w:tcPr>
            <w:tcW w:w="1089"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$125,598</w:t>
            </w:r>
          </w:p>
        </w:tc>
      </w:tr>
      <w:tr w:rsidR="001A6832" w:rsidRPr="001A6832" w:rsidTr="009935CD">
        <w:trPr>
          <w:trHeight w:val="300"/>
          <w:jc w:val="center"/>
        </w:trPr>
        <w:tc>
          <w:tcPr>
            <w:tcW w:w="4843"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Retirement for Tower Dr. Replacement Project</w:t>
            </w:r>
          </w:p>
        </w:tc>
        <w:tc>
          <w:tcPr>
            <w:tcW w:w="1256"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sz w:val="22"/>
                <w:szCs w:val="22"/>
              </w:rPr>
            </w:pPr>
            <w:r w:rsidRPr="001A6832">
              <w:rPr>
                <w:sz w:val="22"/>
                <w:szCs w:val="22"/>
              </w:rPr>
              <w:t>(545,254)</w:t>
            </w:r>
          </w:p>
        </w:tc>
        <w:tc>
          <w:tcPr>
            <w:tcW w:w="1470"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(639,159)</w:t>
            </w:r>
          </w:p>
        </w:tc>
        <w:tc>
          <w:tcPr>
            <w:tcW w:w="1089"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 xml:space="preserve">(93,905) </w:t>
            </w:r>
          </w:p>
        </w:tc>
      </w:tr>
      <w:tr w:rsidR="001A6832" w:rsidRPr="001A6832" w:rsidTr="009935CD">
        <w:trPr>
          <w:trHeight w:val="300"/>
          <w:jc w:val="center"/>
        </w:trPr>
        <w:tc>
          <w:tcPr>
            <w:tcW w:w="4843"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ROPES – Rhodes Rd. Project (New Service)</w:t>
            </w:r>
          </w:p>
        </w:tc>
        <w:tc>
          <w:tcPr>
            <w:tcW w:w="1256"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sz w:val="22"/>
                <w:szCs w:val="22"/>
                <w:u w:val="single"/>
              </w:rPr>
            </w:pPr>
            <w:r w:rsidRPr="001A6832">
              <w:rPr>
                <w:sz w:val="22"/>
                <w:szCs w:val="22"/>
                <w:u w:val="single"/>
              </w:rPr>
              <w:t xml:space="preserve">82,880 </w:t>
            </w:r>
          </w:p>
        </w:tc>
        <w:tc>
          <w:tcPr>
            <w:tcW w:w="1470"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u w:val="single"/>
              </w:rPr>
            </w:pPr>
            <w:r w:rsidRPr="001A6832">
              <w:rPr>
                <w:color w:val="000000"/>
                <w:sz w:val="22"/>
                <w:szCs w:val="22"/>
                <w:u w:val="single"/>
              </w:rPr>
              <w:t xml:space="preserve">83,493 </w:t>
            </w:r>
          </w:p>
        </w:tc>
        <w:tc>
          <w:tcPr>
            <w:tcW w:w="1089"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u w:val="single"/>
              </w:rPr>
            </w:pPr>
            <w:r w:rsidRPr="001A6832">
              <w:rPr>
                <w:color w:val="000000"/>
                <w:sz w:val="22"/>
                <w:szCs w:val="22"/>
                <w:u w:val="single"/>
              </w:rPr>
              <w:t>613</w:t>
            </w:r>
          </w:p>
        </w:tc>
      </w:tr>
      <w:tr w:rsidR="001A6832" w:rsidRPr="001A6832" w:rsidTr="009935CD">
        <w:trPr>
          <w:trHeight w:val="377"/>
          <w:jc w:val="center"/>
        </w:trPr>
        <w:tc>
          <w:tcPr>
            <w:tcW w:w="4843"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Total</w:t>
            </w:r>
          </w:p>
        </w:tc>
        <w:tc>
          <w:tcPr>
            <w:tcW w:w="1256"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sz w:val="22"/>
                <w:szCs w:val="22"/>
                <w:u w:val="double"/>
              </w:rPr>
            </w:pPr>
            <w:r w:rsidRPr="001A6832">
              <w:rPr>
                <w:sz w:val="22"/>
                <w:szCs w:val="22"/>
                <w:u w:val="double"/>
              </w:rPr>
              <w:t xml:space="preserve">$266,888 </w:t>
            </w:r>
          </w:p>
        </w:tc>
        <w:tc>
          <w:tcPr>
            <w:tcW w:w="1470"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sz w:val="22"/>
                <w:szCs w:val="22"/>
                <w:u w:val="double"/>
              </w:rPr>
            </w:pPr>
            <w:r w:rsidRPr="001A6832">
              <w:rPr>
                <w:sz w:val="22"/>
                <w:szCs w:val="22"/>
                <w:u w:val="double"/>
              </w:rPr>
              <w:t xml:space="preserve">$299,194 </w:t>
            </w:r>
          </w:p>
        </w:tc>
        <w:tc>
          <w:tcPr>
            <w:tcW w:w="1089"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sz w:val="22"/>
                <w:szCs w:val="22"/>
                <w:u w:val="double"/>
              </w:rPr>
            </w:pPr>
            <w:r w:rsidRPr="001A6832">
              <w:rPr>
                <w:sz w:val="22"/>
                <w:szCs w:val="22"/>
                <w:u w:val="double"/>
              </w:rPr>
              <w:t>$32,306</w:t>
            </w:r>
          </w:p>
        </w:tc>
      </w:tr>
    </w:tbl>
    <w:p w:rsidR="001A6832" w:rsidRPr="001A6832" w:rsidRDefault="001A6832" w:rsidP="00EC0B1C">
      <w:r w:rsidRPr="001A6832">
        <w:t xml:space="preserve">      Source: MFRs and responses to </w:t>
      </w:r>
      <w:r w:rsidR="009935CD">
        <w:t xml:space="preserve">Commission </w:t>
      </w:r>
      <w:r w:rsidRPr="001A6832">
        <w:t>staff data requests</w:t>
      </w:r>
    </w:p>
    <w:p w:rsidR="001A6832" w:rsidRPr="001A6832" w:rsidRDefault="001A6832" w:rsidP="00EC0B1C"/>
    <w:p w:rsidR="001A6832" w:rsidRPr="001A6832" w:rsidRDefault="001A6832" w:rsidP="00EC0B1C">
      <w:pPr>
        <w:jc w:val="center"/>
        <w:rPr>
          <w:rFonts w:ascii="Arial" w:hAnsi="Arial" w:cs="Arial"/>
          <w:b/>
        </w:rPr>
      </w:pPr>
      <w:r w:rsidRPr="001A6832">
        <w:rPr>
          <w:rFonts w:ascii="Arial" w:hAnsi="Arial" w:cs="Arial"/>
          <w:b/>
        </w:rPr>
        <w:t xml:space="preserve">Table </w:t>
      </w:r>
      <w:r w:rsidR="009935CD">
        <w:rPr>
          <w:rFonts w:ascii="Arial" w:hAnsi="Arial" w:cs="Arial"/>
          <w:b/>
        </w:rPr>
        <w:t>10</w:t>
      </w:r>
      <w:r w:rsidRPr="001A6832">
        <w:rPr>
          <w:rFonts w:ascii="Arial" w:hAnsi="Arial" w:cs="Arial"/>
          <w:b/>
        </w:rPr>
        <w:br/>
        <w:t>Additional Adjustments</w:t>
      </w:r>
    </w:p>
    <w:tbl>
      <w:tblPr>
        <w:tblW w:w="7488" w:type="dxa"/>
        <w:jc w:val="center"/>
        <w:tblInd w:w="2088" w:type="dxa"/>
        <w:tblLook w:val="04A0" w:firstRow="1" w:lastRow="0" w:firstColumn="1" w:lastColumn="0" w:noHBand="0" w:noVBand="1"/>
      </w:tblPr>
      <w:tblGrid>
        <w:gridCol w:w="3466"/>
        <w:gridCol w:w="1268"/>
        <w:gridCol w:w="1513"/>
        <w:gridCol w:w="1241"/>
      </w:tblGrid>
      <w:tr w:rsidR="001A6832" w:rsidRPr="001A6832" w:rsidTr="009935CD">
        <w:trPr>
          <w:trHeight w:val="300"/>
          <w:jc w:val="center"/>
        </w:trPr>
        <w:tc>
          <w:tcPr>
            <w:tcW w:w="3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32" w:rsidRPr="001A6832" w:rsidRDefault="001A6832" w:rsidP="00EC0B1C">
            <w:pPr>
              <w:jc w:val="center"/>
              <w:rPr>
                <w:b/>
                <w:color w:val="000000"/>
                <w:sz w:val="22"/>
                <w:szCs w:val="22"/>
              </w:rPr>
            </w:pPr>
            <w:r w:rsidRPr="001A6832">
              <w:rPr>
                <w:b/>
                <w:color w:val="000000"/>
                <w:sz w:val="22"/>
                <w:szCs w:val="22"/>
              </w:rPr>
              <w:t>Adjustment</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sz w:val="22"/>
                <w:szCs w:val="22"/>
              </w:rPr>
            </w:pPr>
            <w:r w:rsidRPr="001A6832">
              <w:rPr>
                <w:b/>
                <w:color w:val="000000"/>
                <w:sz w:val="22"/>
                <w:szCs w:val="22"/>
              </w:rPr>
              <w:t>MFR</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9935CD" w:rsidP="00EC0B1C">
            <w:pPr>
              <w:jc w:val="center"/>
              <w:rPr>
                <w:b/>
                <w:color w:val="000000"/>
                <w:sz w:val="22"/>
                <w:szCs w:val="22"/>
              </w:rPr>
            </w:pPr>
            <w:r>
              <w:rPr>
                <w:b/>
                <w:color w:val="000000"/>
                <w:sz w:val="22"/>
                <w:szCs w:val="22"/>
              </w:rPr>
              <w:t>Commission</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1A6832" w:rsidRPr="001A6832" w:rsidRDefault="001A6832" w:rsidP="00EC0B1C">
            <w:pPr>
              <w:jc w:val="center"/>
              <w:rPr>
                <w:b/>
                <w:color w:val="000000"/>
                <w:sz w:val="22"/>
                <w:szCs w:val="22"/>
              </w:rPr>
            </w:pPr>
            <w:r w:rsidRPr="001A6832">
              <w:rPr>
                <w:b/>
                <w:color w:val="000000"/>
                <w:sz w:val="22"/>
                <w:szCs w:val="22"/>
              </w:rPr>
              <w:t>Adj.</w:t>
            </w:r>
          </w:p>
        </w:tc>
      </w:tr>
      <w:tr w:rsidR="001A6832" w:rsidRPr="001A6832" w:rsidTr="009935CD">
        <w:trPr>
          <w:trHeight w:val="300"/>
          <w:jc w:val="center"/>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Accumulated Depreciation</w:t>
            </w:r>
          </w:p>
        </w:tc>
        <w:tc>
          <w:tcPr>
            <w:tcW w:w="1268"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$545,254</w:t>
            </w:r>
          </w:p>
        </w:tc>
        <w:tc>
          <w:tcPr>
            <w:tcW w:w="1513"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$590,098</w:t>
            </w:r>
          </w:p>
        </w:tc>
        <w:tc>
          <w:tcPr>
            <w:tcW w:w="1241"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$44,844</w:t>
            </w:r>
          </w:p>
        </w:tc>
      </w:tr>
      <w:tr w:rsidR="001A6832" w:rsidRPr="001A6832" w:rsidTr="009935CD">
        <w:trPr>
          <w:trHeight w:val="300"/>
          <w:jc w:val="center"/>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rsidR="001A6832" w:rsidRPr="001A6832" w:rsidRDefault="001A6832" w:rsidP="00EC0B1C">
            <w:pPr>
              <w:rPr>
                <w:color w:val="000000"/>
                <w:sz w:val="22"/>
                <w:szCs w:val="22"/>
              </w:rPr>
            </w:pPr>
            <w:r w:rsidRPr="001A6832">
              <w:rPr>
                <w:color w:val="000000"/>
                <w:sz w:val="22"/>
                <w:szCs w:val="22"/>
              </w:rPr>
              <w:t>Depreciation Expense</w:t>
            </w:r>
          </w:p>
        </w:tc>
        <w:tc>
          <w:tcPr>
            <w:tcW w:w="1268"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 xml:space="preserve">14,287 </w:t>
            </w:r>
          </w:p>
        </w:tc>
        <w:tc>
          <w:tcPr>
            <w:tcW w:w="1513"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13,552</w:t>
            </w:r>
          </w:p>
        </w:tc>
        <w:tc>
          <w:tcPr>
            <w:tcW w:w="1241"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($735)</w:t>
            </w:r>
          </w:p>
        </w:tc>
      </w:tr>
      <w:tr w:rsidR="001A6832" w:rsidRPr="001A6832" w:rsidTr="009935CD">
        <w:trPr>
          <w:trHeight w:val="300"/>
          <w:jc w:val="center"/>
        </w:trPr>
        <w:tc>
          <w:tcPr>
            <w:tcW w:w="3466" w:type="dxa"/>
            <w:tcBorders>
              <w:top w:val="nil"/>
              <w:left w:val="single" w:sz="4" w:space="0" w:color="auto"/>
              <w:bottom w:val="single" w:sz="4" w:space="0" w:color="auto"/>
              <w:right w:val="single" w:sz="4" w:space="0" w:color="auto"/>
            </w:tcBorders>
            <w:shd w:val="clear" w:color="auto" w:fill="auto"/>
            <w:noWrap/>
            <w:vAlign w:val="center"/>
          </w:tcPr>
          <w:p w:rsidR="001A6832" w:rsidRPr="001A6832" w:rsidRDefault="001A6832" w:rsidP="00EC0B1C">
            <w:pPr>
              <w:rPr>
                <w:color w:val="000000"/>
                <w:sz w:val="22"/>
                <w:szCs w:val="22"/>
              </w:rPr>
            </w:pPr>
            <w:r w:rsidRPr="001A6832">
              <w:rPr>
                <w:color w:val="000000"/>
                <w:sz w:val="22"/>
                <w:szCs w:val="22"/>
              </w:rPr>
              <w:t>Property Tax</w:t>
            </w:r>
          </w:p>
        </w:tc>
        <w:tc>
          <w:tcPr>
            <w:tcW w:w="1268"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$4,564</w:t>
            </w:r>
          </w:p>
        </w:tc>
        <w:tc>
          <w:tcPr>
            <w:tcW w:w="1513"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$14,601</w:t>
            </w:r>
          </w:p>
        </w:tc>
        <w:tc>
          <w:tcPr>
            <w:tcW w:w="1241" w:type="dxa"/>
            <w:tcBorders>
              <w:top w:val="nil"/>
              <w:left w:val="nil"/>
              <w:bottom w:val="single" w:sz="4" w:space="0" w:color="auto"/>
              <w:right w:val="single" w:sz="4" w:space="0" w:color="auto"/>
            </w:tcBorders>
            <w:shd w:val="clear" w:color="auto" w:fill="auto"/>
            <w:noWrap/>
            <w:vAlign w:val="center"/>
            <w:hideMark/>
          </w:tcPr>
          <w:p w:rsidR="001A6832" w:rsidRPr="001A6832" w:rsidRDefault="001A6832" w:rsidP="00EC0B1C">
            <w:pPr>
              <w:jc w:val="right"/>
              <w:rPr>
                <w:color w:val="000000"/>
                <w:sz w:val="22"/>
                <w:szCs w:val="22"/>
              </w:rPr>
            </w:pPr>
            <w:r w:rsidRPr="001A6832">
              <w:rPr>
                <w:color w:val="000000"/>
                <w:sz w:val="22"/>
                <w:szCs w:val="22"/>
              </w:rPr>
              <w:t>$10,037</w:t>
            </w:r>
          </w:p>
        </w:tc>
      </w:tr>
    </w:tbl>
    <w:p w:rsidR="001A6832" w:rsidRPr="001A6832" w:rsidRDefault="001A6832" w:rsidP="00EC0B1C">
      <w:pPr>
        <w:jc w:val="both"/>
        <w:outlineLvl w:val="0"/>
        <w:rPr>
          <w:bCs/>
          <w:kern w:val="32"/>
          <w:szCs w:val="32"/>
        </w:rPr>
      </w:pPr>
      <w:r w:rsidRPr="001A6832">
        <w:rPr>
          <w:rFonts w:ascii="Arial" w:hAnsi="Arial" w:cs="Arial"/>
          <w:b/>
          <w:bCs/>
          <w:i/>
          <w:kern w:val="32"/>
          <w:szCs w:val="32"/>
        </w:rPr>
        <w:t xml:space="preserve">              </w:t>
      </w:r>
      <w:r w:rsidRPr="001A6832">
        <w:rPr>
          <w:bCs/>
          <w:kern w:val="32"/>
          <w:szCs w:val="32"/>
        </w:rPr>
        <w:t xml:space="preserve">Source: MFRs and responses to </w:t>
      </w:r>
      <w:r w:rsidR="009935CD">
        <w:rPr>
          <w:bCs/>
          <w:kern w:val="32"/>
          <w:szCs w:val="32"/>
        </w:rPr>
        <w:t xml:space="preserve">Commission </w:t>
      </w:r>
      <w:r w:rsidRPr="001A6832">
        <w:rPr>
          <w:bCs/>
          <w:kern w:val="32"/>
          <w:szCs w:val="32"/>
        </w:rPr>
        <w:t>staff data requests</w:t>
      </w:r>
    </w:p>
    <w:p w:rsidR="001A6832" w:rsidRDefault="000F76B1" w:rsidP="005627ED">
      <w:pPr>
        <w:ind w:firstLine="720"/>
        <w:jc w:val="both"/>
      </w:pPr>
      <w:r>
        <w:lastRenderedPageBreak/>
        <w:t>Based on the information above, w</w:t>
      </w:r>
      <w:r w:rsidR="005627ED">
        <w:t>e find</w:t>
      </w:r>
      <w:r w:rsidR="001A6832" w:rsidRPr="001A6832">
        <w:t xml:space="preserve"> that the appropriate pro forma plant addition net of retirements is $299,194 for wastewater. This results in an incremental decrease of $32,306 from the amounts requested in the </w:t>
      </w:r>
      <w:r w:rsidR="003D4918">
        <w:t>Utility</w:t>
      </w:r>
      <w:r w:rsidR="001A6832" w:rsidRPr="001A6832">
        <w:t xml:space="preserve"> MFRs. Using the depreciable lives pursuant to Rule 25-30.140, F.A.C., corresponding adjustments </w:t>
      </w:r>
      <w:r w:rsidR="005627ED" w:rsidRPr="005627ED">
        <w:t xml:space="preserve">shall </w:t>
      </w:r>
      <w:r w:rsidR="001A6832" w:rsidRPr="001A6832">
        <w:t xml:space="preserve">be made to reduce accumulated depreciation by $44,844 for wastewater. Depreciation expense </w:t>
      </w:r>
      <w:r w:rsidR="004700BB" w:rsidRPr="004700BB">
        <w:t xml:space="preserve">shall </w:t>
      </w:r>
      <w:r w:rsidR="001A6832" w:rsidRPr="001A6832">
        <w:t xml:space="preserve">be reduced by $735 for wastewater. In addition, pro forma property taxes </w:t>
      </w:r>
      <w:r w:rsidR="004700BB" w:rsidRPr="004700BB">
        <w:t xml:space="preserve">shall </w:t>
      </w:r>
      <w:r w:rsidR="001A6832" w:rsidRPr="001A6832">
        <w:t xml:space="preserve">be increased by $10,037 for wastewater. Based on the additional pro forma plant and changes in depreciation above, an ADIT debit of $596 is created. </w:t>
      </w:r>
      <w:r w:rsidR="004700BB">
        <w:t>We have</w:t>
      </w:r>
      <w:r w:rsidR="001A6832" w:rsidRPr="001A6832">
        <w:t xml:space="preserve"> removed this amount in the capital structure shown in Schedule No. 2.  </w:t>
      </w:r>
    </w:p>
    <w:p w:rsidR="004700BB" w:rsidRDefault="004700BB" w:rsidP="005627ED">
      <w:pPr>
        <w:ind w:firstLine="720"/>
        <w:jc w:val="both"/>
      </w:pPr>
    </w:p>
    <w:p w:rsidR="004700BB" w:rsidRPr="004700BB" w:rsidRDefault="004700BB" w:rsidP="00CD724F">
      <w:pPr>
        <w:jc w:val="center"/>
        <w:rPr>
          <w:i/>
          <w:u w:val="single"/>
        </w:rPr>
      </w:pPr>
      <w:r w:rsidRPr="004700BB">
        <w:rPr>
          <w:u w:val="single"/>
        </w:rPr>
        <w:t>Used and Useful</w:t>
      </w:r>
    </w:p>
    <w:p w:rsidR="001A6832" w:rsidRPr="001A6832" w:rsidRDefault="001A6832" w:rsidP="00EC0B1C">
      <w:pPr>
        <w:jc w:val="both"/>
      </w:pPr>
    </w:p>
    <w:p w:rsidR="001A6832" w:rsidRPr="001A6832" w:rsidRDefault="001A6832" w:rsidP="00EC0B1C">
      <w:pPr>
        <w:ind w:firstLine="720"/>
        <w:jc w:val="both"/>
      </w:pPr>
      <w:r w:rsidRPr="001A6832">
        <w:t xml:space="preserve">Both Ni Florida’s water distribution and wastewater collection systems were deemed 100 percent U&amp;U during its previous rate case. Since the </w:t>
      </w:r>
      <w:r w:rsidR="003D4918">
        <w:t>Utility</w:t>
      </w:r>
      <w:r w:rsidRPr="001A6832">
        <w:t xml:space="preserve">’s last rate case, there has been no change in circumstances. Therefore, consistent with </w:t>
      </w:r>
      <w:r w:rsidR="004700BB">
        <w:t>this</w:t>
      </w:r>
      <w:r w:rsidRPr="001A6832">
        <w:t xml:space="preserve"> Commission’s prior decision, </w:t>
      </w:r>
      <w:r w:rsidR="004700BB">
        <w:t>we find</w:t>
      </w:r>
      <w:r w:rsidRPr="001A6832">
        <w:t xml:space="preserve"> that Ni Florida’s water distribution and wastewater collection systems 100 percent U&amp;U.</w:t>
      </w:r>
    </w:p>
    <w:p w:rsidR="004700BB" w:rsidRDefault="004700BB" w:rsidP="00EC0B1C">
      <w:pPr>
        <w:jc w:val="both"/>
        <w:rPr>
          <w:rFonts w:ascii="Arial" w:hAnsi="Arial" w:cs="Arial"/>
          <w:b/>
        </w:rPr>
      </w:pPr>
    </w:p>
    <w:p w:rsidR="001A6832" w:rsidRPr="004700BB" w:rsidRDefault="001A6832" w:rsidP="00EC0B1C">
      <w:pPr>
        <w:jc w:val="both"/>
        <w:rPr>
          <w:u w:val="single"/>
        </w:rPr>
      </w:pPr>
      <w:r w:rsidRPr="004700BB">
        <w:rPr>
          <w:u w:val="single"/>
        </w:rPr>
        <w:t>Infiltration and Inflow (I&amp;I)</w:t>
      </w:r>
    </w:p>
    <w:p w:rsidR="004700BB" w:rsidRDefault="004700BB" w:rsidP="00EC0B1C">
      <w:pPr>
        <w:jc w:val="both"/>
      </w:pPr>
    </w:p>
    <w:p w:rsidR="001A6832" w:rsidRPr="001A6832" w:rsidRDefault="001A6832" w:rsidP="004700BB">
      <w:pPr>
        <w:ind w:firstLine="720"/>
        <w:jc w:val="both"/>
      </w:pPr>
      <w:r w:rsidRPr="001A6832">
        <w:t xml:space="preserve">Typically, infiltration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amount of U&amp;U plant, </w:t>
      </w:r>
      <w:r w:rsidR="004700BB">
        <w:t>this</w:t>
      </w:r>
      <w:r w:rsidRPr="001A6832">
        <w:t xml:space="preserve"> Commission will consider I&amp;I. Additionally, adjustments to operating expenses such as chemical and electrical costs are also considered necessary.</w:t>
      </w:r>
    </w:p>
    <w:p w:rsidR="001A6832" w:rsidRPr="001A6832" w:rsidRDefault="001A6832" w:rsidP="00EC0B1C">
      <w:pPr>
        <w:jc w:val="both"/>
      </w:pPr>
    </w:p>
    <w:p w:rsidR="001A6832" w:rsidRPr="001A6832" w:rsidRDefault="001A6832" w:rsidP="004700BB">
      <w:pPr>
        <w:ind w:firstLine="720"/>
        <w:jc w:val="both"/>
      </w:pPr>
      <w:r w:rsidRPr="001A6832">
        <w:t xml:space="preserve">All wastewater collection systems experience I&amp;I. The conventions noted above provide guidance for determining whether the I&amp;I experienced at a wastewater treatment plant (WWTP) is excessive. </w:t>
      </w:r>
      <w:r w:rsidR="004700BB">
        <w:t>We calculate</w:t>
      </w:r>
      <w:r w:rsidRPr="001A6832">
        <w:t xml:space="preserve"> the allowable infiltration based on system parameters and allowable inflow based on water sold to customers. The sum of these amounts is the allowable I&amp;I. </w:t>
      </w:r>
      <w:r w:rsidR="004700BB">
        <w:t>We next calculate</w:t>
      </w:r>
      <w:r w:rsidRPr="001A6832">
        <w:t xml:space="preserve"> the estimated amount of wastewater returned to the WWTP from customers. The estimated return is determined by summing 80 percent of the water sold to residential customers with 90 percent of the water sold to non-residential customers. Adding the estimated return to the allowable I&amp;I yields the maximum amount of wastewater that should be treated by a WWTP without incurring adjustments to operating expenses. If this amount exceeds the actual amount treated, no adjustment is made. If it is less than the gallons treated, then the difference is the excessive amount of I&amp;I.</w:t>
      </w:r>
    </w:p>
    <w:p w:rsidR="001A6832" w:rsidRPr="001A6832" w:rsidRDefault="001A6832" w:rsidP="00EC0B1C">
      <w:pPr>
        <w:jc w:val="both"/>
      </w:pPr>
    </w:p>
    <w:p w:rsidR="001A6832" w:rsidRPr="001A6832" w:rsidRDefault="001A6832" w:rsidP="004700BB">
      <w:pPr>
        <w:ind w:firstLine="720"/>
        <w:jc w:val="both"/>
      </w:pPr>
      <w:r w:rsidRPr="001A6832">
        <w:t xml:space="preserve">The </w:t>
      </w:r>
      <w:r w:rsidR="003D4918">
        <w:t>Utility</w:t>
      </w:r>
      <w:r w:rsidRPr="001A6832">
        <w:t xml:space="preserve"> has 133,669 feet of 8-inch collecting mains, 440 feet of 3-inch force mains, 21,043 feet of 4-inch force mains, 38,303 feet of 6-inch force mains, 4,000 feet of 8-inch force mains, and 3,810 feet of 12-inch force mains. Given these parameters and performing the necessary conversions to express the result in gallons per year (gpy), the allowanc</w:t>
      </w:r>
      <w:r w:rsidR="000F76B1">
        <w:t>e for infiltration is 50,546,348</w:t>
      </w:r>
      <w:r w:rsidRPr="001A6832">
        <w:t xml:space="preserve"> gpy. </w:t>
      </w:r>
    </w:p>
    <w:p w:rsidR="001A6832" w:rsidRPr="001A6832" w:rsidRDefault="001A6832" w:rsidP="00EC0B1C">
      <w:pPr>
        <w:jc w:val="both"/>
      </w:pPr>
    </w:p>
    <w:p w:rsidR="001A6832" w:rsidRPr="001A6832" w:rsidRDefault="001A6832" w:rsidP="004700BB">
      <w:pPr>
        <w:ind w:firstLine="720"/>
        <w:jc w:val="both"/>
      </w:pPr>
      <w:r w:rsidRPr="001A6832">
        <w:lastRenderedPageBreak/>
        <w:t xml:space="preserve">The </w:t>
      </w:r>
      <w:r w:rsidR="003D4918">
        <w:t>Utility</w:t>
      </w:r>
      <w:r w:rsidRPr="001A6832">
        <w:t>’s records indicated that it</w:t>
      </w:r>
      <w:r w:rsidR="000F76B1">
        <w:t>s residential customers were</w:t>
      </w:r>
      <w:r w:rsidRPr="001A6832">
        <w:t xml:space="preserve"> billed for </w:t>
      </w:r>
      <w:r w:rsidR="000F76B1">
        <w:t>88,154</w:t>
      </w:r>
      <w:r w:rsidRPr="001A6832">
        <w:t xml:space="preserve">,000 gallons of water usage during the test year. Thus, the allowance for inflow is 10 percent of that amount, or </w:t>
      </w:r>
      <w:r w:rsidR="009537D6">
        <w:t>8,815,4</w:t>
      </w:r>
      <w:r w:rsidRPr="001A6832">
        <w:t xml:space="preserve">00 gpy. Therefore, the total allowance for inflow and infiltration is </w:t>
      </w:r>
      <w:r w:rsidR="009537D6">
        <w:t>59,361,748</w:t>
      </w:r>
      <w:r w:rsidRPr="001A6832">
        <w:t xml:space="preserve"> gpy.</w:t>
      </w:r>
    </w:p>
    <w:p w:rsidR="001A6832" w:rsidRPr="001A6832" w:rsidRDefault="001A6832" w:rsidP="00EC0B1C">
      <w:pPr>
        <w:jc w:val="both"/>
      </w:pPr>
    </w:p>
    <w:p w:rsidR="001A6832" w:rsidRPr="001A6832" w:rsidRDefault="001A6832" w:rsidP="004700BB">
      <w:pPr>
        <w:ind w:firstLine="720"/>
        <w:jc w:val="both"/>
      </w:pPr>
      <w:r w:rsidRPr="001A6832">
        <w:t xml:space="preserve">The </w:t>
      </w:r>
      <w:r w:rsidR="003D4918">
        <w:t>Utility</w:t>
      </w:r>
      <w:r w:rsidRPr="001A6832">
        <w:t xml:space="preserve"> reported the wastewater customers had water usage during the test year of </w:t>
      </w:r>
      <w:r w:rsidR="009537D6">
        <w:t>159,287,000</w:t>
      </w:r>
      <w:r w:rsidRPr="001A6832">
        <w:t xml:space="preserve"> gallons </w:t>
      </w:r>
      <w:r w:rsidR="009537D6">
        <w:t>88,154</w:t>
      </w:r>
      <w:r w:rsidRPr="001A6832">
        <w:t xml:space="preserve">,000 residential, 37,605,000 multi-family, </w:t>
      </w:r>
      <w:r w:rsidR="009537D6">
        <w:t>33,528</w:t>
      </w:r>
      <w:r w:rsidRPr="001A6832">
        <w:t xml:space="preserve">,000 non-residential). </w:t>
      </w:r>
      <w:r w:rsidR="009537D6">
        <w:t xml:space="preserve">It is the practice of this Commission to estimate that 80 percent of residential and 90 of non-residential water is returned as wastewater to be treated. Using these values, </w:t>
      </w:r>
      <w:r w:rsidRPr="001A6832">
        <w:t xml:space="preserve">the total estimated return to the WWTP is </w:t>
      </w:r>
      <w:r w:rsidR="009537D6">
        <w:t>134,542</w:t>
      </w:r>
      <w:r w:rsidRPr="001A6832">
        <w:t xml:space="preserve">,000 gallons. Thus, the estimated maximum amount of wastewater that the WWTP should treat, the estimated return plus the allowable I&amp;I, is </w:t>
      </w:r>
      <w:r w:rsidR="009537D6">
        <w:t>193,904,648</w:t>
      </w:r>
      <w:r w:rsidRPr="001A6832">
        <w:t xml:space="preserve"> gpy. Any amount treated in excess of this amount is considered excessive I&amp;I.</w:t>
      </w:r>
    </w:p>
    <w:p w:rsidR="001A6832" w:rsidRPr="001A6832" w:rsidRDefault="001A6832" w:rsidP="00EC0B1C">
      <w:pPr>
        <w:jc w:val="both"/>
      </w:pPr>
    </w:p>
    <w:p w:rsidR="001A6832" w:rsidRPr="001A6832" w:rsidRDefault="001A6832" w:rsidP="004700BB">
      <w:pPr>
        <w:ind w:firstLine="720"/>
        <w:jc w:val="both"/>
      </w:pPr>
      <w:r w:rsidRPr="001A6832">
        <w:t xml:space="preserve">According to the </w:t>
      </w:r>
      <w:r w:rsidR="004700BB">
        <w:t xml:space="preserve">Commission </w:t>
      </w:r>
      <w:r w:rsidRPr="001A6832">
        <w:t xml:space="preserve">staff audit, the </w:t>
      </w:r>
      <w:r w:rsidR="003D4918">
        <w:t>Utility</w:t>
      </w:r>
      <w:r w:rsidRPr="001A6832">
        <w:t xml:space="preserve"> purchased 1</w:t>
      </w:r>
      <w:r w:rsidR="009537D6">
        <w:t>44,336</w:t>
      </w:r>
      <w:r w:rsidRPr="001A6832">
        <w:t xml:space="preserve">,000 gallons of wastewater treatment during the test year. This is </w:t>
      </w:r>
      <w:r w:rsidR="009537D6">
        <w:t>less</w:t>
      </w:r>
      <w:r w:rsidRPr="001A6832">
        <w:t xml:space="preserve"> than the estimated maximum amount allowable. Therefore, </w:t>
      </w:r>
      <w:r w:rsidR="009537D6">
        <w:t>there shall be no adjustment</w:t>
      </w:r>
      <w:r w:rsidRPr="001A6832">
        <w:t xml:space="preserve"> for excessive I&amp;I.</w:t>
      </w:r>
    </w:p>
    <w:p w:rsidR="001A6832" w:rsidRPr="001A6832" w:rsidRDefault="001A6832" w:rsidP="00EC0B1C">
      <w:pPr>
        <w:jc w:val="both"/>
      </w:pPr>
    </w:p>
    <w:p w:rsidR="001A6832" w:rsidRPr="004700BB" w:rsidRDefault="001A6832" w:rsidP="00EC0B1C">
      <w:pPr>
        <w:rPr>
          <w:u w:val="single"/>
        </w:rPr>
      </w:pPr>
      <w:r w:rsidRPr="004700BB">
        <w:rPr>
          <w:u w:val="single"/>
        </w:rPr>
        <w:t>Excessive Unaccounted for Water (EUW)</w:t>
      </w:r>
    </w:p>
    <w:p w:rsidR="004700BB" w:rsidRDefault="004700BB" w:rsidP="00EC0B1C">
      <w:pPr>
        <w:jc w:val="both"/>
      </w:pPr>
    </w:p>
    <w:p w:rsidR="001A6832" w:rsidRPr="001A6832" w:rsidRDefault="001A6832" w:rsidP="004700BB">
      <w:pPr>
        <w:ind w:firstLine="720"/>
        <w:jc w:val="both"/>
      </w:pPr>
      <w:r w:rsidRPr="001A6832">
        <w:t xml:space="preserve">Pursuant to Rule 25-30.4325, F.A.C., the calculation of U&amp;U for a water treatment plant must consider EUW. Rule 25-30.4325, F.A.C., describes EUW as unaccounted for water in excess of 10 percent of the amount produced. When establishing the Rule, </w:t>
      </w:r>
      <w:r w:rsidR="004700BB">
        <w:t>this</w:t>
      </w:r>
      <w:r w:rsidRPr="001A6832">
        <w:t xml:space="preserve"> Commission recognized that some uses of water are readily measurable and others are not.</w:t>
      </w:r>
      <w:r w:rsidRPr="001A6832">
        <w:rPr>
          <w:vertAlign w:val="superscript"/>
        </w:rPr>
        <w:footnoteReference w:id="13"/>
      </w:r>
      <w:r w:rsidRPr="001A6832">
        <w:t xml:space="preserve"> Unaccounted for water is all water that is produced that is not sold, metered, or accounted for in the records of the </w:t>
      </w:r>
      <w:r w:rsidR="003D4918">
        <w:t>Utility</w:t>
      </w:r>
      <w:r w:rsidRPr="001A6832">
        <w:t xml:space="preserve">. The unaccounted for water is calculated by subtracting both the gallons used for other purposes, such as flushing, and the gallons sold to customers from the total gallons pumped for the test year. The Rule additionally provides that to determine whether adjustments to plant and operating expenses, such as purchased electrical power and chemicals cost, are necessary, </w:t>
      </w:r>
      <w:r w:rsidR="004700BB">
        <w:t>this</w:t>
      </w:r>
      <w:r w:rsidRPr="001A6832">
        <w:t xml:space="preserve"> Commission will consider all relevant factors as to the reason for EUW, solutions implemented to correct the problem, or whether a proposed solution is economically feasible. </w:t>
      </w:r>
    </w:p>
    <w:p w:rsidR="004700BB" w:rsidRDefault="004700BB" w:rsidP="00EC0B1C">
      <w:pPr>
        <w:jc w:val="both"/>
      </w:pPr>
    </w:p>
    <w:p w:rsidR="001A6832" w:rsidRPr="001A6832" w:rsidRDefault="001A6832" w:rsidP="004700BB">
      <w:pPr>
        <w:ind w:firstLine="720"/>
        <w:jc w:val="both"/>
      </w:pPr>
      <w:r w:rsidRPr="001A6832">
        <w:t xml:space="preserve">According to the MFRs, the </w:t>
      </w:r>
      <w:r w:rsidR="003D4918">
        <w:t>Utility</w:t>
      </w:r>
      <w:r w:rsidRPr="001A6832">
        <w:t xml:space="preserve"> purchased 21,460,000 gallons of water and used 1,500,000 gallons of water for other uses during the test year. According to the </w:t>
      </w:r>
      <w:r w:rsidR="00BE56A1">
        <w:t xml:space="preserve">Commission </w:t>
      </w:r>
      <w:r w:rsidRPr="001A6832">
        <w:t xml:space="preserve">staff audit report, the </w:t>
      </w:r>
      <w:r w:rsidR="003D4918">
        <w:t>Utility</w:t>
      </w:r>
      <w:r w:rsidRPr="001A6832">
        <w:t xml:space="preserve"> sold 18,083,140 gallons of water for the test year. Based on the values above, unaccounted for water is 8.75 percent. Therefore, no adjustment </w:t>
      </w:r>
      <w:r w:rsidR="004700BB">
        <w:t xml:space="preserve">shall </w:t>
      </w:r>
      <w:r w:rsidRPr="001A6832">
        <w:t>be made to operating expenses for chemicals and purchase power due to EUW.</w:t>
      </w:r>
    </w:p>
    <w:p w:rsidR="004700BB" w:rsidRPr="00927CE3" w:rsidRDefault="004700BB" w:rsidP="00EC0B1C">
      <w:pPr>
        <w:jc w:val="both"/>
        <w:rPr>
          <w:rFonts w:ascii="Arial" w:hAnsi="Arial" w:cs="Arial"/>
        </w:rPr>
      </w:pPr>
    </w:p>
    <w:p w:rsidR="004700BB" w:rsidRPr="004700BB" w:rsidRDefault="004700BB" w:rsidP="00EC0B1C">
      <w:pPr>
        <w:jc w:val="both"/>
        <w:rPr>
          <w:u w:val="single"/>
        </w:rPr>
      </w:pPr>
      <w:r w:rsidRPr="004700BB">
        <w:rPr>
          <w:u w:val="single"/>
        </w:rPr>
        <w:lastRenderedPageBreak/>
        <w:t>Conclusion</w:t>
      </w:r>
    </w:p>
    <w:p w:rsidR="004700BB" w:rsidRPr="00927CE3" w:rsidRDefault="004700BB" w:rsidP="00EC0B1C">
      <w:pPr>
        <w:jc w:val="both"/>
        <w:rPr>
          <w:rFonts w:ascii="Arial" w:hAnsi="Arial" w:cs="Arial"/>
        </w:rPr>
      </w:pPr>
    </w:p>
    <w:p w:rsidR="001A6832" w:rsidRPr="00927CE3" w:rsidRDefault="001A6832" w:rsidP="004700BB">
      <w:pPr>
        <w:ind w:firstLine="720"/>
        <w:jc w:val="both"/>
      </w:pPr>
      <w:r w:rsidRPr="00927CE3">
        <w:t xml:space="preserve">Based on the analysis above, Ni Florida’s water distribution system </w:t>
      </w:r>
      <w:r w:rsidR="004700BB" w:rsidRPr="00927CE3">
        <w:t xml:space="preserve">shall </w:t>
      </w:r>
      <w:r w:rsidRPr="00927CE3">
        <w:t xml:space="preserve">be considered 100 percent U&amp;U and its wastewater collection system </w:t>
      </w:r>
      <w:r w:rsidR="004700BB" w:rsidRPr="00927CE3">
        <w:t xml:space="preserve">shall also </w:t>
      </w:r>
      <w:r w:rsidRPr="00927CE3">
        <w:t xml:space="preserve">be considered 100 percent U&amp;U. </w:t>
      </w:r>
      <w:r w:rsidR="009537D6" w:rsidRPr="00927CE3">
        <w:t>As a result</w:t>
      </w:r>
      <w:r w:rsidR="004700BB" w:rsidRPr="00927CE3">
        <w:t>, there shall be n</w:t>
      </w:r>
      <w:r w:rsidRPr="00927CE3">
        <w:t>o ad</w:t>
      </w:r>
      <w:r w:rsidR="009537D6" w:rsidRPr="00927CE3">
        <w:t xml:space="preserve">justment </w:t>
      </w:r>
      <w:r w:rsidRPr="00927CE3">
        <w:t>for</w:t>
      </w:r>
      <w:r w:rsidR="009537D6" w:rsidRPr="00927CE3">
        <w:t xml:space="preserve"> I&amp;I or</w:t>
      </w:r>
      <w:r w:rsidRPr="00927CE3">
        <w:t xml:space="preserve"> EUW.</w:t>
      </w:r>
    </w:p>
    <w:p w:rsidR="004700BB" w:rsidRPr="00927CE3" w:rsidRDefault="004700BB" w:rsidP="00EC0B1C">
      <w:pPr>
        <w:autoSpaceDE w:val="0"/>
        <w:autoSpaceDN w:val="0"/>
        <w:adjustRightInd w:val="0"/>
        <w:jc w:val="both"/>
        <w:rPr>
          <w:rFonts w:ascii="Arial" w:hAnsi="Arial" w:cs="Arial"/>
          <w:bCs/>
          <w:i/>
          <w:kern w:val="32"/>
          <w:szCs w:val="32"/>
        </w:rPr>
      </w:pPr>
    </w:p>
    <w:p w:rsidR="004700BB" w:rsidRPr="00927CE3" w:rsidRDefault="004700BB" w:rsidP="004700BB">
      <w:pPr>
        <w:autoSpaceDE w:val="0"/>
        <w:autoSpaceDN w:val="0"/>
        <w:adjustRightInd w:val="0"/>
        <w:jc w:val="center"/>
        <w:rPr>
          <w:bCs/>
          <w:kern w:val="32"/>
          <w:szCs w:val="32"/>
          <w:u w:val="single"/>
        </w:rPr>
      </w:pPr>
      <w:r w:rsidRPr="00927CE3">
        <w:rPr>
          <w:bCs/>
          <w:kern w:val="32"/>
          <w:szCs w:val="32"/>
          <w:u w:val="single"/>
        </w:rPr>
        <w:t>Working Capital Allowance</w:t>
      </w:r>
    </w:p>
    <w:p w:rsidR="004700BB" w:rsidRPr="00927CE3" w:rsidRDefault="004700BB" w:rsidP="00EC0B1C">
      <w:pPr>
        <w:autoSpaceDE w:val="0"/>
        <w:autoSpaceDN w:val="0"/>
        <w:adjustRightInd w:val="0"/>
        <w:jc w:val="both"/>
        <w:rPr>
          <w:rFonts w:ascii="Arial" w:hAnsi="Arial" w:cs="Arial"/>
          <w:bCs/>
          <w:i/>
          <w:kern w:val="32"/>
          <w:szCs w:val="32"/>
        </w:rPr>
      </w:pPr>
    </w:p>
    <w:p w:rsidR="001A6832" w:rsidRPr="001A6832" w:rsidRDefault="001A6832" w:rsidP="004700BB">
      <w:pPr>
        <w:autoSpaceDE w:val="0"/>
        <w:autoSpaceDN w:val="0"/>
        <w:adjustRightInd w:val="0"/>
        <w:ind w:firstLine="720"/>
        <w:jc w:val="both"/>
      </w:pPr>
      <w:r w:rsidRPr="001A6832">
        <w:t>Rule 25-30.433(2), F.A.C., requires Class A utilities to use the balance sheet approach to calculate the working capital allowance. According to its filing, Ni Florida utilized the balance sheet approach and calculated a total company working capital allowance of $364,502, which was allocated to each of Ni Florida's systems based on ERCs as of December 31, 2015. The balance sheet approach is essentially current assets less current liabilities. As discussed</w:t>
      </w:r>
      <w:r w:rsidR="00CD724F">
        <w:t xml:space="preserve"> previously</w:t>
      </w:r>
      <w:r w:rsidRPr="001A6832">
        <w:t xml:space="preserve">, the </w:t>
      </w:r>
      <w:r w:rsidR="003D4918">
        <w:t>Utility</w:t>
      </w:r>
      <w:r w:rsidRPr="001A6832">
        <w:t xml:space="preserve"> agreed to audit adjustments to decrease wastewater working capital by $50,119. Based on further review, additional adjustments are necessary to address the appropriate amounts for deferred rate case expense (DRCE) and current rate case expense.</w:t>
      </w:r>
    </w:p>
    <w:p w:rsidR="001A6832" w:rsidRPr="001A6832" w:rsidRDefault="001A6832" w:rsidP="00927CE3">
      <w:pPr>
        <w:autoSpaceDE w:val="0"/>
        <w:autoSpaceDN w:val="0"/>
        <w:adjustRightInd w:val="0"/>
        <w:rPr>
          <w:rFonts w:cs="Calibri"/>
        </w:rPr>
      </w:pPr>
    </w:p>
    <w:p w:rsidR="001A6832" w:rsidRPr="001A6832" w:rsidRDefault="001A6832" w:rsidP="004700BB">
      <w:pPr>
        <w:autoSpaceDE w:val="0"/>
        <w:autoSpaceDN w:val="0"/>
        <w:adjustRightInd w:val="0"/>
        <w:ind w:firstLine="720"/>
        <w:jc w:val="both"/>
      </w:pPr>
      <w:r w:rsidRPr="001A6832">
        <w:t xml:space="preserve">The </w:t>
      </w:r>
      <w:r w:rsidR="003D4918">
        <w:t>Utility</w:t>
      </w:r>
      <w:r w:rsidRPr="001A6832">
        <w:t xml:space="preserve"> included $60,448 in its working capital calculation for DRCE.</w:t>
      </w:r>
      <w:r w:rsidRPr="001A6832">
        <w:rPr>
          <w:i/>
        </w:rPr>
        <w:t xml:space="preserve"> </w:t>
      </w:r>
      <w:r w:rsidRPr="001A6832">
        <w:t>It is Commission practice to include one-half of the approved amount of rate case expense from prior cases that have not been fully amortized, as well as half of the approved amount in the instant docket in working capital under the balance sheet method.</w:t>
      </w:r>
      <w:r w:rsidRPr="001A6832">
        <w:rPr>
          <w:vertAlign w:val="superscript"/>
        </w:rPr>
        <w:footnoteReference w:id="14"/>
      </w:r>
      <w:r w:rsidRPr="001A6832">
        <w:t xml:space="preserve"> In the </w:t>
      </w:r>
      <w:r w:rsidR="003D4918">
        <w:t>Utility</w:t>
      </w:r>
      <w:r w:rsidRPr="001A6832">
        <w:t xml:space="preserve">'s last rate case, </w:t>
      </w:r>
      <w:r w:rsidR="004700BB">
        <w:t>this</w:t>
      </w:r>
      <w:r w:rsidRPr="001A6832">
        <w:t xml:space="preserve"> Commission approved total rate case expense of $149,321 to be amortized over four years.</w:t>
      </w:r>
      <w:r w:rsidRPr="001A6832">
        <w:rPr>
          <w:vertAlign w:val="superscript"/>
        </w:rPr>
        <w:footnoteReference w:id="15"/>
      </w:r>
      <w:r w:rsidRPr="001A6832">
        <w:t xml:space="preserve"> </w:t>
      </w:r>
      <w:r w:rsidR="00BE56A1">
        <w:t>We find</w:t>
      </w:r>
      <w:r w:rsidRPr="001A6832">
        <w:t xml:space="preserve"> that one-half of the prior Commission-approved rate case expense, or $74,661, is the appropriate amount of DRCE to be included in working capital. As such, DRCE </w:t>
      </w:r>
      <w:r w:rsidR="004700BB" w:rsidRPr="004700BB">
        <w:t xml:space="preserve">shall </w:t>
      </w:r>
      <w:r w:rsidRPr="001A6832">
        <w:t>be increased by $14,213 ($74,661 - $60,448), $2,738 for water and $11,475 for wastewater.</w:t>
      </w:r>
    </w:p>
    <w:p w:rsidR="001A6832" w:rsidRPr="001A6832" w:rsidRDefault="001A6832" w:rsidP="00EC0B1C">
      <w:pPr>
        <w:autoSpaceDE w:val="0"/>
        <w:autoSpaceDN w:val="0"/>
        <w:adjustRightInd w:val="0"/>
        <w:jc w:val="both"/>
      </w:pPr>
    </w:p>
    <w:p w:rsidR="001A6832" w:rsidRPr="001A6832" w:rsidRDefault="001A6832" w:rsidP="004700BB">
      <w:pPr>
        <w:autoSpaceDE w:val="0"/>
        <w:autoSpaceDN w:val="0"/>
        <w:adjustRightInd w:val="0"/>
        <w:ind w:firstLine="720"/>
        <w:jc w:val="both"/>
        <w:rPr>
          <w:i/>
        </w:rPr>
      </w:pPr>
      <w:r w:rsidRPr="001A6832">
        <w:t xml:space="preserve">As addressed </w:t>
      </w:r>
      <w:r w:rsidR="004700BB">
        <w:t>later</w:t>
      </w:r>
      <w:r w:rsidRPr="001A6832">
        <w:t xml:space="preserve">, total rate case expense </w:t>
      </w:r>
      <w:r w:rsidR="004700BB">
        <w:t>shall be</w:t>
      </w:r>
      <w:r w:rsidRPr="001A6832">
        <w:t xml:space="preserve"> $95,082. Consistent with</w:t>
      </w:r>
      <w:r w:rsidR="004700BB">
        <w:t xml:space="preserve"> this</w:t>
      </w:r>
      <w:r w:rsidRPr="001A6832">
        <w:t xml:space="preserve"> Commission</w:t>
      </w:r>
      <w:r w:rsidR="004700BB">
        <w:t>’s</w:t>
      </w:r>
      <w:r w:rsidRPr="001A6832">
        <w:t xml:space="preserve"> practice, the allocation of one-half of the rate case expense for the instant case results in $9,984 for water and $37,557 for wastewater. This is a reduction of $7,272 and $27,151 for water and wastewater respectively over the amount of current rate case expense included in the MFRs. </w:t>
      </w:r>
    </w:p>
    <w:p w:rsidR="001A6832" w:rsidRPr="001A6832" w:rsidRDefault="001A6832" w:rsidP="00EC0B1C">
      <w:pPr>
        <w:autoSpaceDE w:val="0"/>
        <w:autoSpaceDN w:val="0"/>
        <w:adjustRightInd w:val="0"/>
        <w:jc w:val="both"/>
        <w:rPr>
          <w:i/>
        </w:rPr>
      </w:pPr>
    </w:p>
    <w:p w:rsidR="001A6832" w:rsidRPr="001A6832" w:rsidRDefault="001A6832" w:rsidP="004700BB">
      <w:pPr>
        <w:autoSpaceDE w:val="0"/>
        <w:autoSpaceDN w:val="0"/>
        <w:adjustRightInd w:val="0"/>
        <w:ind w:firstLine="720"/>
        <w:jc w:val="both"/>
      </w:pPr>
      <w:r w:rsidRPr="001A6832">
        <w:rPr>
          <w:rFonts w:cs="Calibri"/>
        </w:rPr>
        <w:t xml:space="preserve">Based on the adjustments above, </w:t>
      </w:r>
      <w:r w:rsidR="004700BB">
        <w:rPr>
          <w:rFonts w:cs="Calibri"/>
        </w:rPr>
        <w:t>we hereby approve</w:t>
      </w:r>
      <w:r w:rsidRPr="001A6832">
        <w:rPr>
          <w:rFonts w:cs="Calibri"/>
        </w:rPr>
        <w:t xml:space="preserve"> a working capital allowance of $77,050 for water and $217,123 for wastewater. This reflects decreases of $4,534 for water and $65,795 for wastewater. </w:t>
      </w:r>
      <w:r w:rsidRPr="001A6832">
        <w:t>These adjustments are</w:t>
      </w:r>
      <w:r w:rsidR="002F0984">
        <w:t xml:space="preserve"> illustrated in the Table 11 </w:t>
      </w:r>
      <w:r w:rsidRPr="001A6832">
        <w:t>below.</w:t>
      </w:r>
    </w:p>
    <w:p w:rsidR="003D65F6" w:rsidRPr="00927CE3" w:rsidRDefault="003D65F6" w:rsidP="00927CE3">
      <w:pPr>
        <w:rPr>
          <w:rFonts w:ascii="Arial" w:hAnsi="Arial" w:cs="Arial"/>
        </w:rPr>
      </w:pPr>
    </w:p>
    <w:p w:rsidR="00D97EA2" w:rsidRPr="00927CE3" w:rsidRDefault="00D97EA2" w:rsidP="00927CE3">
      <w:pPr>
        <w:rPr>
          <w:rFonts w:ascii="Arial" w:hAnsi="Arial" w:cs="Arial"/>
        </w:rPr>
      </w:pPr>
    </w:p>
    <w:p w:rsidR="00D97EA2" w:rsidRPr="00927CE3" w:rsidRDefault="00D97EA2" w:rsidP="00927CE3">
      <w:pPr>
        <w:rPr>
          <w:rFonts w:ascii="Arial" w:hAnsi="Arial" w:cs="Arial"/>
        </w:rPr>
      </w:pPr>
    </w:p>
    <w:p w:rsidR="001A6832" w:rsidRPr="001A6832" w:rsidRDefault="002F0984" w:rsidP="00EC0B1C">
      <w:pPr>
        <w:jc w:val="center"/>
        <w:rPr>
          <w:rFonts w:ascii="Arial" w:hAnsi="Arial" w:cs="Arial"/>
          <w:b/>
        </w:rPr>
      </w:pPr>
      <w:r>
        <w:rPr>
          <w:rFonts w:ascii="Arial" w:hAnsi="Arial" w:cs="Arial"/>
          <w:b/>
        </w:rPr>
        <w:lastRenderedPageBreak/>
        <w:t>Table 1</w:t>
      </w:r>
      <w:r w:rsidR="001A6832" w:rsidRPr="001A6832">
        <w:rPr>
          <w:rFonts w:ascii="Arial" w:hAnsi="Arial" w:cs="Arial"/>
          <w:b/>
        </w:rPr>
        <w:t>1</w:t>
      </w:r>
    </w:p>
    <w:p w:rsidR="001A6832" w:rsidRPr="001A6832" w:rsidRDefault="001A6832" w:rsidP="00EC0B1C">
      <w:pPr>
        <w:jc w:val="center"/>
        <w:rPr>
          <w:rFonts w:ascii="Arial" w:hAnsi="Arial" w:cs="Arial"/>
          <w:b/>
        </w:rPr>
      </w:pPr>
      <w:r w:rsidRPr="001A6832">
        <w:rPr>
          <w:rFonts w:ascii="Arial" w:hAnsi="Arial" w:cs="Arial"/>
          <w:b/>
        </w:rPr>
        <w:t>Working Capital Adjustments</w:t>
      </w:r>
    </w:p>
    <w:tbl>
      <w:tblPr>
        <w:tblStyle w:val="TableGrid4"/>
        <w:tblW w:w="0" w:type="auto"/>
        <w:tblInd w:w="738" w:type="dxa"/>
        <w:tblLook w:val="04A0" w:firstRow="1" w:lastRow="0" w:firstColumn="1" w:lastColumn="0" w:noHBand="0" w:noVBand="1"/>
      </w:tblPr>
      <w:tblGrid>
        <w:gridCol w:w="4396"/>
        <w:gridCol w:w="1980"/>
        <w:gridCol w:w="1980"/>
      </w:tblGrid>
      <w:tr w:rsidR="001A6832" w:rsidRPr="001A6832" w:rsidTr="00CD724F">
        <w:tc>
          <w:tcPr>
            <w:tcW w:w="4396" w:type="dxa"/>
          </w:tcPr>
          <w:p w:rsidR="001A6832" w:rsidRPr="001A6832" w:rsidRDefault="001A6832" w:rsidP="00EC0B1C">
            <w:pPr>
              <w:jc w:val="center"/>
              <w:rPr>
                <w:b/>
              </w:rPr>
            </w:pPr>
            <w:r w:rsidRPr="001A6832">
              <w:rPr>
                <w:b/>
                <w:bCs/>
                <w:kern w:val="32"/>
                <w:szCs w:val="32"/>
              </w:rPr>
              <w:t>Description</w:t>
            </w:r>
          </w:p>
        </w:tc>
        <w:tc>
          <w:tcPr>
            <w:tcW w:w="1980" w:type="dxa"/>
          </w:tcPr>
          <w:p w:rsidR="001A6832" w:rsidRPr="001A6832" w:rsidRDefault="001A6832" w:rsidP="00EC0B1C">
            <w:pPr>
              <w:jc w:val="center"/>
              <w:rPr>
                <w:b/>
              </w:rPr>
            </w:pPr>
            <w:r w:rsidRPr="001A6832">
              <w:rPr>
                <w:b/>
              </w:rPr>
              <w:t>Water</w:t>
            </w:r>
          </w:p>
        </w:tc>
        <w:tc>
          <w:tcPr>
            <w:tcW w:w="1980" w:type="dxa"/>
          </w:tcPr>
          <w:p w:rsidR="001A6832" w:rsidRPr="001A6832" w:rsidRDefault="001A6832" w:rsidP="00EC0B1C">
            <w:pPr>
              <w:jc w:val="center"/>
              <w:rPr>
                <w:b/>
              </w:rPr>
            </w:pPr>
            <w:r w:rsidRPr="001A6832">
              <w:rPr>
                <w:b/>
                <w:bCs/>
                <w:kern w:val="32"/>
                <w:szCs w:val="32"/>
              </w:rPr>
              <w:t>Wastewater</w:t>
            </w:r>
          </w:p>
        </w:tc>
      </w:tr>
      <w:tr w:rsidR="001A6832" w:rsidRPr="001A6832" w:rsidTr="00CD724F">
        <w:trPr>
          <w:trHeight w:val="323"/>
        </w:trPr>
        <w:tc>
          <w:tcPr>
            <w:tcW w:w="4396" w:type="dxa"/>
            <w:vAlign w:val="center"/>
          </w:tcPr>
          <w:p w:rsidR="001A6832" w:rsidRPr="001A6832" w:rsidRDefault="001A6832" w:rsidP="00EC0B1C">
            <w:r w:rsidRPr="001A6832">
              <w:rPr>
                <w:bCs/>
                <w:kern w:val="32"/>
                <w:szCs w:val="32"/>
              </w:rPr>
              <w:t xml:space="preserve">MFR Amount  </w:t>
            </w:r>
          </w:p>
        </w:tc>
        <w:tc>
          <w:tcPr>
            <w:tcW w:w="1980" w:type="dxa"/>
            <w:vAlign w:val="center"/>
          </w:tcPr>
          <w:p w:rsidR="001A6832" w:rsidRPr="001A6832" w:rsidRDefault="001A6832" w:rsidP="00EC0B1C">
            <w:pPr>
              <w:jc w:val="right"/>
            </w:pPr>
            <w:r w:rsidRPr="001A6832">
              <w:rPr>
                <w:bCs/>
                <w:kern w:val="32"/>
                <w:szCs w:val="32"/>
              </w:rPr>
              <w:t>$81,584</w:t>
            </w:r>
          </w:p>
        </w:tc>
        <w:tc>
          <w:tcPr>
            <w:tcW w:w="1980" w:type="dxa"/>
            <w:vAlign w:val="center"/>
          </w:tcPr>
          <w:p w:rsidR="001A6832" w:rsidRPr="001A6832" w:rsidRDefault="001A6832" w:rsidP="00EC0B1C">
            <w:pPr>
              <w:jc w:val="right"/>
            </w:pPr>
            <w:r w:rsidRPr="001A6832">
              <w:rPr>
                <w:bCs/>
                <w:kern w:val="32"/>
                <w:szCs w:val="32"/>
              </w:rPr>
              <w:t>$282,918</w:t>
            </w:r>
          </w:p>
        </w:tc>
      </w:tr>
      <w:tr w:rsidR="001A6832" w:rsidRPr="001A6832" w:rsidTr="00CD724F">
        <w:trPr>
          <w:trHeight w:val="350"/>
        </w:trPr>
        <w:tc>
          <w:tcPr>
            <w:tcW w:w="4396" w:type="dxa"/>
            <w:vAlign w:val="center"/>
          </w:tcPr>
          <w:p w:rsidR="001A6832" w:rsidRPr="001A6832" w:rsidRDefault="001A6832" w:rsidP="00EC0B1C">
            <w:r w:rsidRPr="001A6832">
              <w:rPr>
                <w:bCs/>
                <w:kern w:val="32"/>
                <w:szCs w:val="32"/>
              </w:rPr>
              <w:t xml:space="preserve">Agreed Upon Audit Adjustments  </w:t>
            </w:r>
          </w:p>
        </w:tc>
        <w:tc>
          <w:tcPr>
            <w:tcW w:w="1980" w:type="dxa"/>
            <w:vAlign w:val="center"/>
          </w:tcPr>
          <w:p w:rsidR="001A6832" w:rsidRPr="001A6832" w:rsidRDefault="001A6832" w:rsidP="00EC0B1C">
            <w:pPr>
              <w:jc w:val="right"/>
            </w:pPr>
            <w:r w:rsidRPr="001A6832">
              <w:rPr>
                <w:bCs/>
                <w:kern w:val="32"/>
                <w:szCs w:val="32"/>
              </w:rPr>
              <w:t>0</w:t>
            </w:r>
          </w:p>
        </w:tc>
        <w:tc>
          <w:tcPr>
            <w:tcW w:w="1980" w:type="dxa"/>
            <w:vAlign w:val="center"/>
          </w:tcPr>
          <w:p w:rsidR="001A6832" w:rsidRPr="001A6832" w:rsidRDefault="001A6832" w:rsidP="00EC0B1C">
            <w:pPr>
              <w:jc w:val="right"/>
              <w:rPr>
                <w:bCs/>
                <w:kern w:val="32"/>
                <w:szCs w:val="32"/>
              </w:rPr>
            </w:pPr>
            <w:r w:rsidRPr="001A6832">
              <w:rPr>
                <w:bCs/>
                <w:kern w:val="32"/>
                <w:szCs w:val="32"/>
              </w:rPr>
              <w:t>(50,119)</w:t>
            </w:r>
          </w:p>
        </w:tc>
      </w:tr>
      <w:tr w:rsidR="001A6832" w:rsidRPr="001A6832" w:rsidTr="00CD724F">
        <w:trPr>
          <w:trHeight w:val="350"/>
        </w:trPr>
        <w:tc>
          <w:tcPr>
            <w:tcW w:w="4396" w:type="dxa"/>
            <w:vAlign w:val="center"/>
          </w:tcPr>
          <w:p w:rsidR="001A6832" w:rsidRPr="001A6832" w:rsidRDefault="001A6832" w:rsidP="00EC0B1C">
            <w:r w:rsidRPr="001A6832">
              <w:rPr>
                <w:bCs/>
                <w:kern w:val="32"/>
                <w:szCs w:val="32"/>
              </w:rPr>
              <w:t xml:space="preserve">DRCE Adjustments </w:t>
            </w:r>
          </w:p>
        </w:tc>
        <w:tc>
          <w:tcPr>
            <w:tcW w:w="1980" w:type="dxa"/>
            <w:vAlign w:val="center"/>
          </w:tcPr>
          <w:p w:rsidR="001A6832" w:rsidRPr="001A6832" w:rsidRDefault="001A6832" w:rsidP="00EC0B1C">
            <w:pPr>
              <w:jc w:val="right"/>
            </w:pPr>
            <w:r w:rsidRPr="001A6832">
              <w:rPr>
                <w:bCs/>
                <w:kern w:val="32"/>
                <w:szCs w:val="32"/>
              </w:rPr>
              <w:t>2,738</w:t>
            </w:r>
          </w:p>
        </w:tc>
        <w:tc>
          <w:tcPr>
            <w:tcW w:w="1980" w:type="dxa"/>
            <w:vAlign w:val="center"/>
          </w:tcPr>
          <w:p w:rsidR="001A6832" w:rsidRPr="001A6832" w:rsidRDefault="001A6832" w:rsidP="00EC0B1C">
            <w:pPr>
              <w:jc w:val="right"/>
            </w:pPr>
            <w:r w:rsidRPr="001A6832">
              <w:rPr>
                <w:bCs/>
                <w:kern w:val="32"/>
                <w:szCs w:val="32"/>
              </w:rPr>
              <w:t>11,475</w:t>
            </w:r>
          </w:p>
        </w:tc>
      </w:tr>
      <w:tr w:rsidR="001A6832" w:rsidRPr="001A6832" w:rsidTr="00CD724F">
        <w:trPr>
          <w:trHeight w:val="350"/>
        </w:trPr>
        <w:tc>
          <w:tcPr>
            <w:tcW w:w="4396" w:type="dxa"/>
            <w:vAlign w:val="center"/>
          </w:tcPr>
          <w:p w:rsidR="001A6832" w:rsidRPr="001A6832" w:rsidRDefault="001A6832" w:rsidP="00EC0B1C">
            <w:r w:rsidRPr="001A6832">
              <w:t>Current RCE Adjustment</w:t>
            </w:r>
          </w:p>
        </w:tc>
        <w:tc>
          <w:tcPr>
            <w:tcW w:w="1980" w:type="dxa"/>
            <w:vAlign w:val="center"/>
          </w:tcPr>
          <w:p w:rsidR="001A6832" w:rsidRPr="001A6832" w:rsidRDefault="001A6832" w:rsidP="00EC0B1C">
            <w:pPr>
              <w:jc w:val="right"/>
              <w:rPr>
                <w:u w:val="single"/>
              </w:rPr>
            </w:pPr>
            <w:r w:rsidRPr="001A6832">
              <w:rPr>
                <w:u w:val="single"/>
              </w:rPr>
              <w:t>(7,272)</w:t>
            </w:r>
          </w:p>
        </w:tc>
        <w:tc>
          <w:tcPr>
            <w:tcW w:w="1980" w:type="dxa"/>
            <w:vAlign w:val="center"/>
          </w:tcPr>
          <w:p w:rsidR="001A6832" w:rsidRPr="001A6832" w:rsidRDefault="001A6832" w:rsidP="00EC0B1C">
            <w:pPr>
              <w:jc w:val="right"/>
              <w:rPr>
                <w:u w:val="single"/>
              </w:rPr>
            </w:pPr>
            <w:r w:rsidRPr="001A6832">
              <w:rPr>
                <w:u w:val="single"/>
              </w:rPr>
              <w:t>(27,151)</w:t>
            </w:r>
          </w:p>
        </w:tc>
      </w:tr>
      <w:tr w:rsidR="001A6832" w:rsidRPr="001A6832" w:rsidTr="00CD724F">
        <w:trPr>
          <w:trHeight w:val="350"/>
        </w:trPr>
        <w:tc>
          <w:tcPr>
            <w:tcW w:w="4396" w:type="dxa"/>
            <w:vAlign w:val="center"/>
          </w:tcPr>
          <w:p w:rsidR="001A6832" w:rsidRPr="001A6832" w:rsidRDefault="00BE56A1" w:rsidP="00EC0B1C">
            <w:r>
              <w:rPr>
                <w:bCs/>
                <w:kern w:val="32"/>
                <w:szCs w:val="32"/>
              </w:rPr>
              <w:t>Commission</w:t>
            </w:r>
            <w:r w:rsidR="001A6832" w:rsidRPr="001A6832">
              <w:rPr>
                <w:bCs/>
                <w:kern w:val="32"/>
                <w:szCs w:val="32"/>
              </w:rPr>
              <w:t xml:space="preserve"> Calculated WCA </w:t>
            </w:r>
          </w:p>
        </w:tc>
        <w:tc>
          <w:tcPr>
            <w:tcW w:w="1980" w:type="dxa"/>
            <w:vAlign w:val="center"/>
          </w:tcPr>
          <w:p w:rsidR="001A6832" w:rsidRPr="001A6832" w:rsidRDefault="001A6832" w:rsidP="00EC0B1C">
            <w:pPr>
              <w:jc w:val="right"/>
              <w:rPr>
                <w:u w:val="double"/>
              </w:rPr>
            </w:pPr>
            <w:r w:rsidRPr="001A6832">
              <w:rPr>
                <w:bCs/>
                <w:kern w:val="32"/>
                <w:szCs w:val="32"/>
                <w:u w:val="double"/>
              </w:rPr>
              <w:t>$77,050</w:t>
            </w:r>
          </w:p>
        </w:tc>
        <w:tc>
          <w:tcPr>
            <w:tcW w:w="1980" w:type="dxa"/>
            <w:vAlign w:val="center"/>
          </w:tcPr>
          <w:p w:rsidR="001A6832" w:rsidRPr="001A6832" w:rsidRDefault="001A6832" w:rsidP="00EC0B1C">
            <w:pPr>
              <w:jc w:val="right"/>
              <w:rPr>
                <w:u w:val="double"/>
              </w:rPr>
            </w:pPr>
            <w:r w:rsidRPr="001A6832">
              <w:rPr>
                <w:bCs/>
                <w:kern w:val="32"/>
                <w:szCs w:val="32"/>
                <w:u w:val="double"/>
              </w:rPr>
              <w:t>$217,123</w:t>
            </w:r>
          </w:p>
        </w:tc>
      </w:tr>
      <w:tr w:rsidR="001A6832" w:rsidRPr="001A6832" w:rsidTr="00CD724F">
        <w:trPr>
          <w:trHeight w:val="350"/>
        </w:trPr>
        <w:tc>
          <w:tcPr>
            <w:tcW w:w="4396" w:type="dxa"/>
            <w:vAlign w:val="center"/>
          </w:tcPr>
          <w:p w:rsidR="001A6832" w:rsidRPr="001A6832" w:rsidRDefault="00BE56A1" w:rsidP="00EC0B1C">
            <w:pPr>
              <w:rPr>
                <w:bCs/>
                <w:kern w:val="32"/>
                <w:szCs w:val="32"/>
              </w:rPr>
            </w:pPr>
            <w:r>
              <w:rPr>
                <w:bCs/>
                <w:kern w:val="32"/>
                <w:szCs w:val="32"/>
              </w:rPr>
              <w:t>Commission</w:t>
            </w:r>
            <w:r w:rsidR="001A6832" w:rsidRPr="001A6832">
              <w:rPr>
                <w:bCs/>
                <w:kern w:val="32"/>
                <w:szCs w:val="32"/>
              </w:rPr>
              <w:t xml:space="preserve"> Working Capital Adjustment</w:t>
            </w:r>
          </w:p>
        </w:tc>
        <w:tc>
          <w:tcPr>
            <w:tcW w:w="1980" w:type="dxa"/>
            <w:vAlign w:val="center"/>
          </w:tcPr>
          <w:p w:rsidR="001A6832" w:rsidRPr="001A6832" w:rsidRDefault="001A6832" w:rsidP="00EC0B1C">
            <w:pPr>
              <w:jc w:val="right"/>
              <w:rPr>
                <w:bCs/>
                <w:kern w:val="32"/>
                <w:szCs w:val="32"/>
                <w:u w:val="double"/>
              </w:rPr>
            </w:pPr>
            <w:r w:rsidRPr="001A6832">
              <w:rPr>
                <w:bCs/>
                <w:kern w:val="32"/>
                <w:szCs w:val="32"/>
                <w:u w:val="double"/>
              </w:rPr>
              <w:t>($4,534)</w:t>
            </w:r>
          </w:p>
        </w:tc>
        <w:tc>
          <w:tcPr>
            <w:tcW w:w="1980" w:type="dxa"/>
            <w:vAlign w:val="center"/>
          </w:tcPr>
          <w:p w:rsidR="001A6832" w:rsidRPr="001A6832" w:rsidRDefault="001A6832" w:rsidP="00EC0B1C">
            <w:pPr>
              <w:jc w:val="right"/>
              <w:rPr>
                <w:bCs/>
                <w:kern w:val="32"/>
                <w:szCs w:val="32"/>
                <w:u w:val="double"/>
              </w:rPr>
            </w:pPr>
            <w:r w:rsidRPr="001A6832">
              <w:rPr>
                <w:bCs/>
                <w:kern w:val="32"/>
                <w:szCs w:val="32"/>
                <w:u w:val="double"/>
              </w:rPr>
              <w:t>($65,795)</w:t>
            </w:r>
          </w:p>
        </w:tc>
      </w:tr>
    </w:tbl>
    <w:p w:rsidR="001A6832" w:rsidRPr="001A6832" w:rsidRDefault="001A6832" w:rsidP="00EC0B1C">
      <w:r w:rsidRPr="001A6832">
        <w:t xml:space="preserve">          Source: MFRs, Audit Report for Ni Florida, LLC</w:t>
      </w:r>
    </w:p>
    <w:p w:rsidR="001A6832" w:rsidRPr="001A6832" w:rsidRDefault="001A6832" w:rsidP="00EC0B1C">
      <w:pPr>
        <w:autoSpaceDE w:val="0"/>
        <w:autoSpaceDN w:val="0"/>
        <w:adjustRightInd w:val="0"/>
        <w:jc w:val="both"/>
      </w:pPr>
    </w:p>
    <w:p w:rsidR="002F0984" w:rsidRPr="002F0984" w:rsidRDefault="002F0984" w:rsidP="002F0984">
      <w:pPr>
        <w:jc w:val="center"/>
        <w:outlineLvl w:val="1"/>
        <w:rPr>
          <w:bCs/>
          <w:kern w:val="32"/>
          <w:szCs w:val="32"/>
          <w:u w:val="single"/>
        </w:rPr>
      </w:pPr>
      <w:r w:rsidRPr="002F0984">
        <w:rPr>
          <w:bCs/>
          <w:kern w:val="32"/>
          <w:szCs w:val="32"/>
          <w:u w:val="single"/>
        </w:rPr>
        <w:t>Appropriate Rate Base</w:t>
      </w:r>
    </w:p>
    <w:p w:rsidR="002F0984" w:rsidRDefault="002F0984" w:rsidP="00EC0B1C">
      <w:pPr>
        <w:jc w:val="both"/>
        <w:outlineLvl w:val="1"/>
        <w:rPr>
          <w:rFonts w:ascii="Arial" w:hAnsi="Arial" w:cs="Arial"/>
          <w:b/>
          <w:bCs/>
          <w:i/>
          <w:kern w:val="32"/>
          <w:szCs w:val="32"/>
        </w:rPr>
      </w:pPr>
    </w:p>
    <w:p w:rsidR="001A6832" w:rsidRPr="001A6832" w:rsidRDefault="001A6832" w:rsidP="00EC0B1C">
      <w:pPr>
        <w:jc w:val="both"/>
        <w:outlineLvl w:val="1"/>
        <w:rPr>
          <w:rFonts w:eastAsia="Calibri"/>
        </w:rPr>
      </w:pPr>
      <w:r w:rsidRPr="001A6832">
        <w:rPr>
          <w:b/>
          <w:bCs/>
          <w:i/>
          <w:iCs/>
        </w:rPr>
        <w:t> </w:t>
      </w:r>
      <w:r w:rsidR="002F0984">
        <w:rPr>
          <w:bCs/>
          <w:iCs/>
        </w:rPr>
        <w:tab/>
      </w:r>
      <w:r w:rsidRPr="001A6832">
        <w:t xml:space="preserve">In its MFRs, the </w:t>
      </w:r>
      <w:r w:rsidR="003D4918">
        <w:t>Utility</w:t>
      </w:r>
      <w:r w:rsidRPr="001A6832">
        <w:t xml:space="preserve"> requested rate base of $345,002 for water and $3,943,297 for wastewater. Based on </w:t>
      </w:r>
      <w:r w:rsidR="002F0984">
        <w:t>our</w:t>
      </w:r>
      <w:r w:rsidRPr="001A6832">
        <w:t xml:space="preserve"> adjustments, the appropriate rate base for the test year ended December 31, 2015, is $340,468 for water and $3,964,854 for wastewater. </w:t>
      </w:r>
      <w:r w:rsidR="002F0984">
        <w:t>Our</w:t>
      </w:r>
      <w:r w:rsidRPr="001A6832">
        <w:t xml:space="preserve"> adjustments result in a $4,534 reduction to water rate base and a $21,557 increase to wastewater rate base. </w:t>
      </w:r>
      <w:r w:rsidR="002F0984">
        <w:t>This Commission’s approved</w:t>
      </w:r>
      <w:r w:rsidRPr="001A6832">
        <w:t xml:space="preserve"> water and wastewater rate bases are shown on Schedule Nos. 1-A and 1-B, respectively. The adjustments are shown on Schedule No. 1-C.</w:t>
      </w:r>
    </w:p>
    <w:p w:rsidR="00CD724F" w:rsidRDefault="00CD724F" w:rsidP="00D97EA2">
      <w:pPr>
        <w:rPr>
          <w:bCs/>
          <w:kern w:val="32"/>
          <w:szCs w:val="32"/>
          <w:u w:val="single"/>
        </w:rPr>
      </w:pPr>
    </w:p>
    <w:p w:rsidR="001A6832" w:rsidRPr="002F0984" w:rsidRDefault="002F0984" w:rsidP="002F0984">
      <w:pPr>
        <w:jc w:val="center"/>
        <w:rPr>
          <w:u w:val="single"/>
        </w:rPr>
      </w:pPr>
      <w:r w:rsidRPr="002F0984">
        <w:rPr>
          <w:bCs/>
          <w:kern w:val="32"/>
          <w:szCs w:val="32"/>
          <w:u w:val="single"/>
        </w:rPr>
        <w:t>Appropriate Return on Equity (ROE)</w:t>
      </w:r>
    </w:p>
    <w:p w:rsidR="002F0984" w:rsidRDefault="002F0984" w:rsidP="00EC0B1C">
      <w:pPr>
        <w:autoSpaceDE w:val="0"/>
        <w:autoSpaceDN w:val="0"/>
        <w:adjustRightInd w:val="0"/>
        <w:jc w:val="both"/>
        <w:rPr>
          <w:rFonts w:ascii="Arial" w:hAnsi="Arial" w:cs="Arial"/>
          <w:b/>
          <w:bCs/>
          <w:i/>
          <w:iCs/>
          <w:szCs w:val="28"/>
        </w:rPr>
      </w:pPr>
    </w:p>
    <w:p w:rsidR="001A6832" w:rsidRPr="001A6832" w:rsidRDefault="001A6832" w:rsidP="002F0984">
      <w:pPr>
        <w:autoSpaceDE w:val="0"/>
        <w:autoSpaceDN w:val="0"/>
        <w:adjustRightInd w:val="0"/>
        <w:ind w:firstLine="720"/>
        <w:jc w:val="both"/>
      </w:pPr>
      <w:r w:rsidRPr="001A6832">
        <w:t xml:space="preserve">The </w:t>
      </w:r>
      <w:r w:rsidR="003D4918">
        <w:t>Utility</w:t>
      </w:r>
      <w:r w:rsidRPr="001A6832">
        <w:t xml:space="preserve"> requested an ROE of 9.27 percent. </w:t>
      </w:r>
      <w:r w:rsidRPr="001A6832">
        <w:rPr>
          <w:rFonts w:eastAsia="Calibri"/>
        </w:rPr>
        <w:t>Based on the current leverage formula in effect and an equity ratio of 76.92 percent, the appropriate ROE is 9.</w:t>
      </w:r>
      <w:r w:rsidR="003D65F6">
        <w:rPr>
          <w:rFonts w:eastAsia="Calibri"/>
        </w:rPr>
        <w:t>22</w:t>
      </w:r>
      <w:r w:rsidRPr="001A6832">
        <w:rPr>
          <w:rFonts w:eastAsia="Calibri"/>
        </w:rPr>
        <w:t xml:space="preserve"> percent.</w:t>
      </w:r>
      <w:r w:rsidRPr="001A6832">
        <w:rPr>
          <w:rFonts w:eastAsia="Calibri"/>
          <w:vertAlign w:val="superscript"/>
        </w:rPr>
        <w:footnoteReference w:id="16"/>
      </w:r>
      <w:r w:rsidRPr="001A6832">
        <w:rPr>
          <w:rFonts w:eastAsia="Calibri"/>
          <w:sz w:val="16"/>
          <w:szCs w:val="16"/>
        </w:rPr>
        <w:t xml:space="preserve"> </w:t>
      </w:r>
      <w:r w:rsidR="002F0984">
        <w:rPr>
          <w:rFonts w:eastAsia="Calibri"/>
        </w:rPr>
        <w:t>An</w:t>
      </w:r>
      <w:r w:rsidRPr="001A6832">
        <w:rPr>
          <w:rFonts w:eastAsia="Calibri"/>
        </w:rPr>
        <w:t xml:space="preserve"> allowed range of plus or minus 100 basis points</w:t>
      </w:r>
      <w:r w:rsidR="002F0984">
        <w:rPr>
          <w:rFonts w:eastAsia="Calibri"/>
        </w:rPr>
        <w:t xml:space="preserve"> shall</w:t>
      </w:r>
      <w:r w:rsidRPr="001A6832">
        <w:rPr>
          <w:rFonts w:eastAsia="Calibri"/>
        </w:rPr>
        <w:t xml:space="preserve"> be recognized for ratemaking purposes</w:t>
      </w:r>
      <w:r w:rsidRPr="001A6832">
        <w:t>.</w:t>
      </w:r>
    </w:p>
    <w:p w:rsidR="001A6832" w:rsidRDefault="001A6832" w:rsidP="00EC0B1C">
      <w:pPr>
        <w:jc w:val="both"/>
      </w:pPr>
    </w:p>
    <w:p w:rsidR="002F0984" w:rsidRPr="002F0984" w:rsidRDefault="002F0984" w:rsidP="002F0984">
      <w:pPr>
        <w:jc w:val="center"/>
        <w:rPr>
          <w:u w:val="single"/>
        </w:rPr>
      </w:pPr>
      <w:r w:rsidRPr="002F0984">
        <w:rPr>
          <w:u w:val="single"/>
        </w:rPr>
        <w:t>Weighted Average Cost of Capital</w:t>
      </w:r>
    </w:p>
    <w:p w:rsidR="002F0984" w:rsidRPr="002F0984" w:rsidRDefault="002F0984" w:rsidP="00EC0B1C">
      <w:pPr>
        <w:jc w:val="both"/>
        <w:outlineLvl w:val="0"/>
        <w:rPr>
          <w:rFonts w:ascii="Arial" w:hAnsi="Arial" w:cs="Arial"/>
          <w:bCs/>
          <w:kern w:val="32"/>
          <w:szCs w:val="32"/>
        </w:rPr>
      </w:pPr>
    </w:p>
    <w:p w:rsidR="001A6832" w:rsidRPr="001A6832" w:rsidRDefault="001A6832" w:rsidP="002F0984">
      <w:pPr>
        <w:ind w:firstLine="720"/>
        <w:jc w:val="both"/>
        <w:outlineLvl w:val="0"/>
        <w:rPr>
          <w:bCs/>
          <w:kern w:val="32"/>
          <w:szCs w:val="32"/>
        </w:rPr>
      </w:pPr>
      <w:r w:rsidRPr="001A6832">
        <w:rPr>
          <w:bCs/>
          <w:kern w:val="32"/>
          <w:szCs w:val="32"/>
        </w:rPr>
        <w:t xml:space="preserve">In its filing, Ni Florida requested an overall cost of capital of 8.15 percent. </w:t>
      </w:r>
      <w:r w:rsidR="00BE56A1">
        <w:rPr>
          <w:bCs/>
          <w:kern w:val="32"/>
          <w:szCs w:val="32"/>
        </w:rPr>
        <w:t>This Commission made</w:t>
      </w:r>
      <w:r w:rsidRPr="001A6832">
        <w:rPr>
          <w:bCs/>
          <w:kern w:val="32"/>
          <w:szCs w:val="32"/>
        </w:rPr>
        <w:t xml:space="preserve"> several adjustments to the </w:t>
      </w:r>
      <w:r w:rsidR="003D4918">
        <w:rPr>
          <w:bCs/>
          <w:kern w:val="32"/>
          <w:szCs w:val="32"/>
        </w:rPr>
        <w:t>Utility</w:t>
      </w:r>
      <w:r w:rsidRPr="001A6832">
        <w:rPr>
          <w:bCs/>
          <w:kern w:val="32"/>
          <w:szCs w:val="32"/>
        </w:rPr>
        <w:t>’s capital components included in its capital structure.</w:t>
      </w:r>
    </w:p>
    <w:p w:rsidR="002F0984" w:rsidRDefault="002F0984" w:rsidP="00EC0B1C">
      <w:pPr>
        <w:jc w:val="both"/>
        <w:outlineLvl w:val="0"/>
        <w:rPr>
          <w:bCs/>
          <w:kern w:val="32"/>
          <w:szCs w:val="32"/>
        </w:rPr>
      </w:pPr>
    </w:p>
    <w:p w:rsidR="001A6832" w:rsidRPr="001A6832" w:rsidRDefault="001A6832" w:rsidP="002F0984">
      <w:pPr>
        <w:ind w:firstLine="720"/>
        <w:jc w:val="both"/>
        <w:outlineLvl w:val="0"/>
        <w:rPr>
          <w:bCs/>
          <w:kern w:val="32"/>
          <w:szCs w:val="32"/>
        </w:rPr>
      </w:pPr>
      <w:r w:rsidRPr="001A6832">
        <w:rPr>
          <w:bCs/>
          <w:kern w:val="32"/>
          <w:szCs w:val="32"/>
        </w:rPr>
        <w:t xml:space="preserve">First, the </w:t>
      </w:r>
      <w:r w:rsidR="003D4918">
        <w:rPr>
          <w:bCs/>
          <w:kern w:val="32"/>
          <w:szCs w:val="32"/>
        </w:rPr>
        <w:t>Utility</w:t>
      </w:r>
      <w:r w:rsidRPr="001A6832">
        <w:rPr>
          <w:bCs/>
          <w:kern w:val="32"/>
          <w:szCs w:val="32"/>
        </w:rPr>
        <w:t xml:space="preserve"> included a cost rate of 6.00 percent for customer deposits. Pursuant to Rule 25-30.311, F.A.C., Customer Deposits, the minimum interest rate for residential customer deposits is 2.00 percent per annum. Going forward, </w:t>
      </w:r>
      <w:r w:rsidR="002F0984">
        <w:rPr>
          <w:bCs/>
          <w:kern w:val="32"/>
          <w:szCs w:val="32"/>
        </w:rPr>
        <w:t>we find</w:t>
      </w:r>
      <w:r w:rsidRPr="001A6832">
        <w:rPr>
          <w:bCs/>
          <w:kern w:val="32"/>
          <w:szCs w:val="32"/>
        </w:rPr>
        <w:t xml:space="preserve"> that 2.00 percent is the appropriate cost rate for customer deposits. </w:t>
      </w:r>
    </w:p>
    <w:p w:rsidR="002F0984" w:rsidRDefault="002F0984" w:rsidP="00EC0B1C">
      <w:pPr>
        <w:jc w:val="both"/>
        <w:outlineLvl w:val="0"/>
        <w:rPr>
          <w:bCs/>
          <w:kern w:val="32"/>
          <w:szCs w:val="32"/>
        </w:rPr>
      </w:pPr>
    </w:p>
    <w:p w:rsidR="00927CE3" w:rsidRDefault="00927CE3" w:rsidP="00EC0B1C">
      <w:pPr>
        <w:jc w:val="both"/>
        <w:outlineLvl w:val="0"/>
        <w:rPr>
          <w:bCs/>
          <w:kern w:val="32"/>
          <w:szCs w:val="32"/>
        </w:rPr>
      </w:pPr>
    </w:p>
    <w:p w:rsidR="001A6832" w:rsidRPr="001A6832" w:rsidRDefault="001A6832" w:rsidP="002F0984">
      <w:pPr>
        <w:ind w:firstLine="720"/>
        <w:jc w:val="both"/>
        <w:outlineLvl w:val="0"/>
        <w:rPr>
          <w:bCs/>
          <w:kern w:val="32"/>
          <w:szCs w:val="32"/>
        </w:rPr>
      </w:pPr>
      <w:r w:rsidRPr="001A6832">
        <w:rPr>
          <w:bCs/>
          <w:kern w:val="32"/>
          <w:szCs w:val="32"/>
        </w:rPr>
        <w:lastRenderedPageBreak/>
        <w:t xml:space="preserve">Second, the </w:t>
      </w:r>
      <w:r w:rsidR="003D4918">
        <w:rPr>
          <w:bCs/>
          <w:kern w:val="32"/>
          <w:szCs w:val="32"/>
        </w:rPr>
        <w:t>Utility</w:t>
      </w:r>
      <w:r w:rsidRPr="001A6832">
        <w:rPr>
          <w:bCs/>
          <w:kern w:val="32"/>
          <w:szCs w:val="32"/>
        </w:rPr>
        <w:t xml:space="preserve"> has requested to include pro forma plant additions in the instant docket. Due to tax timing differences between the Internal Revenue Service and state regulatory depreciation, the additional plant investment caused changes to the balance of accumulated deferred income taxes (ADITs). Ni Florida included in its filling an adjustment to its capital structure to reflect the proper amount of deferred income taxes on its pro forma plant additions. The amount of ADITs included in Ni Florida’s capital structure was reduced by $596 based on </w:t>
      </w:r>
      <w:r w:rsidR="002F0984">
        <w:rPr>
          <w:bCs/>
          <w:kern w:val="32"/>
          <w:szCs w:val="32"/>
        </w:rPr>
        <w:t xml:space="preserve">our </w:t>
      </w:r>
      <w:r w:rsidRPr="001A6832">
        <w:rPr>
          <w:bCs/>
          <w:kern w:val="32"/>
          <w:szCs w:val="32"/>
        </w:rPr>
        <w:t>pro forma calculations.</w:t>
      </w:r>
    </w:p>
    <w:p w:rsidR="002F0984" w:rsidRDefault="002F0984" w:rsidP="00EC0B1C">
      <w:pPr>
        <w:jc w:val="both"/>
        <w:outlineLvl w:val="0"/>
        <w:rPr>
          <w:bCs/>
          <w:kern w:val="32"/>
          <w:szCs w:val="32"/>
        </w:rPr>
      </w:pPr>
    </w:p>
    <w:p w:rsidR="001A6832" w:rsidRPr="001A6832" w:rsidRDefault="001A6832" w:rsidP="002F0984">
      <w:pPr>
        <w:ind w:firstLine="720"/>
        <w:jc w:val="both"/>
        <w:outlineLvl w:val="0"/>
        <w:rPr>
          <w:kern w:val="32"/>
          <w:szCs w:val="32"/>
        </w:rPr>
      </w:pPr>
      <w:r w:rsidRPr="001A6832">
        <w:rPr>
          <w:bCs/>
          <w:kern w:val="32"/>
          <w:szCs w:val="32"/>
        </w:rPr>
        <w:t xml:space="preserve">Based upon the proper components, amounts, and cost rates associated with the capital structure for the test year ended December 31, 2015, including the aforementioned adjustments, </w:t>
      </w:r>
      <w:r w:rsidR="002F0984">
        <w:rPr>
          <w:bCs/>
          <w:kern w:val="32"/>
          <w:szCs w:val="32"/>
        </w:rPr>
        <w:t xml:space="preserve">the appropriate </w:t>
      </w:r>
      <w:r w:rsidRPr="001A6832">
        <w:rPr>
          <w:bCs/>
          <w:kern w:val="32"/>
          <w:szCs w:val="32"/>
        </w:rPr>
        <w:t xml:space="preserve">weighted average cost of capital </w:t>
      </w:r>
      <w:r w:rsidR="002F0984">
        <w:rPr>
          <w:bCs/>
          <w:kern w:val="32"/>
          <w:szCs w:val="32"/>
        </w:rPr>
        <w:t>is</w:t>
      </w:r>
      <w:r w:rsidRPr="001A6832">
        <w:rPr>
          <w:bCs/>
          <w:kern w:val="32"/>
          <w:szCs w:val="32"/>
        </w:rPr>
        <w:t xml:space="preserve"> </w:t>
      </w:r>
      <w:r w:rsidR="003D65F6">
        <w:rPr>
          <w:bCs/>
          <w:kern w:val="32"/>
          <w:szCs w:val="32"/>
        </w:rPr>
        <w:t>7.86</w:t>
      </w:r>
      <w:r w:rsidRPr="001A6832">
        <w:rPr>
          <w:bCs/>
          <w:kern w:val="32"/>
          <w:szCs w:val="32"/>
        </w:rPr>
        <w:t xml:space="preserve"> percent. Schedule No. 2 details</w:t>
      </w:r>
      <w:r w:rsidR="002F0984">
        <w:rPr>
          <w:bCs/>
          <w:kern w:val="32"/>
          <w:szCs w:val="32"/>
        </w:rPr>
        <w:t xml:space="preserve"> the approved </w:t>
      </w:r>
      <w:r w:rsidRPr="001A6832">
        <w:rPr>
          <w:bCs/>
          <w:kern w:val="32"/>
          <w:szCs w:val="32"/>
        </w:rPr>
        <w:t>overall cost of capital.</w:t>
      </w:r>
    </w:p>
    <w:p w:rsidR="002F0984" w:rsidRPr="00927CE3" w:rsidRDefault="002F0984" w:rsidP="00EC0B1C">
      <w:pPr>
        <w:jc w:val="both"/>
        <w:rPr>
          <w:rFonts w:ascii="Arial" w:hAnsi="Arial" w:cs="Arial"/>
          <w:i/>
        </w:rPr>
      </w:pPr>
    </w:p>
    <w:p w:rsidR="002F0984" w:rsidRPr="002F0984" w:rsidRDefault="002F0984" w:rsidP="002F0984">
      <w:pPr>
        <w:jc w:val="center"/>
        <w:rPr>
          <w:u w:val="single"/>
        </w:rPr>
      </w:pPr>
      <w:r w:rsidRPr="002F0984">
        <w:rPr>
          <w:u w:val="single"/>
        </w:rPr>
        <w:t>Test Year Revenues</w:t>
      </w:r>
    </w:p>
    <w:p w:rsidR="002F0984" w:rsidRPr="00927CE3" w:rsidRDefault="002F0984" w:rsidP="00EC0B1C">
      <w:pPr>
        <w:jc w:val="both"/>
        <w:rPr>
          <w:rFonts w:ascii="Arial" w:hAnsi="Arial" w:cs="Arial"/>
          <w:i/>
        </w:rPr>
      </w:pPr>
    </w:p>
    <w:p w:rsidR="001A6832" w:rsidRPr="001A6832" w:rsidRDefault="001A6832" w:rsidP="002F0984">
      <w:pPr>
        <w:ind w:firstLine="720"/>
        <w:jc w:val="both"/>
      </w:pPr>
      <w:r w:rsidRPr="001A6832">
        <w:t>In its MFRs, Ni Florida’s adjusted test year revenues were $243,169 for water and $1,929,738 for wastewater. The water revenues include $236,812 of service revenues and $6,357 of miscellaneous revenues. The wastewater revenues include $1,875,982 of service revenues and $53,756 of miscellaneous revenues. In review</w:t>
      </w:r>
      <w:r w:rsidR="00767588">
        <w:t>ing</w:t>
      </w:r>
      <w:r w:rsidRPr="001A6832">
        <w:t xml:space="preserve"> the </w:t>
      </w:r>
      <w:r w:rsidR="003D4918">
        <w:t>Utility</w:t>
      </w:r>
      <w:r w:rsidRPr="001A6832">
        <w:t xml:space="preserve">’s adjusted test year billing data for water, </w:t>
      </w:r>
      <w:r w:rsidR="00767588">
        <w:t>we</w:t>
      </w:r>
      <w:r w:rsidRPr="001A6832">
        <w:t xml:space="preserve"> found that the </w:t>
      </w:r>
      <w:r w:rsidR="003D4918">
        <w:t>Utility</w:t>
      </w:r>
      <w:r w:rsidRPr="001A6832">
        <w:t xml:space="preserve"> understated the number of residential bills. Based on the audit, </w:t>
      </w:r>
      <w:r w:rsidR="00767588">
        <w:t>we</w:t>
      </w:r>
      <w:r w:rsidRPr="001A6832">
        <w:t xml:space="preserve"> made the adjustments to reflect the appropriate number of billing determinants. Furthermore, the </w:t>
      </w:r>
      <w:r w:rsidR="003D4918">
        <w:t>Utility</w:t>
      </w:r>
      <w:r w:rsidRPr="001A6832">
        <w:t xml:space="preserve"> had a four year rate reduction that became effective on November 20, 2015. </w:t>
      </w:r>
      <w:r w:rsidR="00767588">
        <w:t>We</w:t>
      </w:r>
      <w:r w:rsidRPr="001A6832">
        <w:t xml:space="preserve"> annualized test year revenues by applying the rates in effect at the end of the test year to the adjusted billing determinants. Therefore, the test year service revenues for water </w:t>
      </w:r>
      <w:r w:rsidR="00767588" w:rsidRPr="00767588">
        <w:t xml:space="preserve">shall </w:t>
      </w:r>
      <w:r w:rsidRPr="001A6832">
        <w:t xml:space="preserve">be $218,090, which results in a decrease of $18,721 ($236,812 - $218,090). For wastewater, </w:t>
      </w:r>
      <w:r w:rsidR="00767588">
        <w:t>we</w:t>
      </w:r>
      <w:r w:rsidRPr="001A6832">
        <w:t xml:space="preserve"> found that the </w:t>
      </w:r>
      <w:r w:rsidR="003D4918">
        <w:t>Utility</w:t>
      </w:r>
      <w:r w:rsidRPr="001A6832">
        <w:t xml:space="preserve"> overstated the number of residential bills during the test year. The </w:t>
      </w:r>
      <w:r w:rsidR="003D4918">
        <w:t>Utility</w:t>
      </w:r>
      <w:r w:rsidRPr="001A6832">
        <w:t xml:space="preserve"> also did not provide any billing determinants for wastewater general service 5/8” x 3/4” meter size. </w:t>
      </w:r>
      <w:r w:rsidR="00767588">
        <w:t>We</w:t>
      </w:r>
      <w:r w:rsidRPr="001A6832">
        <w:t xml:space="preserve"> made the necessary adjustments to reflect the appropriate billing determinants, which results in an increase of $12,664. The test year service revenues for wastewater </w:t>
      </w:r>
      <w:r w:rsidR="00767588" w:rsidRPr="00767588">
        <w:t xml:space="preserve">shall </w:t>
      </w:r>
      <w:r w:rsidRPr="001A6832">
        <w:t xml:space="preserve">be $1,888,646 ($1,875,982 + $12,664). </w:t>
      </w:r>
    </w:p>
    <w:p w:rsidR="001A6832" w:rsidRPr="001A6832" w:rsidRDefault="001A6832" w:rsidP="00927CE3">
      <w:pPr>
        <w:tabs>
          <w:tab w:val="left" w:pos="6810"/>
        </w:tabs>
      </w:pPr>
    </w:p>
    <w:p w:rsidR="001A6832" w:rsidRPr="001A6832" w:rsidRDefault="00767588" w:rsidP="00767588">
      <w:pPr>
        <w:ind w:firstLine="720"/>
        <w:jc w:val="both"/>
        <w:rPr>
          <w:highlight w:val="yellow"/>
        </w:rPr>
      </w:pPr>
      <w:r>
        <w:t>We</w:t>
      </w:r>
      <w:r w:rsidR="001A6832" w:rsidRPr="001A6832">
        <w:t xml:space="preserve"> also made adjustments to miscellaneous revenues for water and wastewater. </w:t>
      </w:r>
      <w:r>
        <w:t>We</w:t>
      </w:r>
      <w:r w:rsidR="001A6832" w:rsidRPr="001A6832">
        <w:t xml:space="preserve"> found that the </w:t>
      </w:r>
      <w:r w:rsidR="003D4918">
        <w:t>Utility</w:t>
      </w:r>
      <w:r w:rsidR="001A6832" w:rsidRPr="001A6832">
        <w:t xml:space="preserve"> understated the number of occurrences for late payments during the test year. Therefore, </w:t>
      </w:r>
      <w:r>
        <w:t>we</w:t>
      </w:r>
      <w:r w:rsidR="001A6832" w:rsidRPr="001A6832">
        <w:t xml:space="preserve"> increased miscellaneous revenues for water and wastewater revenues by $159 and $123, respectively. </w:t>
      </w:r>
      <w:r>
        <w:t>We</w:t>
      </w:r>
      <w:r w:rsidR="001A6832" w:rsidRPr="001A6832">
        <w:t xml:space="preserve"> also increased wastewater miscellaneous revenues to reflect the appropriate number of premises visits, which resulted in an increase of $125. For wastewater, the </w:t>
      </w:r>
      <w:r w:rsidR="003D4918">
        <w:t>Utility</w:t>
      </w:r>
      <w:r w:rsidR="001A6832" w:rsidRPr="001A6832">
        <w:t xml:space="preserve"> did not record an initial connection charge, which resulted in $27 increase. Furthermore, as discussed </w:t>
      </w:r>
      <w:r>
        <w:t>later</w:t>
      </w:r>
      <w:r w:rsidR="001A6832" w:rsidRPr="001A6832">
        <w:t xml:space="preserve">, </w:t>
      </w:r>
      <w:r>
        <w:t xml:space="preserve">we are approving </w:t>
      </w:r>
      <w:r w:rsidR="001A6832" w:rsidRPr="001A6832">
        <w:t>violation reconnection charge</w:t>
      </w:r>
      <w:r w:rsidR="003D65F6">
        <w:t>s based on</w:t>
      </w:r>
      <w:r w:rsidR="001A6832" w:rsidRPr="001A6832">
        <w:t xml:space="preserve"> joint agreement</w:t>
      </w:r>
      <w:r w:rsidR="003D65F6">
        <w:t>s</w:t>
      </w:r>
      <w:r w:rsidR="001A6832" w:rsidRPr="001A6832">
        <w:t xml:space="preserve"> with Pasco County</w:t>
      </w:r>
      <w:r w:rsidR="003D65F6">
        <w:t xml:space="preserve"> and Hudson Water Works</w:t>
      </w:r>
      <w:r w:rsidR="001A6832" w:rsidRPr="001A6832">
        <w:t xml:space="preserve">. Therefore, </w:t>
      </w:r>
      <w:r>
        <w:t>we</w:t>
      </w:r>
      <w:r w:rsidR="001A6832" w:rsidRPr="001A6832">
        <w:t xml:space="preserve"> imputed revenues of $</w:t>
      </w:r>
      <w:r w:rsidR="003D65F6">
        <w:t>8,225</w:t>
      </w:r>
      <w:r w:rsidR="001A6832" w:rsidRPr="001A6832">
        <w:t xml:space="preserve"> [($125 – $27) x </w:t>
      </w:r>
      <w:r w:rsidR="003D65F6">
        <w:t>55</w:t>
      </w:r>
      <w:r w:rsidR="001A6832" w:rsidRPr="001A6832">
        <w:t>)</w:t>
      </w:r>
      <w:r w:rsidR="003D65F6">
        <w:t xml:space="preserve"> + ((90 – 27) x 45)</w:t>
      </w:r>
      <w:r w:rsidR="001A6832" w:rsidRPr="001A6832">
        <w:t xml:space="preserve">] to reflect the additional miscellaneous revenues. For the reasons outlined above, the miscellaneous revenues for water </w:t>
      </w:r>
      <w:r w:rsidRPr="00767588">
        <w:t xml:space="preserve">shall </w:t>
      </w:r>
      <w:r w:rsidR="001A6832" w:rsidRPr="001A6832">
        <w:t>be $6,516 ($6,357 + 159) and $</w:t>
      </w:r>
      <w:r w:rsidR="003D65F6">
        <w:t>62,256</w:t>
      </w:r>
      <w:r w:rsidR="001A6832" w:rsidRPr="001A6832">
        <w:t xml:space="preserve"> (53,756 + $123 + $125 + $27+ </w:t>
      </w:r>
      <w:r w:rsidR="003D65F6">
        <w:t>8,225</w:t>
      </w:r>
      <w:r w:rsidR="001A6832" w:rsidRPr="001A6832">
        <w:t xml:space="preserve">) for wastewater. Based on the above, the appropriate test year revenues for Ni Florida’s water and wastewater systems, including miscellaneous service </w:t>
      </w:r>
      <w:r w:rsidR="001A6832" w:rsidRPr="001A6832">
        <w:lastRenderedPageBreak/>
        <w:t>revenues are $224,606 and $1,95</w:t>
      </w:r>
      <w:r w:rsidR="00FF4675">
        <w:t>0,902</w:t>
      </w:r>
      <w:r w:rsidR="001A6832" w:rsidRPr="001A6832">
        <w:t xml:space="preserve">. Table </w:t>
      </w:r>
      <w:r>
        <w:t>12</w:t>
      </w:r>
      <w:r w:rsidR="001A6832" w:rsidRPr="001A6832">
        <w:t xml:space="preserve">, represents a summary of </w:t>
      </w:r>
      <w:r>
        <w:t>this Commission’s</w:t>
      </w:r>
      <w:r w:rsidR="001A6832" w:rsidRPr="001A6832">
        <w:t xml:space="preserve"> adjustments for test year revenues.</w:t>
      </w:r>
    </w:p>
    <w:p w:rsidR="001A6832" w:rsidRPr="001A6832" w:rsidRDefault="001A6832" w:rsidP="00EC0B1C">
      <w:pPr>
        <w:jc w:val="both"/>
      </w:pPr>
    </w:p>
    <w:p w:rsidR="001A6832" w:rsidRPr="001A6832" w:rsidRDefault="001A6832" w:rsidP="00767588">
      <w:pPr>
        <w:jc w:val="center"/>
        <w:rPr>
          <w:rFonts w:ascii="Arial" w:hAnsi="Arial" w:cs="Arial"/>
          <w:b/>
        </w:rPr>
      </w:pPr>
      <w:r w:rsidRPr="001A6832">
        <w:rPr>
          <w:rFonts w:ascii="Arial" w:hAnsi="Arial" w:cs="Arial"/>
          <w:b/>
        </w:rPr>
        <w:t xml:space="preserve">Table </w:t>
      </w:r>
      <w:r w:rsidR="00767588">
        <w:rPr>
          <w:rFonts w:ascii="Arial" w:hAnsi="Arial" w:cs="Arial"/>
          <w:b/>
        </w:rPr>
        <w:t>12</w:t>
      </w:r>
    </w:p>
    <w:p w:rsidR="001A6832" w:rsidRPr="001A6832" w:rsidRDefault="001A6832" w:rsidP="00EC0B1C">
      <w:pPr>
        <w:jc w:val="center"/>
      </w:pPr>
      <w:r w:rsidRPr="001A6832">
        <w:rPr>
          <w:rFonts w:ascii="Arial" w:hAnsi="Arial" w:cs="Arial"/>
          <w:b/>
        </w:rPr>
        <w:t>Test Year 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1528"/>
        <w:gridCol w:w="1781"/>
      </w:tblGrid>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both"/>
            </w:pP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center"/>
              <w:rPr>
                <w:b/>
              </w:rPr>
            </w:pPr>
            <w:r w:rsidRPr="001A6832">
              <w:rPr>
                <w:b/>
              </w:rPr>
              <w:t>Water</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center"/>
              <w:rPr>
                <w:b/>
              </w:rPr>
            </w:pPr>
            <w:r w:rsidRPr="001A6832">
              <w:rPr>
                <w:b/>
              </w:rPr>
              <w:t>Wastewater</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both"/>
            </w:pPr>
            <w:r w:rsidRPr="001A6832">
              <w:t>Service Revenues</w:t>
            </w:r>
          </w:p>
        </w:tc>
        <w:tc>
          <w:tcPr>
            <w:tcW w:w="1528"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c>
          <w:tcPr>
            <w:tcW w:w="1781"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both"/>
            </w:pPr>
            <w:r w:rsidRPr="001A6832">
              <w:t xml:space="preserve">     </w:t>
            </w:r>
            <w:r w:rsidR="003D4918">
              <w:t>Utility</w:t>
            </w:r>
            <w:r w:rsidRPr="001A6832">
              <w:t xml:space="preserve"> Recorded Service Revenues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$236,812</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$1,875,982</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1A6832" w:rsidP="00767588">
            <w:pPr>
              <w:jc w:val="both"/>
            </w:pPr>
            <w:r w:rsidRPr="001A6832">
              <w:t xml:space="preserve">     </w:t>
            </w:r>
            <w:r w:rsidR="00767588">
              <w:t>Commission</w:t>
            </w:r>
            <w:r w:rsidRPr="001A6832">
              <w:t xml:space="preserve"> Adjustment</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rPr>
                <w:u w:val="single"/>
              </w:rPr>
            </w:pPr>
            <w:r w:rsidRPr="001A6832">
              <w:rPr>
                <w:u w:val="single"/>
              </w:rPr>
              <w:t>($18,721)</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rPr>
                <w:u w:val="single"/>
              </w:rPr>
            </w:pPr>
            <w:r w:rsidRPr="001A6832">
              <w:rPr>
                <w:u w:val="single"/>
              </w:rPr>
              <w:t>$12,664</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both"/>
              <w:rPr>
                <w:b/>
              </w:rPr>
            </w:pPr>
            <w:r w:rsidRPr="001A6832">
              <w:rPr>
                <w:b/>
              </w:rPr>
              <w:t>Total Service Revenues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 xml:space="preserve">$218,090    </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$1,888,646</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both"/>
            </w:pPr>
          </w:p>
        </w:tc>
        <w:tc>
          <w:tcPr>
            <w:tcW w:w="1528"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c>
          <w:tcPr>
            <w:tcW w:w="1781"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both"/>
            </w:pPr>
            <w:r w:rsidRPr="001A6832">
              <w:t>Miscellaneous Revenues</w:t>
            </w:r>
          </w:p>
        </w:tc>
        <w:tc>
          <w:tcPr>
            <w:tcW w:w="1528"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c>
          <w:tcPr>
            <w:tcW w:w="1781" w:type="dxa"/>
            <w:tcBorders>
              <w:top w:val="single" w:sz="4" w:space="0" w:color="auto"/>
              <w:left w:val="single" w:sz="4" w:space="0" w:color="auto"/>
              <w:bottom w:val="single" w:sz="4" w:space="0" w:color="auto"/>
              <w:right w:val="single" w:sz="4" w:space="0" w:color="auto"/>
            </w:tcBorders>
          </w:tcPr>
          <w:p w:rsidR="001A6832" w:rsidRPr="001A6832" w:rsidRDefault="001A6832" w:rsidP="00EC0B1C">
            <w:pPr>
              <w:jc w:val="right"/>
            </w:pP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767588" w:rsidP="00EC0B1C">
            <w:pPr>
              <w:jc w:val="both"/>
            </w:pPr>
            <w:r>
              <w:t xml:space="preserve">    </w:t>
            </w:r>
            <w:r w:rsidR="003D4918">
              <w:t>Utility</w:t>
            </w:r>
            <w:r w:rsidR="001A6832" w:rsidRPr="001A6832">
              <w:t xml:space="preserve"> Recorded Miscellaneous Revenues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$6,357</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$53,756</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767588" w:rsidP="00767588">
            <w:pPr>
              <w:jc w:val="center"/>
            </w:pPr>
            <w:r>
              <w:t xml:space="preserve">    Commission</w:t>
            </w:r>
            <w:r w:rsidR="001A6832" w:rsidRPr="001A6832">
              <w:t xml:space="preserve"> Miscellaneous Revenue Adjustments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rPr>
                <w:u w:val="single"/>
              </w:rPr>
            </w:pPr>
            <w:r w:rsidRPr="001A6832">
              <w:rPr>
                <w:u w:val="single"/>
              </w:rPr>
              <w:t>$159</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FF4675">
            <w:pPr>
              <w:jc w:val="right"/>
              <w:rPr>
                <w:u w:val="single"/>
              </w:rPr>
            </w:pPr>
            <w:r w:rsidRPr="001A6832">
              <w:rPr>
                <w:u w:val="single"/>
              </w:rPr>
              <w:t>$</w:t>
            </w:r>
            <w:r w:rsidR="00FF4675">
              <w:rPr>
                <w:u w:val="single"/>
              </w:rPr>
              <w:t>8,500</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both"/>
              <w:rPr>
                <w:b/>
              </w:rPr>
            </w:pPr>
            <w:r w:rsidRPr="001A6832">
              <w:rPr>
                <w:b/>
              </w:rPr>
              <w:t>Total Miscellaneous Revenues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$6,516</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FF4675">
            <w:pPr>
              <w:jc w:val="right"/>
            </w:pPr>
            <w:r w:rsidRPr="001A6832">
              <w:t>$</w:t>
            </w:r>
            <w:r w:rsidR="00FF4675">
              <w:t>62,256</w:t>
            </w:r>
          </w:p>
        </w:tc>
      </w:tr>
      <w:tr w:rsidR="001A6832" w:rsidRPr="001A6832" w:rsidTr="00767588">
        <w:trPr>
          <w:jc w:val="center"/>
        </w:trPr>
        <w:tc>
          <w:tcPr>
            <w:tcW w:w="5290"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both"/>
              <w:rPr>
                <w:b/>
              </w:rPr>
            </w:pPr>
            <w:r w:rsidRPr="001A6832">
              <w:rPr>
                <w:b/>
              </w:rPr>
              <w:t>Total Test Year Revenues</w:t>
            </w:r>
          </w:p>
        </w:tc>
        <w:tc>
          <w:tcPr>
            <w:tcW w:w="1528" w:type="dxa"/>
            <w:tcBorders>
              <w:top w:val="single" w:sz="4" w:space="0" w:color="auto"/>
              <w:left w:val="single" w:sz="4" w:space="0" w:color="auto"/>
              <w:bottom w:val="single" w:sz="4" w:space="0" w:color="auto"/>
              <w:right w:val="single" w:sz="4" w:space="0" w:color="auto"/>
            </w:tcBorders>
            <w:hideMark/>
          </w:tcPr>
          <w:p w:rsidR="001A6832" w:rsidRPr="001A6832" w:rsidRDefault="001A6832" w:rsidP="00EC0B1C">
            <w:pPr>
              <w:jc w:val="right"/>
            </w:pPr>
            <w:r w:rsidRPr="001A6832">
              <w:t>$ 224,606</w:t>
            </w:r>
          </w:p>
        </w:tc>
        <w:tc>
          <w:tcPr>
            <w:tcW w:w="1781" w:type="dxa"/>
            <w:tcBorders>
              <w:top w:val="single" w:sz="4" w:space="0" w:color="auto"/>
              <w:left w:val="single" w:sz="4" w:space="0" w:color="auto"/>
              <w:bottom w:val="single" w:sz="4" w:space="0" w:color="auto"/>
              <w:right w:val="single" w:sz="4" w:space="0" w:color="auto"/>
            </w:tcBorders>
            <w:hideMark/>
          </w:tcPr>
          <w:p w:rsidR="001A6832" w:rsidRPr="001A6832" w:rsidRDefault="001A6832" w:rsidP="00FF4675">
            <w:pPr>
              <w:jc w:val="right"/>
            </w:pPr>
            <w:r w:rsidRPr="001A6832">
              <w:t>$1,95</w:t>
            </w:r>
            <w:r w:rsidR="00FF4675">
              <w:t>0,902</w:t>
            </w:r>
          </w:p>
        </w:tc>
      </w:tr>
    </w:tbl>
    <w:p w:rsidR="001A6832" w:rsidRPr="001A6832" w:rsidRDefault="001A6832" w:rsidP="00EC0B1C">
      <w:pPr>
        <w:jc w:val="both"/>
      </w:pPr>
      <w:r w:rsidRPr="001A6832">
        <w:t xml:space="preserve">       Source: </w:t>
      </w:r>
      <w:r w:rsidR="003D4918">
        <w:t>Utility</w:t>
      </w:r>
      <w:r w:rsidRPr="001A6832">
        <w:t xml:space="preserve">’s general ledger and </w:t>
      </w:r>
      <w:r w:rsidR="00767588">
        <w:t>Commission</w:t>
      </w:r>
      <w:r w:rsidRPr="001A6832">
        <w:t xml:space="preserve"> calculations </w:t>
      </w:r>
    </w:p>
    <w:p w:rsidR="00767588" w:rsidRDefault="00767588" w:rsidP="00EC0B1C">
      <w:pPr>
        <w:jc w:val="both"/>
        <w:rPr>
          <w:rFonts w:ascii="Arial" w:hAnsi="Arial" w:cs="Arial"/>
          <w:b/>
          <w:bCs/>
          <w:i/>
          <w:kern w:val="32"/>
          <w:szCs w:val="32"/>
        </w:rPr>
      </w:pPr>
    </w:p>
    <w:p w:rsidR="00767588" w:rsidRPr="00767588" w:rsidRDefault="00767588" w:rsidP="00767588">
      <w:pPr>
        <w:jc w:val="center"/>
        <w:rPr>
          <w:bCs/>
          <w:kern w:val="32"/>
          <w:szCs w:val="32"/>
          <w:u w:val="single"/>
        </w:rPr>
      </w:pPr>
      <w:r w:rsidRPr="00767588">
        <w:rPr>
          <w:bCs/>
          <w:kern w:val="32"/>
          <w:szCs w:val="32"/>
          <w:u w:val="single"/>
        </w:rPr>
        <w:t>Rate Case Expense</w:t>
      </w:r>
    </w:p>
    <w:p w:rsidR="00767588" w:rsidRDefault="00767588" w:rsidP="00EC0B1C">
      <w:pPr>
        <w:jc w:val="both"/>
        <w:rPr>
          <w:rFonts w:ascii="Arial" w:hAnsi="Arial" w:cs="Arial"/>
          <w:b/>
          <w:bCs/>
          <w:i/>
          <w:kern w:val="32"/>
          <w:szCs w:val="32"/>
        </w:rPr>
      </w:pPr>
    </w:p>
    <w:p w:rsidR="001A6832" w:rsidRPr="001A6832" w:rsidRDefault="001A6832" w:rsidP="00767588">
      <w:pPr>
        <w:ind w:firstLine="720"/>
        <w:jc w:val="both"/>
      </w:pPr>
      <w:r w:rsidRPr="001A6832">
        <w:t xml:space="preserve">The </w:t>
      </w:r>
      <w:r w:rsidR="003D4918">
        <w:t>Utility</w:t>
      </w:r>
      <w:r w:rsidRPr="001A6832">
        <w:t xml:space="preserve"> included in its MFRs an estimate of $163,928 </w:t>
      </w:r>
      <w:r w:rsidR="00767588">
        <w:t>for current rate case expense. Commission s</w:t>
      </w:r>
      <w:r w:rsidRPr="001A6832">
        <w:t xml:space="preserve">taff requested an update of the actual rate case expense incurred, with supporting documentation, as well as the estimated amount to complete the case. On September 1, 2016, the </w:t>
      </w:r>
      <w:r w:rsidR="003D4918">
        <w:t>Utility</w:t>
      </w:r>
      <w:r w:rsidRPr="001A6832">
        <w:t xml:space="preserve"> submitted a revised estimate of rate case expense through completion of the PAA process of $107,517 with $82,166 already incurred.</w:t>
      </w:r>
      <w:r w:rsidRPr="001A6832">
        <w:rPr>
          <w:vertAlign w:val="superscript"/>
        </w:rPr>
        <w:footnoteReference w:id="17"/>
      </w:r>
      <w:r w:rsidRPr="001A6832">
        <w:t xml:space="preserve"> The components of the estimated rate case expense are presented in the table below:</w:t>
      </w:r>
    </w:p>
    <w:p w:rsidR="00767588" w:rsidRDefault="00767588" w:rsidP="00EC0B1C">
      <w:pPr>
        <w:jc w:val="center"/>
        <w:rPr>
          <w:rFonts w:ascii="Arial" w:hAnsi="Arial" w:cs="Arial"/>
          <w:b/>
        </w:rPr>
      </w:pPr>
    </w:p>
    <w:p w:rsidR="001A6832" w:rsidRPr="001A6832" w:rsidRDefault="001A6832" w:rsidP="00EC0B1C">
      <w:pPr>
        <w:jc w:val="center"/>
        <w:rPr>
          <w:rFonts w:ascii="Arial" w:hAnsi="Arial" w:cs="Arial"/>
          <w:b/>
        </w:rPr>
      </w:pPr>
      <w:r w:rsidRPr="001A6832">
        <w:rPr>
          <w:rFonts w:ascii="Arial" w:hAnsi="Arial" w:cs="Arial"/>
          <w:b/>
        </w:rPr>
        <w:t xml:space="preserve">Table </w:t>
      </w:r>
      <w:r w:rsidR="00767588">
        <w:rPr>
          <w:rFonts w:ascii="Arial" w:hAnsi="Arial" w:cs="Arial"/>
          <w:b/>
        </w:rPr>
        <w:t>13</w:t>
      </w:r>
      <w:r w:rsidRPr="001A6832">
        <w:rPr>
          <w:rFonts w:ascii="Arial" w:hAnsi="Arial" w:cs="Arial"/>
          <w:b/>
        </w:rPr>
        <w:br/>
        <w:t>Estimated Rate Case Expense</w:t>
      </w:r>
    </w:p>
    <w:tbl>
      <w:tblPr>
        <w:tblW w:w="0" w:type="auto"/>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08"/>
        <w:gridCol w:w="1197"/>
        <w:gridCol w:w="1197"/>
        <w:gridCol w:w="1254"/>
        <w:gridCol w:w="1140"/>
      </w:tblGrid>
      <w:tr w:rsidR="001A6832" w:rsidRPr="001A6832" w:rsidTr="003D4918">
        <w:trPr>
          <w:cantSplit/>
          <w:trHeight w:val="647"/>
        </w:trPr>
        <w:tc>
          <w:tcPr>
            <w:tcW w:w="2508" w:type="dxa"/>
          </w:tcPr>
          <w:p w:rsidR="001A6832" w:rsidRPr="001A6832" w:rsidRDefault="001A6832" w:rsidP="00EC0B1C">
            <w:pPr>
              <w:keepNext/>
              <w:jc w:val="both"/>
              <w:outlineLvl w:val="1"/>
              <w:rPr>
                <w:bCs/>
                <w:iCs/>
                <w:sz w:val="22"/>
                <w:szCs w:val="22"/>
              </w:rPr>
            </w:pPr>
          </w:p>
        </w:tc>
        <w:tc>
          <w:tcPr>
            <w:tcW w:w="1197" w:type="dxa"/>
            <w:vAlign w:val="center"/>
          </w:tcPr>
          <w:p w:rsidR="001A6832" w:rsidRPr="001A6832" w:rsidRDefault="001A6832" w:rsidP="00EC0B1C">
            <w:pPr>
              <w:keepNext/>
              <w:jc w:val="center"/>
              <w:outlineLvl w:val="1"/>
              <w:rPr>
                <w:b/>
                <w:bCs/>
                <w:iCs/>
              </w:rPr>
            </w:pPr>
            <w:r w:rsidRPr="001A6832">
              <w:rPr>
                <w:b/>
                <w:bCs/>
                <w:iCs/>
              </w:rPr>
              <w:t>MFR</w:t>
            </w:r>
          </w:p>
          <w:p w:rsidR="001A6832" w:rsidRPr="001A6832" w:rsidRDefault="001A6832" w:rsidP="00EC0B1C">
            <w:pPr>
              <w:keepNext/>
              <w:jc w:val="center"/>
              <w:outlineLvl w:val="1"/>
              <w:rPr>
                <w:b/>
                <w:bCs/>
                <w:iCs/>
              </w:rPr>
            </w:pPr>
            <w:r w:rsidRPr="001A6832">
              <w:rPr>
                <w:b/>
                <w:bCs/>
                <w:iCs/>
              </w:rPr>
              <w:t>Estimated</w:t>
            </w:r>
          </w:p>
        </w:tc>
        <w:tc>
          <w:tcPr>
            <w:tcW w:w="1197" w:type="dxa"/>
            <w:vAlign w:val="center"/>
          </w:tcPr>
          <w:p w:rsidR="001A6832" w:rsidRPr="001A6832" w:rsidRDefault="001A6832" w:rsidP="00EC0B1C">
            <w:pPr>
              <w:keepNext/>
              <w:jc w:val="center"/>
              <w:outlineLvl w:val="1"/>
              <w:rPr>
                <w:b/>
                <w:bCs/>
                <w:iCs/>
              </w:rPr>
            </w:pPr>
          </w:p>
          <w:p w:rsidR="001A6832" w:rsidRPr="001A6832" w:rsidRDefault="001A6832" w:rsidP="00EC0B1C">
            <w:pPr>
              <w:keepNext/>
              <w:jc w:val="center"/>
              <w:outlineLvl w:val="1"/>
              <w:rPr>
                <w:b/>
                <w:bCs/>
                <w:iCs/>
              </w:rPr>
            </w:pPr>
            <w:r w:rsidRPr="001A6832">
              <w:rPr>
                <w:b/>
                <w:bCs/>
                <w:iCs/>
              </w:rPr>
              <w:t>Actual</w:t>
            </w:r>
          </w:p>
        </w:tc>
        <w:tc>
          <w:tcPr>
            <w:tcW w:w="1254" w:type="dxa"/>
            <w:vAlign w:val="center"/>
          </w:tcPr>
          <w:p w:rsidR="001A6832" w:rsidRPr="001A6832" w:rsidRDefault="001A6832" w:rsidP="00EC0B1C">
            <w:pPr>
              <w:keepNext/>
              <w:jc w:val="center"/>
              <w:outlineLvl w:val="1"/>
              <w:rPr>
                <w:b/>
                <w:bCs/>
                <w:iCs/>
              </w:rPr>
            </w:pPr>
            <w:r w:rsidRPr="001A6832">
              <w:rPr>
                <w:b/>
                <w:bCs/>
                <w:iCs/>
              </w:rPr>
              <w:t>Additional</w:t>
            </w:r>
          </w:p>
          <w:p w:rsidR="001A6832" w:rsidRPr="001A6832" w:rsidRDefault="001A6832" w:rsidP="00EC0B1C">
            <w:pPr>
              <w:keepNext/>
              <w:jc w:val="center"/>
              <w:outlineLvl w:val="1"/>
              <w:rPr>
                <w:b/>
                <w:bCs/>
                <w:iCs/>
              </w:rPr>
            </w:pPr>
            <w:r w:rsidRPr="001A6832">
              <w:rPr>
                <w:b/>
                <w:bCs/>
                <w:iCs/>
              </w:rPr>
              <w:t>Estimated</w:t>
            </w:r>
          </w:p>
        </w:tc>
        <w:tc>
          <w:tcPr>
            <w:tcW w:w="1140" w:type="dxa"/>
            <w:vAlign w:val="center"/>
          </w:tcPr>
          <w:p w:rsidR="001A6832" w:rsidRPr="001A6832" w:rsidRDefault="001A6832" w:rsidP="00EC0B1C">
            <w:pPr>
              <w:keepNext/>
              <w:jc w:val="center"/>
              <w:outlineLvl w:val="1"/>
              <w:rPr>
                <w:b/>
                <w:bCs/>
                <w:iCs/>
              </w:rPr>
            </w:pPr>
          </w:p>
          <w:p w:rsidR="001A6832" w:rsidRPr="001A6832" w:rsidRDefault="001A6832" w:rsidP="00EC0B1C">
            <w:pPr>
              <w:keepNext/>
              <w:jc w:val="center"/>
              <w:outlineLvl w:val="1"/>
              <w:rPr>
                <w:b/>
                <w:bCs/>
                <w:iCs/>
              </w:rPr>
            </w:pPr>
            <w:r w:rsidRPr="001A6832">
              <w:rPr>
                <w:b/>
                <w:bCs/>
                <w:iCs/>
              </w:rPr>
              <w:t>Total</w:t>
            </w:r>
          </w:p>
        </w:tc>
      </w:tr>
      <w:tr w:rsidR="001A6832" w:rsidRPr="001A6832" w:rsidTr="003D4918">
        <w:trPr>
          <w:cantSplit/>
          <w:trHeight w:hRule="exact" w:val="432"/>
        </w:trPr>
        <w:tc>
          <w:tcPr>
            <w:tcW w:w="2508" w:type="dxa"/>
          </w:tcPr>
          <w:p w:rsidR="001A6832" w:rsidRPr="001A6832" w:rsidRDefault="001A6832" w:rsidP="00EC0B1C">
            <w:pPr>
              <w:keepNext/>
              <w:jc w:val="both"/>
              <w:outlineLvl w:val="1"/>
              <w:rPr>
                <w:bCs/>
                <w:iCs/>
                <w:sz w:val="22"/>
                <w:szCs w:val="22"/>
              </w:rPr>
            </w:pPr>
            <w:r w:rsidRPr="001A6832">
              <w:rPr>
                <w:bCs/>
                <w:iCs/>
                <w:sz w:val="22"/>
                <w:szCs w:val="22"/>
              </w:rPr>
              <w:t>Legal Fees</w:t>
            </w:r>
          </w:p>
        </w:tc>
        <w:tc>
          <w:tcPr>
            <w:tcW w:w="1197" w:type="dxa"/>
          </w:tcPr>
          <w:p w:rsidR="001A6832" w:rsidRPr="001A6832" w:rsidRDefault="001A6832" w:rsidP="00EC0B1C">
            <w:pPr>
              <w:keepNext/>
              <w:jc w:val="both"/>
              <w:outlineLvl w:val="1"/>
              <w:rPr>
                <w:bCs/>
                <w:iCs/>
                <w:sz w:val="22"/>
                <w:szCs w:val="22"/>
              </w:rPr>
            </w:pPr>
            <w:r w:rsidRPr="001A6832">
              <w:rPr>
                <w:bCs/>
                <w:iCs/>
                <w:sz w:val="22"/>
                <w:szCs w:val="22"/>
              </w:rPr>
              <w:t xml:space="preserve">      $62,500</w:t>
            </w:r>
          </w:p>
        </w:tc>
        <w:tc>
          <w:tcPr>
            <w:tcW w:w="1197"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$41,599 </w:t>
            </w:r>
          </w:p>
        </w:tc>
        <w:tc>
          <w:tcPr>
            <w:tcW w:w="1254"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$14,875 </w:t>
            </w:r>
          </w:p>
        </w:tc>
        <w:tc>
          <w:tcPr>
            <w:tcW w:w="1140"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$56,474 </w:t>
            </w:r>
          </w:p>
        </w:tc>
      </w:tr>
      <w:tr w:rsidR="001A6832" w:rsidRPr="001A6832" w:rsidTr="003D4918">
        <w:trPr>
          <w:cantSplit/>
          <w:trHeight w:hRule="exact" w:val="432"/>
        </w:trPr>
        <w:tc>
          <w:tcPr>
            <w:tcW w:w="2508" w:type="dxa"/>
          </w:tcPr>
          <w:p w:rsidR="001A6832" w:rsidRPr="001A6832" w:rsidRDefault="001A6832" w:rsidP="00EC0B1C">
            <w:pPr>
              <w:keepNext/>
              <w:jc w:val="both"/>
              <w:outlineLvl w:val="1"/>
              <w:rPr>
                <w:bCs/>
                <w:iCs/>
                <w:sz w:val="22"/>
                <w:szCs w:val="22"/>
              </w:rPr>
            </w:pPr>
            <w:r w:rsidRPr="001A6832">
              <w:rPr>
                <w:bCs/>
                <w:iCs/>
                <w:sz w:val="22"/>
                <w:szCs w:val="22"/>
              </w:rPr>
              <w:t>Accounting Fees</w:t>
            </w:r>
          </w:p>
        </w:tc>
        <w:tc>
          <w:tcPr>
            <w:tcW w:w="1197" w:type="dxa"/>
          </w:tcPr>
          <w:p w:rsidR="001A6832" w:rsidRPr="001A6832" w:rsidRDefault="001A6832" w:rsidP="00EC0B1C">
            <w:pPr>
              <w:keepNext/>
              <w:jc w:val="right"/>
              <w:outlineLvl w:val="1"/>
              <w:rPr>
                <w:bCs/>
                <w:iCs/>
                <w:sz w:val="22"/>
                <w:szCs w:val="22"/>
              </w:rPr>
            </w:pPr>
            <w:r w:rsidRPr="001A6832">
              <w:rPr>
                <w:bCs/>
                <w:iCs/>
                <w:sz w:val="22"/>
                <w:szCs w:val="22"/>
              </w:rPr>
              <w:t>70,000</w:t>
            </w:r>
          </w:p>
        </w:tc>
        <w:tc>
          <w:tcPr>
            <w:tcW w:w="1197"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35,000 </w:t>
            </w:r>
          </w:p>
        </w:tc>
        <w:tc>
          <w:tcPr>
            <w:tcW w:w="1254"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0 </w:t>
            </w:r>
          </w:p>
        </w:tc>
        <w:tc>
          <w:tcPr>
            <w:tcW w:w="1140"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35,000 </w:t>
            </w:r>
          </w:p>
        </w:tc>
      </w:tr>
      <w:tr w:rsidR="001A6832" w:rsidRPr="001A6832" w:rsidTr="003D4918">
        <w:trPr>
          <w:cantSplit/>
          <w:trHeight w:hRule="exact" w:val="432"/>
        </w:trPr>
        <w:tc>
          <w:tcPr>
            <w:tcW w:w="2508" w:type="dxa"/>
          </w:tcPr>
          <w:p w:rsidR="001A6832" w:rsidRPr="001A6832" w:rsidRDefault="001A6832" w:rsidP="00EC0B1C">
            <w:pPr>
              <w:keepNext/>
              <w:jc w:val="both"/>
              <w:outlineLvl w:val="1"/>
              <w:rPr>
                <w:bCs/>
                <w:iCs/>
                <w:sz w:val="22"/>
                <w:szCs w:val="22"/>
              </w:rPr>
            </w:pPr>
            <w:r w:rsidRPr="001A6832">
              <w:rPr>
                <w:bCs/>
                <w:iCs/>
                <w:sz w:val="22"/>
                <w:szCs w:val="22"/>
              </w:rPr>
              <w:t>Filing Fee</w:t>
            </w:r>
          </w:p>
        </w:tc>
        <w:tc>
          <w:tcPr>
            <w:tcW w:w="1197" w:type="dxa"/>
          </w:tcPr>
          <w:p w:rsidR="001A6832" w:rsidRPr="001A6832" w:rsidRDefault="001A6832" w:rsidP="00EC0B1C">
            <w:pPr>
              <w:keepNext/>
              <w:jc w:val="right"/>
              <w:outlineLvl w:val="1"/>
              <w:rPr>
                <w:bCs/>
                <w:iCs/>
                <w:sz w:val="22"/>
                <w:szCs w:val="22"/>
              </w:rPr>
            </w:pPr>
            <w:r w:rsidRPr="001A6832">
              <w:rPr>
                <w:bCs/>
                <w:iCs/>
                <w:sz w:val="22"/>
                <w:szCs w:val="22"/>
              </w:rPr>
              <w:t>0</w:t>
            </w:r>
          </w:p>
        </w:tc>
        <w:tc>
          <w:tcPr>
            <w:tcW w:w="1197" w:type="dxa"/>
          </w:tcPr>
          <w:p w:rsidR="001A6832" w:rsidRPr="001A6832" w:rsidRDefault="001A6832" w:rsidP="00EC0B1C">
            <w:pPr>
              <w:keepNext/>
              <w:jc w:val="right"/>
              <w:outlineLvl w:val="1"/>
              <w:rPr>
                <w:bCs/>
                <w:iCs/>
                <w:sz w:val="22"/>
                <w:szCs w:val="22"/>
              </w:rPr>
            </w:pPr>
            <w:r w:rsidRPr="001A6832">
              <w:rPr>
                <w:bCs/>
                <w:iCs/>
                <w:sz w:val="22"/>
                <w:szCs w:val="22"/>
              </w:rPr>
              <w:t>5,500</w:t>
            </w:r>
          </w:p>
        </w:tc>
        <w:tc>
          <w:tcPr>
            <w:tcW w:w="1254" w:type="dxa"/>
          </w:tcPr>
          <w:p w:rsidR="001A6832" w:rsidRPr="001A6832" w:rsidRDefault="001A6832" w:rsidP="00EC0B1C">
            <w:pPr>
              <w:keepNext/>
              <w:jc w:val="right"/>
              <w:outlineLvl w:val="1"/>
              <w:rPr>
                <w:bCs/>
                <w:iCs/>
                <w:sz w:val="22"/>
                <w:szCs w:val="22"/>
              </w:rPr>
            </w:pPr>
            <w:r w:rsidRPr="001A6832">
              <w:rPr>
                <w:bCs/>
                <w:iCs/>
                <w:sz w:val="22"/>
                <w:szCs w:val="22"/>
              </w:rPr>
              <w:t>0</w:t>
            </w:r>
          </w:p>
        </w:tc>
        <w:tc>
          <w:tcPr>
            <w:tcW w:w="1140" w:type="dxa"/>
          </w:tcPr>
          <w:p w:rsidR="001A6832" w:rsidRPr="001A6832" w:rsidRDefault="001A6832" w:rsidP="00EC0B1C">
            <w:pPr>
              <w:keepNext/>
              <w:jc w:val="right"/>
              <w:outlineLvl w:val="1"/>
              <w:rPr>
                <w:bCs/>
                <w:iCs/>
                <w:sz w:val="22"/>
                <w:szCs w:val="22"/>
              </w:rPr>
            </w:pPr>
            <w:r w:rsidRPr="001A6832">
              <w:rPr>
                <w:bCs/>
                <w:iCs/>
                <w:sz w:val="22"/>
                <w:szCs w:val="22"/>
              </w:rPr>
              <w:t>5,500</w:t>
            </w:r>
          </w:p>
        </w:tc>
      </w:tr>
      <w:tr w:rsidR="001A6832" w:rsidRPr="001A6832" w:rsidTr="003D4918">
        <w:trPr>
          <w:cantSplit/>
          <w:trHeight w:hRule="exact" w:val="432"/>
        </w:trPr>
        <w:tc>
          <w:tcPr>
            <w:tcW w:w="2508" w:type="dxa"/>
          </w:tcPr>
          <w:p w:rsidR="001A6832" w:rsidRPr="001A6832" w:rsidRDefault="001A6832" w:rsidP="00EC0B1C">
            <w:pPr>
              <w:keepNext/>
              <w:jc w:val="both"/>
              <w:outlineLvl w:val="1"/>
              <w:rPr>
                <w:bCs/>
                <w:iCs/>
                <w:sz w:val="22"/>
                <w:szCs w:val="22"/>
              </w:rPr>
            </w:pPr>
            <w:r w:rsidRPr="001A6832">
              <w:rPr>
                <w:bCs/>
                <w:iCs/>
                <w:sz w:val="22"/>
                <w:szCs w:val="22"/>
              </w:rPr>
              <w:t>Customer Notices/FedEx</w:t>
            </w:r>
          </w:p>
        </w:tc>
        <w:tc>
          <w:tcPr>
            <w:tcW w:w="1197" w:type="dxa"/>
          </w:tcPr>
          <w:p w:rsidR="001A6832" w:rsidRPr="001A6832" w:rsidRDefault="001A6832" w:rsidP="00EC0B1C">
            <w:pPr>
              <w:keepNext/>
              <w:jc w:val="right"/>
              <w:outlineLvl w:val="1"/>
              <w:rPr>
                <w:bCs/>
                <w:iCs/>
                <w:sz w:val="22"/>
                <w:szCs w:val="22"/>
                <w:u w:val="single"/>
              </w:rPr>
            </w:pPr>
            <w:r w:rsidRPr="001A6832">
              <w:rPr>
                <w:bCs/>
                <w:iCs/>
                <w:sz w:val="22"/>
                <w:szCs w:val="22"/>
                <w:u w:val="single"/>
              </w:rPr>
              <w:t>31,428</w:t>
            </w:r>
          </w:p>
        </w:tc>
        <w:tc>
          <w:tcPr>
            <w:tcW w:w="1197" w:type="dxa"/>
            <w:vAlign w:val="bottom"/>
          </w:tcPr>
          <w:p w:rsidR="001A6832" w:rsidRPr="001A6832" w:rsidRDefault="001A6832" w:rsidP="00EC0B1C">
            <w:pPr>
              <w:keepNext/>
              <w:jc w:val="right"/>
              <w:outlineLvl w:val="1"/>
              <w:rPr>
                <w:bCs/>
                <w:iCs/>
                <w:sz w:val="22"/>
                <w:szCs w:val="22"/>
                <w:u w:val="single"/>
              </w:rPr>
            </w:pPr>
            <w:r w:rsidRPr="001A6832">
              <w:rPr>
                <w:bCs/>
                <w:iCs/>
                <w:sz w:val="22"/>
                <w:szCs w:val="22"/>
                <w:u w:val="single"/>
              </w:rPr>
              <w:t xml:space="preserve">67 </w:t>
            </w:r>
          </w:p>
        </w:tc>
        <w:tc>
          <w:tcPr>
            <w:tcW w:w="1254" w:type="dxa"/>
            <w:vAlign w:val="bottom"/>
          </w:tcPr>
          <w:p w:rsidR="001A6832" w:rsidRPr="001A6832" w:rsidRDefault="001A6832" w:rsidP="00EC0B1C">
            <w:pPr>
              <w:keepNext/>
              <w:jc w:val="right"/>
              <w:outlineLvl w:val="1"/>
              <w:rPr>
                <w:bCs/>
                <w:iCs/>
                <w:sz w:val="22"/>
                <w:szCs w:val="22"/>
                <w:u w:val="single"/>
              </w:rPr>
            </w:pPr>
            <w:r w:rsidRPr="001A6832">
              <w:rPr>
                <w:bCs/>
                <w:iCs/>
                <w:sz w:val="22"/>
                <w:szCs w:val="22"/>
                <w:u w:val="single"/>
              </w:rPr>
              <w:t xml:space="preserve">10,476 </w:t>
            </w:r>
          </w:p>
        </w:tc>
        <w:tc>
          <w:tcPr>
            <w:tcW w:w="1140" w:type="dxa"/>
            <w:vAlign w:val="bottom"/>
          </w:tcPr>
          <w:p w:rsidR="001A6832" w:rsidRPr="001A6832" w:rsidRDefault="001A6832" w:rsidP="00EC0B1C">
            <w:pPr>
              <w:keepNext/>
              <w:jc w:val="right"/>
              <w:outlineLvl w:val="1"/>
              <w:rPr>
                <w:bCs/>
                <w:iCs/>
                <w:sz w:val="22"/>
                <w:szCs w:val="22"/>
                <w:u w:val="single"/>
              </w:rPr>
            </w:pPr>
            <w:r w:rsidRPr="001A6832">
              <w:rPr>
                <w:bCs/>
                <w:iCs/>
                <w:sz w:val="22"/>
                <w:szCs w:val="22"/>
                <w:u w:val="single"/>
              </w:rPr>
              <w:t xml:space="preserve">10,543 </w:t>
            </w:r>
          </w:p>
        </w:tc>
      </w:tr>
      <w:tr w:rsidR="001A6832" w:rsidRPr="001A6832" w:rsidTr="003D4918">
        <w:trPr>
          <w:cantSplit/>
          <w:trHeight w:val="432"/>
        </w:trPr>
        <w:tc>
          <w:tcPr>
            <w:tcW w:w="2508" w:type="dxa"/>
          </w:tcPr>
          <w:p w:rsidR="001A6832" w:rsidRPr="001A6832" w:rsidRDefault="001A6832" w:rsidP="00EC0B1C">
            <w:pPr>
              <w:keepNext/>
              <w:jc w:val="both"/>
              <w:outlineLvl w:val="1"/>
              <w:rPr>
                <w:bCs/>
                <w:iCs/>
                <w:sz w:val="22"/>
                <w:szCs w:val="22"/>
              </w:rPr>
            </w:pPr>
            <w:r w:rsidRPr="001A6832">
              <w:rPr>
                <w:bCs/>
                <w:iCs/>
                <w:sz w:val="22"/>
                <w:szCs w:val="22"/>
              </w:rPr>
              <w:t xml:space="preserve">Total </w:t>
            </w:r>
          </w:p>
        </w:tc>
        <w:tc>
          <w:tcPr>
            <w:tcW w:w="1197" w:type="dxa"/>
          </w:tcPr>
          <w:p w:rsidR="001A6832" w:rsidRPr="001A6832" w:rsidRDefault="001A6832" w:rsidP="00EC0B1C">
            <w:pPr>
              <w:keepNext/>
              <w:jc w:val="right"/>
              <w:outlineLvl w:val="1"/>
              <w:rPr>
                <w:bCs/>
                <w:iCs/>
                <w:sz w:val="22"/>
                <w:szCs w:val="22"/>
                <w:u w:val="double"/>
              </w:rPr>
            </w:pPr>
            <w:r w:rsidRPr="001A6832">
              <w:rPr>
                <w:bCs/>
                <w:iCs/>
                <w:sz w:val="22"/>
                <w:szCs w:val="22"/>
              </w:rPr>
              <w:t xml:space="preserve"> </w:t>
            </w:r>
            <w:r w:rsidRPr="001A6832">
              <w:rPr>
                <w:bCs/>
                <w:iCs/>
                <w:sz w:val="22"/>
                <w:szCs w:val="22"/>
                <w:u w:val="double"/>
              </w:rPr>
              <w:t xml:space="preserve">$163,928    </w:t>
            </w:r>
          </w:p>
        </w:tc>
        <w:tc>
          <w:tcPr>
            <w:tcW w:w="1197" w:type="dxa"/>
          </w:tcPr>
          <w:p w:rsidR="001A6832" w:rsidRPr="001A6832" w:rsidRDefault="001A6832" w:rsidP="00EC0B1C">
            <w:pPr>
              <w:keepNext/>
              <w:jc w:val="right"/>
              <w:outlineLvl w:val="1"/>
              <w:rPr>
                <w:bCs/>
                <w:iCs/>
                <w:sz w:val="22"/>
                <w:szCs w:val="22"/>
                <w:u w:val="double"/>
              </w:rPr>
            </w:pPr>
            <w:r w:rsidRPr="001A6832">
              <w:rPr>
                <w:bCs/>
                <w:iCs/>
                <w:sz w:val="22"/>
                <w:szCs w:val="22"/>
              </w:rPr>
              <w:t xml:space="preserve"> </w:t>
            </w:r>
            <w:r w:rsidRPr="001A6832">
              <w:rPr>
                <w:bCs/>
                <w:iCs/>
                <w:sz w:val="22"/>
                <w:szCs w:val="22"/>
                <w:u w:val="double"/>
              </w:rPr>
              <w:t xml:space="preserve"> $82,166</w:t>
            </w:r>
          </w:p>
        </w:tc>
        <w:tc>
          <w:tcPr>
            <w:tcW w:w="1254" w:type="dxa"/>
          </w:tcPr>
          <w:p w:rsidR="001A6832" w:rsidRPr="001A6832" w:rsidRDefault="001A6832" w:rsidP="00EC0B1C">
            <w:pPr>
              <w:keepNext/>
              <w:jc w:val="right"/>
              <w:outlineLvl w:val="1"/>
              <w:rPr>
                <w:bCs/>
                <w:iCs/>
                <w:sz w:val="22"/>
                <w:szCs w:val="22"/>
                <w:u w:val="double"/>
              </w:rPr>
            </w:pPr>
            <w:r w:rsidRPr="001A6832">
              <w:rPr>
                <w:bCs/>
                <w:iCs/>
                <w:sz w:val="22"/>
                <w:szCs w:val="22"/>
              </w:rPr>
              <w:t xml:space="preserve">    </w:t>
            </w:r>
            <w:r w:rsidRPr="001A6832">
              <w:rPr>
                <w:bCs/>
                <w:iCs/>
                <w:sz w:val="22"/>
                <w:szCs w:val="22"/>
                <w:u w:val="double"/>
              </w:rPr>
              <w:t xml:space="preserve"> $25,351</w:t>
            </w:r>
          </w:p>
        </w:tc>
        <w:tc>
          <w:tcPr>
            <w:tcW w:w="1140" w:type="dxa"/>
          </w:tcPr>
          <w:p w:rsidR="001A6832" w:rsidRPr="001A6832" w:rsidRDefault="001A6832" w:rsidP="00EC0B1C">
            <w:pPr>
              <w:keepNext/>
              <w:jc w:val="right"/>
              <w:outlineLvl w:val="1"/>
              <w:rPr>
                <w:bCs/>
                <w:iCs/>
                <w:sz w:val="22"/>
                <w:szCs w:val="22"/>
                <w:u w:val="double"/>
              </w:rPr>
            </w:pPr>
            <w:r w:rsidRPr="001A6832">
              <w:rPr>
                <w:bCs/>
                <w:iCs/>
                <w:sz w:val="22"/>
                <w:szCs w:val="22"/>
              </w:rPr>
              <w:t xml:space="preserve"> </w:t>
            </w:r>
            <w:r w:rsidRPr="001A6832">
              <w:rPr>
                <w:bCs/>
                <w:iCs/>
                <w:sz w:val="22"/>
                <w:szCs w:val="22"/>
                <w:u w:val="double"/>
              </w:rPr>
              <w:t xml:space="preserve">$107,517    </w:t>
            </w:r>
          </w:p>
        </w:tc>
      </w:tr>
    </w:tbl>
    <w:p w:rsidR="001A6832" w:rsidRPr="001A6832" w:rsidRDefault="001A6832" w:rsidP="00EC0B1C">
      <w:pPr>
        <w:ind w:left="720"/>
        <w:jc w:val="both"/>
      </w:pPr>
      <w:r w:rsidRPr="001A6832">
        <w:rPr>
          <w:sz w:val="23"/>
          <w:szCs w:val="23"/>
        </w:rPr>
        <w:t xml:space="preserve">    </w:t>
      </w:r>
      <w:r w:rsidRPr="001A6832">
        <w:t xml:space="preserve">Source: MFR Schedule B-10 and responses to </w:t>
      </w:r>
      <w:r w:rsidR="00767588">
        <w:t xml:space="preserve">Commission </w:t>
      </w:r>
      <w:r w:rsidRPr="001A6832">
        <w:t>staff data requests</w:t>
      </w:r>
    </w:p>
    <w:p w:rsidR="001A6832" w:rsidRPr="001A6832" w:rsidRDefault="001A6832" w:rsidP="00EC0B1C">
      <w:pPr>
        <w:jc w:val="both"/>
      </w:pPr>
    </w:p>
    <w:p w:rsidR="001A6832" w:rsidRPr="001A6832" w:rsidRDefault="001A6832" w:rsidP="0097603B">
      <w:pPr>
        <w:autoSpaceDE w:val="0"/>
        <w:autoSpaceDN w:val="0"/>
        <w:adjustRightInd w:val="0"/>
        <w:ind w:firstLine="720"/>
        <w:jc w:val="both"/>
      </w:pPr>
      <w:r w:rsidRPr="001A6832">
        <w:lastRenderedPageBreak/>
        <w:t xml:space="preserve">Pursuant </w:t>
      </w:r>
      <w:r w:rsidR="00767588">
        <w:t>to Section 367.081(7), F.S., this</w:t>
      </w:r>
      <w:r w:rsidRPr="001A6832">
        <w:t xml:space="preserve"> Commission shall determine the reasonableness of rate case expenses and shall disallow all rate case expenses determined to be unreasonable. </w:t>
      </w:r>
      <w:r w:rsidR="00BE56A1">
        <w:t xml:space="preserve">We have </w:t>
      </w:r>
      <w:r w:rsidRPr="001A6832">
        <w:t xml:space="preserve">examined the requested actual expenses, supporting documentation, and estimated expenses as listed above for the current rate case.  </w:t>
      </w:r>
    </w:p>
    <w:p w:rsidR="001A6832" w:rsidRPr="001A6832" w:rsidRDefault="001A6832" w:rsidP="00927CE3">
      <w:pPr>
        <w:jc w:val="both"/>
      </w:pPr>
    </w:p>
    <w:p w:rsidR="001A6832" w:rsidRPr="00767588" w:rsidRDefault="001A6832" w:rsidP="00EC0B1C">
      <w:pPr>
        <w:autoSpaceDE w:val="0"/>
        <w:autoSpaceDN w:val="0"/>
        <w:adjustRightInd w:val="0"/>
        <w:rPr>
          <w:u w:val="single"/>
        </w:rPr>
      </w:pPr>
      <w:r w:rsidRPr="00767588">
        <w:rPr>
          <w:bCs/>
          <w:u w:val="single"/>
        </w:rPr>
        <w:t>Legal Fees (Sundstrom &amp; Mindlin, LLP)</w:t>
      </w:r>
    </w:p>
    <w:p w:rsidR="00767588" w:rsidRDefault="00767588" w:rsidP="00EC0B1C">
      <w:pPr>
        <w:jc w:val="both"/>
      </w:pPr>
    </w:p>
    <w:p w:rsidR="001A6832" w:rsidRPr="001A6832" w:rsidRDefault="001A6832" w:rsidP="00767588">
      <w:pPr>
        <w:ind w:firstLine="720"/>
        <w:jc w:val="both"/>
      </w:pPr>
      <w:r w:rsidRPr="001A6832">
        <w:t xml:space="preserve">The </w:t>
      </w:r>
      <w:r w:rsidR="003D4918">
        <w:t>Utility</w:t>
      </w:r>
      <w:r w:rsidRPr="001A6832">
        <w:t xml:space="preserve"> included in its MFRs $62,500 in legal fees to complete the rate case. The </w:t>
      </w:r>
      <w:r w:rsidR="003D4918">
        <w:t>Utility</w:t>
      </w:r>
      <w:r w:rsidRPr="001A6832">
        <w:t xml:space="preserve"> provided invoices through July 31, 2016, showing legal expenses associated with the rate case totaling $41,599 plus an additional $14,875 to complete this PAA rate case for a total of $56,474 in legal fees. </w:t>
      </w:r>
    </w:p>
    <w:p w:rsidR="001A6832" w:rsidRPr="001A6832" w:rsidRDefault="001A6832" w:rsidP="00EC0B1C">
      <w:pPr>
        <w:jc w:val="both"/>
      </w:pPr>
    </w:p>
    <w:p w:rsidR="001A6832" w:rsidRPr="001A6832" w:rsidRDefault="001A6832" w:rsidP="00767588">
      <w:pPr>
        <w:autoSpaceDE w:val="0"/>
        <w:autoSpaceDN w:val="0"/>
        <w:adjustRightInd w:val="0"/>
        <w:ind w:firstLine="720"/>
        <w:jc w:val="both"/>
      </w:pPr>
      <w:r w:rsidRPr="001A6832">
        <w:t xml:space="preserve">According to the invoices provided, the law firm of Sundstrom &amp; Mindlin, LLP (Sundstrom) billed the </w:t>
      </w:r>
      <w:r w:rsidR="003D4918">
        <w:t>Utility</w:t>
      </w:r>
      <w:r w:rsidRPr="001A6832">
        <w:t xml:space="preserve"> approximately $2,900 related to the correction of MFR deficiencies. Sundstrom believes that it should be allowed to recover the expense associated with deficiency correction because it is part of the “normal process,” and that “few rate filings are accepted without revisions to correct for deficiencies.”</w:t>
      </w:r>
      <w:r w:rsidRPr="001A6832">
        <w:rPr>
          <w:vertAlign w:val="superscript"/>
        </w:rPr>
        <w:footnoteReference w:id="18"/>
      </w:r>
      <w:r w:rsidRPr="001A6832">
        <w:t xml:space="preserve"> </w:t>
      </w:r>
      <w:r w:rsidR="00767588">
        <w:t>We disagree</w:t>
      </w:r>
      <w:r w:rsidRPr="001A6832">
        <w:t xml:space="preserve">, noting that </w:t>
      </w:r>
      <w:r w:rsidR="00767588">
        <w:t>this</w:t>
      </w:r>
      <w:r w:rsidRPr="001A6832">
        <w:t xml:space="preserve"> Commission has previously disallowed rate case expense associated with correcting MFR deficiencies because of duplicate filing costs.</w:t>
      </w:r>
      <w:r w:rsidRPr="001A6832">
        <w:rPr>
          <w:vertAlign w:val="superscript"/>
        </w:rPr>
        <w:footnoteReference w:id="19"/>
      </w:r>
      <w:r w:rsidRPr="001A6832">
        <w:t xml:space="preserve"> Accordingly, $2,891 (8.26 hours x $350/hour) </w:t>
      </w:r>
      <w:r w:rsidR="00767588" w:rsidRPr="00767588">
        <w:t xml:space="preserve">shall </w:t>
      </w:r>
      <w:r w:rsidRPr="001A6832">
        <w:t>be removed as duplicative and unreasonable rate case expense.</w:t>
      </w:r>
    </w:p>
    <w:p w:rsidR="001A6832" w:rsidRPr="001A6832" w:rsidRDefault="001A6832" w:rsidP="00EC0B1C">
      <w:pPr>
        <w:jc w:val="both"/>
      </w:pPr>
    </w:p>
    <w:p w:rsidR="001A6832" w:rsidRPr="001A6832" w:rsidRDefault="001A6832" w:rsidP="00767588">
      <w:pPr>
        <w:autoSpaceDE w:val="0"/>
        <w:autoSpaceDN w:val="0"/>
        <w:adjustRightInd w:val="0"/>
        <w:ind w:firstLine="720"/>
        <w:jc w:val="both"/>
      </w:pPr>
      <w:r w:rsidRPr="001A6832">
        <w:t>Based on its response to</w:t>
      </w:r>
      <w:r w:rsidR="00767588" w:rsidRPr="001A6832">
        <w:t xml:space="preserve"> </w:t>
      </w:r>
      <w:r w:rsidR="00767588">
        <w:t xml:space="preserve">Commission </w:t>
      </w:r>
      <w:r w:rsidR="00767588" w:rsidRPr="001A6832">
        <w:t>staff’s second data request</w:t>
      </w:r>
      <w:r w:rsidRPr="001A6832">
        <w:t xml:space="preserve">, Question 10, the </w:t>
      </w:r>
      <w:r w:rsidR="003D4918">
        <w:t>Utility</w:t>
      </w:r>
      <w:r w:rsidRPr="001A6832">
        <w:t xml:space="preserve"> appears to have spent approximately $74,000 in its preparation and filing of the rate proceeding in Docket No. 150170-WS, and believes that a portion of that expense should be included in the current docket. In support, Sundstrom argues the following:</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left="720" w:right="720"/>
        <w:jc w:val="both"/>
      </w:pPr>
      <w:r w:rsidRPr="001A6832">
        <w:t xml:space="preserve">While the great majority of the costs related to this proceeding are not relevant to the current rate case proceeding, most of the costs related to legal services incurred during the three months prior rate case filing are directly related to the information necessary in order to file the current rate proceeding in Docket 160030-WS. The costs for drafting of pleadings, organization of tariffs and exhibits which were the focus of the three legal bills just prior to the filing were substantially similar to those filed in the instant rate proceeding. As such, the </w:t>
      </w:r>
      <w:r w:rsidR="003D4918">
        <w:t>Utility</w:t>
      </w:r>
      <w:r w:rsidRPr="001A6832">
        <w:t xml:space="preserve"> believes that a significant portion of the rate case expenses incurred for legal services in those three months directly benefit the current rate proceeding. In an attempt to estimate conservatively, the </w:t>
      </w:r>
      <w:r w:rsidR="003D4918">
        <w:t>Utility</w:t>
      </w:r>
      <w:r w:rsidRPr="001A6832">
        <w:t xml:space="preserve"> has allocated 50% of the cost of those services as costs related to the current rate proceeding.</w:t>
      </w:r>
      <w:r w:rsidRPr="001A6832">
        <w:rPr>
          <w:vertAlign w:val="superscript"/>
        </w:rPr>
        <w:footnoteReference w:id="20"/>
      </w:r>
    </w:p>
    <w:p w:rsidR="001A6832" w:rsidRPr="001A6832" w:rsidRDefault="001A6832" w:rsidP="00EC0B1C">
      <w:pPr>
        <w:jc w:val="both"/>
      </w:pPr>
    </w:p>
    <w:p w:rsidR="001A6832" w:rsidRPr="001A6832" w:rsidRDefault="001A6832" w:rsidP="00767588">
      <w:pPr>
        <w:autoSpaceDE w:val="0"/>
        <w:autoSpaceDN w:val="0"/>
        <w:adjustRightInd w:val="0"/>
        <w:ind w:firstLine="720"/>
        <w:jc w:val="both"/>
      </w:pPr>
      <w:r w:rsidRPr="001A6832">
        <w:lastRenderedPageBreak/>
        <w:t xml:space="preserve">Sundstrom included $8,203 of legal expense related to Docket No. 150170-WS in the current docket. The </w:t>
      </w:r>
      <w:r w:rsidR="003D4918">
        <w:t>Utility</w:t>
      </w:r>
      <w:r w:rsidRPr="001A6832">
        <w:t xml:space="preserve"> withdrew its application for an increase in rates in that docket on January 21, 2016 citing, in part, the following factors: (1) the deficiencies noted by the Commission Staff to the Application as originally filed; (2) recognition of the changes that have occurred as a result of a change in ownership of the </w:t>
      </w:r>
      <w:r w:rsidR="003D4918">
        <w:t>Utility</w:t>
      </w:r>
      <w:r w:rsidRPr="001A6832">
        <w:t xml:space="preserve"> in 2015; and (3) changes in status of capital improvements to the </w:t>
      </w:r>
      <w:r w:rsidR="003D4918">
        <w:t>Utility</w:t>
      </w:r>
      <w:r w:rsidRPr="001A6832">
        <w:t xml:space="preserve"> system.</w:t>
      </w:r>
      <w:r w:rsidRPr="001A6832">
        <w:rPr>
          <w:vertAlign w:val="superscript"/>
        </w:rPr>
        <w:footnoteReference w:id="21"/>
      </w:r>
      <w:r w:rsidRPr="001A6832">
        <w:t xml:space="preserve"> </w:t>
      </w:r>
      <w:r w:rsidR="00767588">
        <w:t>T</w:t>
      </w:r>
      <w:r w:rsidRPr="001A6832">
        <w:t xml:space="preserve">he </w:t>
      </w:r>
      <w:r w:rsidR="003D4918">
        <w:t>Utility</w:t>
      </w:r>
      <w:r w:rsidRPr="001A6832">
        <w:t>’s decision to withdraw its 2015 rate case w</w:t>
      </w:r>
      <w:r w:rsidR="00767588">
        <w:t>as on its own motion, not at this</w:t>
      </w:r>
      <w:r w:rsidRPr="001A6832">
        <w:t xml:space="preserve"> Commission’s urging. As such, </w:t>
      </w:r>
      <w:r w:rsidR="00767588">
        <w:t>no</w:t>
      </w:r>
      <w:r w:rsidRPr="001A6832">
        <w:t xml:space="preserve"> expense related to Docket No. 150170-WS </w:t>
      </w:r>
      <w:r w:rsidR="00767588" w:rsidRPr="00767588">
        <w:t xml:space="preserve">shall </w:t>
      </w:r>
      <w:r w:rsidRPr="001A6832">
        <w:t xml:space="preserve">be included in the current docket. Accordingly, $8,203 </w:t>
      </w:r>
      <w:r w:rsidR="00767588" w:rsidRPr="00767588">
        <w:t xml:space="preserve">shall </w:t>
      </w:r>
      <w:r w:rsidRPr="001A6832">
        <w:t xml:space="preserve">be removed from current rate case expense. </w:t>
      </w:r>
    </w:p>
    <w:p w:rsidR="001A6832" w:rsidRPr="001A6832" w:rsidRDefault="001A6832" w:rsidP="00EC0B1C">
      <w:pPr>
        <w:jc w:val="both"/>
      </w:pPr>
    </w:p>
    <w:p w:rsidR="001A6832" w:rsidRPr="001A6832" w:rsidRDefault="001A6832" w:rsidP="00767588">
      <w:pPr>
        <w:autoSpaceDE w:val="0"/>
        <w:autoSpaceDN w:val="0"/>
        <w:adjustRightInd w:val="0"/>
        <w:ind w:firstLine="720"/>
        <w:jc w:val="both"/>
      </w:pPr>
      <w:r w:rsidRPr="001A6832">
        <w:t xml:space="preserve">An adjustment to actual rate case expense </w:t>
      </w:r>
      <w:r w:rsidR="00767588" w:rsidRPr="00767588">
        <w:t xml:space="preserve">shall </w:t>
      </w:r>
      <w:r w:rsidRPr="001A6832">
        <w:t xml:space="preserve">also be made to remove a portion of travel expenses related to the customer meeting in July. Support documentation provided by Sundstrom included approximately $218 for a meal attended by the attorney and five </w:t>
      </w:r>
      <w:r w:rsidR="003D4918">
        <w:t>Utility</w:t>
      </w:r>
      <w:r w:rsidRPr="001A6832">
        <w:t xml:space="preserve"> employees.</w:t>
      </w:r>
      <w:r w:rsidR="00767588">
        <w:t xml:space="preserve"> We find that it is</w:t>
      </w:r>
      <w:r w:rsidRPr="001A6832">
        <w:t xml:space="preserve"> inappropriate to include the cost of the meal as it relates to the five </w:t>
      </w:r>
      <w:r w:rsidR="003D4918">
        <w:t>Utility</w:t>
      </w:r>
      <w:r w:rsidRPr="001A6832">
        <w:t xml:space="preserve"> employees, but the attorney’s portion of the meal </w:t>
      </w:r>
      <w:r w:rsidR="00767588" w:rsidRPr="00767588">
        <w:t xml:space="preserve">shall </w:t>
      </w:r>
      <w:r w:rsidRPr="001A6832">
        <w:t xml:space="preserve">be allowed. It is likely that the </w:t>
      </w:r>
      <w:r w:rsidR="003D4918">
        <w:t>Utility</w:t>
      </w:r>
      <w:r w:rsidRPr="001A6832">
        <w:t xml:space="preserve"> employees’ other travel related expenses were submitted to the </w:t>
      </w:r>
      <w:r w:rsidR="003D4918">
        <w:t>Utility</w:t>
      </w:r>
      <w:r w:rsidRPr="001A6832">
        <w:t xml:space="preserve"> for reimbursement. If paid for individually, </w:t>
      </w:r>
      <w:r w:rsidR="00767588">
        <w:t>we believe</w:t>
      </w:r>
      <w:r w:rsidRPr="001A6832">
        <w:t xml:space="preserve"> that the meal expense would have also been submitted to the </w:t>
      </w:r>
      <w:r w:rsidR="003D4918">
        <w:t>Utility</w:t>
      </w:r>
      <w:r w:rsidRPr="001A6832">
        <w:t xml:space="preserve"> for reimbursement, and not included in rate case expense. As such, 1/6</w:t>
      </w:r>
      <w:r w:rsidRPr="001A6832">
        <w:rPr>
          <w:vertAlign w:val="superscript"/>
        </w:rPr>
        <w:t>th</w:t>
      </w:r>
      <w:r w:rsidRPr="001A6832">
        <w:t xml:space="preserve"> of the cost, or $36, </w:t>
      </w:r>
      <w:r w:rsidR="00767588" w:rsidRPr="00767588">
        <w:t xml:space="preserve">shall </w:t>
      </w:r>
      <w:r w:rsidRPr="001A6832">
        <w:t xml:space="preserve">be included in rate case expense. The remaining $181 </w:t>
      </w:r>
      <w:r w:rsidR="00767588" w:rsidRPr="00767588">
        <w:t xml:space="preserve">shall </w:t>
      </w:r>
      <w:r w:rsidRPr="001A6832">
        <w:t>be removed from legal rate case expense.</w:t>
      </w:r>
    </w:p>
    <w:p w:rsidR="001A6832" w:rsidRPr="001A6832" w:rsidRDefault="001A6832" w:rsidP="00EC0B1C">
      <w:pPr>
        <w:jc w:val="both"/>
      </w:pPr>
    </w:p>
    <w:p w:rsidR="00767588" w:rsidRDefault="001A6832" w:rsidP="00767588">
      <w:pPr>
        <w:autoSpaceDE w:val="0"/>
        <w:autoSpaceDN w:val="0"/>
        <w:adjustRightInd w:val="0"/>
        <w:ind w:firstLine="720"/>
        <w:jc w:val="both"/>
      </w:pPr>
      <w:r w:rsidRPr="001A6832">
        <w:t>Sundstrom’s estimate to complete the rate case includes fees of $13</w:t>
      </w:r>
      <w:r w:rsidR="00767588">
        <w:t>,825 for responding to various C</w:t>
      </w:r>
      <w:r w:rsidRPr="001A6832">
        <w:t xml:space="preserve">ommission documents and preparing for and attending the agenda conference. The estimate to complete also included costs of $1,050 for photocopies, postage, and other expenses. Since the estimate to complete was submitted on September 1, 2016, </w:t>
      </w:r>
      <w:r w:rsidR="00767588">
        <w:t xml:space="preserve">Commission </w:t>
      </w:r>
      <w:r w:rsidRPr="001A6832">
        <w:t xml:space="preserve">staff sent two additional data requests and the </w:t>
      </w:r>
      <w:r w:rsidR="003D4918">
        <w:t>Utility</w:t>
      </w:r>
      <w:r w:rsidRPr="001A6832">
        <w:t xml:space="preserve"> also responded to OPC’s issues and concerns. As such, </w:t>
      </w:r>
      <w:r w:rsidR="00767588">
        <w:t xml:space="preserve">we find that </w:t>
      </w:r>
      <w:r w:rsidRPr="001A6832">
        <w:t xml:space="preserve">the full amount of the estimate to complete, $14,875 ($13,825 + $1,050), is reasonable. </w:t>
      </w:r>
    </w:p>
    <w:p w:rsidR="00CD724F" w:rsidRDefault="00CD724F" w:rsidP="00767588">
      <w:pPr>
        <w:autoSpaceDE w:val="0"/>
        <w:autoSpaceDN w:val="0"/>
        <w:adjustRightInd w:val="0"/>
        <w:ind w:firstLine="720"/>
        <w:jc w:val="both"/>
      </w:pPr>
    </w:p>
    <w:p w:rsidR="001A6832" w:rsidRPr="001A6832" w:rsidRDefault="001A6832" w:rsidP="00767588">
      <w:pPr>
        <w:autoSpaceDE w:val="0"/>
        <w:autoSpaceDN w:val="0"/>
        <w:adjustRightInd w:val="0"/>
        <w:ind w:firstLine="720"/>
        <w:jc w:val="both"/>
      </w:pPr>
      <w:r w:rsidRPr="001A6832">
        <w:t xml:space="preserve">Based on the above, </w:t>
      </w:r>
      <w:r w:rsidR="00767588">
        <w:t>we find</w:t>
      </w:r>
      <w:r w:rsidRPr="001A6832">
        <w:t xml:space="preserve"> that the appropriate amount of legal fees is $45,199 ($56,474 - $11,275).</w:t>
      </w:r>
    </w:p>
    <w:p w:rsidR="001A6832" w:rsidRPr="001A6832" w:rsidRDefault="001A6832" w:rsidP="00EC0B1C">
      <w:pPr>
        <w:ind w:firstLine="720"/>
        <w:jc w:val="both"/>
      </w:pPr>
    </w:p>
    <w:p w:rsidR="001A6832" w:rsidRPr="00767588" w:rsidRDefault="001A6832" w:rsidP="00EC0B1C">
      <w:pPr>
        <w:jc w:val="both"/>
        <w:rPr>
          <w:u w:val="single"/>
        </w:rPr>
      </w:pPr>
      <w:r w:rsidRPr="00767588">
        <w:rPr>
          <w:bCs/>
          <w:u w:val="single"/>
        </w:rPr>
        <w:t>Accounting Fees (Tangibil)</w:t>
      </w:r>
    </w:p>
    <w:p w:rsidR="00767588" w:rsidRDefault="00767588" w:rsidP="00EC0B1C">
      <w:pPr>
        <w:autoSpaceDE w:val="0"/>
        <w:autoSpaceDN w:val="0"/>
        <w:adjustRightInd w:val="0"/>
        <w:jc w:val="both"/>
      </w:pPr>
    </w:p>
    <w:p w:rsidR="001A6832" w:rsidRPr="001A6832" w:rsidRDefault="001A6832" w:rsidP="00767588">
      <w:pPr>
        <w:autoSpaceDE w:val="0"/>
        <w:autoSpaceDN w:val="0"/>
        <w:adjustRightInd w:val="0"/>
        <w:ind w:firstLine="720"/>
        <w:jc w:val="both"/>
      </w:pPr>
      <w:r w:rsidRPr="001A6832">
        <w:t xml:space="preserve">Ni Florida included $70,000 in its MFRs for accounting costs. The </w:t>
      </w:r>
      <w:r w:rsidR="003D4918">
        <w:t>Utility</w:t>
      </w:r>
      <w:r w:rsidRPr="001A6832">
        <w:t xml:space="preserve">’s updated rate case expense reflected actual fees of $35,000 with no additional costs for the estimate to complete. In response to </w:t>
      </w:r>
      <w:r w:rsidR="005D1AD3">
        <w:t xml:space="preserve">Commission </w:t>
      </w:r>
      <w:r w:rsidR="005D1AD3" w:rsidRPr="001A6832">
        <w:t>staff’s first data request</w:t>
      </w:r>
      <w:r w:rsidRPr="001A6832">
        <w:t xml:space="preserve">, the </w:t>
      </w:r>
      <w:r w:rsidR="003D4918">
        <w:t>Utility</w:t>
      </w:r>
      <w:r w:rsidRPr="001A6832">
        <w:t xml:space="preserve"> attached an invoice from Tangibil for $35,000. Based on the supporting documentation, Tangibil’s work is based on a lump sum quote for preparation of the rate case MFRs and assistance in responding </w:t>
      </w:r>
      <w:r w:rsidR="005D1AD3">
        <w:t>to data requests and analyses. We received n</w:t>
      </w:r>
      <w:r w:rsidRPr="001A6832">
        <w:t xml:space="preserve">o additional invoices addressing work related to deficiency corrections or responding to additional </w:t>
      </w:r>
      <w:r w:rsidR="005D1AD3">
        <w:t xml:space="preserve">Commission </w:t>
      </w:r>
      <w:r w:rsidRPr="001A6832">
        <w:t xml:space="preserve">staff data requests. </w:t>
      </w:r>
      <w:r w:rsidR="005D1AD3">
        <w:t>We note</w:t>
      </w:r>
      <w:r w:rsidRPr="001A6832">
        <w:t xml:space="preserve"> that in the </w:t>
      </w:r>
      <w:r w:rsidR="003D4918">
        <w:lastRenderedPageBreak/>
        <w:t>Utility</w:t>
      </w:r>
      <w:r w:rsidRPr="001A6832">
        <w:t>’s last rate case, Ni Florida was allowed to recover $81,000 for accounting fees.</w:t>
      </w:r>
      <w:r w:rsidRPr="001A6832">
        <w:rPr>
          <w:vertAlign w:val="superscript"/>
        </w:rPr>
        <w:footnoteReference w:id="22"/>
      </w:r>
      <w:r w:rsidRPr="001A6832">
        <w:t xml:space="preserve"> As such, </w:t>
      </w:r>
      <w:r w:rsidR="005D1AD3">
        <w:t>we find</w:t>
      </w:r>
      <w:r w:rsidRPr="001A6832">
        <w:t xml:space="preserve"> that the lump sum of $35,000 for preparation of the MFRs and responding to </w:t>
      </w:r>
      <w:r w:rsidR="005D1AD3">
        <w:t xml:space="preserve">Commission </w:t>
      </w:r>
      <w:r w:rsidRPr="001A6832">
        <w:t xml:space="preserve">staff’s data requests </w:t>
      </w:r>
      <w:r w:rsidR="005D1AD3">
        <w:t>is</w:t>
      </w:r>
      <w:r w:rsidRPr="001A6832">
        <w:t xml:space="preserve"> reasonable.</w:t>
      </w:r>
    </w:p>
    <w:p w:rsidR="001A6832" w:rsidRPr="001A6832" w:rsidRDefault="001A6832" w:rsidP="00EC0B1C">
      <w:pPr>
        <w:jc w:val="both"/>
        <w:rPr>
          <w:rFonts w:ascii="Arial" w:hAnsi="Arial" w:cs="Arial"/>
          <w:sz w:val="21"/>
          <w:szCs w:val="21"/>
        </w:rPr>
      </w:pPr>
    </w:p>
    <w:p w:rsidR="001A6832" w:rsidRPr="005D1AD3" w:rsidRDefault="001A6832" w:rsidP="00EC0B1C">
      <w:pPr>
        <w:autoSpaceDE w:val="0"/>
        <w:autoSpaceDN w:val="0"/>
        <w:adjustRightInd w:val="0"/>
        <w:rPr>
          <w:bCs/>
          <w:u w:val="single"/>
        </w:rPr>
      </w:pPr>
      <w:r w:rsidRPr="005D1AD3">
        <w:rPr>
          <w:bCs/>
          <w:u w:val="single"/>
        </w:rPr>
        <w:t>Filing Fee</w:t>
      </w:r>
    </w:p>
    <w:p w:rsidR="005D1AD3" w:rsidRDefault="005D1AD3" w:rsidP="005D1AD3">
      <w:pPr>
        <w:autoSpaceDE w:val="0"/>
        <w:autoSpaceDN w:val="0"/>
        <w:adjustRightInd w:val="0"/>
        <w:ind w:firstLine="720"/>
        <w:jc w:val="both"/>
      </w:pPr>
    </w:p>
    <w:p w:rsidR="001A6832" w:rsidRPr="001A6832" w:rsidRDefault="001A6832" w:rsidP="005D1AD3">
      <w:pPr>
        <w:autoSpaceDE w:val="0"/>
        <w:autoSpaceDN w:val="0"/>
        <w:adjustRightInd w:val="0"/>
        <w:ind w:firstLine="720"/>
        <w:jc w:val="both"/>
      </w:pPr>
      <w:r w:rsidRPr="001A6832">
        <w:t xml:space="preserve">The </w:t>
      </w:r>
      <w:r w:rsidR="003D4918">
        <w:t>Utility</w:t>
      </w:r>
      <w:r w:rsidRPr="001A6832">
        <w:t xml:space="preserve"> did not include a filing fee in its MFR Schedule B-10, but did include the $5,500 filing fee as part of its updated rate case expense. </w:t>
      </w:r>
      <w:r w:rsidR="005D1AD3">
        <w:t>We</w:t>
      </w:r>
      <w:r w:rsidRPr="001A6832">
        <w:t xml:space="preserve"> verified that the amount was not already included in the legal fees to avoid double recovery of this fee. </w:t>
      </w:r>
      <w:r w:rsidR="005D1AD3">
        <w:t>Because</w:t>
      </w:r>
      <w:r w:rsidRPr="001A6832">
        <w:t xml:space="preserve"> the filing fee was not included in legal fees, there is no double recovery of this fee, and </w:t>
      </w:r>
      <w:r w:rsidR="005D1AD3" w:rsidRPr="005D1AD3">
        <w:t xml:space="preserve">shall </w:t>
      </w:r>
      <w:r w:rsidRPr="001A6832">
        <w:t>be included in rate case expense.</w:t>
      </w:r>
    </w:p>
    <w:p w:rsidR="001A6832" w:rsidRPr="001A6832" w:rsidRDefault="001A6832" w:rsidP="00EC0B1C">
      <w:pPr>
        <w:ind w:firstLine="720"/>
        <w:jc w:val="both"/>
      </w:pPr>
    </w:p>
    <w:p w:rsidR="001A6832" w:rsidRPr="005D1AD3" w:rsidRDefault="001A6832" w:rsidP="00EC0B1C">
      <w:pPr>
        <w:autoSpaceDE w:val="0"/>
        <w:autoSpaceDN w:val="0"/>
        <w:adjustRightInd w:val="0"/>
        <w:rPr>
          <w:u w:val="single"/>
        </w:rPr>
      </w:pPr>
      <w:r w:rsidRPr="005D1AD3">
        <w:rPr>
          <w:bCs/>
          <w:u w:val="single"/>
        </w:rPr>
        <w:t>Customer Notices, Printing, Shipping, and FedEx</w:t>
      </w:r>
    </w:p>
    <w:p w:rsidR="005D1AD3" w:rsidRDefault="005D1AD3" w:rsidP="00EC0B1C">
      <w:pPr>
        <w:autoSpaceDE w:val="0"/>
        <w:autoSpaceDN w:val="0"/>
        <w:adjustRightInd w:val="0"/>
        <w:jc w:val="both"/>
      </w:pPr>
    </w:p>
    <w:p w:rsidR="001A6832" w:rsidRPr="001A6832" w:rsidRDefault="001A6832" w:rsidP="005D1AD3">
      <w:pPr>
        <w:autoSpaceDE w:val="0"/>
        <w:autoSpaceDN w:val="0"/>
        <w:adjustRightInd w:val="0"/>
        <w:ind w:firstLine="720"/>
        <w:jc w:val="both"/>
      </w:pPr>
      <w:r w:rsidRPr="001A6832">
        <w:t xml:space="preserve">In its MFRs, Ni Florida included estimated costs of $31,428 for printing and shipping. The </w:t>
      </w:r>
      <w:r w:rsidR="003D4918">
        <w:t>Utility</w:t>
      </w:r>
      <w:r w:rsidRPr="001A6832">
        <w:t xml:space="preserve"> provided a revised total for final noticing which totaled $10,476 and $67 for FedEx expense. Ni Florida is responsible for sending four notices: the interim notice, the initial notice, customer meeting notice, and notice of the final rate increase. The initial notice and the </w:t>
      </w:r>
      <w:r w:rsidR="0097603B">
        <w:t>interim</w:t>
      </w:r>
      <w:r w:rsidRPr="001A6832">
        <w:t xml:space="preserve"> notice w</w:t>
      </w:r>
      <w:r w:rsidR="005D1AD3">
        <w:t>ere combined in this docket. This</w:t>
      </w:r>
      <w:r w:rsidRPr="001A6832">
        <w:t xml:space="preserve"> Commission has historically approved recovery of noticing and postage, despite the lack of support documentation, based on a standard methodology to estimate the total expense using the number of customers and the estimated per unit cost of envelopes, copies, and postage.</w:t>
      </w:r>
      <w:r w:rsidRPr="001A6832">
        <w:rPr>
          <w:vertAlign w:val="superscript"/>
        </w:rPr>
        <w:footnoteReference w:id="23"/>
      </w:r>
      <w:r w:rsidRPr="001A6832">
        <w:t xml:space="preserve"> In the calculations that follow, </w:t>
      </w:r>
      <w:r w:rsidR="005D1AD3">
        <w:t>we</w:t>
      </w:r>
      <w:r w:rsidRPr="001A6832">
        <w:t xml:space="preserve"> used the actual number of pages of the interim notice (two) and the combined initial and customer meeting notice (four), and estimated that the final notice would be four pages. </w:t>
      </w:r>
    </w:p>
    <w:p w:rsidR="001A6832" w:rsidRPr="001A6832" w:rsidRDefault="001A6832" w:rsidP="00EC0B1C">
      <w:pPr>
        <w:autoSpaceDE w:val="0"/>
        <w:autoSpaceDN w:val="0"/>
        <w:adjustRightInd w:val="0"/>
        <w:jc w:val="both"/>
      </w:pPr>
    </w:p>
    <w:p w:rsidR="001A6832" w:rsidRPr="001A6832" w:rsidRDefault="005D1AD3" w:rsidP="005D1AD3">
      <w:pPr>
        <w:autoSpaceDE w:val="0"/>
        <w:autoSpaceDN w:val="0"/>
        <w:adjustRightInd w:val="0"/>
        <w:ind w:firstLine="720"/>
        <w:jc w:val="both"/>
      </w:pPr>
      <w:r>
        <w:t>We estimate</w:t>
      </w:r>
      <w:r w:rsidR="001A6832" w:rsidRPr="001A6832">
        <w:t xml:space="preserve"> the postage cost for the notices to be approximately $4,938 (3,502 customers x $0.47 x 3 notices).</w:t>
      </w:r>
      <w:r w:rsidR="001A6832" w:rsidRPr="001A6832">
        <w:rPr>
          <w:vertAlign w:val="superscript"/>
        </w:rPr>
        <w:footnoteReference w:id="24"/>
      </w:r>
      <w:r w:rsidR="001A6832" w:rsidRPr="001A6832">
        <w:t xml:space="preserve"> </w:t>
      </w:r>
      <w:r>
        <w:t>We estimate</w:t>
      </w:r>
      <w:r w:rsidR="001A6832" w:rsidRPr="001A6832">
        <w:t xml:space="preserve"> envelope costs to be $525 (3,502 customers x $0.05 per envelope x 3 notices) and copying costs to be $3,852 ($0.10 per copy x 38,522 pages).</w:t>
      </w:r>
      <w:r w:rsidR="001A6832" w:rsidRPr="001A6832">
        <w:rPr>
          <w:vertAlign w:val="superscript"/>
        </w:rPr>
        <w:footnoteReference w:id="25"/>
      </w:r>
      <w:r w:rsidR="001A6832" w:rsidRPr="001A6832">
        <w:t xml:space="preserve"> The </w:t>
      </w:r>
      <w:r w:rsidR="003D4918">
        <w:t>Utility</w:t>
      </w:r>
      <w:r w:rsidR="001A6832" w:rsidRPr="001A6832">
        <w:t xml:space="preserve"> also included $67 in FedEx expense which </w:t>
      </w:r>
      <w:r>
        <w:t>we find</w:t>
      </w:r>
      <w:r w:rsidR="001A6832" w:rsidRPr="001A6832">
        <w:t xml:space="preserve"> reasonable. Based on these components, the total cost for customer notices and postage is $9,382 ($4,938 + $525 + $3,852 + $67). In the </w:t>
      </w:r>
      <w:r w:rsidR="003D4918">
        <w:t>Utility</w:t>
      </w:r>
      <w:r w:rsidR="001A6832" w:rsidRPr="001A6832">
        <w:t>’s last rate case, Ni Florida was allowed to recover $9,009 for customer notices and postage.</w:t>
      </w:r>
      <w:r w:rsidR="001A6832" w:rsidRPr="001A6832">
        <w:rPr>
          <w:vertAlign w:val="superscript"/>
        </w:rPr>
        <w:footnoteReference w:id="26"/>
      </w:r>
      <w:r w:rsidR="001A6832" w:rsidRPr="001A6832">
        <w:t xml:space="preserve"> </w:t>
      </w:r>
      <w:r>
        <w:t>We believe</w:t>
      </w:r>
      <w:r w:rsidR="001A6832" w:rsidRPr="001A6832">
        <w:t xml:space="preserve"> that </w:t>
      </w:r>
      <w:r>
        <w:t>our</w:t>
      </w:r>
      <w:r w:rsidR="001A6832" w:rsidRPr="001A6832">
        <w:t xml:space="preserve"> calculated expense is reflective of the actual conditions in the instant docket while remaining comparable to the expense in the 2013 rate case. As such, rate case expense </w:t>
      </w:r>
      <w:r w:rsidRPr="005D1AD3">
        <w:t xml:space="preserve">shall </w:t>
      </w:r>
      <w:r w:rsidR="001A6832" w:rsidRPr="001A6832">
        <w:t>be decreased by $1,161 ($9,382 - $10,543) for customer mailings.</w:t>
      </w:r>
    </w:p>
    <w:p w:rsidR="0097603B" w:rsidRDefault="0097603B" w:rsidP="00EC0B1C">
      <w:pPr>
        <w:jc w:val="both"/>
        <w:rPr>
          <w:u w:val="single"/>
        </w:rPr>
      </w:pPr>
    </w:p>
    <w:p w:rsidR="00D97EA2" w:rsidRDefault="00D97EA2" w:rsidP="00EC0B1C">
      <w:pPr>
        <w:jc w:val="both"/>
        <w:rPr>
          <w:u w:val="single"/>
        </w:rPr>
      </w:pPr>
    </w:p>
    <w:p w:rsidR="001A6832" w:rsidRPr="005D1AD3" w:rsidRDefault="001A6832" w:rsidP="00EC0B1C">
      <w:pPr>
        <w:jc w:val="both"/>
        <w:rPr>
          <w:u w:val="single"/>
        </w:rPr>
      </w:pPr>
      <w:r w:rsidRPr="005D1AD3">
        <w:rPr>
          <w:u w:val="single"/>
        </w:rPr>
        <w:lastRenderedPageBreak/>
        <w:t>Conclusion</w:t>
      </w:r>
    </w:p>
    <w:p w:rsidR="005D1AD3" w:rsidRDefault="005D1AD3" w:rsidP="00EC0B1C">
      <w:pPr>
        <w:jc w:val="both"/>
      </w:pPr>
    </w:p>
    <w:p w:rsidR="001A6832" w:rsidRPr="001A6832" w:rsidRDefault="001A6832" w:rsidP="005D1AD3">
      <w:pPr>
        <w:ind w:firstLine="720"/>
        <w:jc w:val="both"/>
      </w:pPr>
      <w:r w:rsidRPr="001A6832">
        <w:t xml:space="preserve">In summary, we find that the </w:t>
      </w:r>
      <w:r w:rsidR="003D4918">
        <w:t>Utility</w:t>
      </w:r>
      <w:r w:rsidRPr="001A6832">
        <w:t xml:space="preserve">’s revised rate case expense </w:t>
      </w:r>
      <w:r w:rsidR="006C242E">
        <w:t>shall</w:t>
      </w:r>
      <w:r w:rsidRPr="001A6832">
        <w:t xml:space="preserve"> be decreased by $</w:t>
      </w:r>
      <w:r w:rsidRPr="001A6832">
        <w:rPr>
          <w:color w:val="000000"/>
        </w:rPr>
        <w:t>12,436</w:t>
      </w:r>
      <w:r w:rsidRPr="001A6832">
        <w:t>.  The appropriate total rate case expense is $95,082. A breakdown of rate case expense is as follows:</w:t>
      </w:r>
    </w:p>
    <w:p w:rsidR="001A6832" w:rsidRPr="001A6832" w:rsidRDefault="001A6832" w:rsidP="00EC0B1C">
      <w:pPr>
        <w:jc w:val="both"/>
      </w:pPr>
    </w:p>
    <w:p w:rsidR="001A6832" w:rsidRPr="001A6832" w:rsidRDefault="001A6832" w:rsidP="00EC0B1C">
      <w:pPr>
        <w:jc w:val="center"/>
        <w:rPr>
          <w:u w:val="single"/>
        </w:rPr>
      </w:pPr>
      <w:r w:rsidRPr="001A6832">
        <w:rPr>
          <w:rFonts w:ascii="Arial" w:hAnsi="Arial" w:cs="Arial"/>
          <w:b/>
        </w:rPr>
        <w:t xml:space="preserve">Table </w:t>
      </w:r>
      <w:r w:rsidR="005D1AD3">
        <w:rPr>
          <w:rFonts w:ascii="Arial" w:hAnsi="Arial" w:cs="Arial"/>
          <w:b/>
        </w:rPr>
        <w:t>14</w:t>
      </w:r>
      <w:r w:rsidRPr="001A6832">
        <w:rPr>
          <w:rFonts w:ascii="Arial" w:hAnsi="Arial" w:cs="Arial"/>
          <w:b/>
        </w:rPr>
        <w:br/>
      </w:r>
      <w:r w:rsidR="005D1AD3">
        <w:rPr>
          <w:rFonts w:ascii="Arial" w:hAnsi="Arial" w:cs="Arial"/>
          <w:b/>
        </w:rPr>
        <w:t>Approved</w:t>
      </w:r>
      <w:r w:rsidRPr="001A6832">
        <w:rPr>
          <w:rFonts w:ascii="Arial" w:hAnsi="Arial" w:cs="Arial"/>
          <w:b/>
        </w:rPr>
        <w:t xml:space="preserve"> Rate Case Expense</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3" w:type="dxa"/>
          <w:right w:w="33" w:type="dxa"/>
        </w:tblCellMar>
        <w:tblLook w:val="0000" w:firstRow="0" w:lastRow="0" w:firstColumn="0" w:lastColumn="0" w:noHBand="0" w:noVBand="0"/>
      </w:tblPr>
      <w:tblGrid>
        <w:gridCol w:w="2394"/>
        <w:gridCol w:w="1322"/>
        <w:gridCol w:w="1554"/>
        <w:gridCol w:w="1554"/>
        <w:gridCol w:w="1440"/>
      </w:tblGrid>
      <w:tr w:rsidR="001A6832" w:rsidRPr="001A6832" w:rsidTr="003D4918">
        <w:trPr>
          <w:cantSplit/>
          <w:trHeight w:val="638"/>
          <w:jc w:val="center"/>
        </w:trPr>
        <w:tc>
          <w:tcPr>
            <w:tcW w:w="2394" w:type="dxa"/>
            <w:tcBorders>
              <w:bottom w:val="nil"/>
            </w:tcBorders>
          </w:tcPr>
          <w:p w:rsidR="001A6832" w:rsidRPr="001A6832" w:rsidRDefault="001A6832" w:rsidP="00EC0B1C">
            <w:pPr>
              <w:keepNext/>
              <w:jc w:val="both"/>
              <w:outlineLvl w:val="1"/>
              <w:rPr>
                <w:bCs/>
                <w:iCs/>
                <w:sz w:val="22"/>
                <w:szCs w:val="22"/>
              </w:rPr>
            </w:pPr>
          </w:p>
        </w:tc>
        <w:tc>
          <w:tcPr>
            <w:tcW w:w="1322" w:type="dxa"/>
            <w:tcBorders>
              <w:bottom w:val="nil"/>
            </w:tcBorders>
            <w:vAlign w:val="center"/>
          </w:tcPr>
          <w:p w:rsidR="001A6832" w:rsidRPr="001A6832" w:rsidRDefault="001A6832" w:rsidP="00EC0B1C">
            <w:pPr>
              <w:keepNext/>
              <w:jc w:val="center"/>
              <w:outlineLvl w:val="1"/>
              <w:rPr>
                <w:b/>
                <w:bCs/>
                <w:iCs/>
                <w:sz w:val="22"/>
                <w:szCs w:val="22"/>
              </w:rPr>
            </w:pPr>
            <w:r w:rsidRPr="001A6832">
              <w:rPr>
                <w:b/>
                <w:bCs/>
                <w:iCs/>
                <w:sz w:val="22"/>
                <w:szCs w:val="22"/>
              </w:rPr>
              <w:t>MFR Estimated</w:t>
            </w:r>
          </w:p>
        </w:tc>
        <w:tc>
          <w:tcPr>
            <w:tcW w:w="1554" w:type="dxa"/>
            <w:tcBorders>
              <w:bottom w:val="nil"/>
            </w:tcBorders>
            <w:vAlign w:val="center"/>
          </w:tcPr>
          <w:p w:rsidR="001A6832" w:rsidRPr="001A6832" w:rsidRDefault="003D4918" w:rsidP="00EC0B1C">
            <w:pPr>
              <w:keepNext/>
              <w:jc w:val="center"/>
              <w:outlineLvl w:val="1"/>
              <w:rPr>
                <w:b/>
                <w:bCs/>
                <w:iCs/>
                <w:sz w:val="22"/>
                <w:szCs w:val="22"/>
              </w:rPr>
            </w:pPr>
            <w:r>
              <w:rPr>
                <w:b/>
                <w:bCs/>
                <w:iCs/>
                <w:sz w:val="22"/>
                <w:szCs w:val="22"/>
              </w:rPr>
              <w:t>Utility</w:t>
            </w:r>
            <w:r w:rsidR="001A6832" w:rsidRPr="001A6832">
              <w:rPr>
                <w:b/>
                <w:bCs/>
                <w:iCs/>
                <w:sz w:val="22"/>
                <w:szCs w:val="22"/>
              </w:rPr>
              <w:t xml:space="preserve"> Revised</w:t>
            </w:r>
          </w:p>
          <w:p w:rsidR="001A6832" w:rsidRPr="001A6832" w:rsidRDefault="001A6832" w:rsidP="00EC0B1C">
            <w:pPr>
              <w:keepNext/>
              <w:jc w:val="center"/>
              <w:outlineLvl w:val="1"/>
              <w:rPr>
                <w:b/>
                <w:bCs/>
                <w:iCs/>
                <w:sz w:val="22"/>
                <w:szCs w:val="22"/>
              </w:rPr>
            </w:pPr>
            <w:r w:rsidRPr="001A6832">
              <w:rPr>
                <w:b/>
                <w:bCs/>
                <w:iCs/>
                <w:sz w:val="22"/>
                <w:szCs w:val="22"/>
              </w:rPr>
              <w:t>Actual &amp; Est.</w:t>
            </w:r>
          </w:p>
        </w:tc>
        <w:tc>
          <w:tcPr>
            <w:tcW w:w="1554" w:type="dxa"/>
            <w:tcBorders>
              <w:bottom w:val="nil"/>
            </w:tcBorders>
            <w:vAlign w:val="center"/>
          </w:tcPr>
          <w:p w:rsidR="001A6832" w:rsidRPr="001A6832" w:rsidRDefault="005D1AD3" w:rsidP="00EC0B1C">
            <w:pPr>
              <w:keepNext/>
              <w:jc w:val="center"/>
              <w:outlineLvl w:val="1"/>
              <w:rPr>
                <w:b/>
                <w:bCs/>
                <w:iCs/>
                <w:sz w:val="22"/>
                <w:szCs w:val="22"/>
              </w:rPr>
            </w:pPr>
            <w:r>
              <w:rPr>
                <w:b/>
                <w:bCs/>
                <w:iCs/>
                <w:sz w:val="22"/>
                <w:szCs w:val="22"/>
              </w:rPr>
              <w:t>Commission</w:t>
            </w:r>
          </w:p>
          <w:p w:rsidR="001A6832" w:rsidRPr="001A6832" w:rsidRDefault="001A6832" w:rsidP="00EC0B1C">
            <w:pPr>
              <w:keepNext/>
              <w:jc w:val="center"/>
              <w:outlineLvl w:val="1"/>
              <w:rPr>
                <w:b/>
                <w:bCs/>
                <w:iCs/>
                <w:sz w:val="22"/>
                <w:szCs w:val="22"/>
              </w:rPr>
            </w:pPr>
            <w:r w:rsidRPr="001A6832">
              <w:rPr>
                <w:b/>
                <w:bCs/>
                <w:iCs/>
                <w:sz w:val="22"/>
                <w:szCs w:val="22"/>
              </w:rPr>
              <w:t>Adjustment</w:t>
            </w:r>
          </w:p>
        </w:tc>
        <w:tc>
          <w:tcPr>
            <w:tcW w:w="1440" w:type="dxa"/>
            <w:tcBorders>
              <w:bottom w:val="nil"/>
            </w:tcBorders>
            <w:vAlign w:val="center"/>
          </w:tcPr>
          <w:p w:rsidR="001A6832" w:rsidRPr="001A6832" w:rsidRDefault="005D1AD3" w:rsidP="00EC0B1C">
            <w:pPr>
              <w:keepNext/>
              <w:jc w:val="center"/>
              <w:outlineLvl w:val="1"/>
              <w:rPr>
                <w:b/>
                <w:bCs/>
                <w:iCs/>
                <w:sz w:val="22"/>
                <w:szCs w:val="22"/>
              </w:rPr>
            </w:pPr>
            <w:r>
              <w:rPr>
                <w:b/>
                <w:bCs/>
                <w:iCs/>
                <w:sz w:val="22"/>
                <w:szCs w:val="22"/>
              </w:rPr>
              <w:t>Approved</w:t>
            </w:r>
          </w:p>
          <w:p w:rsidR="001A6832" w:rsidRPr="001A6832" w:rsidRDefault="001A6832" w:rsidP="00EC0B1C">
            <w:pPr>
              <w:keepNext/>
              <w:jc w:val="center"/>
              <w:outlineLvl w:val="1"/>
              <w:rPr>
                <w:b/>
                <w:bCs/>
                <w:iCs/>
                <w:sz w:val="22"/>
                <w:szCs w:val="22"/>
              </w:rPr>
            </w:pPr>
            <w:r w:rsidRPr="001A6832">
              <w:rPr>
                <w:b/>
                <w:bCs/>
                <w:iCs/>
                <w:sz w:val="22"/>
                <w:szCs w:val="22"/>
              </w:rPr>
              <w:t>Total</w:t>
            </w:r>
          </w:p>
        </w:tc>
      </w:tr>
      <w:tr w:rsidR="001A6832" w:rsidRPr="001A6832" w:rsidTr="003D4918">
        <w:trPr>
          <w:cantSplit/>
          <w:trHeight w:val="359"/>
          <w:jc w:val="center"/>
        </w:trPr>
        <w:tc>
          <w:tcPr>
            <w:tcW w:w="2394" w:type="dxa"/>
            <w:tcBorders>
              <w:bottom w:val="nil"/>
            </w:tcBorders>
          </w:tcPr>
          <w:p w:rsidR="001A6832" w:rsidRPr="001A6832" w:rsidRDefault="001A6832" w:rsidP="00CD724F">
            <w:pPr>
              <w:keepNext/>
              <w:jc w:val="center"/>
              <w:outlineLvl w:val="1"/>
              <w:rPr>
                <w:rFonts w:cs="Arial"/>
                <w:bCs/>
                <w:iCs/>
                <w:sz w:val="22"/>
                <w:szCs w:val="22"/>
              </w:rPr>
            </w:pPr>
            <w:r w:rsidRPr="001A6832">
              <w:rPr>
                <w:bCs/>
                <w:iCs/>
                <w:sz w:val="22"/>
                <w:szCs w:val="22"/>
              </w:rPr>
              <w:t>Legal Fees</w:t>
            </w:r>
          </w:p>
        </w:tc>
        <w:tc>
          <w:tcPr>
            <w:tcW w:w="1322" w:type="dxa"/>
            <w:tcBorders>
              <w:bottom w:val="nil"/>
            </w:tcBorders>
            <w:vAlign w:val="center"/>
          </w:tcPr>
          <w:p w:rsidR="001A6832" w:rsidRPr="001A6832" w:rsidRDefault="001A6832" w:rsidP="00EC0B1C">
            <w:pPr>
              <w:keepNext/>
              <w:jc w:val="right"/>
              <w:outlineLvl w:val="1"/>
              <w:rPr>
                <w:bCs/>
                <w:iCs/>
                <w:sz w:val="22"/>
                <w:szCs w:val="22"/>
              </w:rPr>
            </w:pPr>
            <w:r w:rsidRPr="001A6832">
              <w:rPr>
                <w:bCs/>
                <w:iCs/>
                <w:sz w:val="22"/>
                <w:szCs w:val="22"/>
              </w:rPr>
              <w:t xml:space="preserve">      $62,500</w:t>
            </w:r>
          </w:p>
        </w:tc>
        <w:tc>
          <w:tcPr>
            <w:tcW w:w="1554" w:type="dxa"/>
            <w:tcBorders>
              <w:bottom w:val="nil"/>
            </w:tcBorders>
            <w:vAlign w:val="bottom"/>
          </w:tcPr>
          <w:p w:rsidR="001A6832" w:rsidRPr="001A6832" w:rsidRDefault="001A6832" w:rsidP="00CD724F">
            <w:pPr>
              <w:keepNext/>
              <w:jc w:val="right"/>
              <w:outlineLvl w:val="1"/>
              <w:rPr>
                <w:bCs/>
                <w:iCs/>
                <w:sz w:val="22"/>
                <w:szCs w:val="22"/>
              </w:rPr>
            </w:pPr>
            <w:r w:rsidRPr="001A6832">
              <w:rPr>
                <w:bCs/>
                <w:iCs/>
                <w:sz w:val="22"/>
                <w:szCs w:val="22"/>
              </w:rPr>
              <w:t>$56,474</w:t>
            </w:r>
          </w:p>
        </w:tc>
        <w:tc>
          <w:tcPr>
            <w:tcW w:w="1554" w:type="dxa"/>
            <w:tcBorders>
              <w:bottom w:val="nil"/>
            </w:tcBorders>
            <w:vAlign w:val="center"/>
          </w:tcPr>
          <w:p w:rsidR="001A6832" w:rsidRPr="001A6832" w:rsidRDefault="001A6832" w:rsidP="00EC0B1C">
            <w:pPr>
              <w:keepNext/>
              <w:jc w:val="right"/>
              <w:outlineLvl w:val="1"/>
              <w:rPr>
                <w:bCs/>
                <w:iCs/>
                <w:sz w:val="22"/>
                <w:szCs w:val="22"/>
              </w:rPr>
            </w:pPr>
            <w:r w:rsidRPr="001A6832">
              <w:rPr>
                <w:bCs/>
                <w:iCs/>
                <w:sz w:val="22"/>
                <w:szCs w:val="22"/>
              </w:rPr>
              <w:t>($11,275)</w:t>
            </w:r>
          </w:p>
        </w:tc>
        <w:tc>
          <w:tcPr>
            <w:tcW w:w="1440" w:type="dxa"/>
            <w:tcBorders>
              <w:bottom w:val="nil"/>
            </w:tcBorders>
            <w:vAlign w:val="center"/>
          </w:tcPr>
          <w:p w:rsidR="001A6832" w:rsidRPr="001A6832" w:rsidRDefault="001A6832" w:rsidP="00EC0B1C">
            <w:pPr>
              <w:jc w:val="right"/>
              <w:rPr>
                <w:color w:val="000000"/>
                <w:sz w:val="22"/>
                <w:szCs w:val="22"/>
              </w:rPr>
            </w:pPr>
            <w:r w:rsidRPr="001A6832">
              <w:rPr>
                <w:color w:val="000000"/>
                <w:sz w:val="22"/>
                <w:szCs w:val="22"/>
              </w:rPr>
              <w:t xml:space="preserve">$45,199 </w:t>
            </w:r>
          </w:p>
        </w:tc>
      </w:tr>
      <w:tr w:rsidR="001A6832" w:rsidRPr="001A6832" w:rsidTr="003D4918">
        <w:trPr>
          <w:cantSplit/>
          <w:jc w:val="center"/>
        </w:trPr>
        <w:tc>
          <w:tcPr>
            <w:tcW w:w="2394" w:type="dxa"/>
          </w:tcPr>
          <w:p w:rsidR="001A6832" w:rsidRPr="001A6832" w:rsidRDefault="001A6832" w:rsidP="00EC0B1C">
            <w:pPr>
              <w:keepNext/>
              <w:jc w:val="both"/>
              <w:outlineLvl w:val="1"/>
              <w:rPr>
                <w:bCs/>
                <w:iCs/>
                <w:sz w:val="22"/>
                <w:szCs w:val="22"/>
              </w:rPr>
            </w:pPr>
            <w:r w:rsidRPr="001A6832">
              <w:rPr>
                <w:bCs/>
                <w:iCs/>
                <w:sz w:val="22"/>
                <w:szCs w:val="22"/>
              </w:rPr>
              <w:t>Accounting Fees</w:t>
            </w:r>
          </w:p>
        </w:tc>
        <w:tc>
          <w:tcPr>
            <w:tcW w:w="1322" w:type="dxa"/>
            <w:vAlign w:val="center"/>
          </w:tcPr>
          <w:p w:rsidR="001A6832" w:rsidRPr="001A6832" w:rsidRDefault="001A6832" w:rsidP="00EC0B1C">
            <w:pPr>
              <w:keepNext/>
              <w:jc w:val="right"/>
              <w:outlineLvl w:val="1"/>
              <w:rPr>
                <w:bCs/>
                <w:iCs/>
                <w:sz w:val="22"/>
                <w:szCs w:val="22"/>
              </w:rPr>
            </w:pPr>
            <w:r w:rsidRPr="001A6832">
              <w:rPr>
                <w:bCs/>
                <w:iCs/>
                <w:sz w:val="22"/>
                <w:szCs w:val="22"/>
              </w:rPr>
              <w:t>70,000</w:t>
            </w:r>
          </w:p>
        </w:tc>
        <w:tc>
          <w:tcPr>
            <w:tcW w:w="1554" w:type="dxa"/>
            <w:vAlign w:val="bottom"/>
          </w:tcPr>
          <w:p w:rsidR="001A6832" w:rsidRPr="001A6832" w:rsidRDefault="001A6832" w:rsidP="00EC0B1C">
            <w:pPr>
              <w:keepNext/>
              <w:jc w:val="right"/>
              <w:outlineLvl w:val="1"/>
              <w:rPr>
                <w:bCs/>
                <w:iCs/>
                <w:sz w:val="22"/>
                <w:szCs w:val="22"/>
              </w:rPr>
            </w:pPr>
            <w:r w:rsidRPr="001A6832">
              <w:rPr>
                <w:bCs/>
                <w:iCs/>
                <w:sz w:val="22"/>
                <w:szCs w:val="22"/>
              </w:rPr>
              <w:t xml:space="preserve">35,000 </w:t>
            </w:r>
          </w:p>
        </w:tc>
        <w:tc>
          <w:tcPr>
            <w:tcW w:w="1554" w:type="dxa"/>
            <w:vAlign w:val="center"/>
          </w:tcPr>
          <w:p w:rsidR="001A6832" w:rsidRPr="001A6832" w:rsidRDefault="001A6832" w:rsidP="00EC0B1C">
            <w:pPr>
              <w:keepNext/>
              <w:jc w:val="right"/>
              <w:outlineLvl w:val="1"/>
              <w:rPr>
                <w:bCs/>
                <w:iCs/>
                <w:sz w:val="22"/>
                <w:szCs w:val="22"/>
              </w:rPr>
            </w:pPr>
            <w:r w:rsidRPr="001A6832">
              <w:rPr>
                <w:bCs/>
                <w:iCs/>
                <w:sz w:val="22"/>
                <w:szCs w:val="22"/>
              </w:rPr>
              <w:t>0</w:t>
            </w:r>
          </w:p>
        </w:tc>
        <w:tc>
          <w:tcPr>
            <w:tcW w:w="1440" w:type="dxa"/>
            <w:vAlign w:val="center"/>
          </w:tcPr>
          <w:p w:rsidR="001A6832" w:rsidRPr="001A6832" w:rsidRDefault="001A6832" w:rsidP="00EC0B1C">
            <w:pPr>
              <w:jc w:val="right"/>
              <w:rPr>
                <w:color w:val="000000"/>
                <w:sz w:val="22"/>
                <w:szCs w:val="22"/>
              </w:rPr>
            </w:pPr>
            <w:r w:rsidRPr="001A6832">
              <w:rPr>
                <w:color w:val="000000"/>
                <w:sz w:val="22"/>
                <w:szCs w:val="22"/>
              </w:rPr>
              <w:t xml:space="preserve">35,000 </w:t>
            </w:r>
          </w:p>
        </w:tc>
      </w:tr>
      <w:tr w:rsidR="001A6832" w:rsidRPr="001A6832" w:rsidTr="003D4918">
        <w:trPr>
          <w:cantSplit/>
          <w:jc w:val="center"/>
        </w:trPr>
        <w:tc>
          <w:tcPr>
            <w:tcW w:w="2394" w:type="dxa"/>
          </w:tcPr>
          <w:p w:rsidR="001A6832" w:rsidRPr="001A6832" w:rsidRDefault="001A6832" w:rsidP="00EC0B1C">
            <w:pPr>
              <w:keepNext/>
              <w:jc w:val="both"/>
              <w:outlineLvl w:val="1"/>
              <w:rPr>
                <w:bCs/>
                <w:iCs/>
                <w:sz w:val="22"/>
                <w:szCs w:val="22"/>
              </w:rPr>
            </w:pPr>
            <w:r w:rsidRPr="001A6832">
              <w:rPr>
                <w:bCs/>
                <w:iCs/>
                <w:sz w:val="22"/>
                <w:szCs w:val="22"/>
              </w:rPr>
              <w:t>Filing Fee</w:t>
            </w:r>
          </w:p>
        </w:tc>
        <w:tc>
          <w:tcPr>
            <w:tcW w:w="1322" w:type="dxa"/>
            <w:vAlign w:val="center"/>
          </w:tcPr>
          <w:p w:rsidR="001A6832" w:rsidRPr="001A6832" w:rsidRDefault="001A6832" w:rsidP="00EC0B1C">
            <w:pPr>
              <w:keepNext/>
              <w:jc w:val="right"/>
              <w:outlineLvl w:val="1"/>
              <w:rPr>
                <w:bCs/>
                <w:iCs/>
                <w:sz w:val="22"/>
                <w:szCs w:val="22"/>
              </w:rPr>
            </w:pPr>
            <w:r w:rsidRPr="001A6832">
              <w:rPr>
                <w:bCs/>
                <w:iCs/>
                <w:sz w:val="22"/>
                <w:szCs w:val="22"/>
              </w:rPr>
              <w:t>0</w:t>
            </w:r>
          </w:p>
        </w:tc>
        <w:tc>
          <w:tcPr>
            <w:tcW w:w="1554" w:type="dxa"/>
          </w:tcPr>
          <w:p w:rsidR="001A6832" w:rsidRPr="001A6832" w:rsidRDefault="001A6832" w:rsidP="00EC0B1C">
            <w:pPr>
              <w:keepNext/>
              <w:jc w:val="right"/>
              <w:outlineLvl w:val="1"/>
              <w:rPr>
                <w:bCs/>
                <w:iCs/>
                <w:sz w:val="22"/>
                <w:szCs w:val="22"/>
              </w:rPr>
            </w:pPr>
            <w:r w:rsidRPr="001A6832">
              <w:rPr>
                <w:bCs/>
                <w:iCs/>
                <w:sz w:val="22"/>
                <w:szCs w:val="22"/>
              </w:rPr>
              <w:t>5,500</w:t>
            </w:r>
          </w:p>
        </w:tc>
        <w:tc>
          <w:tcPr>
            <w:tcW w:w="1554" w:type="dxa"/>
            <w:vAlign w:val="center"/>
          </w:tcPr>
          <w:p w:rsidR="001A6832" w:rsidRPr="001A6832" w:rsidRDefault="001A6832" w:rsidP="00EC0B1C">
            <w:pPr>
              <w:keepNext/>
              <w:jc w:val="right"/>
              <w:outlineLvl w:val="1"/>
              <w:rPr>
                <w:bCs/>
                <w:iCs/>
                <w:sz w:val="22"/>
                <w:szCs w:val="22"/>
                <w:u w:val="single"/>
              </w:rPr>
            </w:pPr>
            <w:r w:rsidRPr="001A6832">
              <w:rPr>
                <w:bCs/>
                <w:iCs/>
                <w:sz w:val="22"/>
                <w:szCs w:val="22"/>
                <w:u w:val="single"/>
              </w:rPr>
              <w:t>0</w:t>
            </w:r>
          </w:p>
        </w:tc>
        <w:tc>
          <w:tcPr>
            <w:tcW w:w="1440" w:type="dxa"/>
            <w:vAlign w:val="center"/>
          </w:tcPr>
          <w:p w:rsidR="001A6832" w:rsidRPr="001A6832" w:rsidRDefault="001A6832" w:rsidP="00EC0B1C">
            <w:pPr>
              <w:jc w:val="right"/>
              <w:rPr>
                <w:color w:val="000000"/>
                <w:sz w:val="22"/>
                <w:szCs w:val="22"/>
              </w:rPr>
            </w:pPr>
            <w:r w:rsidRPr="001A6832">
              <w:rPr>
                <w:color w:val="000000"/>
                <w:sz w:val="22"/>
                <w:szCs w:val="22"/>
              </w:rPr>
              <w:t xml:space="preserve">5,500 </w:t>
            </w:r>
          </w:p>
        </w:tc>
      </w:tr>
      <w:tr w:rsidR="001A6832" w:rsidRPr="001A6832" w:rsidTr="003D4918">
        <w:trPr>
          <w:cantSplit/>
          <w:jc w:val="center"/>
        </w:trPr>
        <w:tc>
          <w:tcPr>
            <w:tcW w:w="2394" w:type="dxa"/>
          </w:tcPr>
          <w:p w:rsidR="001A6832" w:rsidRPr="001A6832" w:rsidRDefault="001A6832" w:rsidP="00EC0B1C">
            <w:pPr>
              <w:keepNext/>
              <w:jc w:val="both"/>
              <w:outlineLvl w:val="1"/>
              <w:rPr>
                <w:bCs/>
                <w:iCs/>
                <w:sz w:val="22"/>
                <w:szCs w:val="22"/>
              </w:rPr>
            </w:pPr>
            <w:r w:rsidRPr="001A6832">
              <w:rPr>
                <w:bCs/>
                <w:iCs/>
                <w:sz w:val="22"/>
                <w:szCs w:val="22"/>
              </w:rPr>
              <w:t>Customer Notices/FedEx</w:t>
            </w:r>
          </w:p>
        </w:tc>
        <w:tc>
          <w:tcPr>
            <w:tcW w:w="1322" w:type="dxa"/>
            <w:vAlign w:val="center"/>
          </w:tcPr>
          <w:p w:rsidR="001A6832" w:rsidRPr="001A6832" w:rsidRDefault="001A6832" w:rsidP="00EC0B1C">
            <w:pPr>
              <w:keepNext/>
              <w:jc w:val="right"/>
              <w:outlineLvl w:val="1"/>
              <w:rPr>
                <w:bCs/>
                <w:iCs/>
                <w:sz w:val="22"/>
                <w:szCs w:val="22"/>
                <w:u w:val="single"/>
              </w:rPr>
            </w:pPr>
            <w:r w:rsidRPr="001A6832">
              <w:rPr>
                <w:bCs/>
                <w:iCs/>
                <w:sz w:val="22"/>
                <w:szCs w:val="22"/>
                <w:u w:val="single"/>
              </w:rPr>
              <w:t>31,428</w:t>
            </w:r>
          </w:p>
        </w:tc>
        <w:tc>
          <w:tcPr>
            <w:tcW w:w="1554" w:type="dxa"/>
            <w:vAlign w:val="bottom"/>
          </w:tcPr>
          <w:p w:rsidR="001A6832" w:rsidRPr="001A6832" w:rsidRDefault="001A6832" w:rsidP="00EC0B1C">
            <w:pPr>
              <w:keepNext/>
              <w:jc w:val="right"/>
              <w:outlineLvl w:val="1"/>
              <w:rPr>
                <w:bCs/>
                <w:iCs/>
                <w:sz w:val="22"/>
                <w:szCs w:val="22"/>
                <w:u w:val="single"/>
              </w:rPr>
            </w:pPr>
            <w:r w:rsidRPr="001A6832">
              <w:rPr>
                <w:bCs/>
                <w:iCs/>
                <w:sz w:val="22"/>
                <w:szCs w:val="22"/>
                <w:u w:val="single"/>
              </w:rPr>
              <w:t xml:space="preserve">10,543 </w:t>
            </w:r>
          </w:p>
        </w:tc>
        <w:tc>
          <w:tcPr>
            <w:tcW w:w="1554" w:type="dxa"/>
            <w:vAlign w:val="center"/>
          </w:tcPr>
          <w:p w:rsidR="001A6832" w:rsidRPr="001A6832" w:rsidRDefault="001A6832" w:rsidP="00EC0B1C">
            <w:pPr>
              <w:keepNext/>
              <w:jc w:val="right"/>
              <w:outlineLvl w:val="1"/>
              <w:rPr>
                <w:bCs/>
                <w:iCs/>
                <w:sz w:val="22"/>
                <w:szCs w:val="22"/>
                <w:u w:val="single"/>
              </w:rPr>
            </w:pPr>
            <w:r w:rsidRPr="001A6832">
              <w:rPr>
                <w:bCs/>
                <w:iCs/>
                <w:sz w:val="22"/>
                <w:szCs w:val="22"/>
                <w:u w:val="single"/>
              </w:rPr>
              <w:t>(1,161)</w:t>
            </w:r>
          </w:p>
        </w:tc>
        <w:tc>
          <w:tcPr>
            <w:tcW w:w="1440" w:type="dxa"/>
            <w:vAlign w:val="center"/>
          </w:tcPr>
          <w:p w:rsidR="001A6832" w:rsidRPr="001A6832" w:rsidRDefault="001A6832" w:rsidP="00EC0B1C">
            <w:pPr>
              <w:jc w:val="right"/>
              <w:rPr>
                <w:color w:val="000000"/>
                <w:sz w:val="22"/>
                <w:szCs w:val="22"/>
                <w:u w:val="single"/>
              </w:rPr>
            </w:pPr>
            <w:r w:rsidRPr="001A6832">
              <w:rPr>
                <w:color w:val="000000"/>
                <w:sz w:val="22"/>
                <w:szCs w:val="22"/>
                <w:u w:val="single"/>
              </w:rPr>
              <w:t>9,382</w:t>
            </w:r>
          </w:p>
        </w:tc>
      </w:tr>
      <w:tr w:rsidR="001A6832" w:rsidRPr="001A6832" w:rsidTr="003D4918">
        <w:trPr>
          <w:cantSplit/>
          <w:trHeight w:val="593"/>
          <w:jc w:val="center"/>
        </w:trPr>
        <w:tc>
          <w:tcPr>
            <w:tcW w:w="2394" w:type="dxa"/>
            <w:vAlign w:val="center"/>
          </w:tcPr>
          <w:p w:rsidR="001A6832" w:rsidRPr="001A6832" w:rsidRDefault="001A6832" w:rsidP="00EC0B1C">
            <w:pPr>
              <w:keepNext/>
              <w:outlineLvl w:val="1"/>
              <w:rPr>
                <w:rFonts w:cs="Arial"/>
                <w:bCs/>
                <w:iCs/>
                <w:sz w:val="22"/>
                <w:szCs w:val="22"/>
              </w:rPr>
            </w:pPr>
            <w:r w:rsidRPr="001A6832">
              <w:rPr>
                <w:rFonts w:cs="Arial"/>
                <w:bCs/>
                <w:iCs/>
                <w:sz w:val="22"/>
                <w:szCs w:val="22"/>
              </w:rPr>
              <w:t>Total Rate Case Expense</w:t>
            </w:r>
          </w:p>
        </w:tc>
        <w:tc>
          <w:tcPr>
            <w:tcW w:w="1322"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$163,928</w:t>
            </w:r>
          </w:p>
        </w:tc>
        <w:tc>
          <w:tcPr>
            <w:tcW w:w="1554"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rPr>
              <w:t xml:space="preserve"> </w:t>
            </w:r>
            <w:r w:rsidRPr="001A6832">
              <w:rPr>
                <w:rFonts w:cs="Arial"/>
                <w:bCs/>
                <w:iCs/>
                <w:sz w:val="22"/>
                <w:szCs w:val="22"/>
                <w:u w:val="double"/>
              </w:rPr>
              <w:t xml:space="preserve">$107,517    </w:t>
            </w:r>
          </w:p>
        </w:tc>
        <w:tc>
          <w:tcPr>
            <w:tcW w:w="1554"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($12,436)</w:t>
            </w:r>
          </w:p>
        </w:tc>
        <w:tc>
          <w:tcPr>
            <w:tcW w:w="1440"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$95,082</w:t>
            </w:r>
          </w:p>
        </w:tc>
      </w:tr>
      <w:tr w:rsidR="001A6832" w:rsidRPr="001A6832" w:rsidTr="003D4918">
        <w:trPr>
          <w:cantSplit/>
          <w:trHeight w:val="530"/>
          <w:jc w:val="center"/>
        </w:trPr>
        <w:tc>
          <w:tcPr>
            <w:tcW w:w="2394" w:type="dxa"/>
            <w:vAlign w:val="center"/>
          </w:tcPr>
          <w:p w:rsidR="001A6832" w:rsidRPr="001A6832" w:rsidRDefault="001A6832" w:rsidP="00EC0B1C">
            <w:pPr>
              <w:keepNext/>
              <w:outlineLvl w:val="1"/>
              <w:rPr>
                <w:rFonts w:cs="Arial"/>
                <w:bCs/>
                <w:iCs/>
                <w:sz w:val="22"/>
                <w:szCs w:val="22"/>
              </w:rPr>
            </w:pPr>
            <w:r w:rsidRPr="001A6832">
              <w:rPr>
                <w:rFonts w:cs="Arial"/>
                <w:bCs/>
                <w:iCs/>
                <w:sz w:val="22"/>
                <w:szCs w:val="22"/>
              </w:rPr>
              <w:t>Annual Amortization</w:t>
            </w:r>
          </w:p>
        </w:tc>
        <w:tc>
          <w:tcPr>
            <w:tcW w:w="1322"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$40,982</w:t>
            </w:r>
          </w:p>
        </w:tc>
        <w:tc>
          <w:tcPr>
            <w:tcW w:w="1554"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$26,879</w:t>
            </w:r>
          </w:p>
        </w:tc>
        <w:tc>
          <w:tcPr>
            <w:tcW w:w="1554"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($3,109)</w:t>
            </w:r>
          </w:p>
        </w:tc>
        <w:tc>
          <w:tcPr>
            <w:tcW w:w="1440" w:type="dxa"/>
            <w:vAlign w:val="center"/>
          </w:tcPr>
          <w:p w:rsidR="001A6832" w:rsidRPr="001A6832" w:rsidRDefault="001A6832" w:rsidP="00EC0B1C">
            <w:pPr>
              <w:keepNext/>
              <w:jc w:val="right"/>
              <w:outlineLvl w:val="1"/>
              <w:rPr>
                <w:rFonts w:cs="Arial"/>
                <w:bCs/>
                <w:iCs/>
                <w:sz w:val="22"/>
                <w:szCs w:val="22"/>
                <w:u w:val="double"/>
              </w:rPr>
            </w:pPr>
            <w:r w:rsidRPr="001A6832">
              <w:rPr>
                <w:rFonts w:cs="Arial"/>
                <w:bCs/>
                <w:iCs/>
                <w:sz w:val="22"/>
                <w:szCs w:val="22"/>
                <w:u w:val="double"/>
              </w:rPr>
              <w:t>$23,770</w:t>
            </w:r>
          </w:p>
        </w:tc>
      </w:tr>
    </w:tbl>
    <w:p w:rsidR="001A6832" w:rsidRPr="001A6832" w:rsidRDefault="001A6832" w:rsidP="00EC0B1C">
      <w:pPr>
        <w:jc w:val="both"/>
      </w:pPr>
      <w:r w:rsidRPr="001A6832">
        <w:t xml:space="preserve">         Source: MFR Schedule B-10 and responses to </w:t>
      </w:r>
      <w:r w:rsidR="005D1AD3">
        <w:t xml:space="preserve">Commission </w:t>
      </w:r>
      <w:r w:rsidRPr="001A6832">
        <w:t>staff data requests.</w:t>
      </w:r>
    </w:p>
    <w:p w:rsidR="001A6832" w:rsidRPr="001A6832" w:rsidRDefault="001A6832" w:rsidP="00EC0B1C">
      <w:pPr>
        <w:jc w:val="both"/>
      </w:pPr>
    </w:p>
    <w:p w:rsidR="001A6832" w:rsidRPr="001A6832" w:rsidRDefault="001A6832" w:rsidP="005D1AD3">
      <w:pPr>
        <w:ind w:firstLine="720"/>
        <w:jc w:val="both"/>
      </w:pPr>
      <w:r w:rsidRPr="001A6832">
        <w:t xml:space="preserve">The </w:t>
      </w:r>
      <w:r w:rsidR="005D1AD3">
        <w:t>approved</w:t>
      </w:r>
      <w:r w:rsidRPr="001A6832">
        <w:t xml:space="preserve"> total rate case expense </w:t>
      </w:r>
      <w:r w:rsidR="005D1AD3" w:rsidRPr="005D1AD3">
        <w:t xml:space="preserve">shall </w:t>
      </w:r>
      <w:r w:rsidRPr="001A6832">
        <w:t>be amortized over four years, pursuant to Section 367.0816, F.S. Based on the data provided by Ni Florida and the</w:t>
      </w:r>
      <w:r w:rsidR="00234CCB">
        <w:t xml:space="preserve"> approved</w:t>
      </w:r>
      <w:r w:rsidRPr="001A6832">
        <w:t xml:space="preserve"> adjustments discussed above, the appropriate amount of rate case expense is $95,082. This expense </w:t>
      </w:r>
      <w:r w:rsidR="00BE56A1">
        <w:t>shall</w:t>
      </w:r>
      <w:r w:rsidRPr="001A6832">
        <w:t xml:space="preserve"> be recovered over four years for an annual expense of $23,770.</w:t>
      </w:r>
    </w:p>
    <w:p w:rsidR="001A6832" w:rsidRPr="001A6832" w:rsidRDefault="001A6832" w:rsidP="00EC0B1C">
      <w:pPr>
        <w:jc w:val="both"/>
      </w:pPr>
    </w:p>
    <w:p w:rsidR="001A6832" w:rsidRPr="001A6832" w:rsidRDefault="001A6832" w:rsidP="005D1AD3">
      <w:pPr>
        <w:ind w:firstLine="720"/>
        <w:jc w:val="both"/>
      </w:pPr>
      <w:r w:rsidRPr="001A6832">
        <w:t xml:space="preserve">The </w:t>
      </w:r>
      <w:r w:rsidR="003D4918">
        <w:t>Utility</w:t>
      </w:r>
      <w:r w:rsidRPr="001A6832">
        <w:t xml:space="preserve"> also included in its MFRs prior rate case expense of $144,179. However, in the </w:t>
      </w:r>
      <w:r w:rsidR="003D4918">
        <w:t>Utility</w:t>
      </w:r>
      <w:r w:rsidRPr="001A6832">
        <w:t xml:space="preserve">'s last rate case, </w:t>
      </w:r>
      <w:r w:rsidR="005D1AD3">
        <w:t>this</w:t>
      </w:r>
      <w:r w:rsidRPr="001A6832">
        <w:t xml:space="preserve"> Commission approved total rate case expense of $149,321 to be amortized over four years.</w:t>
      </w:r>
      <w:r w:rsidRPr="001A6832">
        <w:rPr>
          <w:vertAlign w:val="superscript"/>
        </w:rPr>
        <w:footnoteReference w:id="27"/>
      </w:r>
      <w:r w:rsidRPr="001A6832">
        <w:t xml:space="preserve"> As such, </w:t>
      </w:r>
      <w:r w:rsidR="005D1AD3">
        <w:t>we used the</w:t>
      </w:r>
      <w:r w:rsidRPr="001A6832">
        <w:t xml:space="preserve"> approved amount for prior rate case expense here. When amortized over four years, total prior unamortized rate case expense represents an annual expense of $37,330. </w:t>
      </w:r>
      <w:r w:rsidR="005D1AD3">
        <w:t>The current approved total</w:t>
      </w:r>
      <w:r w:rsidRPr="001A6832">
        <w:t xml:space="preserve"> rate case expense and prior rate case expense total $244,403 ($95,082 + $149,321), or $61,101 on an annual basis. As a result, annual rate case expense </w:t>
      </w:r>
      <w:r w:rsidR="005D1AD3" w:rsidRPr="005D1AD3">
        <w:t xml:space="preserve">shall </w:t>
      </w:r>
      <w:r w:rsidRPr="001A6832">
        <w:t>be decreased by $3,636 for water and $13,575 for wastewater from the respective levels of expense included in the MFRs.</w:t>
      </w:r>
    </w:p>
    <w:p w:rsidR="005D1AD3" w:rsidRDefault="005D1AD3" w:rsidP="00EC0B1C">
      <w:pPr>
        <w:autoSpaceDE w:val="0"/>
        <w:autoSpaceDN w:val="0"/>
        <w:adjustRightInd w:val="0"/>
        <w:jc w:val="both"/>
        <w:rPr>
          <w:rFonts w:ascii="Arial" w:hAnsi="Arial" w:cs="Arial"/>
          <w:b/>
          <w:bCs/>
          <w:i/>
          <w:kern w:val="32"/>
          <w:szCs w:val="32"/>
        </w:rPr>
      </w:pPr>
    </w:p>
    <w:p w:rsidR="005D1AD3" w:rsidRPr="005D1AD3" w:rsidRDefault="00FF4675" w:rsidP="005D1AD3">
      <w:pPr>
        <w:autoSpaceDE w:val="0"/>
        <w:autoSpaceDN w:val="0"/>
        <w:adjustRightInd w:val="0"/>
        <w:jc w:val="center"/>
        <w:rPr>
          <w:bCs/>
          <w:kern w:val="32"/>
          <w:szCs w:val="32"/>
          <w:u w:val="single"/>
        </w:rPr>
      </w:pPr>
      <w:r>
        <w:rPr>
          <w:bCs/>
          <w:kern w:val="32"/>
          <w:szCs w:val="32"/>
          <w:u w:val="single"/>
        </w:rPr>
        <w:t>Test Year O&amp;M</w:t>
      </w:r>
      <w:r w:rsidR="005D1AD3" w:rsidRPr="005D1AD3">
        <w:rPr>
          <w:bCs/>
          <w:kern w:val="32"/>
          <w:szCs w:val="32"/>
          <w:u w:val="single"/>
        </w:rPr>
        <w:t xml:space="preserve"> Expenses</w:t>
      </w:r>
    </w:p>
    <w:p w:rsidR="005D1AD3" w:rsidRDefault="005D1AD3" w:rsidP="00EC0B1C">
      <w:pPr>
        <w:autoSpaceDE w:val="0"/>
        <w:autoSpaceDN w:val="0"/>
        <w:adjustRightInd w:val="0"/>
        <w:jc w:val="both"/>
        <w:rPr>
          <w:rFonts w:ascii="Arial" w:hAnsi="Arial" w:cs="Arial"/>
          <w:b/>
          <w:bCs/>
          <w:i/>
          <w:kern w:val="32"/>
          <w:szCs w:val="32"/>
        </w:rPr>
      </w:pPr>
    </w:p>
    <w:p w:rsidR="001A6832" w:rsidRPr="001A6832" w:rsidRDefault="005D1AD3" w:rsidP="005D1AD3">
      <w:pPr>
        <w:autoSpaceDE w:val="0"/>
        <w:autoSpaceDN w:val="0"/>
        <w:adjustRightInd w:val="0"/>
        <w:ind w:firstLine="720"/>
        <w:jc w:val="both"/>
      </w:pPr>
      <w:r>
        <w:t>We have</w:t>
      </w:r>
      <w:r w:rsidR="001A6832" w:rsidRPr="001A6832">
        <w:t xml:space="preserve"> reviewed the test year O&amp;M expenses and examined invoices, canceled checks, and other supporting documentation. As a result, </w:t>
      </w:r>
      <w:r w:rsidR="00BE56A1">
        <w:t>this Commission has made</w:t>
      </w:r>
      <w:r w:rsidR="001A6832" w:rsidRPr="001A6832">
        <w:t xml:space="preserve"> several adjustments to the </w:t>
      </w:r>
      <w:r w:rsidR="003D4918">
        <w:t>Utility</w:t>
      </w:r>
      <w:r w:rsidR="001A6832" w:rsidRPr="001A6832">
        <w:t xml:space="preserve">'s operating expenses, as summarized below. </w:t>
      </w:r>
    </w:p>
    <w:p w:rsidR="001A6832" w:rsidRPr="001A6832" w:rsidRDefault="001A6832" w:rsidP="00EC0B1C">
      <w:pPr>
        <w:autoSpaceDE w:val="0"/>
        <w:autoSpaceDN w:val="0"/>
        <w:adjustRightInd w:val="0"/>
        <w:jc w:val="both"/>
      </w:pPr>
    </w:p>
    <w:p w:rsidR="001A6832" w:rsidRPr="001A6832" w:rsidRDefault="005D1AD3" w:rsidP="005D1AD3">
      <w:pPr>
        <w:autoSpaceDE w:val="0"/>
        <w:autoSpaceDN w:val="0"/>
        <w:adjustRightInd w:val="0"/>
        <w:ind w:firstLine="720"/>
        <w:jc w:val="both"/>
      </w:pPr>
      <w:r>
        <w:t>As relates</w:t>
      </w:r>
      <w:r w:rsidR="001A6832" w:rsidRPr="001A6832">
        <w:t xml:space="preserve"> to purchased water and wastewater contractual services-engineering, no adjustments were </w:t>
      </w:r>
      <w:r>
        <w:t>made</w:t>
      </w:r>
      <w:r w:rsidR="001A6832" w:rsidRPr="001A6832">
        <w:t xml:space="preserve">. There were also no audit findings pertaining to these issues. Several </w:t>
      </w:r>
      <w:r w:rsidR="001A6832" w:rsidRPr="001A6832">
        <w:lastRenderedPageBreak/>
        <w:t xml:space="preserve">other accounts had adjustments made as a result of an audit finding, and are addressed </w:t>
      </w:r>
      <w:r>
        <w:t>later in this order</w:t>
      </w:r>
      <w:r w:rsidR="001A6832" w:rsidRPr="001A6832">
        <w:t xml:space="preserve">. As such, they are identified in the table below, but are not discussed </w:t>
      </w:r>
      <w:r>
        <w:t>here</w:t>
      </w:r>
      <w:r w:rsidR="001A6832" w:rsidRPr="001A6832">
        <w:t xml:space="preserve">. </w:t>
      </w:r>
    </w:p>
    <w:p w:rsidR="00FF4675" w:rsidRPr="001A6832" w:rsidRDefault="00FF4675" w:rsidP="00EC0B1C">
      <w:pPr>
        <w:autoSpaceDE w:val="0"/>
        <w:autoSpaceDN w:val="0"/>
        <w:adjustRightInd w:val="0"/>
        <w:jc w:val="both"/>
      </w:pP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 xml:space="preserve">Table </w:t>
      </w:r>
      <w:r w:rsidR="005D1AD3">
        <w:rPr>
          <w:rFonts w:ascii="Arial" w:hAnsi="Arial" w:cs="Arial"/>
          <w:b/>
        </w:rPr>
        <w:t>15</w:t>
      </w:r>
    </w:p>
    <w:p w:rsidR="001A6832" w:rsidRPr="001A6832" w:rsidRDefault="001A6832" w:rsidP="00EC0B1C">
      <w:pPr>
        <w:autoSpaceDE w:val="0"/>
        <w:autoSpaceDN w:val="0"/>
        <w:adjustRightInd w:val="0"/>
        <w:jc w:val="center"/>
        <w:rPr>
          <w:rFonts w:ascii="Arial" w:hAnsi="Arial" w:cs="Arial"/>
        </w:rPr>
      </w:pPr>
      <w:r w:rsidRPr="001A6832">
        <w:rPr>
          <w:rFonts w:ascii="Arial" w:hAnsi="Arial" w:cs="Arial"/>
          <w:b/>
        </w:rPr>
        <w:t>O&amp;M Accounts Not Discussed</w:t>
      </w:r>
    </w:p>
    <w:tbl>
      <w:tblPr>
        <w:tblStyle w:val="TableGrid6"/>
        <w:tblW w:w="0" w:type="auto"/>
        <w:tblInd w:w="333" w:type="dxa"/>
        <w:tblLook w:val="04A0" w:firstRow="1" w:lastRow="0" w:firstColumn="1" w:lastColumn="0" w:noHBand="0" w:noVBand="1"/>
      </w:tblPr>
      <w:tblGrid>
        <w:gridCol w:w="1215"/>
        <w:gridCol w:w="3060"/>
        <w:gridCol w:w="1170"/>
        <w:gridCol w:w="3600"/>
      </w:tblGrid>
      <w:tr w:rsidR="001A6832" w:rsidRPr="001A6832" w:rsidTr="003D4918">
        <w:tc>
          <w:tcPr>
            <w:tcW w:w="4275" w:type="dxa"/>
            <w:gridSpan w:val="2"/>
          </w:tcPr>
          <w:p w:rsidR="001A6832" w:rsidRPr="001A6832" w:rsidRDefault="001A6832" w:rsidP="00EC0B1C">
            <w:pPr>
              <w:autoSpaceDE w:val="0"/>
              <w:autoSpaceDN w:val="0"/>
              <w:adjustRightInd w:val="0"/>
              <w:jc w:val="center"/>
              <w:rPr>
                <w:b/>
              </w:rPr>
            </w:pPr>
            <w:r w:rsidRPr="001A6832">
              <w:rPr>
                <w:b/>
              </w:rPr>
              <w:t>Water</w:t>
            </w:r>
          </w:p>
        </w:tc>
        <w:tc>
          <w:tcPr>
            <w:tcW w:w="4770" w:type="dxa"/>
            <w:gridSpan w:val="2"/>
          </w:tcPr>
          <w:p w:rsidR="001A6832" w:rsidRPr="001A6832" w:rsidRDefault="001A6832" w:rsidP="00EC0B1C">
            <w:pPr>
              <w:autoSpaceDE w:val="0"/>
              <w:autoSpaceDN w:val="0"/>
              <w:adjustRightInd w:val="0"/>
              <w:jc w:val="center"/>
              <w:rPr>
                <w:b/>
              </w:rPr>
            </w:pPr>
            <w:r w:rsidRPr="001A6832">
              <w:rPr>
                <w:b/>
              </w:rPr>
              <w:t>Wastewater</w:t>
            </w:r>
          </w:p>
        </w:tc>
      </w:tr>
      <w:tr w:rsidR="001A6832" w:rsidRPr="001A6832" w:rsidTr="003D4918">
        <w:tc>
          <w:tcPr>
            <w:tcW w:w="1215" w:type="dxa"/>
          </w:tcPr>
          <w:p w:rsidR="001A6832" w:rsidRPr="001A6832" w:rsidRDefault="001A6832" w:rsidP="00EC0B1C">
            <w:pPr>
              <w:autoSpaceDE w:val="0"/>
              <w:autoSpaceDN w:val="0"/>
              <w:adjustRightInd w:val="0"/>
              <w:jc w:val="center"/>
              <w:rPr>
                <w:b/>
              </w:rPr>
            </w:pPr>
            <w:r w:rsidRPr="001A6832">
              <w:rPr>
                <w:b/>
              </w:rPr>
              <w:t>Acct. No.</w:t>
            </w:r>
          </w:p>
        </w:tc>
        <w:tc>
          <w:tcPr>
            <w:tcW w:w="3060" w:type="dxa"/>
          </w:tcPr>
          <w:p w:rsidR="001A6832" w:rsidRPr="001A6832" w:rsidRDefault="001A6832" w:rsidP="00EC0B1C">
            <w:pPr>
              <w:autoSpaceDE w:val="0"/>
              <w:autoSpaceDN w:val="0"/>
              <w:adjustRightInd w:val="0"/>
              <w:jc w:val="center"/>
              <w:rPr>
                <w:b/>
              </w:rPr>
            </w:pPr>
            <w:r w:rsidRPr="001A6832">
              <w:rPr>
                <w:b/>
              </w:rPr>
              <w:t>Name</w:t>
            </w:r>
          </w:p>
        </w:tc>
        <w:tc>
          <w:tcPr>
            <w:tcW w:w="1170" w:type="dxa"/>
          </w:tcPr>
          <w:p w:rsidR="001A6832" w:rsidRPr="001A6832" w:rsidRDefault="001A6832" w:rsidP="00EC0B1C">
            <w:pPr>
              <w:autoSpaceDE w:val="0"/>
              <w:autoSpaceDN w:val="0"/>
              <w:adjustRightInd w:val="0"/>
              <w:rPr>
                <w:b/>
              </w:rPr>
            </w:pPr>
            <w:r w:rsidRPr="001A6832">
              <w:rPr>
                <w:b/>
              </w:rPr>
              <w:t>Acct. No.</w:t>
            </w:r>
          </w:p>
        </w:tc>
        <w:tc>
          <w:tcPr>
            <w:tcW w:w="3600" w:type="dxa"/>
          </w:tcPr>
          <w:p w:rsidR="001A6832" w:rsidRPr="001A6832" w:rsidRDefault="001A6832" w:rsidP="00EC0B1C">
            <w:pPr>
              <w:autoSpaceDE w:val="0"/>
              <w:autoSpaceDN w:val="0"/>
              <w:adjustRightInd w:val="0"/>
              <w:jc w:val="center"/>
              <w:rPr>
                <w:b/>
              </w:rPr>
            </w:pPr>
            <w:r w:rsidRPr="001A6832">
              <w:rPr>
                <w:b/>
              </w:rPr>
              <w:t>Name</w:t>
            </w:r>
          </w:p>
        </w:tc>
      </w:tr>
      <w:tr w:rsidR="001A6832" w:rsidRPr="001A6832" w:rsidTr="003D4918">
        <w:tc>
          <w:tcPr>
            <w:tcW w:w="1215" w:type="dxa"/>
          </w:tcPr>
          <w:p w:rsidR="001A6832" w:rsidRPr="001A6832" w:rsidRDefault="001A6832" w:rsidP="00EC0B1C">
            <w:pPr>
              <w:autoSpaceDE w:val="0"/>
              <w:autoSpaceDN w:val="0"/>
              <w:adjustRightInd w:val="0"/>
              <w:jc w:val="center"/>
            </w:pPr>
            <w:r w:rsidRPr="001A6832">
              <w:t>610</w:t>
            </w:r>
          </w:p>
        </w:tc>
        <w:tc>
          <w:tcPr>
            <w:tcW w:w="3060" w:type="dxa"/>
          </w:tcPr>
          <w:p w:rsidR="001A6832" w:rsidRPr="001A6832" w:rsidRDefault="001A6832" w:rsidP="00EC0B1C">
            <w:pPr>
              <w:autoSpaceDE w:val="0"/>
              <w:autoSpaceDN w:val="0"/>
              <w:adjustRightInd w:val="0"/>
            </w:pPr>
            <w:r w:rsidRPr="001A6832">
              <w:t>Purchased Water</w:t>
            </w:r>
          </w:p>
        </w:tc>
        <w:tc>
          <w:tcPr>
            <w:tcW w:w="1170" w:type="dxa"/>
          </w:tcPr>
          <w:p w:rsidR="001A6832" w:rsidRPr="001A6832" w:rsidRDefault="001A6832" w:rsidP="00EC0B1C">
            <w:pPr>
              <w:autoSpaceDE w:val="0"/>
              <w:autoSpaceDN w:val="0"/>
              <w:adjustRightInd w:val="0"/>
              <w:jc w:val="center"/>
            </w:pPr>
            <w:r w:rsidRPr="001A6832">
              <w:t>710</w:t>
            </w:r>
          </w:p>
        </w:tc>
        <w:tc>
          <w:tcPr>
            <w:tcW w:w="3600" w:type="dxa"/>
          </w:tcPr>
          <w:p w:rsidR="001A6832" w:rsidRPr="001A6832" w:rsidRDefault="001A6832" w:rsidP="00EC0B1C">
            <w:pPr>
              <w:autoSpaceDE w:val="0"/>
              <w:autoSpaceDN w:val="0"/>
              <w:adjustRightInd w:val="0"/>
            </w:pPr>
            <w:r w:rsidRPr="001A6832">
              <w:t>Purchased Sewer Treatment</w:t>
            </w:r>
          </w:p>
        </w:tc>
      </w:tr>
      <w:tr w:rsidR="001A6832" w:rsidRPr="001A6832" w:rsidTr="003D4918">
        <w:tc>
          <w:tcPr>
            <w:tcW w:w="1215" w:type="dxa"/>
          </w:tcPr>
          <w:p w:rsidR="001A6832" w:rsidRPr="001A6832" w:rsidRDefault="001A6832" w:rsidP="00EC0B1C">
            <w:pPr>
              <w:autoSpaceDE w:val="0"/>
              <w:autoSpaceDN w:val="0"/>
              <w:adjustRightInd w:val="0"/>
              <w:jc w:val="center"/>
            </w:pPr>
            <w:r w:rsidRPr="001A6832">
              <w:t>657</w:t>
            </w:r>
          </w:p>
        </w:tc>
        <w:tc>
          <w:tcPr>
            <w:tcW w:w="3060" w:type="dxa"/>
          </w:tcPr>
          <w:p w:rsidR="001A6832" w:rsidRPr="001A6832" w:rsidRDefault="001A6832" w:rsidP="00EC0B1C">
            <w:pPr>
              <w:autoSpaceDE w:val="0"/>
              <w:autoSpaceDN w:val="0"/>
              <w:adjustRightInd w:val="0"/>
            </w:pPr>
            <w:r w:rsidRPr="001A6832">
              <w:t>Insurance – General Liability</w:t>
            </w:r>
          </w:p>
        </w:tc>
        <w:tc>
          <w:tcPr>
            <w:tcW w:w="1170" w:type="dxa"/>
          </w:tcPr>
          <w:p w:rsidR="001A6832" w:rsidRPr="001A6832" w:rsidRDefault="001A6832" w:rsidP="00EC0B1C">
            <w:pPr>
              <w:autoSpaceDE w:val="0"/>
              <w:autoSpaceDN w:val="0"/>
              <w:adjustRightInd w:val="0"/>
              <w:jc w:val="center"/>
            </w:pPr>
            <w:r w:rsidRPr="001A6832">
              <w:t>715</w:t>
            </w:r>
          </w:p>
        </w:tc>
        <w:tc>
          <w:tcPr>
            <w:tcW w:w="3600" w:type="dxa"/>
          </w:tcPr>
          <w:p w:rsidR="001A6832" w:rsidRPr="001A6832" w:rsidRDefault="001A6832" w:rsidP="00EC0B1C">
            <w:pPr>
              <w:autoSpaceDE w:val="0"/>
              <w:autoSpaceDN w:val="0"/>
              <w:adjustRightInd w:val="0"/>
            </w:pPr>
            <w:r w:rsidRPr="001A6832">
              <w:t>Purchased Power</w:t>
            </w:r>
          </w:p>
        </w:tc>
      </w:tr>
      <w:tr w:rsidR="001A6832" w:rsidRPr="001A6832" w:rsidTr="003D4918">
        <w:tc>
          <w:tcPr>
            <w:tcW w:w="1215" w:type="dxa"/>
          </w:tcPr>
          <w:p w:rsidR="001A6832" w:rsidRPr="001A6832" w:rsidRDefault="001A6832" w:rsidP="00EC0B1C">
            <w:pPr>
              <w:autoSpaceDE w:val="0"/>
              <w:autoSpaceDN w:val="0"/>
              <w:adjustRightInd w:val="0"/>
              <w:jc w:val="center"/>
            </w:pPr>
            <w:r w:rsidRPr="001A6832">
              <w:t>659</w:t>
            </w:r>
          </w:p>
        </w:tc>
        <w:tc>
          <w:tcPr>
            <w:tcW w:w="3060" w:type="dxa"/>
          </w:tcPr>
          <w:p w:rsidR="001A6832" w:rsidRPr="001A6832" w:rsidRDefault="001A6832" w:rsidP="00EC0B1C">
            <w:pPr>
              <w:autoSpaceDE w:val="0"/>
              <w:autoSpaceDN w:val="0"/>
              <w:adjustRightInd w:val="0"/>
            </w:pPr>
            <w:r w:rsidRPr="001A6832">
              <w:t xml:space="preserve">Insurance – Other </w:t>
            </w:r>
          </w:p>
        </w:tc>
        <w:tc>
          <w:tcPr>
            <w:tcW w:w="1170" w:type="dxa"/>
          </w:tcPr>
          <w:p w:rsidR="001A6832" w:rsidRPr="001A6832" w:rsidRDefault="001A6832" w:rsidP="00EC0B1C">
            <w:pPr>
              <w:autoSpaceDE w:val="0"/>
              <w:autoSpaceDN w:val="0"/>
              <w:adjustRightInd w:val="0"/>
              <w:jc w:val="center"/>
            </w:pPr>
            <w:r w:rsidRPr="001A6832">
              <w:t>720</w:t>
            </w:r>
          </w:p>
        </w:tc>
        <w:tc>
          <w:tcPr>
            <w:tcW w:w="3600" w:type="dxa"/>
          </w:tcPr>
          <w:p w:rsidR="001A6832" w:rsidRPr="001A6832" w:rsidRDefault="001A6832" w:rsidP="00EC0B1C">
            <w:pPr>
              <w:autoSpaceDE w:val="0"/>
              <w:autoSpaceDN w:val="0"/>
              <w:adjustRightInd w:val="0"/>
            </w:pPr>
            <w:r w:rsidRPr="001A6832">
              <w:t>Materials and Supplies</w:t>
            </w:r>
          </w:p>
        </w:tc>
      </w:tr>
      <w:tr w:rsidR="001A6832" w:rsidRPr="001A6832" w:rsidTr="003D4918">
        <w:tc>
          <w:tcPr>
            <w:tcW w:w="1215" w:type="dxa"/>
          </w:tcPr>
          <w:p w:rsidR="001A6832" w:rsidRPr="001A6832" w:rsidRDefault="001A6832" w:rsidP="00EC0B1C">
            <w:pPr>
              <w:autoSpaceDE w:val="0"/>
              <w:autoSpaceDN w:val="0"/>
              <w:adjustRightInd w:val="0"/>
              <w:jc w:val="center"/>
            </w:pPr>
          </w:p>
        </w:tc>
        <w:tc>
          <w:tcPr>
            <w:tcW w:w="3060" w:type="dxa"/>
          </w:tcPr>
          <w:p w:rsidR="001A6832" w:rsidRPr="001A6832" w:rsidRDefault="001A6832" w:rsidP="00EC0B1C">
            <w:pPr>
              <w:autoSpaceDE w:val="0"/>
              <w:autoSpaceDN w:val="0"/>
              <w:adjustRightInd w:val="0"/>
            </w:pPr>
          </w:p>
        </w:tc>
        <w:tc>
          <w:tcPr>
            <w:tcW w:w="1170" w:type="dxa"/>
          </w:tcPr>
          <w:p w:rsidR="001A6832" w:rsidRPr="001A6832" w:rsidRDefault="001A6832" w:rsidP="00EC0B1C">
            <w:pPr>
              <w:autoSpaceDE w:val="0"/>
              <w:autoSpaceDN w:val="0"/>
              <w:adjustRightInd w:val="0"/>
              <w:jc w:val="center"/>
            </w:pPr>
            <w:r w:rsidRPr="001A6832">
              <w:t>731</w:t>
            </w:r>
          </w:p>
        </w:tc>
        <w:tc>
          <w:tcPr>
            <w:tcW w:w="3600" w:type="dxa"/>
          </w:tcPr>
          <w:p w:rsidR="001A6832" w:rsidRPr="001A6832" w:rsidRDefault="001A6832" w:rsidP="00EC0B1C">
            <w:pPr>
              <w:autoSpaceDE w:val="0"/>
              <w:autoSpaceDN w:val="0"/>
              <w:adjustRightInd w:val="0"/>
            </w:pPr>
            <w:r w:rsidRPr="001A6832">
              <w:t>Contractual Services - Engineering</w:t>
            </w:r>
          </w:p>
        </w:tc>
      </w:tr>
      <w:tr w:rsidR="001A6832" w:rsidRPr="001A6832" w:rsidTr="003D4918">
        <w:tc>
          <w:tcPr>
            <w:tcW w:w="1215" w:type="dxa"/>
          </w:tcPr>
          <w:p w:rsidR="001A6832" w:rsidRPr="001A6832" w:rsidRDefault="001A6832" w:rsidP="00EC0B1C">
            <w:pPr>
              <w:autoSpaceDE w:val="0"/>
              <w:autoSpaceDN w:val="0"/>
              <w:adjustRightInd w:val="0"/>
              <w:jc w:val="center"/>
            </w:pPr>
          </w:p>
        </w:tc>
        <w:tc>
          <w:tcPr>
            <w:tcW w:w="3060" w:type="dxa"/>
          </w:tcPr>
          <w:p w:rsidR="001A6832" w:rsidRPr="001A6832" w:rsidRDefault="001A6832" w:rsidP="00EC0B1C">
            <w:pPr>
              <w:autoSpaceDE w:val="0"/>
              <w:autoSpaceDN w:val="0"/>
              <w:adjustRightInd w:val="0"/>
            </w:pPr>
          </w:p>
        </w:tc>
        <w:tc>
          <w:tcPr>
            <w:tcW w:w="1170" w:type="dxa"/>
          </w:tcPr>
          <w:p w:rsidR="001A6832" w:rsidRPr="001A6832" w:rsidRDefault="001A6832" w:rsidP="00EC0B1C">
            <w:pPr>
              <w:autoSpaceDE w:val="0"/>
              <w:autoSpaceDN w:val="0"/>
              <w:adjustRightInd w:val="0"/>
              <w:jc w:val="center"/>
            </w:pPr>
            <w:r w:rsidRPr="001A6832">
              <w:t xml:space="preserve">735 </w:t>
            </w:r>
          </w:p>
        </w:tc>
        <w:tc>
          <w:tcPr>
            <w:tcW w:w="3600" w:type="dxa"/>
          </w:tcPr>
          <w:p w:rsidR="001A6832" w:rsidRPr="001A6832" w:rsidRDefault="001A6832" w:rsidP="00EC0B1C">
            <w:pPr>
              <w:autoSpaceDE w:val="0"/>
              <w:autoSpaceDN w:val="0"/>
              <w:adjustRightInd w:val="0"/>
            </w:pPr>
            <w:r w:rsidRPr="001A6832">
              <w:t xml:space="preserve">Contractual Services – Testing </w:t>
            </w:r>
          </w:p>
        </w:tc>
      </w:tr>
      <w:tr w:rsidR="001A6832" w:rsidRPr="001A6832" w:rsidTr="003D4918">
        <w:tc>
          <w:tcPr>
            <w:tcW w:w="1215" w:type="dxa"/>
          </w:tcPr>
          <w:p w:rsidR="001A6832" w:rsidRPr="001A6832" w:rsidRDefault="001A6832" w:rsidP="00EC0B1C">
            <w:pPr>
              <w:autoSpaceDE w:val="0"/>
              <w:autoSpaceDN w:val="0"/>
              <w:adjustRightInd w:val="0"/>
              <w:jc w:val="center"/>
            </w:pPr>
          </w:p>
        </w:tc>
        <w:tc>
          <w:tcPr>
            <w:tcW w:w="3060" w:type="dxa"/>
          </w:tcPr>
          <w:p w:rsidR="001A6832" w:rsidRPr="001A6832" w:rsidRDefault="001A6832" w:rsidP="00EC0B1C">
            <w:pPr>
              <w:autoSpaceDE w:val="0"/>
              <w:autoSpaceDN w:val="0"/>
              <w:adjustRightInd w:val="0"/>
            </w:pPr>
          </w:p>
        </w:tc>
        <w:tc>
          <w:tcPr>
            <w:tcW w:w="1170" w:type="dxa"/>
          </w:tcPr>
          <w:p w:rsidR="001A6832" w:rsidRPr="001A6832" w:rsidRDefault="001A6832" w:rsidP="00EC0B1C">
            <w:pPr>
              <w:autoSpaceDE w:val="0"/>
              <w:autoSpaceDN w:val="0"/>
              <w:adjustRightInd w:val="0"/>
              <w:jc w:val="center"/>
            </w:pPr>
            <w:r w:rsidRPr="001A6832">
              <w:t>757</w:t>
            </w:r>
          </w:p>
        </w:tc>
        <w:tc>
          <w:tcPr>
            <w:tcW w:w="3600" w:type="dxa"/>
          </w:tcPr>
          <w:p w:rsidR="001A6832" w:rsidRPr="001A6832" w:rsidRDefault="001A6832" w:rsidP="00EC0B1C">
            <w:pPr>
              <w:autoSpaceDE w:val="0"/>
              <w:autoSpaceDN w:val="0"/>
              <w:adjustRightInd w:val="0"/>
            </w:pPr>
            <w:r w:rsidRPr="001A6832">
              <w:t>Insurance – General Liability</w:t>
            </w:r>
          </w:p>
        </w:tc>
      </w:tr>
      <w:tr w:rsidR="001A6832" w:rsidRPr="001A6832" w:rsidTr="003D4918">
        <w:tc>
          <w:tcPr>
            <w:tcW w:w="1215" w:type="dxa"/>
          </w:tcPr>
          <w:p w:rsidR="001A6832" w:rsidRPr="001A6832" w:rsidRDefault="001A6832" w:rsidP="00EC0B1C">
            <w:pPr>
              <w:autoSpaceDE w:val="0"/>
              <w:autoSpaceDN w:val="0"/>
              <w:adjustRightInd w:val="0"/>
            </w:pPr>
          </w:p>
        </w:tc>
        <w:tc>
          <w:tcPr>
            <w:tcW w:w="3060" w:type="dxa"/>
          </w:tcPr>
          <w:p w:rsidR="001A6832" w:rsidRPr="001A6832" w:rsidRDefault="001A6832" w:rsidP="00EC0B1C">
            <w:pPr>
              <w:autoSpaceDE w:val="0"/>
              <w:autoSpaceDN w:val="0"/>
              <w:adjustRightInd w:val="0"/>
            </w:pPr>
          </w:p>
        </w:tc>
        <w:tc>
          <w:tcPr>
            <w:tcW w:w="1170" w:type="dxa"/>
          </w:tcPr>
          <w:p w:rsidR="001A6832" w:rsidRPr="001A6832" w:rsidRDefault="001A6832" w:rsidP="00EC0B1C">
            <w:pPr>
              <w:autoSpaceDE w:val="0"/>
              <w:autoSpaceDN w:val="0"/>
              <w:adjustRightInd w:val="0"/>
              <w:jc w:val="center"/>
            </w:pPr>
            <w:r w:rsidRPr="001A6832">
              <w:t>759</w:t>
            </w:r>
          </w:p>
        </w:tc>
        <w:tc>
          <w:tcPr>
            <w:tcW w:w="3600" w:type="dxa"/>
          </w:tcPr>
          <w:p w:rsidR="001A6832" w:rsidRPr="001A6832" w:rsidRDefault="001A6832" w:rsidP="00EC0B1C">
            <w:pPr>
              <w:autoSpaceDE w:val="0"/>
              <w:autoSpaceDN w:val="0"/>
              <w:adjustRightInd w:val="0"/>
            </w:pPr>
            <w:r w:rsidRPr="001A6832">
              <w:t xml:space="preserve">Insurance – Other </w:t>
            </w:r>
          </w:p>
        </w:tc>
      </w:tr>
    </w:tbl>
    <w:p w:rsidR="001A6832" w:rsidRPr="00927CE3" w:rsidRDefault="001A6832" w:rsidP="00EC0B1C">
      <w:pPr>
        <w:autoSpaceDE w:val="0"/>
        <w:autoSpaceDN w:val="0"/>
        <w:adjustRightInd w:val="0"/>
        <w:rPr>
          <w:rFonts w:ascii="Arial" w:hAnsi="Arial" w:cs="Arial"/>
        </w:rPr>
      </w:pPr>
    </w:p>
    <w:p w:rsidR="001A6832" w:rsidRPr="00927CE3" w:rsidRDefault="001A6832" w:rsidP="00EC0B1C">
      <w:pPr>
        <w:autoSpaceDE w:val="0"/>
        <w:autoSpaceDN w:val="0"/>
        <w:adjustRightInd w:val="0"/>
        <w:rPr>
          <w:rFonts w:ascii="Arial" w:hAnsi="Arial" w:cs="Arial"/>
        </w:rPr>
      </w:pPr>
    </w:p>
    <w:p w:rsidR="001A6832" w:rsidRPr="005D1AD3" w:rsidRDefault="001A6832" w:rsidP="00EC0B1C">
      <w:pPr>
        <w:autoSpaceDE w:val="0"/>
        <w:autoSpaceDN w:val="0"/>
        <w:adjustRightInd w:val="0"/>
        <w:rPr>
          <w:u w:val="single"/>
        </w:rPr>
      </w:pPr>
      <w:r w:rsidRPr="005D1AD3">
        <w:rPr>
          <w:u w:val="single"/>
        </w:rPr>
        <w:t>Contractual Services – Legal (633/733)</w:t>
      </w:r>
    </w:p>
    <w:p w:rsidR="005D1AD3" w:rsidRDefault="005D1AD3" w:rsidP="00EC0B1C">
      <w:pPr>
        <w:autoSpaceDE w:val="0"/>
        <w:autoSpaceDN w:val="0"/>
        <w:adjustRightInd w:val="0"/>
        <w:jc w:val="both"/>
        <w:rPr>
          <w:color w:val="000000"/>
        </w:rPr>
      </w:pPr>
    </w:p>
    <w:p w:rsidR="001A6832" w:rsidRPr="00F81D4F" w:rsidRDefault="001A6832" w:rsidP="00F81D4F">
      <w:pPr>
        <w:autoSpaceDE w:val="0"/>
        <w:autoSpaceDN w:val="0"/>
        <w:adjustRightInd w:val="0"/>
        <w:ind w:firstLine="720"/>
        <w:jc w:val="both"/>
        <w:rPr>
          <w:color w:val="000000"/>
        </w:rPr>
      </w:pPr>
      <w:r w:rsidRPr="001A6832">
        <w:rPr>
          <w:color w:val="000000"/>
        </w:rPr>
        <w:t xml:space="preserve">In its MFRs, Ni Florida reflected an expense of $4,420 for contractual services-legal in the wastewater test year. No legal expense was allocated to water in the MFRs. In its response to </w:t>
      </w:r>
      <w:r w:rsidR="005D1AD3">
        <w:rPr>
          <w:color w:val="000000"/>
        </w:rPr>
        <w:t xml:space="preserve">Commission </w:t>
      </w:r>
      <w:r w:rsidR="005D1AD3" w:rsidRPr="005D1AD3">
        <w:rPr>
          <w:color w:val="000000"/>
        </w:rPr>
        <w:t>staff’s first data request,</w:t>
      </w:r>
      <w:r w:rsidRPr="001A6832">
        <w:rPr>
          <w:color w:val="000000"/>
        </w:rPr>
        <w:t xml:space="preserve"> the </w:t>
      </w:r>
      <w:r w:rsidR="003D4918">
        <w:rPr>
          <w:color w:val="000000"/>
        </w:rPr>
        <w:t>Utility</w:t>
      </w:r>
      <w:r w:rsidRPr="001A6832">
        <w:rPr>
          <w:color w:val="000000"/>
        </w:rPr>
        <w:t xml:space="preserve"> provided support documentation for the expense which indicated some costs were legitimately wastewater, additional costs that should be shared between water and wastewater, and still others that appear to relate only to water. </w:t>
      </w:r>
      <w:r w:rsidR="00BE56A1">
        <w:rPr>
          <w:color w:val="000000"/>
        </w:rPr>
        <w:t>We</w:t>
      </w:r>
      <w:r w:rsidRPr="001A6832">
        <w:rPr>
          <w:color w:val="000000"/>
        </w:rPr>
        <w:t xml:space="preserve"> </w:t>
      </w:r>
      <w:r w:rsidR="00BE56A1">
        <w:rPr>
          <w:color w:val="000000"/>
        </w:rPr>
        <w:t>note</w:t>
      </w:r>
      <w:r w:rsidRPr="001A6832">
        <w:rPr>
          <w:color w:val="000000"/>
        </w:rPr>
        <w:t xml:space="preserve"> that $3,165 related to various activities surrounding a four-year rate reduction in Docket No. 100149-WU,</w:t>
      </w:r>
      <w:r w:rsidRPr="001A6832">
        <w:rPr>
          <w:color w:val="000000"/>
          <w:vertAlign w:val="superscript"/>
        </w:rPr>
        <w:footnoteReference w:id="28"/>
      </w:r>
      <w:r w:rsidRPr="001A6832">
        <w:rPr>
          <w:color w:val="000000"/>
        </w:rPr>
        <w:t xml:space="preserve"> a docket that only addressed water rates in Lee County, were included in wastewater’s legal expense. </w:t>
      </w:r>
      <w:r w:rsidR="00F81D4F">
        <w:rPr>
          <w:color w:val="000000"/>
        </w:rPr>
        <w:t xml:space="preserve">We find </w:t>
      </w:r>
      <w:r w:rsidRPr="001A6832">
        <w:rPr>
          <w:color w:val="000000"/>
        </w:rPr>
        <w:t xml:space="preserve">that another $180 </w:t>
      </w:r>
      <w:r w:rsidR="00F81D4F" w:rsidRPr="00F81D4F">
        <w:rPr>
          <w:color w:val="000000"/>
        </w:rPr>
        <w:t xml:space="preserve">shall </w:t>
      </w:r>
      <w:r w:rsidRPr="001A6832">
        <w:rPr>
          <w:color w:val="000000"/>
        </w:rPr>
        <w:t xml:space="preserve">be allocated to water because the legal services were of a general </w:t>
      </w:r>
      <w:r w:rsidR="00F81D4F">
        <w:rPr>
          <w:color w:val="000000"/>
        </w:rPr>
        <w:t>u</w:t>
      </w:r>
      <w:r w:rsidR="003D4918">
        <w:rPr>
          <w:color w:val="000000"/>
        </w:rPr>
        <w:t>tility</w:t>
      </w:r>
      <w:r w:rsidRPr="001A6832">
        <w:rPr>
          <w:color w:val="000000"/>
        </w:rPr>
        <w:t xml:space="preserve"> nature, and not system specific. As such</w:t>
      </w:r>
      <w:r w:rsidR="00F81D4F">
        <w:rPr>
          <w:color w:val="000000"/>
        </w:rPr>
        <w:t>,</w:t>
      </w:r>
      <w:r w:rsidRPr="001A6832">
        <w:rPr>
          <w:color w:val="000000"/>
        </w:rPr>
        <w:t xml:space="preserve"> $3,345 ($3,165 + $180) </w:t>
      </w:r>
      <w:r w:rsidR="00F81D4F" w:rsidRPr="00F81D4F">
        <w:rPr>
          <w:color w:val="000000"/>
        </w:rPr>
        <w:t xml:space="preserve">shall </w:t>
      </w:r>
      <w:r w:rsidRPr="001A6832">
        <w:rPr>
          <w:color w:val="000000"/>
        </w:rPr>
        <w:t xml:space="preserve">be removed from contractual services-legal expense for wastewater. </w:t>
      </w:r>
      <w:r w:rsidR="00F81D4F">
        <w:rPr>
          <w:color w:val="000000"/>
        </w:rPr>
        <w:t>T</w:t>
      </w:r>
      <w:r w:rsidRPr="001A6832">
        <w:rPr>
          <w:color w:val="000000"/>
        </w:rPr>
        <w:t xml:space="preserve">he $3,165 related to the four-year rate reduction </w:t>
      </w:r>
      <w:r w:rsidR="00F81D4F" w:rsidRPr="00F81D4F">
        <w:rPr>
          <w:color w:val="000000"/>
        </w:rPr>
        <w:t xml:space="preserve">shall </w:t>
      </w:r>
      <w:r w:rsidRPr="001A6832">
        <w:rPr>
          <w:color w:val="000000"/>
        </w:rPr>
        <w:t>be amortized over four years, or $791 ($3,165/4 years) per year.</w:t>
      </w:r>
      <w:r w:rsidR="00F81D4F">
        <w:rPr>
          <w:color w:val="000000"/>
        </w:rPr>
        <w:t xml:space="preserve"> </w:t>
      </w:r>
      <w:r w:rsidRPr="001A6832">
        <w:rPr>
          <w:color w:val="000000"/>
        </w:rPr>
        <w:t xml:space="preserve">The resulting adjustment to contractual services-legal expense for water is an increase of $971 ($180 + $791). Based on the discussion above, the appropriate contractual services-legal expense for the test year </w:t>
      </w:r>
      <w:r w:rsidR="00F81D4F" w:rsidRPr="00F81D4F">
        <w:rPr>
          <w:color w:val="000000"/>
        </w:rPr>
        <w:t xml:space="preserve">shall </w:t>
      </w:r>
      <w:r w:rsidRPr="001A6832">
        <w:rPr>
          <w:color w:val="000000"/>
        </w:rPr>
        <w:t>be $971 for water and $1,075 ($4,420 - $3,345) for wastewater.</w:t>
      </w:r>
    </w:p>
    <w:p w:rsidR="001A6832" w:rsidRPr="001A6832" w:rsidRDefault="001A6832" w:rsidP="00EC0B1C">
      <w:pPr>
        <w:autoSpaceDE w:val="0"/>
        <w:autoSpaceDN w:val="0"/>
        <w:adjustRightInd w:val="0"/>
        <w:rPr>
          <w:rFonts w:ascii="Arial" w:hAnsi="Arial" w:cs="Arial"/>
          <w:b/>
        </w:rPr>
      </w:pPr>
    </w:p>
    <w:p w:rsidR="001A6832" w:rsidRPr="00F81D4F" w:rsidRDefault="001A6832" w:rsidP="00EC0B1C">
      <w:pPr>
        <w:autoSpaceDE w:val="0"/>
        <w:autoSpaceDN w:val="0"/>
        <w:adjustRightInd w:val="0"/>
        <w:rPr>
          <w:u w:val="single"/>
        </w:rPr>
      </w:pPr>
      <w:r w:rsidRPr="00F81D4F">
        <w:rPr>
          <w:u w:val="single"/>
        </w:rPr>
        <w:t>Contractual Services – Management Fees (634/734)</w:t>
      </w:r>
    </w:p>
    <w:p w:rsidR="00F81D4F" w:rsidRDefault="00F81D4F" w:rsidP="00EC0B1C">
      <w:pPr>
        <w:autoSpaceDE w:val="0"/>
        <w:autoSpaceDN w:val="0"/>
        <w:adjustRightInd w:val="0"/>
        <w:jc w:val="both"/>
      </w:pPr>
    </w:p>
    <w:p w:rsidR="001A6832" w:rsidRPr="001A6832" w:rsidRDefault="001A6832" w:rsidP="00F81D4F">
      <w:pPr>
        <w:autoSpaceDE w:val="0"/>
        <w:autoSpaceDN w:val="0"/>
        <w:adjustRightInd w:val="0"/>
        <w:ind w:firstLine="720"/>
        <w:jc w:val="both"/>
      </w:pPr>
      <w:r w:rsidRPr="001A6832">
        <w:t xml:space="preserve">The </w:t>
      </w:r>
      <w:r w:rsidR="003D4918">
        <w:t>Utility</w:t>
      </w:r>
      <w:r w:rsidRPr="001A6832">
        <w:t xml:space="preserve"> included contractual services management expense of $37,368 for water and $169,266 for wastewater. The </w:t>
      </w:r>
      <w:r w:rsidR="003D4918">
        <w:t>Utility</w:t>
      </w:r>
      <w:r w:rsidRPr="001A6832">
        <w:t xml:space="preserve"> provided a copy of the most recent professional services contract with </w:t>
      </w:r>
      <w:r w:rsidR="003D4918">
        <w:t>Utility</w:t>
      </w:r>
      <w:r w:rsidRPr="001A6832">
        <w:t xml:space="preserve"> Group of Florida, LLC (UGF), as well as related invoices.</w:t>
      </w:r>
      <w:r w:rsidRPr="001A6832">
        <w:rPr>
          <w:vertAlign w:val="superscript"/>
        </w:rPr>
        <w:footnoteReference w:id="29"/>
      </w:r>
      <w:r w:rsidRPr="001A6832">
        <w:t xml:space="preserve"> This contract provides for the general management of Ni Florida’s facilities and additions, which include, but </w:t>
      </w:r>
      <w:r w:rsidRPr="001A6832">
        <w:lastRenderedPageBreak/>
        <w:t xml:space="preserve">are not limited to, all supervision, labor, transportation, tools, equipment and operational consultants to operate and maintain the facilities. In addition, UGF performs billing and collection services per the </w:t>
      </w:r>
      <w:r w:rsidR="003D4918">
        <w:t>Utility</w:t>
      </w:r>
      <w:r w:rsidRPr="001A6832">
        <w:t>'s tariff and policies, maintains a customer service office, reads meters once each month, and performs certain bookkeeping services among other things.</w:t>
      </w:r>
    </w:p>
    <w:p w:rsidR="001A6832" w:rsidRPr="001A6832" w:rsidRDefault="001A6832" w:rsidP="00EC0B1C">
      <w:pPr>
        <w:autoSpaceDE w:val="0"/>
        <w:autoSpaceDN w:val="0"/>
        <w:adjustRightInd w:val="0"/>
        <w:jc w:val="both"/>
        <w:rPr>
          <w:highlight w:val="yellow"/>
        </w:rPr>
      </w:pPr>
    </w:p>
    <w:p w:rsidR="001A6832" w:rsidRPr="001A6832" w:rsidRDefault="001A6832" w:rsidP="00F81D4F">
      <w:pPr>
        <w:autoSpaceDE w:val="0"/>
        <w:autoSpaceDN w:val="0"/>
        <w:adjustRightInd w:val="0"/>
        <w:ind w:firstLine="720"/>
        <w:jc w:val="both"/>
      </w:pPr>
      <w:r w:rsidRPr="001A6832">
        <w:t xml:space="preserve">In its response, the </w:t>
      </w:r>
      <w:r w:rsidR="003D4918">
        <w:t>Utility</w:t>
      </w:r>
      <w:r w:rsidRPr="001A6832">
        <w:t xml:space="preserve"> also included an addendum to the original contract which amended the monthly amount from $3,000 to $3,300 per month. This amendment was executed in July 2010. The </w:t>
      </w:r>
      <w:r w:rsidR="003D4918">
        <w:t>Utility</w:t>
      </w:r>
      <w:r w:rsidRPr="001A6832">
        <w:t xml:space="preserve"> did not provide a written amendment to the contract related to wastewater, but stated in response to </w:t>
      </w:r>
      <w:r w:rsidR="00F81D4F">
        <w:t xml:space="preserve">Commission </w:t>
      </w:r>
      <w:r w:rsidR="00F81D4F" w:rsidRPr="001A6832">
        <w:t>staff’s first data request</w:t>
      </w:r>
      <w:r w:rsidRPr="001A6832">
        <w:t xml:space="preserve"> that “The contract in more recent years is verbal and the amount has changed to $14,000/month.” This change took place on January 1, 2013 according to the </w:t>
      </w:r>
      <w:r w:rsidR="003D4918">
        <w:t>Utility</w:t>
      </w:r>
      <w:r w:rsidRPr="001A6832">
        <w:t>.</w:t>
      </w:r>
    </w:p>
    <w:p w:rsidR="001A6832" w:rsidRPr="001A6832" w:rsidRDefault="001A6832" w:rsidP="00EC0B1C">
      <w:pPr>
        <w:autoSpaceDE w:val="0"/>
        <w:autoSpaceDN w:val="0"/>
        <w:adjustRightInd w:val="0"/>
        <w:jc w:val="both"/>
      </w:pPr>
    </w:p>
    <w:p w:rsidR="001A6832" w:rsidRPr="001A6832" w:rsidRDefault="001A6832" w:rsidP="00F81D4F">
      <w:pPr>
        <w:autoSpaceDE w:val="0"/>
        <w:autoSpaceDN w:val="0"/>
        <w:adjustRightInd w:val="0"/>
        <w:ind w:firstLine="720"/>
        <w:jc w:val="both"/>
      </w:pPr>
      <w:r w:rsidRPr="001A6832">
        <w:t xml:space="preserve">The </w:t>
      </w:r>
      <w:r w:rsidR="003D4918">
        <w:t>Utility</w:t>
      </w:r>
      <w:r w:rsidRPr="001A6832">
        <w:t xml:space="preserve"> provided invoices for water which indicated a monthly professional services fee of $3,114, not $3,330 per month as the addendum states. As such, </w:t>
      </w:r>
      <w:r w:rsidR="00F81D4F">
        <w:t>we find</w:t>
      </w:r>
      <w:r w:rsidRPr="001A6832">
        <w:t xml:space="preserve"> that the amount included in the test year, $37,368 ($3,114 x 12 months), is accurate and no adjustments are necessary. Invoices supporting the $14,000 monthly wastewater management fee, which total $168,000, were also provided. The documentation included an invoice for $1,266 for meter reading which </w:t>
      </w:r>
      <w:r w:rsidR="00F81D4F" w:rsidRPr="00F81D4F">
        <w:t>shall</w:t>
      </w:r>
      <w:r w:rsidRPr="001A6832">
        <w:t xml:space="preserve"> be removed. This amount does not need to be reallocated as that meter reading is included in the professional services contract. This will be addressed in additional detail in Contractual Services – Other, below. As such, $1,266 </w:t>
      </w:r>
      <w:r w:rsidR="00F81D4F" w:rsidRPr="00F81D4F">
        <w:t xml:space="preserve">shall </w:t>
      </w:r>
      <w:r w:rsidRPr="001A6832">
        <w:t>be removed from wastewater contractual services - management fees.</w:t>
      </w:r>
    </w:p>
    <w:p w:rsidR="00CD724F" w:rsidRDefault="00CD724F" w:rsidP="00EC0B1C">
      <w:pPr>
        <w:autoSpaceDE w:val="0"/>
        <w:autoSpaceDN w:val="0"/>
        <w:adjustRightInd w:val="0"/>
        <w:rPr>
          <w:u w:val="single"/>
        </w:rPr>
      </w:pPr>
    </w:p>
    <w:p w:rsidR="001A6832" w:rsidRPr="00F81D4F" w:rsidRDefault="001A6832" w:rsidP="00EC0B1C">
      <w:pPr>
        <w:autoSpaceDE w:val="0"/>
        <w:autoSpaceDN w:val="0"/>
        <w:adjustRightInd w:val="0"/>
        <w:rPr>
          <w:u w:val="single"/>
        </w:rPr>
      </w:pPr>
      <w:r w:rsidRPr="00F81D4F">
        <w:rPr>
          <w:u w:val="single"/>
        </w:rPr>
        <w:t>Contractual Services – Testing (635)</w:t>
      </w:r>
    </w:p>
    <w:p w:rsidR="00F81D4F" w:rsidRDefault="00F81D4F" w:rsidP="00EC0B1C">
      <w:pPr>
        <w:autoSpaceDE w:val="0"/>
        <w:autoSpaceDN w:val="0"/>
        <w:adjustRightInd w:val="0"/>
        <w:jc w:val="both"/>
      </w:pPr>
    </w:p>
    <w:p w:rsidR="001A6832" w:rsidRPr="001A6832" w:rsidRDefault="001A6832" w:rsidP="00F81D4F">
      <w:pPr>
        <w:autoSpaceDE w:val="0"/>
        <w:autoSpaceDN w:val="0"/>
        <w:adjustRightInd w:val="0"/>
        <w:ind w:firstLine="720"/>
        <w:jc w:val="both"/>
      </w:pPr>
      <w:r w:rsidRPr="001A6832">
        <w:t xml:space="preserve">The </w:t>
      </w:r>
      <w:r w:rsidR="003D4918">
        <w:t>Utility</w:t>
      </w:r>
      <w:r w:rsidRPr="001A6832">
        <w:t xml:space="preserve"> incl</w:t>
      </w:r>
      <w:r w:rsidR="00BE56A1">
        <w:t>uded $8,193 for water testing. We</w:t>
      </w:r>
      <w:r w:rsidRPr="001A6832">
        <w:t xml:space="preserve"> reviewed the support documentation provided by the </w:t>
      </w:r>
      <w:r w:rsidR="003D4918">
        <w:t>Utility</w:t>
      </w:r>
      <w:r w:rsidRPr="001A6832">
        <w:t xml:space="preserve"> in response to Staff’s</w:t>
      </w:r>
      <w:r w:rsidR="00BE56A1">
        <w:t xml:space="preserve"> First Data Request and find that</w:t>
      </w:r>
      <w:r w:rsidRPr="001A6832">
        <w:t xml:space="preserve"> the testing </w:t>
      </w:r>
      <w:r w:rsidR="00BE56A1">
        <w:t>is</w:t>
      </w:r>
      <w:r w:rsidRPr="001A6832">
        <w:t xml:space="preserve"> appropriate. The only adjustment </w:t>
      </w:r>
      <w:r w:rsidR="00F81D4F">
        <w:t xml:space="preserve">this Commission </w:t>
      </w:r>
      <w:r w:rsidRPr="001A6832">
        <w:t xml:space="preserve">identified was the removal of $100 for the annual operating license which </w:t>
      </w:r>
      <w:r w:rsidR="00F81D4F" w:rsidRPr="00F81D4F">
        <w:t>shall</w:t>
      </w:r>
      <w:r w:rsidRPr="001A6832">
        <w:t xml:space="preserve"> be reclassified to Miscellaneous Expense (675).</w:t>
      </w:r>
    </w:p>
    <w:p w:rsidR="00F81D4F" w:rsidRPr="001A6832" w:rsidRDefault="00F81D4F" w:rsidP="00EC0B1C">
      <w:pPr>
        <w:autoSpaceDE w:val="0"/>
        <w:autoSpaceDN w:val="0"/>
        <w:adjustRightInd w:val="0"/>
        <w:rPr>
          <w:rFonts w:ascii="Arial" w:hAnsi="Arial" w:cs="Arial"/>
          <w:b/>
        </w:rPr>
      </w:pPr>
    </w:p>
    <w:p w:rsidR="001A6832" w:rsidRPr="00F81D4F" w:rsidRDefault="001A6832" w:rsidP="00EC0B1C">
      <w:pPr>
        <w:autoSpaceDE w:val="0"/>
        <w:autoSpaceDN w:val="0"/>
        <w:adjustRightInd w:val="0"/>
        <w:rPr>
          <w:u w:val="single"/>
        </w:rPr>
      </w:pPr>
      <w:r w:rsidRPr="00F81D4F">
        <w:rPr>
          <w:u w:val="single"/>
        </w:rPr>
        <w:t>Contractual Services – Other (636/736)</w:t>
      </w:r>
    </w:p>
    <w:p w:rsidR="00F81D4F" w:rsidRDefault="00F81D4F" w:rsidP="00EC0B1C">
      <w:pPr>
        <w:autoSpaceDE w:val="0"/>
        <w:autoSpaceDN w:val="0"/>
        <w:adjustRightInd w:val="0"/>
        <w:jc w:val="both"/>
      </w:pPr>
    </w:p>
    <w:p w:rsidR="001A6832" w:rsidRPr="001A6832" w:rsidRDefault="001A6832" w:rsidP="00F81D4F">
      <w:pPr>
        <w:autoSpaceDE w:val="0"/>
        <w:autoSpaceDN w:val="0"/>
        <w:adjustRightInd w:val="0"/>
        <w:ind w:firstLine="720"/>
        <w:jc w:val="both"/>
        <w:rPr>
          <w:rFonts w:ascii="Arial" w:hAnsi="Arial" w:cs="Arial"/>
          <w:b/>
        </w:rPr>
      </w:pPr>
      <w:r w:rsidRPr="001A6832">
        <w:t xml:space="preserve">In its MFRs, Ni Florida reflected water and wastewater expense of $9,123 and $206,030, respectively, for contractual services-other in the test year. In response to </w:t>
      </w:r>
      <w:r w:rsidR="00C2334C">
        <w:t xml:space="preserve">Commission </w:t>
      </w:r>
      <w:r w:rsidR="00C2334C" w:rsidRPr="001A6832">
        <w:t>staff’s first data request</w:t>
      </w:r>
      <w:r w:rsidRPr="001A6832">
        <w:t xml:space="preserve">, the </w:t>
      </w:r>
      <w:r w:rsidR="003D4918">
        <w:t>Utility</w:t>
      </w:r>
      <w:r w:rsidRPr="001A6832">
        <w:t xml:space="preserve"> provided support documentation for water. Within those documents, </w:t>
      </w:r>
      <w:r w:rsidR="00C2334C">
        <w:t>we</w:t>
      </w:r>
      <w:r w:rsidRPr="001A6832">
        <w:t xml:space="preserve"> identified $1,085 related to the preparation and mailing of four-year rate reduction notices. </w:t>
      </w:r>
      <w:r w:rsidR="00C2334C">
        <w:t>We find that</w:t>
      </w:r>
      <w:r w:rsidRPr="001A6832">
        <w:t xml:space="preserve"> this portion of the expense is appropriate since it is not typically included within a docket’s rate case expense. As such, the expense </w:t>
      </w:r>
      <w:r w:rsidR="00C2334C" w:rsidRPr="00C2334C">
        <w:t xml:space="preserve">shall </w:t>
      </w:r>
      <w:r w:rsidRPr="001A6832">
        <w:t xml:space="preserve">be amortized over four years, or $271 per year. This is consistent with </w:t>
      </w:r>
      <w:r w:rsidR="00C2334C">
        <w:t>our</w:t>
      </w:r>
      <w:r w:rsidRPr="001A6832">
        <w:t xml:space="preserve"> adjustments to other four-year reduction items contained in this </w:t>
      </w:r>
      <w:r w:rsidR="00C2334C">
        <w:t>order</w:t>
      </w:r>
      <w:r w:rsidRPr="001A6832">
        <w:t xml:space="preserve">. As a result, contractual services-other for water </w:t>
      </w:r>
      <w:r w:rsidR="00C2334C" w:rsidRPr="00C2334C">
        <w:t xml:space="preserve">shall </w:t>
      </w:r>
      <w:r w:rsidRPr="001A6832">
        <w:t xml:space="preserve">be reduced by $814 ($1,085 - $271). </w:t>
      </w:r>
      <w:r w:rsidR="00C2334C">
        <w:t>N</w:t>
      </w:r>
      <w:r w:rsidRPr="001A6832">
        <w:t xml:space="preserve">o additional adjustments to contractual services-other for water are necessary. </w:t>
      </w:r>
    </w:p>
    <w:p w:rsidR="001A6832" w:rsidRPr="001A6832" w:rsidRDefault="001A6832" w:rsidP="00EC0B1C">
      <w:pPr>
        <w:autoSpaceDE w:val="0"/>
        <w:autoSpaceDN w:val="0"/>
        <w:adjustRightInd w:val="0"/>
        <w:jc w:val="both"/>
        <w:rPr>
          <w:rFonts w:ascii="Arial" w:hAnsi="Arial" w:cs="Arial"/>
          <w:b/>
        </w:rPr>
      </w:pPr>
    </w:p>
    <w:p w:rsidR="001A6832" w:rsidRPr="001A6832" w:rsidRDefault="001A6832" w:rsidP="00C2334C">
      <w:pPr>
        <w:autoSpaceDE w:val="0"/>
        <w:autoSpaceDN w:val="0"/>
        <w:adjustRightInd w:val="0"/>
        <w:ind w:firstLine="720"/>
        <w:jc w:val="both"/>
        <w:rPr>
          <w:rFonts w:ascii="Arial" w:hAnsi="Arial" w:cs="Arial"/>
          <w:b/>
        </w:rPr>
      </w:pPr>
      <w:r w:rsidRPr="001A6832">
        <w:t xml:space="preserve">Support documentation was also provided for wastewater contractual services-other which included $31,616 for billing and customer service, $19,236 for contract labor, $728 for customer work orders, $24,924 for Mission Unit monitoring, and $129,437 for other. </w:t>
      </w:r>
      <w:r w:rsidR="00C2334C">
        <w:t>We</w:t>
      </w:r>
      <w:r w:rsidRPr="001A6832">
        <w:t xml:space="preserve"> made </w:t>
      </w:r>
      <w:r w:rsidRPr="001A6832">
        <w:lastRenderedPageBreak/>
        <w:t xml:space="preserve">no adjustments to customer work orders. </w:t>
      </w:r>
      <w:r w:rsidR="00C2334C">
        <w:t>T</w:t>
      </w:r>
      <w:r w:rsidRPr="001A6832">
        <w:t>he remaining categories</w:t>
      </w:r>
      <w:r w:rsidR="00C2334C">
        <w:t xml:space="preserve"> are discussed</w:t>
      </w:r>
      <w:r w:rsidRPr="001A6832">
        <w:t xml:space="preserve"> in more detail below. </w:t>
      </w:r>
    </w:p>
    <w:p w:rsidR="001A6832" w:rsidRPr="001A6832" w:rsidRDefault="001A6832" w:rsidP="00EC0B1C">
      <w:pPr>
        <w:autoSpaceDE w:val="0"/>
        <w:autoSpaceDN w:val="0"/>
        <w:adjustRightInd w:val="0"/>
        <w:jc w:val="both"/>
        <w:rPr>
          <w:rFonts w:ascii="Arial" w:hAnsi="Arial" w:cs="Arial"/>
          <w:b/>
        </w:rPr>
      </w:pPr>
    </w:p>
    <w:p w:rsidR="001A6832" w:rsidRPr="00C2334C" w:rsidRDefault="001A6832" w:rsidP="00EC0B1C">
      <w:pPr>
        <w:autoSpaceDE w:val="0"/>
        <w:autoSpaceDN w:val="0"/>
        <w:adjustRightInd w:val="0"/>
        <w:jc w:val="both"/>
        <w:rPr>
          <w:u w:val="single"/>
        </w:rPr>
      </w:pPr>
      <w:r w:rsidRPr="00C2334C">
        <w:rPr>
          <w:u w:val="single"/>
        </w:rPr>
        <w:t>Billing/Customer Service</w:t>
      </w:r>
    </w:p>
    <w:p w:rsidR="00C2334C" w:rsidRDefault="00C2334C" w:rsidP="00EC0B1C">
      <w:pPr>
        <w:autoSpaceDE w:val="0"/>
        <w:autoSpaceDN w:val="0"/>
        <w:adjustRightInd w:val="0"/>
        <w:jc w:val="both"/>
      </w:pPr>
    </w:p>
    <w:p w:rsidR="001A6832" w:rsidRPr="001A6832" w:rsidRDefault="001A6832" w:rsidP="00C2334C">
      <w:pPr>
        <w:autoSpaceDE w:val="0"/>
        <w:autoSpaceDN w:val="0"/>
        <w:adjustRightInd w:val="0"/>
        <w:ind w:firstLine="720"/>
        <w:jc w:val="both"/>
      </w:pPr>
      <w:r w:rsidRPr="001A6832">
        <w:t xml:space="preserve">The </w:t>
      </w:r>
      <w:r w:rsidR="003D4918">
        <w:t>Utility</w:t>
      </w:r>
      <w:r w:rsidRPr="001A6832">
        <w:t xml:space="preserve"> included $31,616 in wastewater contractual services-other for billing and customer service. In response to </w:t>
      </w:r>
      <w:r w:rsidR="00C2334C">
        <w:t xml:space="preserve">Commission </w:t>
      </w:r>
      <w:r w:rsidR="00C2334C" w:rsidRPr="001A6832">
        <w:t>staff’s fourth data request</w:t>
      </w:r>
      <w:r w:rsidRPr="001A6832">
        <w:t xml:space="preserve">, the </w:t>
      </w:r>
      <w:r w:rsidR="003D4918">
        <w:t>Utility</w:t>
      </w:r>
      <w:r w:rsidRPr="001A6832">
        <w:t xml:space="preserve"> requested that $4,014 had been included for “annual software maintenance and updates” be removed since the expense was related to Ni America Texas, LLC. </w:t>
      </w:r>
      <w:r w:rsidR="00C2334C">
        <w:t>We</w:t>
      </w:r>
      <w:r w:rsidRPr="001A6832">
        <w:t xml:space="preserve"> made the requested adjustment. </w:t>
      </w:r>
      <w:r w:rsidR="00C2334C">
        <w:t>We also believe</w:t>
      </w:r>
      <w:r w:rsidRPr="001A6832">
        <w:t xml:space="preserve"> that additional adjustments related to postage, forms, and imaging are necessary. According to support documentation, the </w:t>
      </w:r>
      <w:r w:rsidR="003D4918">
        <w:t>Utility</w:t>
      </w:r>
      <w:r w:rsidRPr="001A6832">
        <w:t xml:space="preserve"> incurred costs of $12,105 for postage and $13,472 related to the imaging and mailing of monthly bills. </w:t>
      </w:r>
      <w:r w:rsidR="00C2334C">
        <w:t>A</w:t>
      </w:r>
      <w:r w:rsidRPr="001A6832">
        <w:t xml:space="preserve">ll of the costs related to monthly billing $25,577 ($12,105 + $13,472) </w:t>
      </w:r>
      <w:r w:rsidR="00C2334C" w:rsidRPr="00C2334C">
        <w:t xml:space="preserve">shall </w:t>
      </w:r>
      <w:r w:rsidRPr="001A6832">
        <w:t xml:space="preserve">be removed since the professional services contract with UGF appears to already include them. In support, </w:t>
      </w:r>
      <w:r w:rsidR="00C2334C">
        <w:t xml:space="preserve">we </w:t>
      </w:r>
      <w:r w:rsidRPr="001A6832">
        <w:t>included the applicable portions of the professional services contract, which state, in part:</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left="720" w:right="720"/>
        <w:jc w:val="both"/>
      </w:pPr>
      <w:r w:rsidRPr="001A6832">
        <w:rPr>
          <w:b/>
          <w:u w:val="single"/>
        </w:rPr>
        <w:t>2.02 METER READING AND BILLING AND COLLECTIONS</w:t>
      </w:r>
      <w:r w:rsidRPr="001A6832">
        <w:t xml:space="preserve"> - FUGH shall perform billing and collection services per the </w:t>
      </w:r>
      <w:r w:rsidR="003D4918">
        <w:t>UTILITY</w:t>
      </w:r>
      <w:r w:rsidRPr="001A6832">
        <w:t xml:space="preserve">'s tariff and policies for the </w:t>
      </w:r>
      <w:r w:rsidR="003D4918">
        <w:t>UTILITY</w:t>
      </w:r>
      <w:r w:rsidRPr="001A6832">
        <w:t xml:space="preserve">'s water and wastewater services. FUGH shall bill each customer of the </w:t>
      </w:r>
      <w:r w:rsidR="003D4918">
        <w:t>UTILITY</w:t>
      </w:r>
      <w:r w:rsidRPr="001A6832">
        <w:t xml:space="preserve"> monthly in accordance with the </w:t>
      </w:r>
      <w:r w:rsidR="003D4918">
        <w:t>UTILITY</w:t>
      </w:r>
      <w:r w:rsidRPr="001A6832">
        <w:t>'s approved rate structure.</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firstLine="720"/>
        <w:jc w:val="both"/>
      </w:pPr>
      <w:r w:rsidRPr="001A6832">
        <w:t>and</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left="720" w:right="720"/>
        <w:jc w:val="both"/>
      </w:pPr>
      <w:r w:rsidRPr="001A6832">
        <w:rPr>
          <w:b/>
          <w:u w:val="single"/>
        </w:rPr>
        <w:t>3.11 POSTAGE</w:t>
      </w:r>
      <w:r w:rsidRPr="001A6832">
        <w:t xml:space="preserve"> - FUGH will pay for all billing postage. The compensation cited in EXHIBIT "B" includes a Reserve Account to cover the cost of postage expenditures.</w:t>
      </w:r>
    </w:p>
    <w:p w:rsidR="001A6832" w:rsidRPr="001A6832" w:rsidRDefault="001A6832" w:rsidP="00EC0B1C">
      <w:pPr>
        <w:autoSpaceDE w:val="0"/>
        <w:autoSpaceDN w:val="0"/>
        <w:adjustRightInd w:val="0"/>
        <w:ind w:left="720" w:right="720"/>
        <w:jc w:val="both"/>
      </w:pPr>
    </w:p>
    <w:p w:rsidR="001A6832" w:rsidRPr="001A6832" w:rsidRDefault="001A6832" w:rsidP="00C2334C">
      <w:pPr>
        <w:autoSpaceDE w:val="0"/>
        <w:autoSpaceDN w:val="0"/>
        <w:adjustRightInd w:val="0"/>
        <w:ind w:firstLine="720"/>
        <w:jc w:val="both"/>
      </w:pPr>
      <w:r w:rsidRPr="001A6832">
        <w:t xml:space="preserve">Based on the sections of the professional services contract provided above, </w:t>
      </w:r>
      <w:r w:rsidR="00C2334C">
        <w:t xml:space="preserve">we believe </w:t>
      </w:r>
      <w:r w:rsidRPr="001A6832">
        <w:t>that the monthly management fee includes the very expenses that Ni Florida is seeking to recover here. When asked whether the</w:t>
      </w:r>
      <w:r w:rsidRPr="001A6832">
        <w:rPr>
          <w:rFonts w:ascii="Arial" w:hAnsi="Arial" w:cs="Arial"/>
          <w:sz w:val="20"/>
          <w:szCs w:val="20"/>
        </w:rPr>
        <w:t xml:space="preserve"> </w:t>
      </w:r>
      <w:r w:rsidRPr="001A6832">
        <w:t xml:space="preserve">contract included this activity, the </w:t>
      </w:r>
      <w:r w:rsidR="003D4918">
        <w:t>Utility</w:t>
      </w:r>
      <w:r w:rsidRPr="001A6832">
        <w:t xml:space="preserve"> gave the following response:</w:t>
      </w:r>
    </w:p>
    <w:p w:rsidR="001A6832" w:rsidRPr="001A6832" w:rsidRDefault="001A6832" w:rsidP="00EC0B1C">
      <w:pPr>
        <w:autoSpaceDE w:val="0"/>
        <w:autoSpaceDN w:val="0"/>
        <w:adjustRightInd w:val="0"/>
        <w:jc w:val="both"/>
      </w:pPr>
    </w:p>
    <w:p w:rsidR="001A6832" w:rsidRPr="001A6832" w:rsidRDefault="001A6832" w:rsidP="00EC0B1C">
      <w:pPr>
        <w:autoSpaceDE w:val="0"/>
        <w:autoSpaceDN w:val="0"/>
        <w:adjustRightInd w:val="0"/>
        <w:ind w:left="720" w:right="720"/>
        <w:jc w:val="both"/>
      </w:pPr>
      <w:r w:rsidRPr="001A6832">
        <w:t xml:space="preserve">At times the operations contractor, </w:t>
      </w:r>
      <w:r w:rsidR="003D4918">
        <w:t>Utility</w:t>
      </w:r>
      <w:r w:rsidRPr="001A6832">
        <w:t xml:space="preserve"> Group of Florida, LLC, provides invoices for work done that Ni Florida personnel determine are included in the contract. Alternatively, sometimes the operations contractor provides invoices for work done that Ni Florida personnel determine is not included in the contract. After careful review of these costs by both the </w:t>
      </w:r>
      <w:r w:rsidR="003D4918">
        <w:t>Utility</w:t>
      </w:r>
      <w:r w:rsidRPr="001A6832">
        <w:t xml:space="preserve"> and the contractor it was determined that these costs were not covered by the contract and as such were billed separately.</w:t>
      </w:r>
      <w:r w:rsidRPr="001A6832">
        <w:rPr>
          <w:vertAlign w:val="superscript"/>
        </w:rPr>
        <w:footnoteReference w:id="30"/>
      </w:r>
    </w:p>
    <w:p w:rsidR="001A6832" w:rsidRPr="001A6832" w:rsidRDefault="001A6832" w:rsidP="00EC0B1C">
      <w:pPr>
        <w:autoSpaceDE w:val="0"/>
        <w:autoSpaceDN w:val="0"/>
        <w:adjustRightInd w:val="0"/>
        <w:ind w:left="720" w:right="720"/>
        <w:rPr>
          <w:rFonts w:ascii="Arial" w:hAnsi="Arial" w:cs="Arial"/>
          <w:sz w:val="20"/>
          <w:szCs w:val="20"/>
        </w:rPr>
      </w:pPr>
    </w:p>
    <w:p w:rsidR="001A6832" w:rsidRPr="001A6832" w:rsidRDefault="001A6832" w:rsidP="00EC0B1C">
      <w:pPr>
        <w:autoSpaceDE w:val="0"/>
        <w:autoSpaceDN w:val="0"/>
        <w:adjustRightInd w:val="0"/>
        <w:jc w:val="both"/>
      </w:pPr>
      <w:r w:rsidRPr="001A6832">
        <w:lastRenderedPageBreak/>
        <w:t xml:space="preserve">The </w:t>
      </w:r>
      <w:r w:rsidR="003D4918">
        <w:t>Utility</w:t>
      </w:r>
      <w:r w:rsidRPr="001A6832">
        <w:t xml:space="preserve"> added that “The process is more substance over form and based on each party's interpretation of the contract.”</w:t>
      </w:r>
      <w:r w:rsidRPr="001A6832">
        <w:rPr>
          <w:vertAlign w:val="superscript"/>
        </w:rPr>
        <w:footnoteReference w:id="31"/>
      </w:r>
    </w:p>
    <w:p w:rsidR="001A6832" w:rsidRPr="001A6832" w:rsidRDefault="001A6832" w:rsidP="00EC0B1C">
      <w:pPr>
        <w:autoSpaceDE w:val="0"/>
        <w:autoSpaceDN w:val="0"/>
        <w:adjustRightInd w:val="0"/>
        <w:jc w:val="both"/>
      </w:pPr>
    </w:p>
    <w:p w:rsidR="001A6832" w:rsidRPr="001A6832" w:rsidRDefault="00C2334C" w:rsidP="00C2334C">
      <w:pPr>
        <w:autoSpaceDE w:val="0"/>
        <w:autoSpaceDN w:val="0"/>
        <w:adjustRightInd w:val="0"/>
        <w:ind w:firstLine="720"/>
        <w:jc w:val="both"/>
      </w:pPr>
      <w:r>
        <w:t xml:space="preserve">We find </w:t>
      </w:r>
      <w:r w:rsidR="001A6832" w:rsidRPr="001A6832">
        <w:t xml:space="preserve">that the contract is explicit in regard to billing, postage, and meter reading (discussed in the following section). Furthermore, if the contract has outlived its useful life and   no longer reflects the </w:t>
      </w:r>
      <w:r w:rsidRPr="001A6832">
        <w:t>parties’</w:t>
      </w:r>
      <w:r w:rsidR="001A6832" w:rsidRPr="001A6832">
        <w:t xml:space="preserve"> current relationship, then the parties should renegotiate the contract so that it is reflective of the current situation. That has not happened in this instance. Instead, </w:t>
      </w:r>
      <w:r>
        <w:t>we</w:t>
      </w:r>
      <w:r w:rsidR="001A6832" w:rsidRPr="001A6832">
        <w:t xml:space="preserve"> must rely on the contract that was entered into between the parties and executed in 2008. Other than the change to amount charged for the monthly management fee, there are no other revisions to the contract. Ni Florida stated in response to </w:t>
      </w:r>
      <w:r>
        <w:t xml:space="preserve">Commission </w:t>
      </w:r>
      <w:r w:rsidRPr="001A6832">
        <w:t>staff’s fourth data request</w:t>
      </w:r>
      <w:r w:rsidR="001A6832" w:rsidRPr="001A6832">
        <w:t xml:space="preserve"> that this is the contract that the parties are still operating under. </w:t>
      </w:r>
    </w:p>
    <w:p w:rsidR="001A6832" w:rsidRPr="001A6832" w:rsidRDefault="001A6832" w:rsidP="00EC0B1C">
      <w:pPr>
        <w:autoSpaceDE w:val="0"/>
        <w:autoSpaceDN w:val="0"/>
        <w:adjustRightInd w:val="0"/>
        <w:jc w:val="both"/>
      </w:pPr>
    </w:p>
    <w:p w:rsidR="001A6832" w:rsidRPr="001A6832" w:rsidRDefault="001A6832" w:rsidP="00C2334C">
      <w:pPr>
        <w:autoSpaceDE w:val="0"/>
        <w:autoSpaceDN w:val="0"/>
        <w:adjustRightInd w:val="0"/>
        <w:ind w:firstLine="720"/>
        <w:jc w:val="both"/>
        <w:rPr>
          <w:rFonts w:ascii="Arial" w:hAnsi="Arial" w:cs="Arial"/>
          <w:b/>
        </w:rPr>
      </w:pPr>
      <w:r w:rsidRPr="001A6832">
        <w:t xml:space="preserve">As such, </w:t>
      </w:r>
      <w:r w:rsidR="00C2334C">
        <w:t>we find</w:t>
      </w:r>
      <w:r w:rsidRPr="001A6832">
        <w:t xml:space="preserve"> that the contract provides for the creation of monthly bills as well as postage and that the monthly contractual services management fee adequately compensates UGF for its services. </w:t>
      </w:r>
      <w:r w:rsidR="00C2334C">
        <w:t>Approving</w:t>
      </w:r>
      <w:r w:rsidRPr="001A6832">
        <w:t xml:space="preserve"> the contractual services management fee for wastewater and the expense requested for billing here would essentially </w:t>
      </w:r>
      <w:r w:rsidR="00CE16C0">
        <w:t>allow the Utility to recover those</w:t>
      </w:r>
      <w:r w:rsidRPr="001A6832">
        <w:t xml:space="preserve"> costs twice. </w:t>
      </w:r>
      <w:r w:rsidR="00CE16C0">
        <w:t xml:space="preserve">Therefore, </w:t>
      </w:r>
      <w:r w:rsidRPr="001A6832">
        <w:t xml:space="preserve">$12,105 </w:t>
      </w:r>
      <w:r w:rsidR="00CE16C0">
        <w:t xml:space="preserve">shall be removed </w:t>
      </w:r>
      <w:r w:rsidRPr="001A6832">
        <w:t>for postage and $13,472 related to imaging and mailing</w:t>
      </w:r>
      <w:r w:rsidR="00CE16C0">
        <w:t xml:space="preserve"> shall also be removed</w:t>
      </w:r>
      <w:r w:rsidRPr="001A6832">
        <w:t>. Accordingly, billing and customer service</w:t>
      </w:r>
      <w:r w:rsidR="00CE16C0">
        <w:t xml:space="preserve"> shall be reduced by </w:t>
      </w:r>
      <w:r w:rsidR="00CE16C0" w:rsidRPr="00CE16C0">
        <w:t>$29,591</w:t>
      </w:r>
      <w:r w:rsidR="00CE16C0">
        <w:t xml:space="preserve"> ($4,014 - $12,105 - $13,472)</w:t>
      </w:r>
      <w:r w:rsidRPr="001A6832">
        <w:t>.</w:t>
      </w:r>
    </w:p>
    <w:p w:rsidR="00CD724F" w:rsidRDefault="00CD724F" w:rsidP="00EC0B1C">
      <w:pPr>
        <w:autoSpaceDE w:val="0"/>
        <w:autoSpaceDN w:val="0"/>
        <w:adjustRightInd w:val="0"/>
        <w:jc w:val="both"/>
        <w:rPr>
          <w:u w:val="single"/>
        </w:rPr>
      </w:pPr>
    </w:p>
    <w:p w:rsidR="001A6832" w:rsidRPr="00CE16C0" w:rsidRDefault="001A6832" w:rsidP="00EC0B1C">
      <w:pPr>
        <w:autoSpaceDE w:val="0"/>
        <w:autoSpaceDN w:val="0"/>
        <w:adjustRightInd w:val="0"/>
        <w:jc w:val="both"/>
        <w:rPr>
          <w:u w:val="single"/>
        </w:rPr>
      </w:pPr>
      <w:r w:rsidRPr="00CE16C0">
        <w:rPr>
          <w:u w:val="single"/>
        </w:rPr>
        <w:t>Contract Labor</w:t>
      </w:r>
    </w:p>
    <w:p w:rsidR="00CE16C0" w:rsidRDefault="00CE16C0" w:rsidP="00EC0B1C">
      <w:pPr>
        <w:autoSpaceDE w:val="0"/>
        <w:autoSpaceDN w:val="0"/>
        <w:adjustRightInd w:val="0"/>
        <w:jc w:val="both"/>
      </w:pPr>
    </w:p>
    <w:p w:rsidR="001A6832" w:rsidRPr="001A6832" w:rsidRDefault="001A6832" w:rsidP="00CE16C0">
      <w:pPr>
        <w:autoSpaceDE w:val="0"/>
        <w:autoSpaceDN w:val="0"/>
        <w:adjustRightInd w:val="0"/>
        <w:ind w:firstLine="720"/>
        <w:jc w:val="both"/>
        <w:rPr>
          <w:rFonts w:ascii="Arial" w:hAnsi="Arial" w:cs="Arial"/>
          <w:b/>
        </w:rPr>
      </w:pPr>
      <w:r w:rsidRPr="001A6832">
        <w:t xml:space="preserve">The </w:t>
      </w:r>
      <w:r w:rsidR="003D4918">
        <w:t>Utility</w:t>
      </w:r>
      <w:r w:rsidRPr="001A6832">
        <w:t xml:space="preserve"> included contract labor costs of $19,236 and provided support documentation for the same. </w:t>
      </w:r>
      <w:r w:rsidR="00BE56A1">
        <w:t>A</w:t>
      </w:r>
      <w:r w:rsidRPr="001A6832">
        <w:t xml:space="preserve">n adjustment is necessary to remove $17,450 associated with meter reading </w:t>
      </w:r>
      <w:r w:rsidR="00BE56A1">
        <w:t>because</w:t>
      </w:r>
      <w:r w:rsidRPr="001A6832">
        <w:t xml:space="preserve"> the professional services contract with UGF already includes meter reading. Section 2.02(B) of the professional services contract states: </w:t>
      </w:r>
    </w:p>
    <w:p w:rsidR="001A6832" w:rsidRPr="001A6832" w:rsidRDefault="001A6832" w:rsidP="00EC0B1C">
      <w:pPr>
        <w:autoSpaceDE w:val="0"/>
        <w:autoSpaceDN w:val="0"/>
        <w:adjustRightInd w:val="0"/>
        <w:jc w:val="both"/>
        <w:rPr>
          <w:rFonts w:ascii="Arial" w:hAnsi="Arial" w:cs="Arial"/>
          <w:b/>
        </w:rPr>
      </w:pPr>
    </w:p>
    <w:p w:rsidR="001A6832" w:rsidRPr="001A6832" w:rsidRDefault="001A6832" w:rsidP="00EC0B1C">
      <w:pPr>
        <w:autoSpaceDE w:val="0"/>
        <w:autoSpaceDN w:val="0"/>
        <w:adjustRightInd w:val="0"/>
        <w:ind w:left="720" w:right="720"/>
        <w:jc w:val="both"/>
      </w:pPr>
      <w:r w:rsidRPr="001A6832">
        <w:t xml:space="preserve">B. Meter Reading - FUGH shall read meters served by the </w:t>
      </w:r>
      <w:r w:rsidR="003D4918">
        <w:t>UTILITY</w:t>
      </w:r>
      <w:r w:rsidRPr="001A6832">
        <w:t xml:space="preserve"> once each month in compliance with </w:t>
      </w:r>
      <w:r w:rsidR="003D4918">
        <w:t>UTILITY</w:t>
      </w:r>
      <w:r w:rsidRPr="001A6832">
        <w:t xml:space="preserve">'s rate order/tariff and billing schedules. </w:t>
      </w:r>
    </w:p>
    <w:p w:rsidR="001A6832" w:rsidRPr="001A6832" w:rsidRDefault="001A6832" w:rsidP="00EC0B1C">
      <w:pPr>
        <w:autoSpaceDE w:val="0"/>
        <w:autoSpaceDN w:val="0"/>
        <w:adjustRightInd w:val="0"/>
        <w:jc w:val="both"/>
      </w:pPr>
    </w:p>
    <w:p w:rsidR="001A6832" w:rsidRPr="001A6832" w:rsidRDefault="001A6832" w:rsidP="00CE16C0">
      <w:pPr>
        <w:autoSpaceDE w:val="0"/>
        <w:autoSpaceDN w:val="0"/>
        <w:adjustRightInd w:val="0"/>
        <w:ind w:firstLine="720"/>
        <w:jc w:val="both"/>
        <w:rPr>
          <w:rFonts w:ascii="Arial" w:hAnsi="Arial" w:cs="Arial"/>
          <w:b/>
        </w:rPr>
      </w:pPr>
      <w:r w:rsidRPr="001A6832">
        <w:t xml:space="preserve">Based on the meter reading section of the professional services contract, and the discussion in billing and customer service above, </w:t>
      </w:r>
      <w:r w:rsidR="00CE16C0">
        <w:t>we believe</w:t>
      </w:r>
      <w:r w:rsidRPr="001A6832">
        <w:t xml:space="preserve"> that the monthly management fee includes the meter reading expense that Ni Florida is seeking to recover here. </w:t>
      </w:r>
      <w:r w:rsidR="00CE16C0">
        <w:t>T</w:t>
      </w:r>
      <w:r w:rsidRPr="001A6832">
        <w:t xml:space="preserve">he contract includes meter reading and that the monthly management fee adequately compensates UGF. </w:t>
      </w:r>
      <w:r w:rsidR="00CE16C0">
        <w:t xml:space="preserve">Approving </w:t>
      </w:r>
      <w:r w:rsidRPr="001A6832">
        <w:t xml:space="preserve">the contractual services management fee for wastewater and the expense requested for billing here would essentially </w:t>
      </w:r>
      <w:r w:rsidR="00CE16C0">
        <w:t xml:space="preserve">allow the Utility </w:t>
      </w:r>
      <w:r w:rsidRPr="001A6832">
        <w:t>to recover those costs twice. Accordingly</w:t>
      </w:r>
      <w:r w:rsidR="00CE16C0">
        <w:t xml:space="preserve">, </w:t>
      </w:r>
      <w:r w:rsidRPr="001A6832">
        <w:t xml:space="preserve">$17,450 </w:t>
      </w:r>
      <w:r w:rsidR="00CE16C0">
        <w:t xml:space="preserve">shall be removed </w:t>
      </w:r>
      <w:r w:rsidRPr="001A6832">
        <w:t>for meter reading from wastewater.</w:t>
      </w:r>
    </w:p>
    <w:p w:rsidR="001A6832" w:rsidRPr="001A6832" w:rsidRDefault="001A6832" w:rsidP="00EC0B1C">
      <w:pPr>
        <w:autoSpaceDE w:val="0"/>
        <w:autoSpaceDN w:val="0"/>
        <w:adjustRightInd w:val="0"/>
        <w:jc w:val="both"/>
        <w:rPr>
          <w:rFonts w:ascii="Arial" w:hAnsi="Arial" w:cs="Arial"/>
          <w:b/>
        </w:rPr>
      </w:pPr>
    </w:p>
    <w:p w:rsidR="00927CE3" w:rsidRDefault="00927CE3">
      <w:pPr>
        <w:rPr>
          <w:u w:val="single"/>
        </w:rPr>
      </w:pPr>
      <w:r>
        <w:rPr>
          <w:u w:val="single"/>
        </w:rPr>
        <w:br w:type="page"/>
      </w:r>
    </w:p>
    <w:p w:rsidR="001A6832" w:rsidRPr="00CE16C0" w:rsidRDefault="001A6832" w:rsidP="00EC0B1C">
      <w:pPr>
        <w:autoSpaceDE w:val="0"/>
        <w:autoSpaceDN w:val="0"/>
        <w:adjustRightInd w:val="0"/>
        <w:jc w:val="both"/>
        <w:rPr>
          <w:u w:val="single"/>
        </w:rPr>
      </w:pPr>
      <w:r w:rsidRPr="00CE16C0">
        <w:rPr>
          <w:u w:val="single"/>
        </w:rPr>
        <w:lastRenderedPageBreak/>
        <w:t>Mission Unit Monitoring</w:t>
      </w:r>
    </w:p>
    <w:p w:rsidR="00CE16C0" w:rsidRDefault="00CE16C0" w:rsidP="00EC0B1C">
      <w:pPr>
        <w:autoSpaceDE w:val="0"/>
        <w:autoSpaceDN w:val="0"/>
        <w:adjustRightInd w:val="0"/>
        <w:jc w:val="both"/>
      </w:pPr>
    </w:p>
    <w:p w:rsidR="001A6832" w:rsidRPr="001A6832" w:rsidRDefault="001A6832" w:rsidP="00CE16C0">
      <w:pPr>
        <w:autoSpaceDE w:val="0"/>
        <w:autoSpaceDN w:val="0"/>
        <w:adjustRightInd w:val="0"/>
        <w:ind w:firstLine="720"/>
        <w:jc w:val="both"/>
      </w:pPr>
      <w:r w:rsidRPr="001A6832">
        <w:t xml:space="preserve">The </w:t>
      </w:r>
      <w:r w:rsidR="003D4918">
        <w:t>Utility</w:t>
      </w:r>
      <w:r w:rsidRPr="001A6832">
        <w:t xml:space="preserve"> included $24,924 for Mission Unit monitoring and provided support documentation which included annual renewal invoices and the customer service agreement.</w:t>
      </w:r>
      <w:r w:rsidRPr="001A6832">
        <w:rPr>
          <w:vertAlign w:val="superscript"/>
        </w:rPr>
        <w:footnoteReference w:id="32"/>
      </w:r>
      <w:r w:rsidRPr="001A6832">
        <w:t xml:space="preserve"> These costs relate to the monitoring of 42 lift stations in Pasco County. In response to</w:t>
      </w:r>
      <w:r w:rsidR="00CE16C0" w:rsidRPr="001A6832">
        <w:t xml:space="preserve"> </w:t>
      </w:r>
      <w:r w:rsidR="00CE16C0">
        <w:t xml:space="preserve">Commission </w:t>
      </w:r>
      <w:r w:rsidR="00CE16C0" w:rsidRPr="001A6832">
        <w:t>staff’s third data request</w:t>
      </w:r>
      <w:r w:rsidRPr="001A6832">
        <w:t xml:space="preserve">, the </w:t>
      </w:r>
      <w:r w:rsidR="003D4918">
        <w:t>Utility</w:t>
      </w:r>
      <w:r w:rsidRPr="001A6832">
        <w:t xml:space="preserve"> requested pro forma consideration of $3,380 related to monitoring services for 6 additional lift stations that are being added in conjunction with the </w:t>
      </w:r>
      <w:r w:rsidR="003D4918">
        <w:t>Utility</w:t>
      </w:r>
      <w:r w:rsidRPr="001A6832">
        <w:t>’s pro forma plant projects.</w:t>
      </w:r>
      <w:r w:rsidRPr="001A6832">
        <w:rPr>
          <w:vertAlign w:val="superscript"/>
        </w:rPr>
        <w:footnoteReference w:id="33"/>
      </w:r>
      <w:r w:rsidRPr="001A6832">
        <w:t xml:space="preserve"> Based on the support documentation provided, there is no duplication of costs since the Rhodes Road project is for new service and the Tower Drive project had no monitoring prior to the pro forma project. As such, </w:t>
      </w:r>
      <w:r w:rsidR="00CE16C0">
        <w:t xml:space="preserve">we find it </w:t>
      </w:r>
      <w:r w:rsidRPr="001A6832">
        <w:t>appropriate to add $3,880 to Mission Unit monitoring.</w:t>
      </w:r>
    </w:p>
    <w:p w:rsidR="001A6832" w:rsidRPr="001A6832" w:rsidRDefault="001A6832" w:rsidP="00EC0B1C">
      <w:pPr>
        <w:autoSpaceDE w:val="0"/>
        <w:autoSpaceDN w:val="0"/>
        <w:adjustRightInd w:val="0"/>
        <w:jc w:val="both"/>
      </w:pPr>
    </w:p>
    <w:p w:rsidR="001A6832" w:rsidRPr="00CE16C0" w:rsidRDefault="001A6832" w:rsidP="00EC0B1C">
      <w:pPr>
        <w:autoSpaceDE w:val="0"/>
        <w:autoSpaceDN w:val="0"/>
        <w:adjustRightInd w:val="0"/>
        <w:jc w:val="both"/>
        <w:rPr>
          <w:u w:val="single"/>
        </w:rPr>
      </w:pPr>
      <w:r w:rsidRPr="00CE16C0">
        <w:rPr>
          <w:u w:val="single"/>
        </w:rPr>
        <w:t>Other</w:t>
      </w:r>
    </w:p>
    <w:p w:rsidR="00CE16C0" w:rsidRDefault="00CE16C0" w:rsidP="00EC0B1C">
      <w:pPr>
        <w:autoSpaceDE w:val="0"/>
        <w:autoSpaceDN w:val="0"/>
        <w:adjustRightInd w:val="0"/>
        <w:jc w:val="both"/>
      </w:pPr>
    </w:p>
    <w:p w:rsidR="001A6832" w:rsidRPr="001A6832" w:rsidRDefault="001A6832" w:rsidP="00CE16C0">
      <w:pPr>
        <w:autoSpaceDE w:val="0"/>
        <w:autoSpaceDN w:val="0"/>
        <w:adjustRightInd w:val="0"/>
        <w:ind w:firstLine="720"/>
        <w:jc w:val="both"/>
      </w:pPr>
      <w:r w:rsidRPr="001A6832">
        <w:t xml:space="preserve">The </w:t>
      </w:r>
      <w:r w:rsidR="003D4918">
        <w:t>Utility</w:t>
      </w:r>
      <w:r w:rsidRPr="001A6832">
        <w:t xml:space="preserve"> included $129,437 for other test year O&amp;M expenses. Most of the items included appear to be related to various wastewater system repairs. The </w:t>
      </w:r>
      <w:r w:rsidR="003D4918">
        <w:t>Utility</w:t>
      </w:r>
      <w:r w:rsidRPr="001A6832">
        <w:t xml:space="preserve"> provided support documentation, from which</w:t>
      </w:r>
      <w:r w:rsidR="00CE16C0">
        <w:t xml:space="preserve"> we made</w:t>
      </w:r>
      <w:r w:rsidRPr="001A6832">
        <w:t xml:space="preserve"> additional adjustment</w:t>
      </w:r>
      <w:r w:rsidR="00CE16C0">
        <w:t>s</w:t>
      </w:r>
      <w:r w:rsidRPr="001A6832">
        <w:t xml:space="preserve">. </w:t>
      </w:r>
    </w:p>
    <w:p w:rsidR="001A6832" w:rsidRPr="001A6832" w:rsidRDefault="001A6832" w:rsidP="00EC0B1C">
      <w:pPr>
        <w:autoSpaceDE w:val="0"/>
        <w:autoSpaceDN w:val="0"/>
        <w:adjustRightInd w:val="0"/>
        <w:jc w:val="both"/>
      </w:pPr>
    </w:p>
    <w:p w:rsidR="001A6832" w:rsidRPr="001A6832" w:rsidRDefault="00CE16C0" w:rsidP="00CE16C0">
      <w:pPr>
        <w:autoSpaceDE w:val="0"/>
        <w:autoSpaceDN w:val="0"/>
        <w:adjustRightInd w:val="0"/>
        <w:ind w:firstLine="720"/>
        <w:jc w:val="both"/>
      </w:pPr>
      <w:r>
        <w:t>We made</w:t>
      </w:r>
      <w:r w:rsidR="001A6832" w:rsidRPr="001A6832">
        <w:t xml:space="preserve"> two charges, which total $5,341, to write off amounts from a prior year. The invoices for these are for charges incurred outside the test year and should not be included in test year expense. Four charges which total $557 that were related to use tax on Aquafix purchases made in 2014 </w:t>
      </w:r>
      <w:r w:rsidRPr="00CE16C0">
        <w:t xml:space="preserve">shall </w:t>
      </w:r>
      <w:r w:rsidR="001A6832" w:rsidRPr="001A6832">
        <w:t xml:space="preserve">also be removed from test year expense. As such, </w:t>
      </w:r>
      <w:r>
        <w:t xml:space="preserve">we find it </w:t>
      </w:r>
      <w:r w:rsidR="001A6832" w:rsidRPr="001A6832">
        <w:t>appropriate to remove $5,898 ($5,341 + $557) from test year expense.</w:t>
      </w:r>
    </w:p>
    <w:p w:rsidR="001A6832" w:rsidRPr="001A6832" w:rsidRDefault="001A6832" w:rsidP="00EC0B1C">
      <w:pPr>
        <w:autoSpaceDE w:val="0"/>
        <w:autoSpaceDN w:val="0"/>
        <w:adjustRightInd w:val="0"/>
        <w:jc w:val="both"/>
        <w:rPr>
          <w:rFonts w:ascii="Arial" w:hAnsi="Arial" w:cs="Arial"/>
          <w:b/>
        </w:rPr>
      </w:pPr>
    </w:p>
    <w:p w:rsidR="001A6832" w:rsidRPr="001A6832" w:rsidRDefault="00CE16C0" w:rsidP="00CE16C0">
      <w:pPr>
        <w:autoSpaceDE w:val="0"/>
        <w:autoSpaceDN w:val="0"/>
        <w:adjustRightInd w:val="0"/>
        <w:ind w:firstLine="720"/>
        <w:jc w:val="both"/>
      </w:pPr>
      <w:r>
        <w:t>We</w:t>
      </w:r>
      <w:r w:rsidR="001A6832" w:rsidRPr="001A6832">
        <w:t xml:space="preserve"> also identified $28,341 related to storm repair. The </w:t>
      </w:r>
      <w:r w:rsidR="003D4918">
        <w:t>Utility</w:t>
      </w:r>
      <w:r w:rsidR="001A6832" w:rsidRPr="001A6832">
        <w:t xml:space="preserve"> said that the expense was due to severe weather in the wastewater service territory over a two-week period. During this time, there was flooding, power surges, and wind which caused damage and power outages in the area. This in turn caused sanitary sewer overflows at several of the </w:t>
      </w:r>
      <w:r w:rsidR="003D4918">
        <w:t>Utility</w:t>
      </w:r>
      <w:r w:rsidR="001A6832" w:rsidRPr="001A6832">
        <w:t xml:space="preserve">’s lift stations and emergency situations. Ni Florida used vacuum trucks to haul sewer flow to another location to avoid spill and used temporary pumps to pump sewer flow around the lift station. According to the </w:t>
      </w:r>
      <w:r w:rsidR="003D4918">
        <w:t>Utility</w:t>
      </w:r>
      <w:r w:rsidR="001A6832" w:rsidRPr="001A6832">
        <w:t xml:space="preserve">, the amount also included spill cleanup work and disassembly of pumps and hoses. While severe weather is expected in Florida, </w:t>
      </w:r>
      <w:r>
        <w:t>we believe</w:t>
      </w:r>
      <w:r w:rsidR="001A6832" w:rsidRPr="001A6832">
        <w:t xml:space="preserve"> that these events were extraordinary. As such, these storms related costs </w:t>
      </w:r>
      <w:r w:rsidRPr="00CE16C0">
        <w:t xml:space="preserve">shall </w:t>
      </w:r>
      <w:r w:rsidR="001A6832" w:rsidRPr="001A6832">
        <w:t>be amortized over five years, or $5,668 ($28,341/5 years) per year. As</w:t>
      </w:r>
      <w:r>
        <w:t xml:space="preserve"> a result, there shall be</w:t>
      </w:r>
      <w:r w:rsidR="001A6832" w:rsidRPr="001A6832">
        <w:t xml:space="preserve"> a reduction of $22,672 ($28,341 - $5,668).</w:t>
      </w:r>
    </w:p>
    <w:p w:rsidR="001A6832" w:rsidRPr="001A6832" w:rsidRDefault="001A6832" w:rsidP="00EC0B1C">
      <w:pPr>
        <w:autoSpaceDE w:val="0"/>
        <w:autoSpaceDN w:val="0"/>
        <w:adjustRightInd w:val="0"/>
        <w:jc w:val="both"/>
      </w:pPr>
    </w:p>
    <w:p w:rsidR="001A6832" w:rsidRPr="001A6832" w:rsidRDefault="001A6832" w:rsidP="00CE16C0">
      <w:pPr>
        <w:autoSpaceDE w:val="0"/>
        <w:autoSpaceDN w:val="0"/>
        <w:adjustRightInd w:val="0"/>
        <w:ind w:firstLine="720"/>
        <w:jc w:val="both"/>
      </w:pPr>
      <w:r w:rsidRPr="001A6832">
        <w:t xml:space="preserve">The </w:t>
      </w:r>
      <w:r w:rsidR="003D4918">
        <w:t>Utility</w:t>
      </w:r>
      <w:r w:rsidRPr="001A6832">
        <w:t xml:space="preserve"> included $17,851 for an audit of its collection system. In response to OPC’s concerns, the </w:t>
      </w:r>
      <w:r w:rsidR="003D4918">
        <w:t>Utility</w:t>
      </w:r>
      <w:r w:rsidRPr="001A6832">
        <w:t xml:space="preserve"> stated that the amount spent on the audit could be considered for amortization over a three-year period, especially since Ni Florida’s plan is to conduct the a similar audit every three years. As such, this expense </w:t>
      </w:r>
      <w:r w:rsidR="00CE16C0">
        <w:t xml:space="preserve">shall be amortized </w:t>
      </w:r>
      <w:r w:rsidRPr="001A6832">
        <w:t xml:space="preserve">over three years, or $5,950 ($17,851/3 years) per year. </w:t>
      </w:r>
      <w:r w:rsidR="00CE16C0">
        <w:t xml:space="preserve">Resulting in </w:t>
      </w:r>
      <w:r w:rsidRPr="001A6832">
        <w:t xml:space="preserve">a reduction of $11,901 ($17,851 - $5,950).  </w:t>
      </w:r>
    </w:p>
    <w:p w:rsidR="001A6832" w:rsidRPr="001A6832" w:rsidRDefault="001A6832" w:rsidP="00EC0B1C">
      <w:pPr>
        <w:autoSpaceDE w:val="0"/>
        <w:autoSpaceDN w:val="0"/>
        <w:adjustRightInd w:val="0"/>
        <w:jc w:val="both"/>
      </w:pPr>
    </w:p>
    <w:p w:rsidR="001A6832" w:rsidRPr="001A6832" w:rsidRDefault="001A6832" w:rsidP="00C91C80">
      <w:pPr>
        <w:autoSpaceDE w:val="0"/>
        <w:autoSpaceDN w:val="0"/>
        <w:adjustRightInd w:val="0"/>
        <w:ind w:firstLine="720"/>
        <w:jc w:val="both"/>
      </w:pPr>
      <w:r w:rsidRPr="001A6832">
        <w:lastRenderedPageBreak/>
        <w:t xml:space="preserve">In addition, </w:t>
      </w:r>
      <w:r w:rsidR="00C91C80">
        <w:t>we identified</w:t>
      </w:r>
      <w:r w:rsidRPr="001A6832">
        <w:t xml:space="preserve"> additional meter reading charges of $1,681 that </w:t>
      </w:r>
      <w:r w:rsidR="00C91C80" w:rsidRPr="00C91C80">
        <w:t xml:space="preserve">shall </w:t>
      </w:r>
      <w:r w:rsidRPr="001A6832">
        <w:t>be removed</w:t>
      </w:r>
      <w:r w:rsidR="00C91C80">
        <w:t>, as we believe</w:t>
      </w:r>
      <w:r w:rsidRPr="001A6832">
        <w:t xml:space="preserve"> that</w:t>
      </w:r>
      <w:r w:rsidR="00C91C80">
        <w:t xml:space="preserve"> it</w:t>
      </w:r>
      <w:r w:rsidRPr="001A6832">
        <w:t xml:space="preserve"> is </w:t>
      </w:r>
      <w:r w:rsidR="00C91C80">
        <w:t xml:space="preserve">already </w:t>
      </w:r>
      <w:r w:rsidRPr="001A6832">
        <w:t xml:space="preserve">included in the cost of the professional services contract. Accordingly, </w:t>
      </w:r>
      <w:r w:rsidR="00C91C80">
        <w:t>there shall be</w:t>
      </w:r>
      <w:r w:rsidRPr="001A6832">
        <w:t xml:space="preserve"> a reduction of $42,152 ($5,898 + $22,672 + $11,901 + $1,681).</w:t>
      </w:r>
    </w:p>
    <w:p w:rsidR="001A6832" w:rsidRPr="001A6832" w:rsidRDefault="001A6832" w:rsidP="00EC0B1C">
      <w:pPr>
        <w:autoSpaceDE w:val="0"/>
        <w:autoSpaceDN w:val="0"/>
        <w:adjustRightInd w:val="0"/>
      </w:pPr>
    </w:p>
    <w:p w:rsidR="001A6832" w:rsidRPr="001A6832" w:rsidRDefault="001A6832" w:rsidP="00C91C80">
      <w:pPr>
        <w:autoSpaceDE w:val="0"/>
        <w:autoSpaceDN w:val="0"/>
        <w:adjustRightInd w:val="0"/>
        <w:ind w:firstLine="720"/>
      </w:pPr>
      <w:r w:rsidRPr="001A6832">
        <w:t>Based on the adjustments discussed above, the total reduction to wastewater contractual services-other is $85,813 ($3,880 - $29,591 - $17,450 - $42,152).</w:t>
      </w:r>
    </w:p>
    <w:p w:rsidR="001A6832" w:rsidRPr="001A6832" w:rsidRDefault="001A6832" w:rsidP="00EC0B1C">
      <w:pPr>
        <w:autoSpaceDE w:val="0"/>
        <w:autoSpaceDN w:val="0"/>
        <w:adjustRightInd w:val="0"/>
      </w:pPr>
    </w:p>
    <w:p w:rsidR="001A6832" w:rsidRPr="00C91C80" w:rsidRDefault="001A6832" w:rsidP="00EC0B1C">
      <w:pPr>
        <w:autoSpaceDE w:val="0"/>
        <w:autoSpaceDN w:val="0"/>
        <w:adjustRightInd w:val="0"/>
        <w:rPr>
          <w:u w:val="single"/>
        </w:rPr>
      </w:pPr>
      <w:r w:rsidRPr="00C91C80">
        <w:rPr>
          <w:u w:val="single"/>
        </w:rPr>
        <w:t>Bad Debt Expense (670/770)</w:t>
      </w:r>
    </w:p>
    <w:p w:rsidR="00C91C80" w:rsidRDefault="00C91C80" w:rsidP="00EC0B1C">
      <w:pPr>
        <w:autoSpaceDE w:val="0"/>
        <w:autoSpaceDN w:val="0"/>
        <w:adjustRightInd w:val="0"/>
        <w:jc w:val="both"/>
      </w:pPr>
    </w:p>
    <w:p w:rsidR="001A6832" w:rsidRPr="001A6832" w:rsidRDefault="001A6832" w:rsidP="00C91C80">
      <w:pPr>
        <w:autoSpaceDE w:val="0"/>
        <w:autoSpaceDN w:val="0"/>
        <w:adjustRightInd w:val="0"/>
        <w:ind w:firstLine="720"/>
        <w:jc w:val="both"/>
      </w:pPr>
      <w:r w:rsidRPr="001A6832">
        <w:t xml:space="preserve">On MFR Schedules B-5 and B-6, the </w:t>
      </w:r>
      <w:r w:rsidR="003D4918">
        <w:t>Utility</w:t>
      </w:r>
      <w:r w:rsidRPr="001A6832">
        <w:t xml:space="preserve"> recorded test year bad debt expense of $1,110 for water and ($1,518) for wastewater. Ni Florida adjusted its test year bad debt expense to $1,176 and $25,187 for water and wastewater, respectively, to reflect bad debts at the three-year average. The </w:t>
      </w:r>
      <w:r w:rsidR="003D4918">
        <w:t>Utility</w:t>
      </w:r>
      <w:r w:rsidRPr="001A6832">
        <w:t xml:space="preserve"> requested further bad debt expense increases of $421 for water and $6,574 for wastewater in order to reflect the requested revenue increase at an amount equal to 0.48 percent and 1.38 percent, respectively. This represents total requested bad debt expense of $1,597 for water and $31,761 for wastewater.</w:t>
      </w:r>
    </w:p>
    <w:p w:rsidR="001A6832" w:rsidRPr="001A6832" w:rsidRDefault="001A6832" w:rsidP="00EC0B1C"/>
    <w:p w:rsidR="001A6832" w:rsidRPr="001A6832" w:rsidRDefault="001A6832" w:rsidP="00C91C80">
      <w:pPr>
        <w:autoSpaceDE w:val="0"/>
        <w:autoSpaceDN w:val="0"/>
        <w:adjustRightInd w:val="0"/>
        <w:ind w:firstLine="720"/>
        <w:jc w:val="both"/>
      </w:pPr>
      <w:r w:rsidRPr="001A6832">
        <w:t>It is</w:t>
      </w:r>
      <w:r w:rsidR="00C91C80">
        <w:t xml:space="preserve"> this</w:t>
      </w:r>
      <w:r w:rsidRPr="001A6832">
        <w:t xml:space="preserve"> Commission</w:t>
      </w:r>
      <w:r w:rsidR="00C91C80">
        <w:t>’s</w:t>
      </w:r>
      <w:r w:rsidRPr="001A6832">
        <w:t xml:space="preserve"> practice to set bad debt expense using the three-year average based on the premise that a 3-year average fairly represented the expected bad debt expense. Overall, the basis for determining bad debt expense has been whether the amount is representative of the bad debt expense to be incurred by the </w:t>
      </w:r>
      <w:r w:rsidR="003D4918">
        <w:t>Utility</w:t>
      </w:r>
      <w:r w:rsidRPr="001A6832">
        <w:t xml:space="preserve">. Using the </w:t>
      </w:r>
      <w:r w:rsidR="003D4918">
        <w:t>Utility</w:t>
      </w:r>
      <w:r w:rsidRPr="001A6832">
        <w:t xml:space="preserve">’s annual reports, </w:t>
      </w:r>
      <w:r w:rsidR="00C91C80">
        <w:t>we</w:t>
      </w:r>
      <w:r w:rsidRPr="001A6832">
        <w:t xml:space="preserve"> calculated three-year average bad debt expense of $1,176 for water and $25,189 for wastewater. Based on the calculations above, the </w:t>
      </w:r>
      <w:r w:rsidR="003D4918">
        <w:t>Utility</w:t>
      </w:r>
      <w:r w:rsidRPr="001A6832">
        <w:t xml:space="preserve">’s requested bad debt expense for water </w:t>
      </w:r>
      <w:r w:rsidR="00C91C80">
        <w:t xml:space="preserve">shall </w:t>
      </w:r>
      <w:r w:rsidRPr="001A6832">
        <w:t>be reduced by $421 and wastewater</w:t>
      </w:r>
      <w:r w:rsidR="00C91C80">
        <w:t xml:space="preserve"> shall</w:t>
      </w:r>
      <w:r w:rsidRPr="001A6832">
        <w:t xml:space="preserve"> be reduced by $6,572. </w:t>
      </w:r>
    </w:p>
    <w:p w:rsidR="001A6832" w:rsidRPr="001A6832" w:rsidRDefault="001A6832" w:rsidP="00EC0B1C">
      <w:pPr>
        <w:autoSpaceDE w:val="0"/>
        <w:autoSpaceDN w:val="0"/>
        <w:adjustRightInd w:val="0"/>
        <w:jc w:val="both"/>
        <w:rPr>
          <w:highlight w:val="yellow"/>
        </w:rPr>
      </w:pPr>
    </w:p>
    <w:p w:rsidR="001A6832" w:rsidRPr="00C91C80" w:rsidRDefault="001A6832" w:rsidP="00EC0B1C">
      <w:pPr>
        <w:autoSpaceDE w:val="0"/>
        <w:autoSpaceDN w:val="0"/>
        <w:adjustRightInd w:val="0"/>
        <w:jc w:val="both"/>
        <w:rPr>
          <w:u w:val="single"/>
        </w:rPr>
      </w:pPr>
      <w:r w:rsidRPr="00C91C80">
        <w:rPr>
          <w:u w:val="single"/>
        </w:rPr>
        <w:t>Miscellaneous Expense (675/775)</w:t>
      </w:r>
    </w:p>
    <w:p w:rsidR="00C91C80" w:rsidRDefault="00C91C80" w:rsidP="00EC0B1C">
      <w:pPr>
        <w:autoSpaceDE w:val="0"/>
        <w:autoSpaceDN w:val="0"/>
        <w:adjustRightInd w:val="0"/>
        <w:jc w:val="both"/>
      </w:pPr>
    </w:p>
    <w:p w:rsidR="001A6832" w:rsidRPr="001A6832" w:rsidRDefault="001A6832" w:rsidP="00C91C80">
      <w:pPr>
        <w:autoSpaceDE w:val="0"/>
        <w:autoSpaceDN w:val="0"/>
        <w:adjustRightInd w:val="0"/>
        <w:ind w:firstLine="720"/>
        <w:jc w:val="both"/>
      </w:pPr>
      <w:r w:rsidRPr="001A6832">
        <w:t xml:space="preserve">The </w:t>
      </w:r>
      <w:r w:rsidR="003D4918">
        <w:t>Utility</w:t>
      </w:r>
      <w:r w:rsidRPr="001A6832">
        <w:t xml:space="preserve"> included miscellaneous expense of $90,377 for water and $323,700 for wastewater. It is comprised of the following amounts:</w:t>
      </w:r>
    </w:p>
    <w:p w:rsidR="008D44DB" w:rsidRDefault="008D44DB" w:rsidP="00EC0B1C">
      <w:pPr>
        <w:autoSpaceDE w:val="0"/>
        <w:autoSpaceDN w:val="0"/>
        <w:adjustRightInd w:val="0"/>
        <w:jc w:val="center"/>
        <w:rPr>
          <w:rFonts w:ascii="Arial" w:hAnsi="Arial" w:cs="Arial"/>
          <w:b/>
        </w:rPr>
      </w:pP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 xml:space="preserve">Table </w:t>
      </w:r>
      <w:r w:rsidR="008D44DB">
        <w:rPr>
          <w:rFonts w:ascii="Arial" w:hAnsi="Arial" w:cs="Arial"/>
          <w:b/>
        </w:rPr>
        <w:t>16</w:t>
      </w:r>
    </w:p>
    <w:p w:rsidR="001A6832" w:rsidRPr="001A6832" w:rsidRDefault="001A6832" w:rsidP="00EC0B1C">
      <w:pPr>
        <w:autoSpaceDE w:val="0"/>
        <w:autoSpaceDN w:val="0"/>
        <w:adjustRightInd w:val="0"/>
        <w:jc w:val="center"/>
      </w:pPr>
      <w:r w:rsidRPr="001A6832">
        <w:rPr>
          <w:rFonts w:ascii="Arial" w:hAnsi="Arial" w:cs="Arial"/>
          <w:b/>
        </w:rPr>
        <w:t>Summary of Miscellaneous Expenses</w:t>
      </w:r>
    </w:p>
    <w:tbl>
      <w:tblPr>
        <w:tblStyle w:val="TableGrid6"/>
        <w:tblW w:w="0" w:type="auto"/>
        <w:jc w:val="center"/>
        <w:tblLook w:val="04A0" w:firstRow="1" w:lastRow="0" w:firstColumn="1" w:lastColumn="0" w:noHBand="0" w:noVBand="1"/>
      </w:tblPr>
      <w:tblGrid>
        <w:gridCol w:w="4878"/>
        <w:gridCol w:w="1890"/>
        <w:gridCol w:w="1800"/>
      </w:tblGrid>
      <w:tr w:rsidR="001A6832" w:rsidRPr="001A6832" w:rsidTr="003D4918">
        <w:trPr>
          <w:jc w:val="center"/>
        </w:trPr>
        <w:tc>
          <w:tcPr>
            <w:tcW w:w="4878" w:type="dxa"/>
          </w:tcPr>
          <w:p w:rsidR="001A6832" w:rsidRPr="001A6832" w:rsidRDefault="001A6832" w:rsidP="00EC0B1C">
            <w:pPr>
              <w:autoSpaceDE w:val="0"/>
              <w:autoSpaceDN w:val="0"/>
              <w:adjustRightInd w:val="0"/>
              <w:jc w:val="center"/>
              <w:rPr>
                <w:b/>
              </w:rPr>
            </w:pPr>
            <w:r w:rsidRPr="001A6832">
              <w:rPr>
                <w:b/>
              </w:rPr>
              <w:t>Summary</w:t>
            </w:r>
          </w:p>
        </w:tc>
        <w:tc>
          <w:tcPr>
            <w:tcW w:w="1890" w:type="dxa"/>
          </w:tcPr>
          <w:p w:rsidR="001A6832" w:rsidRPr="001A6832" w:rsidRDefault="001A6832" w:rsidP="00EC0B1C">
            <w:pPr>
              <w:autoSpaceDE w:val="0"/>
              <w:autoSpaceDN w:val="0"/>
              <w:adjustRightInd w:val="0"/>
              <w:jc w:val="center"/>
              <w:rPr>
                <w:b/>
              </w:rPr>
            </w:pPr>
            <w:r w:rsidRPr="001A6832">
              <w:rPr>
                <w:b/>
              </w:rPr>
              <w:t>Water</w:t>
            </w:r>
          </w:p>
        </w:tc>
        <w:tc>
          <w:tcPr>
            <w:tcW w:w="1800" w:type="dxa"/>
          </w:tcPr>
          <w:p w:rsidR="001A6832" w:rsidRPr="001A6832" w:rsidRDefault="001A6832" w:rsidP="00EC0B1C">
            <w:pPr>
              <w:autoSpaceDE w:val="0"/>
              <w:autoSpaceDN w:val="0"/>
              <w:adjustRightInd w:val="0"/>
              <w:jc w:val="center"/>
              <w:rPr>
                <w:b/>
              </w:rPr>
            </w:pPr>
            <w:r w:rsidRPr="001A6832">
              <w:rPr>
                <w:b/>
              </w:rPr>
              <w:t>Wastewater</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Allocated Corporate Overhead Costs</w:t>
            </w:r>
          </w:p>
        </w:tc>
        <w:tc>
          <w:tcPr>
            <w:tcW w:w="1890" w:type="dxa"/>
          </w:tcPr>
          <w:p w:rsidR="001A6832" w:rsidRPr="001A6832" w:rsidRDefault="001A6832" w:rsidP="00EC0B1C">
            <w:pPr>
              <w:autoSpaceDE w:val="0"/>
              <w:autoSpaceDN w:val="0"/>
              <w:adjustRightInd w:val="0"/>
              <w:jc w:val="right"/>
            </w:pPr>
            <w:r w:rsidRPr="001A6832">
              <w:t>$75,932</w:t>
            </w:r>
          </w:p>
        </w:tc>
        <w:tc>
          <w:tcPr>
            <w:tcW w:w="1800" w:type="dxa"/>
          </w:tcPr>
          <w:p w:rsidR="001A6832" w:rsidRPr="001A6832" w:rsidRDefault="001A6832" w:rsidP="00EC0B1C">
            <w:pPr>
              <w:autoSpaceDE w:val="0"/>
              <w:autoSpaceDN w:val="0"/>
              <w:adjustRightInd w:val="0"/>
              <w:jc w:val="right"/>
            </w:pPr>
            <w:r w:rsidRPr="001A6832">
              <w:t>$291,406</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Direct Assignment:</w:t>
            </w:r>
          </w:p>
        </w:tc>
        <w:tc>
          <w:tcPr>
            <w:tcW w:w="1890" w:type="dxa"/>
          </w:tcPr>
          <w:p w:rsidR="001A6832" w:rsidRPr="001A6832" w:rsidRDefault="001A6832" w:rsidP="00EC0B1C">
            <w:pPr>
              <w:autoSpaceDE w:val="0"/>
              <w:autoSpaceDN w:val="0"/>
              <w:adjustRightInd w:val="0"/>
              <w:jc w:val="right"/>
            </w:pPr>
          </w:p>
        </w:tc>
        <w:tc>
          <w:tcPr>
            <w:tcW w:w="1800" w:type="dxa"/>
          </w:tcPr>
          <w:p w:rsidR="001A6832" w:rsidRPr="001A6832" w:rsidRDefault="001A6832" w:rsidP="00EC0B1C">
            <w:pPr>
              <w:autoSpaceDE w:val="0"/>
              <w:autoSpaceDN w:val="0"/>
              <w:adjustRightInd w:val="0"/>
              <w:jc w:val="right"/>
            </w:pP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Specifically Assigned Corp. Overhead - Legal</w:t>
            </w:r>
          </w:p>
        </w:tc>
        <w:tc>
          <w:tcPr>
            <w:tcW w:w="1890" w:type="dxa"/>
          </w:tcPr>
          <w:p w:rsidR="001A6832" w:rsidRPr="001A6832" w:rsidRDefault="001A6832" w:rsidP="00EC0B1C">
            <w:pPr>
              <w:autoSpaceDE w:val="0"/>
              <w:autoSpaceDN w:val="0"/>
              <w:adjustRightInd w:val="0"/>
              <w:jc w:val="right"/>
            </w:pPr>
            <w:r w:rsidRPr="001A6832">
              <w:t>390</w:t>
            </w:r>
          </w:p>
        </w:tc>
        <w:tc>
          <w:tcPr>
            <w:tcW w:w="1800" w:type="dxa"/>
          </w:tcPr>
          <w:p w:rsidR="001A6832" w:rsidRPr="001A6832" w:rsidRDefault="001A6832" w:rsidP="00EC0B1C">
            <w:pPr>
              <w:autoSpaceDE w:val="0"/>
              <w:autoSpaceDN w:val="0"/>
              <w:adjustRightInd w:val="0"/>
              <w:jc w:val="right"/>
            </w:pPr>
            <w:r w:rsidRPr="001A6832">
              <w:t>3,900</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Specifically Assigned Corp. Overhead - Travel</w:t>
            </w:r>
          </w:p>
        </w:tc>
        <w:tc>
          <w:tcPr>
            <w:tcW w:w="1890" w:type="dxa"/>
          </w:tcPr>
          <w:p w:rsidR="001A6832" w:rsidRPr="001A6832" w:rsidRDefault="001A6832" w:rsidP="00EC0B1C">
            <w:pPr>
              <w:autoSpaceDE w:val="0"/>
              <w:autoSpaceDN w:val="0"/>
              <w:adjustRightInd w:val="0"/>
              <w:jc w:val="right"/>
            </w:pPr>
            <w:r w:rsidRPr="001A6832">
              <w:t>0</w:t>
            </w:r>
          </w:p>
        </w:tc>
        <w:tc>
          <w:tcPr>
            <w:tcW w:w="1800" w:type="dxa"/>
          </w:tcPr>
          <w:p w:rsidR="001A6832" w:rsidRPr="001A6832" w:rsidRDefault="001A6832" w:rsidP="00EC0B1C">
            <w:pPr>
              <w:autoSpaceDE w:val="0"/>
              <w:autoSpaceDN w:val="0"/>
              <w:adjustRightInd w:val="0"/>
              <w:jc w:val="right"/>
            </w:pPr>
            <w:r w:rsidRPr="001A6832">
              <w:t>9,296</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Ni Florida, LLC Allocated Costs</w:t>
            </w:r>
          </w:p>
        </w:tc>
        <w:tc>
          <w:tcPr>
            <w:tcW w:w="1890" w:type="dxa"/>
          </w:tcPr>
          <w:p w:rsidR="001A6832" w:rsidRPr="001A6832" w:rsidRDefault="001A6832" w:rsidP="00EC0B1C">
            <w:pPr>
              <w:autoSpaceDE w:val="0"/>
              <w:autoSpaceDN w:val="0"/>
              <w:adjustRightInd w:val="0"/>
              <w:jc w:val="right"/>
            </w:pPr>
            <w:r w:rsidRPr="001A6832">
              <w:t>435</w:t>
            </w:r>
          </w:p>
        </w:tc>
        <w:tc>
          <w:tcPr>
            <w:tcW w:w="1800" w:type="dxa"/>
          </w:tcPr>
          <w:p w:rsidR="001A6832" w:rsidRPr="001A6832" w:rsidRDefault="001A6832" w:rsidP="00EC0B1C">
            <w:pPr>
              <w:autoSpaceDE w:val="0"/>
              <w:autoSpaceDN w:val="0"/>
              <w:adjustRightInd w:val="0"/>
              <w:jc w:val="right"/>
            </w:pPr>
            <w:r w:rsidRPr="001A6832">
              <w:t>1,669</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Billing/Customer Service Expenses</w:t>
            </w:r>
          </w:p>
        </w:tc>
        <w:tc>
          <w:tcPr>
            <w:tcW w:w="1890" w:type="dxa"/>
          </w:tcPr>
          <w:p w:rsidR="001A6832" w:rsidRPr="001A6832" w:rsidRDefault="001A6832" w:rsidP="00EC0B1C">
            <w:pPr>
              <w:autoSpaceDE w:val="0"/>
              <w:autoSpaceDN w:val="0"/>
              <w:adjustRightInd w:val="0"/>
              <w:jc w:val="right"/>
            </w:pPr>
            <w:r w:rsidRPr="001A6832">
              <w:t>10,668</w:t>
            </w:r>
          </w:p>
        </w:tc>
        <w:tc>
          <w:tcPr>
            <w:tcW w:w="1800" w:type="dxa"/>
          </w:tcPr>
          <w:p w:rsidR="001A6832" w:rsidRPr="001A6832" w:rsidRDefault="001A6832" w:rsidP="00EC0B1C">
            <w:pPr>
              <w:autoSpaceDE w:val="0"/>
              <w:autoSpaceDN w:val="0"/>
              <w:adjustRightInd w:val="0"/>
              <w:jc w:val="right"/>
            </w:pPr>
            <w:r w:rsidRPr="001A6832">
              <w:t>0</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Bank Fees</w:t>
            </w:r>
          </w:p>
        </w:tc>
        <w:tc>
          <w:tcPr>
            <w:tcW w:w="1890" w:type="dxa"/>
          </w:tcPr>
          <w:p w:rsidR="001A6832" w:rsidRPr="001A6832" w:rsidRDefault="001A6832" w:rsidP="00EC0B1C">
            <w:pPr>
              <w:autoSpaceDE w:val="0"/>
              <w:autoSpaceDN w:val="0"/>
              <w:adjustRightInd w:val="0"/>
              <w:jc w:val="right"/>
            </w:pPr>
            <w:r w:rsidRPr="001A6832">
              <w:t>2,952</w:t>
            </w:r>
          </w:p>
        </w:tc>
        <w:tc>
          <w:tcPr>
            <w:tcW w:w="1800" w:type="dxa"/>
          </w:tcPr>
          <w:p w:rsidR="001A6832" w:rsidRPr="001A6832" w:rsidRDefault="001A6832" w:rsidP="00EC0B1C">
            <w:pPr>
              <w:autoSpaceDE w:val="0"/>
              <w:autoSpaceDN w:val="0"/>
              <w:adjustRightInd w:val="0"/>
              <w:jc w:val="right"/>
            </w:pPr>
            <w:r w:rsidRPr="001A6832">
              <w:t>10,321</w:t>
            </w:r>
          </w:p>
        </w:tc>
      </w:tr>
      <w:tr w:rsidR="001A6832" w:rsidRPr="001A6832" w:rsidTr="003D4918">
        <w:trPr>
          <w:jc w:val="center"/>
        </w:trPr>
        <w:tc>
          <w:tcPr>
            <w:tcW w:w="4878" w:type="dxa"/>
          </w:tcPr>
          <w:p w:rsidR="001A6832" w:rsidRPr="001A6832" w:rsidRDefault="001A6832" w:rsidP="00EC0B1C">
            <w:pPr>
              <w:autoSpaceDE w:val="0"/>
              <w:autoSpaceDN w:val="0"/>
              <w:adjustRightInd w:val="0"/>
              <w:jc w:val="both"/>
            </w:pPr>
            <w:r w:rsidRPr="001A6832">
              <w:t>Telephone Expenses</w:t>
            </w:r>
          </w:p>
        </w:tc>
        <w:tc>
          <w:tcPr>
            <w:tcW w:w="1890" w:type="dxa"/>
          </w:tcPr>
          <w:p w:rsidR="001A6832" w:rsidRPr="001A6832" w:rsidRDefault="001A6832" w:rsidP="00EC0B1C">
            <w:pPr>
              <w:autoSpaceDE w:val="0"/>
              <w:autoSpaceDN w:val="0"/>
              <w:adjustRightInd w:val="0"/>
              <w:jc w:val="right"/>
              <w:rPr>
                <w:u w:val="single"/>
              </w:rPr>
            </w:pPr>
            <w:r w:rsidRPr="001A6832">
              <w:rPr>
                <w:u w:val="single"/>
              </w:rPr>
              <w:t>0</w:t>
            </w:r>
          </w:p>
        </w:tc>
        <w:tc>
          <w:tcPr>
            <w:tcW w:w="1800" w:type="dxa"/>
          </w:tcPr>
          <w:p w:rsidR="001A6832" w:rsidRPr="001A6832" w:rsidRDefault="001A6832" w:rsidP="00EC0B1C">
            <w:pPr>
              <w:autoSpaceDE w:val="0"/>
              <w:autoSpaceDN w:val="0"/>
              <w:adjustRightInd w:val="0"/>
              <w:jc w:val="right"/>
              <w:rPr>
                <w:u w:val="double"/>
              </w:rPr>
            </w:pPr>
            <w:r w:rsidRPr="001A6832">
              <w:rPr>
                <w:u w:val="double"/>
              </w:rPr>
              <w:t>7,107</w:t>
            </w:r>
          </w:p>
        </w:tc>
      </w:tr>
      <w:tr w:rsidR="001A6832" w:rsidRPr="001A6832" w:rsidTr="003D4918">
        <w:trPr>
          <w:trHeight w:val="350"/>
          <w:jc w:val="center"/>
        </w:trPr>
        <w:tc>
          <w:tcPr>
            <w:tcW w:w="4878" w:type="dxa"/>
            <w:vAlign w:val="center"/>
          </w:tcPr>
          <w:p w:rsidR="001A6832" w:rsidRPr="001A6832" w:rsidRDefault="001A6832" w:rsidP="00EC0B1C">
            <w:pPr>
              <w:autoSpaceDE w:val="0"/>
              <w:autoSpaceDN w:val="0"/>
              <w:adjustRightInd w:val="0"/>
              <w:rPr>
                <w:b/>
              </w:rPr>
            </w:pPr>
            <w:r w:rsidRPr="001A6832">
              <w:rPr>
                <w:b/>
              </w:rPr>
              <w:t>Total</w:t>
            </w:r>
          </w:p>
        </w:tc>
        <w:tc>
          <w:tcPr>
            <w:tcW w:w="1890" w:type="dxa"/>
            <w:vAlign w:val="center"/>
          </w:tcPr>
          <w:p w:rsidR="001A6832" w:rsidRPr="001A6832" w:rsidRDefault="001A6832" w:rsidP="00EC0B1C">
            <w:pPr>
              <w:autoSpaceDE w:val="0"/>
              <w:autoSpaceDN w:val="0"/>
              <w:adjustRightInd w:val="0"/>
              <w:jc w:val="right"/>
              <w:rPr>
                <w:b/>
                <w:u w:val="double"/>
              </w:rPr>
            </w:pPr>
            <w:r w:rsidRPr="001A6832">
              <w:rPr>
                <w:b/>
                <w:u w:val="double"/>
              </w:rPr>
              <w:t>$90,377</w:t>
            </w:r>
          </w:p>
        </w:tc>
        <w:tc>
          <w:tcPr>
            <w:tcW w:w="1800" w:type="dxa"/>
            <w:vAlign w:val="center"/>
          </w:tcPr>
          <w:p w:rsidR="001A6832" w:rsidRPr="001A6832" w:rsidRDefault="001A6832" w:rsidP="00EC0B1C">
            <w:pPr>
              <w:autoSpaceDE w:val="0"/>
              <w:autoSpaceDN w:val="0"/>
              <w:adjustRightInd w:val="0"/>
              <w:jc w:val="right"/>
              <w:rPr>
                <w:b/>
                <w:u w:val="double"/>
              </w:rPr>
            </w:pPr>
            <w:r w:rsidRPr="001A6832">
              <w:rPr>
                <w:b/>
                <w:u w:val="double"/>
              </w:rPr>
              <w:t>$323,700</w:t>
            </w:r>
          </w:p>
        </w:tc>
      </w:tr>
    </w:tbl>
    <w:p w:rsidR="001A6832" w:rsidRPr="001A6832" w:rsidRDefault="001A6832" w:rsidP="00EC0B1C">
      <w:pPr>
        <w:autoSpaceDE w:val="0"/>
        <w:autoSpaceDN w:val="0"/>
        <w:adjustRightInd w:val="0"/>
        <w:jc w:val="both"/>
      </w:pPr>
      <w:r w:rsidRPr="001A6832">
        <w:t xml:space="preserve">      Source: MFRs and responses to </w:t>
      </w:r>
      <w:r w:rsidR="008D44DB">
        <w:t xml:space="preserve">Commission </w:t>
      </w:r>
      <w:r w:rsidRPr="001A6832">
        <w:t>staff data requests</w:t>
      </w:r>
    </w:p>
    <w:p w:rsidR="001A6832" w:rsidRPr="001A6832" w:rsidRDefault="001A6832" w:rsidP="00EC0B1C">
      <w:pPr>
        <w:autoSpaceDE w:val="0"/>
        <w:autoSpaceDN w:val="0"/>
        <w:adjustRightInd w:val="0"/>
        <w:jc w:val="both"/>
      </w:pPr>
    </w:p>
    <w:p w:rsidR="001A6832" w:rsidRPr="001A6832" w:rsidRDefault="001A6832" w:rsidP="008D44DB">
      <w:pPr>
        <w:autoSpaceDE w:val="0"/>
        <w:autoSpaceDN w:val="0"/>
        <w:adjustRightInd w:val="0"/>
        <w:ind w:firstLine="720"/>
        <w:jc w:val="both"/>
      </w:pPr>
      <w:r w:rsidRPr="001A6832">
        <w:t xml:space="preserve">The </w:t>
      </w:r>
      <w:r w:rsidR="003D4918">
        <w:t>Utility</w:t>
      </w:r>
      <w:r w:rsidRPr="001A6832">
        <w:t xml:space="preserve"> recorded test year direct assignment expense of $14,445 for water and $32,294 for wastewater. </w:t>
      </w:r>
      <w:r w:rsidR="008D44DB">
        <w:t>A</w:t>
      </w:r>
      <w:r w:rsidRPr="001A6832">
        <w:t xml:space="preserve">djustments to travel and billing/customer service are necessary. In the audit workpapers, </w:t>
      </w:r>
      <w:r w:rsidR="008D44DB">
        <w:t>we</w:t>
      </w:r>
      <w:r w:rsidRPr="001A6832">
        <w:t xml:space="preserve"> found several airline charges related to cabin upgrades and change fees, which totaled $1,502. </w:t>
      </w:r>
      <w:r w:rsidR="008D44DB">
        <w:t>We do</w:t>
      </w:r>
      <w:r w:rsidRPr="001A6832">
        <w:t xml:space="preserve"> not believe</w:t>
      </w:r>
      <w:r w:rsidR="008D44DB">
        <w:t xml:space="preserve"> that</w:t>
      </w:r>
      <w:r w:rsidRPr="001A6832">
        <w:t xml:space="preserve"> the </w:t>
      </w:r>
      <w:r w:rsidR="003D4918">
        <w:t>Utility</w:t>
      </w:r>
      <w:r w:rsidRPr="001A6832">
        <w:t xml:space="preserve">’s customers should be responsible for these charges and they </w:t>
      </w:r>
      <w:r w:rsidR="008D44DB" w:rsidRPr="008D44DB">
        <w:t xml:space="preserve">shall </w:t>
      </w:r>
      <w:r w:rsidRPr="001A6832">
        <w:t xml:space="preserve">be removed from wastewater’s direct assignment expenses. $10,668 included in direct assignment expenses for water billing </w:t>
      </w:r>
      <w:r w:rsidR="008D44DB">
        <w:t>shall also</w:t>
      </w:r>
      <w:r w:rsidRPr="001A6832">
        <w:t xml:space="preserve"> be removed. As addressed e</w:t>
      </w:r>
      <w:r w:rsidR="008D44DB">
        <w:t>arlier</w:t>
      </w:r>
      <w:r w:rsidRPr="001A6832">
        <w:t xml:space="preserve">, </w:t>
      </w:r>
      <w:r w:rsidR="008D44DB">
        <w:t>we believe</w:t>
      </w:r>
      <w:r w:rsidRPr="001A6832">
        <w:t xml:space="preserve"> that postage, imaging, and mailing of monthly bills is included in the professional service contract. As such, $10,668 </w:t>
      </w:r>
      <w:r w:rsidR="008D44DB" w:rsidRPr="008D44DB">
        <w:t xml:space="preserve">shall </w:t>
      </w:r>
      <w:r w:rsidRPr="001A6832">
        <w:t xml:space="preserve">be removed from water direct assignments expenses. All other direct assignment costs identified in Table </w:t>
      </w:r>
      <w:r w:rsidR="008D44DB">
        <w:t>16</w:t>
      </w:r>
      <w:r w:rsidRPr="001A6832">
        <w:t xml:space="preserve"> above, </w:t>
      </w:r>
      <w:r w:rsidR="008D44DB">
        <w:t>are</w:t>
      </w:r>
      <w:r w:rsidRPr="001A6832">
        <w:t xml:space="preserve"> appropriate based on the support documentation provided by the </w:t>
      </w:r>
      <w:r w:rsidR="003D4918">
        <w:t>Utility</w:t>
      </w:r>
      <w:r w:rsidRPr="001A6832">
        <w:t xml:space="preserve">. </w:t>
      </w:r>
    </w:p>
    <w:p w:rsidR="001A6832" w:rsidRPr="001A6832" w:rsidRDefault="001A6832" w:rsidP="00EC0B1C">
      <w:pPr>
        <w:autoSpaceDE w:val="0"/>
        <w:autoSpaceDN w:val="0"/>
        <w:adjustRightInd w:val="0"/>
        <w:jc w:val="both"/>
      </w:pPr>
    </w:p>
    <w:p w:rsidR="001A6832" w:rsidRPr="001A6832" w:rsidRDefault="001A6832" w:rsidP="008D44DB">
      <w:pPr>
        <w:autoSpaceDE w:val="0"/>
        <w:autoSpaceDN w:val="0"/>
        <w:adjustRightInd w:val="0"/>
        <w:ind w:firstLine="720"/>
        <w:jc w:val="both"/>
      </w:pPr>
      <w:r w:rsidRPr="001A6832">
        <w:t xml:space="preserve">The largest portion of miscellaneous expense for both water and wastewater is allocated corporate overhead costs. The </w:t>
      </w:r>
      <w:r w:rsidR="003D4918">
        <w:t>Utility</w:t>
      </w:r>
      <w:r w:rsidRPr="001A6832">
        <w:t xml:space="preserve"> recorded test year allocated parent overhead of $75,932 for water and $291,406 for wastewater. The allocated overhead was recorded in the </w:t>
      </w:r>
      <w:r w:rsidR="003D4918">
        <w:t>Utility</w:t>
      </w:r>
      <w:r w:rsidRPr="001A6832">
        <w:t xml:space="preserve">'s miscellaneous expense account based on equivalent residential connections (ERC). In the </w:t>
      </w:r>
      <w:r w:rsidR="003D4918">
        <w:t>Utility</w:t>
      </w:r>
      <w:r w:rsidR="00484513">
        <w:t>’s last rate case, this</w:t>
      </w:r>
      <w:r w:rsidRPr="001A6832">
        <w:t xml:space="preserve"> Commission ordered the removal of due diligence costs as well as the equity sponsor fee paid to Metalmark Capital, LLC, and non-</w:t>
      </w:r>
      <w:r w:rsidR="003D4918">
        <w:t>Utility</w:t>
      </w:r>
      <w:r w:rsidRPr="001A6832">
        <w:t xml:space="preserve"> costs related to a possible sale of the </w:t>
      </w:r>
      <w:r w:rsidR="003D4918">
        <w:t>Utility</w:t>
      </w:r>
      <w:r w:rsidRPr="001A6832">
        <w:t>.</w:t>
      </w:r>
      <w:r w:rsidRPr="001A6832">
        <w:rPr>
          <w:vertAlign w:val="superscript"/>
        </w:rPr>
        <w:footnoteReference w:id="34"/>
      </w:r>
      <w:r w:rsidRPr="001A6832">
        <w:t xml:space="preserve"> </w:t>
      </w:r>
      <w:r w:rsidR="00484513">
        <w:t>We note</w:t>
      </w:r>
      <w:r w:rsidRPr="001A6832">
        <w:t xml:space="preserve"> that due diligence costs were removed in an audit adjustment. The equity sponsor fee and non-</w:t>
      </w:r>
      <w:r w:rsidR="003D4918">
        <w:t>Utility</w:t>
      </w:r>
      <w:r w:rsidRPr="001A6832">
        <w:t xml:space="preserve"> costs were excluded from overhead allocation in the </w:t>
      </w:r>
      <w:r w:rsidR="003D4918">
        <w:t>Utility</w:t>
      </w:r>
      <w:r w:rsidRPr="001A6832">
        <w:t xml:space="preserve">’s filing. </w:t>
      </w:r>
    </w:p>
    <w:p w:rsidR="001A6832" w:rsidRPr="001A6832" w:rsidRDefault="001A6832" w:rsidP="00EC0B1C">
      <w:pPr>
        <w:autoSpaceDE w:val="0"/>
        <w:autoSpaceDN w:val="0"/>
        <w:adjustRightInd w:val="0"/>
        <w:jc w:val="both"/>
      </w:pPr>
    </w:p>
    <w:p w:rsidR="001A6832" w:rsidRPr="001A6832" w:rsidRDefault="001A6832" w:rsidP="00484513">
      <w:pPr>
        <w:autoSpaceDE w:val="0"/>
        <w:autoSpaceDN w:val="0"/>
        <w:adjustRightInd w:val="0"/>
        <w:ind w:firstLine="720"/>
        <w:jc w:val="both"/>
        <w:rPr>
          <w:sz w:val="23"/>
          <w:szCs w:val="23"/>
        </w:rPr>
      </w:pPr>
      <w:r w:rsidRPr="001A6832">
        <w:t xml:space="preserve">As discussed previously, in response to </w:t>
      </w:r>
      <w:r w:rsidR="00484513">
        <w:t xml:space="preserve">Commission </w:t>
      </w:r>
      <w:r w:rsidRPr="001A6832">
        <w:t xml:space="preserve">staff’s first data request, the </w:t>
      </w:r>
      <w:r w:rsidR="003D4918">
        <w:t>Utility</w:t>
      </w:r>
      <w:r w:rsidRPr="001A6832">
        <w:t xml:space="preserve"> provided a contract for the management services of UGF. The contract provides that the operator “shall perform billing and collection services per the </w:t>
      </w:r>
      <w:r w:rsidR="003D4918">
        <w:t>Utility</w:t>
      </w:r>
      <w:r w:rsidRPr="001A6832">
        <w:t xml:space="preserve">'s tariff and policies for the </w:t>
      </w:r>
      <w:r w:rsidR="003D4918">
        <w:t>Utility</w:t>
      </w:r>
      <w:r w:rsidRPr="001A6832">
        <w:t xml:space="preserve">’s water and wastewater services.” It further states that the operator “shall bill each customer of the </w:t>
      </w:r>
      <w:r w:rsidR="003D4918">
        <w:t>Utility</w:t>
      </w:r>
      <w:r w:rsidRPr="001A6832">
        <w:t xml:space="preserve"> monthly in accordance with the </w:t>
      </w:r>
      <w:r w:rsidR="003D4918">
        <w:t>Utility</w:t>
      </w:r>
      <w:r w:rsidRPr="001A6832">
        <w:t>'s approved rate structure.” Additionally, the contract provides that the operator will provide a customer service office where customers may pay their bills, apply for service, obtain information, register complaints, and generally receive normal and customary billing and collecting services. OPC questioned why Ni America is allocating overhead costs that include these functions when the professional services contract indicates that UGF is providing these services. OPC identified five positions</w:t>
      </w:r>
      <w:r w:rsidRPr="001A6832">
        <w:rPr>
          <w:vertAlign w:val="superscript"/>
        </w:rPr>
        <w:footnoteReference w:id="35"/>
      </w:r>
      <w:r w:rsidRPr="001A6832">
        <w:t xml:space="preserve"> included in the allocation that appear to duplicate functions included in the professional services contract. OPC argued that these salaries and the related benefits should be removed from the test year expenses. OPC’s total of salaries and bonuses related to these positions is $311,801, or $5,546 for water and $21,284 for wastewater on an allocated basis.  </w:t>
      </w:r>
    </w:p>
    <w:p w:rsidR="001A6832" w:rsidRPr="001A6832" w:rsidRDefault="001A6832" w:rsidP="00EC0B1C">
      <w:pPr>
        <w:autoSpaceDE w:val="0"/>
        <w:autoSpaceDN w:val="0"/>
        <w:adjustRightInd w:val="0"/>
        <w:jc w:val="both"/>
      </w:pPr>
    </w:p>
    <w:p w:rsidR="001A6832" w:rsidRPr="001A6832" w:rsidRDefault="001A6832" w:rsidP="00484513">
      <w:pPr>
        <w:autoSpaceDE w:val="0"/>
        <w:autoSpaceDN w:val="0"/>
        <w:adjustRightInd w:val="0"/>
        <w:ind w:firstLine="720"/>
        <w:jc w:val="both"/>
      </w:pPr>
      <w:r w:rsidRPr="001A6832">
        <w:t xml:space="preserve">The </w:t>
      </w:r>
      <w:r w:rsidR="003D4918">
        <w:t>Utility</w:t>
      </w:r>
      <w:r w:rsidRPr="001A6832">
        <w:t xml:space="preserve"> argued that the professional services contract lists some tasks to be performed under the contract, but the situation is more substance over form. According to the </w:t>
      </w:r>
      <w:r w:rsidR="003D4918">
        <w:t>Utility</w:t>
      </w:r>
      <w:r w:rsidRPr="001A6832">
        <w:t xml:space="preserve">, Ni Florida and UGF have developed a working relationship of who should perform what tasks. This working relationship has changed over the years, but remains a workable situation. The </w:t>
      </w:r>
      <w:r w:rsidRPr="001A6832">
        <w:lastRenderedPageBreak/>
        <w:t xml:space="preserve">employees in the South Carolina billing and customer service office perform tasks related to all utilities, including Ni Florida, and should therefore remain allocable to all utilities. The </w:t>
      </w:r>
      <w:r w:rsidR="003D4918">
        <w:t>Utility</w:t>
      </w:r>
      <w:r w:rsidRPr="001A6832">
        <w:t xml:space="preserve"> added that these employees handle new customer applications, post all customer payments received by mail or electronically, take customer service calls (shared with the Florida office), initiate customer refund checks, balance and audit customer accounts at month-end, and perform monthly billing of customers. The </w:t>
      </w:r>
      <w:r w:rsidR="003D4918">
        <w:t>Utility</w:t>
      </w:r>
      <w:r w:rsidRPr="001A6832">
        <w:t xml:space="preserve"> believes these tasks are done for all utilities and the costs should remain allocable to all utilities, including Ni Florida. </w:t>
      </w:r>
    </w:p>
    <w:p w:rsidR="001A6832" w:rsidRPr="001A6832" w:rsidRDefault="001A6832" w:rsidP="00EC0B1C">
      <w:pPr>
        <w:autoSpaceDE w:val="0"/>
        <w:autoSpaceDN w:val="0"/>
        <w:adjustRightInd w:val="0"/>
        <w:jc w:val="both"/>
        <w:rPr>
          <w:sz w:val="23"/>
          <w:szCs w:val="23"/>
        </w:rPr>
      </w:pPr>
    </w:p>
    <w:p w:rsidR="001A6832" w:rsidRPr="001A6832" w:rsidRDefault="001A6832" w:rsidP="00484513">
      <w:pPr>
        <w:autoSpaceDE w:val="0"/>
        <w:autoSpaceDN w:val="0"/>
        <w:adjustRightInd w:val="0"/>
        <w:ind w:firstLine="720"/>
        <w:jc w:val="both"/>
      </w:pPr>
      <w:r w:rsidRPr="001A6832">
        <w:t xml:space="preserve">Based on the contract for professional services and the position descriptions provided during the course of this docket, </w:t>
      </w:r>
      <w:r w:rsidR="00484513">
        <w:t>we believe</w:t>
      </w:r>
      <w:r w:rsidRPr="001A6832">
        <w:t xml:space="preserve"> many of the duties included as part of the allocated overhead costs are duplicative of services performed by UGF. Absent additional information to the contrary, </w:t>
      </w:r>
      <w:r w:rsidR="00484513">
        <w:t>we find that</w:t>
      </w:r>
      <w:r w:rsidRPr="001A6832">
        <w:t xml:space="preserve"> the removal of all salaries and benefits related to the five corporate positions is appropriate. </w:t>
      </w:r>
      <w:r w:rsidR="00484513">
        <w:t>We have already removed</w:t>
      </w:r>
      <w:r w:rsidRPr="001A6832">
        <w:t xml:space="preserve"> duplicative costs for meter reading and customer billing based on the professional services contract. The removal of duplicative salaries and benefits here is in keeping with those previous adjustments. As a result, all expense</w:t>
      </w:r>
      <w:r w:rsidR="00484513">
        <w:t>s</w:t>
      </w:r>
      <w:r w:rsidRPr="001A6832">
        <w:t xml:space="preserve"> related to the five positions </w:t>
      </w:r>
      <w:r w:rsidR="00484513">
        <w:t xml:space="preserve">shall be removed </w:t>
      </w:r>
      <w:r w:rsidRPr="001A6832">
        <w:t xml:space="preserve">in order to address the overlap of duties between the allocated positions and those provided in the professional services contract with UGF. After allocation, $5,678 for water and $21,786 for wastewater </w:t>
      </w:r>
      <w:r w:rsidR="00484513" w:rsidRPr="00484513">
        <w:t xml:space="preserve">shall </w:t>
      </w:r>
      <w:r w:rsidRPr="001A6832">
        <w:t>be removed for salaries and benefits.</w:t>
      </w:r>
      <w:r w:rsidRPr="001A6832">
        <w:rPr>
          <w:vertAlign w:val="superscript"/>
        </w:rPr>
        <w:footnoteReference w:id="36"/>
      </w:r>
    </w:p>
    <w:p w:rsidR="001A6832" w:rsidRPr="001A6832" w:rsidRDefault="001A6832" w:rsidP="00EC0B1C">
      <w:pPr>
        <w:autoSpaceDE w:val="0"/>
        <w:autoSpaceDN w:val="0"/>
        <w:adjustRightInd w:val="0"/>
        <w:jc w:val="both"/>
      </w:pPr>
    </w:p>
    <w:p w:rsidR="001A6832" w:rsidRDefault="00484513" w:rsidP="00484513">
      <w:pPr>
        <w:autoSpaceDE w:val="0"/>
        <w:autoSpaceDN w:val="0"/>
        <w:adjustRightInd w:val="0"/>
        <w:ind w:firstLine="720"/>
        <w:jc w:val="both"/>
      </w:pPr>
      <w:r>
        <w:t>We</w:t>
      </w:r>
      <w:r w:rsidR="001A6832" w:rsidRPr="001A6832">
        <w:t xml:space="preserve"> also identified one additional position, Vice President of Capital Improvements, that </w:t>
      </w:r>
      <w:r w:rsidRPr="00484513">
        <w:t xml:space="preserve">shall </w:t>
      </w:r>
      <w:r w:rsidR="001A6832" w:rsidRPr="001A6832">
        <w:t xml:space="preserve">be removed. </w:t>
      </w:r>
      <w:r>
        <w:t>T</w:t>
      </w:r>
      <w:r w:rsidR="001A6832" w:rsidRPr="001A6832">
        <w:t xml:space="preserve">he </w:t>
      </w:r>
      <w:r w:rsidR="003D4918">
        <w:t>Utility</w:t>
      </w:r>
      <w:r w:rsidR="001A6832" w:rsidRPr="001A6832">
        <w:t xml:space="preserve"> excluded the salaries and benefits for one of the Vice President of Capital Improvements in its MFRs, but left a portion of the salary for the second position. </w:t>
      </w:r>
      <w:r>
        <w:t>T</w:t>
      </w:r>
      <w:r w:rsidR="001A6832" w:rsidRPr="001A6832">
        <w:t xml:space="preserve">he portion related to the second position </w:t>
      </w:r>
      <w:r w:rsidRPr="00484513">
        <w:t xml:space="preserve">shall </w:t>
      </w:r>
      <w:r w:rsidR="001A6832" w:rsidRPr="001A6832">
        <w:t>be removed as well. This results in reductions of $341 for water and $1,309 for wastewater.</w:t>
      </w:r>
    </w:p>
    <w:p w:rsidR="00072F5F" w:rsidRDefault="00072F5F" w:rsidP="00927CE3">
      <w:pPr>
        <w:autoSpaceDE w:val="0"/>
        <w:autoSpaceDN w:val="0"/>
        <w:adjustRightInd w:val="0"/>
        <w:jc w:val="both"/>
      </w:pPr>
    </w:p>
    <w:p w:rsidR="00072F5F" w:rsidRPr="001A6832" w:rsidRDefault="00072F5F" w:rsidP="00484513">
      <w:pPr>
        <w:autoSpaceDE w:val="0"/>
        <w:autoSpaceDN w:val="0"/>
        <w:adjustRightInd w:val="0"/>
        <w:ind w:firstLine="720"/>
        <w:jc w:val="both"/>
      </w:pPr>
      <w:r w:rsidRPr="00072F5F">
        <w:t xml:space="preserve">At the November 1, 2016 Agenda Conference, the Utility and OPC agreed that salaries and benefits related to the Manager of Public Relations should be removed from miscellaneous expense. The person who filled this position during the test year is no longer with the company, and while this position is currently filled, the person who was transferred into this position already had salary and benefits included in allocated corporate costs. As such, $2,399 for water and $9,206 for wastewater </w:t>
      </w:r>
      <w:r>
        <w:t>shall</w:t>
      </w:r>
      <w:r w:rsidRPr="00072F5F">
        <w:t xml:space="preserve"> be removed to avoid duplicative salaries and benefits.</w:t>
      </w:r>
    </w:p>
    <w:p w:rsidR="001A6832" w:rsidRPr="001A6832" w:rsidRDefault="001A6832" w:rsidP="00EC0B1C">
      <w:pPr>
        <w:autoSpaceDE w:val="0"/>
        <w:autoSpaceDN w:val="0"/>
        <w:adjustRightInd w:val="0"/>
        <w:jc w:val="both"/>
        <w:rPr>
          <w:sz w:val="23"/>
          <w:szCs w:val="23"/>
        </w:rPr>
      </w:pPr>
    </w:p>
    <w:p w:rsidR="001A6832" w:rsidRPr="001A6832" w:rsidRDefault="001A6832" w:rsidP="00E52710">
      <w:pPr>
        <w:autoSpaceDE w:val="0"/>
        <w:autoSpaceDN w:val="0"/>
        <w:adjustRightInd w:val="0"/>
        <w:ind w:firstLine="720"/>
        <w:jc w:val="both"/>
      </w:pPr>
      <w:r w:rsidRPr="001A6832">
        <w:t xml:space="preserve">During the course of this rate case, the </w:t>
      </w:r>
      <w:r w:rsidR="003D4918">
        <w:t>Utility</w:t>
      </w:r>
      <w:r w:rsidRPr="001A6832">
        <w:t xml:space="preserve"> provided general ledgers which indicated that Ni America paid $209,460 for consulting services related to an ERC Project. According to the </w:t>
      </w:r>
      <w:r w:rsidR="003D4918">
        <w:t>Utility</w:t>
      </w:r>
      <w:r w:rsidRPr="001A6832">
        <w:t xml:space="preserve">, the ERC Project was set up to reconcile customers in South Carolina. In response to OPC’s concerns and a </w:t>
      </w:r>
      <w:r w:rsidR="00E52710">
        <w:t xml:space="preserve">Commission </w:t>
      </w:r>
      <w:r w:rsidRPr="001A6832">
        <w:t xml:space="preserve">staff data request, the </w:t>
      </w:r>
      <w:r w:rsidR="003D4918">
        <w:t>Utility</w:t>
      </w:r>
      <w:r w:rsidRPr="001A6832">
        <w:t xml:space="preserve"> agreed that the cost should not be allocated to Ni Florida. </w:t>
      </w:r>
      <w:r w:rsidR="00E52710">
        <w:t>We</w:t>
      </w:r>
      <w:r w:rsidRPr="001A6832">
        <w:t xml:space="preserve"> removed the expense from the corporate overhead allocation, which results in the reduction of $3,728 for water and $14,306 for wastewater on an allocated basis.</w:t>
      </w:r>
    </w:p>
    <w:p w:rsidR="001A6832" w:rsidRPr="001A6832" w:rsidRDefault="001A6832" w:rsidP="00EC0B1C">
      <w:pPr>
        <w:autoSpaceDE w:val="0"/>
        <w:autoSpaceDN w:val="0"/>
        <w:adjustRightInd w:val="0"/>
        <w:jc w:val="both"/>
        <w:rPr>
          <w:rFonts w:ascii="Arial" w:hAnsi="Arial" w:cs="Arial"/>
        </w:rPr>
      </w:pPr>
    </w:p>
    <w:p w:rsidR="001A6832" w:rsidRPr="001A6832" w:rsidRDefault="00E52710" w:rsidP="00E52710">
      <w:pPr>
        <w:autoSpaceDE w:val="0"/>
        <w:autoSpaceDN w:val="0"/>
        <w:adjustRightInd w:val="0"/>
        <w:ind w:firstLine="720"/>
        <w:jc w:val="both"/>
      </w:pPr>
      <w:r>
        <w:lastRenderedPageBreak/>
        <w:t>We</w:t>
      </w:r>
      <w:r w:rsidR="001A6832" w:rsidRPr="001A6832">
        <w:t xml:space="preserve"> also made an adjustment to correct an error made in calculating the allocable portion of miscellaneous expense in MFR Schedule B-12. The </w:t>
      </w:r>
      <w:r w:rsidR="003D4918">
        <w:t>Utility</w:t>
      </w:r>
      <w:r w:rsidR="001A6832" w:rsidRPr="001A6832">
        <w:t xml:space="preserve"> calculated that Ni Florida's portion of allocable miscellaneous expenses was $367,338. </w:t>
      </w:r>
      <w:r w:rsidR="00656D60">
        <w:t>We</w:t>
      </w:r>
      <w:r w:rsidR="001A6832" w:rsidRPr="001A6832">
        <w:t xml:space="preserve"> calculated Ni Florida's portion of allocable miscellaneous expenses to be $367,138. </w:t>
      </w:r>
      <w:r w:rsidR="00656D60">
        <w:t>We</w:t>
      </w:r>
      <w:r w:rsidR="001A6832" w:rsidRPr="001A6832">
        <w:t xml:space="preserve"> reduced allocable miscellaneous expense by $200, which resulted in a $45 reduction to water and a $155 reduction to wastewater.</w:t>
      </w:r>
    </w:p>
    <w:p w:rsidR="001A6832" w:rsidRPr="001A6832" w:rsidRDefault="001A6832" w:rsidP="00EC0B1C">
      <w:pPr>
        <w:autoSpaceDE w:val="0"/>
        <w:autoSpaceDN w:val="0"/>
        <w:adjustRightInd w:val="0"/>
        <w:jc w:val="both"/>
      </w:pPr>
    </w:p>
    <w:p w:rsidR="001A6832" w:rsidRPr="001A6832" w:rsidRDefault="001A6832" w:rsidP="00656D60">
      <w:pPr>
        <w:autoSpaceDE w:val="0"/>
        <w:autoSpaceDN w:val="0"/>
        <w:adjustRightInd w:val="0"/>
        <w:ind w:firstLine="720"/>
        <w:jc w:val="both"/>
      </w:pPr>
      <w:r w:rsidRPr="001A6832">
        <w:t xml:space="preserve">Finally, in the contractual services – testing, </w:t>
      </w:r>
      <w:r w:rsidR="00656D60">
        <w:t>we</w:t>
      </w:r>
      <w:r w:rsidRPr="001A6832">
        <w:t xml:space="preserve"> reclassified $100 related to the annual operating license which </w:t>
      </w:r>
      <w:r w:rsidR="00656D60" w:rsidRPr="00656D60">
        <w:t xml:space="preserve">shall </w:t>
      </w:r>
      <w:r w:rsidRPr="001A6832">
        <w:t xml:space="preserve">be reclassified to miscellaneous expense. This reclassification does not impact the overall adjustment to operations and maintenance expense, just the individual balances for contractual services – testing and miscellaneous expense. As such, it is not reflected in the adjustment calculation below. Accordingly, miscellaneous expense </w:t>
      </w:r>
      <w:r w:rsidR="00656D60" w:rsidRPr="00656D60">
        <w:t xml:space="preserve">shall </w:t>
      </w:r>
      <w:r w:rsidRPr="001A6832">
        <w:t>be reduced by $</w:t>
      </w:r>
      <w:r w:rsidR="00072F5F">
        <w:t>22,859</w:t>
      </w:r>
      <w:r w:rsidRPr="001A6832">
        <w:t xml:space="preserve"> ($10,668 + $5,678 + $341 </w:t>
      </w:r>
      <w:r w:rsidR="00072F5F">
        <w:t xml:space="preserve">+ $2,399 </w:t>
      </w:r>
      <w:r w:rsidRPr="001A6832">
        <w:t>+ $3,728 + $45) for water and $</w:t>
      </w:r>
      <w:r w:rsidR="00072F5F">
        <w:t>48,264</w:t>
      </w:r>
      <w:r w:rsidRPr="001A6832">
        <w:t xml:space="preserve"> ($1,502 + $21,786 + $1,309 </w:t>
      </w:r>
      <w:r w:rsidR="00072F5F">
        <w:t xml:space="preserve">+ $9,206 </w:t>
      </w:r>
      <w:r w:rsidRPr="001A6832">
        <w:t>+ $14,306 + $155) for wastewater.</w:t>
      </w:r>
    </w:p>
    <w:p w:rsidR="001A6832" w:rsidRPr="001A6832" w:rsidRDefault="001A6832" w:rsidP="00EC0B1C">
      <w:pPr>
        <w:autoSpaceDE w:val="0"/>
        <w:autoSpaceDN w:val="0"/>
        <w:adjustRightInd w:val="0"/>
        <w:jc w:val="both"/>
      </w:pPr>
    </w:p>
    <w:p w:rsidR="001A6832" w:rsidRPr="00656D60" w:rsidRDefault="00656D60" w:rsidP="00EC0B1C">
      <w:pPr>
        <w:autoSpaceDE w:val="0"/>
        <w:autoSpaceDN w:val="0"/>
        <w:adjustRightInd w:val="0"/>
        <w:rPr>
          <w:u w:val="single"/>
        </w:rPr>
      </w:pPr>
      <w:r w:rsidRPr="00656D60">
        <w:rPr>
          <w:u w:val="single"/>
        </w:rPr>
        <w:t>Conclusion</w:t>
      </w:r>
    </w:p>
    <w:p w:rsidR="00656D60" w:rsidRPr="001A6832" w:rsidRDefault="00656D60" w:rsidP="00EC0B1C">
      <w:pPr>
        <w:autoSpaceDE w:val="0"/>
        <w:autoSpaceDN w:val="0"/>
        <w:adjustRightInd w:val="0"/>
        <w:rPr>
          <w:rFonts w:ascii="Arial" w:hAnsi="Arial" w:cs="Arial"/>
          <w:b/>
        </w:rPr>
      </w:pPr>
    </w:p>
    <w:p w:rsidR="00CD724F" w:rsidRPr="00656D60" w:rsidRDefault="001A6832" w:rsidP="00D97EA2">
      <w:pPr>
        <w:autoSpaceDE w:val="0"/>
        <w:autoSpaceDN w:val="0"/>
        <w:adjustRightInd w:val="0"/>
        <w:ind w:firstLine="720"/>
        <w:jc w:val="both"/>
      </w:pPr>
      <w:r w:rsidRPr="001A6832">
        <w:t xml:space="preserve">Based on adjustments set forth above, O&amp;M expense </w:t>
      </w:r>
      <w:r w:rsidR="00656D60">
        <w:t xml:space="preserve">shall be decreased </w:t>
      </w:r>
      <w:r w:rsidRPr="001A6832">
        <w:t>by $2</w:t>
      </w:r>
      <w:r w:rsidR="00072F5F">
        <w:t>3,123</w:t>
      </w:r>
      <w:r w:rsidRPr="001A6832">
        <w:t xml:space="preserve"> for water and $1</w:t>
      </w:r>
      <w:r w:rsidR="00072F5F">
        <w:t>45,260</w:t>
      </w:r>
      <w:r w:rsidRPr="001A6832">
        <w:t xml:space="preserve"> for wastewater as depicted below. Adjustments to O&amp;M expense are shown on Schedule No. 3-C.</w:t>
      </w:r>
    </w:p>
    <w:p w:rsidR="00D97EA2" w:rsidRDefault="00D97EA2" w:rsidP="00EC0B1C">
      <w:pPr>
        <w:autoSpaceDE w:val="0"/>
        <w:autoSpaceDN w:val="0"/>
        <w:adjustRightInd w:val="0"/>
        <w:jc w:val="center"/>
        <w:rPr>
          <w:rFonts w:ascii="Arial" w:hAnsi="Arial" w:cs="Arial"/>
          <w:b/>
        </w:rPr>
      </w:pP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 xml:space="preserve">Table </w:t>
      </w:r>
      <w:r w:rsidR="00656D60">
        <w:rPr>
          <w:rFonts w:ascii="Arial" w:hAnsi="Arial" w:cs="Arial"/>
          <w:b/>
        </w:rPr>
        <w:t>17</w:t>
      </w:r>
    </w:p>
    <w:p w:rsidR="001A6832" w:rsidRPr="001A6832" w:rsidRDefault="001A6832" w:rsidP="00EC0B1C">
      <w:pPr>
        <w:autoSpaceDE w:val="0"/>
        <w:autoSpaceDN w:val="0"/>
        <w:adjustRightInd w:val="0"/>
        <w:jc w:val="center"/>
        <w:rPr>
          <w:rFonts w:ascii="Arial" w:hAnsi="Arial" w:cs="Arial"/>
          <w:b/>
        </w:rPr>
      </w:pPr>
      <w:r w:rsidRPr="001A6832">
        <w:rPr>
          <w:rFonts w:ascii="Arial" w:hAnsi="Arial" w:cs="Arial"/>
          <w:b/>
        </w:rPr>
        <w:t xml:space="preserve">Summary of </w:t>
      </w:r>
      <w:r w:rsidR="00656D60">
        <w:rPr>
          <w:rFonts w:ascii="Arial" w:hAnsi="Arial" w:cs="Arial"/>
          <w:b/>
        </w:rPr>
        <w:t>Commission</w:t>
      </w:r>
      <w:r w:rsidRPr="001A6832">
        <w:rPr>
          <w:rFonts w:ascii="Arial" w:hAnsi="Arial" w:cs="Arial"/>
          <w:b/>
        </w:rPr>
        <w:t xml:space="preserve"> O&amp;M Adjustments</w:t>
      </w:r>
    </w:p>
    <w:tbl>
      <w:tblPr>
        <w:tblStyle w:val="TableGrid6"/>
        <w:tblW w:w="0" w:type="auto"/>
        <w:jc w:val="center"/>
        <w:tblInd w:w="108" w:type="dxa"/>
        <w:tblLook w:val="04A0" w:firstRow="1" w:lastRow="0" w:firstColumn="1" w:lastColumn="0" w:noHBand="0" w:noVBand="1"/>
      </w:tblPr>
      <w:tblGrid>
        <w:gridCol w:w="5400"/>
        <w:gridCol w:w="1980"/>
        <w:gridCol w:w="1980"/>
      </w:tblGrid>
      <w:tr w:rsidR="001A6832" w:rsidRPr="001A6832" w:rsidTr="003D4918">
        <w:trPr>
          <w:jc w:val="center"/>
        </w:trPr>
        <w:tc>
          <w:tcPr>
            <w:tcW w:w="5400" w:type="dxa"/>
            <w:vAlign w:val="center"/>
          </w:tcPr>
          <w:p w:rsidR="001A6832" w:rsidRPr="001A6832" w:rsidRDefault="001A6832" w:rsidP="00EC0B1C">
            <w:pPr>
              <w:autoSpaceDE w:val="0"/>
              <w:autoSpaceDN w:val="0"/>
              <w:adjustRightInd w:val="0"/>
              <w:jc w:val="center"/>
              <w:rPr>
                <w:b/>
              </w:rPr>
            </w:pPr>
            <w:r w:rsidRPr="001A6832">
              <w:rPr>
                <w:b/>
              </w:rPr>
              <w:t>Account</w:t>
            </w:r>
          </w:p>
        </w:tc>
        <w:tc>
          <w:tcPr>
            <w:tcW w:w="1980" w:type="dxa"/>
          </w:tcPr>
          <w:p w:rsidR="001A6832" w:rsidRPr="001A6832" w:rsidRDefault="00656D60" w:rsidP="00EC0B1C">
            <w:pPr>
              <w:autoSpaceDE w:val="0"/>
              <w:autoSpaceDN w:val="0"/>
              <w:adjustRightInd w:val="0"/>
              <w:jc w:val="center"/>
              <w:rPr>
                <w:b/>
              </w:rPr>
            </w:pPr>
            <w:r>
              <w:rPr>
                <w:b/>
              </w:rPr>
              <w:t>Commission</w:t>
            </w:r>
            <w:r w:rsidR="001A6832" w:rsidRPr="001A6832">
              <w:rPr>
                <w:b/>
              </w:rPr>
              <w:t xml:space="preserve"> Adj. to Water</w:t>
            </w:r>
          </w:p>
        </w:tc>
        <w:tc>
          <w:tcPr>
            <w:tcW w:w="1980" w:type="dxa"/>
          </w:tcPr>
          <w:p w:rsidR="001A6832" w:rsidRPr="001A6832" w:rsidRDefault="00656D60" w:rsidP="00EC0B1C">
            <w:pPr>
              <w:autoSpaceDE w:val="0"/>
              <w:autoSpaceDN w:val="0"/>
              <w:adjustRightInd w:val="0"/>
              <w:jc w:val="center"/>
              <w:rPr>
                <w:b/>
              </w:rPr>
            </w:pPr>
            <w:r>
              <w:rPr>
                <w:b/>
              </w:rPr>
              <w:t>Commission</w:t>
            </w:r>
            <w:r w:rsidR="001A6832" w:rsidRPr="001A6832">
              <w:rPr>
                <w:b/>
              </w:rPr>
              <w:t xml:space="preserve"> Adj. to Wastewater</w:t>
            </w:r>
          </w:p>
        </w:tc>
      </w:tr>
      <w:tr w:rsidR="001A6832" w:rsidRPr="001A6832" w:rsidTr="003D4918">
        <w:trPr>
          <w:jc w:val="center"/>
        </w:trPr>
        <w:tc>
          <w:tcPr>
            <w:tcW w:w="5400" w:type="dxa"/>
          </w:tcPr>
          <w:p w:rsidR="001A6832" w:rsidRPr="001A6832" w:rsidRDefault="001A6832" w:rsidP="00EC0B1C">
            <w:pPr>
              <w:autoSpaceDE w:val="0"/>
              <w:autoSpaceDN w:val="0"/>
              <w:adjustRightInd w:val="0"/>
              <w:jc w:val="both"/>
            </w:pPr>
            <w:r w:rsidRPr="001A6832">
              <w:t>Contractual Services – Legal (633/733)</w:t>
            </w:r>
          </w:p>
        </w:tc>
        <w:tc>
          <w:tcPr>
            <w:tcW w:w="1980" w:type="dxa"/>
          </w:tcPr>
          <w:p w:rsidR="001A6832" w:rsidRPr="001A6832" w:rsidRDefault="001A6832" w:rsidP="00EC0B1C">
            <w:pPr>
              <w:autoSpaceDE w:val="0"/>
              <w:autoSpaceDN w:val="0"/>
              <w:adjustRightInd w:val="0"/>
              <w:jc w:val="right"/>
            </w:pPr>
            <w:r w:rsidRPr="001A6832">
              <w:t>$971</w:t>
            </w:r>
          </w:p>
        </w:tc>
        <w:tc>
          <w:tcPr>
            <w:tcW w:w="1980" w:type="dxa"/>
          </w:tcPr>
          <w:p w:rsidR="001A6832" w:rsidRPr="001A6832" w:rsidRDefault="001A6832" w:rsidP="00EC0B1C">
            <w:pPr>
              <w:autoSpaceDE w:val="0"/>
              <w:autoSpaceDN w:val="0"/>
              <w:adjustRightInd w:val="0"/>
              <w:jc w:val="right"/>
            </w:pPr>
            <w:r w:rsidRPr="001A6832">
              <w:t>($3,345)</w:t>
            </w:r>
          </w:p>
        </w:tc>
      </w:tr>
      <w:tr w:rsidR="001A6832" w:rsidRPr="001A6832" w:rsidTr="003D4918">
        <w:trPr>
          <w:jc w:val="center"/>
        </w:trPr>
        <w:tc>
          <w:tcPr>
            <w:tcW w:w="5400" w:type="dxa"/>
          </w:tcPr>
          <w:p w:rsidR="001A6832" w:rsidRPr="001A6832" w:rsidRDefault="001A6832" w:rsidP="00EC0B1C">
            <w:pPr>
              <w:autoSpaceDE w:val="0"/>
              <w:autoSpaceDN w:val="0"/>
              <w:adjustRightInd w:val="0"/>
              <w:jc w:val="both"/>
            </w:pPr>
            <w:r w:rsidRPr="001A6832">
              <w:t>Contractual Services – Management Fees (634/734)</w:t>
            </w:r>
          </w:p>
        </w:tc>
        <w:tc>
          <w:tcPr>
            <w:tcW w:w="1980" w:type="dxa"/>
          </w:tcPr>
          <w:p w:rsidR="001A6832" w:rsidRPr="001A6832" w:rsidRDefault="001A6832" w:rsidP="00EC0B1C">
            <w:pPr>
              <w:autoSpaceDE w:val="0"/>
              <w:autoSpaceDN w:val="0"/>
              <w:adjustRightInd w:val="0"/>
              <w:jc w:val="right"/>
            </w:pPr>
            <w:r w:rsidRPr="001A6832">
              <w:t>0</w:t>
            </w:r>
          </w:p>
        </w:tc>
        <w:tc>
          <w:tcPr>
            <w:tcW w:w="1980" w:type="dxa"/>
          </w:tcPr>
          <w:p w:rsidR="001A6832" w:rsidRPr="001A6832" w:rsidRDefault="001A6832" w:rsidP="00EC0B1C">
            <w:pPr>
              <w:autoSpaceDE w:val="0"/>
              <w:autoSpaceDN w:val="0"/>
              <w:adjustRightInd w:val="0"/>
              <w:jc w:val="right"/>
            </w:pPr>
            <w:r w:rsidRPr="001A6832">
              <w:t>(1,266)</w:t>
            </w:r>
          </w:p>
        </w:tc>
      </w:tr>
      <w:tr w:rsidR="001A6832" w:rsidRPr="001A6832" w:rsidTr="003D4918">
        <w:trPr>
          <w:jc w:val="center"/>
        </w:trPr>
        <w:tc>
          <w:tcPr>
            <w:tcW w:w="5400" w:type="dxa"/>
          </w:tcPr>
          <w:p w:rsidR="001A6832" w:rsidRPr="001A6832" w:rsidRDefault="001A6832" w:rsidP="00EC0B1C">
            <w:pPr>
              <w:autoSpaceDE w:val="0"/>
              <w:autoSpaceDN w:val="0"/>
              <w:adjustRightInd w:val="0"/>
              <w:jc w:val="both"/>
            </w:pPr>
            <w:r w:rsidRPr="001A6832">
              <w:t>Contractual Services – Other (636/736)</w:t>
            </w:r>
          </w:p>
        </w:tc>
        <w:tc>
          <w:tcPr>
            <w:tcW w:w="1980" w:type="dxa"/>
          </w:tcPr>
          <w:p w:rsidR="001A6832" w:rsidRPr="001A6832" w:rsidRDefault="001A6832" w:rsidP="00EC0B1C">
            <w:pPr>
              <w:autoSpaceDE w:val="0"/>
              <w:autoSpaceDN w:val="0"/>
              <w:adjustRightInd w:val="0"/>
              <w:jc w:val="right"/>
            </w:pPr>
            <w:r w:rsidRPr="001A6832">
              <w:t>(814)</w:t>
            </w:r>
          </w:p>
        </w:tc>
        <w:tc>
          <w:tcPr>
            <w:tcW w:w="1980" w:type="dxa"/>
          </w:tcPr>
          <w:p w:rsidR="001A6832" w:rsidRPr="001A6832" w:rsidRDefault="001A6832" w:rsidP="00EC0B1C">
            <w:pPr>
              <w:autoSpaceDE w:val="0"/>
              <w:autoSpaceDN w:val="0"/>
              <w:adjustRightInd w:val="0"/>
              <w:jc w:val="right"/>
            </w:pPr>
            <w:r w:rsidRPr="001A6832">
              <w:t>(85,813)</w:t>
            </w:r>
          </w:p>
        </w:tc>
      </w:tr>
      <w:tr w:rsidR="001A6832" w:rsidRPr="001A6832" w:rsidTr="003D4918">
        <w:trPr>
          <w:jc w:val="center"/>
        </w:trPr>
        <w:tc>
          <w:tcPr>
            <w:tcW w:w="5400" w:type="dxa"/>
          </w:tcPr>
          <w:p w:rsidR="001A6832" w:rsidRPr="001A6832" w:rsidRDefault="001A6832" w:rsidP="00EC0B1C">
            <w:pPr>
              <w:autoSpaceDE w:val="0"/>
              <w:autoSpaceDN w:val="0"/>
              <w:adjustRightInd w:val="0"/>
              <w:jc w:val="both"/>
            </w:pPr>
            <w:r w:rsidRPr="001A6832">
              <w:t>Bad Debt Expenses (670/770)</w:t>
            </w:r>
          </w:p>
        </w:tc>
        <w:tc>
          <w:tcPr>
            <w:tcW w:w="1980" w:type="dxa"/>
          </w:tcPr>
          <w:p w:rsidR="001A6832" w:rsidRPr="001A6832" w:rsidRDefault="001A6832" w:rsidP="00EC0B1C">
            <w:pPr>
              <w:autoSpaceDE w:val="0"/>
              <w:autoSpaceDN w:val="0"/>
              <w:adjustRightInd w:val="0"/>
              <w:jc w:val="right"/>
            </w:pPr>
            <w:r w:rsidRPr="001A6832">
              <w:t>(421)</w:t>
            </w:r>
          </w:p>
        </w:tc>
        <w:tc>
          <w:tcPr>
            <w:tcW w:w="1980" w:type="dxa"/>
          </w:tcPr>
          <w:p w:rsidR="001A6832" w:rsidRPr="001A6832" w:rsidRDefault="001A6832" w:rsidP="00EC0B1C">
            <w:pPr>
              <w:autoSpaceDE w:val="0"/>
              <w:autoSpaceDN w:val="0"/>
              <w:adjustRightInd w:val="0"/>
              <w:jc w:val="right"/>
            </w:pPr>
            <w:r w:rsidRPr="001A6832">
              <w:t>(6,572)</w:t>
            </w:r>
          </w:p>
        </w:tc>
      </w:tr>
      <w:tr w:rsidR="001A6832" w:rsidRPr="001A6832" w:rsidTr="003D4918">
        <w:trPr>
          <w:jc w:val="center"/>
        </w:trPr>
        <w:tc>
          <w:tcPr>
            <w:tcW w:w="5400" w:type="dxa"/>
          </w:tcPr>
          <w:p w:rsidR="001A6832" w:rsidRPr="001A6832" w:rsidRDefault="001A6832" w:rsidP="00EC0B1C">
            <w:pPr>
              <w:autoSpaceDE w:val="0"/>
              <w:autoSpaceDN w:val="0"/>
              <w:adjustRightInd w:val="0"/>
              <w:jc w:val="both"/>
            </w:pPr>
            <w:r w:rsidRPr="001A6832">
              <w:t>Miscellaneous Expense (675/775)</w:t>
            </w:r>
          </w:p>
        </w:tc>
        <w:tc>
          <w:tcPr>
            <w:tcW w:w="1980" w:type="dxa"/>
          </w:tcPr>
          <w:p w:rsidR="001A6832" w:rsidRPr="001A6832" w:rsidRDefault="001A6832" w:rsidP="00072F5F">
            <w:pPr>
              <w:autoSpaceDE w:val="0"/>
              <w:autoSpaceDN w:val="0"/>
              <w:adjustRightInd w:val="0"/>
              <w:jc w:val="right"/>
              <w:rPr>
                <w:u w:val="single"/>
              </w:rPr>
            </w:pPr>
            <w:r w:rsidRPr="001A6832">
              <w:rPr>
                <w:u w:val="single"/>
              </w:rPr>
              <w:t>(</w:t>
            </w:r>
            <w:r w:rsidR="00072F5F">
              <w:rPr>
                <w:u w:val="single"/>
              </w:rPr>
              <w:t>22,859</w:t>
            </w:r>
            <w:r w:rsidRPr="001A6832">
              <w:rPr>
                <w:u w:val="single"/>
              </w:rPr>
              <w:t>)</w:t>
            </w:r>
          </w:p>
        </w:tc>
        <w:tc>
          <w:tcPr>
            <w:tcW w:w="1980" w:type="dxa"/>
          </w:tcPr>
          <w:p w:rsidR="001A6832" w:rsidRPr="001A6832" w:rsidRDefault="001A6832" w:rsidP="00072F5F">
            <w:pPr>
              <w:autoSpaceDE w:val="0"/>
              <w:autoSpaceDN w:val="0"/>
              <w:adjustRightInd w:val="0"/>
              <w:jc w:val="right"/>
              <w:rPr>
                <w:u w:val="single"/>
              </w:rPr>
            </w:pPr>
            <w:r w:rsidRPr="001A6832">
              <w:rPr>
                <w:u w:val="single"/>
              </w:rPr>
              <w:t>(</w:t>
            </w:r>
            <w:r w:rsidR="00072F5F">
              <w:rPr>
                <w:u w:val="single"/>
              </w:rPr>
              <w:t>48,264</w:t>
            </w:r>
            <w:r w:rsidRPr="001A6832">
              <w:rPr>
                <w:u w:val="single"/>
              </w:rPr>
              <w:t>)</w:t>
            </w:r>
          </w:p>
        </w:tc>
      </w:tr>
      <w:tr w:rsidR="001A6832" w:rsidRPr="001A6832" w:rsidTr="003D4918">
        <w:trPr>
          <w:trHeight w:val="332"/>
          <w:jc w:val="center"/>
        </w:trPr>
        <w:tc>
          <w:tcPr>
            <w:tcW w:w="5400" w:type="dxa"/>
            <w:vAlign w:val="center"/>
          </w:tcPr>
          <w:p w:rsidR="001A6832" w:rsidRPr="001A6832" w:rsidRDefault="001A6832" w:rsidP="00EC0B1C">
            <w:pPr>
              <w:autoSpaceDE w:val="0"/>
              <w:autoSpaceDN w:val="0"/>
              <w:adjustRightInd w:val="0"/>
              <w:rPr>
                <w:b/>
              </w:rPr>
            </w:pPr>
            <w:r w:rsidRPr="001A6832">
              <w:rPr>
                <w:b/>
              </w:rPr>
              <w:t>Total</w:t>
            </w:r>
          </w:p>
        </w:tc>
        <w:tc>
          <w:tcPr>
            <w:tcW w:w="1980" w:type="dxa"/>
            <w:vAlign w:val="center"/>
          </w:tcPr>
          <w:p w:rsidR="001A6832" w:rsidRPr="001A6832" w:rsidRDefault="001A6832" w:rsidP="00072F5F">
            <w:pPr>
              <w:autoSpaceDE w:val="0"/>
              <w:autoSpaceDN w:val="0"/>
              <w:adjustRightInd w:val="0"/>
              <w:jc w:val="right"/>
              <w:rPr>
                <w:u w:val="double"/>
              </w:rPr>
            </w:pPr>
            <w:r w:rsidRPr="001A6832">
              <w:rPr>
                <w:u w:val="double"/>
              </w:rPr>
              <w:t>($</w:t>
            </w:r>
            <w:r w:rsidR="00072F5F">
              <w:rPr>
                <w:u w:val="double"/>
              </w:rPr>
              <w:t>23,123</w:t>
            </w:r>
            <w:r w:rsidRPr="001A6832">
              <w:rPr>
                <w:u w:val="double"/>
              </w:rPr>
              <w:t>)</w:t>
            </w:r>
          </w:p>
        </w:tc>
        <w:tc>
          <w:tcPr>
            <w:tcW w:w="1980" w:type="dxa"/>
            <w:vAlign w:val="center"/>
          </w:tcPr>
          <w:p w:rsidR="001A6832" w:rsidRPr="001A6832" w:rsidRDefault="001A6832" w:rsidP="00072F5F">
            <w:pPr>
              <w:autoSpaceDE w:val="0"/>
              <w:autoSpaceDN w:val="0"/>
              <w:adjustRightInd w:val="0"/>
              <w:jc w:val="right"/>
              <w:rPr>
                <w:u w:val="double"/>
              </w:rPr>
            </w:pPr>
            <w:r w:rsidRPr="001A6832">
              <w:rPr>
                <w:u w:val="double"/>
              </w:rPr>
              <w:t>($1</w:t>
            </w:r>
            <w:r w:rsidR="00072F5F">
              <w:rPr>
                <w:u w:val="double"/>
              </w:rPr>
              <w:t>45,260</w:t>
            </w:r>
            <w:r w:rsidRPr="001A6832">
              <w:rPr>
                <w:u w:val="double"/>
              </w:rPr>
              <w:t>)</w:t>
            </w:r>
          </w:p>
        </w:tc>
      </w:tr>
    </w:tbl>
    <w:p w:rsidR="001A6832" w:rsidRPr="001A6832" w:rsidRDefault="001A6832" w:rsidP="00EC0B1C">
      <w:pPr>
        <w:autoSpaceDE w:val="0"/>
        <w:autoSpaceDN w:val="0"/>
        <w:adjustRightInd w:val="0"/>
        <w:jc w:val="both"/>
        <w:rPr>
          <w:rFonts w:cs="Calibri"/>
        </w:rPr>
      </w:pPr>
    </w:p>
    <w:p w:rsidR="001A6832" w:rsidRPr="00656D60" w:rsidRDefault="00656D60" w:rsidP="00656D60">
      <w:pPr>
        <w:jc w:val="center"/>
        <w:rPr>
          <w:u w:val="single"/>
        </w:rPr>
      </w:pPr>
      <w:r w:rsidRPr="00656D60">
        <w:rPr>
          <w:u w:val="single"/>
        </w:rPr>
        <w:t>Revenue Requirement</w:t>
      </w:r>
    </w:p>
    <w:p w:rsidR="00656D60" w:rsidRDefault="00656D60" w:rsidP="00EC0B1C">
      <w:pPr>
        <w:jc w:val="both"/>
      </w:pPr>
    </w:p>
    <w:p w:rsidR="001A6832" w:rsidRPr="001A6832" w:rsidRDefault="001A6832" w:rsidP="00656D60">
      <w:pPr>
        <w:ind w:firstLine="720"/>
        <w:jc w:val="both"/>
      </w:pPr>
      <w:r w:rsidRPr="001A6832">
        <w:t xml:space="preserve">In its filing, Ni Florida requested revenue requirements to generate annual revenue of $322,091 for water and $2,404,738 for wastewater. These requested revenue requirements represent revenue increases of $87,150, or approximately </w:t>
      </w:r>
      <w:r w:rsidR="00FF4675">
        <w:t>37.10</w:t>
      </w:r>
      <w:r w:rsidRPr="001A6832">
        <w:t xml:space="preserve"> percent, for water, and $475,000, or approximately 24.60 percent, for wastewater.</w:t>
      </w:r>
    </w:p>
    <w:p w:rsidR="001A6832" w:rsidRPr="001A6832" w:rsidRDefault="001A6832" w:rsidP="00EC0B1C">
      <w:pPr>
        <w:jc w:val="both"/>
      </w:pPr>
    </w:p>
    <w:p w:rsidR="0091087D" w:rsidRDefault="001A6832" w:rsidP="0091087D">
      <w:pPr>
        <w:ind w:firstLine="720"/>
        <w:jc w:val="both"/>
      </w:pPr>
      <w:r w:rsidRPr="001A6832">
        <w:t xml:space="preserve">Consistent with </w:t>
      </w:r>
      <w:r w:rsidR="00656D60">
        <w:t>this Commission’s approved</w:t>
      </w:r>
      <w:r w:rsidRPr="001A6832">
        <w:t xml:space="preserve"> rate base, cost of capital, and operating income issues, </w:t>
      </w:r>
      <w:r w:rsidR="00656D60">
        <w:t>we hereby approve</w:t>
      </w:r>
      <w:r w:rsidRPr="001A6832">
        <w:t xml:space="preserve"> rates designed to generate a water revenue requirement of $</w:t>
      </w:r>
      <w:r w:rsidR="00FF4675">
        <w:t>28</w:t>
      </w:r>
      <w:r w:rsidR="00072F5F">
        <w:t>5,931</w:t>
      </w:r>
      <w:r w:rsidRPr="001A6832">
        <w:t>, and a wastewater revenue requirement of $2,2</w:t>
      </w:r>
      <w:r w:rsidR="00072F5F">
        <w:t>51,890</w:t>
      </w:r>
      <w:r w:rsidRPr="001A6832">
        <w:t xml:space="preserve">. </w:t>
      </w:r>
      <w:r w:rsidR="00656D60">
        <w:t>Our approved</w:t>
      </w:r>
      <w:r w:rsidRPr="001A6832">
        <w:t xml:space="preserve"> water revenue requirement exceeds </w:t>
      </w:r>
      <w:r w:rsidR="00FF4675">
        <w:t>our</w:t>
      </w:r>
      <w:r w:rsidRPr="001A6832">
        <w:t xml:space="preserve"> adjusted test year revenue by $6</w:t>
      </w:r>
      <w:r w:rsidR="00072F5F">
        <w:t>1,325</w:t>
      </w:r>
      <w:r w:rsidRPr="001A6832">
        <w:t>, or 2</w:t>
      </w:r>
      <w:r w:rsidR="00072F5F">
        <w:t>7.30</w:t>
      </w:r>
      <w:r w:rsidRPr="001A6832">
        <w:t xml:space="preserve"> percent. </w:t>
      </w:r>
      <w:r w:rsidR="00656D60">
        <w:t>Our approved</w:t>
      </w:r>
      <w:r w:rsidRPr="001A6832">
        <w:t xml:space="preserve"> wastewater revenue requirement exceeds </w:t>
      </w:r>
      <w:r w:rsidR="00656D60">
        <w:t>our</w:t>
      </w:r>
      <w:r w:rsidRPr="001A6832">
        <w:t xml:space="preserve"> adjusted test year revenue by $3</w:t>
      </w:r>
      <w:r w:rsidR="00072F5F">
        <w:t>00,988</w:t>
      </w:r>
      <w:r w:rsidR="005723E4">
        <w:t>, or 15.</w:t>
      </w:r>
      <w:r w:rsidR="00072F5F">
        <w:t xml:space="preserve">43 </w:t>
      </w:r>
      <w:r w:rsidRPr="001A6832">
        <w:lastRenderedPageBreak/>
        <w:t xml:space="preserve">percent. These </w:t>
      </w:r>
      <w:r w:rsidR="00656D60">
        <w:t>approved</w:t>
      </w:r>
      <w:r w:rsidRPr="001A6832">
        <w:t xml:space="preserve"> pre-repression revenue requirements will allow the </w:t>
      </w:r>
      <w:r w:rsidR="003D4918">
        <w:t>Utility</w:t>
      </w:r>
      <w:r w:rsidRPr="001A6832">
        <w:t xml:space="preserve"> the opportunity to recover its expenses and earn a </w:t>
      </w:r>
      <w:r w:rsidR="005723E4">
        <w:t>7.86</w:t>
      </w:r>
      <w:r w:rsidRPr="001A6832">
        <w:t xml:space="preserve"> percent return on its investment in water and wastewater rate base.</w:t>
      </w:r>
    </w:p>
    <w:p w:rsidR="00927CE3" w:rsidRDefault="00927CE3" w:rsidP="0091087D">
      <w:pPr>
        <w:ind w:firstLine="720"/>
        <w:jc w:val="both"/>
        <w:rPr>
          <w:b/>
          <w:i/>
        </w:rPr>
      </w:pPr>
    </w:p>
    <w:p w:rsidR="00D5079B" w:rsidRPr="0091087D" w:rsidRDefault="00D5079B" w:rsidP="0097603B">
      <w:pPr>
        <w:jc w:val="center"/>
        <w:rPr>
          <w:b/>
          <w:i/>
          <w:highlight w:val="yellow"/>
        </w:rPr>
      </w:pPr>
      <w:r w:rsidRPr="00D5079B">
        <w:rPr>
          <w:bCs/>
          <w:kern w:val="32"/>
          <w:szCs w:val="32"/>
          <w:u w:val="single"/>
        </w:rPr>
        <w:t>Rates and Rate Structure</w:t>
      </w:r>
    </w:p>
    <w:p w:rsidR="00D5079B" w:rsidRDefault="001A6832" w:rsidP="00EC0B1C">
      <w:pPr>
        <w:jc w:val="both"/>
      </w:pPr>
      <w:r w:rsidRPr="001A6832">
        <w:rPr>
          <w:rFonts w:ascii="Arial" w:hAnsi="Arial" w:cs="Arial"/>
          <w:b/>
          <w:bCs/>
          <w:i/>
          <w:iCs/>
          <w:szCs w:val="28"/>
        </w:rPr>
        <w:t> </w:t>
      </w:r>
    </w:p>
    <w:p w:rsidR="001A6832" w:rsidRPr="00D5079B" w:rsidRDefault="001A6832" w:rsidP="00EC0B1C">
      <w:pPr>
        <w:jc w:val="both"/>
        <w:rPr>
          <w:u w:val="single"/>
        </w:rPr>
      </w:pPr>
      <w:r w:rsidRPr="00D5079B">
        <w:rPr>
          <w:u w:val="single"/>
        </w:rPr>
        <w:t>Water Rates</w:t>
      </w:r>
    </w:p>
    <w:p w:rsidR="00D5079B" w:rsidRDefault="00D5079B" w:rsidP="00EC0B1C">
      <w:pPr>
        <w:jc w:val="both"/>
      </w:pPr>
    </w:p>
    <w:p w:rsidR="001A6832" w:rsidRPr="001A6832" w:rsidRDefault="001A6832" w:rsidP="00D5079B">
      <w:pPr>
        <w:ind w:firstLine="720"/>
        <w:jc w:val="both"/>
      </w:pPr>
      <w:r w:rsidRPr="001A6832">
        <w:t xml:space="preserve">Ni Florida’s water system is located in Lee County within the South Florida Water Management District. The </w:t>
      </w:r>
      <w:r w:rsidR="003D4918">
        <w:t>Utility</w:t>
      </w:r>
      <w:r w:rsidRPr="001A6832">
        <w:t xml:space="preserve"> buys bulk water from Lee County and resells the water to a mobile home and RV park. Approximately 30 percent of the residential customer bills during the test year had zero gallons during the test year, indicating a seasonal customer base. The average residential water demand was 1,442 gallons per month. The average water demand excluding zero gallon bills is 2,056 per month. The </w:t>
      </w:r>
      <w:r w:rsidR="003D4918">
        <w:t>Utility</w:t>
      </w:r>
      <w:r w:rsidRPr="001A6832">
        <w:t>’s current rate structure consists of a base facility charge (BFC) and three-tier inclining block rate structure. The rate blocks are (1) 0-3,000 gallons; (2) 3,001-6,000 gallons; and (3) all usage in excess of 6,000 gallons per month. The RV park’s rate structure consists of a BFC based on 104.76 equivalent residential connections (ERC), which was approved in a settlement in Docket No. 050819-WU.</w:t>
      </w:r>
      <w:r w:rsidRPr="001A6832">
        <w:rPr>
          <w:vertAlign w:val="superscript"/>
        </w:rPr>
        <w:footnoteReference w:id="37"/>
      </w:r>
      <w:r w:rsidRPr="001A6832">
        <w:t xml:space="preserve"> All other general service customers are billed based on a BFC and gallonage charge. In addition, the </w:t>
      </w:r>
      <w:r w:rsidR="003D4918">
        <w:t>Utility</w:t>
      </w:r>
      <w:r w:rsidRPr="001A6832">
        <w:t xml:space="preserve"> has a per incident charge for private fire protection.</w:t>
      </w:r>
    </w:p>
    <w:p w:rsidR="00D5079B" w:rsidRDefault="00D5079B" w:rsidP="00EC0B1C">
      <w:pPr>
        <w:jc w:val="both"/>
        <w:outlineLvl w:val="0"/>
        <w:rPr>
          <w:bCs/>
          <w:kern w:val="32"/>
          <w:szCs w:val="32"/>
        </w:rPr>
      </w:pPr>
    </w:p>
    <w:p w:rsidR="001A6832" w:rsidRPr="001A6832" w:rsidRDefault="00D5079B" w:rsidP="00D5079B">
      <w:pPr>
        <w:ind w:firstLine="720"/>
        <w:jc w:val="both"/>
        <w:outlineLvl w:val="0"/>
        <w:rPr>
          <w:bCs/>
          <w:kern w:val="32"/>
          <w:szCs w:val="32"/>
        </w:rPr>
      </w:pPr>
      <w:r>
        <w:rPr>
          <w:bCs/>
          <w:kern w:val="32"/>
          <w:szCs w:val="32"/>
        </w:rPr>
        <w:t>This Commission</w:t>
      </w:r>
      <w:r w:rsidR="001A6832" w:rsidRPr="001A6832">
        <w:rPr>
          <w:bCs/>
          <w:kern w:val="32"/>
          <w:szCs w:val="32"/>
        </w:rPr>
        <w:t xml:space="preserve"> performed an analysis of the </w:t>
      </w:r>
      <w:r w:rsidR="003D4918">
        <w:rPr>
          <w:bCs/>
          <w:kern w:val="32"/>
          <w:szCs w:val="32"/>
        </w:rPr>
        <w:t>Utility</w:t>
      </w:r>
      <w:r w:rsidR="001A6832" w:rsidRPr="001A6832">
        <w:rPr>
          <w:bCs/>
          <w:kern w:val="32"/>
          <w:szCs w:val="32"/>
        </w:rPr>
        <w:t xml:space="preserve">’s billing data in order to evaluate the appropriate rate structure for the residential water customers. The goal of the evaluation was to select the rate design parameters that: 1) produce the recommended revenue requirement; 2) equitably distribute cost recovery among the </w:t>
      </w:r>
      <w:r w:rsidR="003D4918">
        <w:rPr>
          <w:bCs/>
          <w:kern w:val="32"/>
          <w:szCs w:val="32"/>
        </w:rPr>
        <w:t>Utility</w:t>
      </w:r>
      <w:r w:rsidR="001A6832" w:rsidRPr="001A6832">
        <w:rPr>
          <w:bCs/>
          <w:kern w:val="32"/>
          <w:szCs w:val="32"/>
        </w:rPr>
        <w:t xml:space="preserve">’s customers; 3) establish the appropriate non-discretionary usage threshold for restricting repression; and 4) implement, where appropriate, water conserving rate structures consistent with </w:t>
      </w:r>
      <w:r>
        <w:rPr>
          <w:bCs/>
          <w:kern w:val="32"/>
          <w:szCs w:val="32"/>
        </w:rPr>
        <w:t xml:space="preserve">this </w:t>
      </w:r>
      <w:r w:rsidR="001A6832" w:rsidRPr="001A6832">
        <w:rPr>
          <w:bCs/>
          <w:kern w:val="32"/>
          <w:szCs w:val="32"/>
        </w:rPr>
        <w:t>Commission</w:t>
      </w:r>
      <w:r>
        <w:rPr>
          <w:bCs/>
          <w:kern w:val="32"/>
          <w:szCs w:val="32"/>
        </w:rPr>
        <w:t>’s</w:t>
      </w:r>
      <w:r w:rsidR="001A6832" w:rsidRPr="001A6832">
        <w:rPr>
          <w:bCs/>
          <w:kern w:val="32"/>
          <w:szCs w:val="32"/>
        </w:rPr>
        <w:t xml:space="preserve"> practice.</w:t>
      </w:r>
    </w:p>
    <w:p w:rsidR="00D5079B" w:rsidRDefault="00D5079B" w:rsidP="00EC0B1C">
      <w:pPr>
        <w:jc w:val="both"/>
      </w:pPr>
    </w:p>
    <w:p w:rsidR="001A6832" w:rsidRPr="001A6832" w:rsidRDefault="001A6832" w:rsidP="00D5079B">
      <w:pPr>
        <w:ind w:firstLine="720"/>
        <w:jc w:val="both"/>
      </w:pPr>
      <w:r w:rsidRPr="001A6832">
        <w:t xml:space="preserve">The </w:t>
      </w:r>
      <w:r w:rsidR="003D4918">
        <w:t>Utility</w:t>
      </w:r>
      <w:r w:rsidRPr="001A6832">
        <w:t xml:space="preserve">’s proposed BFC allocation is 59.31 percent. Typically, </w:t>
      </w:r>
      <w:r w:rsidR="00D5079B">
        <w:t>we</w:t>
      </w:r>
      <w:r w:rsidR="00D36E64">
        <w:t xml:space="preserve"> allocated</w:t>
      </w:r>
      <w:r w:rsidRPr="001A6832">
        <w:t xml:space="preserve"> no greater than 40 percent of the water revenue to the BFC. However, when the </w:t>
      </w:r>
      <w:r w:rsidR="003D4918">
        <w:t>Utility</w:t>
      </w:r>
      <w:r w:rsidRPr="001A6832">
        <w:t>’s customer b</w:t>
      </w:r>
      <w:r w:rsidR="00207FB2">
        <w:t>ase is seasonal, it has been this</w:t>
      </w:r>
      <w:r w:rsidRPr="001A6832">
        <w:t xml:space="preserve"> Commission’s practice to allocate greater than 40 percent of the revenue requirement to the BFC to address revenue stability. Due to the low monthly average consumption and seasonal customer base,</w:t>
      </w:r>
      <w:r w:rsidR="00207FB2">
        <w:t xml:space="preserve"> we find it</w:t>
      </w:r>
      <w:r w:rsidRPr="001A6832">
        <w:t xml:space="preserve"> appropriate to allocate 55 percent of the water revenue to the BFC for revenue stability purposes. </w:t>
      </w:r>
    </w:p>
    <w:p w:rsidR="001A6832" w:rsidRPr="001A6832" w:rsidRDefault="001A6832" w:rsidP="00EC0B1C">
      <w:pPr>
        <w:jc w:val="both"/>
      </w:pPr>
    </w:p>
    <w:p w:rsidR="001A6832" w:rsidRPr="001A6832" w:rsidRDefault="001A6832" w:rsidP="00207FB2">
      <w:pPr>
        <w:ind w:firstLine="720"/>
        <w:jc w:val="both"/>
      </w:pPr>
      <w:r w:rsidRPr="001A6832">
        <w:t xml:space="preserve">The average persons per household served by the water system is two; therefore, based on the number of person per household, 50 gallons per day per persons, and the number of days per month, the non-discretionary usage threshold should be 3,000 gallons per month. </w:t>
      </w:r>
      <w:r w:rsidR="00F958F0">
        <w:t>We hereby approve</w:t>
      </w:r>
      <w:r w:rsidRPr="001A6832">
        <w:t xml:space="preserve"> a traditional BFC and gallonage charge rate structure with separate gallonage charges for discretionary and non-discretionary usage for residential water customers.</w:t>
      </w:r>
    </w:p>
    <w:p w:rsidR="001A6832" w:rsidRPr="001A6832" w:rsidRDefault="001A6832" w:rsidP="00EC0B1C">
      <w:pPr>
        <w:jc w:val="both"/>
      </w:pPr>
    </w:p>
    <w:p w:rsidR="001A6832" w:rsidRPr="001A6832" w:rsidRDefault="001A6832" w:rsidP="00F958F0">
      <w:pPr>
        <w:ind w:firstLine="720"/>
        <w:jc w:val="both"/>
      </w:pPr>
      <w:r w:rsidRPr="001A6832">
        <w:lastRenderedPageBreak/>
        <w:t xml:space="preserve">Furthermore, </w:t>
      </w:r>
      <w:r w:rsidR="00F958F0">
        <w:t>we</w:t>
      </w:r>
      <w:r w:rsidRPr="001A6832">
        <w:t xml:space="preserve"> evaluated whether the BFC for the RV park should be based on the existing water demand the RV park places on the water system or the 104.76 ERCs</w:t>
      </w:r>
      <w:r w:rsidR="00F958F0">
        <w:t xml:space="preserve"> as</w:t>
      </w:r>
      <w:r w:rsidRPr="001A6832">
        <w:t xml:space="preserve"> approved in </w:t>
      </w:r>
      <w:r w:rsidR="00F958F0">
        <w:t>the</w:t>
      </w:r>
      <w:r w:rsidRPr="001A6832">
        <w:t xml:space="preserve"> settlement. The RV park has a three-inch meter; the BFC for a general service three-inch meter is typically 16 times the 5/8” x 3/4” meter size BFC. During the test year, the RV park used 1,537,000 gallons of water. Compared with the average residential water demand of 1,442 gallons per month, the RV park demand represents approximately 89 ERCs (1,537,000/1,442/12). Therefore, </w:t>
      </w:r>
      <w:r w:rsidR="00BE56A1">
        <w:t>we hereby approve</w:t>
      </w:r>
      <w:r w:rsidRPr="001A6832">
        <w:t xml:space="preserve"> a BFC based on 89 ERCs for the RV park and a uniform gallonage charge. All other general service customers should be billed a BFC based on a meter size and uniform gallonage charge. The private fire protection charge is obsolete and there are no customers. Therefore, the private fire protection charge </w:t>
      </w:r>
      <w:r w:rsidR="00F958F0" w:rsidRPr="00F958F0">
        <w:t xml:space="preserve">shall </w:t>
      </w:r>
      <w:r w:rsidRPr="001A6832">
        <w:t xml:space="preserve">be discontinued. Table </w:t>
      </w:r>
      <w:r w:rsidR="00F958F0">
        <w:t>18</w:t>
      </w:r>
      <w:r w:rsidRPr="001A6832">
        <w:t>, contains</w:t>
      </w:r>
      <w:r w:rsidR="00F958F0">
        <w:t xml:space="preserve"> the approved</w:t>
      </w:r>
      <w:r w:rsidRPr="001A6832">
        <w:t xml:space="preserve"> rate structure and rates. </w:t>
      </w:r>
    </w:p>
    <w:p w:rsidR="00CD724F" w:rsidRPr="001A6832" w:rsidRDefault="00CD724F" w:rsidP="00EC0B1C">
      <w:pPr>
        <w:jc w:val="both"/>
      </w:pPr>
    </w:p>
    <w:p w:rsidR="001A6832" w:rsidRPr="001A6832" w:rsidRDefault="001A6832" w:rsidP="00EC0B1C">
      <w:pPr>
        <w:jc w:val="center"/>
        <w:rPr>
          <w:rFonts w:ascii="Arial" w:hAnsi="Arial" w:cs="Arial"/>
          <w:b/>
        </w:rPr>
      </w:pPr>
      <w:r w:rsidRPr="001A6832">
        <w:rPr>
          <w:rFonts w:ascii="Arial" w:hAnsi="Arial" w:cs="Arial"/>
          <w:b/>
        </w:rPr>
        <w:t>Table 1</w:t>
      </w:r>
      <w:r w:rsidR="00F958F0">
        <w:rPr>
          <w:rFonts w:ascii="Arial" w:hAnsi="Arial" w:cs="Arial"/>
          <w:b/>
        </w:rPr>
        <w:t>8</w:t>
      </w:r>
    </w:p>
    <w:p w:rsidR="001A6832" w:rsidRPr="001A6832" w:rsidRDefault="00F958F0" w:rsidP="00EC0B1C">
      <w:pPr>
        <w:jc w:val="center"/>
        <w:rPr>
          <w:rFonts w:ascii="Arial" w:hAnsi="Arial" w:cs="Arial"/>
          <w:b/>
        </w:rPr>
      </w:pPr>
      <w:r>
        <w:rPr>
          <w:rFonts w:ascii="Arial" w:hAnsi="Arial" w:cs="Arial"/>
          <w:b/>
        </w:rPr>
        <w:t>Approved</w:t>
      </w:r>
      <w:r w:rsidR="001A6832" w:rsidRPr="001A6832">
        <w:rPr>
          <w:rFonts w:ascii="Arial" w:hAnsi="Arial" w:cs="Arial"/>
          <w:b/>
        </w:rPr>
        <w:t xml:space="preserve"> Water Rate Structures and Rates</w:t>
      </w:r>
    </w:p>
    <w:tbl>
      <w:tblPr>
        <w:tblW w:w="8317" w:type="dxa"/>
        <w:jc w:val="center"/>
        <w:tblInd w:w="10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7"/>
        <w:gridCol w:w="1440"/>
        <w:gridCol w:w="2070"/>
      </w:tblGrid>
      <w:tr w:rsidR="00F958F0" w:rsidRPr="001A6832" w:rsidTr="00F958F0">
        <w:trPr>
          <w:trHeight w:val="262"/>
          <w:jc w:val="center"/>
        </w:trPr>
        <w:tc>
          <w:tcPr>
            <w:tcW w:w="4807" w:type="dxa"/>
            <w:tcBorders>
              <w:left w:val="single" w:sz="4" w:space="0" w:color="auto"/>
            </w:tcBorders>
            <w:shd w:val="clear" w:color="000000" w:fill="auto"/>
            <w:noWrap/>
            <w:vAlign w:val="bottom"/>
            <w:hideMark/>
          </w:tcPr>
          <w:p w:rsidR="00F958F0" w:rsidRPr="001A6832" w:rsidRDefault="00F958F0" w:rsidP="00EC0B1C">
            <w:pPr>
              <w:rPr>
                <w:b/>
                <w:bCs/>
                <w:sz w:val="20"/>
                <w:szCs w:val="20"/>
                <w:u w:val="single"/>
              </w:rPr>
            </w:pPr>
          </w:p>
        </w:tc>
        <w:tc>
          <w:tcPr>
            <w:tcW w:w="1440" w:type="dxa"/>
            <w:shd w:val="clear" w:color="000000" w:fill="auto"/>
            <w:noWrap/>
            <w:vAlign w:val="bottom"/>
          </w:tcPr>
          <w:p w:rsidR="00F958F0" w:rsidRPr="001A6832" w:rsidRDefault="00F958F0" w:rsidP="00EC0B1C">
            <w:pPr>
              <w:jc w:val="center"/>
              <w:rPr>
                <w:b/>
                <w:bCs/>
                <w:color w:val="000000"/>
              </w:rPr>
            </w:pPr>
            <w:r w:rsidRPr="001A6832">
              <w:rPr>
                <w:b/>
                <w:bCs/>
                <w:color w:val="000000"/>
              </w:rPr>
              <w:t>Rates at</w:t>
            </w:r>
          </w:p>
        </w:tc>
        <w:tc>
          <w:tcPr>
            <w:tcW w:w="2070" w:type="dxa"/>
            <w:shd w:val="clear" w:color="000000" w:fill="auto"/>
            <w:noWrap/>
            <w:vAlign w:val="bottom"/>
          </w:tcPr>
          <w:p w:rsidR="00F958F0" w:rsidRPr="001A6832" w:rsidRDefault="00F958F0" w:rsidP="00EC0B1C">
            <w:pPr>
              <w:jc w:val="center"/>
              <w:rPr>
                <w:b/>
                <w:bCs/>
                <w:color w:val="000000"/>
              </w:rPr>
            </w:pPr>
            <w:r>
              <w:rPr>
                <w:b/>
                <w:bCs/>
                <w:color w:val="000000"/>
              </w:rPr>
              <w:t>Approved</w:t>
            </w:r>
          </w:p>
        </w:tc>
      </w:tr>
      <w:tr w:rsidR="00F958F0" w:rsidRPr="001A6832" w:rsidTr="00F958F0">
        <w:trPr>
          <w:trHeight w:val="262"/>
          <w:jc w:val="center"/>
        </w:trPr>
        <w:tc>
          <w:tcPr>
            <w:tcW w:w="4807" w:type="dxa"/>
            <w:tcBorders>
              <w:left w:val="single" w:sz="4" w:space="0" w:color="auto"/>
            </w:tcBorders>
            <w:shd w:val="clear" w:color="000000" w:fill="auto"/>
            <w:noWrap/>
            <w:vAlign w:val="bottom"/>
            <w:hideMark/>
          </w:tcPr>
          <w:p w:rsidR="00F958F0" w:rsidRPr="001A6832" w:rsidRDefault="00F958F0" w:rsidP="00EC0B1C">
            <w:pPr>
              <w:rPr>
                <w:b/>
                <w:bCs/>
                <w:sz w:val="20"/>
                <w:szCs w:val="20"/>
                <w:u w:val="single"/>
              </w:rPr>
            </w:pPr>
          </w:p>
        </w:tc>
        <w:tc>
          <w:tcPr>
            <w:tcW w:w="1440" w:type="dxa"/>
            <w:shd w:val="clear" w:color="000000" w:fill="auto"/>
            <w:noWrap/>
            <w:vAlign w:val="bottom"/>
          </w:tcPr>
          <w:p w:rsidR="00F958F0" w:rsidRPr="001A6832" w:rsidRDefault="00F958F0" w:rsidP="00EC0B1C">
            <w:pPr>
              <w:jc w:val="center"/>
              <w:rPr>
                <w:b/>
                <w:bCs/>
                <w:color w:val="000000"/>
              </w:rPr>
            </w:pPr>
            <w:r w:rsidRPr="001A6832">
              <w:rPr>
                <w:b/>
                <w:bCs/>
                <w:color w:val="000000"/>
              </w:rPr>
              <w:t>Time of</w:t>
            </w:r>
          </w:p>
        </w:tc>
        <w:tc>
          <w:tcPr>
            <w:tcW w:w="2070" w:type="dxa"/>
            <w:shd w:val="clear" w:color="000000" w:fill="auto"/>
            <w:noWrap/>
            <w:vAlign w:val="bottom"/>
          </w:tcPr>
          <w:p w:rsidR="00F958F0" w:rsidRPr="001A6832" w:rsidRDefault="00F958F0" w:rsidP="00EC0B1C">
            <w:pPr>
              <w:jc w:val="center"/>
              <w:rPr>
                <w:b/>
                <w:bCs/>
                <w:color w:val="000000"/>
              </w:rPr>
            </w:pPr>
            <w:r w:rsidRPr="001A6832">
              <w:rPr>
                <w:b/>
                <w:bCs/>
                <w:color w:val="000000"/>
              </w:rPr>
              <w:t>Rates</w:t>
            </w:r>
          </w:p>
        </w:tc>
      </w:tr>
      <w:tr w:rsidR="00F958F0" w:rsidRPr="001A6832" w:rsidTr="00F958F0">
        <w:trPr>
          <w:trHeight w:val="262"/>
          <w:jc w:val="center"/>
        </w:trPr>
        <w:tc>
          <w:tcPr>
            <w:tcW w:w="4807" w:type="dxa"/>
            <w:tcBorders>
              <w:left w:val="single" w:sz="4" w:space="0" w:color="auto"/>
            </w:tcBorders>
            <w:shd w:val="clear" w:color="000000" w:fill="auto"/>
            <w:noWrap/>
            <w:vAlign w:val="bottom"/>
            <w:hideMark/>
          </w:tcPr>
          <w:p w:rsidR="00F958F0" w:rsidRPr="001A6832" w:rsidRDefault="00F958F0" w:rsidP="00EC0B1C">
            <w:pPr>
              <w:rPr>
                <w:b/>
                <w:bCs/>
                <w:sz w:val="20"/>
                <w:szCs w:val="20"/>
                <w:u w:val="single"/>
              </w:rPr>
            </w:pPr>
          </w:p>
        </w:tc>
        <w:tc>
          <w:tcPr>
            <w:tcW w:w="1440" w:type="dxa"/>
            <w:shd w:val="clear" w:color="000000" w:fill="auto"/>
            <w:noWrap/>
            <w:vAlign w:val="bottom"/>
          </w:tcPr>
          <w:p w:rsidR="00F958F0" w:rsidRPr="001A6832" w:rsidRDefault="00F958F0" w:rsidP="00EC0B1C">
            <w:pPr>
              <w:jc w:val="center"/>
              <w:rPr>
                <w:b/>
                <w:bCs/>
                <w:color w:val="000000"/>
              </w:rPr>
            </w:pPr>
            <w:r w:rsidRPr="001A6832">
              <w:rPr>
                <w:b/>
                <w:bCs/>
                <w:color w:val="000000"/>
              </w:rPr>
              <w:t>Filing</w:t>
            </w:r>
          </w:p>
        </w:tc>
        <w:tc>
          <w:tcPr>
            <w:tcW w:w="2070" w:type="dxa"/>
            <w:shd w:val="clear" w:color="000000" w:fill="auto"/>
            <w:noWrap/>
            <w:vAlign w:val="bottom"/>
          </w:tcPr>
          <w:p w:rsidR="00F958F0" w:rsidRPr="001A6832" w:rsidRDefault="00F958F0" w:rsidP="00EC0B1C">
            <w:pPr>
              <w:jc w:val="center"/>
              <w:rPr>
                <w:b/>
                <w:bCs/>
                <w:color w:val="000000"/>
              </w:rPr>
            </w:pPr>
            <w:r w:rsidRPr="001A6832">
              <w:rPr>
                <w:b/>
                <w:bCs/>
                <w:color w:val="000000"/>
              </w:rPr>
              <w:t>(55% BFC)</w:t>
            </w:r>
          </w:p>
        </w:tc>
      </w:tr>
      <w:tr w:rsidR="00F958F0" w:rsidRPr="001A6832" w:rsidTr="00F958F0">
        <w:trPr>
          <w:trHeight w:val="262"/>
          <w:jc w:val="center"/>
        </w:trPr>
        <w:tc>
          <w:tcPr>
            <w:tcW w:w="4807" w:type="dxa"/>
            <w:tcBorders>
              <w:top w:val="single" w:sz="4" w:space="0" w:color="auto"/>
            </w:tcBorders>
            <w:shd w:val="clear" w:color="auto" w:fill="auto"/>
            <w:noWrap/>
            <w:vAlign w:val="bottom"/>
            <w:hideMark/>
          </w:tcPr>
          <w:p w:rsidR="00F958F0" w:rsidRPr="001A6832" w:rsidRDefault="00F958F0" w:rsidP="00EC0B1C">
            <w:pPr>
              <w:rPr>
                <w:b/>
                <w:bCs/>
                <w:color w:val="000000"/>
                <w:sz w:val="20"/>
                <w:szCs w:val="20"/>
                <w:u w:val="single"/>
              </w:rPr>
            </w:pPr>
            <w:r w:rsidRPr="001A6832">
              <w:rPr>
                <w:b/>
                <w:bCs/>
                <w:color w:val="000000"/>
                <w:sz w:val="20"/>
                <w:szCs w:val="20"/>
                <w:u w:val="single"/>
              </w:rPr>
              <w:t xml:space="preserve">Residential </w:t>
            </w:r>
          </w:p>
        </w:tc>
        <w:tc>
          <w:tcPr>
            <w:tcW w:w="1440" w:type="dxa"/>
            <w:tcBorders>
              <w:top w:val="single" w:sz="4" w:space="0" w:color="auto"/>
            </w:tcBorders>
            <w:shd w:val="clear" w:color="auto" w:fill="auto"/>
            <w:noWrap/>
            <w:vAlign w:val="bottom"/>
            <w:hideMark/>
          </w:tcPr>
          <w:p w:rsidR="00F958F0" w:rsidRPr="001A6832" w:rsidRDefault="00F958F0" w:rsidP="00EC0B1C">
            <w:pPr>
              <w:jc w:val="center"/>
              <w:rPr>
                <w:b/>
                <w:bCs/>
                <w:color w:val="000000"/>
                <w:sz w:val="20"/>
                <w:szCs w:val="20"/>
              </w:rPr>
            </w:pPr>
          </w:p>
        </w:tc>
        <w:tc>
          <w:tcPr>
            <w:tcW w:w="2070" w:type="dxa"/>
            <w:tcBorders>
              <w:top w:val="single" w:sz="4" w:space="0" w:color="auto"/>
            </w:tcBorders>
            <w:shd w:val="clear" w:color="auto" w:fill="auto"/>
            <w:noWrap/>
            <w:vAlign w:val="bottom"/>
            <w:hideMark/>
          </w:tcPr>
          <w:p w:rsidR="00F958F0" w:rsidRPr="001A6832" w:rsidRDefault="00F958F0" w:rsidP="00EC0B1C">
            <w:pPr>
              <w:jc w:val="center"/>
              <w:rPr>
                <w:b/>
                <w:bCs/>
                <w:color w:val="000000"/>
                <w:sz w:val="20"/>
                <w:szCs w:val="20"/>
              </w:rPr>
            </w:pPr>
            <w:r w:rsidRPr="001A6832">
              <w:rPr>
                <w:b/>
                <w:bCs/>
                <w:color w:val="000000"/>
                <w:sz w:val="20"/>
                <w:szCs w:val="20"/>
              </w:rPr>
              <w:t> </w:t>
            </w: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color w:val="000000"/>
                <w:sz w:val="20"/>
                <w:szCs w:val="20"/>
              </w:rPr>
            </w:pPr>
            <w:r w:rsidRPr="001A6832">
              <w:rPr>
                <w:color w:val="000000"/>
                <w:sz w:val="20"/>
                <w:szCs w:val="20"/>
              </w:rPr>
              <w:t>5/8” x 3/4”  Meter Size</w:t>
            </w:r>
          </w:p>
        </w:tc>
        <w:tc>
          <w:tcPr>
            <w:tcW w:w="1440" w:type="dxa"/>
            <w:shd w:val="clear" w:color="auto" w:fill="auto"/>
            <w:noWrap/>
            <w:vAlign w:val="bottom"/>
            <w:hideMark/>
          </w:tcPr>
          <w:p w:rsidR="00F958F0" w:rsidRPr="001A6832" w:rsidRDefault="00F958F0" w:rsidP="00EC0B1C">
            <w:pPr>
              <w:jc w:val="right"/>
              <w:rPr>
                <w:color w:val="000000"/>
                <w:sz w:val="20"/>
                <w:szCs w:val="20"/>
              </w:rPr>
            </w:pPr>
            <w:r w:rsidRPr="001A6832">
              <w:rPr>
                <w:color w:val="000000"/>
                <w:sz w:val="20"/>
                <w:szCs w:val="20"/>
              </w:rPr>
              <w:t>$12.64</w:t>
            </w:r>
          </w:p>
        </w:tc>
        <w:tc>
          <w:tcPr>
            <w:tcW w:w="2070" w:type="dxa"/>
            <w:shd w:val="clear" w:color="auto" w:fill="auto"/>
            <w:noWrap/>
            <w:vAlign w:val="bottom"/>
            <w:hideMark/>
          </w:tcPr>
          <w:p w:rsidR="00F958F0" w:rsidRPr="001A6832" w:rsidRDefault="005723E4" w:rsidP="00EC0B1C">
            <w:pPr>
              <w:jc w:val="right"/>
              <w:rPr>
                <w:color w:val="000000"/>
                <w:sz w:val="20"/>
                <w:szCs w:val="20"/>
              </w:rPr>
            </w:pPr>
            <w:r>
              <w:rPr>
                <w:color w:val="000000"/>
                <w:sz w:val="20"/>
                <w:szCs w:val="20"/>
              </w:rPr>
              <w:t>$</w:t>
            </w:r>
            <w:r w:rsidR="00D36E64">
              <w:rPr>
                <w:color w:val="000000"/>
                <w:sz w:val="20"/>
                <w:szCs w:val="20"/>
              </w:rPr>
              <w:t>14.89</w:t>
            </w: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color w:val="000000"/>
                <w:sz w:val="20"/>
                <w:szCs w:val="20"/>
              </w:rPr>
            </w:pPr>
            <w:r w:rsidRPr="001A6832">
              <w:rPr>
                <w:color w:val="000000"/>
                <w:sz w:val="20"/>
                <w:szCs w:val="20"/>
              </w:rPr>
              <w:t> </w:t>
            </w:r>
          </w:p>
        </w:tc>
        <w:tc>
          <w:tcPr>
            <w:tcW w:w="1440" w:type="dxa"/>
            <w:shd w:val="clear" w:color="auto" w:fill="auto"/>
            <w:noWrap/>
            <w:vAlign w:val="bottom"/>
            <w:hideMark/>
          </w:tcPr>
          <w:p w:rsidR="00F958F0" w:rsidRPr="001A6832" w:rsidRDefault="00F958F0" w:rsidP="00EC0B1C">
            <w:pPr>
              <w:jc w:val="right"/>
              <w:rPr>
                <w:color w:val="000000"/>
                <w:sz w:val="20"/>
                <w:szCs w:val="20"/>
              </w:rPr>
            </w:pPr>
          </w:p>
        </w:tc>
        <w:tc>
          <w:tcPr>
            <w:tcW w:w="2070" w:type="dxa"/>
            <w:shd w:val="clear" w:color="auto" w:fill="auto"/>
            <w:noWrap/>
            <w:vAlign w:val="bottom"/>
            <w:hideMark/>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sz w:val="20"/>
                <w:szCs w:val="20"/>
              </w:rPr>
            </w:pPr>
            <w:r w:rsidRPr="001A6832">
              <w:rPr>
                <w:sz w:val="20"/>
                <w:szCs w:val="20"/>
              </w:rPr>
              <w:t xml:space="preserve">Charge per 1,000 gallons – Residential  </w:t>
            </w:r>
          </w:p>
        </w:tc>
        <w:tc>
          <w:tcPr>
            <w:tcW w:w="1440" w:type="dxa"/>
            <w:shd w:val="clear" w:color="auto" w:fill="auto"/>
            <w:noWrap/>
            <w:vAlign w:val="bottom"/>
            <w:hideMark/>
          </w:tcPr>
          <w:p w:rsidR="00F958F0" w:rsidRPr="001A6832" w:rsidRDefault="00F958F0" w:rsidP="00EC0B1C">
            <w:pPr>
              <w:jc w:val="right"/>
              <w:rPr>
                <w:color w:val="000000"/>
                <w:sz w:val="20"/>
                <w:szCs w:val="20"/>
              </w:rPr>
            </w:pPr>
          </w:p>
        </w:tc>
        <w:tc>
          <w:tcPr>
            <w:tcW w:w="2070" w:type="dxa"/>
            <w:shd w:val="clear" w:color="auto" w:fill="auto"/>
            <w:noWrap/>
            <w:vAlign w:val="bottom"/>
            <w:hideMark/>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p>
        </w:tc>
        <w:tc>
          <w:tcPr>
            <w:tcW w:w="1440" w:type="dxa"/>
            <w:shd w:val="clear" w:color="auto" w:fill="auto"/>
            <w:noWrap/>
            <w:vAlign w:val="bottom"/>
          </w:tcPr>
          <w:p w:rsidR="00F958F0" w:rsidRPr="001A6832" w:rsidRDefault="00F958F0" w:rsidP="00EC0B1C">
            <w:pPr>
              <w:jc w:val="right"/>
              <w:rPr>
                <w:color w:val="000000"/>
                <w:sz w:val="20"/>
                <w:szCs w:val="20"/>
              </w:rPr>
            </w:pP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0-3,000 gallons</w:t>
            </w:r>
          </w:p>
        </w:tc>
        <w:tc>
          <w:tcPr>
            <w:tcW w:w="1440" w:type="dxa"/>
            <w:shd w:val="clear" w:color="auto" w:fill="auto"/>
            <w:noWrap/>
            <w:vAlign w:val="bottom"/>
          </w:tcPr>
          <w:p w:rsidR="00F958F0" w:rsidRPr="001A6832" w:rsidRDefault="00F958F0" w:rsidP="00EC0B1C">
            <w:pPr>
              <w:jc w:val="right"/>
              <w:rPr>
                <w:sz w:val="20"/>
                <w:szCs w:val="20"/>
              </w:rPr>
            </w:pPr>
            <w:r w:rsidRPr="001A6832">
              <w:rPr>
                <w:sz w:val="20"/>
                <w:szCs w:val="20"/>
              </w:rPr>
              <w:t>$4.47</w:t>
            </w: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3,001-6,000 gallons</w:t>
            </w:r>
          </w:p>
        </w:tc>
        <w:tc>
          <w:tcPr>
            <w:tcW w:w="1440" w:type="dxa"/>
            <w:shd w:val="clear" w:color="auto" w:fill="auto"/>
            <w:noWrap/>
            <w:vAlign w:val="bottom"/>
          </w:tcPr>
          <w:p w:rsidR="00F958F0" w:rsidRPr="001A6832" w:rsidRDefault="00F958F0" w:rsidP="00EC0B1C">
            <w:pPr>
              <w:jc w:val="right"/>
              <w:rPr>
                <w:sz w:val="20"/>
                <w:szCs w:val="20"/>
              </w:rPr>
            </w:pPr>
            <w:r w:rsidRPr="001A6832">
              <w:rPr>
                <w:sz w:val="20"/>
                <w:szCs w:val="20"/>
              </w:rPr>
              <w:t>$5.66</w:t>
            </w: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Over 6,000 gallons</w:t>
            </w:r>
          </w:p>
        </w:tc>
        <w:tc>
          <w:tcPr>
            <w:tcW w:w="1440" w:type="dxa"/>
            <w:shd w:val="clear" w:color="auto" w:fill="auto"/>
            <w:noWrap/>
            <w:vAlign w:val="bottom"/>
          </w:tcPr>
          <w:p w:rsidR="00F958F0" w:rsidRPr="001A6832" w:rsidRDefault="00F958F0" w:rsidP="00EC0B1C">
            <w:pPr>
              <w:jc w:val="right"/>
              <w:rPr>
                <w:sz w:val="20"/>
                <w:szCs w:val="20"/>
              </w:rPr>
            </w:pPr>
            <w:r w:rsidRPr="001A6832">
              <w:rPr>
                <w:sz w:val="20"/>
                <w:szCs w:val="20"/>
              </w:rPr>
              <w:t>$7.88</w:t>
            </w: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p>
        </w:tc>
        <w:tc>
          <w:tcPr>
            <w:tcW w:w="1440" w:type="dxa"/>
            <w:shd w:val="clear" w:color="auto" w:fill="auto"/>
            <w:noWrap/>
            <w:vAlign w:val="bottom"/>
          </w:tcPr>
          <w:p w:rsidR="00F958F0" w:rsidRPr="001A6832" w:rsidRDefault="00F958F0" w:rsidP="00EC0B1C">
            <w:pPr>
              <w:jc w:val="right"/>
              <w:rPr>
                <w:sz w:val="20"/>
                <w:szCs w:val="20"/>
              </w:rPr>
            </w:pP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0-3,000 gallons</w:t>
            </w:r>
          </w:p>
        </w:tc>
        <w:tc>
          <w:tcPr>
            <w:tcW w:w="1440" w:type="dxa"/>
            <w:shd w:val="clear" w:color="auto" w:fill="auto"/>
            <w:noWrap/>
            <w:vAlign w:val="bottom"/>
          </w:tcPr>
          <w:p w:rsidR="00F958F0" w:rsidRPr="001A6832" w:rsidRDefault="00F958F0" w:rsidP="00EC0B1C">
            <w:pPr>
              <w:jc w:val="right"/>
              <w:rPr>
                <w:sz w:val="20"/>
                <w:szCs w:val="20"/>
              </w:rPr>
            </w:pPr>
          </w:p>
        </w:tc>
        <w:tc>
          <w:tcPr>
            <w:tcW w:w="2070" w:type="dxa"/>
            <w:shd w:val="clear" w:color="auto" w:fill="auto"/>
            <w:noWrap/>
            <w:vAlign w:val="bottom"/>
          </w:tcPr>
          <w:p w:rsidR="00F958F0" w:rsidRPr="001A6832" w:rsidRDefault="005723E4" w:rsidP="00EC0B1C">
            <w:pPr>
              <w:jc w:val="right"/>
              <w:rPr>
                <w:color w:val="000000"/>
                <w:sz w:val="20"/>
                <w:szCs w:val="20"/>
              </w:rPr>
            </w:pPr>
            <w:r>
              <w:rPr>
                <w:color w:val="000000"/>
                <w:sz w:val="20"/>
                <w:szCs w:val="20"/>
              </w:rPr>
              <w:t>$</w:t>
            </w:r>
            <w:r w:rsidR="00D36E64">
              <w:rPr>
                <w:color w:val="000000"/>
                <w:sz w:val="20"/>
                <w:szCs w:val="20"/>
              </w:rPr>
              <w:t>6.95</w:t>
            </w: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Over 3,000 gallons</w:t>
            </w:r>
          </w:p>
        </w:tc>
        <w:tc>
          <w:tcPr>
            <w:tcW w:w="1440" w:type="dxa"/>
            <w:shd w:val="clear" w:color="auto" w:fill="auto"/>
            <w:noWrap/>
            <w:vAlign w:val="bottom"/>
          </w:tcPr>
          <w:p w:rsidR="00F958F0" w:rsidRPr="001A6832" w:rsidRDefault="00F958F0" w:rsidP="00EC0B1C">
            <w:pPr>
              <w:jc w:val="right"/>
              <w:rPr>
                <w:sz w:val="20"/>
                <w:szCs w:val="20"/>
              </w:rPr>
            </w:pPr>
          </w:p>
        </w:tc>
        <w:tc>
          <w:tcPr>
            <w:tcW w:w="2070" w:type="dxa"/>
            <w:shd w:val="clear" w:color="auto" w:fill="auto"/>
            <w:noWrap/>
            <w:vAlign w:val="bottom"/>
          </w:tcPr>
          <w:p w:rsidR="00F958F0" w:rsidRPr="001A6832" w:rsidRDefault="005723E4" w:rsidP="00EC0B1C">
            <w:pPr>
              <w:jc w:val="right"/>
              <w:rPr>
                <w:color w:val="000000"/>
                <w:sz w:val="20"/>
                <w:szCs w:val="20"/>
              </w:rPr>
            </w:pPr>
            <w:r>
              <w:rPr>
                <w:color w:val="000000"/>
                <w:sz w:val="20"/>
                <w:szCs w:val="20"/>
              </w:rPr>
              <w:t>$</w:t>
            </w:r>
            <w:r w:rsidR="00D36E64">
              <w:rPr>
                <w:color w:val="000000"/>
                <w:sz w:val="20"/>
                <w:szCs w:val="20"/>
              </w:rPr>
              <w:t>7.72</w:t>
            </w: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p>
        </w:tc>
        <w:tc>
          <w:tcPr>
            <w:tcW w:w="1440" w:type="dxa"/>
            <w:shd w:val="clear" w:color="auto" w:fill="auto"/>
            <w:noWrap/>
            <w:vAlign w:val="bottom"/>
          </w:tcPr>
          <w:p w:rsidR="00F958F0" w:rsidRPr="001A6832" w:rsidRDefault="00F958F0" w:rsidP="00EC0B1C">
            <w:pPr>
              <w:jc w:val="right"/>
              <w:rPr>
                <w:sz w:val="20"/>
                <w:szCs w:val="20"/>
              </w:rPr>
            </w:pP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314"/>
          <w:jc w:val="center"/>
        </w:trPr>
        <w:tc>
          <w:tcPr>
            <w:tcW w:w="4807" w:type="dxa"/>
            <w:shd w:val="clear" w:color="auto" w:fill="auto"/>
            <w:noWrap/>
            <w:vAlign w:val="bottom"/>
          </w:tcPr>
          <w:p w:rsidR="00F958F0" w:rsidRPr="001A6832" w:rsidRDefault="00F958F0" w:rsidP="00EC0B1C">
            <w:pPr>
              <w:rPr>
                <w:sz w:val="20"/>
                <w:szCs w:val="20"/>
              </w:rPr>
            </w:pPr>
            <w:r w:rsidRPr="001A6832">
              <w:rPr>
                <w:sz w:val="20"/>
                <w:szCs w:val="20"/>
              </w:rPr>
              <w:t>Charge Per 1,000 gallons- General Service</w:t>
            </w:r>
          </w:p>
        </w:tc>
        <w:tc>
          <w:tcPr>
            <w:tcW w:w="1440" w:type="dxa"/>
            <w:shd w:val="clear" w:color="auto" w:fill="auto"/>
            <w:noWrap/>
            <w:vAlign w:val="bottom"/>
          </w:tcPr>
          <w:p w:rsidR="00F958F0" w:rsidRPr="001A6832" w:rsidRDefault="00F958F0" w:rsidP="00EC0B1C">
            <w:pPr>
              <w:jc w:val="right"/>
              <w:rPr>
                <w:sz w:val="20"/>
                <w:szCs w:val="20"/>
              </w:rPr>
            </w:pPr>
            <w:r w:rsidRPr="001A6832">
              <w:rPr>
                <w:sz w:val="20"/>
                <w:szCs w:val="20"/>
              </w:rPr>
              <w:t>$4.81</w:t>
            </w:r>
          </w:p>
        </w:tc>
        <w:tc>
          <w:tcPr>
            <w:tcW w:w="2070" w:type="dxa"/>
            <w:shd w:val="clear" w:color="auto" w:fill="auto"/>
            <w:noWrap/>
            <w:vAlign w:val="bottom"/>
          </w:tcPr>
          <w:p w:rsidR="00F958F0" w:rsidRPr="001A6832" w:rsidRDefault="005723E4" w:rsidP="00EC0B1C">
            <w:pPr>
              <w:jc w:val="right"/>
              <w:rPr>
                <w:color w:val="000000"/>
                <w:sz w:val="20"/>
                <w:szCs w:val="20"/>
              </w:rPr>
            </w:pPr>
            <w:r>
              <w:rPr>
                <w:color w:val="000000"/>
                <w:sz w:val="20"/>
                <w:szCs w:val="20"/>
              </w:rPr>
              <w:t>$7.</w:t>
            </w:r>
            <w:r w:rsidR="00D36E64">
              <w:rPr>
                <w:color w:val="000000"/>
                <w:sz w:val="20"/>
                <w:szCs w:val="20"/>
              </w:rPr>
              <w:t>04</w:t>
            </w:r>
          </w:p>
        </w:tc>
      </w:tr>
      <w:tr w:rsidR="00F958F0" w:rsidRPr="001A6832" w:rsidTr="00F958F0">
        <w:trPr>
          <w:trHeight w:val="262"/>
          <w:jc w:val="center"/>
        </w:trPr>
        <w:tc>
          <w:tcPr>
            <w:tcW w:w="4807" w:type="dxa"/>
            <w:shd w:val="clear" w:color="auto" w:fill="auto"/>
            <w:noWrap/>
            <w:vAlign w:val="bottom"/>
          </w:tcPr>
          <w:p w:rsidR="00F958F0" w:rsidRPr="001A6832" w:rsidRDefault="00F958F0" w:rsidP="00EC0B1C">
            <w:pPr>
              <w:rPr>
                <w:sz w:val="20"/>
                <w:szCs w:val="20"/>
              </w:rPr>
            </w:pPr>
          </w:p>
        </w:tc>
        <w:tc>
          <w:tcPr>
            <w:tcW w:w="1440" w:type="dxa"/>
            <w:shd w:val="clear" w:color="auto" w:fill="auto"/>
            <w:noWrap/>
            <w:vAlign w:val="bottom"/>
          </w:tcPr>
          <w:p w:rsidR="00F958F0" w:rsidRPr="001A6832" w:rsidRDefault="00F958F0" w:rsidP="00EC0B1C">
            <w:pPr>
              <w:jc w:val="right"/>
              <w:rPr>
                <w:sz w:val="20"/>
                <w:szCs w:val="20"/>
              </w:rPr>
            </w:pPr>
          </w:p>
        </w:tc>
        <w:tc>
          <w:tcPr>
            <w:tcW w:w="2070" w:type="dxa"/>
            <w:shd w:val="clear" w:color="auto" w:fill="auto"/>
            <w:noWrap/>
            <w:vAlign w:val="bottom"/>
          </w:tcPr>
          <w:p w:rsidR="00F958F0" w:rsidRPr="001A6832" w:rsidRDefault="00F958F0" w:rsidP="00EC0B1C">
            <w:pPr>
              <w:jc w:val="right"/>
              <w:rPr>
                <w:color w:val="000000"/>
                <w:sz w:val="20"/>
                <w:szCs w:val="20"/>
              </w:rPr>
            </w:pPr>
          </w:p>
        </w:tc>
      </w:tr>
      <w:tr w:rsidR="00F958F0" w:rsidRPr="001A6832" w:rsidTr="00F958F0">
        <w:trPr>
          <w:trHeight w:val="262"/>
          <w:jc w:val="center"/>
        </w:trPr>
        <w:tc>
          <w:tcPr>
            <w:tcW w:w="8317" w:type="dxa"/>
            <w:gridSpan w:val="3"/>
            <w:shd w:val="clear" w:color="auto" w:fill="auto"/>
            <w:noWrap/>
            <w:vAlign w:val="bottom"/>
            <w:hideMark/>
          </w:tcPr>
          <w:p w:rsidR="00F958F0" w:rsidRPr="001A6832" w:rsidRDefault="00F958F0" w:rsidP="00EC0B1C">
            <w:pPr>
              <w:rPr>
                <w:color w:val="000000"/>
                <w:sz w:val="20"/>
                <w:szCs w:val="20"/>
              </w:rPr>
            </w:pPr>
            <w:r w:rsidRPr="001A6832">
              <w:rPr>
                <w:b/>
                <w:bCs/>
                <w:color w:val="000000"/>
                <w:sz w:val="20"/>
                <w:szCs w:val="20"/>
                <w:u w:val="single"/>
              </w:rPr>
              <w:t>Typical Residential 5/8" x 3/4" Meter Bill Comparison</w:t>
            </w: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color w:val="000000"/>
                <w:sz w:val="20"/>
                <w:szCs w:val="20"/>
              </w:rPr>
            </w:pPr>
            <w:r w:rsidRPr="001A6832">
              <w:rPr>
                <w:color w:val="000000"/>
                <w:sz w:val="20"/>
                <w:szCs w:val="20"/>
              </w:rPr>
              <w:t>2,000 Gallons</w:t>
            </w:r>
          </w:p>
        </w:tc>
        <w:tc>
          <w:tcPr>
            <w:tcW w:w="1440" w:type="dxa"/>
            <w:shd w:val="clear" w:color="auto" w:fill="auto"/>
            <w:noWrap/>
            <w:vAlign w:val="bottom"/>
            <w:hideMark/>
          </w:tcPr>
          <w:p w:rsidR="00F958F0" w:rsidRPr="001A6832" w:rsidRDefault="00F958F0" w:rsidP="00EC0B1C">
            <w:pPr>
              <w:jc w:val="right"/>
              <w:rPr>
                <w:color w:val="000000"/>
                <w:sz w:val="20"/>
                <w:szCs w:val="20"/>
              </w:rPr>
            </w:pPr>
            <w:r w:rsidRPr="001A6832">
              <w:rPr>
                <w:color w:val="000000"/>
                <w:sz w:val="20"/>
                <w:szCs w:val="20"/>
              </w:rPr>
              <w:t xml:space="preserve">$21.58 </w:t>
            </w:r>
          </w:p>
        </w:tc>
        <w:tc>
          <w:tcPr>
            <w:tcW w:w="2070" w:type="dxa"/>
            <w:shd w:val="clear" w:color="auto" w:fill="auto"/>
            <w:noWrap/>
            <w:vAlign w:val="bottom"/>
            <w:hideMark/>
          </w:tcPr>
          <w:p w:rsidR="00F958F0" w:rsidRPr="001A6832" w:rsidRDefault="005723E4" w:rsidP="00EC0B1C">
            <w:pPr>
              <w:jc w:val="right"/>
              <w:rPr>
                <w:color w:val="000000"/>
                <w:sz w:val="20"/>
                <w:szCs w:val="20"/>
              </w:rPr>
            </w:pPr>
            <w:r>
              <w:rPr>
                <w:color w:val="000000"/>
                <w:sz w:val="20"/>
                <w:szCs w:val="20"/>
              </w:rPr>
              <w:t>$2</w:t>
            </w:r>
            <w:r w:rsidR="00D36E64">
              <w:rPr>
                <w:color w:val="000000"/>
                <w:sz w:val="20"/>
                <w:szCs w:val="20"/>
              </w:rPr>
              <w:t>8.79</w:t>
            </w: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color w:val="000000"/>
                <w:sz w:val="20"/>
                <w:szCs w:val="20"/>
              </w:rPr>
            </w:pPr>
            <w:r w:rsidRPr="001A6832">
              <w:rPr>
                <w:color w:val="000000"/>
                <w:sz w:val="20"/>
                <w:szCs w:val="20"/>
              </w:rPr>
              <w:t>6,000 Gallons</w:t>
            </w:r>
          </w:p>
        </w:tc>
        <w:tc>
          <w:tcPr>
            <w:tcW w:w="1440" w:type="dxa"/>
            <w:shd w:val="clear" w:color="auto" w:fill="auto"/>
            <w:noWrap/>
            <w:vAlign w:val="bottom"/>
            <w:hideMark/>
          </w:tcPr>
          <w:p w:rsidR="00F958F0" w:rsidRPr="001A6832" w:rsidRDefault="00F958F0" w:rsidP="00EC0B1C">
            <w:pPr>
              <w:jc w:val="right"/>
              <w:rPr>
                <w:color w:val="000000"/>
                <w:sz w:val="20"/>
                <w:szCs w:val="20"/>
              </w:rPr>
            </w:pPr>
            <w:r w:rsidRPr="001A6832">
              <w:rPr>
                <w:color w:val="000000"/>
                <w:sz w:val="20"/>
                <w:szCs w:val="20"/>
              </w:rPr>
              <w:t xml:space="preserve">$43.03 </w:t>
            </w:r>
          </w:p>
        </w:tc>
        <w:tc>
          <w:tcPr>
            <w:tcW w:w="2070" w:type="dxa"/>
            <w:shd w:val="clear" w:color="auto" w:fill="auto"/>
            <w:noWrap/>
            <w:vAlign w:val="bottom"/>
            <w:hideMark/>
          </w:tcPr>
          <w:p w:rsidR="00F958F0" w:rsidRPr="001A6832" w:rsidRDefault="005723E4" w:rsidP="00EC0B1C">
            <w:pPr>
              <w:jc w:val="right"/>
              <w:rPr>
                <w:color w:val="000000"/>
                <w:sz w:val="20"/>
                <w:szCs w:val="20"/>
              </w:rPr>
            </w:pPr>
            <w:r>
              <w:rPr>
                <w:color w:val="000000"/>
                <w:sz w:val="20"/>
                <w:szCs w:val="20"/>
              </w:rPr>
              <w:t>$</w:t>
            </w:r>
            <w:r w:rsidR="00D36E64">
              <w:rPr>
                <w:color w:val="000000"/>
                <w:sz w:val="20"/>
                <w:szCs w:val="20"/>
              </w:rPr>
              <w:t>58.90</w:t>
            </w:r>
          </w:p>
        </w:tc>
      </w:tr>
      <w:tr w:rsidR="00F958F0" w:rsidRPr="001A6832" w:rsidTr="00F958F0">
        <w:trPr>
          <w:trHeight w:val="262"/>
          <w:jc w:val="center"/>
        </w:trPr>
        <w:tc>
          <w:tcPr>
            <w:tcW w:w="4807" w:type="dxa"/>
            <w:shd w:val="clear" w:color="auto" w:fill="auto"/>
            <w:noWrap/>
            <w:vAlign w:val="bottom"/>
            <w:hideMark/>
          </w:tcPr>
          <w:p w:rsidR="00F958F0" w:rsidRPr="001A6832" w:rsidRDefault="00F958F0" w:rsidP="00EC0B1C">
            <w:pPr>
              <w:rPr>
                <w:color w:val="000000"/>
                <w:sz w:val="20"/>
                <w:szCs w:val="20"/>
              </w:rPr>
            </w:pPr>
            <w:r w:rsidRPr="001A6832">
              <w:rPr>
                <w:color w:val="000000"/>
                <w:sz w:val="20"/>
                <w:szCs w:val="20"/>
              </w:rPr>
              <w:t>8,000 Gallons</w:t>
            </w:r>
          </w:p>
        </w:tc>
        <w:tc>
          <w:tcPr>
            <w:tcW w:w="1440" w:type="dxa"/>
            <w:shd w:val="clear" w:color="auto" w:fill="auto"/>
            <w:noWrap/>
            <w:vAlign w:val="bottom"/>
            <w:hideMark/>
          </w:tcPr>
          <w:p w:rsidR="00F958F0" w:rsidRPr="001A6832" w:rsidRDefault="00F958F0" w:rsidP="00EC0B1C">
            <w:pPr>
              <w:jc w:val="right"/>
              <w:rPr>
                <w:color w:val="000000"/>
                <w:sz w:val="20"/>
                <w:szCs w:val="20"/>
              </w:rPr>
            </w:pPr>
            <w:r w:rsidRPr="001A6832">
              <w:rPr>
                <w:color w:val="000000"/>
                <w:sz w:val="20"/>
                <w:szCs w:val="20"/>
              </w:rPr>
              <w:t xml:space="preserve">$58.79 </w:t>
            </w:r>
          </w:p>
        </w:tc>
        <w:tc>
          <w:tcPr>
            <w:tcW w:w="2070" w:type="dxa"/>
            <w:shd w:val="clear" w:color="auto" w:fill="auto"/>
            <w:noWrap/>
            <w:vAlign w:val="bottom"/>
            <w:hideMark/>
          </w:tcPr>
          <w:p w:rsidR="00F958F0" w:rsidRPr="001A6832" w:rsidRDefault="00D36E64" w:rsidP="00EC0B1C">
            <w:pPr>
              <w:jc w:val="right"/>
              <w:rPr>
                <w:color w:val="000000"/>
                <w:sz w:val="20"/>
                <w:szCs w:val="20"/>
              </w:rPr>
            </w:pPr>
            <w:r>
              <w:rPr>
                <w:color w:val="000000"/>
                <w:sz w:val="20"/>
                <w:szCs w:val="20"/>
              </w:rPr>
              <w:t>$74.34</w:t>
            </w:r>
            <w:r w:rsidR="00F958F0" w:rsidRPr="001A6832">
              <w:rPr>
                <w:color w:val="000000"/>
                <w:sz w:val="20"/>
                <w:szCs w:val="20"/>
              </w:rPr>
              <w:t xml:space="preserve"> </w:t>
            </w:r>
          </w:p>
        </w:tc>
      </w:tr>
    </w:tbl>
    <w:p w:rsidR="001A6832" w:rsidRPr="001A6832" w:rsidRDefault="001A6832" w:rsidP="00927CE3">
      <w:pPr>
        <w:ind w:firstLine="720"/>
        <w:jc w:val="both"/>
      </w:pPr>
      <w:r w:rsidRPr="001A6832">
        <w:t xml:space="preserve">Source: Current tariff and </w:t>
      </w:r>
      <w:r w:rsidR="00F958F0">
        <w:t>Commission</w:t>
      </w:r>
      <w:r w:rsidRPr="001A6832">
        <w:t xml:space="preserve"> calculations</w:t>
      </w:r>
    </w:p>
    <w:p w:rsidR="00F958F0" w:rsidRDefault="00F958F0" w:rsidP="00EC0B1C">
      <w:pPr>
        <w:jc w:val="both"/>
        <w:rPr>
          <w:rFonts w:ascii="Arial" w:hAnsi="Arial" w:cs="Arial"/>
          <w:b/>
        </w:rPr>
      </w:pPr>
    </w:p>
    <w:p w:rsidR="001A6832" w:rsidRPr="00F958F0" w:rsidRDefault="001A6832" w:rsidP="00EC0B1C">
      <w:pPr>
        <w:jc w:val="both"/>
        <w:rPr>
          <w:u w:val="single"/>
        </w:rPr>
      </w:pPr>
      <w:r w:rsidRPr="00F958F0">
        <w:rPr>
          <w:u w:val="single"/>
        </w:rPr>
        <w:t>Wastewater Rates</w:t>
      </w:r>
    </w:p>
    <w:p w:rsidR="00F958F0" w:rsidRDefault="00F958F0" w:rsidP="00EC0B1C">
      <w:pPr>
        <w:autoSpaceDE w:val="0"/>
        <w:autoSpaceDN w:val="0"/>
        <w:adjustRightInd w:val="0"/>
        <w:jc w:val="both"/>
      </w:pPr>
    </w:p>
    <w:p w:rsidR="001A6832" w:rsidRPr="001A6832" w:rsidRDefault="001A6832" w:rsidP="00F958F0">
      <w:pPr>
        <w:autoSpaceDE w:val="0"/>
        <w:autoSpaceDN w:val="0"/>
        <w:adjustRightInd w:val="0"/>
        <w:ind w:firstLine="720"/>
        <w:jc w:val="both"/>
      </w:pPr>
      <w:r w:rsidRPr="001A6832">
        <w:t xml:space="preserve">Ni Florida’s wastewater system is located in Pasco County. The </w:t>
      </w:r>
      <w:r w:rsidR="003D4918">
        <w:t>Utility</w:t>
      </w:r>
      <w:r w:rsidRPr="001A6832">
        <w:t xml:space="preserve"> purchases bulk wastewater treatment from Pasco County. Ni Florida provides service to residential and general service customers. The general service customers include a mobile home park classified as a bulk customer, which is provided service via a four-inch meter. Approximately 27 percent of the residential customers’ bills during the test year had zero gallons, which indicates a seasonal customer base. The average water demand for wastewater customers was 2,812 gallons per </w:t>
      </w:r>
      <w:r w:rsidRPr="001A6832">
        <w:lastRenderedPageBreak/>
        <w:t xml:space="preserve">month. The average wastewater demand excluding zero gallon bills is 3,841 per month. The </w:t>
      </w:r>
      <w:r w:rsidR="003D4918">
        <w:t>Utility</w:t>
      </w:r>
      <w:r w:rsidRPr="001A6832">
        <w:t xml:space="preserve">’s wastewater system rate structure consists of a uniform BFC for all meter sizes and a gallonage charge with a 8,000 gallon cap for residential customers. General </w:t>
      </w:r>
      <w:r w:rsidR="0097603B" w:rsidRPr="001A6832">
        <w:t>Service</w:t>
      </w:r>
      <w:r w:rsidRPr="001A6832">
        <w:t xml:space="preserve"> customers are billed a BFC by meter size and a gallonage charge that is 1.2 times higher than the residential gallonage charge. </w:t>
      </w:r>
    </w:p>
    <w:p w:rsidR="001A6832" w:rsidRPr="001A6832" w:rsidRDefault="001A6832" w:rsidP="00EC0B1C">
      <w:pPr>
        <w:autoSpaceDE w:val="0"/>
        <w:autoSpaceDN w:val="0"/>
        <w:adjustRightInd w:val="0"/>
        <w:jc w:val="both"/>
      </w:pPr>
    </w:p>
    <w:p w:rsidR="001A6832" w:rsidRPr="001A6832" w:rsidRDefault="00555F9B" w:rsidP="00555F9B">
      <w:pPr>
        <w:ind w:firstLine="720"/>
        <w:jc w:val="both"/>
      </w:pPr>
      <w:r>
        <w:t>We</w:t>
      </w:r>
      <w:r w:rsidR="001A6832" w:rsidRPr="001A6832">
        <w:t xml:space="preserve"> performed an analysis of the </w:t>
      </w:r>
      <w:r w:rsidR="003D4918">
        <w:t>Utility</w:t>
      </w:r>
      <w:r w:rsidR="001A6832" w:rsidRPr="001A6832">
        <w:t xml:space="preserve">’s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w:t>
      </w:r>
      <w:r w:rsidR="003D4918">
        <w:t>Utility</w:t>
      </w:r>
      <w:r w:rsidR="001A6832" w:rsidRPr="001A6832">
        <w:t>’s customers; and (3) implement a gallonage cap that considers approximately the amount of water that may return to the wastewater system.</w:t>
      </w:r>
    </w:p>
    <w:p w:rsidR="001A6832" w:rsidRPr="001A6832" w:rsidRDefault="001A6832" w:rsidP="00EC0B1C">
      <w:pPr>
        <w:autoSpaceDE w:val="0"/>
        <w:autoSpaceDN w:val="0"/>
        <w:adjustRightInd w:val="0"/>
        <w:jc w:val="both"/>
      </w:pPr>
    </w:p>
    <w:p w:rsidR="001A6832" w:rsidRPr="001A6832" w:rsidRDefault="001A6832" w:rsidP="00555F9B">
      <w:pPr>
        <w:ind w:firstLine="720"/>
        <w:jc w:val="both"/>
      </w:pPr>
      <w:r w:rsidRPr="001A6832">
        <w:t xml:space="preserve">The </w:t>
      </w:r>
      <w:r w:rsidR="003D4918">
        <w:t>Utility</w:t>
      </w:r>
      <w:r w:rsidRPr="001A6832">
        <w:t xml:space="preserve">’s proposed BFC allocation </w:t>
      </w:r>
      <w:r w:rsidR="00555F9B">
        <w:t>is 39.81 percent. Typically, this</w:t>
      </w:r>
      <w:r w:rsidRPr="001A6832">
        <w:t xml:space="preserve"> Commission’s practice is to set the BFC allocation to at least 50 percent due to the capital intensive nature of wastewater plants. As mentioned earlier, the customer base is seasonal; therefore, 50 percent of the wastewater revenue </w:t>
      </w:r>
      <w:r w:rsidR="00555F9B" w:rsidRPr="00555F9B">
        <w:t xml:space="preserve">shall </w:t>
      </w:r>
      <w:r w:rsidRPr="001A6832">
        <w:t xml:space="preserve">be allocated to the BFC. Based on </w:t>
      </w:r>
      <w:r w:rsidR="00555F9B">
        <w:t>our</w:t>
      </w:r>
      <w:r w:rsidRPr="001A6832">
        <w:t xml:space="preserve"> review of the billing analysis, 84 percent of the residential gallons are captured at the 6,000 gallon consumption level. Approximately 95 percent of the residential water gallons are included at the 8,000 gallons consumption level. The wastewater gallonage cap recognizes that not all water used by the residential customers is returned to the wastewater system It is </w:t>
      </w:r>
      <w:r w:rsidR="00555F9B">
        <w:t xml:space="preserve">this </w:t>
      </w:r>
      <w:r w:rsidRPr="001A6832">
        <w:t>Commission</w:t>
      </w:r>
      <w:r w:rsidR="00555F9B">
        <w:t>’s</w:t>
      </w:r>
      <w:r w:rsidRPr="001A6832">
        <w:t xml:space="preserve"> practice to set the wastewater cap at approximately 80 percent of residential water sold. Therefore, </w:t>
      </w:r>
      <w:r w:rsidR="00555F9B">
        <w:t xml:space="preserve">we hereby approve </w:t>
      </w:r>
      <w:r w:rsidRPr="001A6832">
        <w:t>a residential gallonage cap of 6,000 gallons per month.</w:t>
      </w:r>
    </w:p>
    <w:p w:rsidR="001A6832" w:rsidRPr="001A6832" w:rsidRDefault="001A6832" w:rsidP="00EC0B1C">
      <w:pPr>
        <w:jc w:val="both"/>
      </w:pPr>
    </w:p>
    <w:p w:rsidR="001A6832" w:rsidRPr="001A6832" w:rsidRDefault="001A6832" w:rsidP="00E1634E">
      <w:pPr>
        <w:ind w:firstLine="720"/>
        <w:jc w:val="both"/>
      </w:pPr>
      <w:r w:rsidRPr="001A6832">
        <w:t xml:space="preserve">Furthermore, </w:t>
      </w:r>
      <w:r w:rsidR="00E1634E">
        <w:t>we</w:t>
      </w:r>
      <w:r w:rsidRPr="001A6832">
        <w:t xml:space="preserve"> evaluated whether a BFC for the mobile home park should be based on a four-inch meter (25 ERCs). The mobile home park consists of 475 manufactured homes, a clubhouse, and a pool. During the test year, the water demand for the mobile home park was 37,605,000. The average water demand for the bulk customer is 6,597 gallons. Compared with the average residential water demand of 2,812 gallons per month, the mobile home park demand represents approximately 1,114 ERCs (37,605,000/2,812/12). However, the average water demand also includes the clubhouse, pool and irrigation of common areas. </w:t>
      </w:r>
      <w:r w:rsidR="00E1634E">
        <w:t>We recognize</w:t>
      </w:r>
      <w:r w:rsidRPr="001A6832">
        <w:t xml:space="preserve"> that not all water demand will return to the wastewater system. As result, </w:t>
      </w:r>
      <w:r w:rsidR="00E1634E">
        <w:t>we find it</w:t>
      </w:r>
      <w:r w:rsidRPr="001A6832">
        <w:t xml:space="preserve"> appropriate to assign an ERC of .8 to each of the manufactured homes behind the meter pursuant to Rule 25-30.055 (1)(a) which states that a mobile home should be .8 ERC. Therefore, the rate structure for the mobile home </w:t>
      </w:r>
      <w:r w:rsidR="00E1634E" w:rsidRPr="00E1634E">
        <w:t xml:space="preserve">shall </w:t>
      </w:r>
      <w:r w:rsidRPr="001A6832">
        <w:t xml:space="preserve">be based on 380 ERCS (475 x .8 ERC) for the BFC and the residential gallonage charge with a 6,000 gallon cap per ERC. </w:t>
      </w:r>
    </w:p>
    <w:p w:rsidR="001A6832" w:rsidRPr="001A6832" w:rsidRDefault="001A6832" w:rsidP="00EC0B1C">
      <w:pPr>
        <w:jc w:val="both"/>
      </w:pPr>
    </w:p>
    <w:p w:rsidR="001A6832" w:rsidRPr="001A6832" w:rsidRDefault="00E1634E" w:rsidP="00E1634E">
      <w:pPr>
        <w:ind w:firstLine="720"/>
        <w:jc w:val="both"/>
      </w:pPr>
      <w:r>
        <w:t>We also</w:t>
      </w:r>
      <w:r w:rsidR="001A6832" w:rsidRPr="001A6832">
        <w:t xml:space="preserve"> evaluated whether a BFC for the condominiums, a gated vacation community, should be based on a six-inch meter (50 ERCs). The condominiums consist of 333 units, a clubhouse, and pools. The water demand for the condominium was 6,796,000. The average water demand is 1,701 gallons. Compared with the average residential water demand 2,812 gallons per month, the condominiums demand represents approximately 201 ERCs (6,796,000/2,812/12). </w:t>
      </w:r>
      <w:r w:rsidR="00BE56A1">
        <w:t>We hereby approve</w:t>
      </w:r>
      <w:r w:rsidR="001A6832" w:rsidRPr="001A6832">
        <w:t xml:space="preserve"> </w:t>
      </w:r>
      <w:r w:rsidR="005723E4">
        <w:t>a BFC based on 201 ERCs for the</w:t>
      </w:r>
      <w:r w:rsidR="001A6832" w:rsidRPr="001A6832">
        <w:t xml:space="preserve"> condominiums and a uniform gallonage charge. All other general service customers should be billed a BFC based on a meter size and </w:t>
      </w:r>
      <w:r w:rsidR="001A6832" w:rsidRPr="001A6832">
        <w:lastRenderedPageBreak/>
        <w:t xml:space="preserve">uniform gallonage charge. </w:t>
      </w:r>
      <w:r>
        <w:t>The</w:t>
      </w:r>
      <w:r w:rsidR="001A6832" w:rsidRPr="001A6832">
        <w:t xml:space="preserve"> general service gallonage charge </w:t>
      </w:r>
      <w:r w:rsidR="005723E4">
        <w:t xml:space="preserve">shall </w:t>
      </w:r>
      <w:r w:rsidR="001A6832" w:rsidRPr="001A6832">
        <w:t>be 1.2 times greater than t</w:t>
      </w:r>
      <w:r>
        <w:t>he residential gallonage charge</w:t>
      </w:r>
      <w:r w:rsidR="001A6832" w:rsidRPr="001A6832">
        <w:t xml:space="preserve"> consistent with</w:t>
      </w:r>
      <w:r>
        <w:t xml:space="preserve"> this</w:t>
      </w:r>
      <w:r w:rsidR="001A6832" w:rsidRPr="001A6832">
        <w:t xml:space="preserve"> Commission</w:t>
      </w:r>
      <w:r>
        <w:t>’s</w:t>
      </w:r>
      <w:r w:rsidR="001A6832" w:rsidRPr="001A6832">
        <w:t xml:space="preserve"> practice. </w:t>
      </w:r>
    </w:p>
    <w:p w:rsidR="00CD724F" w:rsidRPr="001A6832" w:rsidRDefault="00CD724F" w:rsidP="00EC0B1C">
      <w:pPr>
        <w:jc w:val="both"/>
      </w:pPr>
    </w:p>
    <w:p w:rsidR="001A6832" w:rsidRPr="001A6832" w:rsidRDefault="001A6832" w:rsidP="00EC0B1C">
      <w:pPr>
        <w:jc w:val="center"/>
        <w:rPr>
          <w:rFonts w:ascii="Arial" w:hAnsi="Arial" w:cs="Arial"/>
          <w:b/>
        </w:rPr>
      </w:pPr>
      <w:r w:rsidRPr="001A6832">
        <w:t xml:space="preserve">  </w:t>
      </w:r>
      <w:r w:rsidRPr="001A6832">
        <w:rPr>
          <w:rFonts w:ascii="Arial" w:hAnsi="Arial" w:cs="Arial"/>
          <w:b/>
        </w:rPr>
        <w:t>Table 1</w:t>
      </w:r>
      <w:r w:rsidR="00E1634E">
        <w:rPr>
          <w:rFonts w:ascii="Arial" w:hAnsi="Arial" w:cs="Arial"/>
          <w:b/>
        </w:rPr>
        <w:t>9</w:t>
      </w:r>
    </w:p>
    <w:p w:rsidR="001A6832" w:rsidRPr="001A6832" w:rsidRDefault="00E1634E" w:rsidP="00EC0B1C">
      <w:pPr>
        <w:jc w:val="center"/>
        <w:rPr>
          <w:rFonts w:ascii="Arial" w:hAnsi="Arial" w:cs="Arial"/>
          <w:b/>
        </w:rPr>
      </w:pPr>
      <w:r>
        <w:rPr>
          <w:rFonts w:ascii="Arial" w:hAnsi="Arial" w:cs="Arial"/>
          <w:b/>
        </w:rPr>
        <w:t>Approved</w:t>
      </w:r>
      <w:r w:rsidR="001A6832" w:rsidRPr="001A6832">
        <w:rPr>
          <w:rFonts w:ascii="Arial" w:hAnsi="Arial" w:cs="Arial"/>
          <w:b/>
        </w:rPr>
        <w:t xml:space="preserve"> Wastewater Rate Structures and Rates</w:t>
      </w:r>
    </w:p>
    <w:tbl>
      <w:tblPr>
        <w:tblW w:w="6487" w:type="dxa"/>
        <w:jc w:val="center"/>
        <w:tblInd w:w="626" w:type="dxa"/>
        <w:tblLook w:val="04A0" w:firstRow="1" w:lastRow="0" w:firstColumn="1" w:lastColumn="0" w:noHBand="0" w:noVBand="1"/>
      </w:tblPr>
      <w:tblGrid>
        <w:gridCol w:w="2880"/>
        <w:gridCol w:w="1319"/>
        <w:gridCol w:w="1872"/>
        <w:gridCol w:w="416"/>
      </w:tblGrid>
      <w:tr w:rsidR="00E1634E" w:rsidRPr="001A6832" w:rsidTr="00E1634E">
        <w:trPr>
          <w:trHeight w:val="265"/>
          <w:jc w:val="center"/>
        </w:trPr>
        <w:tc>
          <w:tcPr>
            <w:tcW w:w="2880" w:type="dxa"/>
            <w:tcBorders>
              <w:top w:val="single" w:sz="8" w:space="0" w:color="000000"/>
              <w:left w:val="single" w:sz="8" w:space="0" w:color="000000"/>
              <w:bottom w:val="nil"/>
              <w:right w:val="nil"/>
            </w:tcBorders>
            <w:shd w:val="clear" w:color="000000" w:fill="auto"/>
            <w:noWrap/>
            <w:vAlign w:val="bottom"/>
            <w:hideMark/>
          </w:tcPr>
          <w:p w:rsidR="00E1634E" w:rsidRPr="001A6832" w:rsidRDefault="00E1634E" w:rsidP="00EC0B1C">
            <w:pPr>
              <w:rPr>
                <w:b/>
                <w:bCs/>
                <w:sz w:val="20"/>
                <w:szCs w:val="20"/>
              </w:rPr>
            </w:pPr>
          </w:p>
        </w:tc>
        <w:tc>
          <w:tcPr>
            <w:tcW w:w="1319" w:type="dxa"/>
            <w:tcBorders>
              <w:top w:val="single" w:sz="8" w:space="0" w:color="000000"/>
              <w:left w:val="nil"/>
              <w:bottom w:val="nil"/>
              <w:right w:val="nil"/>
            </w:tcBorders>
            <w:shd w:val="clear" w:color="000000" w:fill="auto"/>
            <w:noWrap/>
            <w:vAlign w:val="bottom"/>
          </w:tcPr>
          <w:p w:rsidR="00E1634E" w:rsidRPr="001A6832" w:rsidRDefault="00E1634E" w:rsidP="00EC0B1C">
            <w:pPr>
              <w:jc w:val="center"/>
              <w:rPr>
                <w:b/>
                <w:bCs/>
                <w:color w:val="000000"/>
              </w:rPr>
            </w:pPr>
          </w:p>
        </w:tc>
        <w:tc>
          <w:tcPr>
            <w:tcW w:w="1872" w:type="dxa"/>
            <w:tcBorders>
              <w:top w:val="single" w:sz="8" w:space="0" w:color="000000"/>
              <w:left w:val="nil"/>
              <w:bottom w:val="nil"/>
              <w:right w:val="nil"/>
            </w:tcBorders>
            <w:shd w:val="clear" w:color="000000" w:fill="auto"/>
            <w:noWrap/>
            <w:vAlign w:val="bottom"/>
            <w:hideMark/>
          </w:tcPr>
          <w:p w:rsidR="00E1634E" w:rsidRPr="001A6832" w:rsidRDefault="00E1634E" w:rsidP="00EC0B1C">
            <w:pPr>
              <w:jc w:val="center"/>
              <w:rPr>
                <w:b/>
                <w:bCs/>
                <w:color w:val="000000"/>
              </w:rPr>
            </w:pPr>
          </w:p>
        </w:tc>
        <w:tc>
          <w:tcPr>
            <w:tcW w:w="416" w:type="dxa"/>
            <w:tcBorders>
              <w:top w:val="single" w:sz="8" w:space="0" w:color="000000"/>
              <w:left w:val="nil"/>
              <w:bottom w:val="nil"/>
              <w:right w:val="single" w:sz="8" w:space="0" w:color="000000"/>
            </w:tcBorders>
            <w:shd w:val="clear" w:color="000000" w:fill="auto"/>
            <w:noWrap/>
            <w:vAlign w:val="bottom"/>
            <w:hideMark/>
          </w:tcPr>
          <w:p w:rsidR="00E1634E" w:rsidRPr="001A6832" w:rsidRDefault="00E1634E" w:rsidP="00EC0B1C">
            <w:pPr>
              <w:jc w:val="center"/>
              <w:rPr>
                <w:b/>
                <w:bCs/>
                <w:color w:val="000000"/>
              </w:rPr>
            </w:pPr>
            <w:r w:rsidRPr="001A6832">
              <w:rPr>
                <w:b/>
                <w:bCs/>
                <w:color w:val="000000"/>
              </w:rPr>
              <w:t> </w:t>
            </w:r>
          </w:p>
        </w:tc>
      </w:tr>
      <w:tr w:rsidR="00E1634E" w:rsidRPr="001A6832" w:rsidTr="00E1634E">
        <w:trPr>
          <w:trHeight w:val="265"/>
          <w:jc w:val="center"/>
        </w:trPr>
        <w:tc>
          <w:tcPr>
            <w:tcW w:w="2880" w:type="dxa"/>
            <w:tcBorders>
              <w:top w:val="nil"/>
              <w:left w:val="single" w:sz="8" w:space="0" w:color="000000"/>
              <w:right w:val="nil"/>
            </w:tcBorders>
            <w:shd w:val="clear" w:color="000000" w:fill="auto"/>
            <w:noWrap/>
            <w:vAlign w:val="bottom"/>
            <w:hideMark/>
          </w:tcPr>
          <w:p w:rsidR="00E1634E" w:rsidRPr="001A6832" w:rsidRDefault="00E1634E" w:rsidP="00EC0B1C">
            <w:pPr>
              <w:rPr>
                <w:b/>
                <w:bCs/>
                <w:sz w:val="20"/>
                <w:szCs w:val="20"/>
                <w:u w:val="single"/>
              </w:rPr>
            </w:pPr>
          </w:p>
        </w:tc>
        <w:tc>
          <w:tcPr>
            <w:tcW w:w="1319" w:type="dxa"/>
            <w:tcBorders>
              <w:top w:val="nil"/>
              <w:left w:val="nil"/>
              <w:right w:val="nil"/>
            </w:tcBorders>
            <w:shd w:val="clear" w:color="000000" w:fill="auto"/>
            <w:noWrap/>
            <w:vAlign w:val="bottom"/>
          </w:tcPr>
          <w:p w:rsidR="00E1634E" w:rsidRPr="001A6832" w:rsidRDefault="00E1634E" w:rsidP="00EC0B1C">
            <w:pPr>
              <w:jc w:val="center"/>
              <w:rPr>
                <w:b/>
                <w:bCs/>
                <w:color w:val="000000"/>
              </w:rPr>
            </w:pPr>
            <w:r w:rsidRPr="001A6832">
              <w:rPr>
                <w:b/>
                <w:bCs/>
                <w:color w:val="000000"/>
              </w:rPr>
              <w:t>Rates at</w:t>
            </w:r>
          </w:p>
        </w:tc>
        <w:tc>
          <w:tcPr>
            <w:tcW w:w="1872" w:type="dxa"/>
            <w:tcBorders>
              <w:top w:val="nil"/>
              <w:left w:val="nil"/>
              <w:right w:val="nil"/>
            </w:tcBorders>
            <w:shd w:val="clear" w:color="000000" w:fill="auto"/>
            <w:noWrap/>
            <w:vAlign w:val="bottom"/>
            <w:hideMark/>
          </w:tcPr>
          <w:p w:rsidR="00E1634E" w:rsidRPr="001A6832" w:rsidRDefault="00E1634E" w:rsidP="00EC0B1C">
            <w:pPr>
              <w:jc w:val="center"/>
              <w:rPr>
                <w:b/>
                <w:bCs/>
                <w:color w:val="000000"/>
              </w:rPr>
            </w:pPr>
            <w:r>
              <w:rPr>
                <w:b/>
                <w:bCs/>
                <w:color w:val="000000"/>
              </w:rPr>
              <w:t>Approved</w:t>
            </w:r>
          </w:p>
        </w:tc>
        <w:tc>
          <w:tcPr>
            <w:tcW w:w="416" w:type="dxa"/>
            <w:tcBorders>
              <w:top w:val="nil"/>
              <w:left w:val="nil"/>
              <w:right w:val="single" w:sz="8" w:space="0" w:color="000000"/>
            </w:tcBorders>
            <w:shd w:val="clear" w:color="000000" w:fill="auto"/>
            <w:noWrap/>
            <w:vAlign w:val="bottom"/>
            <w:hideMark/>
          </w:tcPr>
          <w:p w:rsidR="00E1634E" w:rsidRPr="001A6832" w:rsidRDefault="00E1634E" w:rsidP="00EC0B1C">
            <w:pPr>
              <w:jc w:val="center"/>
              <w:rPr>
                <w:b/>
                <w:bCs/>
                <w:color w:val="000000"/>
              </w:rPr>
            </w:pPr>
          </w:p>
        </w:tc>
      </w:tr>
      <w:tr w:rsidR="00E1634E" w:rsidRPr="001A6832" w:rsidTr="00E1634E">
        <w:trPr>
          <w:trHeight w:val="278"/>
          <w:jc w:val="center"/>
        </w:trPr>
        <w:tc>
          <w:tcPr>
            <w:tcW w:w="2880" w:type="dxa"/>
            <w:tcBorders>
              <w:top w:val="nil"/>
              <w:left w:val="single" w:sz="8" w:space="0" w:color="000000"/>
              <w:right w:val="nil"/>
            </w:tcBorders>
            <w:shd w:val="clear" w:color="000000" w:fill="auto"/>
            <w:noWrap/>
            <w:vAlign w:val="bottom"/>
            <w:hideMark/>
          </w:tcPr>
          <w:p w:rsidR="00E1634E" w:rsidRPr="001A6832" w:rsidRDefault="00E1634E" w:rsidP="00EC0B1C">
            <w:pPr>
              <w:rPr>
                <w:b/>
                <w:bCs/>
                <w:sz w:val="20"/>
                <w:szCs w:val="20"/>
                <w:u w:val="single"/>
              </w:rPr>
            </w:pPr>
          </w:p>
        </w:tc>
        <w:tc>
          <w:tcPr>
            <w:tcW w:w="1319" w:type="dxa"/>
            <w:tcBorders>
              <w:top w:val="nil"/>
              <w:left w:val="nil"/>
              <w:right w:val="nil"/>
            </w:tcBorders>
            <w:shd w:val="clear" w:color="000000" w:fill="auto"/>
            <w:noWrap/>
            <w:vAlign w:val="bottom"/>
          </w:tcPr>
          <w:p w:rsidR="00E1634E" w:rsidRPr="001A6832" w:rsidRDefault="00E1634E" w:rsidP="00EC0B1C">
            <w:pPr>
              <w:jc w:val="center"/>
              <w:rPr>
                <w:b/>
                <w:bCs/>
                <w:color w:val="000000"/>
              </w:rPr>
            </w:pPr>
            <w:r w:rsidRPr="001A6832">
              <w:rPr>
                <w:b/>
                <w:bCs/>
                <w:color w:val="000000"/>
              </w:rPr>
              <w:t>Time of</w:t>
            </w:r>
          </w:p>
        </w:tc>
        <w:tc>
          <w:tcPr>
            <w:tcW w:w="1872" w:type="dxa"/>
            <w:tcBorders>
              <w:top w:val="nil"/>
              <w:left w:val="nil"/>
              <w:right w:val="nil"/>
            </w:tcBorders>
            <w:shd w:val="clear" w:color="000000" w:fill="auto"/>
            <w:noWrap/>
            <w:vAlign w:val="bottom"/>
            <w:hideMark/>
          </w:tcPr>
          <w:p w:rsidR="00E1634E" w:rsidRPr="001A6832" w:rsidRDefault="00E1634E" w:rsidP="00EC0B1C">
            <w:pPr>
              <w:jc w:val="center"/>
              <w:rPr>
                <w:b/>
                <w:bCs/>
                <w:color w:val="000000"/>
              </w:rPr>
            </w:pPr>
            <w:r w:rsidRPr="001A6832">
              <w:rPr>
                <w:b/>
                <w:bCs/>
                <w:color w:val="000000"/>
              </w:rPr>
              <w:t>Rates</w:t>
            </w:r>
          </w:p>
        </w:tc>
        <w:tc>
          <w:tcPr>
            <w:tcW w:w="416" w:type="dxa"/>
            <w:tcBorders>
              <w:top w:val="nil"/>
              <w:left w:val="nil"/>
              <w:right w:val="single" w:sz="8" w:space="0" w:color="000000"/>
            </w:tcBorders>
            <w:shd w:val="clear" w:color="000000" w:fill="auto"/>
            <w:noWrap/>
            <w:vAlign w:val="bottom"/>
            <w:hideMark/>
          </w:tcPr>
          <w:p w:rsidR="00E1634E" w:rsidRPr="001A6832" w:rsidRDefault="00E1634E" w:rsidP="00EC0B1C">
            <w:pPr>
              <w:jc w:val="center"/>
              <w:rPr>
                <w:b/>
                <w:bCs/>
                <w:color w:val="000000"/>
              </w:rPr>
            </w:pPr>
          </w:p>
        </w:tc>
      </w:tr>
      <w:tr w:rsidR="00E1634E" w:rsidRPr="001A6832" w:rsidTr="00E1634E">
        <w:trPr>
          <w:trHeight w:val="278"/>
          <w:jc w:val="center"/>
        </w:trPr>
        <w:tc>
          <w:tcPr>
            <w:tcW w:w="2880" w:type="dxa"/>
            <w:tcBorders>
              <w:left w:val="single" w:sz="8" w:space="0" w:color="000000"/>
              <w:bottom w:val="single" w:sz="8" w:space="0" w:color="000000"/>
              <w:right w:val="nil"/>
            </w:tcBorders>
            <w:shd w:val="clear" w:color="000000" w:fill="auto"/>
            <w:noWrap/>
            <w:vAlign w:val="bottom"/>
          </w:tcPr>
          <w:p w:rsidR="00E1634E" w:rsidRPr="001A6832" w:rsidRDefault="00E1634E" w:rsidP="00EC0B1C">
            <w:pPr>
              <w:rPr>
                <w:b/>
                <w:bCs/>
                <w:sz w:val="20"/>
                <w:szCs w:val="20"/>
                <w:u w:val="single"/>
              </w:rPr>
            </w:pPr>
          </w:p>
        </w:tc>
        <w:tc>
          <w:tcPr>
            <w:tcW w:w="1319" w:type="dxa"/>
            <w:tcBorders>
              <w:left w:val="nil"/>
              <w:bottom w:val="single" w:sz="8" w:space="0" w:color="000000"/>
              <w:right w:val="nil"/>
            </w:tcBorders>
            <w:shd w:val="clear" w:color="000000" w:fill="auto"/>
            <w:noWrap/>
            <w:vAlign w:val="bottom"/>
          </w:tcPr>
          <w:p w:rsidR="00E1634E" w:rsidRPr="001A6832" w:rsidRDefault="00E1634E" w:rsidP="00EC0B1C">
            <w:pPr>
              <w:jc w:val="center"/>
              <w:rPr>
                <w:b/>
                <w:bCs/>
                <w:color w:val="000000"/>
              </w:rPr>
            </w:pPr>
            <w:r w:rsidRPr="001A6832">
              <w:rPr>
                <w:b/>
                <w:bCs/>
                <w:color w:val="000000"/>
              </w:rPr>
              <w:t>Filing</w:t>
            </w:r>
          </w:p>
        </w:tc>
        <w:tc>
          <w:tcPr>
            <w:tcW w:w="1872" w:type="dxa"/>
            <w:tcBorders>
              <w:left w:val="nil"/>
              <w:bottom w:val="single" w:sz="8" w:space="0" w:color="000000"/>
              <w:right w:val="nil"/>
            </w:tcBorders>
            <w:shd w:val="clear" w:color="000000" w:fill="auto"/>
            <w:noWrap/>
            <w:vAlign w:val="bottom"/>
          </w:tcPr>
          <w:p w:rsidR="00E1634E" w:rsidRPr="001A6832" w:rsidRDefault="00E1634E" w:rsidP="00EC0B1C">
            <w:pPr>
              <w:jc w:val="center"/>
              <w:rPr>
                <w:b/>
                <w:bCs/>
                <w:color w:val="000000"/>
              </w:rPr>
            </w:pPr>
            <w:r w:rsidRPr="001A6832">
              <w:rPr>
                <w:b/>
                <w:bCs/>
                <w:color w:val="000000"/>
              </w:rPr>
              <w:t>(50% BFC)</w:t>
            </w:r>
          </w:p>
        </w:tc>
        <w:tc>
          <w:tcPr>
            <w:tcW w:w="416" w:type="dxa"/>
            <w:tcBorders>
              <w:left w:val="nil"/>
              <w:bottom w:val="single" w:sz="8" w:space="0" w:color="000000"/>
              <w:right w:val="single" w:sz="8" w:space="0" w:color="000000"/>
            </w:tcBorders>
            <w:shd w:val="clear" w:color="000000" w:fill="auto"/>
            <w:noWrap/>
            <w:vAlign w:val="bottom"/>
          </w:tcPr>
          <w:p w:rsidR="00E1634E" w:rsidRPr="001A6832" w:rsidRDefault="00E1634E" w:rsidP="00EC0B1C">
            <w:pPr>
              <w:jc w:val="center"/>
              <w:rPr>
                <w:b/>
                <w:bCs/>
                <w:color w:val="00000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b/>
                <w:bCs/>
                <w:color w:val="000000"/>
                <w:sz w:val="20"/>
                <w:szCs w:val="20"/>
                <w:u w:val="single"/>
              </w:rPr>
            </w:pPr>
            <w:r w:rsidRPr="001A6832">
              <w:rPr>
                <w:b/>
                <w:bCs/>
                <w:color w:val="000000"/>
                <w:sz w:val="20"/>
                <w:szCs w:val="20"/>
                <w:u w:val="single"/>
              </w:rPr>
              <w:t xml:space="preserve">Residential </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center"/>
              <w:rPr>
                <w:b/>
                <w:bCs/>
                <w:color w:val="000000"/>
                <w:sz w:val="20"/>
                <w:szCs w:val="20"/>
              </w:rPr>
            </w:pPr>
            <w:r w:rsidRPr="001A6832">
              <w:rPr>
                <w:b/>
                <w:bCs/>
                <w:color w:val="000000"/>
                <w:sz w:val="20"/>
                <w:szCs w:val="20"/>
              </w:rPr>
              <w:t> </w:t>
            </w: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center"/>
              <w:rPr>
                <w:b/>
                <w:bCs/>
                <w:color w:val="000000"/>
                <w:sz w:val="20"/>
                <w:szCs w:val="20"/>
              </w:rPr>
            </w:pPr>
            <w:r w:rsidRPr="001A6832">
              <w:rPr>
                <w:b/>
                <w:bCs/>
                <w:color w:val="000000"/>
                <w:sz w:val="20"/>
                <w:szCs w:val="20"/>
              </w:rPr>
              <w:t> </w:t>
            </w: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Base Facility Charge</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$20.95</w:t>
            </w: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$2</w:t>
            </w:r>
            <w:r w:rsidR="00393994">
              <w:rPr>
                <w:color w:val="000000"/>
                <w:sz w:val="20"/>
                <w:szCs w:val="20"/>
              </w:rPr>
              <w:t>5.91</w:t>
            </w: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 </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w:t>
            </w: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sz w:val="20"/>
                <w:szCs w:val="20"/>
              </w:rPr>
            </w:pPr>
            <w:r w:rsidRPr="001A6832">
              <w:rPr>
                <w:sz w:val="20"/>
                <w:szCs w:val="20"/>
              </w:rPr>
              <w:t xml:space="preserve">Charge per 1,000 gallons </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tcPr>
          <w:p w:rsidR="00E1634E" w:rsidRPr="001A6832" w:rsidRDefault="00E1634E" w:rsidP="00EC0B1C">
            <w:pPr>
              <w:rPr>
                <w:sz w:val="20"/>
                <w:szCs w:val="20"/>
              </w:rPr>
            </w:pPr>
            <w:r w:rsidRPr="001A6832">
              <w:rPr>
                <w:sz w:val="20"/>
                <w:szCs w:val="20"/>
              </w:rPr>
              <w:t>8,000 gallon cap</w:t>
            </w:r>
          </w:p>
        </w:tc>
        <w:tc>
          <w:tcPr>
            <w:tcW w:w="1319" w:type="dxa"/>
            <w:tcBorders>
              <w:top w:val="nil"/>
              <w:left w:val="nil"/>
              <w:bottom w:val="nil"/>
              <w:right w:val="nil"/>
            </w:tcBorders>
            <w:shd w:val="clear" w:color="auto" w:fill="auto"/>
            <w:noWrap/>
            <w:vAlign w:val="bottom"/>
          </w:tcPr>
          <w:p w:rsidR="00E1634E" w:rsidRPr="001A6832" w:rsidRDefault="00E1634E" w:rsidP="00EC0B1C">
            <w:pPr>
              <w:jc w:val="right"/>
              <w:rPr>
                <w:sz w:val="20"/>
                <w:szCs w:val="20"/>
              </w:rPr>
            </w:pPr>
            <w:r w:rsidRPr="001A6832">
              <w:rPr>
                <w:sz w:val="20"/>
                <w:szCs w:val="20"/>
              </w:rPr>
              <w:t>$6.87</w:t>
            </w:r>
          </w:p>
        </w:tc>
        <w:tc>
          <w:tcPr>
            <w:tcW w:w="1872" w:type="dxa"/>
            <w:tcBorders>
              <w:top w:val="nil"/>
              <w:left w:val="nil"/>
              <w:bottom w:val="nil"/>
              <w:right w:val="nil"/>
            </w:tcBorders>
            <w:shd w:val="clear" w:color="auto" w:fill="auto"/>
            <w:noWrap/>
            <w:vAlign w:val="bottom"/>
          </w:tcPr>
          <w:p w:rsidR="00E1634E" w:rsidRPr="001A6832" w:rsidRDefault="00E1634E" w:rsidP="00EC0B1C">
            <w:pPr>
              <w:jc w:val="right"/>
              <w:rPr>
                <w:color w:val="000000"/>
                <w:sz w:val="20"/>
                <w:szCs w:val="20"/>
              </w:rPr>
            </w:pPr>
            <w:r w:rsidRPr="001A6832">
              <w:rPr>
                <w:color w:val="000000"/>
                <w:sz w:val="20"/>
                <w:szCs w:val="20"/>
              </w:rPr>
              <w:t>N/A</w:t>
            </w:r>
          </w:p>
        </w:tc>
        <w:tc>
          <w:tcPr>
            <w:tcW w:w="416" w:type="dxa"/>
            <w:tcBorders>
              <w:top w:val="nil"/>
              <w:left w:val="nil"/>
              <w:bottom w:val="nil"/>
              <w:right w:val="single" w:sz="8" w:space="0" w:color="000000"/>
            </w:tcBorders>
            <w:shd w:val="clear" w:color="auto" w:fill="auto"/>
            <w:noWrap/>
            <w:vAlign w:val="bottom"/>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sz w:val="20"/>
                <w:szCs w:val="20"/>
              </w:rPr>
            </w:pPr>
            <w:r w:rsidRPr="001A6832">
              <w:rPr>
                <w:sz w:val="20"/>
                <w:szCs w:val="20"/>
              </w:rPr>
              <w:t>6,000 gallon cap</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N/A</w:t>
            </w: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$6</w:t>
            </w:r>
            <w:r w:rsidR="00393994">
              <w:rPr>
                <w:color w:val="000000"/>
                <w:sz w:val="20"/>
                <w:szCs w:val="20"/>
              </w:rPr>
              <w:t>.87</w:t>
            </w: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tcPr>
          <w:p w:rsidR="00E1634E" w:rsidRPr="001A6832" w:rsidRDefault="00E1634E" w:rsidP="00EC0B1C">
            <w:pPr>
              <w:rPr>
                <w:sz w:val="20"/>
                <w:szCs w:val="20"/>
              </w:rPr>
            </w:pPr>
          </w:p>
        </w:tc>
        <w:tc>
          <w:tcPr>
            <w:tcW w:w="1319" w:type="dxa"/>
            <w:tcBorders>
              <w:top w:val="nil"/>
              <w:left w:val="nil"/>
              <w:bottom w:val="nil"/>
              <w:right w:val="nil"/>
            </w:tcBorders>
            <w:shd w:val="clear" w:color="auto" w:fill="auto"/>
            <w:noWrap/>
            <w:vAlign w:val="bottom"/>
          </w:tcPr>
          <w:p w:rsidR="00E1634E" w:rsidRPr="001A6832" w:rsidRDefault="00E1634E" w:rsidP="00EC0B1C">
            <w:pPr>
              <w:jc w:val="right"/>
              <w:rPr>
                <w:sz w:val="20"/>
                <w:szCs w:val="20"/>
              </w:rPr>
            </w:pPr>
          </w:p>
        </w:tc>
        <w:tc>
          <w:tcPr>
            <w:tcW w:w="1872" w:type="dxa"/>
            <w:tcBorders>
              <w:top w:val="nil"/>
              <w:left w:val="nil"/>
              <w:bottom w:val="nil"/>
              <w:right w:val="nil"/>
            </w:tcBorders>
            <w:shd w:val="clear" w:color="auto" w:fill="auto"/>
            <w:noWrap/>
            <w:vAlign w:val="bottom"/>
          </w:tcPr>
          <w:p w:rsidR="00E1634E" w:rsidRPr="001A6832" w:rsidRDefault="00E1634E" w:rsidP="00EC0B1C">
            <w:pPr>
              <w:jc w:val="right"/>
              <w:rPr>
                <w:color w:val="000000"/>
                <w:sz w:val="20"/>
                <w:szCs w:val="20"/>
              </w:rPr>
            </w:pPr>
          </w:p>
        </w:tc>
        <w:tc>
          <w:tcPr>
            <w:tcW w:w="416" w:type="dxa"/>
            <w:tcBorders>
              <w:top w:val="nil"/>
              <w:left w:val="nil"/>
              <w:bottom w:val="nil"/>
              <w:right w:val="single" w:sz="8" w:space="0" w:color="000000"/>
            </w:tcBorders>
            <w:shd w:val="clear" w:color="auto" w:fill="auto"/>
            <w:noWrap/>
            <w:vAlign w:val="bottom"/>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6071" w:type="dxa"/>
            <w:gridSpan w:val="3"/>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b/>
                <w:bCs/>
                <w:color w:val="000000"/>
                <w:sz w:val="20"/>
                <w:szCs w:val="20"/>
                <w:u w:val="single"/>
              </w:rPr>
              <w:t>Typical Residential 5/8" x 3/4" Meter Bill Comparison</w:t>
            </w:r>
          </w:p>
        </w:tc>
        <w:tc>
          <w:tcPr>
            <w:tcW w:w="416" w:type="dxa"/>
            <w:tcBorders>
              <w:top w:val="nil"/>
              <w:left w:val="nil"/>
              <w:bottom w:val="nil"/>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w:t>
            </w: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2,000 Gallons</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xml:space="preserve">$34.69 </w:t>
            </w: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$39.</w:t>
            </w:r>
            <w:r w:rsidR="00393994">
              <w:rPr>
                <w:color w:val="000000"/>
                <w:sz w:val="20"/>
                <w:szCs w:val="20"/>
              </w:rPr>
              <w:t>65</w:t>
            </w:r>
          </w:p>
        </w:tc>
        <w:tc>
          <w:tcPr>
            <w:tcW w:w="416" w:type="dxa"/>
            <w:tcBorders>
              <w:top w:val="nil"/>
              <w:left w:val="nil"/>
              <w:bottom w:val="nil"/>
              <w:right w:val="single" w:sz="8" w:space="0" w:color="auto"/>
            </w:tcBorders>
            <w:shd w:val="clear" w:color="auto" w:fill="auto"/>
            <w:noWrap/>
            <w:vAlign w:val="bottom"/>
            <w:hideMark/>
          </w:tcPr>
          <w:p w:rsidR="00E1634E" w:rsidRPr="001A6832" w:rsidRDefault="00E1634E" w:rsidP="00EC0B1C">
            <w:pPr>
              <w:jc w:val="right"/>
              <w:rPr>
                <w:color w:val="000000"/>
                <w:sz w:val="20"/>
                <w:szCs w:val="20"/>
              </w:rPr>
            </w:pP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6,000 Gallons</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xml:space="preserve">$62.17 </w:t>
            </w:r>
          </w:p>
        </w:tc>
        <w:tc>
          <w:tcPr>
            <w:tcW w:w="1872"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$67.</w:t>
            </w:r>
            <w:r w:rsidR="00393994">
              <w:rPr>
                <w:color w:val="000000"/>
                <w:sz w:val="20"/>
                <w:szCs w:val="20"/>
              </w:rPr>
              <w:t>13</w:t>
            </w:r>
          </w:p>
        </w:tc>
        <w:tc>
          <w:tcPr>
            <w:tcW w:w="416" w:type="dxa"/>
            <w:tcBorders>
              <w:top w:val="nil"/>
              <w:left w:val="nil"/>
              <w:bottom w:val="nil"/>
              <w:right w:val="single" w:sz="8" w:space="0" w:color="auto"/>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xml:space="preserve"> </w:t>
            </w:r>
          </w:p>
        </w:tc>
      </w:tr>
      <w:tr w:rsidR="00E1634E" w:rsidRPr="001A6832" w:rsidTr="00E1634E">
        <w:trPr>
          <w:trHeight w:val="265"/>
          <w:jc w:val="center"/>
        </w:trPr>
        <w:tc>
          <w:tcPr>
            <w:tcW w:w="2880" w:type="dxa"/>
            <w:tcBorders>
              <w:top w:val="nil"/>
              <w:left w:val="single" w:sz="8" w:space="0" w:color="000000"/>
              <w:bottom w:val="nil"/>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8,000 Gallons</w:t>
            </w:r>
          </w:p>
        </w:tc>
        <w:tc>
          <w:tcPr>
            <w:tcW w:w="1319" w:type="dxa"/>
            <w:tcBorders>
              <w:top w:val="nil"/>
              <w:left w:val="nil"/>
              <w:bottom w:val="nil"/>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xml:space="preserve">$75.91 </w:t>
            </w:r>
          </w:p>
        </w:tc>
        <w:tc>
          <w:tcPr>
            <w:tcW w:w="1872" w:type="dxa"/>
            <w:tcBorders>
              <w:top w:val="nil"/>
              <w:left w:val="nil"/>
              <w:bottom w:val="nil"/>
              <w:right w:val="nil"/>
            </w:tcBorders>
            <w:shd w:val="clear" w:color="auto" w:fill="auto"/>
            <w:noWrap/>
            <w:vAlign w:val="bottom"/>
            <w:hideMark/>
          </w:tcPr>
          <w:p w:rsidR="00E1634E" w:rsidRPr="001A6832" w:rsidRDefault="00393994" w:rsidP="00EC0B1C">
            <w:pPr>
              <w:jc w:val="right"/>
              <w:rPr>
                <w:color w:val="000000"/>
                <w:sz w:val="20"/>
                <w:szCs w:val="20"/>
              </w:rPr>
            </w:pPr>
            <w:r>
              <w:rPr>
                <w:color w:val="000000"/>
                <w:sz w:val="20"/>
                <w:szCs w:val="20"/>
              </w:rPr>
              <w:t>$67.13</w:t>
            </w:r>
            <w:r w:rsidR="00E1634E" w:rsidRPr="001A6832">
              <w:rPr>
                <w:color w:val="000000"/>
                <w:sz w:val="20"/>
                <w:szCs w:val="20"/>
              </w:rPr>
              <w:t xml:space="preserve"> </w:t>
            </w:r>
          </w:p>
        </w:tc>
        <w:tc>
          <w:tcPr>
            <w:tcW w:w="416" w:type="dxa"/>
            <w:tcBorders>
              <w:top w:val="nil"/>
              <w:left w:val="nil"/>
              <w:bottom w:val="nil"/>
              <w:right w:val="single" w:sz="8" w:space="0" w:color="auto"/>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xml:space="preserve"> </w:t>
            </w:r>
          </w:p>
        </w:tc>
      </w:tr>
      <w:tr w:rsidR="00E1634E" w:rsidRPr="001A6832" w:rsidTr="00E1634E">
        <w:trPr>
          <w:trHeight w:val="278"/>
          <w:jc w:val="center"/>
        </w:trPr>
        <w:tc>
          <w:tcPr>
            <w:tcW w:w="2880" w:type="dxa"/>
            <w:tcBorders>
              <w:top w:val="nil"/>
              <w:left w:val="single" w:sz="8" w:space="0" w:color="000000"/>
              <w:bottom w:val="single" w:sz="8" w:space="0" w:color="000000"/>
              <w:right w:val="nil"/>
            </w:tcBorders>
            <w:shd w:val="clear" w:color="auto" w:fill="auto"/>
            <w:noWrap/>
            <w:vAlign w:val="bottom"/>
            <w:hideMark/>
          </w:tcPr>
          <w:p w:rsidR="00E1634E" w:rsidRPr="001A6832" w:rsidRDefault="00E1634E" w:rsidP="00EC0B1C">
            <w:pPr>
              <w:rPr>
                <w:color w:val="000000"/>
                <w:sz w:val="20"/>
                <w:szCs w:val="20"/>
              </w:rPr>
            </w:pPr>
            <w:r w:rsidRPr="001A6832">
              <w:rPr>
                <w:color w:val="000000"/>
                <w:sz w:val="20"/>
                <w:szCs w:val="20"/>
              </w:rPr>
              <w:t> </w:t>
            </w:r>
          </w:p>
        </w:tc>
        <w:tc>
          <w:tcPr>
            <w:tcW w:w="1319" w:type="dxa"/>
            <w:tcBorders>
              <w:top w:val="nil"/>
              <w:left w:val="nil"/>
              <w:bottom w:val="single" w:sz="8" w:space="0" w:color="000000"/>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w:t>
            </w:r>
          </w:p>
        </w:tc>
        <w:tc>
          <w:tcPr>
            <w:tcW w:w="416" w:type="dxa"/>
            <w:tcBorders>
              <w:top w:val="nil"/>
              <w:left w:val="nil"/>
              <w:bottom w:val="single" w:sz="8" w:space="0" w:color="000000"/>
              <w:right w:val="single" w:sz="8" w:space="0" w:color="000000"/>
            </w:tcBorders>
            <w:shd w:val="clear" w:color="auto" w:fill="auto"/>
            <w:noWrap/>
            <w:vAlign w:val="bottom"/>
            <w:hideMark/>
          </w:tcPr>
          <w:p w:rsidR="00E1634E" w:rsidRPr="001A6832" w:rsidRDefault="00E1634E" w:rsidP="00EC0B1C">
            <w:pPr>
              <w:jc w:val="right"/>
              <w:rPr>
                <w:color w:val="000000"/>
                <w:sz w:val="20"/>
                <w:szCs w:val="20"/>
              </w:rPr>
            </w:pPr>
            <w:r w:rsidRPr="001A6832">
              <w:rPr>
                <w:color w:val="000000"/>
                <w:sz w:val="20"/>
                <w:szCs w:val="20"/>
              </w:rPr>
              <w:t> </w:t>
            </w:r>
          </w:p>
        </w:tc>
      </w:tr>
    </w:tbl>
    <w:p w:rsidR="001A6832" w:rsidRPr="001A6832" w:rsidRDefault="001A6832" w:rsidP="00EC0B1C">
      <w:pPr>
        <w:autoSpaceDE w:val="0"/>
        <w:autoSpaceDN w:val="0"/>
        <w:adjustRightInd w:val="0"/>
        <w:jc w:val="both"/>
        <w:rPr>
          <w:rFonts w:ascii="Cambria" w:hAnsi="Cambria" w:cs="Cambria"/>
        </w:rPr>
      </w:pPr>
    </w:p>
    <w:p w:rsidR="001A6832" w:rsidRPr="00E1634E" w:rsidRDefault="00E1634E" w:rsidP="00EC0B1C">
      <w:pPr>
        <w:autoSpaceDE w:val="0"/>
        <w:autoSpaceDN w:val="0"/>
        <w:adjustRightInd w:val="0"/>
        <w:jc w:val="both"/>
        <w:rPr>
          <w:u w:val="single"/>
        </w:rPr>
      </w:pPr>
      <w:r w:rsidRPr="00E1634E">
        <w:rPr>
          <w:u w:val="single"/>
        </w:rPr>
        <w:t>Conclusion</w:t>
      </w:r>
    </w:p>
    <w:p w:rsidR="00E1634E" w:rsidRPr="001A6832" w:rsidRDefault="00E1634E" w:rsidP="00EC0B1C">
      <w:pPr>
        <w:autoSpaceDE w:val="0"/>
        <w:autoSpaceDN w:val="0"/>
        <w:adjustRightInd w:val="0"/>
        <w:jc w:val="both"/>
        <w:rPr>
          <w:rFonts w:ascii="Arial" w:hAnsi="Arial" w:cs="Arial"/>
          <w:b/>
        </w:rPr>
      </w:pPr>
    </w:p>
    <w:p w:rsidR="001A6832" w:rsidRPr="001A6832" w:rsidRDefault="00E1634E" w:rsidP="00E1634E">
      <w:pPr>
        <w:ind w:firstLine="720"/>
        <w:jc w:val="both"/>
      </w:pPr>
      <w:r>
        <w:t>Our approved</w:t>
      </w:r>
      <w:r w:rsidR="001A6832" w:rsidRPr="001A6832">
        <w:t xml:space="preserve"> rate structure and rates are shown on Schedule Nos. 4-A and 4-B. The </w:t>
      </w:r>
      <w:r w:rsidR="003D4918">
        <w:t>Utility</w:t>
      </w:r>
      <w:r w:rsidR="001A6832" w:rsidRPr="001A6832">
        <w:t xml:space="preserve"> </w:t>
      </w:r>
      <w:r w:rsidR="00A94949" w:rsidRPr="00A94949">
        <w:t xml:space="preserve">shall </w:t>
      </w:r>
      <w:r w:rsidR="001A6832" w:rsidRPr="001A6832">
        <w:t xml:space="preserve">file revised tariff sheets and a proposed customer notice to reflect the approved rates. The approved rates </w:t>
      </w:r>
      <w:r w:rsidR="00A94949" w:rsidRPr="00A94949">
        <w:t xml:space="preserve">shall </w:t>
      </w:r>
      <w:r w:rsidR="001A6832" w:rsidRPr="001A6832">
        <w:t xml:space="preserve">be effective for service rendered on or after the stamped approval date on the tariff sheet, pursuant to Rule 25-30.475(1), F.A.C. In addition, the approved rates </w:t>
      </w:r>
      <w:r w:rsidR="00A94949" w:rsidRPr="00A94949">
        <w:t xml:space="preserve">shall </w:t>
      </w:r>
      <w:r w:rsidR="001A6832" w:rsidRPr="001A6832">
        <w:t xml:space="preserve">not be implemented until </w:t>
      </w:r>
      <w:r w:rsidR="00A94949">
        <w:t xml:space="preserve">Commission </w:t>
      </w:r>
      <w:r w:rsidR="001A6832" w:rsidRPr="001A6832">
        <w:t xml:space="preserve">staff has approved the proposed customer notice and the notice has been received by the customers. The </w:t>
      </w:r>
      <w:r w:rsidR="003D4918">
        <w:t>Utility</w:t>
      </w:r>
      <w:r w:rsidR="001A6832" w:rsidRPr="001A6832">
        <w:t xml:space="preserve"> </w:t>
      </w:r>
      <w:r w:rsidR="00A94949" w:rsidRPr="00A94949">
        <w:t xml:space="preserve">shall </w:t>
      </w:r>
      <w:r w:rsidR="001A6832" w:rsidRPr="001A6832">
        <w:t>provide proof of the date notice was given within 10 days of the date of the notice.</w:t>
      </w:r>
    </w:p>
    <w:p w:rsidR="003649C9" w:rsidRDefault="003649C9" w:rsidP="003649C9">
      <w:pPr>
        <w:outlineLvl w:val="0"/>
        <w:rPr>
          <w:bCs/>
          <w:kern w:val="32"/>
          <w:szCs w:val="32"/>
          <w:u w:val="single"/>
        </w:rPr>
      </w:pPr>
    </w:p>
    <w:p w:rsidR="00B8369A" w:rsidRPr="00B8369A" w:rsidRDefault="00B8369A" w:rsidP="003649C9">
      <w:pPr>
        <w:jc w:val="center"/>
        <w:outlineLvl w:val="0"/>
        <w:rPr>
          <w:bCs/>
          <w:kern w:val="32"/>
          <w:szCs w:val="32"/>
          <w:u w:val="single"/>
        </w:rPr>
      </w:pPr>
      <w:r w:rsidRPr="00B8369A">
        <w:rPr>
          <w:bCs/>
          <w:kern w:val="32"/>
          <w:szCs w:val="32"/>
          <w:u w:val="single"/>
        </w:rPr>
        <w:t>Four-Year Rate Reduction</w:t>
      </w:r>
    </w:p>
    <w:p w:rsidR="00B8369A" w:rsidRDefault="00B8369A" w:rsidP="00B8369A">
      <w:pPr>
        <w:jc w:val="both"/>
        <w:outlineLvl w:val="0"/>
        <w:rPr>
          <w:rFonts w:ascii="Arial" w:hAnsi="Arial" w:cs="Arial"/>
          <w:b/>
          <w:bCs/>
          <w:i/>
          <w:kern w:val="32"/>
          <w:szCs w:val="32"/>
        </w:rPr>
      </w:pPr>
    </w:p>
    <w:p w:rsidR="001A6832" w:rsidRPr="001A6832" w:rsidRDefault="001A6832" w:rsidP="00B8369A">
      <w:pPr>
        <w:ind w:firstLine="720"/>
        <w:jc w:val="both"/>
        <w:outlineLvl w:val="0"/>
      </w:pPr>
      <w:r w:rsidRPr="001A6832">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$6,075 for water and $22,853 for wastewater. </w:t>
      </w:r>
    </w:p>
    <w:p w:rsidR="001A6832" w:rsidRPr="001A6832" w:rsidRDefault="001A6832" w:rsidP="00EC0B1C">
      <w:pPr>
        <w:jc w:val="both"/>
      </w:pPr>
    </w:p>
    <w:p w:rsidR="001A6832" w:rsidRPr="001A6832" w:rsidRDefault="001A6832" w:rsidP="00B8369A">
      <w:pPr>
        <w:ind w:firstLine="720"/>
        <w:jc w:val="both"/>
      </w:pPr>
      <w:r w:rsidRPr="001A6832">
        <w:t xml:space="preserve">The water and wastewater rates </w:t>
      </w:r>
      <w:r w:rsidR="00B8369A" w:rsidRPr="00B8369A">
        <w:t xml:space="preserve">shall </w:t>
      </w:r>
      <w:r w:rsidRPr="001A6832">
        <w:t xml:space="preserve">be reduced as shown on Schedule Nos. 4-A and 4-B to remove rate case expense grossed-up for RAFs and amortized over a four-year period. The decrease in rates </w:t>
      </w:r>
      <w:r w:rsidR="00B8369A" w:rsidRPr="00B8369A">
        <w:t xml:space="preserve">shall </w:t>
      </w:r>
      <w:r w:rsidRPr="001A6832">
        <w:t xml:space="preserve">become effective immediately following the expiration of the four-year rate case expense recovery period, pursuant to Section 367.0816, F.S. Ni Florida </w:t>
      </w:r>
      <w:r w:rsidR="00B8369A" w:rsidRPr="00B8369A">
        <w:t xml:space="preserve">shall </w:t>
      </w:r>
      <w:r w:rsidRPr="001A6832">
        <w:t xml:space="preserve">be </w:t>
      </w:r>
      <w:r w:rsidRPr="001A6832">
        <w:lastRenderedPageBreak/>
        <w:t xml:space="preserve">required to file revised tariffs and a proposed customer notice setting forth the lower rates and the reason for the reduction no later than one month prior to the actual date of the required rate reduction. If the </w:t>
      </w:r>
      <w:r w:rsidR="003D4918">
        <w:t>Utility</w:t>
      </w:r>
      <w:r w:rsidRPr="001A6832">
        <w:t xml:space="preserve"> files this reduction in conjunction with a price index or pass-through rate adjustment, separate data </w:t>
      </w:r>
      <w:r w:rsidR="00B8369A" w:rsidRPr="00B8369A">
        <w:t xml:space="preserve">shall </w:t>
      </w:r>
      <w:r w:rsidRPr="001A6832">
        <w:t>be filed for the price index and/or pass-through increase or decrease and the reduction in the rates due to the amortized rate case expense.</w:t>
      </w:r>
    </w:p>
    <w:p w:rsidR="00B8369A" w:rsidRPr="003649C9" w:rsidRDefault="00B8369A" w:rsidP="00EC0B1C">
      <w:pPr>
        <w:jc w:val="both"/>
        <w:outlineLvl w:val="1"/>
        <w:rPr>
          <w:rFonts w:ascii="Arial" w:hAnsi="Arial" w:cs="Arial"/>
          <w:bCs/>
          <w:kern w:val="32"/>
          <w:szCs w:val="32"/>
        </w:rPr>
      </w:pPr>
    </w:p>
    <w:p w:rsidR="00B8369A" w:rsidRPr="003649C9" w:rsidRDefault="00B8369A" w:rsidP="00B8369A">
      <w:pPr>
        <w:jc w:val="center"/>
        <w:outlineLvl w:val="1"/>
        <w:rPr>
          <w:bCs/>
          <w:kern w:val="32"/>
          <w:szCs w:val="32"/>
          <w:u w:val="single"/>
        </w:rPr>
      </w:pPr>
      <w:r w:rsidRPr="003649C9">
        <w:rPr>
          <w:bCs/>
          <w:kern w:val="32"/>
          <w:szCs w:val="32"/>
          <w:u w:val="single"/>
        </w:rPr>
        <w:t>Reconnection and Meter Re-reads</w:t>
      </w:r>
    </w:p>
    <w:p w:rsidR="00B8369A" w:rsidRPr="00FB6DF5" w:rsidRDefault="00B8369A" w:rsidP="00EC0B1C">
      <w:pPr>
        <w:jc w:val="both"/>
        <w:outlineLvl w:val="1"/>
        <w:rPr>
          <w:rFonts w:ascii="Arial" w:hAnsi="Arial" w:cs="Arial"/>
          <w:bCs/>
          <w:i/>
          <w:kern w:val="32"/>
          <w:szCs w:val="32"/>
        </w:rPr>
      </w:pPr>
    </w:p>
    <w:p w:rsidR="001A6832" w:rsidRPr="001A6832" w:rsidRDefault="001A6832" w:rsidP="00B8369A">
      <w:pPr>
        <w:ind w:firstLine="720"/>
        <w:jc w:val="both"/>
        <w:outlineLvl w:val="1"/>
        <w:rPr>
          <w:bCs/>
          <w:iCs/>
          <w:szCs w:val="28"/>
        </w:rPr>
      </w:pPr>
      <w:r w:rsidRPr="001A6832">
        <w:rPr>
          <w:bCs/>
          <w:iCs/>
          <w:szCs w:val="28"/>
        </w:rPr>
        <w:t xml:space="preserve">Ni Florida provides wastewater-only service for its customers in Pasco County. The water service is provided by two utilities: </w:t>
      </w:r>
      <w:r w:rsidR="003649C9" w:rsidRPr="003649C9">
        <w:rPr>
          <w:bCs/>
          <w:iCs/>
          <w:szCs w:val="28"/>
        </w:rPr>
        <w:t xml:space="preserve">Pasco County </w:t>
      </w:r>
      <w:r w:rsidR="003649C9">
        <w:rPr>
          <w:bCs/>
          <w:iCs/>
          <w:szCs w:val="28"/>
        </w:rPr>
        <w:t xml:space="preserve">and </w:t>
      </w:r>
      <w:r w:rsidRPr="001A6832">
        <w:rPr>
          <w:bCs/>
          <w:iCs/>
          <w:szCs w:val="28"/>
        </w:rPr>
        <w:t xml:space="preserve">Hudson Water Works </w:t>
      </w:r>
      <w:r w:rsidR="003649C9">
        <w:rPr>
          <w:bCs/>
          <w:iCs/>
          <w:szCs w:val="28"/>
        </w:rPr>
        <w:t>(water providers)</w:t>
      </w:r>
      <w:r w:rsidRPr="001A6832">
        <w:rPr>
          <w:bCs/>
          <w:iCs/>
          <w:szCs w:val="28"/>
        </w:rPr>
        <w:t xml:space="preserve">. In the past, the </w:t>
      </w:r>
      <w:r w:rsidR="003D4918">
        <w:rPr>
          <w:bCs/>
          <w:iCs/>
          <w:szCs w:val="28"/>
        </w:rPr>
        <w:t>Utility</w:t>
      </w:r>
      <w:r w:rsidRPr="001A6832">
        <w:rPr>
          <w:bCs/>
          <w:iCs/>
          <w:szCs w:val="28"/>
        </w:rPr>
        <w:t xml:space="preserve"> experienced a high level of bad debt expense due to uncollectable accounts. Ni Florida does not have the ability to disconnect water service when a customer is delinquent in paying for wastewater ser</w:t>
      </w:r>
      <w:r w:rsidR="00B8369A">
        <w:rPr>
          <w:bCs/>
          <w:iCs/>
          <w:szCs w:val="28"/>
        </w:rPr>
        <w:t>vice. In the last rate case, this</w:t>
      </w:r>
      <w:r w:rsidRPr="001A6832">
        <w:rPr>
          <w:bCs/>
          <w:iCs/>
          <w:szCs w:val="28"/>
        </w:rPr>
        <w:t xml:space="preserve"> Commission approved pro forma additions for the installation of elder valves, which are lockable, disconnection, cleanout devices consisting of a special tee and plunger that is used to stop all flow from the customer’s property to the wastewater system. As in the past, the Ni Florida currently has customers with large outstanding balances.</w:t>
      </w:r>
    </w:p>
    <w:p w:rsidR="00B8369A" w:rsidRDefault="00B8369A" w:rsidP="00EC0B1C">
      <w:pPr>
        <w:jc w:val="both"/>
      </w:pPr>
    </w:p>
    <w:p w:rsidR="001A6832" w:rsidRDefault="001A6832" w:rsidP="00B8369A">
      <w:pPr>
        <w:ind w:firstLine="720"/>
        <w:jc w:val="both"/>
      </w:pPr>
      <w:r w:rsidRPr="001A6832">
        <w:t>Ni Florida believes that customer service and billing issues can be better addressed through joint agreement</w:t>
      </w:r>
      <w:r w:rsidR="003649C9">
        <w:t>s</w:t>
      </w:r>
      <w:r w:rsidR="00D20CD7">
        <w:t xml:space="preserve"> with the water providers of its wastewater customers</w:t>
      </w:r>
      <w:r w:rsidRPr="001A6832">
        <w:t>. Such agreement</w:t>
      </w:r>
      <w:r w:rsidR="003649C9">
        <w:t>s</w:t>
      </w:r>
      <w:r w:rsidRPr="001A6832">
        <w:t xml:space="preserve"> will eliminate the need for Ni Florida to install elder valves to shut off a customer’s service for non-payment and will provide meter reading and violation reconnection services for </w:t>
      </w:r>
      <w:r w:rsidR="003649C9">
        <w:t>its</w:t>
      </w:r>
      <w:r w:rsidRPr="001A6832">
        <w:t xml:space="preserve"> wastewater-only customers within </w:t>
      </w:r>
      <w:r w:rsidR="003649C9">
        <w:t xml:space="preserve">each water provider’s respective </w:t>
      </w:r>
      <w:r w:rsidRPr="001A6832">
        <w:t xml:space="preserve">service area. Pursuant to </w:t>
      </w:r>
      <w:r w:rsidR="003649C9">
        <w:t>the respective agreements, the water providers</w:t>
      </w:r>
      <w:r w:rsidRPr="001A6832">
        <w:t xml:space="preserve"> will disconnect water service for a delinquent account within five days of a written notice from Ni Florida. Pasco County will assess Ni Florida its current prevailing charge of  $125.00 (normal hours) and $187.50 (after-hours) for shut-off and restoration services, which is a violation reconnection charge pursuant to Rule 25-30.460, F.A.C. </w:t>
      </w:r>
      <w:r w:rsidR="003649C9">
        <w:t xml:space="preserve">Hudson Water Works will assess $45 for disconnection and $45 for reconnection, which totals $90 for the violation reconnection charge. </w:t>
      </w:r>
      <w:r w:rsidRPr="001A6832">
        <w:t>As result</w:t>
      </w:r>
      <w:r w:rsidR="003649C9">
        <w:t xml:space="preserve"> of the Pasco County agreement</w:t>
      </w:r>
      <w:r w:rsidRPr="001A6832">
        <w:t xml:space="preserve">, Ni Florida requested to increase its normal reconnection and violation reconnection charges to $125.00 and $187.50 for normal hours and after-hours, respectively. The agreement addresses reconnections only in terms of reconnecting service after a disconnection. Therefore, </w:t>
      </w:r>
      <w:r w:rsidR="00B8369A">
        <w:t>we do</w:t>
      </w:r>
      <w:r w:rsidRPr="001A6832">
        <w:t xml:space="preserve"> not </w:t>
      </w:r>
      <w:r w:rsidR="00B8369A">
        <w:t xml:space="preserve">find it </w:t>
      </w:r>
      <w:r w:rsidRPr="001A6832">
        <w:t>appropriate to increase th</w:t>
      </w:r>
      <w:r w:rsidR="00D20CD7">
        <w:t>e normal reconnection charge. In its filing, Ni Florida did not request the violation reconnection charge that coincides with its agreement with Hudson Water Works.</w:t>
      </w:r>
    </w:p>
    <w:p w:rsidR="00D20CD7" w:rsidRPr="001A6832" w:rsidRDefault="00D20CD7" w:rsidP="00FB6DF5">
      <w:pPr>
        <w:jc w:val="both"/>
      </w:pPr>
    </w:p>
    <w:p w:rsidR="001A6832" w:rsidRPr="001A6832" w:rsidRDefault="001A6832" w:rsidP="00B8369A">
      <w:pPr>
        <w:ind w:firstLine="720"/>
        <w:jc w:val="both"/>
      </w:pPr>
      <w:r w:rsidRPr="001A6832">
        <w:t xml:space="preserve">In addition, Pasco County </w:t>
      </w:r>
      <w:r w:rsidR="00D20CD7">
        <w:t>and Hudson Water Works provide</w:t>
      </w:r>
      <w:r w:rsidRPr="001A6832">
        <w:t xml:space="preserve"> meter reading for Ni Florida’s wastewater billing. Pursuant to </w:t>
      </w:r>
      <w:r w:rsidR="00D20CD7">
        <w:t xml:space="preserve">each respective agreement, the water providers </w:t>
      </w:r>
      <w:r w:rsidRPr="001A6832">
        <w:t xml:space="preserve">will perform a meter re-read, at the request of Ni Florida, if there is a discrepancy in the billing. The cost of meter re-read is $20 </w:t>
      </w:r>
      <w:r w:rsidR="00D20CD7">
        <w:t xml:space="preserve">for Pasco County and $15 for Hudson Water Works </w:t>
      </w:r>
      <w:r w:rsidRPr="001A6832">
        <w:t xml:space="preserve">if the meter reading is correct and no charge if the initial reading is determined to be incorrect. Therefore, Ni Florida requested to implement a meter re-read at $20. </w:t>
      </w:r>
      <w:r w:rsidR="00D20CD7">
        <w:t xml:space="preserve">In its filing, Ni Florida did request the meter re-read charge that coincides with its agreement with Hudson Water Works. </w:t>
      </w:r>
      <w:r w:rsidR="00B8369A">
        <w:t>We believe that</w:t>
      </w:r>
      <w:r w:rsidRPr="001A6832">
        <w:t xml:space="preserve"> </w:t>
      </w:r>
      <w:r w:rsidR="00D20CD7">
        <w:t>both agreements with the water providers are reasonable remedies</w:t>
      </w:r>
      <w:r w:rsidRPr="001A6832">
        <w:t xml:space="preserve"> for handling delinquent accounts and meter re-reads on going-forward basis</w:t>
      </w:r>
      <w:r w:rsidR="00D20CD7">
        <w:t xml:space="preserve"> for its wastewater-only customers</w:t>
      </w:r>
      <w:r w:rsidRPr="001A6832">
        <w:t xml:space="preserve">. </w:t>
      </w:r>
    </w:p>
    <w:p w:rsidR="00B8369A" w:rsidRDefault="00B8369A" w:rsidP="00EC0B1C">
      <w:pPr>
        <w:jc w:val="both"/>
      </w:pPr>
    </w:p>
    <w:p w:rsidR="00D20CD7" w:rsidRDefault="001A6832" w:rsidP="00B8369A">
      <w:pPr>
        <w:ind w:firstLine="720"/>
        <w:jc w:val="both"/>
      </w:pPr>
      <w:r w:rsidRPr="001A6832">
        <w:t xml:space="preserve">Based on the above, </w:t>
      </w:r>
      <w:r w:rsidR="00D20CD7">
        <w:t>the wastewater violation reconnection charge</w:t>
      </w:r>
      <w:r w:rsidR="00126849">
        <w:t xml:space="preserve"> for Pasco County water customers</w:t>
      </w:r>
      <w:r w:rsidR="00D20CD7">
        <w:t xml:space="preserve"> shall be $125.00 and $287.00 during normal business hours and after hours, respectively; and $20.00 for meter re-reads.  The wastewater violation reconnection charge for Hudson Water Works customers shall be $90.00</w:t>
      </w:r>
      <w:r w:rsidR="00126849">
        <w:t>,</w:t>
      </w:r>
      <w:r w:rsidR="00D20CD7">
        <w:t xml:space="preserve"> and $15.00 for meter re-reads.  The</w:t>
      </w:r>
      <w:r w:rsidR="00126849">
        <w:t>se</w:t>
      </w:r>
      <w:r w:rsidR="00D20CD7">
        <w:t xml:space="preserve"> charges shall be effective on or after the stamped approval date on the tariff pursuant to Rule 25-30.475, F.A.C. In addition, these approved charges shall not be implemented until Commission staff has approved the proposed customer notice and the notice has been received by the customers.  The Utility shall provide proof of the date the notice was given with</w:t>
      </w:r>
      <w:r w:rsidR="00126849">
        <w:t xml:space="preserve"> 10 days of the date of the notice.</w:t>
      </w:r>
    </w:p>
    <w:p w:rsidR="00B8369A" w:rsidRPr="00FB6DF5" w:rsidRDefault="00B8369A" w:rsidP="00EC0B1C">
      <w:pPr>
        <w:jc w:val="both"/>
        <w:rPr>
          <w:rFonts w:ascii="Arial" w:hAnsi="Arial" w:cs="Arial"/>
          <w:bCs/>
          <w:i/>
          <w:kern w:val="32"/>
          <w:szCs w:val="32"/>
        </w:rPr>
      </w:pPr>
    </w:p>
    <w:p w:rsidR="00B8369A" w:rsidRPr="00FB6DF5" w:rsidRDefault="00B8369A" w:rsidP="00B8369A">
      <w:pPr>
        <w:jc w:val="center"/>
        <w:rPr>
          <w:bCs/>
          <w:kern w:val="32"/>
          <w:szCs w:val="32"/>
          <w:u w:val="single"/>
        </w:rPr>
      </w:pPr>
      <w:r w:rsidRPr="00FB6DF5">
        <w:rPr>
          <w:bCs/>
          <w:kern w:val="32"/>
          <w:szCs w:val="32"/>
          <w:u w:val="single"/>
        </w:rPr>
        <w:t>Customer Deposits</w:t>
      </w:r>
    </w:p>
    <w:p w:rsidR="00B8369A" w:rsidRPr="00FB6DF5" w:rsidRDefault="00B8369A" w:rsidP="00EC0B1C">
      <w:pPr>
        <w:jc w:val="both"/>
        <w:rPr>
          <w:rFonts w:ascii="Arial" w:hAnsi="Arial" w:cs="Arial"/>
          <w:bCs/>
          <w:i/>
          <w:kern w:val="32"/>
          <w:szCs w:val="32"/>
        </w:rPr>
      </w:pPr>
    </w:p>
    <w:p w:rsidR="001A6832" w:rsidRPr="001A6832" w:rsidRDefault="001A6832" w:rsidP="00B8369A">
      <w:pPr>
        <w:ind w:firstLine="720"/>
        <w:jc w:val="both"/>
      </w:pPr>
      <w:r w:rsidRPr="001A6832">
        <w:t xml:space="preserve">Rule 25-30.311, F.A.C., provides the criteria for collecting, administering, and refunding customer deposits. Customer deposits are designed to minimize the exposure of bad debt expense for the </w:t>
      </w:r>
      <w:r w:rsidR="003D4918">
        <w:t>Utility</w:t>
      </w:r>
      <w:r w:rsidRPr="001A6832">
        <w:t xml:space="preserve"> and, ultimately, the general body of ratepayers. An initial customer deposit ensures that the cost of providing service is recovered from th</w:t>
      </w:r>
      <w:r w:rsidR="00B8369A">
        <w:t>e cost causer. Historically, this</w:t>
      </w:r>
      <w:r w:rsidRPr="001A6832">
        <w:t xml:space="preserve"> Commission has set initial customer deposits equal to two times the average estimated bill.</w:t>
      </w:r>
      <w:r w:rsidRPr="001A6832">
        <w:rPr>
          <w:color w:val="000000"/>
          <w:vertAlign w:val="superscript"/>
        </w:rPr>
        <w:footnoteReference w:id="38"/>
      </w:r>
      <w:r w:rsidRPr="001A6832">
        <w:rPr>
          <w:color w:val="000000"/>
        </w:rPr>
        <w:t xml:space="preserve">  </w:t>
      </w:r>
      <w:r w:rsidRPr="001A6832">
        <w:t xml:space="preserve">Currently, the </w:t>
      </w:r>
      <w:r w:rsidR="003D4918">
        <w:t>Utility</w:t>
      </w:r>
      <w:r w:rsidRPr="001A6832">
        <w:t xml:space="preserve">’s initial deposits for residential and general service are $40 for 5/8 x 3/4 inch meter size, $50 for 1 inch meter size, and $60 for 1 1/2 inch meter size for water. For wastewater, the current initial customer deposit for the 5/8 x 3/4 inch meter size is $72 and two times the average estimated bill for the general service meter sizes. Based on </w:t>
      </w:r>
      <w:r w:rsidR="00B8369A">
        <w:t>the approved</w:t>
      </w:r>
      <w:r w:rsidRPr="001A6832">
        <w:t xml:space="preserve"> water rates and post repression average residential demand, the appropriate initial customer deposit </w:t>
      </w:r>
      <w:r w:rsidR="00B8369A" w:rsidRPr="00B8369A">
        <w:t xml:space="preserve">shall </w:t>
      </w:r>
      <w:r w:rsidR="002526F3">
        <w:t>be $50</w:t>
      </w:r>
      <w:r w:rsidRPr="001A6832">
        <w:t xml:space="preserve"> to reflect an average residential customer bill for two months. The appropriate initial customer deposit for wastewater </w:t>
      </w:r>
      <w:r w:rsidR="00B8369A" w:rsidRPr="00B8369A">
        <w:t xml:space="preserve">shall </w:t>
      </w:r>
      <w:r w:rsidRPr="001A6832">
        <w:t xml:space="preserve">be $91 to reflect an average residential customer bill for two months. </w:t>
      </w:r>
    </w:p>
    <w:p w:rsidR="001A6832" w:rsidRPr="001A6832" w:rsidRDefault="001A6832" w:rsidP="00EC0B1C">
      <w:pPr>
        <w:jc w:val="both"/>
      </w:pPr>
    </w:p>
    <w:p w:rsidR="001A6832" w:rsidRPr="001A6832" w:rsidRDefault="00B8369A" w:rsidP="00B8369A">
      <w:pPr>
        <w:ind w:firstLine="720"/>
        <w:jc w:val="both"/>
      </w:pPr>
      <w:r>
        <w:t>T</w:t>
      </w:r>
      <w:r w:rsidR="001A6832" w:rsidRPr="001A6832">
        <w:t xml:space="preserve">he appropriate initial customer deposits </w:t>
      </w:r>
      <w:r w:rsidRPr="00B8369A">
        <w:t xml:space="preserve">shall </w:t>
      </w:r>
      <w:r w:rsidR="002526F3">
        <w:t>be $50</w:t>
      </w:r>
      <w:r w:rsidR="001A6832" w:rsidRPr="001A6832">
        <w:t xml:space="preserve"> and $91 for the residential 5/8 inch x 3/4 inch meter size for water and wastewater, respectively. The initial customer deposits for all other residential meter sizes and all general service meter sizes should be two times the average estimated bill for water and wastewater. The approved initial customer deposits </w:t>
      </w:r>
      <w:r w:rsidRPr="00B8369A">
        <w:t xml:space="preserve">shall </w:t>
      </w:r>
      <w:r w:rsidR="001A6832" w:rsidRPr="001A6832">
        <w:t xml:space="preserve">be effective for services rendered or connections made on or after the stamped approval date on the tariff sheets, pursuant to Rule 25-30.475, F.A.C. The </w:t>
      </w:r>
      <w:r w:rsidR="003D4918">
        <w:t>Utility</w:t>
      </w:r>
      <w:r w:rsidR="001A6832" w:rsidRPr="001A6832">
        <w:t xml:space="preserve"> </w:t>
      </w:r>
      <w:r w:rsidRPr="00B8369A">
        <w:t xml:space="preserve">shall </w:t>
      </w:r>
      <w:r w:rsidR="001A6832" w:rsidRPr="001A6832">
        <w:t xml:space="preserve">be required to collect the approved deposits until </w:t>
      </w:r>
      <w:r>
        <w:t>authorized to change them by this</w:t>
      </w:r>
      <w:r w:rsidR="001A6832" w:rsidRPr="001A6832">
        <w:t xml:space="preserve"> Commission in a subsequent proceeding.</w:t>
      </w:r>
    </w:p>
    <w:p w:rsidR="001A6832" w:rsidRPr="001A6832" w:rsidRDefault="001A6832" w:rsidP="00EC0B1C">
      <w:pPr>
        <w:jc w:val="both"/>
      </w:pPr>
    </w:p>
    <w:p w:rsidR="00B8369A" w:rsidRPr="00B8369A" w:rsidRDefault="00B8369A" w:rsidP="00B8369A">
      <w:pPr>
        <w:jc w:val="center"/>
        <w:rPr>
          <w:bCs/>
          <w:kern w:val="32"/>
          <w:szCs w:val="32"/>
          <w:u w:val="single"/>
        </w:rPr>
      </w:pPr>
      <w:r w:rsidRPr="00B8369A">
        <w:rPr>
          <w:bCs/>
          <w:kern w:val="32"/>
          <w:szCs w:val="32"/>
          <w:u w:val="single"/>
        </w:rPr>
        <w:t>Service Availability Charge</w:t>
      </w:r>
    </w:p>
    <w:p w:rsidR="00B8369A" w:rsidRPr="00FB6DF5" w:rsidRDefault="00B8369A" w:rsidP="00EC0B1C">
      <w:pPr>
        <w:jc w:val="both"/>
        <w:rPr>
          <w:rFonts w:ascii="Arial" w:hAnsi="Arial" w:cs="Arial"/>
          <w:bCs/>
          <w:i/>
          <w:kern w:val="32"/>
          <w:szCs w:val="32"/>
        </w:rPr>
      </w:pPr>
    </w:p>
    <w:p w:rsidR="001A6832" w:rsidRPr="001A6832" w:rsidRDefault="001A6832" w:rsidP="00B8369A">
      <w:pPr>
        <w:ind w:firstLine="720"/>
        <w:jc w:val="both"/>
      </w:pPr>
      <w:r w:rsidRPr="001A6832">
        <w:t xml:space="preserve">In its filing, the </w:t>
      </w:r>
      <w:r w:rsidR="003D4918">
        <w:t>Utility</w:t>
      </w:r>
      <w:r w:rsidRPr="001A6832">
        <w:t xml:space="preserve"> did not propose to change its service availability charges. The </w:t>
      </w:r>
      <w:r w:rsidR="003D4918">
        <w:t>Utility</w:t>
      </w:r>
      <w:r w:rsidRPr="001A6832">
        <w:t xml:space="preserve"> does not currently have any service availability charges for its water system. In Docket No. 830558</w:t>
      </w:r>
      <w:r w:rsidR="00B8369A">
        <w:t>-WS, this</w:t>
      </w:r>
      <w:r w:rsidRPr="001A6832">
        <w:t xml:space="preserve"> Commission determined that no service availability charges were appropriate because the CIAC level was appropriate and the </w:t>
      </w:r>
      <w:r w:rsidR="003D4918">
        <w:t>Utility</w:t>
      </w:r>
      <w:r w:rsidRPr="001A6832">
        <w:t xml:space="preserve">’s service area was nearly </w:t>
      </w:r>
      <w:r w:rsidRPr="001A6832">
        <w:lastRenderedPageBreak/>
        <w:t>built out.</w:t>
      </w:r>
      <w:r w:rsidRPr="001A6832">
        <w:rPr>
          <w:vertAlign w:val="superscript"/>
        </w:rPr>
        <w:footnoteReference w:id="39"/>
      </w:r>
      <w:r w:rsidRPr="001A6832">
        <w:t xml:space="preserve"> The current service availability charges for wastewater were last approved in Docket No. 020254-SU,</w:t>
      </w:r>
      <w:r w:rsidRPr="001A6832">
        <w:rPr>
          <w:vertAlign w:val="superscript"/>
        </w:rPr>
        <w:footnoteReference w:id="40"/>
      </w:r>
      <w:r w:rsidRPr="001A6832">
        <w:t xml:space="preserve"> which consists of a system capacity charge of $2,400.  </w:t>
      </w:r>
    </w:p>
    <w:p w:rsidR="001A6832" w:rsidRPr="001A6832" w:rsidRDefault="001A6832" w:rsidP="00EC0B1C">
      <w:pPr>
        <w:jc w:val="both"/>
      </w:pPr>
    </w:p>
    <w:p w:rsidR="001A6832" w:rsidRPr="001A6832" w:rsidRDefault="001A6832" w:rsidP="00B8369A">
      <w:pPr>
        <w:ind w:firstLine="720"/>
        <w:jc w:val="both"/>
      </w:pPr>
      <w:r w:rsidRPr="001A6832">
        <w:t xml:space="preserve">A system capacity charge is a single service availability charge that includes the cost of both plant and lines. For a </w:t>
      </w:r>
      <w:r w:rsidR="003D4918">
        <w:t>Utility</w:t>
      </w:r>
      <w:r w:rsidRPr="001A6832">
        <w:t xml:space="preserve">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 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w:t>
      </w:r>
      <w:r w:rsidR="003D4918">
        <w:t>Utility</w:t>
      </w:r>
      <w:r w:rsidRPr="001A6832">
        <w:t xml:space="preserve">’s facilities and plant when the facilities and plant are at their designed capacity. The minimum amount of CIAC should not be less than the percentage of such facilities and plant that is represented by the water transmission and distribution system and sewage collection systems.  </w:t>
      </w:r>
    </w:p>
    <w:p w:rsidR="001A6832" w:rsidRPr="001A6832" w:rsidRDefault="001A6832" w:rsidP="00EC0B1C">
      <w:pPr>
        <w:jc w:val="both"/>
      </w:pPr>
    </w:p>
    <w:p w:rsidR="001A6832" w:rsidRPr="001A6832" w:rsidRDefault="001A6832" w:rsidP="00B8369A">
      <w:pPr>
        <w:ind w:firstLine="720"/>
        <w:jc w:val="both"/>
      </w:pPr>
      <w:r w:rsidRPr="001A6832">
        <w:t xml:space="preserve">The current contribution levels are zero percent and 30.51 percent for water and wastewater, respectively. Current policy for water requires developers to donate or contribute the lines and facilities necessary to serve customers in service territory that the </w:t>
      </w:r>
      <w:r w:rsidR="003D4918">
        <w:t>Utility</w:t>
      </w:r>
      <w:r w:rsidRPr="001A6832">
        <w:t xml:space="preserve"> does not have faciliti</w:t>
      </w:r>
      <w:r w:rsidR="00B8369A">
        <w:t>es. In Docket No. 830558-WS, this</w:t>
      </w:r>
      <w:r w:rsidRPr="001A6832">
        <w:t xml:space="preserve"> Commission imputed CIAC for the cost of the lines. Ni Florida’s CIAC for water is fully amortized. Therefore, a main extension charge is not appropriate for the water system. In addition, for the water system, the service territory is approximately 97 percent built out and historically, customers have not paid service availability charges. As result, </w:t>
      </w:r>
      <w:r w:rsidR="00B8369A">
        <w:t xml:space="preserve">we do </w:t>
      </w:r>
      <w:r w:rsidRPr="001A6832">
        <w:t>not</w:t>
      </w:r>
      <w:r w:rsidR="00B8369A">
        <w:t xml:space="preserve"> find it</w:t>
      </w:r>
      <w:r w:rsidRPr="001A6832">
        <w:t xml:space="preserve"> appropriate to impose a charge on the remaining three percent. As result, the water system </w:t>
      </w:r>
      <w:r w:rsidR="00BE56A1">
        <w:t>shall continue without</w:t>
      </w:r>
      <w:r w:rsidRPr="001A6832">
        <w:t xml:space="preserve"> service availability charges and its existing policy that requires the developers to donate or contribute the lines and facilities necessary to serve customers in </w:t>
      </w:r>
      <w:r w:rsidR="004341A2">
        <w:t xml:space="preserve">the </w:t>
      </w:r>
      <w:r w:rsidRPr="001A6832">
        <w:t xml:space="preserve">service territory that the </w:t>
      </w:r>
      <w:r w:rsidR="003D4918">
        <w:t>Utility</w:t>
      </w:r>
      <w:r w:rsidRPr="001A6832">
        <w:t xml:space="preserve"> does not have facilities. Below is the discussion in regards to the appropriate wastewater service availability charges.</w:t>
      </w:r>
    </w:p>
    <w:p w:rsidR="001A6832" w:rsidRPr="001A6832" w:rsidRDefault="001A6832" w:rsidP="00EC0B1C">
      <w:pPr>
        <w:jc w:val="both"/>
      </w:pPr>
    </w:p>
    <w:p w:rsidR="001A6832" w:rsidRPr="00B8369A" w:rsidRDefault="001A6832" w:rsidP="00B8369A">
      <w:pPr>
        <w:rPr>
          <w:u w:val="single"/>
        </w:rPr>
      </w:pPr>
      <w:r w:rsidRPr="00B8369A">
        <w:rPr>
          <w:u w:val="single"/>
        </w:rPr>
        <w:t>Main Extension Charge</w:t>
      </w:r>
    </w:p>
    <w:p w:rsidR="00B8369A" w:rsidRDefault="00B8369A" w:rsidP="00EC0B1C">
      <w:pPr>
        <w:jc w:val="both"/>
      </w:pPr>
    </w:p>
    <w:p w:rsidR="001A6832" w:rsidRPr="001A6832" w:rsidRDefault="001A6832" w:rsidP="00B8369A">
      <w:pPr>
        <w:ind w:firstLine="720"/>
        <w:jc w:val="both"/>
      </w:pPr>
      <w:r w:rsidRPr="001A6832">
        <w:t xml:space="preserve">Ni Florida’s current service availability policy for wastewater requires that the </w:t>
      </w:r>
      <w:r w:rsidR="003D4918">
        <w:t>Utility</w:t>
      </w:r>
      <w:r w:rsidRPr="001A6832">
        <w:t xml:space="preserve"> installs all of the facilities necessary to provide sewer service to a property. The customers must pay their pro rata share of the cost of the wastewater collection system which is installed by the </w:t>
      </w:r>
      <w:r w:rsidR="003D4918">
        <w:t>Utility</w:t>
      </w:r>
      <w:r w:rsidRPr="001A6832">
        <w:t xml:space="preserve">. The cost of the sewage collection system is $5,339,566 and the lines have a design capacity of 3,800 ERCs. Based on the historical cost of the existing sewage collection systems, </w:t>
      </w:r>
      <w:r w:rsidR="00B8369A">
        <w:t>we hereby approve</w:t>
      </w:r>
      <w:r w:rsidRPr="001A6832">
        <w:t xml:space="preserve"> a charge of $1,405 per ERC for the wastewater system. </w:t>
      </w:r>
    </w:p>
    <w:p w:rsidR="001A6832" w:rsidRPr="001A6832" w:rsidRDefault="001A6832" w:rsidP="00EC0B1C">
      <w:pPr>
        <w:jc w:val="both"/>
      </w:pPr>
    </w:p>
    <w:p w:rsidR="00FB6DF5" w:rsidRDefault="00FB6DF5">
      <w:r>
        <w:br w:type="page"/>
      </w:r>
    </w:p>
    <w:p w:rsidR="001A6832" w:rsidRPr="001A6832" w:rsidRDefault="00B8369A" w:rsidP="00B8369A">
      <w:pPr>
        <w:ind w:firstLine="720"/>
        <w:jc w:val="both"/>
      </w:pPr>
      <w:r>
        <w:lastRenderedPageBreak/>
        <w:t xml:space="preserve">The approved </w:t>
      </w:r>
      <w:r w:rsidR="001A6832" w:rsidRPr="001A6832">
        <w:t xml:space="preserve">main extension charges for wastewater, is consistent with the guidelines in Rule 25-30.580, F.A.C., which require that, at a minimum, the cost of the </w:t>
      </w:r>
      <w:r w:rsidR="003D4918">
        <w:t>Utility</w:t>
      </w:r>
      <w:r w:rsidR="001A6832" w:rsidRPr="001A6832">
        <w:t xml:space="preserve">’s lines should be contributed. </w:t>
      </w:r>
      <w:r>
        <w:t xml:space="preserve">The approved </w:t>
      </w:r>
      <w:r w:rsidR="001A6832" w:rsidRPr="001A6832">
        <w:t xml:space="preserve">main extension charge wastewater will allow the </w:t>
      </w:r>
      <w:r w:rsidR="003D4918">
        <w:t>Utility</w:t>
      </w:r>
      <w:r w:rsidR="001A6832" w:rsidRPr="001A6832">
        <w:t xml:space="preserve"> to recover a portion of its investment wastewater collection system from future connections consistent with Rule 25-30.580 (2), F.A.C. In addition, the service availability policy for wastewater service </w:t>
      </w:r>
      <w:r w:rsidRPr="00B8369A">
        <w:t xml:space="preserve">shall </w:t>
      </w:r>
      <w:r w:rsidR="001A6832" w:rsidRPr="001A6832">
        <w:t>be revised to allow either donated lines or a main extension charge from new connections.</w:t>
      </w:r>
    </w:p>
    <w:p w:rsidR="001A6832" w:rsidRPr="001A6832" w:rsidRDefault="001A6832" w:rsidP="00EC0B1C">
      <w:pPr>
        <w:jc w:val="both"/>
        <w:rPr>
          <w:b/>
        </w:rPr>
      </w:pPr>
    </w:p>
    <w:p w:rsidR="001A6832" w:rsidRPr="00C86D2A" w:rsidRDefault="001A6832" w:rsidP="00EC0B1C">
      <w:pPr>
        <w:jc w:val="both"/>
        <w:rPr>
          <w:u w:val="single"/>
        </w:rPr>
      </w:pPr>
      <w:r w:rsidRPr="00C86D2A">
        <w:rPr>
          <w:u w:val="single"/>
        </w:rPr>
        <w:t xml:space="preserve">Plant Capacity Charge </w:t>
      </w:r>
    </w:p>
    <w:p w:rsidR="00C86D2A" w:rsidRDefault="00C86D2A" w:rsidP="00EC0B1C">
      <w:pPr>
        <w:jc w:val="both"/>
      </w:pPr>
    </w:p>
    <w:p w:rsidR="001A6832" w:rsidRPr="001A6832" w:rsidRDefault="00C86D2A" w:rsidP="00C86D2A">
      <w:pPr>
        <w:ind w:firstLine="720"/>
        <w:jc w:val="both"/>
      </w:pPr>
      <w:r>
        <w:t>We</w:t>
      </w:r>
      <w:r w:rsidR="001A6832" w:rsidRPr="001A6832">
        <w:t xml:space="preserve"> reviewed the contribution level of the wastewater system and found that the contribution level is less than the 75 percent maximum guideline provided in Rule 25-30.580, F.A.C. The minimum amount of CIAC should not be less than the percentage of such facilities and plant that is represented by wastewater collection systems. Based on </w:t>
      </w:r>
      <w:r>
        <w:t>our</w:t>
      </w:r>
      <w:r w:rsidR="001A6832" w:rsidRPr="001A6832">
        <w:t xml:space="preserve"> review, increasing the contribution level to 75 percent, for wastewater, creates a relatively high plant capacity charge. For wastewater, the minimum contribution level is 56.42 percent and the current contribution level is 30.51 percent. As a result, </w:t>
      </w:r>
      <w:r w:rsidR="004341A2">
        <w:t xml:space="preserve">we hereby approve </w:t>
      </w:r>
      <w:r w:rsidR="001A6832" w:rsidRPr="001A6832">
        <w:t xml:space="preserve">a plant capacity charge of $2,500, which would allow the </w:t>
      </w:r>
      <w:r w:rsidR="003D4918">
        <w:t>Utility</w:t>
      </w:r>
      <w:r w:rsidR="001A6832" w:rsidRPr="001A6832">
        <w:t xml:space="preserve"> to be at a 57 percent contribution level at build out. </w:t>
      </w:r>
    </w:p>
    <w:p w:rsidR="001A6832" w:rsidRPr="001A6832" w:rsidRDefault="001A6832" w:rsidP="00EC0B1C">
      <w:pPr>
        <w:ind w:firstLine="720"/>
        <w:jc w:val="both"/>
      </w:pPr>
    </w:p>
    <w:p w:rsidR="001A6832" w:rsidRPr="001A6832" w:rsidRDefault="001A6832" w:rsidP="00C86D2A">
      <w:pPr>
        <w:ind w:firstLine="720"/>
        <w:jc w:val="both"/>
      </w:pPr>
      <w:r w:rsidRPr="001A6832">
        <w:t xml:space="preserve">Based on the above, Ni Florida’s existing wastewater service availability charges </w:t>
      </w:r>
      <w:r w:rsidR="00C86D2A" w:rsidRPr="00C86D2A">
        <w:t xml:space="preserve">shall </w:t>
      </w:r>
      <w:r w:rsidRPr="001A6832">
        <w:t xml:space="preserve">be revised. For the wastewater system, a main extension charge of $1,405 per ERC and a plant capacity charge of $2,500 per ERC </w:t>
      </w:r>
      <w:r w:rsidR="00C86D2A" w:rsidRPr="00C86D2A">
        <w:t xml:space="preserve">shall </w:t>
      </w:r>
      <w:r w:rsidRPr="001A6832">
        <w:t xml:space="preserve">be approved. </w:t>
      </w:r>
      <w:r w:rsidR="00C86D2A">
        <w:t>The approved s</w:t>
      </w:r>
      <w:r w:rsidRPr="001A6832">
        <w:t xml:space="preserve">ervice availability charges </w:t>
      </w:r>
      <w:r w:rsidR="00C86D2A" w:rsidRPr="00C86D2A">
        <w:t xml:space="preserve">shall </w:t>
      </w:r>
      <w:r w:rsidRPr="001A6832">
        <w:t>be based on an estimated 173 gallons per day per ERC of treated wastewater demand.</w:t>
      </w:r>
      <w:r w:rsidR="00C86D2A">
        <w:t xml:space="preserve"> </w:t>
      </w:r>
      <w:r w:rsidRPr="001A6832">
        <w:t xml:space="preserve">For water, the </w:t>
      </w:r>
      <w:r w:rsidR="003D4918">
        <w:t>Utility</w:t>
      </w:r>
      <w:r w:rsidRPr="001A6832">
        <w:t xml:space="preserve"> </w:t>
      </w:r>
      <w:r w:rsidR="00C86D2A" w:rsidRPr="00C86D2A">
        <w:t xml:space="preserve">shall </w:t>
      </w:r>
      <w:r w:rsidRPr="001A6832">
        <w:t xml:space="preserve">continue to not have service availability charges. The approved service availability charges </w:t>
      </w:r>
      <w:r w:rsidR="00C86D2A" w:rsidRPr="00C86D2A">
        <w:t xml:space="preserve">shall </w:t>
      </w:r>
      <w:r w:rsidRPr="001A6832">
        <w:t>be effective for service rendered on or after the stamped approval date of the tariff pursuant to Rule 25-30.475, F.A.C.</w:t>
      </w:r>
    </w:p>
    <w:p w:rsidR="00C86D2A" w:rsidRDefault="00C86D2A" w:rsidP="00C86D2A">
      <w:pPr>
        <w:rPr>
          <w:rFonts w:ascii="Arial" w:hAnsi="Arial" w:cs="Arial"/>
          <w:b/>
        </w:rPr>
      </w:pPr>
    </w:p>
    <w:p w:rsidR="001A6832" w:rsidRPr="001A6832" w:rsidRDefault="001A6832" w:rsidP="00C86D2A">
      <w:pPr>
        <w:jc w:val="center"/>
        <w:rPr>
          <w:rFonts w:ascii="Arial" w:hAnsi="Arial" w:cs="Arial"/>
          <w:b/>
        </w:rPr>
      </w:pPr>
      <w:r w:rsidRPr="001A6832">
        <w:rPr>
          <w:rFonts w:ascii="Arial" w:hAnsi="Arial" w:cs="Arial"/>
          <w:b/>
        </w:rPr>
        <w:t xml:space="preserve">Table </w:t>
      </w:r>
      <w:r w:rsidR="00C86D2A">
        <w:rPr>
          <w:rFonts w:ascii="Arial" w:hAnsi="Arial" w:cs="Arial"/>
          <w:b/>
        </w:rPr>
        <w:t>20</w:t>
      </w:r>
    </w:p>
    <w:p w:rsidR="001A6832" w:rsidRPr="001A6832" w:rsidRDefault="001A6832" w:rsidP="00EC0B1C">
      <w:pPr>
        <w:jc w:val="center"/>
        <w:rPr>
          <w:rFonts w:ascii="Arial" w:hAnsi="Arial" w:cs="Arial"/>
          <w:b/>
        </w:rPr>
      </w:pPr>
      <w:r w:rsidRPr="001A6832">
        <w:rPr>
          <w:rFonts w:ascii="Arial" w:hAnsi="Arial" w:cs="Arial"/>
          <w:b/>
        </w:rPr>
        <w:t xml:space="preserve">Current and </w:t>
      </w:r>
      <w:r w:rsidR="00C86D2A">
        <w:rPr>
          <w:rFonts w:ascii="Arial" w:hAnsi="Arial" w:cs="Arial"/>
          <w:b/>
        </w:rPr>
        <w:t>Approved</w:t>
      </w:r>
      <w:r w:rsidRPr="001A6832">
        <w:rPr>
          <w:rFonts w:ascii="Arial" w:hAnsi="Arial" w:cs="Arial"/>
          <w:b/>
        </w:rPr>
        <w:t xml:space="preserve"> Service Availability Charges</w:t>
      </w:r>
    </w:p>
    <w:tbl>
      <w:tblPr>
        <w:tblStyle w:val="TableGrid"/>
        <w:tblW w:w="0" w:type="auto"/>
        <w:jc w:val="center"/>
        <w:tblLook w:val="04A0" w:firstRow="1" w:lastRow="0" w:firstColumn="1" w:lastColumn="0" w:noHBand="0" w:noVBand="1"/>
      </w:tblPr>
      <w:tblGrid>
        <w:gridCol w:w="2599"/>
        <w:gridCol w:w="1563"/>
        <w:gridCol w:w="1736"/>
      </w:tblGrid>
      <w:tr w:rsidR="001A6832" w:rsidRPr="001A6832" w:rsidTr="003D4918">
        <w:trPr>
          <w:trHeight w:val="296"/>
          <w:jc w:val="center"/>
        </w:trPr>
        <w:tc>
          <w:tcPr>
            <w:tcW w:w="2599" w:type="dxa"/>
          </w:tcPr>
          <w:p w:rsidR="001A6832" w:rsidRPr="001A6832" w:rsidRDefault="001A6832" w:rsidP="00EC0B1C">
            <w:pPr>
              <w:jc w:val="both"/>
            </w:pPr>
          </w:p>
        </w:tc>
        <w:tc>
          <w:tcPr>
            <w:tcW w:w="3299" w:type="dxa"/>
            <w:gridSpan w:val="2"/>
          </w:tcPr>
          <w:p w:rsidR="001A6832" w:rsidRPr="001A6832" w:rsidRDefault="001A6832" w:rsidP="00EC0B1C">
            <w:pPr>
              <w:jc w:val="center"/>
              <w:rPr>
                <w:b/>
              </w:rPr>
            </w:pPr>
            <w:r w:rsidRPr="001A6832">
              <w:rPr>
                <w:b/>
              </w:rPr>
              <w:t>Wastewater</w:t>
            </w:r>
          </w:p>
        </w:tc>
      </w:tr>
      <w:tr w:rsidR="001A6832" w:rsidRPr="001A6832" w:rsidTr="003D4918">
        <w:trPr>
          <w:trHeight w:val="584"/>
          <w:jc w:val="center"/>
        </w:trPr>
        <w:tc>
          <w:tcPr>
            <w:tcW w:w="2599" w:type="dxa"/>
          </w:tcPr>
          <w:p w:rsidR="001A6832" w:rsidRPr="001A6832" w:rsidRDefault="001A6832" w:rsidP="00EC0B1C">
            <w:pPr>
              <w:jc w:val="both"/>
            </w:pPr>
          </w:p>
        </w:tc>
        <w:tc>
          <w:tcPr>
            <w:tcW w:w="1563" w:type="dxa"/>
          </w:tcPr>
          <w:p w:rsidR="001A6832" w:rsidRPr="001A6832" w:rsidRDefault="001A6832" w:rsidP="00EC0B1C">
            <w:pPr>
              <w:jc w:val="center"/>
              <w:rPr>
                <w:b/>
              </w:rPr>
            </w:pPr>
            <w:r w:rsidRPr="001A6832">
              <w:rPr>
                <w:b/>
              </w:rPr>
              <w:t>Current Charge</w:t>
            </w:r>
          </w:p>
        </w:tc>
        <w:tc>
          <w:tcPr>
            <w:tcW w:w="1736" w:type="dxa"/>
          </w:tcPr>
          <w:p w:rsidR="001A6832" w:rsidRPr="001A6832" w:rsidRDefault="00C86D2A" w:rsidP="00EC0B1C">
            <w:pPr>
              <w:jc w:val="center"/>
              <w:rPr>
                <w:b/>
              </w:rPr>
            </w:pPr>
            <w:r>
              <w:rPr>
                <w:b/>
              </w:rPr>
              <w:t>Approved</w:t>
            </w:r>
            <w:r w:rsidR="001A6832" w:rsidRPr="001A6832">
              <w:rPr>
                <w:b/>
              </w:rPr>
              <w:t xml:space="preserve"> Charge</w:t>
            </w:r>
          </w:p>
        </w:tc>
      </w:tr>
      <w:tr w:rsidR="001A6832" w:rsidRPr="001A6832" w:rsidTr="003D4918">
        <w:trPr>
          <w:jc w:val="center"/>
        </w:trPr>
        <w:tc>
          <w:tcPr>
            <w:tcW w:w="2599" w:type="dxa"/>
          </w:tcPr>
          <w:p w:rsidR="001A6832" w:rsidRPr="001A6832" w:rsidRDefault="001A6832" w:rsidP="00EC0B1C">
            <w:pPr>
              <w:jc w:val="both"/>
            </w:pPr>
            <w:r w:rsidRPr="001A6832">
              <w:t>Main Extension Charge</w:t>
            </w:r>
          </w:p>
        </w:tc>
        <w:tc>
          <w:tcPr>
            <w:tcW w:w="1563" w:type="dxa"/>
          </w:tcPr>
          <w:p w:rsidR="001A6832" w:rsidRPr="001A6832" w:rsidRDefault="001A6832" w:rsidP="00EC0B1C">
            <w:pPr>
              <w:jc w:val="right"/>
            </w:pPr>
            <w:r w:rsidRPr="001A6832">
              <w:t>$0</w:t>
            </w:r>
          </w:p>
        </w:tc>
        <w:tc>
          <w:tcPr>
            <w:tcW w:w="1736" w:type="dxa"/>
          </w:tcPr>
          <w:p w:rsidR="001A6832" w:rsidRPr="001A6832" w:rsidRDefault="001A6832" w:rsidP="00EC0B1C">
            <w:pPr>
              <w:jc w:val="right"/>
            </w:pPr>
            <w:r w:rsidRPr="001A6832">
              <w:t>$1,405</w:t>
            </w:r>
          </w:p>
        </w:tc>
      </w:tr>
      <w:tr w:rsidR="001A6832" w:rsidRPr="001A6832" w:rsidTr="003D4918">
        <w:trPr>
          <w:trHeight w:val="242"/>
          <w:jc w:val="center"/>
        </w:trPr>
        <w:tc>
          <w:tcPr>
            <w:tcW w:w="2599" w:type="dxa"/>
          </w:tcPr>
          <w:p w:rsidR="001A6832" w:rsidRPr="001A6832" w:rsidRDefault="001A6832" w:rsidP="00EC0B1C">
            <w:pPr>
              <w:jc w:val="both"/>
            </w:pPr>
            <w:r w:rsidRPr="001A6832">
              <w:t>Plant Capacity Charge</w:t>
            </w:r>
          </w:p>
        </w:tc>
        <w:tc>
          <w:tcPr>
            <w:tcW w:w="1563" w:type="dxa"/>
          </w:tcPr>
          <w:p w:rsidR="001A6832" w:rsidRPr="001A6832" w:rsidRDefault="001A6832" w:rsidP="00EC0B1C">
            <w:pPr>
              <w:jc w:val="right"/>
            </w:pPr>
            <w:r w:rsidRPr="001A6832">
              <w:t>$0</w:t>
            </w:r>
          </w:p>
        </w:tc>
        <w:tc>
          <w:tcPr>
            <w:tcW w:w="1736" w:type="dxa"/>
          </w:tcPr>
          <w:p w:rsidR="001A6832" w:rsidRPr="001A6832" w:rsidRDefault="001A6832" w:rsidP="00EC0B1C">
            <w:pPr>
              <w:jc w:val="right"/>
            </w:pPr>
            <w:r w:rsidRPr="001A6832">
              <w:t>$2,500</w:t>
            </w:r>
          </w:p>
        </w:tc>
      </w:tr>
      <w:tr w:rsidR="001A6832" w:rsidRPr="001A6832" w:rsidTr="003D4918">
        <w:trPr>
          <w:jc w:val="center"/>
        </w:trPr>
        <w:tc>
          <w:tcPr>
            <w:tcW w:w="2599" w:type="dxa"/>
          </w:tcPr>
          <w:p w:rsidR="001A6832" w:rsidRPr="001A6832" w:rsidRDefault="001A6832" w:rsidP="00EC0B1C">
            <w:pPr>
              <w:jc w:val="both"/>
            </w:pPr>
            <w:r w:rsidRPr="001A6832">
              <w:t>System Capacity Charge</w:t>
            </w:r>
          </w:p>
        </w:tc>
        <w:tc>
          <w:tcPr>
            <w:tcW w:w="1563" w:type="dxa"/>
          </w:tcPr>
          <w:p w:rsidR="001A6832" w:rsidRPr="001A6832" w:rsidRDefault="001A6832" w:rsidP="00EC0B1C">
            <w:pPr>
              <w:jc w:val="right"/>
            </w:pPr>
            <w:r w:rsidRPr="001A6832">
              <w:t>$2,400</w:t>
            </w:r>
          </w:p>
        </w:tc>
        <w:tc>
          <w:tcPr>
            <w:tcW w:w="1736" w:type="dxa"/>
          </w:tcPr>
          <w:p w:rsidR="001A6832" w:rsidRPr="001A6832" w:rsidRDefault="001A6832" w:rsidP="00EC0B1C">
            <w:pPr>
              <w:jc w:val="right"/>
            </w:pPr>
            <w:r w:rsidRPr="001A6832">
              <w:t>$0</w:t>
            </w:r>
          </w:p>
        </w:tc>
      </w:tr>
    </w:tbl>
    <w:p w:rsidR="001A6832" w:rsidRPr="001A6832" w:rsidRDefault="001A6832" w:rsidP="00EC0B1C">
      <w:pPr>
        <w:jc w:val="both"/>
      </w:pPr>
    </w:p>
    <w:p w:rsidR="00C86D2A" w:rsidRPr="00C86D2A" w:rsidRDefault="00C86D2A" w:rsidP="00C86D2A">
      <w:pPr>
        <w:jc w:val="center"/>
        <w:rPr>
          <w:bCs/>
          <w:kern w:val="32"/>
          <w:szCs w:val="32"/>
          <w:u w:val="single"/>
        </w:rPr>
      </w:pPr>
      <w:r w:rsidRPr="00C86D2A">
        <w:rPr>
          <w:bCs/>
          <w:kern w:val="32"/>
          <w:szCs w:val="32"/>
          <w:u w:val="single"/>
        </w:rPr>
        <w:t>Interim Refunds</w:t>
      </w:r>
    </w:p>
    <w:p w:rsidR="00C86D2A" w:rsidRDefault="00C86D2A" w:rsidP="00EC0B1C">
      <w:pPr>
        <w:jc w:val="both"/>
        <w:rPr>
          <w:rFonts w:ascii="Arial" w:hAnsi="Arial" w:cs="Arial"/>
          <w:b/>
          <w:bCs/>
          <w:i/>
          <w:kern w:val="32"/>
          <w:szCs w:val="32"/>
        </w:rPr>
      </w:pPr>
    </w:p>
    <w:p w:rsidR="001A6832" w:rsidRPr="001A6832" w:rsidRDefault="001A6832" w:rsidP="00C86D2A">
      <w:pPr>
        <w:ind w:firstLine="720"/>
        <w:jc w:val="both"/>
        <w:rPr>
          <w:bCs/>
        </w:rPr>
      </w:pPr>
      <w:r w:rsidRPr="001A6832">
        <w:t>By Order No. PSC-16-0249-P</w:t>
      </w:r>
      <w:r w:rsidR="00C86D2A">
        <w:t>CO-WS, issued June 29, 2016, this</w:t>
      </w:r>
      <w:r w:rsidRPr="001A6832">
        <w:t xml:space="preserve"> Commission approved an interim revenue requirement of $310,891 for water and $2,264,770 for wastewater, subject to refund. The approved interim revenue requirements represented an increase of 38.98 percent for water and 17.21 percent for wastewater.</w:t>
      </w:r>
    </w:p>
    <w:p w:rsidR="001A6832" w:rsidRPr="001A6832" w:rsidRDefault="001A6832" w:rsidP="00EC0B1C">
      <w:pPr>
        <w:tabs>
          <w:tab w:val="center" w:pos="4680"/>
        </w:tabs>
        <w:jc w:val="both"/>
        <w:rPr>
          <w:bCs/>
        </w:rPr>
      </w:pPr>
      <w:r w:rsidRPr="001A6832">
        <w:rPr>
          <w:bCs/>
        </w:rPr>
        <w:t xml:space="preserve"> </w:t>
      </w:r>
      <w:r w:rsidRPr="001A6832">
        <w:rPr>
          <w:bCs/>
        </w:rPr>
        <w:tab/>
      </w:r>
    </w:p>
    <w:p w:rsidR="001A6832" w:rsidRPr="001A6832" w:rsidRDefault="001A6832" w:rsidP="00C86D2A">
      <w:pPr>
        <w:ind w:firstLine="720"/>
        <w:jc w:val="both"/>
        <w:rPr>
          <w:bCs/>
        </w:rPr>
      </w:pPr>
      <w:r w:rsidRPr="001A6832">
        <w:t xml:space="preserve">According to Section 367.082, F.S., any refund should be calculated to reduce the rate of return of the </w:t>
      </w:r>
      <w:r w:rsidR="003D4918">
        <w:t>Utility</w:t>
      </w:r>
      <w:r w:rsidRPr="001A6832">
        <w:t xml:space="preserve"> during the pendency of the proceeding to the same level within the range of </w:t>
      </w:r>
      <w:r w:rsidRPr="001A6832">
        <w:lastRenderedPageBreak/>
        <w:t>the newly authorized rate of return. Adjustments made in the rate case test period that do not relate to the period interim rates in effect should be removed. Rate case expense is an example of an adjustment which is recovered only after final rates are established.</w:t>
      </w:r>
    </w:p>
    <w:p w:rsidR="001A6832" w:rsidRPr="001A6832" w:rsidRDefault="001A6832" w:rsidP="00EC0B1C">
      <w:pPr>
        <w:rPr>
          <w:bCs/>
        </w:rPr>
      </w:pPr>
    </w:p>
    <w:p w:rsidR="001A6832" w:rsidRPr="001A6832" w:rsidRDefault="001A6832" w:rsidP="00C86D2A">
      <w:pPr>
        <w:ind w:firstLine="720"/>
        <w:jc w:val="both"/>
      </w:pPr>
      <w:r w:rsidRPr="001A6832">
        <w:t xml:space="preserve">In this proceeding, the test period for establishment of interim and final rates is the 12-month period, which ended December 31, 2015. Ni Florida’s approved interim rates did not include any provisions for pro forma operating expenses or plant. The interim increase was designed to allow recovery of actual interest costs, and the lower limit of the last authorized range of return on equity. To establish the proper refund amount, </w:t>
      </w:r>
      <w:r w:rsidR="00C86D2A">
        <w:t>we</w:t>
      </w:r>
      <w:r w:rsidRPr="001A6832">
        <w:t xml:space="preserve"> calculated revised interim revenue requirements utilizing the same data used to establish final rates. Rate case expense was excluded because this item is prospective in nature and did not occur during the interim collection period.</w:t>
      </w:r>
    </w:p>
    <w:p w:rsidR="001A6832" w:rsidRPr="001A6832" w:rsidRDefault="001A6832" w:rsidP="00EC0B1C">
      <w:pPr>
        <w:jc w:val="both"/>
      </w:pPr>
    </w:p>
    <w:p w:rsidR="001A6832" w:rsidRPr="001A6832" w:rsidRDefault="001A6832" w:rsidP="00C86D2A">
      <w:pPr>
        <w:ind w:firstLine="720"/>
        <w:jc w:val="both"/>
      </w:pPr>
      <w:r w:rsidRPr="001A6832">
        <w:t xml:space="preserve">Using the principles discussed above, </w:t>
      </w:r>
      <w:r w:rsidR="00C86D2A">
        <w:t>we</w:t>
      </w:r>
      <w:r w:rsidRPr="001A6832">
        <w:t xml:space="preserve"> calculated an adjusted interim revenue requirements of $</w:t>
      </w:r>
      <w:r w:rsidR="00126849">
        <w:t>28</w:t>
      </w:r>
      <w:r w:rsidR="0091087D">
        <w:t>0,704</w:t>
      </w:r>
      <w:r w:rsidRPr="001A6832">
        <w:t xml:space="preserve"> for water and $2,</w:t>
      </w:r>
      <w:r w:rsidR="00126849">
        <w:t>2</w:t>
      </w:r>
      <w:r w:rsidR="0091087D">
        <w:t>32,226</w:t>
      </w:r>
      <w:r w:rsidRPr="001A6832">
        <w:t xml:space="preserve"> for wastewater. The adjusted water interim revenue requirement of $</w:t>
      </w:r>
      <w:r w:rsidR="0091087D" w:rsidRPr="0091087D">
        <w:t>280,704</w:t>
      </w:r>
      <w:r w:rsidRPr="001A6832">
        <w:t xml:space="preserve"> is lower than the interim revenue requirement of $310,891, resulting in a refund of </w:t>
      </w:r>
      <w:r w:rsidR="0091087D">
        <w:t>9.71</w:t>
      </w:r>
      <w:r w:rsidRPr="001A6832">
        <w:t xml:space="preserve"> percent. The adjusted wastewater interim revenue requirement of $</w:t>
      </w:r>
      <w:r w:rsidR="0091087D" w:rsidRPr="0091087D">
        <w:t>2,232,226</w:t>
      </w:r>
      <w:r w:rsidRPr="001A6832">
        <w:t xml:space="preserve"> is lower than the interim revenue requirement of $2,264,770, resulting in a refund of </w:t>
      </w:r>
      <w:r w:rsidR="00126849">
        <w:t>1.</w:t>
      </w:r>
      <w:r w:rsidR="0091087D">
        <w:t>44</w:t>
      </w:r>
      <w:r w:rsidR="00126849">
        <w:t xml:space="preserve"> percent. T</w:t>
      </w:r>
      <w:r w:rsidRPr="001A6832">
        <w:t xml:space="preserve">he letter of credit for Ni Florida’s funds </w:t>
      </w:r>
      <w:r w:rsidR="00C86D2A" w:rsidRPr="00C86D2A">
        <w:t xml:space="preserve">shall </w:t>
      </w:r>
      <w:r w:rsidRPr="001A6832">
        <w:t xml:space="preserve">be released upon </w:t>
      </w:r>
      <w:r w:rsidR="004341A2">
        <w:t xml:space="preserve">Commission </w:t>
      </w:r>
      <w:r w:rsidRPr="001A6832">
        <w:t>staff’s verification that the required refunds have been made.</w:t>
      </w:r>
    </w:p>
    <w:p w:rsidR="00C86D2A" w:rsidRDefault="00C86D2A" w:rsidP="00EC0B1C">
      <w:pPr>
        <w:jc w:val="both"/>
        <w:rPr>
          <w:rFonts w:ascii="Arial" w:hAnsi="Arial" w:cs="Arial"/>
          <w:b/>
          <w:i/>
        </w:rPr>
      </w:pPr>
    </w:p>
    <w:p w:rsidR="00C86D2A" w:rsidRPr="00C86D2A" w:rsidRDefault="00C86D2A" w:rsidP="00C86D2A">
      <w:pPr>
        <w:jc w:val="center"/>
        <w:rPr>
          <w:u w:val="single"/>
        </w:rPr>
      </w:pPr>
      <w:r w:rsidRPr="00C86D2A">
        <w:rPr>
          <w:u w:val="single"/>
        </w:rPr>
        <w:t>Proof of Adjustments</w:t>
      </w:r>
    </w:p>
    <w:p w:rsidR="00C86D2A" w:rsidRDefault="00C86D2A" w:rsidP="00EC0B1C">
      <w:pPr>
        <w:jc w:val="both"/>
        <w:rPr>
          <w:rFonts w:ascii="Arial" w:hAnsi="Arial" w:cs="Arial"/>
          <w:b/>
          <w:i/>
        </w:rPr>
      </w:pPr>
    </w:p>
    <w:p w:rsidR="001A6832" w:rsidRPr="001A6832" w:rsidRDefault="001A6832" w:rsidP="00C86D2A">
      <w:pPr>
        <w:ind w:firstLine="720"/>
        <w:jc w:val="both"/>
      </w:pPr>
      <w:r w:rsidRPr="001A6832">
        <w:t xml:space="preserve">The </w:t>
      </w:r>
      <w:r w:rsidR="003D4918">
        <w:t>Utility</w:t>
      </w:r>
      <w:r w:rsidRPr="001A6832">
        <w:t xml:space="preserve"> </w:t>
      </w:r>
      <w:r w:rsidR="00C86D2A" w:rsidRPr="00C86D2A">
        <w:t xml:space="preserve">shall </w:t>
      </w:r>
      <w:r w:rsidR="00C86D2A">
        <w:t>be required to notify this</w:t>
      </w:r>
      <w:r w:rsidRPr="001A6832">
        <w:t xml:space="preserve"> Commission, in writing that it has adjusted its books in accordance with the Commission's decision. Ni Florida </w:t>
      </w:r>
      <w:r w:rsidR="00C86D2A" w:rsidRPr="00C86D2A">
        <w:t xml:space="preserve">shall </w:t>
      </w:r>
      <w:r w:rsidRPr="001A6832">
        <w:t xml:space="preserve">submit a letter within 90 days of the final order in this docket, confirming that the adjustments to all the applicable NARUC USOA accounts have been made to the </w:t>
      </w:r>
      <w:r w:rsidR="003D4918">
        <w:t>Utility</w:t>
      </w:r>
      <w:r w:rsidRPr="001A6832">
        <w:t xml:space="preserve">’s books and records. In the event the </w:t>
      </w:r>
      <w:r w:rsidR="003D4918">
        <w:t>Utility</w:t>
      </w:r>
      <w:r w:rsidRPr="001A6832">
        <w:t xml:space="preserve"> needs additional time to complete the adjustments, notice </w:t>
      </w:r>
      <w:r w:rsidR="00C86D2A" w:rsidRPr="00C86D2A">
        <w:t xml:space="preserve">shall </w:t>
      </w:r>
      <w:r w:rsidRPr="001A6832">
        <w:t xml:space="preserve">be provided within seven days prior to deadline. Upon providing good cause, </w:t>
      </w:r>
      <w:r w:rsidR="00C86D2A">
        <w:t xml:space="preserve">Commission </w:t>
      </w:r>
      <w:r w:rsidRPr="001A6832">
        <w:t xml:space="preserve">staff </w:t>
      </w:r>
      <w:r w:rsidR="00C86D2A" w:rsidRPr="00C86D2A">
        <w:t xml:space="preserve">shall </w:t>
      </w:r>
      <w:r w:rsidRPr="001A6832">
        <w:t>be given administrative authority to grant an extension of up to 60 days.</w:t>
      </w:r>
    </w:p>
    <w:p w:rsidR="00A74C98" w:rsidRDefault="00A74C98" w:rsidP="00A74C98">
      <w:pPr>
        <w:jc w:val="both"/>
        <w:outlineLvl w:val="0"/>
        <w:rPr>
          <w:rFonts w:ascii="Arial" w:hAnsi="Arial" w:cs="Arial"/>
          <w:bCs/>
          <w:kern w:val="32"/>
          <w:szCs w:val="32"/>
        </w:rPr>
      </w:pPr>
    </w:p>
    <w:p w:rsidR="00BB39E1" w:rsidRPr="00692EBC" w:rsidRDefault="00BB39E1" w:rsidP="00A74C98">
      <w:pPr>
        <w:ind w:firstLine="720"/>
        <w:jc w:val="both"/>
        <w:outlineLvl w:val="0"/>
      </w:pPr>
      <w:r w:rsidRPr="00692EBC">
        <w:t>Based on the foregoing, it is</w:t>
      </w:r>
    </w:p>
    <w:p w:rsidR="00BB39E1" w:rsidRPr="00692EBC" w:rsidRDefault="00BB39E1" w:rsidP="00EC0B1C"/>
    <w:p w:rsidR="00BB39E1" w:rsidRDefault="00BB39E1" w:rsidP="00AF3090">
      <w:pPr>
        <w:jc w:val="both"/>
      </w:pPr>
      <w:r w:rsidRPr="00692EBC">
        <w:tab/>
        <w:t xml:space="preserve">ORDERED by the Florida Public Service Commission that </w:t>
      </w:r>
      <w:r w:rsidR="00853982">
        <w:t>Ni Florida, LLC’s application for an increase in water rates in Lee County and wastewater rates in Pasco County is approved as set forth in the body of this Order.  It is further</w:t>
      </w:r>
    </w:p>
    <w:p w:rsidR="00853982" w:rsidRDefault="00853982" w:rsidP="00AF3090">
      <w:pPr>
        <w:jc w:val="both"/>
      </w:pPr>
    </w:p>
    <w:p w:rsidR="00853982" w:rsidRDefault="00853982" w:rsidP="00AF3090">
      <w:pPr>
        <w:jc w:val="both"/>
      </w:pPr>
      <w:r>
        <w:tab/>
        <w:t>ORDERED that all matters contained in the schedules and attachments to this Order are incorporated herein by reference.  It is further</w:t>
      </w:r>
    </w:p>
    <w:p w:rsidR="00196458" w:rsidRDefault="00196458" w:rsidP="00AF3090">
      <w:pPr>
        <w:jc w:val="both"/>
      </w:pPr>
    </w:p>
    <w:p w:rsidR="00196458" w:rsidRDefault="00196458" w:rsidP="00AF3090">
      <w:pPr>
        <w:jc w:val="both"/>
      </w:pPr>
      <w:r>
        <w:tab/>
        <w:t xml:space="preserve">ORDERED that Ni Florida, LLC is hereby authorized to collect initial customer deposits as set forth in the body of this Order.  The approved initial customer deposits shall be effective for services rendered or connections made on or after the stamped approval date on the tariff </w:t>
      </w:r>
      <w:r>
        <w:lastRenderedPageBreak/>
        <w:t>sheets. The Utility shall be required to collect the approved deposits until authorized to change them by this Commission in a subsequent proceeding.  It is further</w:t>
      </w:r>
    </w:p>
    <w:p w:rsidR="00853982" w:rsidRDefault="00853982" w:rsidP="00AF3090">
      <w:pPr>
        <w:jc w:val="both"/>
      </w:pPr>
    </w:p>
    <w:p w:rsidR="00853982" w:rsidRDefault="00853982" w:rsidP="00AF3090">
      <w:pPr>
        <w:jc w:val="both"/>
      </w:pPr>
      <w:r>
        <w:tab/>
        <w:t>ORDERED that Ni Florida, LLC is hereby authorized to charge the new rates and charges as approved in the body of this Order.  It is further</w:t>
      </w:r>
    </w:p>
    <w:p w:rsidR="00853982" w:rsidRDefault="00853982" w:rsidP="00AF3090">
      <w:pPr>
        <w:jc w:val="both"/>
      </w:pPr>
    </w:p>
    <w:p w:rsidR="00853982" w:rsidRDefault="00853982" w:rsidP="00AF3090">
      <w:pPr>
        <w:jc w:val="both"/>
      </w:pPr>
      <w:r>
        <w:tab/>
        <w:t xml:space="preserve">ORDERED that </w:t>
      </w:r>
      <w:r w:rsidR="007A277D">
        <w:t>the rates</w:t>
      </w:r>
      <w:r w:rsidR="00196458">
        <w:t xml:space="preserve"> and charges</w:t>
      </w:r>
      <w:r w:rsidR="007A277D">
        <w:t xml:space="preserve"> approved herein, shall be effective for service rendered on or after the stamped approval date on the tariff sheet, pursuant to Rule 25-30.475(1), F.A.C. The rates</w:t>
      </w:r>
      <w:r w:rsidR="00196458">
        <w:t xml:space="preserve"> and charges</w:t>
      </w:r>
      <w:r w:rsidR="007A277D">
        <w:t xml:space="preserve"> shall not be implemented until Commission staff has approved the proposed customer notice and the notice has been received by the customers.</w:t>
      </w:r>
      <w:r w:rsidR="00AF3090">
        <w:t xml:space="preserve">  It is further</w:t>
      </w:r>
    </w:p>
    <w:p w:rsidR="007A277D" w:rsidRDefault="007A277D" w:rsidP="00AF3090">
      <w:pPr>
        <w:jc w:val="both"/>
      </w:pPr>
    </w:p>
    <w:p w:rsidR="007A277D" w:rsidRDefault="007A277D" w:rsidP="00AF3090">
      <w:pPr>
        <w:jc w:val="both"/>
      </w:pPr>
      <w:r>
        <w:tab/>
        <w:t>ORDERED that the Utility shall provide proof that the notice was given within 10 days of the date of the notice.  It is further</w:t>
      </w:r>
    </w:p>
    <w:p w:rsidR="004341A2" w:rsidRDefault="004341A2" w:rsidP="00AF3090">
      <w:pPr>
        <w:jc w:val="both"/>
      </w:pPr>
    </w:p>
    <w:p w:rsidR="004341A2" w:rsidRDefault="004341A2" w:rsidP="00AF3090">
      <w:pPr>
        <w:jc w:val="both"/>
      </w:pPr>
      <w:r>
        <w:tab/>
        <w:t>ORDERED that Ni Florida LLC shall make the appropriate refunds as identified herein, and t</w:t>
      </w:r>
      <w:r w:rsidRPr="004341A2">
        <w:t>he letter of credit for Ni Florida</w:t>
      </w:r>
      <w:r>
        <w:t xml:space="preserve"> LLC</w:t>
      </w:r>
      <w:r w:rsidRPr="004341A2">
        <w:t>’s funds shall be released upon Commission staff’s verification that the required refunds have been made.</w:t>
      </w:r>
      <w:r w:rsidR="00AF3090">
        <w:t xml:space="preserve">  It is further</w:t>
      </w:r>
    </w:p>
    <w:p w:rsidR="007A277D" w:rsidRDefault="007A277D" w:rsidP="00AF3090">
      <w:pPr>
        <w:jc w:val="both"/>
      </w:pPr>
    </w:p>
    <w:p w:rsidR="00196458" w:rsidRDefault="007A277D" w:rsidP="00AF3090">
      <w:pPr>
        <w:jc w:val="both"/>
      </w:pPr>
      <w:r>
        <w:tab/>
        <w:t>ORDERED that</w:t>
      </w:r>
      <w:r w:rsidR="00196458">
        <w:t xml:space="preserve"> in accordance with Section 367.0816, F.S., Ni Florida, LLC’s </w:t>
      </w:r>
      <w:r>
        <w:t xml:space="preserve"> </w:t>
      </w:r>
      <w:r w:rsidR="00196458" w:rsidRPr="00196458">
        <w:t xml:space="preserve">water and wastewater rates shall be reduced </w:t>
      </w:r>
      <w:r w:rsidR="00196458">
        <w:t xml:space="preserve">four years after the effective date </w:t>
      </w:r>
      <w:r w:rsidR="00A74C98">
        <w:t xml:space="preserve">of these new rates </w:t>
      </w:r>
      <w:r w:rsidR="00196458" w:rsidRPr="00196458">
        <w:t xml:space="preserve">as shown on Schedule Nos. 4-A and 4-B. </w:t>
      </w:r>
      <w:r w:rsidR="00A74C98">
        <w:t>T</w:t>
      </w:r>
      <w:r w:rsidR="00A74C98" w:rsidRPr="00A74C98">
        <w:t>he decrease in rates shall become effective immediately following the expiration of the four-year rate case expense recovery period</w:t>
      </w:r>
      <w:r w:rsidR="004341A2">
        <w:t xml:space="preserve">. </w:t>
      </w:r>
      <w:r w:rsidR="00A74C98" w:rsidRPr="00A74C98">
        <w:t xml:space="preserve"> </w:t>
      </w:r>
      <w:r w:rsidR="00196458">
        <w:t>It is further</w:t>
      </w:r>
    </w:p>
    <w:p w:rsidR="004341A2" w:rsidRDefault="004341A2" w:rsidP="00AF3090">
      <w:pPr>
        <w:jc w:val="both"/>
      </w:pPr>
    </w:p>
    <w:p w:rsidR="00BB39E1" w:rsidRDefault="00196458" w:rsidP="00AF3090">
      <w:pPr>
        <w:ind w:firstLine="720"/>
        <w:jc w:val="both"/>
      </w:pPr>
      <w:r>
        <w:t>ORDERED that</w:t>
      </w:r>
      <w:r w:rsidRPr="00196458">
        <w:t>, Ni Florida</w:t>
      </w:r>
      <w:r w:rsidR="00A74C98">
        <w:t>, LLC</w:t>
      </w:r>
      <w:r w:rsidRPr="00196458">
        <w:t xml:space="preserve"> shall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shall be filed for the price index and/or pass-through increase or decrease and the reduction in the rates due to the amortized rate case expense.</w:t>
      </w:r>
      <w:r w:rsidR="00A74C98">
        <w:t xml:space="preserve">  It is further</w:t>
      </w:r>
    </w:p>
    <w:p w:rsidR="00A74C98" w:rsidRDefault="00A74C98" w:rsidP="00AF3090">
      <w:pPr>
        <w:ind w:firstLine="720"/>
        <w:jc w:val="both"/>
      </w:pPr>
    </w:p>
    <w:p w:rsidR="00A74C98" w:rsidRDefault="00A74C98" w:rsidP="00AF3090">
      <w:pPr>
        <w:ind w:firstLine="720"/>
        <w:jc w:val="both"/>
      </w:pPr>
      <w:r>
        <w:t xml:space="preserve">ORDERED that Ni Florida, LLC </w:t>
      </w:r>
      <w:r w:rsidRPr="00A74C98">
        <w:t>shall provide proof within 90 days of the final order in this docket, that the adjustments for all applicable NARUC USOA primary accounts have been made.  It is further</w:t>
      </w:r>
    </w:p>
    <w:p w:rsidR="00A74C98" w:rsidRDefault="00A74C98" w:rsidP="00AF3090">
      <w:pPr>
        <w:ind w:firstLine="720"/>
        <w:jc w:val="both"/>
      </w:pPr>
    </w:p>
    <w:p w:rsidR="00A74C98" w:rsidRPr="00A74C98" w:rsidRDefault="00A74C98" w:rsidP="00AF3090">
      <w:pPr>
        <w:ind w:firstLine="720"/>
        <w:jc w:val="both"/>
      </w:pPr>
      <w:r>
        <w:t xml:space="preserve">ORDERED that </w:t>
      </w:r>
      <w:r w:rsidRPr="00A74C98">
        <w:t>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74C98" w:rsidRPr="00A74C98" w:rsidRDefault="00A74C98" w:rsidP="00AF3090">
      <w:pPr>
        <w:ind w:firstLine="720"/>
        <w:jc w:val="both"/>
      </w:pPr>
    </w:p>
    <w:p w:rsidR="00A74C98" w:rsidRPr="00A74C98" w:rsidRDefault="00A74C98" w:rsidP="00AF3090">
      <w:pPr>
        <w:ind w:firstLine="720"/>
        <w:jc w:val="both"/>
      </w:pPr>
      <w:r w:rsidRPr="00A74C98">
        <w:t xml:space="preserve">ORDERED that in the event this Order becomes final, this docket shall remain open for </w:t>
      </w:r>
      <w:r w:rsidR="004341A2">
        <w:t xml:space="preserve">Commission </w:t>
      </w:r>
      <w:r w:rsidRPr="00A74C98">
        <w:t xml:space="preserve">staff’s verification that the Utility has completed the required refunds, the revised tariff sheets and customer notice have been filed by the Utility and approved by </w:t>
      </w:r>
      <w:r>
        <w:t xml:space="preserve">Commission </w:t>
      </w:r>
      <w:r w:rsidRPr="00A74C98">
        <w:lastRenderedPageBreak/>
        <w:t xml:space="preserve">staff, and the Utility has provided </w:t>
      </w:r>
      <w:r>
        <w:t xml:space="preserve">Commission </w:t>
      </w:r>
      <w:r w:rsidRPr="00A74C98">
        <w:t>staff with proof that the adjustments for all the applicable NARUC USOA primary accounts have been made.  Once these actions are complete, this docket shall be closed administratively.</w:t>
      </w:r>
    </w:p>
    <w:p w:rsidR="00BB39E1" w:rsidRPr="00BB39E1" w:rsidRDefault="00BB39E1" w:rsidP="00EC0B1C"/>
    <w:p w:rsidR="00BB39E1" w:rsidRDefault="00BB39E1" w:rsidP="00EC0B1C">
      <w:pPr>
        <w:keepNext/>
        <w:keepLines/>
        <w:jc w:val="both"/>
      </w:pPr>
      <w:r w:rsidRPr="00BB39E1">
        <w:tab/>
        <w:t xml:space="preserve">By ORDER of the Florida Public Service Commission this </w:t>
      </w:r>
      <w:bookmarkStart w:id="8" w:name="replaceDate"/>
      <w:bookmarkEnd w:id="8"/>
      <w:r w:rsidR="009C3637">
        <w:rPr>
          <w:u w:val="single"/>
        </w:rPr>
        <w:t>21st</w:t>
      </w:r>
      <w:r w:rsidR="009C3637">
        <w:t xml:space="preserve"> day of </w:t>
      </w:r>
      <w:r w:rsidR="009C3637">
        <w:rPr>
          <w:u w:val="single"/>
        </w:rPr>
        <w:t>November</w:t>
      </w:r>
      <w:r w:rsidR="009C3637">
        <w:t xml:space="preserve">, </w:t>
      </w:r>
      <w:r w:rsidR="009C3637">
        <w:rPr>
          <w:u w:val="single"/>
        </w:rPr>
        <w:t>2016</w:t>
      </w:r>
      <w:r w:rsidR="009C3637">
        <w:t>.</w:t>
      </w:r>
    </w:p>
    <w:p w:rsidR="009C3637" w:rsidRPr="009C3637" w:rsidRDefault="009C3637" w:rsidP="00EC0B1C">
      <w:pPr>
        <w:keepNext/>
        <w:keepLines/>
        <w:jc w:val="both"/>
      </w:pPr>
    </w:p>
    <w:p w:rsidR="00BB39E1" w:rsidRPr="00BB39E1" w:rsidRDefault="00BB39E1" w:rsidP="00EC0B1C">
      <w:pPr>
        <w:keepNext/>
        <w:keepLines/>
        <w:jc w:val="both"/>
      </w:pPr>
    </w:p>
    <w:p w:rsidR="00BB39E1" w:rsidRPr="00BB39E1" w:rsidRDefault="00BB39E1" w:rsidP="00EC0B1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B39E1" w:rsidRPr="00BB39E1" w:rsidTr="00BB39E1">
        <w:tc>
          <w:tcPr>
            <w:tcW w:w="720" w:type="dxa"/>
            <w:shd w:val="clear" w:color="auto" w:fill="auto"/>
          </w:tcPr>
          <w:p w:rsidR="00BB39E1" w:rsidRPr="00BB39E1" w:rsidRDefault="00BB39E1" w:rsidP="00EC0B1C">
            <w:pPr>
              <w:keepNext/>
              <w:keepLines/>
              <w:jc w:val="both"/>
            </w:pPr>
            <w:bookmarkStart w:id="9" w:name="bkmrkSignature" w:colFirst="0" w:colLast="0"/>
          </w:p>
        </w:tc>
        <w:tc>
          <w:tcPr>
            <w:tcW w:w="4320" w:type="dxa"/>
            <w:tcBorders>
              <w:bottom w:val="single" w:sz="4" w:space="0" w:color="auto"/>
            </w:tcBorders>
            <w:shd w:val="clear" w:color="auto" w:fill="auto"/>
          </w:tcPr>
          <w:p w:rsidR="00BB39E1" w:rsidRPr="00BB39E1" w:rsidRDefault="009C3637" w:rsidP="00EC0B1C">
            <w:pPr>
              <w:keepNext/>
              <w:keepLines/>
              <w:jc w:val="both"/>
            </w:pPr>
            <w:r>
              <w:t>/s/ Carlotta S. Stauffer</w:t>
            </w:r>
            <w:bookmarkStart w:id="10" w:name="_GoBack"/>
            <w:bookmarkEnd w:id="10"/>
          </w:p>
        </w:tc>
      </w:tr>
      <w:bookmarkEnd w:id="9"/>
      <w:tr w:rsidR="00BB39E1" w:rsidRPr="00BB39E1" w:rsidTr="00BB39E1">
        <w:tc>
          <w:tcPr>
            <w:tcW w:w="720" w:type="dxa"/>
            <w:shd w:val="clear" w:color="auto" w:fill="auto"/>
          </w:tcPr>
          <w:p w:rsidR="00BB39E1" w:rsidRPr="00BB39E1" w:rsidRDefault="00BB39E1" w:rsidP="00EC0B1C">
            <w:pPr>
              <w:keepNext/>
              <w:keepLines/>
              <w:jc w:val="both"/>
            </w:pPr>
          </w:p>
        </w:tc>
        <w:tc>
          <w:tcPr>
            <w:tcW w:w="4320" w:type="dxa"/>
            <w:tcBorders>
              <w:top w:val="single" w:sz="4" w:space="0" w:color="auto"/>
            </w:tcBorders>
            <w:shd w:val="clear" w:color="auto" w:fill="auto"/>
          </w:tcPr>
          <w:p w:rsidR="00BB39E1" w:rsidRPr="00BB39E1" w:rsidRDefault="00BB39E1" w:rsidP="00EC0B1C">
            <w:pPr>
              <w:keepNext/>
              <w:keepLines/>
              <w:jc w:val="both"/>
            </w:pPr>
            <w:r w:rsidRPr="00BB39E1">
              <w:t>CARLOTTA S. STAUFFER</w:t>
            </w:r>
          </w:p>
          <w:p w:rsidR="00BB39E1" w:rsidRPr="00BB39E1" w:rsidRDefault="00BB39E1" w:rsidP="00EC0B1C">
            <w:pPr>
              <w:keepNext/>
              <w:keepLines/>
              <w:jc w:val="both"/>
            </w:pPr>
            <w:r w:rsidRPr="00BB39E1">
              <w:t>Commission Clerk</w:t>
            </w:r>
          </w:p>
        </w:tc>
      </w:tr>
    </w:tbl>
    <w:p w:rsidR="00BB39E1" w:rsidRPr="00BB39E1" w:rsidRDefault="00BB39E1" w:rsidP="00EC0B1C">
      <w:pPr>
        <w:pStyle w:val="OrderSigInfo"/>
        <w:keepNext/>
        <w:keepLines/>
      </w:pPr>
      <w:r w:rsidRPr="00BB39E1">
        <w:t>Florida Public Service Commission</w:t>
      </w:r>
    </w:p>
    <w:p w:rsidR="00BB39E1" w:rsidRDefault="00BB39E1" w:rsidP="00EC0B1C">
      <w:pPr>
        <w:pStyle w:val="OrderSigInfo"/>
        <w:keepNext/>
        <w:keepLines/>
      </w:pPr>
      <w:r>
        <w:t>2540 Shumard Oak Boulevard</w:t>
      </w:r>
    </w:p>
    <w:p w:rsidR="00BB39E1" w:rsidRDefault="00BB39E1" w:rsidP="00EC0B1C">
      <w:pPr>
        <w:pStyle w:val="OrderSigInfo"/>
        <w:keepNext/>
        <w:keepLines/>
      </w:pPr>
      <w:r>
        <w:t>Tallahassee, Florida  32399</w:t>
      </w:r>
    </w:p>
    <w:p w:rsidR="00BB39E1" w:rsidRDefault="00BB39E1" w:rsidP="00EC0B1C">
      <w:pPr>
        <w:pStyle w:val="OrderSigInfo"/>
        <w:keepNext/>
        <w:keepLines/>
      </w:pPr>
      <w:r>
        <w:t>(850) 413</w:t>
      </w:r>
      <w:r>
        <w:noBreakHyphen/>
        <w:t>6770</w:t>
      </w:r>
    </w:p>
    <w:p w:rsidR="00BB39E1" w:rsidRDefault="00BB39E1" w:rsidP="00EC0B1C">
      <w:pPr>
        <w:pStyle w:val="OrderSigInfo"/>
        <w:keepNext/>
        <w:keepLines/>
      </w:pPr>
      <w:r>
        <w:t>www.floridapsc.com</w:t>
      </w:r>
    </w:p>
    <w:p w:rsidR="00BB39E1" w:rsidRDefault="00BB39E1" w:rsidP="00EC0B1C">
      <w:pPr>
        <w:pStyle w:val="OrderSigInfo"/>
        <w:keepNext/>
        <w:keepLines/>
      </w:pPr>
    </w:p>
    <w:p w:rsidR="00BB39E1" w:rsidRDefault="00BB39E1" w:rsidP="00EC0B1C">
      <w:pPr>
        <w:pStyle w:val="OrderSigInfo"/>
        <w:keepNext/>
        <w:keepLines/>
      </w:pPr>
      <w:r>
        <w:t>Copies furnished:  A copy of this document is provided to the parties of record at the time of issuance and, if applicable, interested persons.</w:t>
      </w:r>
    </w:p>
    <w:p w:rsidR="00BB39E1" w:rsidRDefault="00BB39E1" w:rsidP="00EC0B1C">
      <w:pPr>
        <w:pStyle w:val="OrderBody"/>
        <w:keepNext/>
        <w:keepLines/>
      </w:pPr>
    </w:p>
    <w:p w:rsidR="00BB39E1" w:rsidRPr="00BB39E1" w:rsidRDefault="00BB39E1" w:rsidP="00EC0B1C">
      <w:pPr>
        <w:keepNext/>
        <w:keepLines/>
        <w:jc w:val="both"/>
      </w:pPr>
      <w:r w:rsidRPr="00BB39E1">
        <w:t>KRM</w:t>
      </w:r>
    </w:p>
    <w:p w:rsidR="00463DB2" w:rsidRDefault="00463DB2"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CenterUnderline"/>
        <w:jc w:val="left"/>
        <w:rPr>
          <w:u w:val="none"/>
        </w:rPr>
      </w:pPr>
    </w:p>
    <w:p w:rsidR="00AF3090" w:rsidRDefault="00AF3090" w:rsidP="00AF3090">
      <w:pPr>
        <w:pStyle w:val="OrderBody"/>
      </w:pPr>
    </w:p>
    <w:p w:rsidR="009C3637" w:rsidRDefault="009C3637" w:rsidP="00AF3090">
      <w:pPr>
        <w:pStyle w:val="CenterUnderline"/>
      </w:pPr>
    </w:p>
    <w:p w:rsidR="00AF3090" w:rsidRDefault="00AF3090" w:rsidP="00AF3090">
      <w:pPr>
        <w:pStyle w:val="CenterUnderline"/>
      </w:pPr>
      <w:r>
        <w:lastRenderedPageBreak/>
        <w:t>NOTICE OF FURTHER PROCEEDINGS OR JUDICIAL REVIEW</w:t>
      </w:r>
    </w:p>
    <w:p w:rsidR="00AF3090" w:rsidRDefault="00AF3090" w:rsidP="00AF3090">
      <w:pPr>
        <w:pStyle w:val="CenterUnderline"/>
      </w:pPr>
    </w:p>
    <w:p w:rsidR="00AF3090" w:rsidRDefault="00AF3090" w:rsidP="00AF30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3090" w:rsidRDefault="00AF3090" w:rsidP="00AF3090">
      <w:pPr>
        <w:pStyle w:val="OrderBody"/>
      </w:pPr>
    </w:p>
    <w:p w:rsidR="00AF3090" w:rsidRDefault="00AF3090" w:rsidP="00AF3090">
      <w:pPr>
        <w:pStyle w:val="OrderBody"/>
      </w:pPr>
      <w:r>
        <w:tab/>
        <w:t xml:space="preserve">As identified in the body of this order, our action discussed herein, except for the four-year reduction in rates and proof of adjustments,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C3637">
        <w:rPr>
          <w:u w:val="single"/>
        </w:rPr>
        <w:t>December 12, 2016</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F3090" w:rsidRDefault="00AF3090" w:rsidP="00AF3090">
      <w:pPr>
        <w:pStyle w:val="OrderBody"/>
      </w:pPr>
    </w:p>
    <w:p w:rsidR="00AF3090" w:rsidRDefault="00AF3090" w:rsidP="00AF3090">
      <w:pPr>
        <w:pStyle w:val="OrderBody"/>
      </w:pPr>
      <w:r>
        <w:tab/>
        <w:t>Any objection or protest filed in this docket before the issuance date of this order is considered abandoned unless it satisfies the foregoing conditions and is renewed within the specified protest period.</w:t>
      </w:r>
    </w:p>
    <w:p w:rsidR="00AF3090" w:rsidRDefault="00AF3090" w:rsidP="00AF3090">
      <w:pPr>
        <w:pStyle w:val="OrderBody"/>
      </w:pPr>
    </w:p>
    <w:p w:rsidR="00AF3090" w:rsidRDefault="00AF3090" w:rsidP="00AF3090">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F3090" w:rsidRDefault="00AF3090" w:rsidP="00AF3090">
      <w:pPr>
        <w:pStyle w:val="OrderBody"/>
      </w:pPr>
    </w:p>
    <w:p w:rsidR="00AF3090" w:rsidRDefault="00AF3090" w:rsidP="00AF3090">
      <w:pPr>
        <w:pStyle w:val="OrderBody"/>
      </w:pPr>
    </w:p>
    <w:p w:rsidR="00AF3090" w:rsidRPr="00AF3090" w:rsidRDefault="00AF3090" w:rsidP="00AF3090">
      <w:pPr>
        <w:pStyle w:val="OrderBody"/>
        <w:sectPr w:rsidR="00AF3090" w:rsidRPr="00AF3090">
          <w:headerReference w:type="default" r:id="rId9"/>
          <w:footerReference w:type="first" r:id="rId10"/>
          <w:pgSz w:w="12240" w:h="15840" w:code="1"/>
          <w:pgMar w:top="1440" w:right="1440" w:bottom="1440" w:left="1440" w:header="720" w:footer="720" w:gutter="0"/>
          <w:cols w:space="720"/>
          <w:titlePg/>
          <w:docGrid w:linePitch="360"/>
        </w:sectPr>
      </w:pPr>
    </w:p>
    <w:tbl>
      <w:tblPr>
        <w:tblW w:w="10154" w:type="dxa"/>
        <w:jc w:val="center"/>
        <w:tblInd w:w="103" w:type="dxa"/>
        <w:tblLook w:val="04A0" w:firstRow="1" w:lastRow="0" w:firstColumn="1" w:lastColumn="0" w:noHBand="0" w:noVBand="1"/>
      </w:tblPr>
      <w:tblGrid>
        <w:gridCol w:w="348"/>
        <w:gridCol w:w="3289"/>
        <w:gridCol w:w="1307"/>
        <w:gridCol w:w="1348"/>
        <w:gridCol w:w="1328"/>
        <w:gridCol w:w="1019"/>
        <w:gridCol w:w="1249"/>
        <w:gridCol w:w="266"/>
      </w:tblGrid>
      <w:tr w:rsidR="001A6832" w:rsidRPr="001A6832" w:rsidTr="003D4918">
        <w:trPr>
          <w:trHeight w:val="315"/>
          <w:jc w:val="center"/>
        </w:trPr>
        <w:tc>
          <w:tcPr>
            <w:tcW w:w="348"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lastRenderedPageBreak/>
              <w:t> </w:t>
            </w:r>
          </w:p>
        </w:tc>
        <w:tc>
          <w:tcPr>
            <w:tcW w:w="3289"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1307"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4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26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color w:val="000000"/>
                <w:sz w:val="20"/>
                <w:szCs w:val="20"/>
              </w:rPr>
            </w:pPr>
            <w:r w:rsidRPr="001A6832">
              <w:rPr>
                <w:b/>
                <w:bCs/>
                <w:color w:val="000000"/>
                <w:sz w:val="20"/>
                <w:szCs w:val="20"/>
              </w:rPr>
              <w:t>Schedule No. 1-A</w:t>
            </w:r>
          </w:p>
        </w:tc>
        <w:tc>
          <w:tcPr>
            <w:tcW w:w="266"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r>
      <w:tr w:rsidR="001A6832" w:rsidRPr="001A6832" w:rsidTr="003D4918">
        <w:trPr>
          <w:trHeight w:val="315"/>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Schedule of Water Rate Base</w:t>
            </w:r>
          </w:p>
        </w:tc>
        <w:tc>
          <w:tcPr>
            <w:tcW w:w="1307" w:type="dxa"/>
            <w:tcBorders>
              <w:top w:val="nil"/>
              <w:left w:val="nil"/>
              <w:bottom w:val="nil"/>
              <w:right w:val="nil"/>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c>
          <w:tcPr>
            <w:tcW w:w="2268"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b/>
                <w:bCs/>
                <w:color w:val="000000"/>
                <w:sz w:val="20"/>
                <w:szCs w:val="20"/>
              </w:rPr>
            </w:pPr>
            <w:r w:rsidRPr="001A6832">
              <w:rPr>
                <w:b/>
                <w:bCs/>
                <w:color w:val="000000"/>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r>
      <w:tr w:rsidR="001A6832" w:rsidRPr="001A6832" w:rsidTr="003D4918">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328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30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1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4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307"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348" w:type="dxa"/>
            <w:tcBorders>
              <w:top w:val="nil"/>
              <w:left w:val="nil"/>
              <w:bottom w:val="nil"/>
              <w:right w:val="nil"/>
            </w:tcBorders>
            <w:shd w:val="clear" w:color="000000" w:fill="FFFFFF"/>
            <w:noWrap/>
            <w:vAlign w:val="bottom"/>
            <w:hideMark/>
          </w:tcPr>
          <w:p w:rsidR="001A6832" w:rsidRPr="001A6832" w:rsidRDefault="003D4918" w:rsidP="00EC0B1C">
            <w:pPr>
              <w:jc w:val="center"/>
              <w:rPr>
                <w:b/>
                <w:bCs/>
                <w:sz w:val="20"/>
                <w:szCs w:val="20"/>
              </w:rPr>
            </w:pPr>
            <w:r>
              <w:rPr>
                <w:b/>
                <w:bCs/>
                <w:sz w:val="20"/>
                <w:szCs w:val="20"/>
              </w:rPr>
              <w:t>Utility</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019" w:type="dxa"/>
            <w:tcBorders>
              <w:top w:val="nil"/>
              <w:left w:val="nil"/>
              <w:bottom w:val="nil"/>
              <w:right w:val="nil"/>
            </w:tcBorders>
            <w:shd w:val="clear" w:color="000000" w:fill="FFFFFF"/>
            <w:noWrap/>
            <w:vAlign w:val="bottom"/>
            <w:hideMark/>
          </w:tcPr>
          <w:p w:rsidR="001A6832" w:rsidRPr="001A6832" w:rsidRDefault="00272DC2" w:rsidP="00EC0B1C">
            <w:pPr>
              <w:jc w:val="center"/>
              <w:rPr>
                <w:b/>
                <w:bCs/>
                <w:sz w:val="20"/>
                <w:szCs w:val="20"/>
              </w:rPr>
            </w:pPr>
            <w:r>
              <w:rPr>
                <w:b/>
                <w:bCs/>
                <w:sz w:val="20"/>
                <w:szCs w:val="20"/>
              </w:rPr>
              <w:t>Comm.</w:t>
            </w:r>
          </w:p>
        </w:tc>
        <w:tc>
          <w:tcPr>
            <w:tcW w:w="1249" w:type="dxa"/>
            <w:tcBorders>
              <w:top w:val="nil"/>
              <w:left w:val="nil"/>
              <w:bottom w:val="nil"/>
              <w:right w:val="nil"/>
            </w:tcBorders>
            <w:shd w:val="clear" w:color="000000" w:fill="FFFFFF"/>
            <w:noWrap/>
            <w:vAlign w:val="bottom"/>
            <w:hideMark/>
          </w:tcPr>
          <w:p w:rsidR="001A6832" w:rsidRPr="001A6832" w:rsidRDefault="00272DC2" w:rsidP="00EC0B1C">
            <w:pPr>
              <w:jc w:val="center"/>
              <w:rPr>
                <w:b/>
                <w:bCs/>
                <w:sz w:val="20"/>
                <w:szCs w:val="20"/>
              </w:rPr>
            </w:pPr>
            <w:r>
              <w:rPr>
                <w:b/>
                <w:bCs/>
                <w:sz w:val="20"/>
                <w:szCs w:val="20"/>
              </w:rPr>
              <w:t>Comm.</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307"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Per</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Description</w:t>
            </w:r>
          </w:p>
        </w:tc>
        <w:tc>
          <w:tcPr>
            <w:tcW w:w="1307" w:type="dxa"/>
            <w:tcBorders>
              <w:top w:val="nil"/>
              <w:left w:val="nil"/>
              <w:bottom w:val="single" w:sz="4" w:space="0" w:color="auto"/>
              <w:right w:val="nil"/>
            </w:tcBorders>
            <w:shd w:val="clear" w:color="000000" w:fill="FFFFFF"/>
            <w:noWrap/>
            <w:vAlign w:val="bottom"/>
            <w:hideMark/>
          </w:tcPr>
          <w:p w:rsidR="001A6832" w:rsidRPr="001A6832" w:rsidRDefault="003D4918" w:rsidP="00EC0B1C">
            <w:pPr>
              <w:jc w:val="center"/>
              <w:rPr>
                <w:b/>
                <w:bCs/>
                <w:sz w:val="20"/>
                <w:szCs w:val="20"/>
              </w:rPr>
            </w:pPr>
            <w:r>
              <w:rPr>
                <w:b/>
                <w:bCs/>
                <w:sz w:val="20"/>
                <w:szCs w:val="20"/>
              </w:rPr>
              <w:t>Utility</w:t>
            </w:r>
          </w:p>
        </w:tc>
        <w:tc>
          <w:tcPr>
            <w:tcW w:w="13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3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xml:space="preserve">Per </w:t>
            </w:r>
            <w:r w:rsidR="003D4918">
              <w:rPr>
                <w:b/>
                <w:bCs/>
                <w:sz w:val="20"/>
                <w:szCs w:val="20"/>
              </w:rPr>
              <w:t>Utility</w:t>
            </w:r>
          </w:p>
        </w:tc>
        <w:tc>
          <w:tcPr>
            <w:tcW w:w="1019"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249"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Plant in Service</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$568,878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$568,878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$568,878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Accumulated Depreciation</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(303,287)</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(303,287)</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(303,287)</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CIAC</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(110,779)</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(110,779)</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(110,779)</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4</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Amortization of CIAC</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110,779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110,779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110,779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5</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Acquisition Adjustments</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1,047,160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(1,047,160)</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6</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Accumulated Deferred Income Taxes</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(2,173)</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(2,173)</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(2,173)</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7</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Working Capital Allowance</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64,328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17,256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81,584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single"/>
              </w:rPr>
            </w:pPr>
            <w:r w:rsidRPr="001A6832">
              <w:rPr>
                <w:sz w:val="20"/>
                <w:szCs w:val="20"/>
                <w:u w:val="single"/>
              </w:rPr>
              <w:t>(4,534)</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single"/>
              </w:rPr>
            </w:pPr>
            <w:r w:rsidRPr="001A6832">
              <w:rPr>
                <w:sz w:val="20"/>
                <w:szCs w:val="20"/>
                <w:u w:val="single"/>
              </w:rPr>
              <w:t xml:space="preserve">77,050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34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8</w:t>
            </w:r>
          </w:p>
        </w:tc>
        <w:tc>
          <w:tcPr>
            <w:tcW w:w="328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Rate Base</w:t>
            </w:r>
          </w:p>
        </w:tc>
        <w:tc>
          <w:tcPr>
            <w:tcW w:w="130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$1,377,079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($1,032,077)</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$345,002 </w:t>
            </w:r>
          </w:p>
        </w:tc>
        <w:tc>
          <w:tcPr>
            <w:tcW w:w="101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($4,534)</w:t>
            </w:r>
          </w:p>
        </w:tc>
        <w:tc>
          <w:tcPr>
            <w:tcW w:w="12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$340,468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u w:val="double"/>
              </w:rPr>
            </w:pPr>
          </w:p>
        </w:tc>
      </w:tr>
      <w:tr w:rsidR="001A6832" w:rsidRPr="001A6832" w:rsidTr="003D4918">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289" w:type="dxa"/>
            <w:tcBorders>
              <w:top w:val="nil"/>
              <w:left w:val="nil"/>
              <w:bottom w:val="single" w:sz="4" w:space="0" w:color="auto"/>
              <w:right w:val="nil"/>
            </w:tcBorders>
            <w:shd w:val="clear" w:color="000000" w:fill="FFFFFF"/>
            <w:noWrap/>
            <w:vAlign w:val="bottom"/>
          </w:tcPr>
          <w:p w:rsidR="001A6832" w:rsidRPr="001A6832" w:rsidRDefault="001A6832" w:rsidP="00EC0B1C">
            <w:pPr>
              <w:rPr>
                <w:b/>
                <w:bCs/>
                <w:sz w:val="20"/>
                <w:szCs w:val="20"/>
              </w:rPr>
            </w:pPr>
          </w:p>
        </w:tc>
        <w:tc>
          <w:tcPr>
            <w:tcW w:w="1307" w:type="dxa"/>
            <w:tcBorders>
              <w:top w:val="nil"/>
              <w:left w:val="nil"/>
              <w:bottom w:val="single" w:sz="4" w:space="0" w:color="auto"/>
              <w:right w:val="nil"/>
            </w:tcBorders>
            <w:shd w:val="clear" w:color="000000" w:fill="FFFFFF"/>
            <w:noWrap/>
            <w:vAlign w:val="bottom"/>
          </w:tcPr>
          <w:p w:rsidR="001A6832" w:rsidRPr="001A6832" w:rsidRDefault="001A6832" w:rsidP="00EC0B1C">
            <w:pPr>
              <w:rPr>
                <w:sz w:val="20"/>
                <w:szCs w:val="20"/>
                <w:u w:val="double"/>
              </w:rPr>
            </w:pPr>
          </w:p>
        </w:tc>
        <w:tc>
          <w:tcPr>
            <w:tcW w:w="1348" w:type="dxa"/>
            <w:tcBorders>
              <w:top w:val="nil"/>
              <w:left w:val="nil"/>
              <w:bottom w:val="single" w:sz="4" w:space="0" w:color="auto"/>
              <w:right w:val="nil"/>
            </w:tcBorders>
            <w:shd w:val="clear" w:color="000000" w:fill="FFFFFF"/>
            <w:noWrap/>
            <w:vAlign w:val="bottom"/>
          </w:tcPr>
          <w:p w:rsidR="001A6832" w:rsidRPr="001A6832" w:rsidRDefault="001A6832" w:rsidP="00EC0B1C">
            <w:pPr>
              <w:rPr>
                <w:sz w:val="20"/>
                <w:szCs w:val="20"/>
                <w:u w:val="double"/>
              </w:rPr>
            </w:pPr>
          </w:p>
        </w:tc>
        <w:tc>
          <w:tcPr>
            <w:tcW w:w="1328" w:type="dxa"/>
            <w:tcBorders>
              <w:top w:val="nil"/>
              <w:left w:val="nil"/>
              <w:bottom w:val="single" w:sz="4" w:space="0" w:color="auto"/>
              <w:right w:val="nil"/>
            </w:tcBorders>
            <w:shd w:val="clear" w:color="000000" w:fill="FFFFFF"/>
            <w:noWrap/>
            <w:vAlign w:val="bottom"/>
          </w:tcPr>
          <w:p w:rsidR="001A6832" w:rsidRPr="001A6832" w:rsidRDefault="001A6832" w:rsidP="00EC0B1C">
            <w:pPr>
              <w:rPr>
                <w:sz w:val="20"/>
                <w:szCs w:val="20"/>
                <w:u w:val="double"/>
              </w:rPr>
            </w:pPr>
          </w:p>
        </w:tc>
        <w:tc>
          <w:tcPr>
            <w:tcW w:w="1019" w:type="dxa"/>
            <w:tcBorders>
              <w:top w:val="nil"/>
              <w:left w:val="nil"/>
              <w:bottom w:val="single" w:sz="4" w:space="0" w:color="auto"/>
              <w:right w:val="nil"/>
            </w:tcBorders>
            <w:shd w:val="clear" w:color="000000" w:fill="FFFFFF"/>
            <w:noWrap/>
            <w:vAlign w:val="bottom"/>
          </w:tcPr>
          <w:p w:rsidR="001A6832" w:rsidRPr="001A6832" w:rsidRDefault="001A6832" w:rsidP="00EC0B1C">
            <w:pPr>
              <w:rPr>
                <w:sz w:val="20"/>
                <w:szCs w:val="20"/>
                <w:u w:val="double"/>
              </w:rPr>
            </w:pPr>
          </w:p>
        </w:tc>
        <w:tc>
          <w:tcPr>
            <w:tcW w:w="1249" w:type="dxa"/>
            <w:tcBorders>
              <w:top w:val="nil"/>
              <w:left w:val="nil"/>
              <w:bottom w:val="single" w:sz="4" w:space="0" w:color="auto"/>
              <w:right w:val="nil"/>
            </w:tcBorders>
            <w:shd w:val="clear" w:color="000000" w:fill="FFFFFF"/>
            <w:noWrap/>
            <w:vAlign w:val="bottom"/>
          </w:tcPr>
          <w:p w:rsidR="001A6832" w:rsidRPr="001A6832" w:rsidRDefault="001A6832" w:rsidP="00EC0B1C">
            <w:pPr>
              <w:rPr>
                <w:sz w:val="20"/>
                <w:szCs w:val="20"/>
                <w:u w:val="double"/>
              </w:rPr>
            </w:pPr>
          </w:p>
        </w:tc>
        <w:tc>
          <w:tcPr>
            <w:tcW w:w="266" w:type="dxa"/>
            <w:tcBorders>
              <w:top w:val="nil"/>
              <w:left w:val="nil"/>
              <w:bottom w:val="single" w:sz="4" w:space="0" w:color="auto"/>
              <w:right w:val="single" w:sz="4" w:space="0" w:color="auto"/>
            </w:tcBorders>
            <w:shd w:val="clear" w:color="000000" w:fill="FFFFFF"/>
            <w:noWrap/>
            <w:vAlign w:val="bottom"/>
          </w:tcPr>
          <w:p w:rsidR="001A6832" w:rsidRPr="001A6832" w:rsidRDefault="001A6832" w:rsidP="00EC0B1C">
            <w:pPr>
              <w:rPr>
                <w:sz w:val="20"/>
                <w:szCs w:val="20"/>
                <w:u w:val="double"/>
              </w:rPr>
            </w:pPr>
          </w:p>
        </w:tc>
      </w:tr>
    </w:tbl>
    <w:p w:rsidR="001A6832" w:rsidRPr="001A6832" w:rsidRDefault="001A6832" w:rsidP="00EC0B1C">
      <w:pPr>
        <w:jc w:val="both"/>
      </w:pPr>
      <w:r w:rsidRPr="001A6832">
        <w:fldChar w:fldCharType="begin"/>
      </w:r>
      <w:r w:rsidRPr="001A6832">
        <w:instrText xml:space="preserve"> TC "</w:instrText>
      </w:r>
      <w:bookmarkStart w:id="12" w:name="_Toc448761991"/>
      <w:bookmarkStart w:id="13" w:name="_Toc460399837"/>
      <w:bookmarkStart w:id="14" w:name="_Toc463857749"/>
      <w:bookmarkStart w:id="15" w:name="_Toc465928120"/>
      <w:r w:rsidRPr="001A6832">
        <w:tab/>
        <w:instrText>Schedule No. 1-A Water Rate Base</w:instrText>
      </w:r>
      <w:bookmarkEnd w:id="12"/>
      <w:bookmarkEnd w:id="13"/>
      <w:bookmarkEnd w:id="14"/>
      <w:bookmarkEnd w:id="15"/>
      <w:r w:rsidRPr="001A6832">
        <w:instrText xml:space="preserve">" \l 1 </w:instrText>
      </w:r>
      <w:r w:rsidRPr="001A6832">
        <w:fldChar w:fldCharType="end"/>
      </w:r>
    </w:p>
    <w:p w:rsidR="001A6832" w:rsidRPr="001A6832" w:rsidRDefault="001A6832" w:rsidP="00EC0B1C">
      <w:pPr>
        <w:jc w:val="both"/>
        <w:sectPr w:rsidR="001A6832" w:rsidRPr="001A6832" w:rsidSect="003D4918">
          <w:headerReference w:type="default" r:id="rId11"/>
          <w:pgSz w:w="12240" w:h="15840" w:code="1"/>
          <w:pgMar w:top="1584" w:right="1440" w:bottom="1152" w:left="1440" w:header="720" w:footer="720" w:gutter="0"/>
          <w:cols w:space="720"/>
          <w:formProt w:val="0"/>
          <w:docGrid w:linePitch="360"/>
        </w:sectPr>
      </w:pPr>
    </w:p>
    <w:tbl>
      <w:tblPr>
        <w:tblW w:w="10222" w:type="dxa"/>
        <w:jc w:val="center"/>
        <w:tblInd w:w="103" w:type="dxa"/>
        <w:tblLook w:val="04A0" w:firstRow="1" w:lastRow="0" w:firstColumn="1" w:lastColumn="0" w:noHBand="0" w:noVBand="1"/>
      </w:tblPr>
      <w:tblGrid>
        <w:gridCol w:w="416"/>
        <w:gridCol w:w="3345"/>
        <w:gridCol w:w="1251"/>
        <w:gridCol w:w="1348"/>
        <w:gridCol w:w="1328"/>
        <w:gridCol w:w="959"/>
        <w:gridCol w:w="64"/>
        <w:gridCol w:w="1245"/>
        <w:gridCol w:w="266"/>
      </w:tblGrid>
      <w:tr w:rsidR="001A6832" w:rsidRPr="001A6832" w:rsidTr="003D4918">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bookmarkStart w:id="16" w:name="RANGE!A32:H58"/>
            <w:r w:rsidRPr="001A6832">
              <w:rPr>
                <w:color w:val="000000"/>
                <w:sz w:val="20"/>
                <w:szCs w:val="20"/>
              </w:rPr>
              <w:lastRenderedPageBreak/>
              <w:t> </w:t>
            </w:r>
            <w:bookmarkEnd w:id="16"/>
          </w:p>
        </w:tc>
        <w:tc>
          <w:tcPr>
            <w:tcW w:w="3345"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1251"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4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268" w:type="dxa"/>
            <w:gridSpan w:val="3"/>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color w:val="000000"/>
                <w:sz w:val="20"/>
                <w:szCs w:val="20"/>
              </w:rPr>
            </w:pPr>
            <w:r w:rsidRPr="001A6832">
              <w:rPr>
                <w:b/>
                <w:bCs/>
                <w:color w:val="000000"/>
                <w:sz w:val="20"/>
                <w:szCs w:val="20"/>
              </w:rPr>
              <w:t>Schedule No. 1-B</w:t>
            </w:r>
          </w:p>
        </w:tc>
        <w:tc>
          <w:tcPr>
            <w:tcW w:w="266"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4596"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Schedule of Wastewater Rate Base</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c>
          <w:tcPr>
            <w:tcW w:w="2268" w:type="dxa"/>
            <w:gridSpan w:val="3"/>
            <w:tcBorders>
              <w:top w:val="nil"/>
              <w:left w:val="nil"/>
              <w:bottom w:val="nil"/>
              <w:right w:val="nil"/>
            </w:tcBorders>
            <w:shd w:val="clear" w:color="000000" w:fill="FFFFFF"/>
            <w:noWrap/>
            <w:vAlign w:val="bottom"/>
            <w:hideMark/>
          </w:tcPr>
          <w:p w:rsidR="001A6832" w:rsidRPr="001A6832" w:rsidRDefault="001A6832" w:rsidP="00EC0B1C">
            <w:pPr>
              <w:jc w:val="right"/>
              <w:rPr>
                <w:b/>
                <w:bCs/>
                <w:color w:val="000000"/>
                <w:sz w:val="20"/>
                <w:szCs w:val="20"/>
              </w:rPr>
            </w:pPr>
            <w:r w:rsidRPr="001A6832">
              <w:rPr>
                <w:b/>
                <w:bCs/>
                <w:color w:val="000000"/>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b/>
                <w:bCs/>
                <w:color w:val="000000"/>
                <w:sz w:val="20"/>
                <w:szCs w:val="20"/>
              </w:rPr>
            </w:pPr>
            <w:r w:rsidRPr="001A6832">
              <w:rPr>
                <w:b/>
                <w:bCs/>
                <w:color w:val="000000"/>
                <w:sz w:val="20"/>
                <w:szCs w:val="20"/>
              </w:rPr>
              <w:t> </w:t>
            </w: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3345"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25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95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9"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251"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348" w:type="dxa"/>
            <w:tcBorders>
              <w:top w:val="nil"/>
              <w:left w:val="nil"/>
              <w:bottom w:val="nil"/>
              <w:right w:val="nil"/>
            </w:tcBorders>
            <w:shd w:val="clear" w:color="000000" w:fill="FFFFFF"/>
            <w:noWrap/>
            <w:vAlign w:val="bottom"/>
            <w:hideMark/>
          </w:tcPr>
          <w:p w:rsidR="001A6832" w:rsidRPr="001A6832" w:rsidRDefault="003D4918" w:rsidP="00EC0B1C">
            <w:pPr>
              <w:jc w:val="center"/>
              <w:rPr>
                <w:b/>
                <w:bCs/>
                <w:sz w:val="20"/>
                <w:szCs w:val="20"/>
              </w:rPr>
            </w:pPr>
            <w:r>
              <w:rPr>
                <w:b/>
                <w:bCs/>
                <w:sz w:val="20"/>
                <w:szCs w:val="20"/>
              </w:rPr>
              <w:t>Utility</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959" w:type="dxa"/>
            <w:tcBorders>
              <w:top w:val="nil"/>
              <w:left w:val="nil"/>
              <w:bottom w:val="nil"/>
              <w:right w:val="nil"/>
            </w:tcBorders>
            <w:shd w:val="clear" w:color="000000" w:fill="FFFFFF"/>
            <w:noWrap/>
            <w:vAlign w:val="bottom"/>
            <w:hideMark/>
          </w:tcPr>
          <w:p w:rsidR="001A6832" w:rsidRPr="001A6832" w:rsidRDefault="00272DC2" w:rsidP="00EC0B1C">
            <w:pPr>
              <w:jc w:val="center"/>
              <w:rPr>
                <w:b/>
                <w:bCs/>
                <w:sz w:val="20"/>
                <w:szCs w:val="20"/>
              </w:rPr>
            </w:pPr>
            <w:r>
              <w:rPr>
                <w:b/>
                <w:bCs/>
                <w:sz w:val="20"/>
                <w:szCs w:val="20"/>
              </w:rPr>
              <w:t>Comm.</w:t>
            </w:r>
          </w:p>
        </w:tc>
        <w:tc>
          <w:tcPr>
            <w:tcW w:w="1309" w:type="dxa"/>
            <w:gridSpan w:val="2"/>
            <w:tcBorders>
              <w:top w:val="nil"/>
              <w:left w:val="nil"/>
              <w:bottom w:val="nil"/>
              <w:right w:val="nil"/>
            </w:tcBorders>
            <w:shd w:val="clear" w:color="000000" w:fill="FFFFFF"/>
            <w:noWrap/>
            <w:vAlign w:val="bottom"/>
            <w:hideMark/>
          </w:tcPr>
          <w:p w:rsidR="001A6832" w:rsidRPr="001A6832" w:rsidRDefault="00272DC2" w:rsidP="00EC0B1C">
            <w:pPr>
              <w:jc w:val="center"/>
              <w:rPr>
                <w:b/>
                <w:bCs/>
                <w:sz w:val="20"/>
                <w:szCs w:val="20"/>
              </w:rPr>
            </w:pPr>
            <w:r w:rsidRPr="00272DC2">
              <w:rPr>
                <w:b/>
                <w:bCs/>
                <w:sz w:val="20"/>
                <w:szCs w:val="20"/>
              </w:rPr>
              <w:t>Comm.</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251"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Per</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Description</w:t>
            </w:r>
          </w:p>
        </w:tc>
        <w:tc>
          <w:tcPr>
            <w:tcW w:w="1251" w:type="dxa"/>
            <w:tcBorders>
              <w:top w:val="nil"/>
              <w:left w:val="nil"/>
              <w:bottom w:val="single" w:sz="4" w:space="0" w:color="auto"/>
              <w:right w:val="nil"/>
            </w:tcBorders>
            <w:shd w:val="clear" w:color="000000" w:fill="FFFFFF"/>
            <w:noWrap/>
            <w:vAlign w:val="bottom"/>
            <w:hideMark/>
          </w:tcPr>
          <w:p w:rsidR="001A6832" w:rsidRPr="001A6832" w:rsidRDefault="003D4918" w:rsidP="00EC0B1C">
            <w:pPr>
              <w:jc w:val="center"/>
              <w:rPr>
                <w:b/>
                <w:bCs/>
                <w:sz w:val="20"/>
                <w:szCs w:val="20"/>
              </w:rPr>
            </w:pPr>
            <w:r>
              <w:rPr>
                <w:b/>
                <w:bCs/>
                <w:sz w:val="20"/>
                <w:szCs w:val="20"/>
              </w:rPr>
              <w:t>Utility</w:t>
            </w:r>
          </w:p>
        </w:tc>
        <w:tc>
          <w:tcPr>
            <w:tcW w:w="13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3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xml:space="preserve">Per </w:t>
            </w:r>
            <w:r w:rsidR="003D4918">
              <w:rPr>
                <w:b/>
                <w:bCs/>
                <w:sz w:val="20"/>
                <w:szCs w:val="20"/>
              </w:rPr>
              <w:t>Utility</w:t>
            </w:r>
          </w:p>
        </w:tc>
        <w:tc>
          <w:tcPr>
            <w:tcW w:w="959" w:type="dxa"/>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309"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48"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28"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Plant in Service</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$9,155,410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$266,889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$9,422,299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$32,306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$9,454,605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Land and Land Rights</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9,513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9,513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9,513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Accumulated Depreciation</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(4,520,375)</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545,254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(3,975,121)</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44,844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(3,930,277)</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4</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CIAC</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(3,638,516)</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(3,638,516)</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(3,638,516)</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5</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Amortization of CIAC</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1,946,580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1,946,580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6,568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1,953,148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6</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Construction Work in Progress</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479,348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(479,348)</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7</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Acquisition Adjustments</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5,726,865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(5,726,865)</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8</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Accumulated Deferred Income Taxes</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(3,634)</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(100,742)</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(104,376)</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3,634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(100,742)</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9</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Working Capital Allowance</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218,210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64,708 </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282,918 </w:t>
            </w:r>
          </w:p>
        </w:tc>
        <w:tc>
          <w:tcPr>
            <w:tcW w:w="1023"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single"/>
              </w:rPr>
            </w:pPr>
            <w:r w:rsidRPr="001A6832">
              <w:rPr>
                <w:sz w:val="20"/>
                <w:szCs w:val="20"/>
                <w:u w:val="single"/>
              </w:rPr>
              <w:t>(65,795)</w:t>
            </w:r>
          </w:p>
        </w:tc>
        <w:tc>
          <w:tcPr>
            <w:tcW w:w="1245"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single"/>
              </w:rPr>
            </w:pPr>
            <w:r w:rsidRPr="001A6832">
              <w:rPr>
                <w:sz w:val="20"/>
                <w:szCs w:val="20"/>
                <w:u w:val="single"/>
              </w:rPr>
              <w:t xml:space="preserve">217,123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10</w:t>
            </w:r>
          </w:p>
        </w:tc>
        <w:tc>
          <w:tcPr>
            <w:tcW w:w="3345"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Rate Base</w:t>
            </w:r>
          </w:p>
        </w:tc>
        <w:tc>
          <w:tcPr>
            <w:tcW w:w="125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$9,373,401 </w:t>
            </w:r>
          </w:p>
        </w:tc>
        <w:tc>
          <w:tcPr>
            <w:tcW w:w="13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($5,430,104)</w:t>
            </w:r>
          </w:p>
        </w:tc>
        <w:tc>
          <w:tcPr>
            <w:tcW w:w="13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$3,943,297 </w:t>
            </w:r>
          </w:p>
        </w:tc>
        <w:tc>
          <w:tcPr>
            <w:tcW w:w="95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$21,557 </w:t>
            </w:r>
          </w:p>
        </w:tc>
        <w:tc>
          <w:tcPr>
            <w:tcW w:w="1309"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$3,964,854</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u w:val="double"/>
              </w:rPr>
            </w:pP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345"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51" w:type="dxa"/>
            <w:tcBorders>
              <w:top w:val="nil"/>
              <w:left w:val="nil"/>
              <w:bottom w:val="single" w:sz="4" w:space="0" w:color="auto"/>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1348" w:type="dxa"/>
            <w:tcBorders>
              <w:top w:val="nil"/>
              <w:left w:val="nil"/>
              <w:bottom w:val="single" w:sz="4" w:space="0" w:color="auto"/>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1328" w:type="dxa"/>
            <w:tcBorders>
              <w:top w:val="nil"/>
              <w:left w:val="nil"/>
              <w:bottom w:val="single" w:sz="4" w:space="0" w:color="auto"/>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95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09"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bl>
    <w:p w:rsidR="001A6832" w:rsidRPr="001A6832" w:rsidRDefault="001A6832" w:rsidP="00EC0B1C">
      <w:pPr>
        <w:jc w:val="both"/>
      </w:pPr>
    </w:p>
    <w:p w:rsidR="001A6832" w:rsidRPr="001A6832" w:rsidRDefault="001A6832" w:rsidP="00EC0B1C">
      <w:pPr>
        <w:jc w:val="both"/>
      </w:pPr>
      <w:r w:rsidRPr="001A6832">
        <w:fldChar w:fldCharType="begin"/>
      </w:r>
      <w:r w:rsidRPr="001A6832">
        <w:instrText xml:space="preserve"> TC "</w:instrText>
      </w:r>
      <w:bookmarkStart w:id="17" w:name="_Toc465928121"/>
      <w:r w:rsidRPr="001A6832">
        <w:tab/>
        <w:instrText>Schedule No. 1-B Wastewater Rate Base</w:instrText>
      </w:r>
      <w:bookmarkEnd w:id="17"/>
      <w:r w:rsidRPr="001A6832">
        <w:instrText xml:space="preserve">" \l 1 </w:instrText>
      </w:r>
      <w:r w:rsidRPr="001A6832">
        <w:fldChar w:fldCharType="end"/>
      </w:r>
    </w:p>
    <w:p w:rsidR="001A6832" w:rsidRPr="001A6832" w:rsidRDefault="001A6832" w:rsidP="00EC0B1C">
      <w:pPr>
        <w:jc w:val="both"/>
        <w:sectPr w:rsidR="001A6832" w:rsidRPr="001A6832" w:rsidSect="003D4918">
          <w:headerReference w:type="default" r:id="rId12"/>
          <w:pgSz w:w="12240" w:h="15840" w:code="1"/>
          <w:pgMar w:top="1584" w:right="1440" w:bottom="1152" w:left="1440" w:header="720" w:footer="720" w:gutter="0"/>
          <w:cols w:space="720"/>
          <w:formProt w:val="0"/>
          <w:docGrid w:linePitch="360"/>
        </w:sectPr>
      </w:pPr>
    </w:p>
    <w:tbl>
      <w:tblPr>
        <w:tblW w:w="10225" w:type="dxa"/>
        <w:jc w:val="center"/>
        <w:tblInd w:w="248" w:type="dxa"/>
        <w:tblLook w:val="04A0" w:firstRow="1" w:lastRow="0" w:firstColumn="1" w:lastColumn="0" w:noHBand="0" w:noVBand="1"/>
      </w:tblPr>
      <w:tblGrid>
        <w:gridCol w:w="363"/>
        <w:gridCol w:w="6288"/>
        <w:gridCol w:w="1326"/>
        <w:gridCol w:w="1982"/>
        <w:gridCol w:w="266"/>
      </w:tblGrid>
      <w:tr w:rsidR="001A6832" w:rsidRPr="001A6832" w:rsidTr="003D4918">
        <w:trPr>
          <w:trHeight w:val="270"/>
          <w:jc w:val="center"/>
        </w:trPr>
        <w:tc>
          <w:tcPr>
            <w:tcW w:w="363"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bookmarkStart w:id="18" w:name="RANGE!B5:E26"/>
            <w:r w:rsidRPr="001A6832">
              <w:rPr>
                <w:sz w:val="20"/>
                <w:szCs w:val="20"/>
              </w:rPr>
              <w:lastRenderedPageBreak/>
              <w:t> </w:t>
            </w:r>
            <w:bookmarkEnd w:id="18"/>
          </w:p>
        </w:tc>
        <w:tc>
          <w:tcPr>
            <w:tcW w:w="62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330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Schedule No. 1-C</w:t>
            </w:r>
          </w:p>
        </w:tc>
        <w:tc>
          <w:tcPr>
            <w:tcW w:w="266"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Adjustments to Rate Base</w:t>
            </w:r>
          </w:p>
        </w:tc>
        <w:tc>
          <w:tcPr>
            <w:tcW w:w="3308"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single" w:sz="4" w:space="0" w:color="000000"/>
              <w:left w:val="single" w:sz="4" w:space="0" w:color="auto"/>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6288" w:type="dxa"/>
            <w:tcBorders>
              <w:top w:val="single" w:sz="4" w:space="0" w:color="000000"/>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1326" w:type="dxa"/>
            <w:tcBorders>
              <w:top w:val="single" w:sz="4" w:space="0" w:color="000000"/>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single" w:sz="4" w:space="0" w:color="000000"/>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single" w:sz="4" w:space="0" w:color="000000"/>
              <w:left w:val="nil"/>
              <w:bottom w:val="nil"/>
              <w:right w:val="single" w:sz="4" w:space="0" w:color="auto"/>
            </w:tcBorders>
            <w:shd w:val="clear" w:color="auto" w:fill="auto"/>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Explanation</w:t>
            </w:r>
          </w:p>
        </w:tc>
        <w:tc>
          <w:tcPr>
            <w:tcW w:w="1326"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Water</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Wastewater</w:t>
            </w:r>
          </w:p>
        </w:tc>
        <w:tc>
          <w:tcPr>
            <w:tcW w:w="266" w:type="dxa"/>
            <w:tcBorders>
              <w:top w:val="nil"/>
              <w:left w:val="nil"/>
              <w:bottom w:val="nil"/>
              <w:right w:val="single" w:sz="4" w:space="0" w:color="auto"/>
            </w:tcBorders>
            <w:shd w:val="clear" w:color="auto" w:fill="auto"/>
            <w:noWrap/>
            <w:vAlign w:val="bottom"/>
            <w:hideMark/>
          </w:tcPr>
          <w:p w:rsidR="001A6832" w:rsidRPr="001A6832" w:rsidRDefault="001A6832" w:rsidP="00EC0B1C">
            <w:pPr>
              <w:jc w:val="cente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98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66" w:type="dxa"/>
            <w:tcBorders>
              <w:top w:val="nil"/>
              <w:left w:val="nil"/>
              <w:bottom w:val="nil"/>
              <w:right w:val="single" w:sz="4" w:space="0" w:color="auto"/>
            </w:tcBorders>
            <w:shd w:val="clear" w:color="auto" w:fill="auto"/>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single" w:sz="4" w:space="0" w:color="000000"/>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single" w:sz="4" w:space="0" w:color="000000"/>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326" w:type="dxa"/>
            <w:tcBorders>
              <w:top w:val="single" w:sz="4" w:space="0" w:color="000000"/>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single" w:sz="4" w:space="0" w:color="000000"/>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single" w:sz="4" w:space="0" w:color="000000"/>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u w:val="single"/>
              </w:rPr>
            </w:pPr>
            <w:r w:rsidRPr="001A6832">
              <w:rPr>
                <w:sz w:val="20"/>
                <w:szCs w:val="20"/>
                <w:u w:val="single"/>
              </w:rPr>
              <w:t>Plant In Service</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appropriate pro forma plant adjustments.</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$32,306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Accumulated Depreciation</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appropriate pro forma plant adjustments. </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$44,844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tcPr>
          <w:p w:rsidR="001A6832" w:rsidRPr="001A6832" w:rsidRDefault="001A6832" w:rsidP="00EC0B1C">
            <w:pPr>
              <w:rPr>
                <w:sz w:val="20"/>
                <w:szCs w:val="20"/>
              </w:rPr>
            </w:pPr>
          </w:p>
        </w:tc>
        <w:tc>
          <w:tcPr>
            <w:tcW w:w="1326" w:type="dxa"/>
            <w:tcBorders>
              <w:top w:val="nil"/>
              <w:left w:val="nil"/>
              <w:bottom w:val="nil"/>
              <w:right w:val="nil"/>
            </w:tcBorders>
            <w:shd w:val="clear" w:color="000000" w:fill="FFFFFF"/>
            <w:noWrap/>
            <w:vAlign w:val="bottom"/>
          </w:tcPr>
          <w:p w:rsidR="001A6832" w:rsidRPr="001A6832" w:rsidRDefault="001A6832" w:rsidP="00EC0B1C">
            <w:pPr>
              <w:rPr>
                <w:sz w:val="20"/>
                <w:szCs w:val="20"/>
                <w:u w:val="double"/>
              </w:rPr>
            </w:pPr>
          </w:p>
        </w:tc>
        <w:tc>
          <w:tcPr>
            <w:tcW w:w="1982" w:type="dxa"/>
            <w:tcBorders>
              <w:top w:val="nil"/>
              <w:left w:val="nil"/>
              <w:bottom w:val="nil"/>
              <w:right w:val="nil"/>
            </w:tcBorders>
            <w:shd w:val="clear" w:color="000000" w:fill="FFFFFF"/>
            <w:noWrap/>
            <w:vAlign w:val="bottom"/>
          </w:tcPr>
          <w:p w:rsidR="001A6832" w:rsidRPr="001A6832" w:rsidRDefault="001A6832" w:rsidP="00EC0B1C">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Amortization of CIAC</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rFonts w:ascii="Courier New" w:hAnsi="Courier New" w:cs="Courier New"/>
                <w:color w:val="000000"/>
                <w:sz w:val="20"/>
                <w:szCs w:val="20"/>
              </w:rPr>
            </w:pPr>
            <w:r w:rsidRPr="001A6832">
              <w:rPr>
                <w:rFonts w:ascii="Courier New" w:hAnsi="Courier New" w:cs="Courier New"/>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agreed upon audit adjustments. </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$6,568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Accumulated Deferred Income Taxes</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agreed upon audit adjustments</w:t>
            </w:r>
            <w:r w:rsidR="00272DC2">
              <w:rPr>
                <w:sz w:val="20"/>
                <w:szCs w:val="20"/>
              </w:rPr>
              <w:t>.</w:t>
            </w:r>
          </w:p>
        </w:tc>
        <w:tc>
          <w:tcPr>
            <w:tcW w:w="132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$3,634 </w:t>
            </w:r>
          </w:p>
        </w:tc>
        <w:tc>
          <w:tcPr>
            <w:tcW w:w="266" w:type="dxa"/>
            <w:tcBorders>
              <w:top w:val="nil"/>
              <w:left w:val="nil"/>
              <w:bottom w:val="nil"/>
              <w:right w:val="single" w:sz="4" w:space="0" w:color="auto"/>
            </w:tcBorders>
            <w:shd w:val="clear" w:color="auto" w:fill="auto"/>
            <w:noWrap/>
            <w:vAlign w:val="bottom"/>
          </w:tcPr>
          <w:p w:rsidR="001A6832" w:rsidRPr="001A6832" w:rsidRDefault="001A6832" w:rsidP="00EC0B1C">
            <w:pPr>
              <w:rPr>
                <w:sz w:val="20"/>
                <w:szCs w:val="20"/>
                <w:u w:val="single"/>
              </w:rPr>
            </w:pP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rFonts w:ascii="Courier New" w:hAnsi="Courier New" w:cs="Courier New"/>
                <w:color w:val="000000"/>
                <w:sz w:val="20"/>
                <w:szCs w:val="20"/>
              </w:rPr>
            </w:pP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Working Capital</w:t>
            </w:r>
          </w:p>
        </w:tc>
        <w:tc>
          <w:tcPr>
            <w:tcW w:w="132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appropriate deferred rate case expense.</w:t>
            </w:r>
          </w:p>
        </w:tc>
        <w:tc>
          <w:tcPr>
            <w:tcW w:w="132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($4,534)</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($15,676)</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agreed upon audit adjustments.</w:t>
            </w:r>
          </w:p>
        </w:tc>
        <w:tc>
          <w:tcPr>
            <w:tcW w:w="1326" w:type="dxa"/>
            <w:tcBorders>
              <w:top w:val="nil"/>
              <w:left w:val="nil"/>
              <w:bottom w:val="nil"/>
              <w:right w:val="nil"/>
            </w:tcBorders>
            <w:shd w:val="clear" w:color="auto" w:fill="auto"/>
            <w:noWrap/>
            <w:vAlign w:val="bottom"/>
            <w:hideMark/>
          </w:tcPr>
          <w:p w:rsidR="001A6832" w:rsidRPr="001A6832" w:rsidRDefault="001A6832" w:rsidP="00EC0B1C">
            <w:pPr>
              <w:jc w:val="right"/>
              <w:rPr>
                <w:rFonts w:cs="Calibri"/>
                <w:color w:val="000000"/>
                <w:sz w:val="20"/>
                <w:szCs w:val="20"/>
                <w:u w:val="single"/>
              </w:rPr>
            </w:pPr>
            <w:r w:rsidRPr="001A6832">
              <w:rPr>
                <w:rFonts w:cs="Calibri"/>
                <w:color w:val="000000"/>
                <w:sz w:val="20"/>
                <w:szCs w:val="20"/>
                <w:u w:val="single"/>
              </w:rPr>
              <w:t>0</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color w:val="000000"/>
                <w:sz w:val="20"/>
                <w:szCs w:val="20"/>
                <w:u w:val="single"/>
              </w:rPr>
            </w:pPr>
            <w:r w:rsidRPr="001A6832">
              <w:rPr>
                <w:color w:val="000000"/>
                <w:sz w:val="20"/>
                <w:szCs w:val="20"/>
                <w:u w:val="single"/>
              </w:rPr>
              <w:t>(50,119)</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xml:space="preserve">   Total</w:t>
            </w:r>
          </w:p>
        </w:tc>
        <w:tc>
          <w:tcPr>
            <w:tcW w:w="132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($4,534)</w:t>
            </w:r>
          </w:p>
        </w:tc>
        <w:tc>
          <w:tcPr>
            <w:tcW w:w="198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($65,795)</w:t>
            </w:r>
          </w:p>
        </w:tc>
        <w:tc>
          <w:tcPr>
            <w:tcW w:w="266"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63"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rFonts w:ascii="Arial" w:hAnsi="Arial" w:cs="Arial"/>
                <w:color w:val="000000"/>
                <w:sz w:val="20"/>
                <w:szCs w:val="20"/>
              </w:rPr>
            </w:pPr>
            <w:r w:rsidRPr="001A6832">
              <w:rPr>
                <w:rFonts w:ascii="Arial" w:hAnsi="Arial" w:cs="Arial"/>
                <w:color w:val="000000"/>
                <w:sz w:val="20"/>
                <w:szCs w:val="20"/>
              </w:rPr>
              <w:t> </w:t>
            </w:r>
          </w:p>
        </w:tc>
        <w:tc>
          <w:tcPr>
            <w:tcW w:w="1326"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982"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bl>
    <w:p w:rsidR="001A6832" w:rsidRPr="001A6832" w:rsidRDefault="001A6832" w:rsidP="00EC0B1C">
      <w:pPr>
        <w:jc w:val="both"/>
      </w:pPr>
    </w:p>
    <w:p w:rsidR="001A6832" w:rsidRPr="001A6832" w:rsidRDefault="001A6832" w:rsidP="00EC0B1C">
      <w:pPr>
        <w:rPr>
          <w:noProof/>
        </w:rPr>
      </w:pPr>
      <w:r w:rsidRPr="001A6832">
        <w:fldChar w:fldCharType="begin"/>
      </w:r>
      <w:r w:rsidRPr="001A6832">
        <w:instrText xml:space="preserve"> TC "</w:instrText>
      </w:r>
      <w:bookmarkStart w:id="19" w:name="_Toc433269942"/>
      <w:bookmarkStart w:id="20" w:name="_Toc448761992"/>
      <w:bookmarkStart w:id="21" w:name="_Toc460399838"/>
      <w:bookmarkStart w:id="22" w:name="_Toc463857750"/>
      <w:bookmarkStart w:id="23" w:name="_Toc465928122"/>
      <w:r w:rsidRPr="001A6832">
        <w:tab/>
        <w:instrText>Schedule No. 1-C Adjustments to Rate Base</w:instrText>
      </w:r>
      <w:bookmarkEnd w:id="19"/>
      <w:bookmarkEnd w:id="20"/>
      <w:bookmarkEnd w:id="21"/>
      <w:bookmarkEnd w:id="22"/>
      <w:bookmarkEnd w:id="23"/>
      <w:r w:rsidRPr="001A6832">
        <w:instrText xml:space="preserve">" \l 1 </w:instrText>
      </w:r>
      <w:r w:rsidRPr="001A6832">
        <w:fldChar w:fldCharType="end"/>
      </w:r>
    </w:p>
    <w:p w:rsidR="001A6832" w:rsidRPr="001A6832" w:rsidRDefault="001A6832" w:rsidP="00EC0B1C">
      <w:pPr>
        <w:jc w:val="both"/>
        <w:sectPr w:rsidR="001A6832" w:rsidRPr="001A6832" w:rsidSect="003D4918">
          <w:headerReference w:type="default" r:id="rId13"/>
          <w:pgSz w:w="12240" w:h="15840" w:code="1"/>
          <w:pgMar w:top="1584" w:right="1440" w:bottom="1152" w:left="1440" w:header="720" w:footer="720" w:gutter="0"/>
          <w:cols w:space="720"/>
          <w:formProt w:val="0"/>
          <w:docGrid w:linePitch="360"/>
        </w:sectPr>
      </w:pPr>
    </w:p>
    <w:p w:rsidR="001A6832" w:rsidRPr="001A6832" w:rsidRDefault="001A6832" w:rsidP="00EC0B1C">
      <w:pPr>
        <w:jc w:val="both"/>
      </w:pPr>
    </w:p>
    <w:tbl>
      <w:tblPr>
        <w:tblW w:w="12831" w:type="dxa"/>
        <w:tblInd w:w="103" w:type="dxa"/>
        <w:tblLook w:val="04A0" w:firstRow="1" w:lastRow="0" w:firstColumn="1" w:lastColumn="0" w:noHBand="0" w:noVBand="1"/>
      </w:tblPr>
      <w:tblGrid>
        <w:gridCol w:w="508"/>
        <w:gridCol w:w="2748"/>
        <w:gridCol w:w="79"/>
        <w:gridCol w:w="1149"/>
        <w:gridCol w:w="1281"/>
        <w:gridCol w:w="1350"/>
        <w:gridCol w:w="85"/>
        <w:gridCol w:w="995"/>
        <w:gridCol w:w="133"/>
        <w:gridCol w:w="1268"/>
        <w:gridCol w:w="947"/>
        <w:gridCol w:w="833"/>
        <w:gridCol w:w="1087"/>
        <w:gridCol w:w="368"/>
      </w:tblGrid>
      <w:tr w:rsidR="001A6832" w:rsidRPr="001A6832" w:rsidTr="003D4918">
        <w:trPr>
          <w:trHeight w:val="270"/>
        </w:trPr>
        <w:tc>
          <w:tcPr>
            <w:tcW w:w="508"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bookmarkStart w:id="24" w:name="RANGE!A4:J33"/>
            <w:r w:rsidRPr="001A6832">
              <w:rPr>
                <w:color w:val="000000"/>
                <w:sz w:val="20"/>
                <w:szCs w:val="20"/>
              </w:rPr>
              <w:t> </w:t>
            </w:r>
            <w:bookmarkEnd w:id="24"/>
          </w:p>
        </w:tc>
        <w:tc>
          <w:tcPr>
            <w:tcW w:w="274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122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281"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350"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080"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01"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867" w:type="dxa"/>
            <w:gridSpan w:val="3"/>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Schedule No. 2</w:t>
            </w:r>
          </w:p>
        </w:tc>
        <w:tc>
          <w:tcPr>
            <w:tcW w:w="368"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3976" w:type="dxa"/>
            <w:gridSpan w:val="3"/>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Capital Structure – 13-Month Average</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867" w:type="dxa"/>
            <w:gridSpan w:val="3"/>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Docket No. 160030-WS</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827"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14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28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350"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080"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01"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94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833"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08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827" w:type="dxa"/>
            <w:gridSpan w:val="2"/>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149"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Specific</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Subtotal</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Prorata</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Capital</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833"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368" w:type="dxa"/>
            <w:tcBorders>
              <w:top w:val="nil"/>
              <w:left w:val="nil"/>
              <w:bottom w:val="nil"/>
              <w:right w:val="single" w:sz="4" w:space="0" w:color="auto"/>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827" w:type="dxa"/>
            <w:gridSpan w:val="2"/>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Total</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Reconciled</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Cost</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Weighted</w:t>
            </w:r>
          </w:p>
        </w:tc>
        <w:tc>
          <w:tcPr>
            <w:tcW w:w="368" w:type="dxa"/>
            <w:tcBorders>
              <w:top w:val="nil"/>
              <w:left w:val="nil"/>
              <w:bottom w:val="nil"/>
              <w:right w:val="single" w:sz="4" w:space="0" w:color="auto"/>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r>
      <w:tr w:rsidR="001A6832" w:rsidRPr="001A6832" w:rsidTr="003D4918">
        <w:trPr>
          <w:trHeight w:val="270"/>
        </w:trPr>
        <w:tc>
          <w:tcPr>
            <w:tcW w:w="508" w:type="dxa"/>
            <w:tcBorders>
              <w:top w:val="nil"/>
              <w:left w:val="single" w:sz="4" w:space="0" w:color="auto"/>
              <w:bottom w:val="single" w:sz="4" w:space="0" w:color="auto"/>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827" w:type="dxa"/>
            <w:gridSpan w:val="2"/>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Description</w:t>
            </w:r>
          </w:p>
        </w:tc>
        <w:tc>
          <w:tcPr>
            <w:tcW w:w="1149"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Capital</w:t>
            </w:r>
          </w:p>
        </w:tc>
        <w:tc>
          <w:tcPr>
            <w:tcW w:w="1281"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350"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Capital</w:t>
            </w:r>
          </w:p>
        </w:tc>
        <w:tc>
          <w:tcPr>
            <w:tcW w:w="1080" w:type="dxa"/>
            <w:gridSpan w:val="2"/>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401" w:type="dxa"/>
            <w:gridSpan w:val="2"/>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to Rate Base</w:t>
            </w:r>
          </w:p>
        </w:tc>
        <w:tc>
          <w:tcPr>
            <w:tcW w:w="947"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Ratio</w:t>
            </w:r>
          </w:p>
        </w:tc>
        <w:tc>
          <w:tcPr>
            <w:tcW w:w="833"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Rate</w:t>
            </w:r>
          </w:p>
        </w:tc>
        <w:tc>
          <w:tcPr>
            <w:tcW w:w="1087"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Cost</w:t>
            </w:r>
          </w:p>
        </w:tc>
        <w:tc>
          <w:tcPr>
            <w:tcW w:w="368" w:type="dxa"/>
            <w:tcBorders>
              <w:top w:val="nil"/>
              <w:left w:val="nil"/>
              <w:bottom w:val="single" w:sz="4" w:space="0" w:color="auto"/>
              <w:right w:val="single" w:sz="4" w:space="0" w:color="auto"/>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trPr>
        <w:tc>
          <w:tcPr>
            <w:tcW w:w="3335" w:type="dxa"/>
            <w:gridSpan w:val="3"/>
            <w:tcBorders>
              <w:top w:val="nil"/>
              <w:left w:val="single" w:sz="4" w:space="0" w:color="auto"/>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xml:space="preserve">Per </w:t>
            </w:r>
            <w:r w:rsidR="003D4918">
              <w:rPr>
                <w:b/>
                <w:bCs/>
                <w:sz w:val="20"/>
                <w:szCs w:val="20"/>
              </w:rPr>
              <w:t>Utility</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Long-term Debt - Fixed Rate</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48,567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48,567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48,567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1.13%</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8.50%</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0.10%</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Long-term Debt - Variable Rate</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896,661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896,661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896,661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20.92%</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4.50%</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0.94%</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Short-term Debt</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0.00%</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0.00%</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4</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Preferred Stock</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5</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Common Equity</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3,149,915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3,149,915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3,149,915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73.48%</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9.27%</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6.81%</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6</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Customer Deposits</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1.99%</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6.00%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0.12%</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7</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Deferred Income Taxes</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3,634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102,915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106,549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106,549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2.49%</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0.00%</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8</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Total Capital</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$4,183,979</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$102,915</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$4,286,894</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$4,286,894</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100.00%</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7.97%</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281"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350"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947"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833"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3335" w:type="dxa"/>
            <w:gridSpan w:val="3"/>
            <w:tcBorders>
              <w:top w:val="nil"/>
              <w:left w:val="single" w:sz="4" w:space="0" w:color="auto"/>
              <w:bottom w:val="nil"/>
              <w:right w:val="nil"/>
            </w:tcBorders>
            <w:shd w:val="clear" w:color="000000" w:fill="FFFFFF"/>
            <w:noWrap/>
            <w:vAlign w:val="bottom"/>
            <w:hideMark/>
          </w:tcPr>
          <w:p w:rsidR="001A6832" w:rsidRPr="001A6832" w:rsidRDefault="00D71EB9" w:rsidP="00EC0B1C">
            <w:pPr>
              <w:rPr>
                <w:b/>
                <w:bCs/>
                <w:sz w:val="20"/>
                <w:szCs w:val="20"/>
              </w:rPr>
            </w:pPr>
            <w:r>
              <w:rPr>
                <w:b/>
                <w:bCs/>
                <w:sz w:val="20"/>
                <w:szCs w:val="20"/>
              </w:rPr>
              <w:t>Per Commission</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281"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350"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947"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833"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9</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Long-term Debt- Fixed Rate</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48,567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48,567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226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48,793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1.13%</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8.50%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0.10%</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10</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Long-term Debt - Variable Rate</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896,661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896,661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4,165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900,826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20.92%</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4.50%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0.94%</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11</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Short-term Debt</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12</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Preferred Stock</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13</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Common Equity</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3,149,915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3,149,915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14,633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3,164,548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73.50%</w:t>
            </w:r>
          </w:p>
        </w:tc>
        <w:tc>
          <w:tcPr>
            <w:tcW w:w="833" w:type="dxa"/>
            <w:tcBorders>
              <w:top w:val="nil"/>
              <w:left w:val="nil"/>
              <w:bottom w:val="nil"/>
              <w:right w:val="nil"/>
            </w:tcBorders>
            <w:shd w:val="clear" w:color="auto" w:fill="auto"/>
            <w:noWrap/>
            <w:vAlign w:val="bottom"/>
            <w:hideMark/>
          </w:tcPr>
          <w:p w:rsidR="001A6832" w:rsidRPr="001A6832" w:rsidRDefault="008A7C03" w:rsidP="00EC0B1C">
            <w:pPr>
              <w:jc w:val="right"/>
              <w:rPr>
                <w:sz w:val="20"/>
                <w:szCs w:val="20"/>
              </w:rPr>
            </w:pPr>
            <w:r>
              <w:rPr>
                <w:sz w:val="20"/>
                <w:szCs w:val="20"/>
              </w:rPr>
              <w:t>9.22</w:t>
            </w:r>
            <w:r w:rsidR="001A6832" w:rsidRPr="001A6832">
              <w:rPr>
                <w:sz w:val="20"/>
                <w:szCs w:val="20"/>
              </w:rPr>
              <w:t>%</w:t>
            </w:r>
          </w:p>
        </w:tc>
        <w:tc>
          <w:tcPr>
            <w:tcW w:w="1087" w:type="dxa"/>
            <w:tcBorders>
              <w:top w:val="nil"/>
              <w:left w:val="nil"/>
              <w:bottom w:val="nil"/>
              <w:right w:val="nil"/>
            </w:tcBorders>
            <w:shd w:val="clear" w:color="auto" w:fill="auto"/>
            <w:noWrap/>
            <w:vAlign w:val="bottom"/>
            <w:hideMark/>
          </w:tcPr>
          <w:p w:rsidR="001A6832" w:rsidRPr="001A6832" w:rsidRDefault="008A7C03" w:rsidP="00EC0B1C">
            <w:pPr>
              <w:jc w:val="right"/>
              <w:rPr>
                <w:sz w:val="20"/>
                <w:szCs w:val="20"/>
              </w:rPr>
            </w:pPr>
            <w:r>
              <w:rPr>
                <w:sz w:val="20"/>
                <w:szCs w:val="20"/>
              </w:rPr>
              <w:t>6.78</w:t>
            </w:r>
            <w:r w:rsidR="001A6832" w:rsidRPr="001A6832">
              <w:rPr>
                <w:sz w:val="20"/>
                <w:szCs w:val="20"/>
              </w:rPr>
              <w:t>%</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14</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Customer Deposits</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85,202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1.98%</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0.04%</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15</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Deferred Income Taxes</w:t>
            </w:r>
          </w:p>
        </w:tc>
        <w:tc>
          <w:tcPr>
            <w:tcW w:w="1149"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3,038</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102,915 </w:t>
            </w:r>
          </w:p>
        </w:tc>
        <w:tc>
          <w:tcPr>
            <w:tcW w:w="1350"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105,953</w:t>
            </w:r>
          </w:p>
        </w:tc>
        <w:tc>
          <w:tcPr>
            <w:tcW w:w="1080"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0 </w:t>
            </w:r>
          </w:p>
        </w:tc>
        <w:tc>
          <w:tcPr>
            <w:tcW w:w="1401" w:type="dxa"/>
            <w:gridSpan w:val="2"/>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105,953 </w:t>
            </w:r>
          </w:p>
        </w:tc>
        <w:tc>
          <w:tcPr>
            <w:tcW w:w="9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2.46%</w:t>
            </w:r>
          </w:p>
        </w:tc>
        <w:tc>
          <w:tcPr>
            <w:tcW w:w="833"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0.00%</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0.00%</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16</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Total Capital</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$4,183,383</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$102,915</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$4,286,298</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 xml:space="preserve">$19,024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$4,305,322</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100.00%</w:t>
            </w:r>
          </w:p>
        </w:tc>
        <w:tc>
          <w:tcPr>
            <w:tcW w:w="833" w:type="dxa"/>
            <w:tcBorders>
              <w:top w:val="nil"/>
              <w:left w:val="nil"/>
              <w:bottom w:val="nil"/>
              <w:right w:val="nil"/>
            </w:tcBorders>
            <w:shd w:val="clear" w:color="000000" w:fill="FFFFFF"/>
            <w:noWrap/>
            <w:vAlign w:val="bottom"/>
          </w:tcPr>
          <w:p w:rsidR="001A6832" w:rsidRPr="001A6832" w:rsidRDefault="001A6832" w:rsidP="00EC0B1C">
            <w:pPr>
              <w:rPr>
                <w:sz w:val="20"/>
                <w:szCs w:val="20"/>
                <w:u w:val="double"/>
              </w:rPr>
            </w:pPr>
          </w:p>
        </w:tc>
        <w:tc>
          <w:tcPr>
            <w:tcW w:w="1087" w:type="dxa"/>
            <w:tcBorders>
              <w:top w:val="nil"/>
              <w:left w:val="nil"/>
              <w:bottom w:val="nil"/>
              <w:right w:val="nil"/>
            </w:tcBorders>
            <w:shd w:val="clear" w:color="000000" w:fill="FFFFFF"/>
            <w:noWrap/>
            <w:vAlign w:val="bottom"/>
            <w:hideMark/>
          </w:tcPr>
          <w:p w:rsidR="001A6832" w:rsidRPr="001A6832" w:rsidRDefault="008A7C03" w:rsidP="00EC0B1C">
            <w:pPr>
              <w:jc w:val="right"/>
              <w:rPr>
                <w:sz w:val="20"/>
                <w:szCs w:val="20"/>
                <w:u w:val="double"/>
              </w:rPr>
            </w:pPr>
            <w:r>
              <w:rPr>
                <w:sz w:val="20"/>
                <w:szCs w:val="20"/>
                <w:u w:val="double"/>
              </w:rPr>
              <w:t>7.86</w:t>
            </w:r>
            <w:r w:rsidR="001A6832" w:rsidRPr="001A6832">
              <w:rPr>
                <w:sz w:val="20"/>
                <w:szCs w:val="20"/>
                <w:u w:val="double"/>
              </w:rPr>
              <w:t>%</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350"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01"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947"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u w:val="single"/>
              </w:rPr>
            </w:pPr>
            <w:r w:rsidRPr="001A6832">
              <w:rPr>
                <w:b/>
                <w:bCs/>
                <w:sz w:val="20"/>
                <w:szCs w:val="20"/>
                <w:u w:val="single"/>
              </w:rPr>
              <w:t>LOW</w:t>
            </w:r>
          </w:p>
        </w:tc>
        <w:tc>
          <w:tcPr>
            <w:tcW w:w="833" w:type="dxa"/>
            <w:tcBorders>
              <w:top w:val="nil"/>
              <w:left w:val="nil"/>
              <w:bottom w:val="nil"/>
              <w:right w:val="nil"/>
            </w:tcBorders>
            <w:shd w:val="clear" w:color="000000" w:fill="FFFFFF"/>
            <w:noWrap/>
            <w:vAlign w:val="bottom"/>
            <w:hideMark/>
          </w:tcPr>
          <w:p w:rsidR="001A6832" w:rsidRPr="001A6832" w:rsidRDefault="001A6832" w:rsidP="00EC0B1C">
            <w:pPr>
              <w:jc w:val="center"/>
              <w:rPr>
                <w:b/>
                <w:bCs/>
                <w:sz w:val="20"/>
                <w:szCs w:val="20"/>
                <w:u w:val="single"/>
              </w:rPr>
            </w:pPr>
            <w:r w:rsidRPr="001A6832">
              <w:rPr>
                <w:b/>
                <w:bCs/>
                <w:sz w:val="20"/>
                <w:szCs w:val="20"/>
                <w:u w:val="single"/>
              </w:rPr>
              <w:t>HIGH</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315"/>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81"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3831" w:type="dxa"/>
            <w:gridSpan w:val="5"/>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   RETURN ON EQUITY</w:t>
            </w:r>
          </w:p>
        </w:tc>
        <w:tc>
          <w:tcPr>
            <w:tcW w:w="947" w:type="dxa"/>
            <w:tcBorders>
              <w:top w:val="nil"/>
              <w:left w:val="nil"/>
              <w:bottom w:val="nil"/>
              <w:right w:val="nil"/>
            </w:tcBorders>
            <w:shd w:val="clear" w:color="000000" w:fill="FFFFFF"/>
            <w:noWrap/>
            <w:vAlign w:val="bottom"/>
            <w:hideMark/>
          </w:tcPr>
          <w:p w:rsidR="001A6832" w:rsidRPr="001A6832" w:rsidRDefault="008A7C03" w:rsidP="00EC0B1C">
            <w:pPr>
              <w:jc w:val="center"/>
              <w:rPr>
                <w:sz w:val="20"/>
                <w:szCs w:val="20"/>
                <w:u w:val="double"/>
              </w:rPr>
            </w:pPr>
            <w:r>
              <w:rPr>
                <w:sz w:val="20"/>
                <w:szCs w:val="20"/>
                <w:u w:val="double"/>
              </w:rPr>
              <w:t>8.22</w:t>
            </w:r>
            <w:r w:rsidR="001A6832" w:rsidRPr="001A6832">
              <w:rPr>
                <w:sz w:val="20"/>
                <w:szCs w:val="20"/>
                <w:u w:val="double"/>
              </w:rPr>
              <w:t>%</w:t>
            </w:r>
          </w:p>
        </w:tc>
        <w:tc>
          <w:tcPr>
            <w:tcW w:w="833" w:type="dxa"/>
            <w:tcBorders>
              <w:top w:val="nil"/>
              <w:left w:val="nil"/>
              <w:bottom w:val="nil"/>
              <w:right w:val="nil"/>
            </w:tcBorders>
            <w:shd w:val="clear" w:color="000000" w:fill="FFFFFF"/>
            <w:noWrap/>
            <w:vAlign w:val="bottom"/>
            <w:hideMark/>
          </w:tcPr>
          <w:p w:rsidR="001A6832" w:rsidRPr="001A6832" w:rsidRDefault="008A7C03" w:rsidP="00EC0B1C">
            <w:pPr>
              <w:jc w:val="right"/>
              <w:rPr>
                <w:sz w:val="20"/>
                <w:szCs w:val="20"/>
                <w:u w:val="double"/>
              </w:rPr>
            </w:pPr>
            <w:r>
              <w:rPr>
                <w:sz w:val="20"/>
                <w:szCs w:val="20"/>
                <w:u w:val="double"/>
              </w:rPr>
              <w:t>10.22</w:t>
            </w:r>
            <w:r w:rsidR="001A6832" w:rsidRPr="001A6832">
              <w:rPr>
                <w:sz w:val="20"/>
                <w:szCs w:val="20"/>
                <w:u w:val="double"/>
              </w:rPr>
              <w:t>%</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315"/>
        </w:trPr>
        <w:tc>
          <w:tcPr>
            <w:tcW w:w="508"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149" w:type="dxa"/>
            <w:tcBorders>
              <w:top w:val="nil"/>
              <w:left w:val="nil"/>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128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831" w:type="dxa"/>
            <w:gridSpan w:val="5"/>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rPr>
            </w:pPr>
            <w:r w:rsidRPr="001A6832">
              <w:rPr>
                <w:sz w:val="20"/>
                <w:szCs w:val="20"/>
              </w:rPr>
              <w:t xml:space="preserve">   OVERALL RATE OF RETURN</w:t>
            </w:r>
          </w:p>
        </w:tc>
        <w:tc>
          <w:tcPr>
            <w:tcW w:w="947" w:type="dxa"/>
            <w:tcBorders>
              <w:top w:val="nil"/>
              <w:left w:val="nil"/>
              <w:bottom w:val="nil"/>
              <w:right w:val="nil"/>
            </w:tcBorders>
            <w:shd w:val="clear" w:color="000000" w:fill="FFFFFF"/>
            <w:noWrap/>
            <w:vAlign w:val="bottom"/>
            <w:hideMark/>
          </w:tcPr>
          <w:p w:rsidR="001A6832" w:rsidRPr="001A6832" w:rsidRDefault="008A7C03" w:rsidP="00EC0B1C">
            <w:pPr>
              <w:jc w:val="center"/>
              <w:rPr>
                <w:sz w:val="20"/>
                <w:szCs w:val="20"/>
                <w:u w:val="double"/>
              </w:rPr>
            </w:pPr>
            <w:r>
              <w:rPr>
                <w:sz w:val="20"/>
                <w:szCs w:val="20"/>
                <w:u w:val="double"/>
              </w:rPr>
              <w:t>7.12</w:t>
            </w:r>
            <w:r w:rsidR="001A6832" w:rsidRPr="001A6832">
              <w:rPr>
                <w:sz w:val="20"/>
                <w:szCs w:val="20"/>
                <w:u w:val="double"/>
              </w:rPr>
              <w:t>%</w:t>
            </w:r>
          </w:p>
        </w:tc>
        <w:tc>
          <w:tcPr>
            <w:tcW w:w="833" w:type="dxa"/>
            <w:tcBorders>
              <w:top w:val="nil"/>
              <w:left w:val="nil"/>
              <w:bottom w:val="nil"/>
              <w:right w:val="nil"/>
            </w:tcBorders>
            <w:shd w:val="clear" w:color="000000" w:fill="FFFFFF"/>
            <w:noWrap/>
            <w:vAlign w:val="bottom"/>
            <w:hideMark/>
          </w:tcPr>
          <w:p w:rsidR="001A6832" w:rsidRPr="001A6832" w:rsidRDefault="008A7C03" w:rsidP="00EC0B1C">
            <w:pPr>
              <w:jc w:val="right"/>
              <w:rPr>
                <w:sz w:val="20"/>
                <w:szCs w:val="20"/>
                <w:u w:val="double"/>
              </w:rPr>
            </w:pPr>
            <w:r>
              <w:rPr>
                <w:sz w:val="20"/>
                <w:szCs w:val="20"/>
                <w:u w:val="double"/>
              </w:rPr>
              <w:t>8.59</w:t>
            </w:r>
            <w:r w:rsidR="001A6832" w:rsidRPr="001A6832">
              <w:rPr>
                <w:sz w:val="20"/>
                <w:szCs w:val="20"/>
                <w:u w:val="double"/>
              </w:rPr>
              <w:t>%</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827"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49"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8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35"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28" w:type="dxa"/>
            <w:gridSpan w:val="2"/>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26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94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833"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08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68"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bl>
    <w:p w:rsidR="001A6832" w:rsidRPr="001A6832" w:rsidRDefault="001A6832" w:rsidP="00EC0B1C">
      <w:pPr>
        <w:jc w:val="both"/>
        <w:sectPr w:rsidR="001A6832" w:rsidRPr="001A6832" w:rsidSect="003D4918">
          <w:headerReference w:type="default" r:id="rId14"/>
          <w:pgSz w:w="15840" w:h="12240" w:orient="landscape" w:code="1"/>
          <w:pgMar w:top="1440" w:right="1584" w:bottom="1440" w:left="1152" w:header="720" w:footer="720" w:gutter="0"/>
          <w:cols w:space="720"/>
          <w:formProt w:val="0"/>
          <w:docGrid w:linePitch="360"/>
        </w:sectPr>
      </w:pPr>
    </w:p>
    <w:tbl>
      <w:tblPr>
        <w:tblW w:w="14110" w:type="dxa"/>
        <w:jc w:val="center"/>
        <w:tblInd w:w="173" w:type="dxa"/>
        <w:tblLook w:val="04A0" w:firstRow="1" w:lastRow="0" w:firstColumn="1" w:lastColumn="0" w:noHBand="0" w:noVBand="1"/>
      </w:tblPr>
      <w:tblGrid>
        <w:gridCol w:w="416"/>
        <w:gridCol w:w="2928"/>
        <w:gridCol w:w="1588"/>
        <w:gridCol w:w="1588"/>
        <w:gridCol w:w="1588"/>
        <w:gridCol w:w="1528"/>
        <w:gridCol w:w="1448"/>
        <w:gridCol w:w="1087"/>
        <w:gridCol w:w="1661"/>
        <w:gridCol w:w="278"/>
      </w:tblGrid>
      <w:tr w:rsidR="001A6832" w:rsidRPr="001A6832" w:rsidTr="003D4918">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bookmarkStart w:id="25" w:name="RANGE!A5:I32"/>
            <w:r w:rsidRPr="001A6832">
              <w:rPr>
                <w:color w:val="000000"/>
                <w:sz w:val="20"/>
                <w:szCs w:val="20"/>
              </w:rPr>
              <w:lastRenderedPageBreak/>
              <w:t> </w:t>
            </w:r>
            <w:bookmarkEnd w:id="25"/>
          </w:p>
        </w:tc>
        <w:tc>
          <w:tcPr>
            <w:tcW w:w="29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4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74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Schedule No. 3-A</w:t>
            </w:r>
          </w:p>
        </w:tc>
        <w:tc>
          <w:tcPr>
            <w:tcW w:w="278"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4516"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Statement of Water Operations</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748"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Docket No. 160030-WS</w:t>
            </w:r>
          </w:p>
        </w:tc>
        <w:tc>
          <w:tcPr>
            <w:tcW w:w="27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9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5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4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08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66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92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588" w:type="dxa"/>
            <w:tcBorders>
              <w:top w:val="nil"/>
              <w:left w:val="nil"/>
              <w:bottom w:val="nil"/>
              <w:right w:val="nil"/>
            </w:tcBorders>
            <w:shd w:val="clear" w:color="auto" w:fill="auto"/>
            <w:noWrap/>
            <w:vAlign w:val="bottom"/>
            <w:hideMark/>
          </w:tcPr>
          <w:p w:rsidR="001A6832" w:rsidRPr="001A6832" w:rsidRDefault="003D4918" w:rsidP="00EC0B1C">
            <w:pPr>
              <w:jc w:val="center"/>
              <w:rPr>
                <w:b/>
                <w:bCs/>
                <w:sz w:val="20"/>
                <w:szCs w:val="20"/>
              </w:rPr>
            </w:pPr>
            <w:r>
              <w:rPr>
                <w:b/>
                <w:bCs/>
                <w:sz w:val="20"/>
                <w:szCs w:val="20"/>
              </w:rPr>
              <w:t>Utility</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528" w:type="dxa"/>
            <w:tcBorders>
              <w:top w:val="nil"/>
              <w:left w:val="nil"/>
              <w:bottom w:val="nil"/>
              <w:right w:val="nil"/>
            </w:tcBorders>
            <w:shd w:val="clear" w:color="auto" w:fill="auto"/>
            <w:noWrap/>
            <w:vAlign w:val="bottom"/>
            <w:hideMark/>
          </w:tcPr>
          <w:p w:rsidR="001A6832" w:rsidRPr="001A6832" w:rsidRDefault="00272DC2" w:rsidP="00EC0B1C">
            <w:pPr>
              <w:jc w:val="center"/>
              <w:rPr>
                <w:b/>
                <w:bCs/>
                <w:sz w:val="20"/>
                <w:szCs w:val="20"/>
              </w:rPr>
            </w:pPr>
            <w:r w:rsidRPr="00272DC2">
              <w:rPr>
                <w:b/>
                <w:bCs/>
                <w:sz w:val="20"/>
                <w:szCs w:val="20"/>
              </w:rPr>
              <w:t>Comm.</w:t>
            </w:r>
          </w:p>
        </w:tc>
        <w:tc>
          <w:tcPr>
            <w:tcW w:w="1448" w:type="dxa"/>
            <w:tcBorders>
              <w:top w:val="nil"/>
              <w:left w:val="nil"/>
              <w:bottom w:val="nil"/>
              <w:right w:val="nil"/>
            </w:tcBorders>
            <w:shd w:val="clear" w:color="auto" w:fill="auto"/>
            <w:noWrap/>
            <w:vAlign w:val="bottom"/>
            <w:hideMark/>
          </w:tcPr>
          <w:p w:rsidR="001A6832" w:rsidRPr="001A6832" w:rsidRDefault="00272DC2" w:rsidP="00EC0B1C">
            <w:pPr>
              <w:jc w:val="center"/>
              <w:rPr>
                <w:b/>
                <w:bCs/>
                <w:sz w:val="20"/>
                <w:szCs w:val="20"/>
              </w:rPr>
            </w:pPr>
            <w:r w:rsidRPr="00272DC2">
              <w:rPr>
                <w:b/>
                <w:bCs/>
                <w:sz w:val="20"/>
                <w:szCs w:val="20"/>
              </w:rPr>
              <w:t>Comm.</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78" w:type="dxa"/>
            <w:tcBorders>
              <w:top w:val="nil"/>
              <w:left w:val="nil"/>
              <w:bottom w:val="nil"/>
              <w:right w:val="single" w:sz="4" w:space="0" w:color="auto"/>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92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Per</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Revenue</w:t>
            </w:r>
          </w:p>
        </w:tc>
        <w:tc>
          <w:tcPr>
            <w:tcW w:w="1661"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Revenue</w:t>
            </w:r>
          </w:p>
        </w:tc>
        <w:tc>
          <w:tcPr>
            <w:tcW w:w="278" w:type="dxa"/>
            <w:tcBorders>
              <w:top w:val="nil"/>
              <w:left w:val="nil"/>
              <w:bottom w:val="nil"/>
              <w:right w:val="single" w:sz="4" w:space="0" w:color="auto"/>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92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Description</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3D4918" w:rsidP="00EC0B1C">
            <w:pPr>
              <w:jc w:val="center"/>
              <w:rPr>
                <w:b/>
                <w:bCs/>
                <w:sz w:val="20"/>
                <w:szCs w:val="20"/>
              </w:rPr>
            </w:pPr>
            <w:r>
              <w:rPr>
                <w:b/>
                <w:bCs/>
                <w:sz w:val="20"/>
                <w:szCs w:val="20"/>
              </w:rPr>
              <w:t>Utility</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xml:space="preserve">Per </w:t>
            </w:r>
            <w:r w:rsidR="003D4918">
              <w:rPr>
                <w:b/>
                <w:bCs/>
                <w:sz w:val="20"/>
                <w:szCs w:val="20"/>
              </w:rPr>
              <w:t>Utility</w:t>
            </w:r>
          </w:p>
        </w:tc>
        <w:tc>
          <w:tcPr>
            <w:tcW w:w="152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44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087"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Increase</w:t>
            </w:r>
          </w:p>
        </w:tc>
        <w:tc>
          <w:tcPr>
            <w:tcW w:w="1661"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Requirement</w:t>
            </w:r>
          </w:p>
        </w:tc>
        <w:tc>
          <w:tcPr>
            <w:tcW w:w="278" w:type="dxa"/>
            <w:tcBorders>
              <w:top w:val="nil"/>
              <w:left w:val="nil"/>
              <w:bottom w:val="single" w:sz="4" w:space="0" w:color="auto"/>
              <w:right w:val="single" w:sz="4" w:space="0" w:color="auto"/>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61"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Revenues: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$243,169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$78,922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$322,091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($97,485)</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$224,606 </w:t>
            </w: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$61,325</w:t>
            </w:r>
          </w:p>
        </w:tc>
        <w:tc>
          <w:tcPr>
            <w:tcW w:w="1661" w:type="dxa"/>
            <w:tcBorders>
              <w:top w:val="nil"/>
              <w:left w:val="nil"/>
              <w:bottom w:val="nil"/>
              <w:right w:val="nil"/>
            </w:tcBorders>
            <w:shd w:val="clear" w:color="auto" w:fill="auto"/>
            <w:noWrap/>
            <w:vAlign w:val="bottom"/>
            <w:hideMark/>
          </w:tcPr>
          <w:p w:rsidR="001A6832" w:rsidRPr="001A6832" w:rsidRDefault="001A6832" w:rsidP="00BD16D9">
            <w:pPr>
              <w:jc w:val="right"/>
              <w:rPr>
                <w:sz w:val="20"/>
                <w:szCs w:val="20"/>
                <w:u w:val="single"/>
              </w:rPr>
            </w:pPr>
            <w:r w:rsidRPr="001A6832">
              <w:rPr>
                <w:sz w:val="20"/>
                <w:szCs w:val="20"/>
                <w:u w:val="single"/>
              </w:rPr>
              <w:t>$28</w:t>
            </w:r>
            <w:r w:rsidR="00BD16D9">
              <w:rPr>
                <w:sz w:val="20"/>
                <w:szCs w:val="20"/>
                <w:u w:val="single"/>
              </w:rPr>
              <w:t>5,931</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27.30</w:t>
            </w:r>
            <w:r w:rsidR="001A6832" w:rsidRPr="001A6832">
              <w:rPr>
                <w:sz w:val="20"/>
                <w:szCs w:val="20"/>
              </w:rPr>
              <w:t>%</w:t>
            </w: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Expenses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Operation &amp; Maintenance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$238,510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$9,115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$247,625 </w:t>
            </w:r>
          </w:p>
        </w:tc>
        <w:tc>
          <w:tcPr>
            <w:tcW w:w="152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($37,036</w:t>
            </w:r>
            <w:r w:rsidR="001A6832" w:rsidRPr="001A6832">
              <w:rPr>
                <w:sz w:val="20"/>
                <w:szCs w:val="20"/>
              </w:rPr>
              <w:t>)</w:t>
            </w:r>
          </w:p>
        </w:tc>
        <w:tc>
          <w:tcPr>
            <w:tcW w:w="144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$210,589</w:t>
            </w:r>
            <w:r w:rsidR="001A6832" w:rsidRPr="001A6832">
              <w:rPr>
                <w:sz w:val="20"/>
                <w:szCs w:val="20"/>
              </w:rPr>
              <w:t xml:space="preserve"> </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61"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$210,589</w:t>
            </w:r>
            <w:r w:rsidR="001A6832" w:rsidRPr="001A6832">
              <w:rPr>
                <w:sz w:val="20"/>
                <w:szCs w:val="20"/>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Depreciation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19,513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817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20,330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20,330 </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6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20,330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4</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Amortization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6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5</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Taxes Other Than Income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10,943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3,922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14,865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(5,222)</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9,643 </w:t>
            </w: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2,760</w:t>
            </w:r>
            <w:r w:rsidR="001A6832" w:rsidRPr="001A6832">
              <w:rPr>
                <w:sz w:val="20"/>
                <w:szCs w:val="20"/>
              </w:rPr>
              <w:t xml:space="preserve"> </w:t>
            </w:r>
          </w:p>
        </w:tc>
        <w:tc>
          <w:tcPr>
            <w:tcW w:w="1661"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rPr>
            </w:pPr>
            <w:r>
              <w:rPr>
                <w:sz w:val="20"/>
                <w:szCs w:val="20"/>
              </w:rPr>
              <w:t>12,403</w:t>
            </w:r>
            <w:r w:rsidR="001A6832" w:rsidRPr="001A6832">
              <w:rPr>
                <w:sz w:val="20"/>
                <w:szCs w:val="20"/>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6</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Income Taxes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12,882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12,882 </w:t>
            </w:r>
          </w:p>
        </w:tc>
        <w:tc>
          <w:tcPr>
            <w:tcW w:w="152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(19,060</w:t>
            </w:r>
            <w:r w:rsidR="001A6832"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(6,178</w:t>
            </w:r>
            <w:r w:rsidR="001A6832" w:rsidRPr="001A6832">
              <w:rPr>
                <w:sz w:val="20"/>
                <w:szCs w:val="20"/>
                <w:u w:val="single"/>
              </w:rPr>
              <w:t>)</w:t>
            </w: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22,038</w:t>
            </w:r>
            <w:r w:rsidR="001A6832" w:rsidRPr="001A6832">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1A6832" w:rsidRPr="001A6832" w:rsidRDefault="00CD724F" w:rsidP="00EC0B1C">
            <w:pPr>
              <w:jc w:val="right"/>
              <w:rPr>
                <w:sz w:val="20"/>
                <w:szCs w:val="20"/>
                <w:u w:val="single"/>
              </w:rPr>
            </w:pPr>
            <w:r>
              <w:rPr>
                <w:sz w:val="20"/>
                <w:szCs w:val="20"/>
                <w:u w:val="single"/>
              </w:rPr>
              <w:t>15</w:t>
            </w:r>
            <w:r w:rsidR="00BD16D9">
              <w:rPr>
                <w:sz w:val="20"/>
                <w:szCs w:val="20"/>
                <w:u w:val="single"/>
              </w:rPr>
              <w:t>,860</w:t>
            </w:r>
            <w:r w:rsidR="001A6832"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7</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Total Operating Expense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268,966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26,736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295,702 </w:t>
            </w:r>
          </w:p>
        </w:tc>
        <w:tc>
          <w:tcPr>
            <w:tcW w:w="152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(61,318</w:t>
            </w:r>
            <w:r w:rsidR="001A6832"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234,384</w:t>
            </w:r>
            <w:r w:rsidR="001A6832" w:rsidRPr="001A6832">
              <w:rPr>
                <w:sz w:val="20"/>
                <w:szCs w:val="20"/>
                <w:u w:val="single"/>
              </w:rPr>
              <w:t xml:space="preserve"> </w:t>
            </w: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24,798</w:t>
            </w:r>
            <w:r w:rsidR="001A6832" w:rsidRPr="001A6832">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259,182</w:t>
            </w:r>
            <w:r w:rsidR="001A6832"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8</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Income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($25,797)</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$52,186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$26,389 </w:t>
            </w:r>
          </w:p>
        </w:tc>
        <w:tc>
          <w:tcPr>
            <w:tcW w:w="152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($36,167</w:t>
            </w:r>
            <w:r w:rsidR="001A6832"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($9,777</w:t>
            </w:r>
            <w:r w:rsidR="001A6832" w:rsidRPr="001A6832">
              <w:rPr>
                <w:sz w:val="20"/>
                <w:szCs w:val="20"/>
                <w:u w:val="single"/>
              </w:rPr>
              <w:t>)</w:t>
            </w:r>
          </w:p>
        </w:tc>
        <w:tc>
          <w:tcPr>
            <w:tcW w:w="1087"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$36,527</w:t>
            </w:r>
            <w:r w:rsidR="001A6832" w:rsidRPr="001A6832">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1A6832" w:rsidRPr="001A6832" w:rsidRDefault="00BD16D9" w:rsidP="00EC0B1C">
            <w:pPr>
              <w:jc w:val="right"/>
              <w:rPr>
                <w:sz w:val="20"/>
                <w:szCs w:val="20"/>
                <w:u w:val="single"/>
              </w:rPr>
            </w:pPr>
            <w:r>
              <w:rPr>
                <w:sz w:val="20"/>
                <w:szCs w:val="20"/>
                <w:u w:val="single"/>
              </w:rPr>
              <w:t>$26,750</w:t>
            </w:r>
            <w:r w:rsidR="001A6832"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9</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Rate Base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$1,377,079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$345,002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$340,468 </w:t>
            </w:r>
          </w:p>
        </w:tc>
        <w:tc>
          <w:tcPr>
            <w:tcW w:w="1087"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66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$340,468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270"/>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61"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416"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10</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Rate of Return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-1.87%</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7.65%</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BD16D9" w:rsidP="00EC0B1C">
            <w:pPr>
              <w:jc w:val="right"/>
              <w:rPr>
                <w:sz w:val="20"/>
                <w:szCs w:val="20"/>
                <w:u w:val="double"/>
              </w:rPr>
            </w:pPr>
            <w:r>
              <w:rPr>
                <w:sz w:val="20"/>
                <w:szCs w:val="20"/>
                <w:u w:val="double"/>
              </w:rPr>
              <w:t>-2.87</w:t>
            </w:r>
            <w:r w:rsidR="001A6832" w:rsidRPr="001A6832">
              <w:rPr>
                <w:sz w:val="20"/>
                <w:szCs w:val="20"/>
                <w:u w:val="double"/>
              </w:rPr>
              <w:t>%</w:t>
            </w:r>
          </w:p>
        </w:tc>
        <w:tc>
          <w:tcPr>
            <w:tcW w:w="108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61" w:type="dxa"/>
            <w:tcBorders>
              <w:top w:val="nil"/>
              <w:left w:val="nil"/>
              <w:bottom w:val="nil"/>
              <w:right w:val="nil"/>
            </w:tcBorders>
            <w:shd w:val="clear" w:color="000000" w:fill="FFFFFF"/>
            <w:noWrap/>
            <w:vAlign w:val="bottom"/>
            <w:hideMark/>
          </w:tcPr>
          <w:p w:rsidR="001A6832" w:rsidRPr="001A6832" w:rsidRDefault="00BD16D9" w:rsidP="00EC0B1C">
            <w:pPr>
              <w:jc w:val="right"/>
              <w:rPr>
                <w:sz w:val="20"/>
                <w:szCs w:val="20"/>
                <w:u w:val="double"/>
              </w:rPr>
            </w:pPr>
            <w:r>
              <w:rPr>
                <w:sz w:val="20"/>
                <w:szCs w:val="20"/>
                <w:u w:val="double"/>
              </w:rPr>
              <w:t>7.86</w:t>
            </w:r>
            <w:r w:rsidR="001A6832" w:rsidRPr="001A6832">
              <w:rPr>
                <w:sz w:val="20"/>
                <w:szCs w:val="20"/>
                <w:u w:val="double"/>
              </w:rPr>
              <w:t>%</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08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6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tcPr>
          <w:p w:rsidR="001A6832" w:rsidRPr="001A6832" w:rsidRDefault="001A6832" w:rsidP="00EC0B1C">
            <w:pPr>
              <w:rPr>
                <w:sz w:val="20"/>
                <w:szCs w:val="20"/>
              </w:rPr>
            </w:pPr>
          </w:p>
        </w:tc>
      </w:tr>
    </w:tbl>
    <w:p w:rsidR="001A6832" w:rsidRPr="001A6832" w:rsidRDefault="001A6832" w:rsidP="00EC0B1C">
      <w:pPr>
        <w:ind w:firstLine="720"/>
      </w:pPr>
      <w:r w:rsidRPr="001A6832">
        <w:fldChar w:fldCharType="begin"/>
      </w:r>
      <w:r w:rsidRPr="001A6832">
        <w:instrText xml:space="preserve"> TC "</w:instrText>
      </w:r>
      <w:bookmarkStart w:id="26" w:name="_Toc433269944"/>
      <w:bookmarkStart w:id="27" w:name="_Toc448761994"/>
      <w:bookmarkStart w:id="28" w:name="_Toc460399840"/>
      <w:bookmarkStart w:id="29" w:name="_Toc463857752"/>
      <w:bookmarkStart w:id="30" w:name="_Toc465928124"/>
      <w:r w:rsidRPr="001A6832">
        <w:tab/>
        <w:instrText xml:space="preserve">Schedule No. 3-A Water </w:instrText>
      </w:r>
      <w:bookmarkEnd w:id="26"/>
      <w:bookmarkEnd w:id="27"/>
      <w:bookmarkEnd w:id="28"/>
      <w:bookmarkEnd w:id="29"/>
      <w:r w:rsidRPr="001A6832">
        <w:instrText>Operating Income</w:instrText>
      </w:r>
      <w:bookmarkEnd w:id="30"/>
      <w:r w:rsidRPr="001A6832">
        <w:instrText xml:space="preserve">" \l 1 </w:instrText>
      </w:r>
      <w:r w:rsidRPr="001A6832">
        <w:fldChar w:fldCharType="end"/>
      </w:r>
    </w:p>
    <w:p w:rsidR="001A6832" w:rsidRPr="001A6832" w:rsidRDefault="001A6832" w:rsidP="00EC0B1C">
      <w:pPr>
        <w:jc w:val="both"/>
        <w:sectPr w:rsidR="001A6832" w:rsidRPr="001A6832" w:rsidSect="003D4918">
          <w:headerReference w:type="default" r:id="rId15"/>
          <w:pgSz w:w="15840" w:h="12240" w:orient="landscape" w:code="1"/>
          <w:pgMar w:top="1440" w:right="1584" w:bottom="1440" w:left="1152" w:header="720" w:footer="720" w:gutter="0"/>
          <w:cols w:space="720"/>
          <w:formProt w:val="0"/>
          <w:docGrid w:linePitch="360"/>
        </w:sectPr>
      </w:pPr>
    </w:p>
    <w:tbl>
      <w:tblPr>
        <w:tblW w:w="14075" w:type="dxa"/>
        <w:jc w:val="center"/>
        <w:tblInd w:w="263" w:type="dxa"/>
        <w:tblLook w:val="04A0" w:firstRow="1" w:lastRow="0" w:firstColumn="1" w:lastColumn="0" w:noHBand="0" w:noVBand="1"/>
      </w:tblPr>
      <w:tblGrid>
        <w:gridCol w:w="416"/>
        <w:gridCol w:w="2928"/>
        <w:gridCol w:w="1588"/>
        <w:gridCol w:w="1588"/>
        <w:gridCol w:w="1588"/>
        <w:gridCol w:w="1528"/>
        <w:gridCol w:w="1448"/>
        <w:gridCol w:w="1101"/>
        <w:gridCol w:w="1647"/>
        <w:gridCol w:w="278"/>
      </w:tblGrid>
      <w:tr w:rsidR="001A6832" w:rsidRPr="001A6832" w:rsidTr="003D4918">
        <w:trPr>
          <w:trHeight w:val="270"/>
          <w:jc w:val="center"/>
        </w:trPr>
        <w:tc>
          <w:tcPr>
            <w:tcW w:w="381"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lastRenderedPageBreak/>
              <w:br w:type="page"/>
            </w:r>
            <w:bookmarkStart w:id="31" w:name="RANGE!A39:J66"/>
            <w:bookmarkStart w:id="32" w:name="RANGE!A39:I66"/>
            <w:bookmarkEnd w:id="31"/>
            <w:r w:rsidRPr="001A6832">
              <w:rPr>
                <w:color w:val="000000"/>
                <w:sz w:val="20"/>
                <w:szCs w:val="20"/>
              </w:rPr>
              <w:t> </w:t>
            </w:r>
            <w:bookmarkEnd w:id="32"/>
          </w:p>
        </w:tc>
        <w:tc>
          <w:tcPr>
            <w:tcW w:w="29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274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Schedule No. 3-B</w:t>
            </w:r>
          </w:p>
        </w:tc>
        <w:tc>
          <w:tcPr>
            <w:tcW w:w="278"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4516" w:type="dxa"/>
            <w:gridSpan w:val="2"/>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Statement of Wastewater Operations</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color w:val="FF0000"/>
                <w:sz w:val="20"/>
                <w:szCs w:val="20"/>
              </w:rPr>
            </w:pPr>
            <w:r w:rsidRPr="001A6832">
              <w:rPr>
                <w:color w:val="FF0000"/>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48"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Docket No. 160030-WS</w:t>
            </w:r>
          </w:p>
        </w:tc>
        <w:tc>
          <w:tcPr>
            <w:tcW w:w="27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r>
      <w:tr w:rsidR="001A6832" w:rsidRPr="001A6832" w:rsidTr="003D4918">
        <w:trPr>
          <w:trHeight w:val="270"/>
          <w:jc w:val="center"/>
        </w:trPr>
        <w:tc>
          <w:tcPr>
            <w:tcW w:w="381"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color w:val="000000"/>
                <w:sz w:val="20"/>
                <w:szCs w:val="20"/>
              </w:rPr>
            </w:pPr>
            <w:r w:rsidRPr="001A6832">
              <w:rPr>
                <w:color w:val="000000"/>
                <w:sz w:val="20"/>
                <w:szCs w:val="20"/>
              </w:rPr>
              <w:t> </w:t>
            </w:r>
          </w:p>
        </w:tc>
        <w:tc>
          <w:tcPr>
            <w:tcW w:w="29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0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4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270"/>
          <w:jc w:val="center"/>
        </w:trPr>
        <w:tc>
          <w:tcPr>
            <w:tcW w:w="381" w:type="dxa"/>
            <w:tcBorders>
              <w:top w:val="nil"/>
              <w:left w:val="single" w:sz="4" w:space="0" w:color="auto"/>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588" w:type="dxa"/>
            <w:tcBorders>
              <w:top w:val="nil"/>
              <w:left w:val="nil"/>
              <w:bottom w:val="nil"/>
              <w:right w:val="nil"/>
            </w:tcBorders>
            <w:shd w:val="clear" w:color="auto" w:fill="auto"/>
            <w:noWrap/>
            <w:vAlign w:val="bottom"/>
            <w:hideMark/>
          </w:tcPr>
          <w:p w:rsidR="001A6832" w:rsidRPr="001A6832" w:rsidRDefault="003D4918" w:rsidP="00EC0B1C">
            <w:pPr>
              <w:jc w:val="center"/>
              <w:rPr>
                <w:b/>
                <w:bCs/>
                <w:sz w:val="20"/>
                <w:szCs w:val="20"/>
              </w:rPr>
            </w:pPr>
            <w:r>
              <w:rPr>
                <w:b/>
                <w:bCs/>
                <w:sz w:val="20"/>
                <w:szCs w:val="20"/>
              </w:rPr>
              <w:t>Utility</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528" w:type="dxa"/>
            <w:tcBorders>
              <w:top w:val="nil"/>
              <w:left w:val="nil"/>
              <w:bottom w:val="nil"/>
              <w:right w:val="nil"/>
            </w:tcBorders>
            <w:shd w:val="clear" w:color="auto" w:fill="auto"/>
            <w:noWrap/>
            <w:vAlign w:val="bottom"/>
            <w:hideMark/>
          </w:tcPr>
          <w:p w:rsidR="001A6832" w:rsidRPr="001A6832" w:rsidRDefault="00272DC2" w:rsidP="00EC0B1C">
            <w:pPr>
              <w:jc w:val="center"/>
              <w:rPr>
                <w:b/>
                <w:bCs/>
                <w:sz w:val="20"/>
                <w:szCs w:val="20"/>
              </w:rPr>
            </w:pPr>
            <w:r w:rsidRPr="00272DC2">
              <w:rPr>
                <w:b/>
                <w:bCs/>
                <w:sz w:val="20"/>
                <w:szCs w:val="20"/>
              </w:rPr>
              <w:t>Comm.</w:t>
            </w:r>
          </w:p>
        </w:tc>
        <w:tc>
          <w:tcPr>
            <w:tcW w:w="1448" w:type="dxa"/>
            <w:tcBorders>
              <w:top w:val="nil"/>
              <w:left w:val="nil"/>
              <w:bottom w:val="nil"/>
              <w:right w:val="nil"/>
            </w:tcBorders>
            <w:shd w:val="clear" w:color="auto" w:fill="auto"/>
            <w:noWrap/>
            <w:vAlign w:val="bottom"/>
            <w:hideMark/>
          </w:tcPr>
          <w:p w:rsidR="001A6832" w:rsidRPr="001A6832" w:rsidRDefault="00272DC2" w:rsidP="00EC0B1C">
            <w:pPr>
              <w:jc w:val="center"/>
              <w:rPr>
                <w:b/>
                <w:bCs/>
                <w:sz w:val="20"/>
                <w:szCs w:val="20"/>
              </w:rPr>
            </w:pPr>
            <w:r w:rsidRPr="00272DC2">
              <w:rPr>
                <w:b/>
                <w:bCs/>
                <w:sz w:val="20"/>
                <w:szCs w:val="20"/>
              </w:rPr>
              <w:t>Comm.</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c>
          <w:tcPr>
            <w:tcW w:w="278" w:type="dxa"/>
            <w:tcBorders>
              <w:top w:val="nil"/>
              <w:left w:val="nil"/>
              <w:bottom w:val="nil"/>
              <w:right w:val="single" w:sz="4" w:space="0" w:color="auto"/>
            </w:tcBorders>
            <w:shd w:val="clear" w:color="auto" w:fill="auto"/>
            <w:noWrap/>
            <w:vAlign w:val="bottom"/>
            <w:hideMark/>
          </w:tcPr>
          <w:p w:rsidR="001A6832" w:rsidRPr="001A6832" w:rsidRDefault="001A6832" w:rsidP="00EC0B1C">
            <w:pPr>
              <w:rPr>
                <w:b/>
                <w:bCs/>
                <w:sz w:val="20"/>
                <w:szCs w:val="20"/>
              </w:rPr>
            </w:pPr>
            <w:r w:rsidRPr="001A6832">
              <w:rPr>
                <w:b/>
                <w:bCs/>
                <w:sz w:val="20"/>
                <w:szCs w:val="20"/>
              </w:rPr>
              <w:t> </w:t>
            </w:r>
          </w:p>
        </w:tc>
      </w:tr>
      <w:tr w:rsidR="001A6832" w:rsidRPr="001A6832" w:rsidTr="003D4918">
        <w:trPr>
          <w:trHeight w:val="270"/>
          <w:jc w:val="center"/>
        </w:trPr>
        <w:tc>
          <w:tcPr>
            <w:tcW w:w="381" w:type="dxa"/>
            <w:tcBorders>
              <w:top w:val="nil"/>
              <w:left w:val="single" w:sz="4" w:space="0" w:color="auto"/>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Per</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Adjusted</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Revenue</w:t>
            </w:r>
          </w:p>
        </w:tc>
        <w:tc>
          <w:tcPr>
            <w:tcW w:w="1647"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Revenue</w:t>
            </w:r>
          </w:p>
        </w:tc>
        <w:tc>
          <w:tcPr>
            <w:tcW w:w="278" w:type="dxa"/>
            <w:tcBorders>
              <w:top w:val="nil"/>
              <w:left w:val="nil"/>
              <w:bottom w:val="nil"/>
              <w:right w:val="single" w:sz="4" w:space="0" w:color="auto"/>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381" w:type="dxa"/>
            <w:tcBorders>
              <w:top w:val="nil"/>
              <w:left w:val="single" w:sz="4" w:space="0" w:color="auto"/>
              <w:bottom w:val="single" w:sz="4" w:space="0" w:color="auto"/>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Description</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3D4918" w:rsidP="00EC0B1C">
            <w:pPr>
              <w:jc w:val="center"/>
              <w:rPr>
                <w:b/>
                <w:bCs/>
                <w:sz w:val="20"/>
                <w:szCs w:val="20"/>
              </w:rPr>
            </w:pPr>
            <w:r>
              <w:rPr>
                <w:b/>
                <w:bCs/>
                <w:sz w:val="20"/>
                <w:szCs w:val="20"/>
              </w:rPr>
              <w:t>Utility</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58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xml:space="preserve">Per </w:t>
            </w:r>
            <w:r w:rsidR="003D4918">
              <w:rPr>
                <w:b/>
                <w:bCs/>
                <w:sz w:val="20"/>
                <w:szCs w:val="20"/>
              </w:rPr>
              <w:t>Utility</w:t>
            </w:r>
          </w:p>
        </w:tc>
        <w:tc>
          <w:tcPr>
            <w:tcW w:w="152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ments</w:t>
            </w:r>
          </w:p>
        </w:tc>
        <w:tc>
          <w:tcPr>
            <w:tcW w:w="1448"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Test Year</w:t>
            </w:r>
          </w:p>
        </w:tc>
        <w:tc>
          <w:tcPr>
            <w:tcW w:w="1101"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Increase</w:t>
            </w:r>
          </w:p>
        </w:tc>
        <w:tc>
          <w:tcPr>
            <w:tcW w:w="1647" w:type="dxa"/>
            <w:tcBorders>
              <w:top w:val="nil"/>
              <w:left w:val="nil"/>
              <w:bottom w:val="single" w:sz="4" w:space="0" w:color="auto"/>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Requirement</w:t>
            </w:r>
          </w:p>
        </w:tc>
        <w:tc>
          <w:tcPr>
            <w:tcW w:w="278" w:type="dxa"/>
            <w:tcBorders>
              <w:top w:val="nil"/>
              <w:left w:val="nil"/>
              <w:bottom w:val="single" w:sz="4" w:space="0" w:color="auto"/>
              <w:right w:val="single" w:sz="4" w:space="0" w:color="auto"/>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 </w:t>
            </w: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01"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4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Revenues: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$1,929,738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$475,000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$2,404,738 </w:t>
            </w:r>
          </w:p>
        </w:tc>
        <w:tc>
          <w:tcPr>
            <w:tcW w:w="1528" w:type="dxa"/>
            <w:tcBorders>
              <w:top w:val="nil"/>
              <w:left w:val="nil"/>
              <w:bottom w:val="nil"/>
              <w:right w:val="nil"/>
            </w:tcBorders>
            <w:shd w:val="clear" w:color="auto" w:fill="auto"/>
            <w:noWrap/>
            <w:vAlign w:val="bottom"/>
            <w:hideMark/>
          </w:tcPr>
          <w:p w:rsidR="001A6832" w:rsidRPr="001A6832" w:rsidRDefault="0056061D" w:rsidP="00EC0B1C">
            <w:pPr>
              <w:jc w:val="right"/>
              <w:rPr>
                <w:sz w:val="20"/>
                <w:szCs w:val="20"/>
                <w:u w:val="single"/>
              </w:rPr>
            </w:pPr>
            <w:r>
              <w:rPr>
                <w:sz w:val="20"/>
                <w:szCs w:val="20"/>
                <w:u w:val="single"/>
              </w:rPr>
              <w:t>($453,836</w:t>
            </w:r>
            <w:r w:rsidR="001A6832"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1A6832" w:rsidP="0056061D">
            <w:pPr>
              <w:jc w:val="right"/>
              <w:rPr>
                <w:sz w:val="20"/>
                <w:szCs w:val="20"/>
                <w:u w:val="single"/>
              </w:rPr>
            </w:pPr>
            <w:r w:rsidRPr="001A6832">
              <w:rPr>
                <w:sz w:val="20"/>
                <w:szCs w:val="20"/>
                <w:u w:val="single"/>
              </w:rPr>
              <w:t>$1,95</w:t>
            </w:r>
            <w:r w:rsidR="0056061D">
              <w:rPr>
                <w:sz w:val="20"/>
                <w:szCs w:val="20"/>
                <w:u w:val="single"/>
              </w:rPr>
              <w:t>0,902</w:t>
            </w:r>
            <w:r w:rsidRPr="001A6832">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1A6832" w:rsidRPr="001A6832" w:rsidRDefault="001A6832" w:rsidP="0056061D">
            <w:pPr>
              <w:jc w:val="right"/>
              <w:rPr>
                <w:sz w:val="20"/>
                <w:szCs w:val="20"/>
                <w:u w:val="single"/>
              </w:rPr>
            </w:pPr>
            <w:r w:rsidRPr="001A6832">
              <w:rPr>
                <w:sz w:val="20"/>
                <w:szCs w:val="20"/>
                <w:u w:val="single"/>
              </w:rPr>
              <w:t>$3</w:t>
            </w:r>
            <w:r w:rsidR="0056061D">
              <w:rPr>
                <w:sz w:val="20"/>
                <w:szCs w:val="20"/>
                <w:u w:val="single"/>
              </w:rPr>
              <w:t>00,988</w:t>
            </w:r>
            <w:r w:rsidRPr="001A6832">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1A6832" w:rsidRPr="001A6832" w:rsidRDefault="001A6832" w:rsidP="0056061D">
            <w:pPr>
              <w:jc w:val="right"/>
              <w:rPr>
                <w:sz w:val="20"/>
                <w:szCs w:val="20"/>
                <w:u w:val="single"/>
              </w:rPr>
            </w:pPr>
            <w:r w:rsidRPr="001A6832">
              <w:rPr>
                <w:sz w:val="20"/>
                <w:szCs w:val="20"/>
                <w:u w:val="single"/>
              </w:rPr>
              <w:t>$2,2</w:t>
            </w:r>
            <w:r w:rsidR="0056061D">
              <w:rPr>
                <w:sz w:val="20"/>
                <w:szCs w:val="20"/>
                <w:u w:val="single"/>
              </w:rPr>
              <w:t>51,890</w:t>
            </w:r>
            <w:r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56061D" w:rsidP="00EC0B1C">
            <w:pPr>
              <w:jc w:val="right"/>
              <w:rPr>
                <w:sz w:val="20"/>
                <w:szCs w:val="20"/>
              </w:rPr>
            </w:pPr>
            <w:r>
              <w:rPr>
                <w:sz w:val="20"/>
                <w:szCs w:val="20"/>
              </w:rPr>
              <w:t>15.4</w:t>
            </w:r>
            <w:r w:rsidR="001A6832" w:rsidRPr="001A6832">
              <w:rPr>
                <w:sz w:val="20"/>
                <w:szCs w:val="20"/>
              </w:rPr>
              <w:t>3%</w:t>
            </w: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Expenses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Operation &amp; Maintenance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1,515,833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65,633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1,581,466 </w:t>
            </w:r>
          </w:p>
        </w:tc>
        <w:tc>
          <w:tcPr>
            <w:tcW w:w="1528" w:type="dxa"/>
            <w:tcBorders>
              <w:top w:val="nil"/>
              <w:left w:val="nil"/>
              <w:bottom w:val="nil"/>
              <w:right w:val="nil"/>
            </w:tcBorders>
            <w:shd w:val="clear" w:color="auto" w:fill="auto"/>
            <w:noWrap/>
            <w:vAlign w:val="bottom"/>
            <w:hideMark/>
          </w:tcPr>
          <w:p w:rsidR="001A6832" w:rsidRPr="001A6832" w:rsidRDefault="0056061D" w:rsidP="00EC0B1C">
            <w:pPr>
              <w:jc w:val="right"/>
              <w:rPr>
                <w:sz w:val="20"/>
                <w:szCs w:val="20"/>
              </w:rPr>
            </w:pPr>
            <w:r>
              <w:rPr>
                <w:sz w:val="20"/>
                <w:szCs w:val="20"/>
              </w:rPr>
              <w:t>(198,577</w:t>
            </w:r>
            <w:r w:rsidR="001A6832" w:rsidRPr="001A6832">
              <w:rPr>
                <w:sz w:val="20"/>
                <w:szCs w:val="20"/>
              </w:rPr>
              <w:t>)</w:t>
            </w:r>
          </w:p>
        </w:tc>
        <w:tc>
          <w:tcPr>
            <w:tcW w:w="1448" w:type="dxa"/>
            <w:tcBorders>
              <w:top w:val="nil"/>
              <w:left w:val="nil"/>
              <w:bottom w:val="nil"/>
              <w:right w:val="nil"/>
            </w:tcBorders>
            <w:shd w:val="clear" w:color="auto" w:fill="auto"/>
            <w:noWrap/>
            <w:vAlign w:val="bottom"/>
            <w:hideMark/>
          </w:tcPr>
          <w:p w:rsidR="001A6832" w:rsidRPr="001A6832" w:rsidRDefault="0056061D" w:rsidP="00EC0B1C">
            <w:pPr>
              <w:jc w:val="right"/>
              <w:rPr>
                <w:sz w:val="20"/>
                <w:szCs w:val="20"/>
              </w:rPr>
            </w:pPr>
            <w:r>
              <w:rPr>
                <w:sz w:val="20"/>
                <w:szCs w:val="20"/>
              </w:rPr>
              <w:t>1,382,889</w:t>
            </w:r>
            <w:r w:rsidR="001A6832" w:rsidRPr="001A6832">
              <w:rPr>
                <w:sz w:val="20"/>
                <w:szCs w:val="20"/>
              </w:rPr>
              <w:t xml:space="preserve"> </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47" w:type="dxa"/>
            <w:tcBorders>
              <w:top w:val="nil"/>
              <w:left w:val="nil"/>
              <w:bottom w:val="nil"/>
              <w:right w:val="nil"/>
            </w:tcBorders>
            <w:shd w:val="clear" w:color="auto" w:fill="auto"/>
            <w:noWrap/>
            <w:vAlign w:val="bottom"/>
            <w:hideMark/>
          </w:tcPr>
          <w:p w:rsidR="001A6832" w:rsidRPr="001A6832" w:rsidRDefault="0056061D" w:rsidP="00EC0B1C">
            <w:pPr>
              <w:jc w:val="right"/>
              <w:rPr>
                <w:sz w:val="20"/>
                <w:szCs w:val="20"/>
              </w:rPr>
            </w:pPr>
            <w:r>
              <w:rPr>
                <w:sz w:val="20"/>
                <w:szCs w:val="20"/>
              </w:rPr>
              <w:t>1,382,889</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Depreciation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166,265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18,132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184,397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(735)</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183,622 </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183,662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4</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Amortization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(2,845)</w:t>
            </w: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(2,845)</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0 </w:t>
            </w:r>
          </w:p>
        </w:tc>
        <w:tc>
          <w:tcPr>
            <w:tcW w:w="16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(2,845)</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5</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Taxes Other Than Income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164,261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25,939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 xml:space="preserve">190,200 </w:t>
            </w:r>
          </w:p>
        </w:tc>
        <w:tc>
          <w:tcPr>
            <w:tcW w:w="1528"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rPr>
            </w:pPr>
            <w:r>
              <w:rPr>
                <w:sz w:val="20"/>
                <w:szCs w:val="20"/>
              </w:rPr>
              <w:t>(11,764</w:t>
            </w:r>
            <w:r w:rsidR="001A6832" w:rsidRPr="001A6832">
              <w:rPr>
                <w:sz w:val="20"/>
                <w:szCs w:val="20"/>
              </w:rPr>
              <w:t>)</w:t>
            </w:r>
          </w:p>
        </w:tc>
        <w:tc>
          <w:tcPr>
            <w:tcW w:w="1448"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rPr>
            </w:pPr>
            <w:r>
              <w:rPr>
                <w:sz w:val="20"/>
                <w:szCs w:val="20"/>
              </w:rPr>
              <w:t>178,436</w:t>
            </w:r>
            <w:r w:rsidR="001A6832" w:rsidRPr="001A6832">
              <w:rPr>
                <w:sz w:val="20"/>
                <w:szCs w:val="20"/>
              </w:rPr>
              <w:t xml:space="preserve"> </w:t>
            </w:r>
          </w:p>
        </w:tc>
        <w:tc>
          <w:tcPr>
            <w:tcW w:w="1101"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rPr>
            </w:pPr>
            <w:r>
              <w:rPr>
                <w:sz w:val="20"/>
                <w:szCs w:val="20"/>
              </w:rPr>
              <w:t>13,544</w:t>
            </w:r>
            <w:r w:rsidR="001A6832" w:rsidRPr="001A6832">
              <w:rPr>
                <w:sz w:val="20"/>
                <w:szCs w:val="20"/>
              </w:rPr>
              <w:t xml:space="preserve"> </w:t>
            </w:r>
          </w:p>
        </w:tc>
        <w:tc>
          <w:tcPr>
            <w:tcW w:w="1647"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rPr>
            </w:pPr>
            <w:r>
              <w:rPr>
                <w:sz w:val="20"/>
                <w:szCs w:val="20"/>
              </w:rPr>
              <w:t>191,981</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6</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xml:space="preserve">    Income Taxes</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47,244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99,746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146,990 </w:t>
            </w:r>
          </w:p>
        </w:tc>
        <w:tc>
          <w:tcPr>
            <w:tcW w:w="1528"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u w:val="single"/>
              </w:rPr>
            </w:pPr>
            <w:r>
              <w:rPr>
                <w:sz w:val="20"/>
                <w:szCs w:val="20"/>
                <w:u w:val="single"/>
              </w:rPr>
              <w:t>(70,462</w:t>
            </w:r>
            <w:r w:rsidR="001A6832"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7</w:t>
            </w:r>
            <w:r w:rsidR="002750D2">
              <w:rPr>
                <w:sz w:val="20"/>
                <w:szCs w:val="20"/>
                <w:u w:val="single"/>
              </w:rPr>
              <w:t>6,528</w:t>
            </w:r>
            <w:r w:rsidRPr="001A6832">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w:t>
            </w:r>
            <w:r w:rsidR="002750D2">
              <w:rPr>
                <w:sz w:val="20"/>
                <w:szCs w:val="20"/>
                <w:u w:val="single"/>
              </w:rPr>
              <w:t>08,165</w:t>
            </w:r>
            <w:r w:rsidRPr="001A6832">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w:t>
            </w:r>
            <w:r w:rsidR="002750D2">
              <w:rPr>
                <w:sz w:val="20"/>
                <w:szCs w:val="20"/>
                <w:u w:val="single"/>
              </w:rPr>
              <w:t>84,693</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7</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Total Operating Expense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$1,893,603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$209,450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$2,103,053 </w:t>
            </w:r>
          </w:p>
        </w:tc>
        <w:tc>
          <w:tcPr>
            <w:tcW w:w="1528"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($28</w:t>
            </w:r>
            <w:r w:rsidR="002750D2">
              <w:rPr>
                <w:sz w:val="20"/>
                <w:szCs w:val="20"/>
                <w:u w:val="single"/>
              </w:rPr>
              <w:t>4,382</w:t>
            </w:r>
            <w:r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$1,81</w:t>
            </w:r>
            <w:r w:rsidR="002750D2">
              <w:rPr>
                <w:sz w:val="20"/>
                <w:szCs w:val="20"/>
                <w:u w:val="single"/>
              </w:rPr>
              <w:t>8,671</w:t>
            </w:r>
          </w:p>
        </w:tc>
        <w:tc>
          <w:tcPr>
            <w:tcW w:w="1101"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w:t>
            </w:r>
            <w:r w:rsidR="002750D2">
              <w:rPr>
                <w:sz w:val="20"/>
                <w:szCs w:val="20"/>
                <w:u w:val="single"/>
              </w:rPr>
              <w:t>21,709</w:t>
            </w:r>
            <w:r w:rsidRPr="001A6832">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$1,9</w:t>
            </w:r>
            <w:r w:rsidR="002750D2">
              <w:rPr>
                <w:sz w:val="20"/>
                <w:szCs w:val="20"/>
                <w:u w:val="single"/>
              </w:rPr>
              <w:t>40,380</w:t>
            </w:r>
            <w:r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single"/>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8</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Operating Income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$36,135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$265,550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$301,685 </w:t>
            </w:r>
          </w:p>
        </w:tc>
        <w:tc>
          <w:tcPr>
            <w:tcW w:w="1528"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w:t>
            </w:r>
            <w:r w:rsidR="002750D2">
              <w:rPr>
                <w:sz w:val="20"/>
                <w:szCs w:val="20"/>
                <w:u w:val="single"/>
              </w:rPr>
              <w:t>69,454</w:t>
            </w:r>
            <w:r w:rsidRPr="001A6832">
              <w:rPr>
                <w:sz w:val="20"/>
                <w:szCs w:val="20"/>
                <w:u w:val="single"/>
              </w:rPr>
              <w:t>)</w:t>
            </w:r>
          </w:p>
        </w:tc>
        <w:tc>
          <w:tcPr>
            <w:tcW w:w="1448"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$13</w:t>
            </w:r>
            <w:r w:rsidR="002750D2">
              <w:rPr>
                <w:sz w:val="20"/>
                <w:szCs w:val="20"/>
                <w:u w:val="single"/>
              </w:rPr>
              <w:t>2,231</w:t>
            </w:r>
            <w:r w:rsidRPr="001A6832">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1A6832" w:rsidRPr="001A6832" w:rsidRDefault="002750D2" w:rsidP="00EC0B1C">
            <w:pPr>
              <w:jc w:val="right"/>
              <w:rPr>
                <w:sz w:val="20"/>
                <w:szCs w:val="20"/>
                <w:u w:val="single"/>
              </w:rPr>
            </w:pPr>
            <w:r>
              <w:rPr>
                <w:sz w:val="20"/>
                <w:szCs w:val="20"/>
                <w:u w:val="single"/>
              </w:rPr>
              <w:t>$179,278</w:t>
            </w:r>
            <w:r w:rsidR="001A6832" w:rsidRPr="001A6832">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1A6832" w:rsidRPr="001A6832" w:rsidRDefault="001A6832" w:rsidP="002750D2">
            <w:pPr>
              <w:jc w:val="right"/>
              <w:rPr>
                <w:sz w:val="20"/>
                <w:szCs w:val="20"/>
                <w:u w:val="single"/>
              </w:rPr>
            </w:pPr>
            <w:r w:rsidRPr="001A6832">
              <w:rPr>
                <w:sz w:val="20"/>
                <w:szCs w:val="20"/>
                <w:u w:val="single"/>
              </w:rPr>
              <w:t>$3</w:t>
            </w:r>
            <w:r w:rsidR="002750D2">
              <w:rPr>
                <w:sz w:val="20"/>
                <w:szCs w:val="20"/>
                <w:u w:val="single"/>
              </w:rPr>
              <w:t>11,509</w:t>
            </w:r>
            <w:r w:rsidRPr="001A6832">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9</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Rate Base</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$9,373,401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$3,943,297 </w:t>
            </w:r>
          </w:p>
        </w:tc>
        <w:tc>
          <w:tcPr>
            <w:tcW w:w="152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44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$3,964,854 </w:t>
            </w:r>
          </w:p>
        </w:tc>
        <w:tc>
          <w:tcPr>
            <w:tcW w:w="1101"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647"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$3,964,854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315"/>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01"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47"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rPr>
            </w:pPr>
          </w:p>
        </w:tc>
      </w:tr>
      <w:tr w:rsidR="001A6832" w:rsidRPr="001A6832" w:rsidTr="003D4918">
        <w:trPr>
          <w:trHeight w:val="270"/>
          <w:jc w:val="center"/>
        </w:trPr>
        <w:tc>
          <w:tcPr>
            <w:tcW w:w="381"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10</w:t>
            </w:r>
          </w:p>
        </w:tc>
        <w:tc>
          <w:tcPr>
            <w:tcW w:w="292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Rate of Return</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0.39%</w:t>
            </w:r>
          </w:p>
        </w:tc>
        <w:tc>
          <w:tcPr>
            <w:tcW w:w="15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588"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7.65%</w:t>
            </w:r>
          </w:p>
        </w:tc>
        <w:tc>
          <w:tcPr>
            <w:tcW w:w="152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nil"/>
              <w:right w:val="nil"/>
            </w:tcBorders>
            <w:shd w:val="clear" w:color="000000" w:fill="FFFFFF"/>
            <w:noWrap/>
            <w:vAlign w:val="bottom"/>
            <w:hideMark/>
          </w:tcPr>
          <w:p w:rsidR="001A6832" w:rsidRPr="001A6832" w:rsidRDefault="001A6832" w:rsidP="002750D2">
            <w:pPr>
              <w:jc w:val="right"/>
              <w:rPr>
                <w:sz w:val="20"/>
                <w:szCs w:val="20"/>
                <w:u w:val="double"/>
              </w:rPr>
            </w:pPr>
            <w:r w:rsidRPr="001A6832">
              <w:rPr>
                <w:sz w:val="20"/>
                <w:szCs w:val="20"/>
                <w:u w:val="double"/>
              </w:rPr>
              <w:t>3.</w:t>
            </w:r>
            <w:r w:rsidR="002750D2">
              <w:rPr>
                <w:sz w:val="20"/>
                <w:szCs w:val="20"/>
                <w:u w:val="double"/>
              </w:rPr>
              <w:t>34</w:t>
            </w:r>
            <w:r w:rsidRPr="001A6832">
              <w:rPr>
                <w:sz w:val="20"/>
                <w:szCs w:val="20"/>
                <w:u w:val="double"/>
              </w:rPr>
              <w:t>%</w:t>
            </w:r>
          </w:p>
        </w:tc>
        <w:tc>
          <w:tcPr>
            <w:tcW w:w="1101"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47" w:type="dxa"/>
            <w:tcBorders>
              <w:top w:val="nil"/>
              <w:left w:val="nil"/>
              <w:bottom w:val="nil"/>
              <w:right w:val="nil"/>
            </w:tcBorders>
            <w:shd w:val="clear" w:color="000000" w:fill="FFFFFF"/>
            <w:noWrap/>
            <w:vAlign w:val="bottom"/>
            <w:hideMark/>
          </w:tcPr>
          <w:p w:rsidR="001A6832" w:rsidRPr="001A6832" w:rsidRDefault="002750D2" w:rsidP="00EC0B1C">
            <w:pPr>
              <w:jc w:val="right"/>
              <w:rPr>
                <w:sz w:val="20"/>
                <w:szCs w:val="20"/>
                <w:u w:val="double"/>
              </w:rPr>
            </w:pPr>
            <w:r>
              <w:rPr>
                <w:sz w:val="20"/>
                <w:szCs w:val="20"/>
                <w:u w:val="double"/>
              </w:rPr>
              <w:t>7.86</w:t>
            </w:r>
            <w:r w:rsidR="001A6832" w:rsidRPr="001A6832">
              <w:rPr>
                <w:sz w:val="20"/>
                <w:szCs w:val="20"/>
                <w:u w:val="double"/>
              </w:rPr>
              <w:t>%</w:t>
            </w:r>
          </w:p>
        </w:tc>
        <w:tc>
          <w:tcPr>
            <w:tcW w:w="278" w:type="dxa"/>
            <w:tcBorders>
              <w:top w:val="nil"/>
              <w:left w:val="nil"/>
              <w:bottom w:val="nil"/>
              <w:right w:val="single" w:sz="4" w:space="0" w:color="auto"/>
            </w:tcBorders>
            <w:shd w:val="clear" w:color="000000" w:fill="FFFFFF"/>
            <w:noWrap/>
            <w:vAlign w:val="bottom"/>
          </w:tcPr>
          <w:p w:rsidR="001A6832" w:rsidRPr="001A6832" w:rsidRDefault="001A6832" w:rsidP="00EC0B1C">
            <w:pPr>
              <w:rPr>
                <w:sz w:val="20"/>
                <w:szCs w:val="20"/>
                <w:u w:val="double"/>
              </w:rPr>
            </w:pPr>
          </w:p>
        </w:tc>
      </w:tr>
      <w:tr w:rsidR="001A6832" w:rsidRPr="001A6832" w:rsidTr="003D4918">
        <w:trPr>
          <w:trHeight w:val="315"/>
          <w:jc w:val="center"/>
        </w:trPr>
        <w:tc>
          <w:tcPr>
            <w:tcW w:w="381" w:type="dxa"/>
            <w:tcBorders>
              <w:top w:val="nil"/>
              <w:left w:val="single" w:sz="4" w:space="0" w:color="auto"/>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9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101"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647"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tcPr>
          <w:p w:rsidR="001A6832" w:rsidRPr="001A6832" w:rsidRDefault="001A6832" w:rsidP="00EC0B1C">
            <w:pPr>
              <w:rPr>
                <w:sz w:val="20"/>
                <w:szCs w:val="20"/>
              </w:rPr>
            </w:pPr>
          </w:p>
        </w:tc>
      </w:tr>
    </w:tbl>
    <w:p w:rsidR="001A6832" w:rsidRPr="001A6832" w:rsidRDefault="001A6832" w:rsidP="00EC0B1C">
      <w:pPr>
        <w:jc w:val="both"/>
      </w:pPr>
    </w:p>
    <w:p w:rsidR="001A6832" w:rsidRPr="001A6832" w:rsidRDefault="001A6832" w:rsidP="00EC0B1C">
      <w:pPr>
        <w:ind w:firstLine="720"/>
      </w:pPr>
      <w:r w:rsidRPr="001A6832">
        <w:fldChar w:fldCharType="begin"/>
      </w:r>
      <w:r w:rsidRPr="001A6832">
        <w:instrText xml:space="preserve"> TC "</w:instrText>
      </w:r>
      <w:bookmarkStart w:id="33" w:name="_Toc465928125"/>
      <w:r w:rsidRPr="001A6832">
        <w:tab/>
        <w:instrText>Schedule No. 3-B Wastewater Operating Income</w:instrText>
      </w:r>
      <w:bookmarkEnd w:id="33"/>
      <w:r w:rsidRPr="001A6832">
        <w:instrText xml:space="preserve">" \l 1 </w:instrText>
      </w:r>
      <w:r w:rsidRPr="001A6832">
        <w:fldChar w:fldCharType="end"/>
      </w:r>
    </w:p>
    <w:p w:rsidR="001A6832" w:rsidRPr="001A6832" w:rsidRDefault="001A6832" w:rsidP="00EC0B1C">
      <w:pPr>
        <w:jc w:val="both"/>
        <w:sectPr w:rsidR="001A6832" w:rsidRPr="001A6832" w:rsidSect="003D4918">
          <w:headerReference w:type="default" r:id="rId16"/>
          <w:pgSz w:w="15840" w:h="12240" w:orient="landscape" w:code="1"/>
          <w:pgMar w:top="1440" w:right="1584" w:bottom="1440" w:left="1152" w:header="720" w:footer="720" w:gutter="0"/>
          <w:cols w:space="720"/>
          <w:formProt w:val="0"/>
          <w:docGrid w:linePitch="360"/>
        </w:sectPr>
      </w:pPr>
    </w:p>
    <w:tbl>
      <w:tblPr>
        <w:tblW w:w="10313" w:type="dxa"/>
        <w:jc w:val="center"/>
        <w:tblInd w:w="209" w:type="dxa"/>
        <w:tblLook w:val="04A0" w:firstRow="1" w:lastRow="0" w:firstColumn="1" w:lastColumn="0" w:noHBand="0" w:noVBand="1"/>
      </w:tblPr>
      <w:tblGrid>
        <w:gridCol w:w="402"/>
        <w:gridCol w:w="6288"/>
        <w:gridCol w:w="1436"/>
        <w:gridCol w:w="1872"/>
        <w:gridCol w:w="315"/>
      </w:tblGrid>
      <w:tr w:rsidR="001A6832" w:rsidRPr="001A6832" w:rsidTr="003D4918">
        <w:trPr>
          <w:trHeight w:val="270"/>
          <w:jc w:val="center"/>
        </w:trPr>
        <w:tc>
          <w:tcPr>
            <w:tcW w:w="402" w:type="dxa"/>
            <w:tcBorders>
              <w:top w:val="single" w:sz="4" w:space="0" w:color="auto"/>
              <w:left w:val="single" w:sz="4" w:space="0" w:color="auto"/>
              <w:bottom w:val="nil"/>
              <w:right w:val="nil"/>
            </w:tcBorders>
            <w:shd w:val="clear" w:color="000000" w:fill="FFFFFF"/>
            <w:noWrap/>
            <w:vAlign w:val="bottom"/>
            <w:hideMark/>
          </w:tcPr>
          <w:p w:rsidR="001A6832" w:rsidRPr="001A6832" w:rsidRDefault="001A6832" w:rsidP="00EC0B1C">
            <w:pPr>
              <w:rPr>
                <w:rFonts w:ascii="Arial" w:hAnsi="Arial" w:cs="Arial"/>
                <w:sz w:val="20"/>
                <w:szCs w:val="20"/>
              </w:rPr>
            </w:pPr>
            <w:bookmarkStart w:id="34" w:name="RANGE!B34:E64"/>
            <w:r w:rsidRPr="001A6832">
              <w:rPr>
                <w:rFonts w:ascii="Arial" w:hAnsi="Arial" w:cs="Arial"/>
                <w:sz w:val="20"/>
                <w:szCs w:val="20"/>
              </w:rPr>
              <w:lastRenderedPageBreak/>
              <w:t> </w:t>
            </w:r>
            <w:bookmarkEnd w:id="34"/>
          </w:p>
        </w:tc>
        <w:tc>
          <w:tcPr>
            <w:tcW w:w="6288" w:type="dxa"/>
            <w:tcBorders>
              <w:top w:val="single" w:sz="4" w:space="0" w:color="auto"/>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Ni Florida, LLC</w:t>
            </w:r>
          </w:p>
        </w:tc>
        <w:tc>
          <w:tcPr>
            <w:tcW w:w="3308" w:type="dxa"/>
            <w:gridSpan w:val="2"/>
            <w:tcBorders>
              <w:top w:val="single" w:sz="4" w:space="0" w:color="auto"/>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Schedule 3-C</w:t>
            </w:r>
          </w:p>
        </w:tc>
        <w:tc>
          <w:tcPr>
            <w:tcW w:w="315" w:type="dxa"/>
            <w:tcBorders>
              <w:top w:val="single" w:sz="4" w:space="0" w:color="auto"/>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Adjustment to Operating Income</w:t>
            </w:r>
          </w:p>
        </w:tc>
        <w:tc>
          <w:tcPr>
            <w:tcW w:w="3308" w:type="dxa"/>
            <w:gridSpan w:val="2"/>
            <w:tcBorders>
              <w:top w:val="nil"/>
              <w:left w:val="nil"/>
              <w:bottom w:val="nil"/>
              <w:right w:val="nil"/>
            </w:tcBorders>
            <w:shd w:val="clear" w:color="000000" w:fill="FFFFFF"/>
            <w:noWrap/>
            <w:vAlign w:val="bottom"/>
            <w:hideMark/>
          </w:tcPr>
          <w:p w:rsidR="001A6832" w:rsidRPr="001A6832" w:rsidRDefault="001A6832" w:rsidP="00EC0B1C">
            <w:pPr>
              <w:jc w:val="right"/>
              <w:rPr>
                <w:b/>
                <w:bCs/>
                <w:sz w:val="20"/>
                <w:szCs w:val="20"/>
              </w:rPr>
            </w:pPr>
            <w:r w:rsidRPr="001A6832">
              <w:rPr>
                <w:b/>
                <w:bCs/>
                <w:sz w:val="20"/>
                <w:szCs w:val="20"/>
              </w:rPr>
              <w:t>Docket No. 160030-WS</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62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Test Year Ended 12/31/15</w:t>
            </w:r>
          </w:p>
        </w:tc>
        <w:tc>
          <w:tcPr>
            <w:tcW w:w="1436"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1872" w:type="dxa"/>
            <w:tcBorders>
              <w:top w:val="nil"/>
              <w:left w:val="nil"/>
              <w:bottom w:val="nil"/>
              <w:right w:val="nil"/>
            </w:tcBorders>
            <w:shd w:val="clear" w:color="000000" w:fill="FFFFFF"/>
            <w:noWrap/>
            <w:vAlign w:val="bottom"/>
            <w:hideMark/>
          </w:tcPr>
          <w:p w:rsidR="001A6832" w:rsidRPr="001A6832" w:rsidRDefault="001A6832" w:rsidP="00EC0B1C">
            <w:pPr>
              <w:rPr>
                <w:b/>
                <w:bCs/>
                <w:sz w:val="20"/>
                <w:szCs w:val="20"/>
              </w:rPr>
            </w:pPr>
            <w:r w:rsidRPr="001A6832">
              <w:rPr>
                <w:b/>
                <w:bCs/>
                <w:sz w:val="20"/>
                <w:szCs w:val="20"/>
              </w:rPr>
              <w:t> </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single" w:sz="4" w:space="0" w:color="000000"/>
              <w:left w:val="single" w:sz="4" w:space="0" w:color="auto"/>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rFonts w:ascii="Arial" w:hAnsi="Arial" w:cs="Arial"/>
                <w:color w:val="000000"/>
                <w:sz w:val="20"/>
                <w:szCs w:val="20"/>
              </w:rPr>
            </w:pPr>
            <w:r w:rsidRPr="001A6832">
              <w:rPr>
                <w:rFonts w:ascii="Arial" w:hAnsi="Arial" w:cs="Arial"/>
                <w:color w:val="000000"/>
                <w:sz w:val="20"/>
                <w:szCs w:val="20"/>
              </w:rPr>
              <w:t> </w:t>
            </w:r>
          </w:p>
        </w:tc>
        <w:tc>
          <w:tcPr>
            <w:tcW w:w="1436" w:type="dxa"/>
            <w:tcBorders>
              <w:top w:val="single" w:sz="4" w:space="0" w:color="000000"/>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1872" w:type="dxa"/>
            <w:tcBorders>
              <w:top w:val="single" w:sz="4" w:space="0" w:color="000000"/>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w:t>
            </w:r>
          </w:p>
        </w:tc>
        <w:tc>
          <w:tcPr>
            <w:tcW w:w="315" w:type="dxa"/>
            <w:tcBorders>
              <w:top w:val="single" w:sz="4" w:space="0" w:color="000000"/>
              <w:left w:val="nil"/>
              <w:bottom w:val="nil"/>
              <w:right w:val="single" w:sz="4" w:space="0" w:color="auto"/>
            </w:tcBorders>
            <w:shd w:val="clear" w:color="auto" w:fill="auto"/>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b/>
                <w:bCs/>
                <w:sz w:val="20"/>
                <w:szCs w:val="20"/>
              </w:rPr>
            </w:pPr>
            <w:r w:rsidRPr="001A6832">
              <w:rPr>
                <w:b/>
                <w:bCs/>
                <w:sz w:val="20"/>
                <w:szCs w:val="20"/>
              </w:rPr>
              <w:t>Explanation</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Water</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center"/>
              <w:rPr>
                <w:b/>
                <w:bCs/>
                <w:sz w:val="20"/>
                <w:szCs w:val="20"/>
              </w:rPr>
            </w:pPr>
            <w:r w:rsidRPr="001A6832">
              <w:rPr>
                <w:b/>
                <w:bCs/>
                <w:sz w:val="20"/>
                <w:szCs w:val="20"/>
              </w:rPr>
              <w:t>Wastewater</w:t>
            </w:r>
          </w:p>
        </w:tc>
        <w:tc>
          <w:tcPr>
            <w:tcW w:w="315" w:type="dxa"/>
            <w:tcBorders>
              <w:top w:val="nil"/>
              <w:left w:val="nil"/>
              <w:bottom w:val="nil"/>
              <w:right w:val="single" w:sz="4" w:space="0" w:color="auto"/>
            </w:tcBorders>
            <w:shd w:val="clear" w:color="auto" w:fill="auto"/>
            <w:noWrap/>
            <w:vAlign w:val="bottom"/>
            <w:hideMark/>
          </w:tcPr>
          <w:p w:rsidR="001A6832" w:rsidRPr="001A6832" w:rsidRDefault="001A6832" w:rsidP="00EC0B1C">
            <w:pPr>
              <w:jc w:val="cente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6288" w:type="dxa"/>
            <w:tcBorders>
              <w:top w:val="nil"/>
              <w:left w:val="nil"/>
              <w:bottom w:val="single" w:sz="4" w:space="0" w:color="auto"/>
              <w:right w:val="nil"/>
            </w:tcBorders>
            <w:shd w:val="clear" w:color="000000" w:fill="FFFFFF"/>
            <w:noWrap/>
            <w:vAlign w:val="bottom"/>
            <w:hideMark/>
          </w:tcPr>
          <w:p w:rsidR="001A6832" w:rsidRPr="001A6832" w:rsidRDefault="001A6832" w:rsidP="00EC0B1C">
            <w:pPr>
              <w:rPr>
                <w:rFonts w:ascii="Arial" w:hAnsi="Arial" w:cs="Arial"/>
                <w:color w:val="000000"/>
                <w:sz w:val="20"/>
                <w:szCs w:val="20"/>
              </w:rPr>
            </w:pPr>
            <w:r w:rsidRPr="001A6832">
              <w:rPr>
                <w:rFonts w:ascii="Arial" w:hAnsi="Arial" w:cs="Arial"/>
                <w:color w:val="000000"/>
                <w:sz w:val="20"/>
                <w:szCs w:val="20"/>
              </w:rPr>
              <w:t>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p>
        </w:tc>
        <w:tc>
          <w:tcPr>
            <w:tcW w:w="315" w:type="dxa"/>
            <w:tcBorders>
              <w:top w:val="nil"/>
              <w:left w:val="nil"/>
              <w:bottom w:val="nil"/>
              <w:right w:val="single" w:sz="4" w:space="0" w:color="auto"/>
            </w:tcBorders>
            <w:shd w:val="clear" w:color="auto" w:fill="auto"/>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single" w:sz="4" w:space="0" w:color="000000"/>
              <w:left w:val="single" w:sz="4" w:space="0" w:color="auto"/>
              <w:bottom w:val="nil"/>
              <w:right w:val="nil"/>
            </w:tcBorders>
            <w:shd w:val="clear" w:color="000000" w:fill="FFFFFF"/>
            <w:noWrap/>
            <w:vAlign w:val="bottom"/>
            <w:hideMark/>
          </w:tcPr>
          <w:p w:rsidR="001A6832" w:rsidRPr="001A6832" w:rsidRDefault="001A6832" w:rsidP="00EC0B1C">
            <w:pPr>
              <w:jc w:val="center"/>
              <w:rPr>
                <w:rFonts w:ascii="Arial" w:hAnsi="Arial" w:cs="Arial"/>
                <w:sz w:val="20"/>
                <w:szCs w:val="20"/>
              </w:rPr>
            </w:pPr>
            <w:r w:rsidRPr="001A6832">
              <w:rPr>
                <w:rFonts w:ascii="Arial" w:hAnsi="Arial" w:cs="Arial"/>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sz w:val="20"/>
                <w:szCs w:val="20"/>
              </w:rPr>
            </w:pPr>
          </w:p>
        </w:tc>
        <w:tc>
          <w:tcPr>
            <w:tcW w:w="1436" w:type="dxa"/>
            <w:tcBorders>
              <w:top w:val="single" w:sz="4" w:space="0" w:color="000000"/>
              <w:left w:val="nil"/>
              <w:bottom w:val="nil"/>
              <w:right w:val="nil"/>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1872" w:type="dxa"/>
            <w:tcBorders>
              <w:top w:val="single" w:sz="4" w:space="0" w:color="000000"/>
              <w:left w:val="nil"/>
              <w:bottom w:val="nil"/>
              <w:right w:val="nil"/>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c>
          <w:tcPr>
            <w:tcW w:w="315" w:type="dxa"/>
            <w:tcBorders>
              <w:top w:val="single" w:sz="4" w:space="0" w:color="000000"/>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u w:val="single"/>
              </w:rPr>
            </w:pPr>
            <w:r w:rsidRPr="001A6832">
              <w:rPr>
                <w:sz w:val="20"/>
                <w:szCs w:val="20"/>
                <w:u w:val="single"/>
              </w:rPr>
              <w:t>Operating Revenues</w:t>
            </w:r>
          </w:p>
        </w:tc>
        <w:tc>
          <w:tcPr>
            <w:tcW w:w="1436"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1872" w:type="dxa"/>
            <w:tcBorders>
              <w:top w:val="nil"/>
              <w:left w:val="nil"/>
              <w:bottom w:val="nil"/>
              <w:right w:val="nil"/>
            </w:tcBorders>
            <w:shd w:val="clear" w:color="000000" w:fill="FFFFFF"/>
            <w:noWrap/>
            <w:vAlign w:val="bottom"/>
            <w:hideMark/>
          </w:tcPr>
          <w:p w:rsidR="001A6832" w:rsidRPr="001A6832" w:rsidRDefault="001A6832" w:rsidP="00EC0B1C">
            <w:pPr>
              <w:rPr>
                <w:sz w:val="20"/>
                <w:szCs w:val="20"/>
              </w:rPr>
            </w:pPr>
            <w:r w:rsidRPr="001A6832">
              <w:rPr>
                <w:sz w:val="20"/>
                <w:szCs w:val="20"/>
              </w:rPr>
              <w:t> </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xml:space="preserve">Remove requested final revenue increase.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($87,150)</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($475,000)</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the appropriate amount of test year revenues</w:t>
            </w:r>
            <w:r w:rsidR="00272DC2">
              <w:rPr>
                <w:sz w:val="20"/>
                <w:szCs w:val="20"/>
              </w:rPr>
              <w:t>.</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(10,335)</w:t>
            </w:r>
          </w:p>
        </w:tc>
        <w:tc>
          <w:tcPr>
            <w:tcW w:w="1872" w:type="dxa"/>
            <w:tcBorders>
              <w:top w:val="nil"/>
              <w:left w:val="nil"/>
              <w:bottom w:val="nil"/>
              <w:right w:val="nil"/>
            </w:tcBorders>
            <w:shd w:val="clear" w:color="auto" w:fill="auto"/>
            <w:noWrap/>
            <w:vAlign w:val="bottom"/>
            <w:hideMark/>
          </w:tcPr>
          <w:p w:rsidR="001A6832" w:rsidRPr="001A6832" w:rsidRDefault="001A6832" w:rsidP="0017609B">
            <w:pPr>
              <w:jc w:val="right"/>
              <w:rPr>
                <w:sz w:val="20"/>
                <w:szCs w:val="20"/>
                <w:u w:val="single"/>
              </w:rPr>
            </w:pPr>
            <w:r w:rsidRPr="001A6832">
              <w:rPr>
                <w:sz w:val="20"/>
                <w:szCs w:val="20"/>
                <w:u w:val="single"/>
              </w:rPr>
              <w:t>2</w:t>
            </w:r>
            <w:r w:rsidR="0017609B">
              <w:rPr>
                <w:sz w:val="20"/>
                <w:szCs w:val="20"/>
                <w:u w:val="single"/>
              </w:rPr>
              <w:t>1,164</w:t>
            </w:r>
            <w:r w:rsidRPr="001A6832">
              <w:rPr>
                <w:sz w:val="20"/>
                <w:szCs w:val="20"/>
                <w:u w:val="single"/>
              </w:rPr>
              <w:t xml:space="preserve"> </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color w:val="000000"/>
                <w:sz w:val="20"/>
                <w:szCs w:val="20"/>
              </w:rPr>
            </w:pPr>
            <w:r w:rsidRPr="001A6832">
              <w:rPr>
                <w:color w:val="000000"/>
                <w:sz w:val="20"/>
                <w:szCs w:val="20"/>
              </w:rPr>
              <w:t xml:space="preserve"> Total</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($97,485)</w:t>
            </w:r>
          </w:p>
        </w:tc>
        <w:tc>
          <w:tcPr>
            <w:tcW w:w="1872" w:type="dxa"/>
            <w:tcBorders>
              <w:top w:val="nil"/>
              <w:left w:val="nil"/>
              <w:bottom w:val="nil"/>
              <w:right w:val="nil"/>
            </w:tcBorders>
            <w:shd w:val="clear" w:color="auto" w:fill="auto"/>
            <w:noWrap/>
            <w:vAlign w:val="bottom"/>
            <w:hideMark/>
          </w:tcPr>
          <w:p w:rsidR="001A6832" w:rsidRPr="001A6832" w:rsidRDefault="001A6832" w:rsidP="0017609B">
            <w:pPr>
              <w:jc w:val="right"/>
              <w:rPr>
                <w:sz w:val="20"/>
                <w:szCs w:val="20"/>
                <w:u w:val="double"/>
              </w:rPr>
            </w:pPr>
            <w:r w:rsidRPr="001A6832">
              <w:rPr>
                <w:sz w:val="20"/>
                <w:szCs w:val="20"/>
                <w:u w:val="double"/>
              </w:rPr>
              <w:t>($45</w:t>
            </w:r>
            <w:r w:rsidR="0017609B">
              <w:rPr>
                <w:sz w:val="20"/>
                <w:szCs w:val="20"/>
                <w:u w:val="double"/>
              </w:rPr>
              <w:t>3,836</w:t>
            </w:r>
            <w:r w:rsidRPr="001A6832">
              <w:rPr>
                <w:sz w:val="20"/>
                <w:szCs w:val="20"/>
                <w:u w:val="double"/>
              </w:rPr>
              <w:t>)</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Operation and Maintenance Expense</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contested audit adjustments.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($10,277)</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($39,742)</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7609B" w:rsidP="00EC0B1C">
            <w:pPr>
              <w:jc w:val="center"/>
              <w:rPr>
                <w:sz w:val="20"/>
                <w:szCs w:val="20"/>
              </w:rPr>
            </w:pPr>
            <w:r>
              <w:rPr>
                <w:sz w:val="20"/>
                <w:szCs w:val="20"/>
              </w:rPr>
              <w:t>2</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color w:val="000000"/>
                <w:sz w:val="20"/>
                <w:szCs w:val="20"/>
              </w:rPr>
            </w:pPr>
            <w:r w:rsidRPr="001A6832">
              <w:rPr>
                <w:color w:val="000000"/>
                <w:sz w:val="20"/>
                <w:szCs w:val="20"/>
              </w:rPr>
              <w:t>Reflect appropriate rate case expense amortization.</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(3,636)</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($13,575)</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7609B" w:rsidP="00EC0B1C">
            <w:pPr>
              <w:jc w:val="center"/>
              <w:rPr>
                <w:sz w:val="20"/>
                <w:szCs w:val="20"/>
              </w:rPr>
            </w:pPr>
            <w:r>
              <w:rPr>
                <w:sz w:val="20"/>
                <w:szCs w:val="20"/>
              </w:rPr>
              <w:t>3</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color w:val="000000"/>
                <w:sz w:val="20"/>
                <w:szCs w:val="20"/>
              </w:rPr>
            </w:pPr>
            <w:r w:rsidRPr="001A6832">
              <w:rPr>
                <w:color w:val="000000"/>
                <w:sz w:val="20"/>
                <w:szCs w:val="20"/>
              </w:rPr>
              <w:t>Reflect further adjustments to O&amp;M expense.</w:t>
            </w:r>
          </w:p>
        </w:tc>
        <w:tc>
          <w:tcPr>
            <w:tcW w:w="1436" w:type="dxa"/>
            <w:tcBorders>
              <w:top w:val="nil"/>
              <w:left w:val="nil"/>
              <w:bottom w:val="nil"/>
              <w:right w:val="nil"/>
            </w:tcBorders>
            <w:shd w:val="clear" w:color="auto" w:fill="auto"/>
            <w:noWrap/>
            <w:vAlign w:val="bottom"/>
            <w:hideMark/>
          </w:tcPr>
          <w:p w:rsidR="001A6832" w:rsidRPr="001A6832" w:rsidRDefault="001A6832" w:rsidP="0017609B">
            <w:pPr>
              <w:jc w:val="right"/>
              <w:rPr>
                <w:color w:val="000000"/>
                <w:sz w:val="20"/>
                <w:szCs w:val="20"/>
                <w:u w:val="single"/>
              </w:rPr>
            </w:pPr>
            <w:r w:rsidRPr="001A6832">
              <w:rPr>
                <w:color w:val="000000"/>
                <w:sz w:val="20"/>
                <w:szCs w:val="20"/>
                <w:u w:val="single"/>
              </w:rPr>
              <w:t>(</w:t>
            </w:r>
            <w:r w:rsidR="0017609B">
              <w:rPr>
                <w:color w:val="000000"/>
                <w:sz w:val="20"/>
                <w:szCs w:val="20"/>
                <w:u w:val="single"/>
              </w:rPr>
              <w:t>23,123</w:t>
            </w:r>
            <w:r w:rsidRPr="001A6832">
              <w:rPr>
                <w:color w:val="000000"/>
                <w:sz w:val="20"/>
                <w:szCs w:val="20"/>
                <w:u w:val="single"/>
              </w:rPr>
              <w:t>)</w:t>
            </w:r>
          </w:p>
        </w:tc>
        <w:tc>
          <w:tcPr>
            <w:tcW w:w="1872" w:type="dxa"/>
            <w:tcBorders>
              <w:top w:val="nil"/>
              <w:left w:val="nil"/>
              <w:bottom w:val="nil"/>
              <w:right w:val="nil"/>
            </w:tcBorders>
            <w:shd w:val="clear" w:color="auto" w:fill="auto"/>
            <w:noWrap/>
            <w:vAlign w:val="bottom"/>
            <w:hideMark/>
          </w:tcPr>
          <w:p w:rsidR="001A6832" w:rsidRPr="001A6832" w:rsidRDefault="001A6832" w:rsidP="0017609B">
            <w:pPr>
              <w:jc w:val="right"/>
              <w:rPr>
                <w:color w:val="000000"/>
                <w:sz w:val="20"/>
                <w:szCs w:val="20"/>
                <w:u w:val="single"/>
              </w:rPr>
            </w:pPr>
            <w:r w:rsidRPr="001A6832">
              <w:rPr>
                <w:color w:val="000000"/>
                <w:sz w:val="20"/>
                <w:szCs w:val="20"/>
                <w:u w:val="single"/>
              </w:rPr>
              <w:t>(</w:t>
            </w:r>
            <w:r w:rsidR="0017609B">
              <w:rPr>
                <w:color w:val="000000"/>
                <w:sz w:val="20"/>
                <w:szCs w:val="20"/>
                <w:u w:val="single"/>
              </w:rPr>
              <w:t>145,260</w:t>
            </w:r>
            <w:r w:rsidRPr="001A6832">
              <w:rPr>
                <w:color w:val="000000"/>
                <w:sz w:val="20"/>
                <w:szCs w:val="20"/>
                <w:u w:val="single"/>
              </w:rPr>
              <w:t>)</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xml:space="preserve">    Total</w:t>
            </w:r>
          </w:p>
        </w:tc>
        <w:tc>
          <w:tcPr>
            <w:tcW w:w="1436" w:type="dxa"/>
            <w:tcBorders>
              <w:top w:val="nil"/>
              <w:left w:val="nil"/>
              <w:bottom w:val="nil"/>
              <w:right w:val="nil"/>
            </w:tcBorders>
            <w:shd w:val="clear" w:color="auto" w:fill="auto"/>
            <w:noWrap/>
            <w:vAlign w:val="bottom"/>
            <w:hideMark/>
          </w:tcPr>
          <w:p w:rsidR="001A6832" w:rsidRPr="001A6832" w:rsidRDefault="001A6832" w:rsidP="0017609B">
            <w:pPr>
              <w:jc w:val="right"/>
              <w:rPr>
                <w:sz w:val="20"/>
                <w:szCs w:val="20"/>
                <w:u w:val="double"/>
              </w:rPr>
            </w:pPr>
            <w:r w:rsidRPr="001A6832">
              <w:rPr>
                <w:sz w:val="20"/>
                <w:szCs w:val="20"/>
                <w:u w:val="double"/>
              </w:rPr>
              <w:t>($</w:t>
            </w:r>
            <w:r w:rsidR="0017609B">
              <w:rPr>
                <w:sz w:val="20"/>
                <w:szCs w:val="20"/>
                <w:u w:val="double"/>
              </w:rPr>
              <w:t>37,036</w:t>
            </w:r>
            <w:r w:rsidRPr="001A6832">
              <w:rPr>
                <w:sz w:val="20"/>
                <w:szCs w:val="20"/>
                <w:u w:val="double"/>
              </w:rPr>
              <w:t>)</w:t>
            </w:r>
          </w:p>
        </w:tc>
        <w:tc>
          <w:tcPr>
            <w:tcW w:w="1872" w:type="dxa"/>
            <w:tcBorders>
              <w:top w:val="nil"/>
              <w:left w:val="nil"/>
              <w:bottom w:val="nil"/>
              <w:right w:val="nil"/>
            </w:tcBorders>
            <w:shd w:val="clear" w:color="auto" w:fill="auto"/>
            <w:noWrap/>
            <w:vAlign w:val="bottom"/>
            <w:hideMark/>
          </w:tcPr>
          <w:p w:rsidR="001A6832" w:rsidRPr="001A6832" w:rsidRDefault="001A6832" w:rsidP="0017609B">
            <w:pPr>
              <w:jc w:val="right"/>
              <w:rPr>
                <w:sz w:val="20"/>
                <w:szCs w:val="20"/>
                <w:u w:val="double"/>
              </w:rPr>
            </w:pPr>
            <w:r w:rsidRPr="001A6832">
              <w:rPr>
                <w:sz w:val="20"/>
                <w:szCs w:val="20"/>
                <w:u w:val="double"/>
              </w:rPr>
              <w:t>($</w:t>
            </w:r>
            <w:r w:rsidR="0017609B">
              <w:rPr>
                <w:sz w:val="20"/>
                <w:szCs w:val="20"/>
                <w:u w:val="double"/>
              </w:rPr>
              <w:t>198,577</w:t>
            </w:r>
            <w:r w:rsidRPr="001A6832">
              <w:rPr>
                <w:sz w:val="20"/>
                <w:szCs w:val="20"/>
                <w:u w:val="double"/>
              </w:rPr>
              <w:t>)</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Depreciation Expense - Net</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Reflect appropriate pro forma plant adjustments.</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($735)</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Amortization Expense</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double"/>
              </w:rPr>
            </w:pP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agreed upon audit adjustments.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 xml:space="preserve">$0 </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double"/>
              </w:rPr>
            </w:pPr>
            <w:r w:rsidRPr="001A6832">
              <w:rPr>
                <w:sz w:val="20"/>
                <w:szCs w:val="20"/>
                <w:u w:val="double"/>
              </w:rPr>
              <w:t>($2,845)</w:t>
            </w:r>
          </w:p>
        </w:tc>
        <w:tc>
          <w:tcPr>
            <w:tcW w:w="315" w:type="dxa"/>
            <w:tcBorders>
              <w:top w:val="nil"/>
              <w:left w:val="nil"/>
              <w:bottom w:val="nil"/>
              <w:right w:val="single" w:sz="4" w:space="0" w:color="auto"/>
            </w:tcBorders>
            <w:shd w:val="clear" w:color="000000" w:fill="FFFFFF"/>
            <w:noWrap/>
            <w:vAlign w:val="bottom"/>
            <w:hideMark/>
          </w:tcPr>
          <w:p w:rsidR="001A6832" w:rsidRPr="001A6832" w:rsidRDefault="001A6832" w:rsidP="00EC0B1C">
            <w:pPr>
              <w:rPr>
                <w:rFonts w:ascii="Arial" w:hAnsi="Arial" w:cs="Arial"/>
                <w:sz w:val="20"/>
                <w:szCs w:val="20"/>
              </w:rPr>
            </w:pPr>
            <w:r w:rsidRPr="001A6832">
              <w:rPr>
                <w:rFonts w:ascii="Arial" w:hAnsi="Arial" w:cs="Arial"/>
                <w:sz w:val="20"/>
                <w:szCs w:val="20"/>
              </w:rPr>
              <w:t> </w:t>
            </w: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p>
        </w:tc>
        <w:tc>
          <w:tcPr>
            <w:tcW w:w="315" w:type="dxa"/>
            <w:tcBorders>
              <w:top w:val="nil"/>
              <w:left w:val="nil"/>
              <w:bottom w:val="nil"/>
              <w:right w:val="single" w:sz="4" w:space="0" w:color="auto"/>
            </w:tcBorders>
            <w:shd w:val="clear" w:color="000000" w:fill="FFFFFF"/>
            <w:noWrap/>
            <w:vAlign w:val="bottom"/>
          </w:tcPr>
          <w:p w:rsidR="001A6832" w:rsidRPr="001A6832" w:rsidRDefault="001A6832" w:rsidP="00EC0B1C">
            <w:pPr>
              <w:rPr>
                <w:rFonts w:ascii="Arial" w:hAnsi="Arial" w:cs="Arial"/>
                <w:sz w:val="20"/>
                <w:szCs w:val="20"/>
                <w:u w:val="single"/>
              </w:rPr>
            </w:pP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u w:val="single"/>
              </w:rPr>
            </w:pPr>
            <w:r w:rsidRPr="001A6832">
              <w:rPr>
                <w:sz w:val="20"/>
                <w:szCs w:val="20"/>
                <w:u w:val="single"/>
              </w:rPr>
              <w:t>Taxes Other Than Income</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1872"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p>
        </w:tc>
        <w:tc>
          <w:tcPr>
            <w:tcW w:w="315" w:type="dxa"/>
            <w:tcBorders>
              <w:top w:val="nil"/>
              <w:left w:val="nil"/>
              <w:bottom w:val="nil"/>
              <w:right w:val="single" w:sz="4" w:space="0" w:color="auto"/>
            </w:tcBorders>
            <w:shd w:val="clear" w:color="000000" w:fill="FFFFFF"/>
            <w:noWrap/>
            <w:vAlign w:val="bottom"/>
          </w:tcPr>
          <w:p w:rsidR="001A6832" w:rsidRPr="001A6832" w:rsidRDefault="001A6832" w:rsidP="00EC0B1C">
            <w:pPr>
              <w:rPr>
                <w:rFonts w:ascii="Arial" w:hAnsi="Arial" w:cs="Arial"/>
                <w:sz w:val="20"/>
                <w:szCs w:val="20"/>
              </w:rPr>
            </w:pP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1</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Remove RAFs on revenue adjustments above.</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($4,387)</w:t>
            </w:r>
          </w:p>
        </w:tc>
        <w:tc>
          <w:tcPr>
            <w:tcW w:w="1872" w:type="dxa"/>
            <w:tcBorders>
              <w:top w:val="nil"/>
              <w:left w:val="nil"/>
              <w:bottom w:val="nil"/>
              <w:right w:val="nil"/>
            </w:tcBorders>
            <w:shd w:val="clear" w:color="auto" w:fill="auto"/>
            <w:noWrap/>
            <w:vAlign w:val="bottom"/>
            <w:hideMark/>
          </w:tcPr>
          <w:p w:rsidR="001A6832" w:rsidRPr="001A6832" w:rsidRDefault="001A6832" w:rsidP="0017609B">
            <w:pPr>
              <w:jc w:val="right"/>
              <w:rPr>
                <w:sz w:val="20"/>
                <w:szCs w:val="20"/>
              </w:rPr>
            </w:pPr>
            <w:r w:rsidRPr="001A6832">
              <w:rPr>
                <w:sz w:val="20"/>
                <w:szCs w:val="20"/>
              </w:rPr>
              <w:t>($20,</w:t>
            </w:r>
            <w:r w:rsidR="0017609B">
              <w:rPr>
                <w:sz w:val="20"/>
                <w:szCs w:val="20"/>
              </w:rPr>
              <w:t>423</w:t>
            </w:r>
            <w:r w:rsidRPr="001A6832">
              <w:rPr>
                <w:sz w:val="20"/>
                <w:szCs w:val="20"/>
              </w:rPr>
              <w:t>)</w:t>
            </w:r>
          </w:p>
        </w:tc>
        <w:tc>
          <w:tcPr>
            <w:tcW w:w="315" w:type="dxa"/>
            <w:tcBorders>
              <w:top w:val="nil"/>
              <w:left w:val="nil"/>
              <w:bottom w:val="nil"/>
              <w:right w:val="single" w:sz="4" w:space="0" w:color="auto"/>
            </w:tcBorders>
            <w:shd w:val="clear" w:color="000000" w:fill="FFFFFF"/>
            <w:noWrap/>
            <w:vAlign w:val="bottom"/>
          </w:tcPr>
          <w:p w:rsidR="001A6832" w:rsidRPr="001A6832" w:rsidRDefault="001A6832" w:rsidP="00EC0B1C">
            <w:pPr>
              <w:rPr>
                <w:rFonts w:ascii="Arial" w:hAnsi="Arial" w:cs="Arial"/>
                <w:sz w:val="20"/>
                <w:szCs w:val="20"/>
              </w:rPr>
            </w:pP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2</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contested audit adjustments.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(835)</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rPr>
            </w:pPr>
            <w:r w:rsidRPr="001A6832">
              <w:rPr>
                <w:sz w:val="20"/>
                <w:szCs w:val="20"/>
              </w:rPr>
              <w:t>(1,378)</w:t>
            </w:r>
          </w:p>
        </w:tc>
        <w:tc>
          <w:tcPr>
            <w:tcW w:w="315" w:type="dxa"/>
            <w:tcBorders>
              <w:top w:val="nil"/>
              <w:left w:val="nil"/>
              <w:bottom w:val="nil"/>
              <w:right w:val="single" w:sz="4" w:space="0" w:color="auto"/>
            </w:tcBorders>
            <w:shd w:val="clear" w:color="auto" w:fill="auto"/>
            <w:noWrap/>
            <w:vAlign w:val="bottom"/>
          </w:tcPr>
          <w:p w:rsidR="001A6832" w:rsidRPr="001A6832" w:rsidRDefault="001A6832" w:rsidP="00EC0B1C">
            <w:pPr>
              <w:rPr>
                <w:rFonts w:ascii="Arial" w:hAnsi="Arial" w:cs="Arial"/>
                <w:sz w:val="20"/>
                <w:szCs w:val="20"/>
              </w:rPr>
            </w:pP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3</w:t>
            </w:r>
          </w:p>
        </w:tc>
        <w:tc>
          <w:tcPr>
            <w:tcW w:w="6288" w:type="dxa"/>
            <w:tcBorders>
              <w:top w:val="nil"/>
              <w:left w:val="nil"/>
              <w:bottom w:val="nil"/>
              <w:right w:val="nil"/>
            </w:tcBorders>
            <w:shd w:val="clear" w:color="auto" w:fill="auto"/>
            <w:noWrap/>
            <w:vAlign w:val="bottom"/>
            <w:hideMark/>
          </w:tcPr>
          <w:p w:rsidR="001A6832" w:rsidRPr="001A6832" w:rsidRDefault="001A6832" w:rsidP="00272DC2">
            <w:pPr>
              <w:rPr>
                <w:sz w:val="20"/>
                <w:szCs w:val="20"/>
              </w:rPr>
            </w:pPr>
            <w:r w:rsidRPr="001A6832">
              <w:rPr>
                <w:sz w:val="20"/>
                <w:szCs w:val="20"/>
              </w:rPr>
              <w:t xml:space="preserve">Reflect appropriate pro forma plant adjustments. </w:t>
            </w:r>
          </w:p>
        </w:tc>
        <w:tc>
          <w:tcPr>
            <w:tcW w:w="1436" w:type="dxa"/>
            <w:tcBorders>
              <w:top w:val="nil"/>
              <w:left w:val="nil"/>
              <w:bottom w:val="nil"/>
              <w:right w:val="nil"/>
            </w:tcBorders>
            <w:shd w:val="clear" w:color="auto" w:fill="auto"/>
            <w:noWrap/>
            <w:vAlign w:val="bottom"/>
            <w:hideMark/>
          </w:tcPr>
          <w:p w:rsidR="001A6832" w:rsidRPr="001A6832" w:rsidRDefault="001A6832" w:rsidP="00EC0B1C">
            <w:pPr>
              <w:jc w:val="right"/>
              <w:rPr>
                <w:rFonts w:cs="Calibri"/>
                <w:sz w:val="20"/>
                <w:szCs w:val="20"/>
                <w:u w:val="single"/>
              </w:rPr>
            </w:pPr>
            <w:r w:rsidRPr="001A6832">
              <w:rPr>
                <w:rFonts w:cs="Calibri"/>
                <w:sz w:val="20"/>
                <w:szCs w:val="20"/>
                <w:u w:val="single"/>
              </w:rPr>
              <w:t xml:space="preserve">0 </w:t>
            </w:r>
          </w:p>
        </w:tc>
        <w:tc>
          <w:tcPr>
            <w:tcW w:w="1872" w:type="dxa"/>
            <w:tcBorders>
              <w:top w:val="nil"/>
              <w:left w:val="nil"/>
              <w:bottom w:val="nil"/>
              <w:right w:val="nil"/>
            </w:tcBorders>
            <w:shd w:val="clear" w:color="auto" w:fill="auto"/>
            <w:noWrap/>
            <w:vAlign w:val="bottom"/>
            <w:hideMark/>
          </w:tcPr>
          <w:p w:rsidR="001A6832" w:rsidRPr="001A6832" w:rsidRDefault="001A6832" w:rsidP="00EC0B1C">
            <w:pPr>
              <w:jc w:val="right"/>
              <w:rPr>
                <w:sz w:val="20"/>
                <w:szCs w:val="20"/>
                <w:u w:val="single"/>
              </w:rPr>
            </w:pPr>
            <w:r w:rsidRPr="001A6832">
              <w:rPr>
                <w:sz w:val="20"/>
                <w:szCs w:val="20"/>
                <w:u w:val="single"/>
              </w:rPr>
              <w:t xml:space="preserve">10,037 </w:t>
            </w:r>
          </w:p>
        </w:tc>
        <w:tc>
          <w:tcPr>
            <w:tcW w:w="315" w:type="dxa"/>
            <w:tcBorders>
              <w:top w:val="nil"/>
              <w:left w:val="nil"/>
              <w:bottom w:val="nil"/>
              <w:right w:val="single" w:sz="4" w:space="0" w:color="auto"/>
            </w:tcBorders>
            <w:shd w:val="clear" w:color="000000" w:fill="FFFFFF"/>
            <w:noWrap/>
            <w:vAlign w:val="bottom"/>
          </w:tcPr>
          <w:p w:rsidR="001A6832" w:rsidRPr="001A6832" w:rsidRDefault="001A6832" w:rsidP="00EC0B1C">
            <w:pPr>
              <w:rPr>
                <w:rFonts w:ascii="Arial" w:hAnsi="Arial" w:cs="Arial"/>
                <w:sz w:val="20"/>
                <w:szCs w:val="20"/>
              </w:rPr>
            </w:pPr>
          </w:p>
        </w:tc>
      </w:tr>
      <w:tr w:rsidR="001A6832" w:rsidRPr="001A6832" w:rsidTr="003D4918">
        <w:trPr>
          <w:trHeight w:val="270"/>
          <w:jc w:val="center"/>
        </w:trPr>
        <w:tc>
          <w:tcPr>
            <w:tcW w:w="402" w:type="dxa"/>
            <w:tcBorders>
              <w:top w:val="nil"/>
              <w:left w:val="single" w:sz="4" w:space="0" w:color="auto"/>
              <w:bottom w:val="nil"/>
              <w:right w:val="nil"/>
            </w:tcBorders>
            <w:shd w:val="clear" w:color="000000" w:fill="FFFFFF"/>
            <w:noWrap/>
            <w:vAlign w:val="bottom"/>
            <w:hideMark/>
          </w:tcPr>
          <w:p w:rsidR="001A6832" w:rsidRPr="001A6832" w:rsidRDefault="001A6832" w:rsidP="00EC0B1C">
            <w:pPr>
              <w:jc w:val="center"/>
              <w:rPr>
                <w:sz w:val="20"/>
                <w:szCs w:val="20"/>
              </w:rPr>
            </w:pPr>
            <w:r w:rsidRPr="001A6832">
              <w:rPr>
                <w:sz w:val="20"/>
                <w:szCs w:val="20"/>
              </w:rPr>
              <w:t> </w:t>
            </w:r>
          </w:p>
        </w:tc>
        <w:tc>
          <w:tcPr>
            <w:tcW w:w="6288" w:type="dxa"/>
            <w:tcBorders>
              <w:top w:val="nil"/>
              <w:left w:val="nil"/>
              <w:bottom w:val="nil"/>
              <w:right w:val="nil"/>
            </w:tcBorders>
            <w:shd w:val="clear" w:color="auto" w:fill="auto"/>
            <w:noWrap/>
            <w:vAlign w:val="bottom"/>
            <w:hideMark/>
          </w:tcPr>
          <w:p w:rsidR="001A6832" w:rsidRPr="001A6832" w:rsidRDefault="001A6832" w:rsidP="00EC0B1C">
            <w:pPr>
              <w:rPr>
                <w:sz w:val="20"/>
                <w:szCs w:val="20"/>
              </w:rPr>
            </w:pPr>
            <w:r w:rsidRPr="001A6832">
              <w:rPr>
                <w:sz w:val="20"/>
                <w:szCs w:val="20"/>
              </w:rPr>
              <w:t xml:space="preserve">    Total</w:t>
            </w:r>
          </w:p>
        </w:tc>
        <w:tc>
          <w:tcPr>
            <w:tcW w:w="1436" w:type="dxa"/>
            <w:tcBorders>
              <w:top w:val="nil"/>
              <w:left w:val="nil"/>
              <w:bottom w:val="nil"/>
              <w:right w:val="nil"/>
            </w:tcBorders>
            <w:shd w:val="clear" w:color="000000" w:fill="FFFFFF"/>
            <w:noWrap/>
            <w:vAlign w:val="bottom"/>
            <w:hideMark/>
          </w:tcPr>
          <w:p w:rsidR="001A6832" w:rsidRPr="001A6832" w:rsidRDefault="001A6832" w:rsidP="00EC0B1C">
            <w:pPr>
              <w:jc w:val="right"/>
              <w:rPr>
                <w:sz w:val="20"/>
                <w:szCs w:val="20"/>
                <w:u w:val="double"/>
              </w:rPr>
            </w:pPr>
            <w:r w:rsidRPr="001A6832">
              <w:rPr>
                <w:sz w:val="20"/>
                <w:szCs w:val="20"/>
                <w:u w:val="double"/>
              </w:rPr>
              <w:t>($5,222)</w:t>
            </w:r>
          </w:p>
        </w:tc>
        <w:tc>
          <w:tcPr>
            <w:tcW w:w="1872" w:type="dxa"/>
            <w:tcBorders>
              <w:top w:val="nil"/>
              <w:left w:val="nil"/>
              <w:bottom w:val="nil"/>
              <w:right w:val="nil"/>
            </w:tcBorders>
            <w:shd w:val="clear" w:color="000000" w:fill="FFFFFF"/>
            <w:noWrap/>
            <w:vAlign w:val="bottom"/>
            <w:hideMark/>
          </w:tcPr>
          <w:p w:rsidR="001A6832" w:rsidRPr="001A6832" w:rsidRDefault="001A6832" w:rsidP="0017609B">
            <w:pPr>
              <w:jc w:val="right"/>
              <w:rPr>
                <w:sz w:val="20"/>
                <w:szCs w:val="20"/>
                <w:u w:val="double"/>
              </w:rPr>
            </w:pPr>
            <w:r w:rsidRPr="001A6832">
              <w:rPr>
                <w:sz w:val="20"/>
                <w:szCs w:val="20"/>
                <w:u w:val="double"/>
              </w:rPr>
              <w:t>($11</w:t>
            </w:r>
            <w:r w:rsidR="0017609B">
              <w:rPr>
                <w:sz w:val="20"/>
                <w:szCs w:val="20"/>
                <w:u w:val="double"/>
              </w:rPr>
              <w:t>,764</w:t>
            </w:r>
            <w:r w:rsidRPr="001A6832">
              <w:rPr>
                <w:sz w:val="20"/>
                <w:szCs w:val="20"/>
                <w:u w:val="double"/>
              </w:rPr>
              <w:t>)</w:t>
            </w:r>
          </w:p>
        </w:tc>
        <w:tc>
          <w:tcPr>
            <w:tcW w:w="315" w:type="dxa"/>
            <w:tcBorders>
              <w:top w:val="nil"/>
              <w:left w:val="nil"/>
              <w:bottom w:val="nil"/>
              <w:right w:val="single" w:sz="4" w:space="0" w:color="auto"/>
            </w:tcBorders>
            <w:shd w:val="clear" w:color="000000" w:fill="FFFFFF"/>
            <w:noWrap/>
            <w:vAlign w:val="bottom"/>
          </w:tcPr>
          <w:p w:rsidR="001A6832" w:rsidRPr="001A6832" w:rsidRDefault="001A6832" w:rsidP="00EC0B1C">
            <w:pPr>
              <w:rPr>
                <w:rFonts w:ascii="Arial" w:hAnsi="Arial" w:cs="Arial"/>
                <w:sz w:val="20"/>
                <w:szCs w:val="20"/>
                <w:u w:val="double"/>
              </w:rPr>
            </w:pPr>
          </w:p>
        </w:tc>
      </w:tr>
      <w:tr w:rsidR="001A6832" w:rsidRPr="001A6832" w:rsidTr="003D4918">
        <w:trPr>
          <w:trHeight w:val="270"/>
          <w:jc w:val="center"/>
        </w:trPr>
        <w:tc>
          <w:tcPr>
            <w:tcW w:w="402" w:type="dxa"/>
            <w:tcBorders>
              <w:top w:val="nil"/>
              <w:left w:val="single" w:sz="4" w:space="0" w:color="auto"/>
              <w:bottom w:val="single" w:sz="4" w:space="0" w:color="auto"/>
              <w:right w:val="nil"/>
            </w:tcBorders>
            <w:shd w:val="clear" w:color="000000" w:fill="FFFFFF"/>
            <w:noWrap/>
            <w:vAlign w:val="bottom"/>
          </w:tcPr>
          <w:p w:rsidR="001A6832" w:rsidRPr="001A6832" w:rsidRDefault="001A6832" w:rsidP="00EC0B1C">
            <w:pPr>
              <w:jc w:val="center"/>
              <w:rPr>
                <w:rFonts w:ascii="Arial" w:hAnsi="Arial" w:cs="Arial"/>
                <w:sz w:val="20"/>
                <w:szCs w:val="20"/>
                <w:u w:val="single"/>
              </w:rPr>
            </w:pPr>
          </w:p>
        </w:tc>
        <w:tc>
          <w:tcPr>
            <w:tcW w:w="6288" w:type="dxa"/>
            <w:tcBorders>
              <w:top w:val="nil"/>
              <w:left w:val="nil"/>
              <w:bottom w:val="single" w:sz="4" w:space="0" w:color="auto"/>
              <w:right w:val="nil"/>
            </w:tcBorders>
            <w:shd w:val="clear" w:color="000000" w:fill="FFFFFF"/>
            <w:noWrap/>
            <w:vAlign w:val="bottom"/>
          </w:tcPr>
          <w:p w:rsidR="001A6832" w:rsidRPr="001A6832" w:rsidRDefault="001A6832" w:rsidP="00EC0B1C">
            <w:pPr>
              <w:rPr>
                <w:rFonts w:ascii="Arial" w:hAnsi="Arial" w:cs="Arial"/>
                <w:color w:val="000000"/>
                <w:sz w:val="20"/>
                <w:szCs w:val="20"/>
                <w:u w:val="single"/>
              </w:rPr>
            </w:pPr>
          </w:p>
        </w:tc>
        <w:tc>
          <w:tcPr>
            <w:tcW w:w="1436" w:type="dxa"/>
            <w:tcBorders>
              <w:top w:val="nil"/>
              <w:left w:val="nil"/>
              <w:bottom w:val="single" w:sz="4" w:space="0" w:color="auto"/>
              <w:right w:val="nil"/>
            </w:tcBorders>
            <w:shd w:val="clear" w:color="000000" w:fill="FFFFFF"/>
            <w:noWrap/>
            <w:vAlign w:val="bottom"/>
          </w:tcPr>
          <w:p w:rsidR="001A6832" w:rsidRPr="001A6832" w:rsidRDefault="001A6832" w:rsidP="00EC0B1C">
            <w:pPr>
              <w:rPr>
                <w:rFonts w:ascii="Arial" w:hAnsi="Arial" w:cs="Arial"/>
                <w:sz w:val="20"/>
                <w:szCs w:val="20"/>
                <w:u w:val="single"/>
              </w:rPr>
            </w:pPr>
          </w:p>
        </w:tc>
        <w:tc>
          <w:tcPr>
            <w:tcW w:w="1872" w:type="dxa"/>
            <w:tcBorders>
              <w:top w:val="nil"/>
              <w:left w:val="nil"/>
              <w:bottom w:val="single" w:sz="4" w:space="0" w:color="auto"/>
              <w:right w:val="nil"/>
            </w:tcBorders>
            <w:shd w:val="clear" w:color="000000" w:fill="FFFFFF"/>
            <w:noWrap/>
            <w:vAlign w:val="bottom"/>
          </w:tcPr>
          <w:p w:rsidR="001A6832" w:rsidRPr="001A6832" w:rsidRDefault="001A6832" w:rsidP="00EC0B1C">
            <w:pPr>
              <w:rPr>
                <w:rFonts w:ascii="Arial" w:hAnsi="Arial" w:cs="Arial"/>
                <w:sz w:val="20"/>
                <w:szCs w:val="20"/>
                <w:u w:val="single"/>
              </w:rPr>
            </w:pPr>
          </w:p>
        </w:tc>
        <w:tc>
          <w:tcPr>
            <w:tcW w:w="315" w:type="dxa"/>
            <w:tcBorders>
              <w:top w:val="nil"/>
              <w:left w:val="nil"/>
              <w:bottom w:val="single" w:sz="4" w:space="0" w:color="auto"/>
              <w:right w:val="single" w:sz="4" w:space="0" w:color="auto"/>
            </w:tcBorders>
            <w:shd w:val="clear" w:color="000000" w:fill="FFFFFF"/>
            <w:noWrap/>
            <w:vAlign w:val="bottom"/>
          </w:tcPr>
          <w:p w:rsidR="001A6832" w:rsidRPr="001A6832" w:rsidRDefault="001A6832" w:rsidP="00EC0B1C">
            <w:pPr>
              <w:rPr>
                <w:rFonts w:ascii="Arial" w:hAnsi="Arial" w:cs="Arial"/>
                <w:sz w:val="20"/>
                <w:szCs w:val="20"/>
                <w:u w:val="single"/>
              </w:rPr>
            </w:pPr>
          </w:p>
        </w:tc>
      </w:tr>
    </w:tbl>
    <w:p w:rsidR="001A6832" w:rsidRPr="001A6832" w:rsidRDefault="001A6832" w:rsidP="00EC0B1C">
      <w:pPr>
        <w:jc w:val="both"/>
        <w:sectPr w:rsidR="001A6832" w:rsidRPr="001A6832" w:rsidSect="003D4918">
          <w:headerReference w:type="default" r:id="rId17"/>
          <w:pgSz w:w="12240" w:h="15840" w:code="1"/>
          <w:pgMar w:top="1584" w:right="1440" w:bottom="1152" w:left="1440" w:header="720" w:footer="720" w:gutter="0"/>
          <w:cols w:space="720"/>
          <w:formProt w:val="0"/>
          <w:docGrid w:linePitch="360"/>
        </w:sectPr>
      </w:pPr>
    </w:p>
    <w:tbl>
      <w:tblPr>
        <w:tblW w:w="5165" w:type="pct"/>
        <w:jc w:val="center"/>
        <w:tblLook w:val="04A0" w:firstRow="1" w:lastRow="0" w:firstColumn="1" w:lastColumn="0" w:noHBand="0" w:noVBand="1"/>
      </w:tblPr>
      <w:tblGrid>
        <w:gridCol w:w="4369"/>
        <w:gridCol w:w="784"/>
        <w:gridCol w:w="468"/>
        <w:gridCol w:w="863"/>
        <w:gridCol w:w="773"/>
        <w:gridCol w:w="934"/>
        <w:gridCol w:w="572"/>
        <w:gridCol w:w="1007"/>
        <w:gridCol w:w="1247"/>
        <w:gridCol w:w="460"/>
        <w:gridCol w:w="1911"/>
        <w:gridCol w:w="223"/>
      </w:tblGrid>
      <w:tr w:rsidR="00985C79" w:rsidRPr="006960FB" w:rsidTr="00985C79">
        <w:trPr>
          <w:gridAfter w:val="1"/>
          <w:wAfter w:w="82" w:type="pct"/>
          <w:trHeight w:val="238"/>
          <w:jc w:val="center"/>
        </w:trPr>
        <w:tc>
          <w:tcPr>
            <w:tcW w:w="1893" w:type="pct"/>
            <w:gridSpan w:val="2"/>
            <w:tcBorders>
              <w:top w:val="single" w:sz="8" w:space="0" w:color="000000"/>
              <w:left w:val="single" w:sz="8" w:space="0" w:color="000000"/>
              <w:bottom w:val="nil"/>
              <w:right w:val="nil"/>
            </w:tcBorders>
            <w:shd w:val="clear" w:color="auto" w:fill="auto"/>
            <w:noWrap/>
            <w:vAlign w:val="bottom"/>
            <w:hideMark/>
          </w:tcPr>
          <w:p w:rsidR="00985C79" w:rsidRPr="006960FB" w:rsidRDefault="00985C79" w:rsidP="00927CE3">
            <w:pPr>
              <w:rPr>
                <w:b/>
                <w:bCs/>
                <w:color w:val="000000"/>
                <w:sz w:val="20"/>
                <w:szCs w:val="20"/>
              </w:rPr>
            </w:pPr>
            <w:bookmarkStart w:id="35" w:name="RANGE!A1:F37"/>
            <w:r w:rsidRPr="006960FB">
              <w:rPr>
                <w:b/>
                <w:bCs/>
                <w:color w:val="000000"/>
                <w:sz w:val="20"/>
                <w:szCs w:val="20"/>
              </w:rPr>
              <w:lastRenderedPageBreak/>
              <w:t>NI FLORIDA, LLC.</w:t>
            </w:r>
            <w:bookmarkEnd w:id="35"/>
          </w:p>
        </w:tc>
        <w:tc>
          <w:tcPr>
            <w:tcW w:w="489" w:type="pct"/>
            <w:gridSpan w:val="2"/>
            <w:tcBorders>
              <w:top w:val="single" w:sz="8" w:space="0" w:color="000000"/>
              <w:left w:val="nil"/>
              <w:bottom w:val="nil"/>
              <w:right w:val="nil"/>
            </w:tcBorders>
            <w:shd w:val="clear" w:color="auto" w:fill="auto"/>
            <w:noWrap/>
            <w:vAlign w:val="bottom"/>
            <w:hideMark/>
          </w:tcPr>
          <w:p w:rsidR="00985C79" w:rsidRPr="006960FB" w:rsidRDefault="00985C79" w:rsidP="00927CE3">
            <w:r w:rsidRPr="006960FB">
              <w:t> </w:t>
            </w:r>
          </w:p>
        </w:tc>
        <w:tc>
          <w:tcPr>
            <w:tcW w:w="627" w:type="pct"/>
            <w:gridSpan w:val="2"/>
            <w:tcBorders>
              <w:top w:val="single" w:sz="8" w:space="0" w:color="000000"/>
              <w:left w:val="nil"/>
              <w:bottom w:val="nil"/>
              <w:right w:val="nil"/>
            </w:tcBorders>
            <w:shd w:val="clear" w:color="auto" w:fill="auto"/>
            <w:noWrap/>
            <w:vAlign w:val="bottom"/>
            <w:hideMark/>
          </w:tcPr>
          <w:p w:rsidR="00985C79" w:rsidRPr="006960FB" w:rsidRDefault="00985C79" w:rsidP="00927CE3">
            <w:r w:rsidRPr="006960FB">
              <w:t> </w:t>
            </w:r>
          </w:p>
        </w:tc>
        <w:tc>
          <w:tcPr>
            <w:tcW w:w="580" w:type="pct"/>
            <w:gridSpan w:val="2"/>
            <w:tcBorders>
              <w:top w:val="single" w:sz="8" w:space="0" w:color="000000"/>
              <w:left w:val="nil"/>
              <w:bottom w:val="nil"/>
              <w:right w:val="nil"/>
            </w:tcBorders>
            <w:shd w:val="clear" w:color="auto" w:fill="auto"/>
            <w:noWrap/>
            <w:vAlign w:val="bottom"/>
            <w:hideMark/>
          </w:tcPr>
          <w:p w:rsidR="00985C79" w:rsidRPr="006960FB" w:rsidRDefault="00985C79" w:rsidP="00927CE3">
            <w:r w:rsidRPr="006960FB">
              <w:t> </w:t>
            </w:r>
          </w:p>
        </w:tc>
        <w:tc>
          <w:tcPr>
            <w:tcW w:w="1329" w:type="pct"/>
            <w:gridSpan w:val="3"/>
            <w:tcBorders>
              <w:top w:val="single" w:sz="8" w:space="0" w:color="000000"/>
              <w:left w:val="nil"/>
              <w:bottom w:val="nil"/>
              <w:right w:val="single" w:sz="8" w:space="0" w:color="000000"/>
            </w:tcBorders>
            <w:shd w:val="clear" w:color="auto" w:fill="auto"/>
            <w:noWrap/>
            <w:vAlign w:val="bottom"/>
            <w:hideMark/>
          </w:tcPr>
          <w:p w:rsidR="00985C79" w:rsidRPr="006960FB" w:rsidRDefault="00985C79" w:rsidP="00927CE3">
            <w:pPr>
              <w:jc w:val="right"/>
              <w:rPr>
                <w:b/>
                <w:bCs/>
                <w:sz w:val="20"/>
                <w:szCs w:val="20"/>
              </w:rPr>
            </w:pPr>
            <w:r w:rsidRPr="006960FB">
              <w:rPr>
                <w:b/>
                <w:bCs/>
                <w:sz w:val="20"/>
                <w:szCs w:val="20"/>
              </w:rPr>
              <w:t>SCHEDULE NO. 4-A</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b/>
                <w:bCs/>
                <w:color w:val="000000"/>
                <w:sz w:val="20"/>
                <w:szCs w:val="20"/>
              </w:rPr>
            </w:pPr>
            <w:r w:rsidRPr="006960FB">
              <w:rPr>
                <w:b/>
                <w:bCs/>
                <w:color w:val="000000"/>
                <w:sz w:val="20"/>
                <w:szCs w:val="20"/>
              </w:rPr>
              <w:t>TEST YEAR ENDED DECEMBER 31, 2015</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rPr>
                <w:b/>
                <w:bCs/>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b/>
                <w:bCs/>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rPr>
                <w:b/>
                <w:bCs/>
                <w:color w:val="000000"/>
                <w:sz w:val="20"/>
                <w:szCs w:val="20"/>
              </w:rPr>
            </w:pPr>
          </w:p>
        </w:tc>
        <w:tc>
          <w:tcPr>
            <w:tcW w:w="1329" w:type="pct"/>
            <w:gridSpan w:val="3"/>
            <w:tcBorders>
              <w:top w:val="nil"/>
              <w:left w:val="nil"/>
              <w:bottom w:val="nil"/>
              <w:right w:val="single" w:sz="8" w:space="0" w:color="000000"/>
            </w:tcBorders>
            <w:shd w:val="clear" w:color="auto" w:fill="auto"/>
            <w:noWrap/>
            <w:vAlign w:val="bottom"/>
            <w:hideMark/>
          </w:tcPr>
          <w:p w:rsidR="00985C79" w:rsidRPr="006960FB" w:rsidRDefault="00985C79" w:rsidP="00927CE3">
            <w:pPr>
              <w:jc w:val="right"/>
              <w:rPr>
                <w:b/>
                <w:bCs/>
                <w:color w:val="000000"/>
                <w:sz w:val="20"/>
                <w:szCs w:val="20"/>
              </w:rPr>
            </w:pPr>
            <w:r w:rsidRPr="006960FB">
              <w:rPr>
                <w:b/>
                <w:bCs/>
                <w:color w:val="000000"/>
                <w:sz w:val="20"/>
                <w:szCs w:val="20"/>
              </w:rPr>
              <w:t>DOCKET NO. 160030-WS</w:t>
            </w:r>
          </w:p>
        </w:tc>
      </w:tr>
      <w:tr w:rsidR="00985C79" w:rsidRPr="006960FB" w:rsidTr="00985C79">
        <w:trPr>
          <w:gridAfter w:val="1"/>
          <w:wAfter w:w="82" w:type="pct"/>
          <w:trHeight w:val="238"/>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b/>
                <w:bCs/>
                <w:color w:val="000000"/>
                <w:sz w:val="20"/>
                <w:szCs w:val="20"/>
              </w:rPr>
            </w:pPr>
            <w:r w:rsidRPr="006960FB">
              <w:rPr>
                <w:b/>
                <w:bCs/>
                <w:color w:val="000000"/>
                <w:sz w:val="20"/>
                <w:szCs w:val="20"/>
              </w:rPr>
              <w:t>MONTHLY WATER RATES</w:t>
            </w:r>
          </w:p>
        </w:tc>
        <w:tc>
          <w:tcPr>
            <w:tcW w:w="489"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rPr>
                <w:b/>
                <w:bCs/>
                <w:color w:val="000000"/>
                <w:sz w:val="20"/>
                <w:szCs w:val="20"/>
              </w:rPr>
            </w:pPr>
            <w:r w:rsidRPr="006960FB">
              <w:rPr>
                <w:b/>
                <w:bCs/>
                <w:color w:val="000000"/>
                <w:sz w:val="20"/>
                <w:szCs w:val="20"/>
              </w:rPr>
              <w:t> </w:t>
            </w:r>
          </w:p>
        </w:tc>
        <w:tc>
          <w:tcPr>
            <w:tcW w:w="627"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rPr>
                <w:b/>
                <w:bCs/>
                <w:color w:val="000000"/>
                <w:sz w:val="20"/>
                <w:szCs w:val="20"/>
              </w:rPr>
            </w:pPr>
            <w:r w:rsidRPr="006960FB">
              <w:rPr>
                <w:b/>
                <w:bCs/>
                <w:color w:val="000000"/>
                <w:sz w:val="20"/>
                <w:szCs w:val="20"/>
              </w:rPr>
              <w:t> </w:t>
            </w:r>
          </w:p>
        </w:tc>
        <w:tc>
          <w:tcPr>
            <w:tcW w:w="580"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rPr>
                <w:b/>
                <w:bCs/>
                <w:color w:val="000000"/>
                <w:sz w:val="20"/>
                <w:szCs w:val="20"/>
              </w:rPr>
            </w:pPr>
            <w:r w:rsidRPr="006960FB">
              <w:rPr>
                <w:b/>
                <w:bCs/>
                <w:color w:val="000000"/>
                <w:sz w:val="20"/>
                <w:szCs w:val="20"/>
              </w:rPr>
              <w:t> </w:t>
            </w:r>
          </w:p>
        </w:tc>
        <w:tc>
          <w:tcPr>
            <w:tcW w:w="1329" w:type="pct"/>
            <w:gridSpan w:val="3"/>
            <w:tcBorders>
              <w:top w:val="nil"/>
              <w:left w:val="nil"/>
              <w:bottom w:val="single" w:sz="8" w:space="0" w:color="auto"/>
              <w:right w:val="single" w:sz="8" w:space="0" w:color="000000"/>
            </w:tcBorders>
            <w:shd w:val="clear" w:color="auto" w:fill="auto"/>
            <w:noWrap/>
            <w:vAlign w:val="bottom"/>
            <w:hideMark/>
          </w:tcPr>
          <w:p w:rsidR="00985C79" w:rsidRPr="006960FB" w:rsidRDefault="00985C79" w:rsidP="00927CE3">
            <w:pPr>
              <w:jc w:val="right"/>
              <w:rPr>
                <w:b/>
                <w:bCs/>
                <w:color w:val="000000"/>
                <w:sz w:val="20"/>
                <w:szCs w:val="20"/>
              </w:rPr>
            </w:pPr>
            <w:r w:rsidRPr="006960FB">
              <w:rPr>
                <w:b/>
                <w:bCs/>
                <w:color w:val="000000"/>
                <w:sz w:val="20"/>
                <w:szCs w:val="20"/>
              </w:rPr>
              <w:t> </w:t>
            </w:r>
          </w:p>
        </w:tc>
      </w:tr>
      <w:tr w:rsidR="00985C79" w:rsidRPr="006960FB" w:rsidTr="00985C79">
        <w:trPr>
          <w:gridAfter w:val="1"/>
          <w:wAfter w:w="82" w:type="pct"/>
          <w:trHeight w:val="238"/>
          <w:jc w:val="center"/>
        </w:trPr>
        <w:tc>
          <w:tcPr>
            <w:tcW w:w="1893" w:type="pct"/>
            <w:gridSpan w:val="2"/>
            <w:tcBorders>
              <w:top w:val="single" w:sz="8" w:space="0" w:color="000000"/>
              <w:left w:val="single" w:sz="8" w:space="0" w:color="000000"/>
              <w:bottom w:val="nil"/>
              <w:right w:val="nil"/>
            </w:tcBorders>
            <w:shd w:val="clear" w:color="000000" w:fill="D9D9D9"/>
            <w:noWrap/>
            <w:vAlign w:val="bottom"/>
            <w:hideMark/>
          </w:tcPr>
          <w:p w:rsidR="00985C79" w:rsidRPr="006960FB" w:rsidRDefault="00985C79" w:rsidP="00927CE3">
            <w:pPr>
              <w:rPr>
                <w:b/>
                <w:bCs/>
                <w:sz w:val="20"/>
                <w:szCs w:val="20"/>
              </w:rPr>
            </w:pPr>
            <w:r w:rsidRPr="006960FB">
              <w:rPr>
                <w:b/>
                <w:bCs/>
                <w:sz w:val="20"/>
                <w:szCs w:val="20"/>
              </w:rPr>
              <w:t> </w:t>
            </w:r>
          </w:p>
        </w:tc>
        <w:tc>
          <w:tcPr>
            <w:tcW w:w="489" w:type="pct"/>
            <w:gridSpan w:val="2"/>
            <w:tcBorders>
              <w:top w:val="nil"/>
              <w:left w:val="nil"/>
              <w:bottom w:val="nil"/>
              <w:right w:val="nil"/>
            </w:tcBorders>
            <w:shd w:val="clear" w:color="000000" w:fill="D9D9D9"/>
            <w:noWrap/>
            <w:vAlign w:val="bottom"/>
            <w:hideMark/>
          </w:tcPr>
          <w:p w:rsidR="00985C79" w:rsidRPr="006960FB" w:rsidRDefault="00985C79" w:rsidP="00927CE3">
            <w:r w:rsidRPr="006960FB">
              <w:t> </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r w:rsidRPr="006960FB">
              <w:t> </w:t>
            </w:r>
          </w:p>
        </w:tc>
        <w:tc>
          <w:tcPr>
            <w:tcW w:w="580" w:type="pct"/>
            <w:gridSpan w:val="2"/>
            <w:tcBorders>
              <w:top w:val="nil"/>
              <w:left w:val="nil"/>
              <w:bottom w:val="nil"/>
              <w:right w:val="nil"/>
            </w:tcBorders>
            <w:shd w:val="clear" w:color="000000" w:fill="D9D9D9"/>
            <w:noWrap/>
            <w:vAlign w:val="bottom"/>
            <w:hideMark/>
          </w:tcPr>
          <w:p w:rsidR="00985C79" w:rsidRPr="006960FB" w:rsidRDefault="00985C79" w:rsidP="00927CE3">
            <w:r w:rsidRPr="006960FB">
              <w:t> </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 </w:t>
            </w:r>
          </w:p>
        </w:tc>
        <w:tc>
          <w:tcPr>
            <w:tcW w:w="702" w:type="pct"/>
            <w:tcBorders>
              <w:top w:val="nil"/>
              <w:left w:val="nil"/>
              <w:bottom w:val="nil"/>
              <w:right w:val="single" w:sz="8" w:space="0" w:color="auto"/>
            </w:tcBorders>
            <w:shd w:val="clear" w:color="000000" w:fill="D9D9D9"/>
            <w:noWrap/>
            <w:vAlign w:val="bottom"/>
            <w:hideMark/>
          </w:tcPr>
          <w:p w:rsidR="00985C79" w:rsidRPr="006960FB" w:rsidRDefault="00985C79" w:rsidP="00927CE3">
            <w:pPr>
              <w:jc w:val="center"/>
              <w:rPr>
                <w:b/>
                <w:bCs/>
                <w:sz w:val="20"/>
                <w:szCs w:val="20"/>
              </w:rPr>
            </w:pPr>
            <w:r w:rsidRPr="006960FB">
              <w:rPr>
                <w:b/>
                <w:bCs/>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000000" w:fill="D9D9D9"/>
            <w:noWrap/>
            <w:vAlign w:val="bottom"/>
            <w:hideMark/>
          </w:tcPr>
          <w:p w:rsidR="00985C79" w:rsidRPr="006960FB" w:rsidRDefault="00985C79" w:rsidP="00927CE3">
            <w:pPr>
              <w:rPr>
                <w:b/>
                <w:bCs/>
                <w:sz w:val="20"/>
                <w:szCs w:val="20"/>
              </w:rPr>
            </w:pPr>
            <w:r w:rsidRPr="006960FB">
              <w:rPr>
                <w:b/>
                <w:bCs/>
                <w:sz w:val="20"/>
                <w:szCs w:val="20"/>
              </w:rPr>
              <w:t> </w:t>
            </w:r>
          </w:p>
        </w:tc>
        <w:tc>
          <w:tcPr>
            <w:tcW w:w="489"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RATES AT</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COMMISSION</w:t>
            </w:r>
          </w:p>
        </w:tc>
        <w:tc>
          <w:tcPr>
            <w:tcW w:w="580"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UTILITY</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COMMISSION</w:t>
            </w:r>
          </w:p>
        </w:tc>
        <w:tc>
          <w:tcPr>
            <w:tcW w:w="702" w:type="pct"/>
            <w:tcBorders>
              <w:top w:val="nil"/>
              <w:left w:val="nil"/>
              <w:bottom w:val="nil"/>
              <w:right w:val="single" w:sz="8" w:space="0" w:color="auto"/>
            </w:tcBorders>
            <w:shd w:val="clear" w:color="000000" w:fill="D9D9D9"/>
            <w:noWrap/>
            <w:vAlign w:val="bottom"/>
            <w:hideMark/>
          </w:tcPr>
          <w:p w:rsidR="00985C79" w:rsidRPr="006960FB" w:rsidRDefault="00985C79" w:rsidP="00927CE3">
            <w:pPr>
              <w:jc w:val="center"/>
              <w:rPr>
                <w:b/>
                <w:bCs/>
                <w:sz w:val="20"/>
                <w:szCs w:val="20"/>
              </w:rPr>
            </w:pPr>
            <w:r w:rsidRPr="006960FB">
              <w:rPr>
                <w:b/>
                <w:bCs/>
                <w:sz w:val="20"/>
                <w:szCs w:val="20"/>
              </w:rPr>
              <w:t>4 YEAR</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000000" w:fill="D9D9D9"/>
            <w:noWrap/>
            <w:vAlign w:val="bottom"/>
            <w:hideMark/>
          </w:tcPr>
          <w:p w:rsidR="00985C79" w:rsidRPr="006960FB" w:rsidRDefault="00985C79" w:rsidP="00927CE3">
            <w:pPr>
              <w:rPr>
                <w:b/>
                <w:bCs/>
                <w:sz w:val="20"/>
                <w:szCs w:val="20"/>
                <w:u w:val="single"/>
              </w:rPr>
            </w:pPr>
          </w:p>
        </w:tc>
        <w:tc>
          <w:tcPr>
            <w:tcW w:w="489"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TIME OF</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APPROVED</w:t>
            </w:r>
          </w:p>
        </w:tc>
        <w:tc>
          <w:tcPr>
            <w:tcW w:w="580"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REQUESTED</w:t>
            </w:r>
          </w:p>
        </w:tc>
        <w:tc>
          <w:tcPr>
            <w:tcW w:w="627" w:type="pct"/>
            <w:gridSpan w:val="2"/>
            <w:tcBorders>
              <w:top w:val="nil"/>
              <w:left w:val="nil"/>
              <w:bottom w:val="nil"/>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APPROVED</w:t>
            </w:r>
          </w:p>
        </w:tc>
        <w:tc>
          <w:tcPr>
            <w:tcW w:w="702" w:type="pct"/>
            <w:tcBorders>
              <w:top w:val="nil"/>
              <w:left w:val="nil"/>
              <w:bottom w:val="nil"/>
              <w:right w:val="single" w:sz="8" w:space="0" w:color="auto"/>
            </w:tcBorders>
            <w:shd w:val="clear" w:color="000000" w:fill="D9D9D9"/>
            <w:noWrap/>
            <w:vAlign w:val="bottom"/>
            <w:hideMark/>
          </w:tcPr>
          <w:p w:rsidR="00985C79" w:rsidRPr="006960FB" w:rsidRDefault="00985C79" w:rsidP="00927CE3">
            <w:pPr>
              <w:jc w:val="center"/>
              <w:rPr>
                <w:b/>
                <w:bCs/>
                <w:sz w:val="20"/>
                <w:szCs w:val="20"/>
              </w:rPr>
            </w:pPr>
            <w:r w:rsidRPr="006960FB">
              <w:rPr>
                <w:b/>
                <w:bCs/>
                <w:sz w:val="20"/>
                <w:szCs w:val="20"/>
              </w:rPr>
              <w:t>RATE</w:t>
            </w:r>
          </w:p>
        </w:tc>
      </w:tr>
      <w:tr w:rsidR="00985C79" w:rsidRPr="006960FB" w:rsidTr="00985C79">
        <w:trPr>
          <w:gridAfter w:val="1"/>
          <w:wAfter w:w="82" w:type="pct"/>
          <w:trHeight w:val="238"/>
          <w:jc w:val="center"/>
        </w:trPr>
        <w:tc>
          <w:tcPr>
            <w:tcW w:w="1893" w:type="pct"/>
            <w:gridSpan w:val="2"/>
            <w:tcBorders>
              <w:top w:val="nil"/>
              <w:left w:val="single" w:sz="8" w:space="0" w:color="000000"/>
              <w:bottom w:val="single" w:sz="8" w:space="0" w:color="000000"/>
              <w:right w:val="nil"/>
            </w:tcBorders>
            <w:shd w:val="clear" w:color="000000" w:fill="D9D9D9"/>
            <w:noWrap/>
            <w:vAlign w:val="bottom"/>
            <w:hideMark/>
          </w:tcPr>
          <w:p w:rsidR="00985C79" w:rsidRPr="006960FB" w:rsidRDefault="00985C79" w:rsidP="00927CE3">
            <w:pPr>
              <w:rPr>
                <w:b/>
                <w:bCs/>
                <w:sz w:val="20"/>
                <w:szCs w:val="20"/>
                <w:u w:val="single"/>
              </w:rPr>
            </w:pPr>
          </w:p>
        </w:tc>
        <w:tc>
          <w:tcPr>
            <w:tcW w:w="489" w:type="pct"/>
            <w:gridSpan w:val="2"/>
            <w:tcBorders>
              <w:top w:val="nil"/>
              <w:left w:val="nil"/>
              <w:bottom w:val="single" w:sz="8" w:space="0" w:color="000000"/>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FILING</w:t>
            </w:r>
          </w:p>
        </w:tc>
        <w:tc>
          <w:tcPr>
            <w:tcW w:w="627" w:type="pct"/>
            <w:gridSpan w:val="2"/>
            <w:tcBorders>
              <w:top w:val="nil"/>
              <w:left w:val="nil"/>
              <w:bottom w:val="single" w:sz="8" w:space="0" w:color="000000"/>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INTERIM</w:t>
            </w:r>
          </w:p>
        </w:tc>
        <w:tc>
          <w:tcPr>
            <w:tcW w:w="580" w:type="pct"/>
            <w:gridSpan w:val="2"/>
            <w:tcBorders>
              <w:top w:val="nil"/>
              <w:left w:val="nil"/>
              <w:bottom w:val="single" w:sz="8" w:space="0" w:color="000000"/>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RATES</w:t>
            </w:r>
          </w:p>
        </w:tc>
        <w:tc>
          <w:tcPr>
            <w:tcW w:w="627" w:type="pct"/>
            <w:gridSpan w:val="2"/>
            <w:tcBorders>
              <w:top w:val="nil"/>
              <w:left w:val="nil"/>
              <w:bottom w:val="single" w:sz="8" w:space="0" w:color="000000"/>
              <w:right w:val="nil"/>
            </w:tcBorders>
            <w:shd w:val="clear" w:color="000000" w:fill="D9D9D9"/>
            <w:noWrap/>
            <w:vAlign w:val="bottom"/>
            <w:hideMark/>
          </w:tcPr>
          <w:p w:rsidR="00985C79" w:rsidRPr="006960FB" w:rsidRDefault="00985C79" w:rsidP="00927CE3">
            <w:pPr>
              <w:jc w:val="center"/>
              <w:rPr>
                <w:b/>
                <w:bCs/>
                <w:color w:val="000000"/>
                <w:sz w:val="20"/>
                <w:szCs w:val="20"/>
              </w:rPr>
            </w:pPr>
            <w:r w:rsidRPr="006960FB">
              <w:rPr>
                <w:b/>
                <w:bCs/>
                <w:color w:val="000000"/>
                <w:sz w:val="20"/>
                <w:szCs w:val="20"/>
              </w:rPr>
              <w:t>RATES</w:t>
            </w:r>
          </w:p>
        </w:tc>
        <w:tc>
          <w:tcPr>
            <w:tcW w:w="702" w:type="pct"/>
            <w:tcBorders>
              <w:top w:val="nil"/>
              <w:left w:val="nil"/>
              <w:bottom w:val="single" w:sz="8" w:space="0" w:color="auto"/>
              <w:right w:val="single" w:sz="8" w:space="0" w:color="auto"/>
            </w:tcBorders>
            <w:shd w:val="clear" w:color="000000" w:fill="D9D9D9"/>
            <w:noWrap/>
            <w:vAlign w:val="bottom"/>
            <w:hideMark/>
          </w:tcPr>
          <w:p w:rsidR="00985C79" w:rsidRPr="006960FB" w:rsidRDefault="00985C79" w:rsidP="00927CE3">
            <w:pPr>
              <w:jc w:val="center"/>
              <w:rPr>
                <w:b/>
                <w:bCs/>
                <w:sz w:val="20"/>
                <w:szCs w:val="20"/>
              </w:rPr>
            </w:pPr>
            <w:r w:rsidRPr="006960FB">
              <w:rPr>
                <w:b/>
                <w:bCs/>
                <w:sz w:val="20"/>
                <w:szCs w:val="20"/>
              </w:rPr>
              <w:t>REDUCTION</w:t>
            </w:r>
          </w:p>
        </w:tc>
      </w:tr>
      <w:tr w:rsidR="00985C79" w:rsidRPr="006960FB" w:rsidTr="00985C79">
        <w:trPr>
          <w:gridAfter w:val="1"/>
          <w:wAfter w:w="82" w:type="pct"/>
          <w:trHeight w:val="238"/>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b/>
                <w:bCs/>
                <w:color w:val="000000"/>
                <w:sz w:val="20"/>
                <w:szCs w:val="20"/>
                <w:u w:val="single"/>
              </w:rPr>
            </w:pPr>
            <w:r w:rsidRPr="006960FB">
              <w:rPr>
                <w:b/>
                <w:bCs/>
                <w:color w:val="000000"/>
                <w:sz w:val="20"/>
                <w:szCs w:val="20"/>
                <w:u w:val="single"/>
              </w:rPr>
              <w:t>Residential and  General Service</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center"/>
              <w:rPr>
                <w:b/>
                <w:bCs/>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center"/>
              <w:rPr>
                <w:b/>
                <w:bCs/>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center"/>
              <w:rPr>
                <w:b/>
                <w:bCs/>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center"/>
              <w:rPr>
                <w:b/>
                <w:bCs/>
                <w:color w:val="000000"/>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r w:rsidRPr="006960FB">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Base Facility Charge by Meter Size</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5/8" x 3/4"</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$12.64</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$17.70</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$18.34</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$14.89</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$0.32</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3/4"</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$18.96</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$26.54</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$27.52</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$22.34</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$0.49</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1"</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$31.60</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$44.24</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$45.86</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$37.23</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$0.81</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1-1/2"</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$63.21</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$88.49</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$91.73</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$74.45</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$1.62</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2"</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$101.13</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$141.57</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$146.76</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$119.12</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$2.59</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3"</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$202.27</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$312.69</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$293.54</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$238.24</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$5.18</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4"</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$316.04</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$442.43</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$458.65</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$372.25</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$8.09</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6"</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$632.08</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$884.86</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$917.29</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$744.50</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$16.19</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8"</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$1,011.20</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$1,415.60</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$1,467.48</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$1,191.20</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$25.90</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auto"/>
              <w:bottom w:val="nil"/>
              <w:right w:val="nil"/>
            </w:tcBorders>
            <w:shd w:val="clear" w:color="auto" w:fill="auto"/>
            <w:noWrap/>
            <w:vAlign w:val="bottom"/>
            <w:hideMark/>
          </w:tcPr>
          <w:p w:rsidR="00985C79" w:rsidRPr="006960FB" w:rsidRDefault="00985C79" w:rsidP="00927CE3">
            <w:pPr>
              <w:rPr>
                <w:sz w:val="20"/>
                <w:szCs w:val="20"/>
              </w:rPr>
            </w:pPr>
            <w:r w:rsidRPr="006960FB">
              <w:rPr>
                <w:sz w:val="20"/>
                <w:szCs w:val="20"/>
              </w:rPr>
              <w:t>RV Park</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 xml:space="preserve">$1,324.36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 xml:space="preserve">$1,854.00 </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 xml:space="preserve">$1,921.95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 xml:space="preserve">$1,325.21 </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$28.81</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xml:space="preserve">Charge per 1,000 Gallons - Residential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0-3,000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$4.47</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$6.26</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$6.49</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3,001-6,000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$5.66</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$7.92</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$8.21</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Over 6,000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$7.88</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$11.03</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$11.44</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0-3,000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$6.95</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$0.15</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Over 3,000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$7.72</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$0.17</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xml:space="preserve">Charge per 1,000 Gallons - General Service </w:t>
            </w:r>
            <w:r>
              <w:rPr>
                <w:color w:val="000000"/>
                <w:sz w:val="20"/>
                <w:szCs w:val="20"/>
              </w:rPr>
              <w:t>and RV Park</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$4.81</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$6.73</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$6.98</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sz w:val="20"/>
                <w:szCs w:val="20"/>
              </w:rPr>
            </w:pPr>
            <w:r w:rsidRPr="006960FB">
              <w:rPr>
                <w:sz w:val="20"/>
                <w:szCs w:val="20"/>
              </w:rPr>
              <w:t>$7.04</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sz w:val="20"/>
                <w:szCs w:val="20"/>
              </w:rPr>
            </w:pPr>
            <w:r w:rsidRPr="006960FB">
              <w:rPr>
                <w:sz w:val="20"/>
                <w:szCs w:val="20"/>
              </w:rPr>
              <w:t>$0.15</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sz w:val="20"/>
                <w:szCs w:val="20"/>
              </w:rPr>
            </w:pPr>
            <w:r w:rsidRPr="006960FB">
              <w:rPr>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sz w:val="20"/>
                <w:szCs w:val="20"/>
              </w:rPr>
            </w:pPr>
            <w:r w:rsidRPr="006960FB">
              <w:rPr>
                <w:sz w:val="20"/>
                <w:szCs w:val="20"/>
              </w:rPr>
              <w:t> </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rPr>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b/>
                <w:bCs/>
                <w:color w:val="000000"/>
                <w:sz w:val="20"/>
                <w:szCs w:val="20"/>
                <w:u w:val="single"/>
              </w:rPr>
            </w:pPr>
            <w:r w:rsidRPr="006960FB">
              <w:rPr>
                <w:b/>
                <w:bCs/>
                <w:color w:val="000000"/>
                <w:sz w:val="20"/>
                <w:szCs w:val="20"/>
                <w:u w:val="single"/>
              </w:rPr>
              <w:t>Typical Residential 5/8" x 3/4" Meter Bill Comparison</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rPr>
                <w:sz w:val="20"/>
                <w:szCs w:val="20"/>
              </w:rPr>
            </w:pPr>
            <w:r w:rsidRPr="006960FB">
              <w:rPr>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2,000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$21.58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$30.22 </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$31.32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$28.79 </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w:t>
            </w:r>
          </w:p>
        </w:tc>
      </w:tr>
      <w:tr w:rsidR="00985C79" w:rsidRPr="006960FB" w:rsidTr="00985C79">
        <w:trPr>
          <w:gridAfter w:val="1"/>
          <w:wAfter w:w="82" w:type="pct"/>
          <w:trHeight w:val="227"/>
          <w:jc w:val="center"/>
        </w:trPr>
        <w:tc>
          <w:tcPr>
            <w:tcW w:w="1893" w:type="pct"/>
            <w:gridSpan w:val="2"/>
            <w:tcBorders>
              <w:top w:val="nil"/>
              <w:left w:val="single" w:sz="8" w:space="0" w:color="000000"/>
              <w:bottom w:val="nil"/>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6,000 Gallons</w:t>
            </w:r>
          </w:p>
        </w:tc>
        <w:tc>
          <w:tcPr>
            <w:tcW w:w="489"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$43.03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$60.24 </w:t>
            </w:r>
          </w:p>
        </w:tc>
        <w:tc>
          <w:tcPr>
            <w:tcW w:w="580"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$62.44 </w:t>
            </w:r>
          </w:p>
        </w:tc>
        <w:tc>
          <w:tcPr>
            <w:tcW w:w="627" w:type="pct"/>
            <w:gridSpan w:val="2"/>
            <w:tcBorders>
              <w:top w:val="nil"/>
              <w:left w:val="nil"/>
              <w:bottom w:val="nil"/>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$58.90 </w:t>
            </w:r>
          </w:p>
        </w:tc>
        <w:tc>
          <w:tcPr>
            <w:tcW w:w="702" w:type="pct"/>
            <w:tcBorders>
              <w:top w:val="nil"/>
              <w:left w:val="nil"/>
              <w:bottom w:val="nil"/>
              <w:right w:val="single" w:sz="8" w:space="0" w:color="auto"/>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w:t>
            </w:r>
          </w:p>
        </w:tc>
      </w:tr>
      <w:tr w:rsidR="00985C79" w:rsidRPr="006960FB" w:rsidTr="00985C79">
        <w:trPr>
          <w:gridAfter w:val="1"/>
          <w:wAfter w:w="82" w:type="pct"/>
          <w:trHeight w:val="238"/>
          <w:jc w:val="center"/>
        </w:trPr>
        <w:tc>
          <w:tcPr>
            <w:tcW w:w="1893" w:type="pct"/>
            <w:gridSpan w:val="2"/>
            <w:tcBorders>
              <w:top w:val="nil"/>
              <w:left w:val="single" w:sz="8" w:space="0" w:color="000000"/>
              <w:bottom w:val="single" w:sz="8" w:space="0" w:color="000000"/>
              <w:right w:val="nil"/>
            </w:tcBorders>
            <w:shd w:val="clear" w:color="auto" w:fill="auto"/>
            <w:noWrap/>
            <w:vAlign w:val="bottom"/>
            <w:hideMark/>
          </w:tcPr>
          <w:p w:rsidR="00985C79" w:rsidRPr="006960FB" w:rsidRDefault="00985C79" w:rsidP="00927CE3">
            <w:pPr>
              <w:rPr>
                <w:color w:val="000000"/>
                <w:sz w:val="20"/>
                <w:szCs w:val="20"/>
              </w:rPr>
            </w:pPr>
            <w:r w:rsidRPr="006960FB">
              <w:rPr>
                <w:color w:val="000000"/>
                <w:sz w:val="20"/>
                <w:szCs w:val="20"/>
              </w:rPr>
              <w:t>8,000 Gallons</w:t>
            </w:r>
          </w:p>
        </w:tc>
        <w:tc>
          <w:tcPr>
            <w:tcW w:w="489"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$58.79</w:t>
            </w:r>
          </w:p>
        </w:tc>
        <w:tc>
          <w:tcPr>
            <w:tcW w:w="627"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$82.30</w:t>
            </w:r>
          </w:p>
        </w:tc>
        <w:tc>
          <w:tcPr>
            <w:tcW w:w="580"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$85.32</w:t>
            </w:r>
          </w:p>
        </w:tc>
        <w:tc>
          <w:tcPr>
            <w:tcW w:w="627" w:type="pct"/>
            <w:gridSpan w:val="2"/>
            <w:tcBorders>
              <w:top w:val="nil"/>
              <w:left w:val="nil"/>
              <w:bottom w:val="single" w:sz="8" w:space="0" w:color="auto"/>
              <w:right w:val="nil"/>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xml:space="preserve">$74.34 </w:t>
            </w:r>
          </w:p>
        </w:tc>
        <w:tc>
          <w:tcPr>
            <w:tcW w:w="702" w:type="pct"/>
            <w:tcBorders>
              <w:top w:val="nil"/>
              <w:left w:val="nil"/>
              <w:bottom w:val="single" w:sz="8" w:space="0" w:color="000000"/>
              <w:right w:val="single" w:sz="8" w:space="0" w:color="auto"/>
            </w:tcBorders>
            <w:shd w:val="clear" w:color="auto" w:fill="auto"/>
            <w:noWrap/>
            <w:vAlign w:val="bottom"/>
            <w:hideMark/>
          </w:tcPr>
          <w:p w:rsidR="00985C79" w:rsidRPr="006960FB" w:rsidRDefault="00985C79" w:rsidP="00927CE3">
            <w:pPr>
              <w:jc w:val="right"/>
              <w:rPr>
                <w:color w:val="000000"/>
                <w:sz w:val="20"/>
                <w:szCs w:val="20"/>
              </w:rPr>
            </w:pPr>
            <w:r w:rsidRPr="006960FB">
              <w:rPr>
                <w:color w:val="000000"/>
                <w:sz w:val="20"/>
                <w:szCs w:val="20"/>
              </w:rPr>
              <w:t> </w:t>
            </w:r>
          </w:p>
        </w:tc>
      </w:tr>
      <w:tr w:rsidR="00985C79" w:rsidRPr="00985C79" w:rsidTr="00985C79">
        <w:trPr>
          <w:trHeight w:val="248"/>
          <w:jc w:val="center"/>
        </w:trPr>
        <w:tc>
          <w:tcPr>
            <w:tcW w:w="1605" w:type="pct"/>
            <w:tcBorders>
              <w:top w:val="single" w:sz="8" w:space="0" w:color="000000"/>
              <w:left w:val="single" w:sz="8" w:space="0" w:color="000000"/>
              <w:bottom w:val="nil"/>
              <w:right w:val="nil"/>
            </w:tcBorders>
            <w:shd w:val="clear" w:color="auto" w:fill="auto"/>
            <w:noWrap/>
            <w:vAlign w:val="bottom"/>
            <w:hideMark/>
          </w:tcPr>
          <w:p w:rsidR="00985C79" w:rsidRPr="00985C79" w:rsidRDefault="00985C79" w:rsidP="00985C79">
            <w:pPr>
              <w:rPr>
                <w:b/>
                <w:bCs/>
                <w:color w:val="000000"/>
                <w:sz w:val="20"/>
                <w:szCs w:val="20"/>
              </w:rPr>
            </w:pPr>
            <w:r w:rsidRPr="00985C79">
              <w:rPr>
                <w:b/>
                <w:bCs/>
                <w:color w:val="000000"/>
                <w:sz w:val="20"/>
                <w:szCs w:val="20"/>
              </w:rPr>
              <w:lastRenderedPageBreak/>
              <w:t>NI FLORIDA, LLC.</w:t>
            </w:r>
          </w:p>
        </w:tc>
        <w:tc>
          <w:tcPr>
            <w:tcW w:w="460" w:type="pct"/>
            <w:gridSpan w:val="2"/>
            <w:tcBorders>
              <w:top w:val="single" w:sz="8" w:space="0" w:color="000000"/>
              <w:left w:val="nil"/>
              <w:bottom w:val="nil"/>
              <w:right w:val="nil"/>
            </w:tcBorders>
            <w:shd w:val="clear" w:color="auto" w:fill="auto"/>
            <w:noWrap/>
            <w:vAlign w:val="bottom"/>
            <w:hideMark/>
          </w:tcPr>
          <w:p w:rsidR="00985C79" w:rsidRPr="00985C79" w:rsidRDefault="00985C79" w:rsidP="00985C79">
            <w:r w:rsidRPr="00985C79">
              <w:t> </w:t>
            </w:r>
          </w:p>
        </w:tc>
        <w:tc>
          <w:tcPr>
            <w:tcW w:w="601" w:type="pct"/>
            <w:gridSpan w:val="2"/>
            <w:tcBorders>
              <w:top w:val="single" w:sz="8" w:space="0" w:color="000000"/>
              <w:left w:val="nil"/>
              <w:bottom w:val="nil"/>
              <w:right w:val="nil"/>
            </w:tcBorders>
            <w:shd w:val="clear" w:color="auto" w:fill="auto"/>
            <w:noWrap/>
            <w:vAlign w:val="bottom"/>
            <w:hideMark/>
          </w:tcPr>
          <w:p w:rsidR="00985C79" w:rsidRPr="00985C79" w:rsidRDefault="00985C79" w:rsidP="00985C79">
            <w:r w:rsidRPr="00985C79">
              <w:t> </w:t>
            </w:r>
          </w:p>
        </w:tc>
        <w:tc>
          <w:tcPr>
            <w:tcW w:w="553" w:type="pct"/>
            <w:gridSpan w:val="2"/>
            <w:tcBorders>
              <w:top w:val="single" w:sz="8" w:space="0" w:color="000000"/>
              <w:left w:val="nil"/>
              <w:bottom w:val="nil"/>
              <w:right w:val="nil"/>
            </w:tcBorders>
            <w:shd w:val="clear" w:color="auto" w:fill="auto"/>
            <w:noWrap/>
            <w:vAlign w:val="bottom"/>
            <w:hideMark/>
          </w:tcPr>
          <w:p w:rsidR="00985C79" w:rsidRPr="00985C79" w:rsidRDefault="00985C79" w:rsidP="00985C79">
            <w:r w:rsidRPr="00985C79">
              <w:t> </w:t>
            </w:r>
          </w:p>
        </w:tc>
        <w:tc>
          <w:tcPr>
            <w:tcW w:w="1781" w:type="pct"/>
            <w:gridSpan w:val="5"/>
            <w:tcBorders>
              <w:top w:val="single" w:sz="8" w:space="0" w:color="000000"/>
              <w:left w:val="nil"/>
              <w:bottom w:val="nil"/>
              <w:right w:val="single" w:sz="8" w:space="0" w:color="000000"/>
            </w:tcBorders>
            <w:shd w:val="clear" w:color="auto" w:fill="auto"/>
            <w:noWrap/>
            <w:vAlign w:val="bottom"/>
            <w:hideMark/>
          </w:tcPr>
          <w:p w:rsidR="00985C79" w:rsidRPr="00985C79" w:rsidRDefault="00985C79" w:rsidP="00985C79">
            <w:pPr>
              <w:jc w:val="right"/>
              <w:rPr>
                <w:b/>
                <w:bCs/>
                <w:sz w:val="20"/>
                <w:szCs w:val="20"/>
              </w:rPr>
            </w:pPr>
            <w:r w:rsidRPr="00985C79">
              <w:rPr>
                <w:b/>
                <w:bCs/>
                <w:sz w:val="20"/>
                <w:szCs w:val="20"/>
              </w:rPr>
              <w:t>SCHEDULE NO. 4-B</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b/>
                <w:bCs/>
                <w:color w:val="000000"/>
                <w:sz w:val="20"/>
                <w:szCs w:val="20"/>
              </w:rPr>
            </w:pPr>
            <w:r w:rsidRPr="00985C79">
              <w:rPr>
                <w:b/>
                <w:bCs/>
                <w:color w:val="000000"/>
                <w:sz w:val="20"/>
                <w:szCs w:val="20"/>
              </w:rPr>
              <w:t>TEST YEAR ENDED DECEMBER 31, 2015</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rPr>
                <w:b/>
                <w:bCs/>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rPr>
                <w:rFonts w:ascii="Arial" w:hAnsi="Arial" w:cs="Arial"/>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b/>
                <w:bCs/>
                <w:color w:val="000000"/>
                <w:sz w:val="20"/>
                <w:szCs w:val="20"/>
              </w:rPr>
            </w:pPr>
            <w:r w:rsidRPr="00985C79">
              <w:rPr>
                <w:b/>
                <w:bCs/>
                <w:color w:val="000000"/>
                <w:sz w:val="20"/>
                <w:szCs w:val="20"/>
              </w:rPr>
              <w:t>DOCKET NO. 160030-WS</w:t>
            </w:r>
          </w:p>
        </w:tc>
      </w:tr>
      <w:tr w:rsidR="00985C79" w:rsidRPr="00985C79" w:rsidTr="00985C79">
        <w:trPr>
          <w:trHeight w:val="248"/>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b/>
                <w:bCs/>
                <w:color w:val="000000"/>
                <w:sz w:val="20"/>
                <w:szCs w:val="20"/>
              </w:rPr>
            </w:pPr>
            <w:r w:rsidRPr="00985C79">
              <w:rPr>
                <w:b/>
                <w:bCs/>
                <w:color w:val="000000"/>
                <w:sz w:val="20"/>
                <w:szCs w:val="20"/>
              </w:rPr>
              <w:t xml:space="preserve">MONTHLY WASTEWATER RATES </w:t>
            </w:r>
          </w:p>
        </w:tc>
        <w:tc>
          <w:tcPr>
            <w:tcW w:w="460" w:type="pct"/>
            <w:gridSpan w:val="2"/>
            <w:tcBorders>
              <w:top w:val="nil"/>
              <w:left w:val="nil"/>
              <w:bottom w:val="single" w:sz="8" w:space="0" w:color="auto"/>
              <w:right w:val="nil"/>
            </w:tcBorders>
            <w:shd w:val="clear" w:color="auto" w:fill="auto"/>
            <w:noWrap/>
            <w:vAlign w:val="bottom"/>
            <w:hideMark/>
          </w:tcPr>
          <w:p w:rsidR="00985C79" w:rsidRPr="00985C79" w:rsidRDefault="00985C79" w:rsidP="00985C79">
            <w:pPr>
              <w:rPr>
                <w:b/>
                <w:bCs/>
                <w:color w:val="000000"/>
                <w:sz w:val="20"/>
                <w:szCs w:val="20"/>
              </w:rPr>
            </w:pPr>
            <w:r w:rsidRPr="00985C79">
              <w:rPr>
                <w:b/>
                <w:bCs/>
                <w:color w:val="000000"/>
                <w:sz w:val="20"/>
                <w:szCs w:val="20"/>
              </w:rPr>
              <w:t> </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rPr>
                <w:rFonts w:ascii="Arial" w:hAnsi="Arial" w:cs="Arial"/>
              </w:rPr>
            </w:pPr>
          </w:p>
        </w:tc>
        <w:tc>
          <w:tcPr>
            <w:tcW w:w="953" w:type="pct"/>
            <w:gridSpan w:val="3"/>
            <w:tcBorders>
              <w:top w:val="nil"/>
              <w:left w:val="nil"/>
              <w:bottom w:val="single" w:sz="8" w:space="0" w:color="auto"/>
              <w:right w:val="single" w:sz="8" w:space="0" w:color="auto"/>
            </w:tcBorders>
            <w:shd w:val="clear" w:color="auto" w:fill="auto"/>
            <w:noWrap/>
            <w:vAlign w:val="bottom"/>
            <w:hideMark/>
          </w:tcPr>
          <w:p w:rsidR="00985C79" w:rsidRPr="00985C79" w:rsidRDefault="00985C79" w:rsidP="00985C79">
            <w:pPr>
              <w:rPr>
                <w:rFonts w:ascii="Arial" w:hAnsi="Arial" w:cs="Arial"/>
              </w:rPr>
            </w:pPr>
            <w:r w:rsidRPr="00985C79">
              <w:rPr>
                <w:rFonts w:ascii="Arial" w:hAnsi="Arial" w:cs="Arial"/>
              </w:rPr>
              <w:t> </w:t>
            </w:r>
          </w:p>
        </w:tc>
      </w:tr>
      <w:tr w:rsidR="00985C79" w:rsidRPr="00985C79" w:rsidTr="00985C79">
        <w:trPr>
          <w:trHeight w:val="248"/>
          <w:jc w:val="center"/>
        </w:trPr>
        <w:tc>
          <w:tcPr>
            <w:tcW w:w="1605" w:type="pct"/>
            <w:tcBorders>
              <w:top w:val="single" w:sz="8" w:space="0" w:color="000000"/>
              <w:left w:val="single" w:sz="8" w:space="0" w:color="000000"/>
              <w:bottom w:val="nil"/>
              <w:right w:val="nil"/>
            </w:tcBorders>
            <w:shd w:val="clear" w:color="000000" w:fill="D9D9D9"/>
            <w:noWrap/>
            <w:vAlign w:val="bottom"/>
            <w:hideMark/>
          </w:tcPr>
          <w:p w:rsidR="00985C79" w:rsidRPr="00985C79" w:rsidRDefault="00985C79" w:rsidP="00985C79">
            <w:pPr>
              <w:rPr>
                <w:b/>
                <w:bCs/>
                <w:sz w:val="20"/>
                <w:szCs w:val="20"/>
              </w:rPr>
            </w:pPr>
            <w:r w:rsidRPr="00985C79">
              <w:rPr>
                <w:b/>
                <w:bCs/>
                <w:sz w:val="20"/>
                <w:szCs w:val="20"/>
              </w:rPr>
              <w:t> </w:t>
            </w:r>
          </w:p>
        </w:tc>
        <w:tc>
          <w:tcPr>
            <w:tcW w:w="460" w:type="pct"/>
            <w:gridSpan w:val="2"/>
            <w:tcBorders>
              <w:top w:val="nil"/>
              <w:left w:val="nil"/>
              <w:bottom w:val="nil"/>
              <w:right w:val="nil"/>
            </w:tcBorders>
            <w:shd w:val="clear" w:color="000000" w:fill="D9D9D9"/>
            <w:noWrap/>
            <w:vAlign w:val="bottom"/>
            <w:hideMark/>
          </w:tcPr>
          <w:p w:rsidR="00985C79" w:rsidRPr="00985C79" w:rsidRDefault="00985C79" w:rsidP="00985C79">
            <w:r w:rsidRPr="00985C79">
              <w:t> </w:t>
            </w:r>
          </w:p>
        </w:tc>
        <w:tc>
          <w:tcPr>
            <w:tcW w:w="601" w:type="pct"/>
            <w:gridSpan w:val="2"/>
            <w:tcBorders>
              <w:top w:val="single" w:sz="8" w:space="0" w:color="auto"/>
              <w:left w:val="nil"/>
              <w:bottom w:val="nil"/>
              <w:right w:val="nil"/>
            </w:tcBorders>
            <w:shd w:val="clear" w:color="000000" w:fill="D9D9D9"/>
            <w:noWrap/>
            <w:vAlign w:val="bottom"/>
            <w:hideMark/>
          </w:tcPr>
          <w:p w:rsidR="00985C79" w:rsidRPr="00985C79" w:rsidRDefault="00985C79" w:rsidP="00985C79">
            <w:r w:rsidRPr="00985C79">
              <w:t> </w:t>
            </w:r>
          </w:p>
        </w:tc>
        <w:tc>
          <w:tcPr>
            <w:tcW w:w="553" w:type="pct"/>
            <w:gridSpan w:val="2"/>
            <w:tcBorders>
              <w:top w:val="single" w:sz="8" w:space="0" w:color="auto"/>
              <w:left w:val="nil"/>
              <w:bottom w:val="nil"/>
              <w:right w:val="nil"/>
            </w:tcBorders>
            <w:shd w:val="clear" w:color="000000" w:fill="D9D9D9"/>
            <w:noWrap/>
            <w:vAlign w:val="bottom"/>
            <w:hideMark/>
          </w:tcPr>
          <w:p w:rsidR="00985C79" w:rsidRPr="00985C79" w:rsidRDefault="00985C79" w:rsidP="00985C79">
            <w:r w:rsidRPr="00985C79">
              <w:t> </w:t>
            </w:r>
          </w:p>
        </w:tc>
        <w:tc>
          <w:tcPr>
            <w:tcW w:w="828" w:type="pct"/>
            <w:gridSpan w:val="2"/>
            <w:tcBorders>
              <w:top w:val="single" w:sz="8" w:space="0" w:color="auto"/>
              <w:left w:val="nil"/>
              <w:bottom w:val="nil"/>
              <w:right w:val="nil"/>
            </w:tcBorders>
            <w:shd w:val="clear" w:color="000000" w:fill="D9D9D9"/>
            <w:noWrap/>
            <w:vAlign w:val="bottom"/>
            <w:hideMark/>
          </w:tcPr>
          <w:p w:rsidR="00985C79" w:rsidRPr="00985C79" w:rsidRDefault="00985C79" w:rsidP="00985C79">
            <w:r w:rsidRPr="00985C79">
              <w:t> </w:t>
            </w:r>
          </w:p>
        </w:tc>
        <w:tc>
          <w:tcPr>
            <w:tcW w:w="953" w:type="pct"/>
            <w:gridSpan w:val="3"/>
            <w:tcBorders>
              <w:top w:val="nil"/>
              <w:left w:val="nil"/>
              <w:bottom w:val="nil"/>
              <w:right w:val="single" w:sz="8" w:space="0" w:color="auto"/>
            </w:tcBorders>
            <w:shd w:val="clear" w:color="000000" w:fill="D9D9D9"/>
            <w:noWrap/>
            <w:vAlign w:val="bottom"/>
            <w:hideMark/>
          </w:tcPr>
          <w:p w:rsidR="00985C79" w:rsidRPr="00985C79" w:rsidRDefault="00985C79" w:rsidP="00985C79">
            <w:pPr>
              <w:jc w:val="center"/>
              <w:rPr>
                <w:b/>
                <w:bCs/>
                <w:sz w:val="20"/>
                <w:szCs w:val="20"/>
              </w:rPr>
            </w:pPr>
            <w:r w:rsidRPr="00985C79">
              <w:rPr>
                <w:b/>
                <w:bCs/>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000000" w:fill="D9D9D9"/>
            <w:noWrap/>
            <w:vAlign w:val="bottom"/>
            <w:hideMark/>
          </w:tcPr>
          <w:p w:rsidR="00985C79" w:rsidRPr="00985C79" w:rsidRDefault="00985C79" w:rsidP="00985C79">
            <w:pPr>
              <w:rPr>
                <w:b/>
                <w:bCs/>
                <w:sz w:val="20"/>
                <w:szCs w:val="20"/>
              </w:rPr>
            </w:pPr>
            <w:r w:rsidRPr="00985C79">
              <w:rPr>
                <w:b/>
                <w:bCs/>
                <w:sz w:val="20"/>
                <w:szCs w:val="20"/>
              </w:rPr>
              <w:t> </w:t>
            </w:r>
          </w:p>
        </w:tc>
        <w:tc>
          <w:tcPr>
            <w:tcW w:w="460"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RATES AT</w:t>
            </w:r>
          </w:p>
        </w:tc>
        <w:tc>
          <w:tcPr>
            <w:tcW w:w="601"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COMMISSION</w:t>
            </w:r>
          </w:p>
        </w:tc>
        <w:tc>
          <w:tcPr>
            <w:tcW w:w="553"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UTILITY</w:t>
            </w:r>
          </w:p>
        </w:tc>
        <w:tc>
          <w:tcPr>
            <w:tcW w:w="828"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COMMISSION</w:t>
            </w:r>
          </w:p>
        </w:tc>
        <w:tc>
          <w:tcPr>
            <w:tcW w:w="953" w:type="pct"/>
            <w:gridSpan w:val="3"/>
            <w:tcBorders>
              <w:top w:val="nil"/>
              <w:left w:val="nil"/>
              <w:bottom w:val="nil"/>
              <w:right w:val="single" w:sz="8" w:space="0" w:color="auto"/>
            </w:tcBorders>
            <w:shd w:val="clear" w:color="000000" w:fill="D9D9D9"/>
            <w:noWrap/>
            <w:vAlign w:val="bottom"/>
            <w:hideMark/>
          </w:tcPr>
          <w:p w:rsidR="00985C79" w:rsidRPr="00985C79" w:rsidRDefault="00985C79" w:rsidP="00985C79">
            <w:pPr>
              <w:jc w:val="center"/>
              <w:rPr>
                <w:b/>
                <w:bCs/>
                <w:sz w:val="20"/>
                <w:szCs w:val="20"/>
              </w:rPr>
            </w:pPr>
            <w:r w:rsidRPr="00985C79">
              <w:rPr>
                <w:b/>
                <w:bCs/>
                <w:sz w:val="20"/>
                <w:szCs w:val="20"/>
              </w:rPr>
              <w:t>4 YEAR</w:t>
            </w:r>
          </w:p>
        </w:tc>
      </w:tr>
      <w:tr w:rsidR="00985C79" w:rsidRPr="00985C79" w:rsidTr="00985C79">
        <w:trPr>
          <w:trHeight w:val="237"/>
          <w:jc w:val="center"/>
        </w:trPr>
        <w:tc>
          <w:tcPr>
            <w:tcW w:w="1605" w:type="pct"/>
            <w:tcBorders>
              <w:top w:val="nil"/>
              <w:left w:val="single" w:sz="8" w:space="0" w:color="000000"/>
              <w:bottom w:val="nil"/>
              <w:right w:val="nil"/>
            </w:tcBorders>
            <w:shd w:val="clear" w:color="000000" w:fill="D9D9D9"/>
            <w:noWrap/>
            <w:vAlign w:val="bottom"/>
            <w:hideMark/>
          </w:tcPr>
          <w:p w:rsidR="00985C79" w:rsidRPr="00985C79" w:rsidRDefault="00985C79" w:rsidP="00985C79">
            <w:pPr>
              <w:rPr>
                <w:b/>
                <w:bCs/>
                <w:sz w:val="20"/>
                <w:szCs w:val="20"/>
                <w:u w:val="single"/>
              </w:rPr>
            </w:pPr>
          </w:p>
        </w:tc>
        <w:tc>
          <w:tcPr>
            <w:tcW w:w="460"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TIME OF</w:t>
            </w:r>
          </w:p>
        </w:tc>
        <w:tc>
          <w:tcPr>
            <w:tcW w:w="601"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APPROVED</w:t>
            </w:r>
          </w:p>
        </w:tc>
        <w:tc>
          <w:tcPr>
            <w:tcW w:w="553"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REQUESTED</w:t>
            </w:r>
          </w:p>
        </w:tc>
        <w:tc>
          <w:tcPr>
            <w:tcW w:w="828" w:type="pct"/>
            <w:gridSpan w:val="2"/>
            <w:tcBorders>
              <w:top w:val="nil"/>
              <w:left w:val="nil"/>
              <w:bottom w:val="nil"/>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APPROVED</w:t>
            </w:r>
          </w:p>
        </w:tc>
        <w:tc>
          <w:tcPr>
            <w:tcW w:w="953" w:type="pct"/>
            <w:gridSpan w:val="3"/>
            <w:tcBorders>
              <w:top w:val="nil"/>
              <w:left w:val="nil"/>
              <w:bottom w:val="nil"/>
              <w:right w:val="single" w:sz="8" w:space="0" w:color="auto"/>
            </w:tcBorders>
            <w:shd w:val="clear" w:color="000000" w:fill="D9D9D9"/>
            <w:noWrap/>
            <w:vAlign w:val="bottom"/>
            <w:hideMark/>
          </w:tcPr>
          <w:p w:rsidR="00985C79" w:rsidRPr="00985C79" w:rsidRDefault="00985C79" w:rsidP="00985C79">
            <w:pPr>
              <w:jc w:val="center"/>
              <w:rPr>
                <w:b/>
                <w:bCs/>
                <w:sz w:val="20"/>
                <w:szCs w:val="20"/>
              </w:rPr>
            </w:pPr>
            <w:r w:rsidRPr="00985C79">
              <w:rPr>
                <w:b/>
                <w:bCs/>
                <w:sz w:val="20"/>
                <w:szCs w:val="20"/>
              </w:rPr>
              <w:t>RATE</w:t>
            </w:r>
          </w:p>
        </w:tc>
      </w:tr>
      <w:tr w:rsidR="00985C79" w:rsidRPr="00985C79" w:rsidTr="00985C79">
        <w:trPr>
          <w:trHeight w:val="248"/>
          <w:jc w:val="center"/>
        </w:trPr>
        <w:tc>
          <w:tcPr>
            <w:tcW w:w="1605" w:type="pct"/>
            <w:tcBorders>
              <w:top w:val="nil"/>
              <w:left w:val="single" w:sz="8" w:space="0" w:color="000000"/>
              <w:bottom w:val="single" w:sz="8" w:space="0" w:color="000000"/>
              <w:right w:val="nil"/>
            </w:tcBorders>
            <w:shd w:val="clear" w:color="000000" w:fill="D9D9D9"/>
            <w:noWrap/>
            <w:vAlign w:val="bottom"/>
            <w:hideMark/>
          </w:tcPr>
          <w:p w:rsidR="00985C79" w:rsidRPr="00985C79" w:rsidRDefault="00985C79" w:rsidP="00985C79">
            <w:pPr>
              <w:rPr>
                <w:b/>
                <w:bCs/>
                <w:sz w:val="20"/>
                <w:szCs w:val="20"/>
                <w:u w:val="single"/>
              </w:rPr>
            </w:pPr>
          </w:p>
        </w:tc>
        <w:tc>
          <w:tcPr>
            <w:tcW w:w="460" w:type="pct"/>
            <w:gridSpan w:val="2"/>
            <w:tcBorders>
              <w:top w:val="nil"/>
              <w:left w:val="nil"/>
              <w:bottom w:val="single" w:sz="8" w:space="0" w:color="000000"/>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FILING</w:t>
            </w:r>
          </w:p>
        </w:tc>
        <w:tc>
          <w:tcPr>
            <w:tcW w:w="601" w:type="pct"/>
            <w:gridSpan w:val="2"/>
            <w:tcBorders>
              <w:top w:val="nil"/>
              <w:left w:val="nil"/>
              <w:bottom w:val="single" w:sz="8" w:space="0" w:color="000000"/>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INTERIM</w:t>
            </w:r>
          </w:p>
        </w:tc>
        <w:tc>
          <w:tcPr>
            <w:tcW w:w="553" w:type="pct"/>
            <w:gridSpan w:val="2"/>
            <w:tcBorders>
              <w:top w:val="nil"/>
              <w:left w:val="nil"/>
              <w:bottom w:val="single" w:sz="8" w:space="0" w:color="000000"/>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RATES</w:t>
            </w:r>
          </w:p>
        </w:tc>
        <w:tc>
          <w:tcPr>
            <w:tcW w:w="828" w:type="pct"/>
            <w:gridSpan w:val="2"/>
            <w:tcBorders>
              <w:top w:val="nil"/>
              <w:left w:val="nil"/>
              <w:bottom w:val="single" w:sz="8" w:space="0" w:color="000000"/>
              <w:right w:val="nil"/>
            </w:tcBorders>
            <w:shd w:val="clear" w:color="000000" w:fill="D9D9D9"/>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RATES</w:t>
            </w:r>
          </w:p>
        </w:tc>
        <w:tc>
          <w:tcPr>
            <w:tcW w:w="953" w:type="pct"/>
            <w:gridSpan w:val="3"/>
            <w:tcBorders>
              <w:top w:val="nil"/>
              <w:left w:val="nil"/>
              <w:bottom w:val="single" w:sz="8" w:space="0" w:color="auto"/>
              <w:right w:val="single" w:sz="8" w:space="0" w:color="auto"/>
            </w:tcBorders>
            <w:shd w:val="clear" w:color="000000" w:fill="D9D9D9"/>
            <w:noWrap/>
            <w:vAlign w:val="bottom"/>
            <w:hideMark/>
          </w:tcPr>
          <w:p w:rsidR="00985C79" w:rsidRPr="00985C79" w:rsidRDefault="00985C79" w:rsidP="00985C79">
            <w:pPr>
              <w:jc w:val="center"/>
              <w:rPr>
                <w:b/>
                <w:bCs/>
                <w:sz w:val="20"/>
                <w:szCs w:val="20"/>
              </w:rPr>
            </w:pPr>
            <w:r w:rsidRPr="00985C79">
              <w:rPr>
                <w:b/>
                <w:bCs/>
                <w:sz w:val="20"/>
                <w:szCs w:val="20"/>
              </w:rPr>
              <w:t>REDUCTION</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b/>
                <w:bCs/>
                <w:sz w:val="20"/>
                <w:szCs w:val="20"/>
                <w:u w:val="single"/>
              </w:rPr>
            </w:pPr>
            <w:r w:rsidRPr="00985C79">
              <w:rPr>
                <w:b/>
                <w:bCs/>
                <w:sz w:val="20"/>
                <w:szCs w:val="20"/>
                <w:u w:val="single"/>
              </w:rPr>
              <w:t>Residential</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r w:rsidRPr="00985C79">
              <w:rPr>
                <w:b/>
                <w:bCs/>
                <w:color w:val="000000"/>
                <w:sz w:val="20"/>
                <w:szCs w:val="20"/>
              </w:rPr>
              <w:t> </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Base Facility Charge - All Meter Sizes</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 </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 xml:space="preserve">Charge Per 1,000 gallons </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$20.95 </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$24.66 </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$26.12 </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$25.91 </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$0.27</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6,000 gallon cap</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$6.87 </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$0.07</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8,000 gallon cap</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$6.87 </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$8.09 </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$8.56 </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u w:val="single"/>
              </w:rPr>
            </w:pP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b/>
                <w:bCs/>
                <w:color w:val="000000"/>
                <w:sz w:val="20"/>
                <w:szCs w:val="20"/>
                <w:u w:val="single"/>
              </w:rPr>
            </w:pPr>
            <w:r w:rsidRPr="00985C79">
              <w:rPr>
                <w:b/>
                <w:bCs/>
                <w:color w:val="000000"/>
                <w:sz w:val="20"/>
                <w:szCs w:val="20"/>
                <w:u w:val="single"/>
              </w:rPr>
              <w:t>General Service</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center"/>
              <w:rPr>
                <w:b/>
                <w:bCs/>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Base Facility Charge by Meter Size</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5/8" x 3/4"</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$20.95</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$24.66</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$26.12</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$25.91</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$0.27</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3/4"</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$31.43</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$36.99</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$39.18</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$38.87</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$0.41</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1"</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$52.38</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$61.65</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$65.30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$64.78</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$0.68</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1-1/2"</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$105.46</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$123.30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$130.60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$129.55</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$1.35</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2"</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$167.64</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$197.28</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$208.96</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$207.28</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$2.16</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3"</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$335.27</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$394.56</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$391.80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$414.56</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$4.33</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4"</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$523.86</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$616.50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$653.00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$647.75</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$6.76</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6"</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$1,047.73</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$1,233.00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$1,306.00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$1,295.50</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$13.52</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8"</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$1,676.37</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$1,972.80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$2,089.60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$2,072.80</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$21.63</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10"</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$2,409.78</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$2,835.90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$3,003.80</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$2,979.65</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$31.10</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Mobile Home Park - 4"</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$523.86</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$9.70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$10.27</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$9,845.80</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$102.76</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Condominiums - 6"</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$1,047.73</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$1,233.00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N/A</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$5,207.91</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$54.35</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 </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Charge per 1,000 Gallons - General Service</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$8.24</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$9.70</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$10.27</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$8.24</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sz w:val="20"/>
                <w:szCs w:val="20"/>
              </w:rPr>
            </w:pPr>
            <w:r w:rsidRPr="00985C79">
              <w:rPr>
                <w:sz w:val="20"/>
                <w:szCs w:val="20"/>
              </w:rPr>
              <w:t>$0.09</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sz w:val="20"/>
                <w:szCs w:val="20"/>
              </w:rPr>
            </w:pPr>
            <w:r w:rsidRPr="00985C79">
              <w:rPr>
                <w:sz w:val="20"/>
                <w:szCs w:val="20"/>
              </w:rPr>
              <w:t> </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2065" w:type="pct"/>
            <w:gridSpan w:val="3"/>
            <w:tcBorders>
              <w:top w:val="nil"/>
              <w:left w:val="single" w:sz="8" w:space="0" w:color="000000"/>
              <w:bottom w:val="nil"/>
              <w:right w:val="nil"/>
            </w:tcBorders>
            <w:shd w:val="clear" w:color="auto" w:fill="auto"/>
            <w:noWrap/>
            <w:vAlign w:val="bottom"/>
            <w:hideMark/>
          </w:tcPr>
          <w:p w:rsidR="00985C79" w:rsidRPr="00985C79" w:rsidRDefault="00985C79" w:rsidP="00985C79">
            <w:pPr>
              <w:rPr>
                <w:b/>
                <w:bCs/>
                <w:color w:val="000000"/>
                <w:sz w:val="20"/>
                <w:szCs w:val="20"/>
                <w:u w:val="single"/>
              </w:rPr>
            </w:pPr>
            <w:r w:rsidRPr="00985C79">
              <w:rPr>
                <w:b/>
                <w:bCs/>
                <w:color w:val="000000"/>
                <w:sz w:val="20"/>
                <w:szCs w:val="20"/>
                <w:u w:val="single"/>
              </w:rPr>
              <w:t>Typical Residential 5/8" x 3/4" Meter Bill Comparison</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rPr>
                <w:sz w:val="20"/>
                <w:szCs w:val="20"/>
              </w:rPr>
            </w:pPr>
            <w:r w:rsidRPr="00985C79">
              <w:rPr>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2,000 Gallons</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$34.69 </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$40.84 </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$43.23 </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$39.65 </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w:t>
            </w:r>
          </w:p>
        </w:tc>
      </w:tr>
      <w:tr w:rsidR="00985C79" w:rsidRPr="00985C79" w:rsidTr="00985C79">
        <w:trPr>
          <w:trHeight w:val="237"/>
          <w:jc w:val="center"/>
        </w:trPr>
        <w:tc>
          <w:tcPr>
            <w:tcW w:w="1605" w:type="pct"/>
            <w:tcBorders>
              <w:top w:val="nil"/>
              <w:left w:val="single" w:sz="8" w:space="0" w:color="000000"/>
              <w:bottom w:val="nil"/>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6,000 Gallons</w:t>
            </w:r>
          </w:p>
        </w:tc>
        <w:tc>
          <w:tcPr>
            <w:tcW w:w="460"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$62.17 </w:t>
            </w:r>
          </w:p>
        </w:tc>
        <w:tc>
          <w:tcPr>
            <w:tcW w:w="601"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$73.20 </w:t>
            </w:r>
          </w:p>
        </w:tc>
        <w:tc>
          <w:tcPr>
            <w:tcW w:w="553"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$77.47 </w:t>
            </w:r>
          </w:p>
        </w:tc>
        <w:tc>
          <w:tcPr>
            <w:tcW w:w="828" w:type="pct"/>
            <w:gridSpan w:val="2"/>
            <w:tcBorders>
              <w:top w:val="nil"/>
              <w:left w:val="nil"/>
              <w:bottom w:val="nil"/>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$67.13 </w:t>
            </w:r>
          </w:p>
        </w:tc>
        <w:tc>
          <w:tcPr>
            <w:tcW w:w="953" w:type="pct"/>
            <w:gridSpan w:val="3"/>
            <w:tcBorders>
              <w:top w:val="nil"/>
              <w:left w:val="nil"/>
              <w:bottom w:val="nil"/>
              <w:right w:val="single" w:sz="8" w:space="0" w:color="auto"/>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w:t>
            </w:r>
          </w:p>
        </w:tc>
      </w:tr>
      <w:tr w:rsidR="00985C79" w:rsidRPr="00985C79" w:rsidTr="00985C79">
        <w:trPr>
          <w:trHeight w:val="248"/>
          <w:jc w:val="center"/>
        </w:trPr>
        <w:tc>
          <w:tcPr>
            <w:tcW w:w="1605" w:type="pct"/>
            <w:tcBorders>
              <w:top w:val="nil"/>
              <w:left w:val="single" w:sz="8" w:space="0" w:color="000000"/>
              <w:bottom w:val="single" w:sz="8" w:space="0" w:color="000000"/>
              <w:right w:val="nil"/>
            </w:tcBorders>
            <w:shd w:val="clear" w:color="auto" w:fill="auto"/>
            <w:noWrap/>
            <w:vAlign w:val="bottom"/>
            <w:hideMark/>
          </w:tcPr>
          <w:p w:rsidR="00985C79" w:rsidRPr="00985C79" w:rsidRDefault="00985C79" w:rsidP="00985C79">
            <w:pPr>
              <w:rPr>
                <w:color w:val="000000"/>
                <w:sz w:val="20"/>
                <w:szCs w:val="20"/>
              </w:rPr>
            </w:pPr>
            <w:r w:rsidRPr="00985C79">
              <w:rPr>
                <w:color w:val="000000"/>
                <w:sz w:val="20"/>
                <w:szCs w:val="20"/>
              </w:rPr>
              <w:t>8,000 Gallons</w:t>
            </w:r>
          </w:p>
        </w:tc>
        <w:tc>
          <w:tcPr>
            <w:tcW w:w="460" w:type="pct"/>
            <w:gridSpan w:val="2"/>
            <w:tcBorders>
              <w:top w:val="nil"/>
              <w:left w:val="nil"/>
              <w:bottom w:val="single" w:sz="8" w:space="0" w:color="000000"/>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$62.17 </w:t>
            </w:r>
          </w:p>
        </w:tc>
        <w:tc>
          <w:tcPr>
            <w:tcW w:w="601" w:type="pct"/>
            <w:gridSpan w:val="2"/>
            <w:tcBorders>
              <w:top w:val="nil"/>
              <w:left w:val="nil"/>
              <w:bottom w:val="single" w:sz="8" w:space="0" w:color="000000"/>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$73.20 </w:t>
            </w:r>
          </w:p>
        </w:tc>
        <w:tc>
          <w:tcPr>
            <w:tcW w:w="553" w:type="pct"/>
            <w:gridSpan w:val="2"/>
            <w:tcBorders>
              <w:top w:val="nil"/>
              <w:left w:val="nil"/>
              <w:bottom w:val="single" w:sz="8" w:space="0" w:color="000000"/>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$77.47 </w:t>
            </w:r>
          </w:p>
        </w:tc>
        <w:tc>
          <w:tcPr>
            <w:tcW w:w="828" w:type="pct"/>
            <w:gridSpan w:val="2"/>
            <w:tcBorders>
              <w:top w:val="nil"/>
              <w:left w:val="nil"/>
              <w:bottom w:val="single" w:sz="8" w:space="0" w:color="000000"/>
              <w:right w:val="nil"/>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xml:space="preserve">$68.90 </w:t>
            </w:r>
          </w:p>
        </w:tc>
        <w:tc>
          <w:tcPr>
            <w:tcW w:w="953" w:type="pct"/>
            <w:gridSpan w:val="3"/>
            <w:tcBorders>
              <w:top w:val="nil"/>
              <w:left w:val="nil"/>
              <w:bottom w:val="single" w:sz="8" w:space="0" w:color="000000"/>
              <w:right w:val="single" w:sz="8" w:space="0" w:color="auto"/>
            </w:tcBorders>
            <w:shd w:val="clear" w:color="auto" w:fill="auto"/>
            <w:noWrap/>
            <w:vAlign w:val="bottom"/>
            <w:hideMark/>
          </w:tcPr>
          <w:p w:rsidR="00985C79" w:rsidRPr="00985C79" w:rsidRDefault="00985C79" w:rsidP="00985C79">
            <w:pPr>
              <w:jc w:val="right"/>
              <w:rPr>
                <w:color w:val="000000"/>
                <w:sz w:val="20"/>
                <w:szCs w:val="20"/>
              </w:rPr>
            </w:pPr>
            <w:r w:rsidRPr="00985C79">
              <w:rPr>
                <w:color w:val="000000"/>
                <w:sz w:val="20"/>
                <w:szCs w:val="20"/>
              </w:rPr>
              <w:t> </w:t>
            </w:r>
          </w:p>
        </w:tc>
      </w:tr>
    </w:tbl>
    <w:p w:rsidR="00CB5276" w:rsidRDefault="00CB5276" w:rsidP="00EC0B1C"/>
    <w:sectPr w:rsidR="00CB5276" w:rsidSect="00272DC2">
      <w:headerReference w:type="default" r:id="rId18"/>
      <w:headerReference w:type="first" r:id="rId1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E3" w:rsidRDefault="00927CE3">
      <w:r>
        <w:separator/>
      </w:r>
    </w:p>
  </w:endnote>
  <w:endnote w:type="continuationSeparator" w:id="0">
    <w:p w:rsidR="00927CE3" w:rsidRDefault="009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pPr>
      <w:pStyle w:val="Footer"/>
    </w:pPr>
  </w:p>
  <w:p w:rsidR="00927CE3" w:rsidRDefault="00927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E3" w:rsidRDefault="00927CE3">
      <w:r>
        <w:separator/>
      </w:r>
    </w:p>
  </w:footnote>
  <w:footnote w:type="continuationSeparator" w:id="0">
    <w:p w:rsidR="00927CE3" w:rsidRDefault="00927CE3">
      <w:r>
        <w:continuationSeparator/>
      </w:r>
    </w:p>
  </w:footnote>
  <w:footnote w:id="1">
    <w:p w:rsidR="00927CE3" w:rsidRDefault="00927CE3" w:rsidP="001A6832">
      <w:pPr>
        <w:pStyle w:val="FootnoteText"/>
      </w:pPr>
      <w:r>
        <w:rPr>
          <w:rStyle w:val="FootnoteReference"/>
        </w:rPr>
        <w:footnoteRef/>
      </w:r>
      <w:r>
        <w:t xml:space="preserve">Order No. PSC-13-0611-PAA-WS, issued November 19, 2013, in Docket No. 130010-WS, </w:t>
      </w:r>
      <w:r w:rsidRPr="003D4918">
        <w:rPr>
          <w:u w:val="single"/>
        </w:rPr>
        <w:t>In re: Application for increase in water rates in Lee County and wastewater rates in Pasco County by Ni Florida, LLC.</w:t>
      </w:r>
    </w:p>
  </w:footnote>
  <w:footnote w:id="2">
    <w:p w:rsidR="00927CE3" w:rsidRDefault="00927CE3" w:rsidP="001A6832">
      <w:pPr>
        <w:pStyle w:val="FootnoteText"/>
      </w:pPr>
      <w:r>
        <w:rPr>
          <w:rStyle w:val="FootnoteReference"/>
        </w:rPr>
        <w:footnoteRef/>
      </w:r>
      <w:r>
        <w:t>Document No. 07117-16</w:t>
      </w:r>
    </w:p>
  </w:footnote>
  <w:footnote w:id="3">
    <w:p w:rsidR="00927CE3" w:rsidRDefault="00927CE3" w:rsidP="001A6832">
      <w:pPr>
        <w:pStyle w:val="FootnoteText"/>
      </w:pPr>
      <w:r>
        <w:rPr>
          <w:rStyle w:val="FootnoteReference"/>
        </w:rPr>
        <w:footnoteRef/>
      </w:r>
      <w:r>
        <w:t>Document No. 07475-16</w:t>
      </w:r>
    </w:p>
  </w:footnote>
  <w:footnote w:id="4">
    <w:p w:rsidR="00927CE3" w:rsidRDefault="00927CE3" w:rsidP="001A6832">
      <w:pPr>
        <w:pStyle w:val="FootnoteText"/>
      </w:pPr>
      <w:r>
        <w:rPr>
          <w:rStyle w:val="FootnoteReference"/>
        </w:rPr>
        <w:footnoteRef/>
      </w:r>
      <w:r>
        <w:t>Document Nos. 06552-16 (Rate Case Audit) and 06553-16 (Audit of Affiliate Transactions).</w:t>
      </w:r>
    </w:p>
  </w:footnote>
  <w:footnote w:id="5">
    <w:p w:rsidR="00927CE3" w:rsidRDefault="00927CE3" w:rsidP="001A6832">
      <w:pPr>
        <w:pStyle w:val="FootnoteText"/>
      </w:pPr>
      <w:r>
        <w:rPr>
          <w:rStyle w:val="FootnoteReference"/>
        </w:rPr>
        <w:footnoteRef/>
      </w:r>
      <w:r w:rsidRPr="001A6832">
        <w:rPr>
          <w:rFonts w:eastAsia="Calibri"/>
        </w:rPr>
        <w:t>Order No. PSC-13-0611-PAA-WS, p.17.</w:t>
      </w:r>
    </w:p>
  </w:footnote>
  <w:footnote w:id="6">
    <w:p w:rsidR="00927CE3" w:rsidRDefault="00927CE3" w:rsidP="001A6832">
      <w:pPr>
        <w:pStyle w:val="FootnoteText"/>
      </w:pPr>
      <w:r w:rsidRPr="0080123F">
        <w:rPr>
          <w:rStyle w:val="FootnoteReference"/>
        </w:rPr>
        <w:footnoteRef/>
      </w:r>
      <w:r w:rsidRPr="0080123F">
        <w:t xml:space="preserve"> D</w:t>
      </w:r>
      <w:r>
        <w:t>ocument No. 08250-16, filed October 14, 2016.</w:t>
      </w:r>
    </w:p>
  </w:footnote>
  <w:footnote w:id="7">
    <w:p w:rsidR="00927CE3" w:rsidRPr="001275D5" w:rsidRDefault="00927CE3" w:rsidP="001A6832">
      <w:pPr>
        <w:pStyle w:val="FootnoteText"/>
      </w:pPr>
      <w:r w:rsidRPr="001275D5">
        <w:rPr>
          <w:rStyle w:val="FootnoteReference"/>
        </w:rPr>
        <w:footnoteRef/>
      </w:r>
      <w:r w:rsidRPr="001A6832">
        <w:rPr>
          <w:rFonts w:eastAsia="Calibri"/>
        </w:rPr>
        <w:t xml:space="preserve">Order No. PSC-13-0611-PAA-WS, </w:t>
      </w:r>
      <w:r w:rsidRPr="001275D5">
        <w:t>pp.13-14</w:t>
      </w:r>
    </w:p>
  </w:footnote>
  <w:footnote w:id="8">
    <w:p w:rsidR="00927CE3" w:rsidRPr="001275D5" w:rsidRDefault="00927CE3" w:rsidP="001A6832">
      <w:pPr>
        <w:pStyle w:val="FootnoteText"/>
      </w:pPr>
      <w:r w:rsidRPr="001275D5">
        <w:rPr>
          <w:rStyle w:val="FootnoteReference"/>
        </w:rPr>
        <w:footnoteRef/>
      </w:r>
      <w:r w:rsidRPr="001275D5">
        <w:t xml:space="preserve">Document No. 07734-16, filed September 22, 2016. </w:t>
      </w:r>
    </w:p>
  </w:footnote>
  <w:footnote w:id="9">
    <w:p w:rsidR="00927CE3" w:rsidRPr="001A6832" w:rsidRDefault="00927CE3" w:rsidP="001A6832">
      <w:pPr>
        <w:pStyle w:val="FootnoteText"/>
        <w:rPr>
          <w:rFonts w:ascii="Calibri" w:hAnsi="Calibri" w:cs="Calibri"/>
        </w:rPr>
      </w:pPr>
      <w:r w:rsidRPr="001275D5">
        <w:rPr>
          <w:rStyle w:val="FootnoteReference"/>
        </w:rPr>
        <w:footnoteRef/>
      </w:r>
      <w:r w:rsidRPr="001A6832">
        <w:rPr>
          <w:rFonts w:eastAsia="Calibri"/>
        </w:rPr>
        <w:t>Audit workpaper 44-3.3 identified a Texas employee with the title of Office Manager whose job duties were very similar to the Office Manager position listed above. This employee was one of several employees whose salaries and benefits were excluded from overhead.</w:t>
      </w:r>
      <w:r w:rsidRPr="002D6F3D">
        <w:t xml:space="preserve">  The Texas office manager’s duties follow: </w:t>
      </w:r>
      <w:r w:rsidRPr="001A6832">
        <w:rPr>
          <w:rFonts w:eastAsia="Calibri"/>
        </w:rPr>
        <w:t>Ms. Rotermund is responsible for managing the Houston office for corporate employees of Ni America. She orders supplies, coordinates mailroom activities, assists with preparing expense reports, and assists other employees as needed.</w:t>
      </w:r>
      <w:r w:rsidRPr="001A6832">
        <w:rPr>
          <w:rFonts w:ascii="Calibri" w:eastAsia="Calibri" w:hAnsi="Calibri" w:cs="Calibri"/>
        </w:rPr>
        <w:t xml:space="preserve"> </w:t>
      </w:r>
    </w:p>
  </w:footnote>
  <w:footnote w:id="10">
    <w:p w:rsidR="00927CE3" w:rsidRDefault="00927CE3" w:rsidP="001A6832">
      <w:pPr>
        <w:pStyle w:val="FootnoteText"/>
      </w:pPr>
      <w:r>
        <w:rPr>
          <w:rStyle w:val="FootnoteReference"/>
        </w:rPr>
        <w:footnoteRef/>
      </w:r>
      <w:r>
        <w:t>Document No. 07638-16, filed September 19, 2016.</w:t>
      </w:r>
    </w:p>
  </w:footnote>
  <w:footnote w:id="11">
    <w:p w:rsidR="00927CE3" w:rsidRDefault="00927CE3" w:rsidP="001A6832">
      <w:pPr>
        <w:pStyle w:val="FootnoteText"/>
      </w:pPr>
      <w:r>
        <w:rPr>
          <w:rStyle w:val="FootnoteReference"/>
        </w:rPr>
        <w:footnoteRef/>
      </w:r>
      <w:r>
        <w:t>Bid contained numerous exclusions, including landscaping, fencing, fees &amp; permits, and fencing.</w:t>
      </w:r>
    </w:p>
  </w:footnote>
  <w:footnote w:id="12">
    <w:p w:rsidR="00927CE3" w:rsidRPr="009935CD" w:rsidRDefault="00927CE3" w:rsidP="001A6832">
      <w:pPr>
        <w:autoSpaceDE w:val="0"/>
        <w:autoSpaceDN w:val="0"/>
        <w:adjustRightInd w:val="0"/>
        <w:jc w:val="both"/>
        <w:rPr>
          <w:sz w:val="20"/>
          <w:szCs w:val="20"/>
          <w:u w:val="single"/>
        </w:rPr>
      </w:pPr>
      <w:r w:rsidRPr="0088268C">
        <w:rPr>
          <w:rStyle w:val="FootnoteReference"/>
          <w:sz w:val="20"/>
          <w:szCs w:val="20"/>
        </w:rPr>
        <w:footnoteRef/>
      </w:r>
      <w:r w:rsidRPr="00E020D6">
        <w:rPr>
          <w:sz w:val="20"/>
          <w:szCs w:val="20"/>
        </w:rPr>
        <w:t xml:space="preserve">Order Nos. </w:t>
      </w:r>
      <w:r w:rsidRPr="001A6832">
        <w:rPr>
          <w:rFonts w:eastAsia="Calibri"/>
          <w:sz w:val="20"/>
          <w:szCs w:val="20"/>
        </w:rPr>
        <w:t xml:space="preserve">PSC-13-0187-PAA-WS, issued May 2, 2013, in Docket No. 120152-WS, </w:t>
      </w:r>
      <w:r w:rsidRPr="001A6832">
        <w:rPr>
          <w:rFonts w:eastAsia="Calibri"/>
          <w:i/>
          <w:sz w:val="20"/>
          <w:szCs w:val="20"/>
        </w:rPr>
        <w:t>I</w:t>
      </w:r>
      <w:r w:rsidRPr="009935CD">
        <w:rPr>
          <w:rFonts w:eastAsia="Calibri"/>
          <w:sz w:val="20"/>
          <w:szCs w:val="20"/>
          <w:u w:val="single"/>
        </w:rPr>
        <w:t>n re: Application for increase in water and wastewater rates in Orange County by Pluris Wedgefield, Inc.</w:t>
      </w:r>
      <w:r w:rsidRPr="001A6832">
        <w:rPr>
          <w:rFonts w:eastAsia="Calibri"/>
          <w:sz w:val="20"/>
          <w:szCs w:val="20"/>
        </w:rPr>
        <w:t xml:space="preserve">; </w:t>
      </w:r>
      <w:r w:rsidRPr="00E020D6">
        <w:rPr>
          <w:sz w:val="20"/>
          <w:szCs w:val="20"/>
        </w:rPr>
        <w:t xml:space="preserve">PSC-11-0587-PAA-SU, issued December 21, 2011, in Docket No. 110153-SU, </w:t>
      </w:r>
      <w:r w:rsidRPr="009935CD">
        <w:rPr>
          <w:sz w:val="20"/>
          <w:szCs w:val="20"/>
          <w:u w:val="single"/>
        </w:rPr>
        <w:t>In re: Application for increase in wastewater rates in Lee County by Utilities. Inc. of Eagle Ridge</w:t>
      </w:r>
      <w:r w:rsidRPr="00E020D6">
        <w:rPr>
          <w:sz w:val="20"/>
          <w:szCs w:val="20"/>
        </w:rPr>
        <w:t xml:space="preserve">; PSC-10-0585-PAA-WS, issued September 22, 2010, in Docket No. 090462-WS, </w:t>
      </w:r>
      <w:r w:rsidRPr="009935CD">
        <w:rPr>
          <w:sz w:val="20"/>
          <w:szCs w:val="20"/>
          <w:u w:val="single"/>
        </w:rPr>
        <w:t>In re: Application for increase in water and wastewater rates in Marion. Orange, Pasco. Pinellas and Seminole Counties by Utilities, Inc. of Florida</w:t>
      </w:r>
      <w:r w:rsidRPr="00E020D6">
        <w:rPr>
          <w:sz w:val="20"/>
          <w:szCs w:val="20"/>
        </w:rPr>
        <w:t xml:space="preserve">; PSC-09-0632-PAA-WU, issued September 17, 2009, in Docket No. 080353-WU, </w:t>
      </w:r>
      <w:r w:rsidRPr="009935CD">
        <w:rPr>
          <w:sz w:val="20"/>
          <w:szCs w:val="20"/>
          <w:u w:val="single"/>
        </w:rPr>
        <w:t>In re: Application for increase in water rates in Highlands County by Placid Lakes Utilities. Inc.</w:t>
      </w:r>
      <w:r w:rsidRPr="00E020D6">
        <w:rPr>
          <w:sz w:val="20"/>
          <w:szCs w:val="20"/>
        </w:rPr>
        <w:t xml:space="preserve">; and PSC-05-0624-PAA-WS, issued June 7, 2005, in Docket No. 040450-WS, </w:t>
      </w:r>
      <w:r w:rsidRPr="009935CD">
        <w:rPr>
          <w:sz w:val="20"/>
          <w:szCs w:val="20"/>
          <w:u w:val="single"/>
        </w:rPr>
        <w:t>In re: Application for rate increase in Martin County by Indiantown Company, Inc.</w:t>
      </w:r>
    </w:p>
  </w:footnote>
  <w:footnote w:id="13">
    <w:p w:rsidR="00927CE3" w:rsidRPr="004700BB" w:rsidRDefault="00927CE3" w:rsidP="001A6832">
      <w:pPr>
        <w:pStyle w:val="FootnoteText"/>
      </w:pPr>
      <w:r>
        <w:rPr>
          <w:rStyle w:val="FootnoteReference"/>
        </w:rPr>
        <w:footnoteRef/>
      </w:r>
      <w:r>
        <w:t xml:space="preserve">Order No. </w:t>
      </w:r>
      <w:r w:rsidRPr="00F61F80">
        <w:t>PSC-93-0455-NOR-WS</w:t>
      </w:r>
      <w:r>
        <w:t xml:space="preserve">, issued on March 24, 1993, in Docket No. 911082-WS, </w:t>
      </w:r>
      <w:r w:rsidRPr="004700BB">
        <w:rPr>
          <w:u w:val="single"/>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w:t>
      </w:r>
      <w:r w:rsidRPr="004700BB">
        <w:rPr>
          <w:i/>
          <w:u w:val="single"/>
        </w:rPr>
        <w:t xml:space="preserve">; </w:t>
      </w:r>
      <w:r w:rsidRPr="004700BB">
        <w:rPr>
          <w:u w:val="single"/>
        </w:rPr>
        <w:t>and repeal of Rule 25-30.441, F.A.C., pertaining to water and wastewater regulation</w:t>
      </w:r>
      <w:r w:rsidRPr="004700BB">
        <w:t>, at p. 102</w:t>
      </w:r>
    </w:p>
  </w:footnote>
  <w:footnote w:id="14">
    <w:p w:rsidR="00927CE3" w:rsidRPr="004700BB" w:rsidRDefault="00927CE3" w:rsidP="001A6832">
      <w:pPr>
        <w:autoSpaceDE w:val="0"/>
        <w:autoSpaceDN w:val="0"/>
        <w:adjustRightInd w:val="0"/>
        <w:jc w:val="both"/>
        <w:rPr>
          <w:u w:val="single"/>
        </w:rPr>
      </w:pPr>
      <w:r w:rsidRPr="001D3EEA">
        <w:rPr>
          <w:rStyle w:val="FootnoteReference"/>
          <w:sz w:val="20"/>
          <w:szCs w:val="20"/>
        </w:rPr>
        <w:footnoteRef/>
      </w:r>
      <w:r w:rsidRPr="001D3EEA">
        <w:rPr>
          <w:rFonts w:cs="Calibri"/>
          <w:sz w:val="20"/>
          <w:szCs w:val="20"/>
        </w:rPr>
        <w:t xml:space="preserve">Order Nos. PSC-09-0057-FOF-SU, issued January 27, 2009, in Docket No. 070293-SU, </w:t>
      </w:r>
      <w:r w:rsidRPr="004700BB">
        <w:rPr>
          <w:rFonts w:cs="Calibri"/>
          <w:sz w:val="20"/>
          <w:szCs w:val="20"/>
          <w:u w:val="single"/>
        </w:rPr>
        <w:t xml:space="preserve">In re: Application for increase in </w:t>
      </w:r>
      <w:r w:rsidRPr="004700BB">
        <w:rPr>
          <w:rFonts w:eastAsia="HiddenHorzOCR" w:cs="Calibri"/>
          <w:sz w:val="20"/>
          <w:szCs w:val="20"/>
          <w:u w:val="single"/>
        </w:rPr>
        <w:t xml:space="preserve">wastewater </w:t>
      </w:r>
      <w:r w:rsidRPr="004700BB">
        <w:rPr>
          <w:rFonts w:cs="Calibri"/>
          <w:sz w:val="20"/>
          <w:szCs w:val="20"/>
          <w:u w:val="single"/>
        </w:rPr>
        <w:t>rates in Monroe County by K W Resort Utilities Corp.</w:t>
      </w:r>
      <w:r w:rsidRPr="001D3EEA">
        <w:rPr>
          <w:rFonts w:cs="Calibri"/>
          <w:sz w:val="20"/>
          <w:szCs w:val="20"/>
        </w:rPr>
        <w:t xml:space="preserve">; PSC-04-0369-AS-EI, issued April 6, 2004, in Docket No. 030438-EI, </w:t>
      </w:r>
      <w:r w:rsidRPr="004700BB">
        <w:rPr>
          <w:rFonts w:cs="Calibri"/>
          <w:sz w:val="20"/>
          <w:szCs w:val="20"/>
          <w:u w:val="single"/>
        </w:rPr>
        <w:t>In re: Petition for rate increase by Florida Public Utilities Company</w:t>
      </w:r>
      <w:r w:rsidRPr="001D3EEA">
        <w:rPr>
          <w:rFonts w:cs="Calibri"/>
          <w:sz w:val="20"/>
          <w:szCs w:val="20"/>
        </w:rPr>
        <w:t>; and PSC-010326-FOF-SU, issued February 6,2001, in Docket No. 991643-SU,</w:t>
      </w:r>
      <w:r w:rsidRPr="004700BB">
        <w:rPr>
          <w:rFonts w:cs="Calibri"/>
          <w:sz w:val="20"/>
          <w:szCs w:val="20"/>
        </w:rPr>
        <w:t xml:space="preserve"> </w:t>
      </w:r>
      <w:r w:rsidRPr="004700BB">
        <w:rPr>
          <w:rFonts w:cs="Calibri"/>
          <w:sz w:val="20"/>
          <w:szCs w:val="20"/>
          <w:u w:val="single"/>
        </w:rPr>
        <w:t>In re: Application for increase in wastewater rates in Seven Springs System in Pasco County by Aloha Utilities, Inc.</w:t>
      </w:r>
    </w:p>
  </w:footnote>
  <w:footnote w:id="15">
    <w:p w:rsidR="00927CE3" w:rsidRPr="001D3EEA" w:rsidRDefault="00927CE3" w:rsidP="001A6832">
      <w:pPr>
        <w:autoSpaceDE w:val="0"/>
        <w:autoSpaceDN w:val="0"/>
        <w:adjustRightInd w:val="0"/>
        <w:jc w:val="both"/>
        <w:rPr>
          <w:sz w:val="20"/>
          <w:szCs w:val="20"/>
        </w:rPr>
      </w:pPr>
      <w:r w:rsidRPr="006E7182">
        <w:rPr>
          <w:rStyle w:val="FootnoteReference"/>
          <w:rFonts w:cs="Calibri"/>
          <w:sz w:val="20"/>
          <w:szCs w:val="20"/>
        </w:rPr>
        <w:footnoteRef/>
      </w:r>
      <w:r w:rsidRPr="001D3EEA">
        <w:rPr>
          <w:sz w:val="20"/>
          <w:szCs w:val="20"/>
        </w:rPr>
        <w:t>O</w:t>
      </w:r>
      <w:r w:rsidRPr="001A6832">
        <w:rPr>
          <w:rFonts w:eastAsia="Calibri"/>
          <w:sz w:val="20"/>
          <w:szCs w:val="20"/>
        </w:rPr>
        <w:t xml:space="preserve">rder No. </w:t>
      </w:r>
      <w:r w:rsidRPr="001A6832">
        <w:rPr>
          <w:rFonts w:eastAsia="Calibri"/>
          <w:sz w:val="19"/>
          <w:szCs w:val="19"/>
        </w:rPr>
        <w:t xml:space="preserve">PSC-13-0611-P </w:t>
      </w:r>
      <w:r w:rsidRPr="001A6832">
        <w:rPr>
          <w:rFonts w:eastAsia="Calibri"/>
          <w:sz w:val="20"/>
          <w:szCs w:val="20"/>
        </w:rPr>
        <w:t>AA-</w:t>
      </w:r>
      <w:r w:rsidRPr="001A6832">
        <w:rPr>
          <w:rFonts w:eastAsia="Calibri"/>
          <w:sz w:val="19"/>
          <w:szCs w:val="19"/>
        </w:rPr>
        <w:t>WS,</w:t>
      </w:r>
      <w:r w:rsidRPr="001A6832">
        <w:rPr>
          <w:rFonts w:eastAsia="Calibri"/>
          <w:sz w:val="23"/>
          <w:szCs w:val="23"/>
        </w:rPr>
        <w:t xml:space="preserve"> </w:t>
      </w:r>
      <w:r w:rsidRPr="001A6832">
        <w:rPr>
          <w:rFonts w:eastAsia="Calibri"/>
          <w:sz w:val="19"/>
          <w:szCs w:val="19"/>
        </w:rPr>
        <w:t>p.20.</w:t>
      </w:r>
    </w:p>
  </w:footnote>
  <w:footnote w:id="16">
    <w:p w:rsidR="00927CE3" w:rsidRPr="002F0984" w:rsidRDefault="00927CE3" w:rsidP="001A6832">
      <w:pPr>
        <w:pStyle w:val="FootnoteText"/>
        <w:rPr>
          <w:u w:val="single"/>
        </w:rPr>
      </w:pPr>
      <w:r w:rsidRPr="0087082E">
        <w:rPr>
          <w:rStyle w:val="FootnoteReference"/>
        </w:rPr>
        <w:footnoteRef/>
      </w:r>
      <w:r w:rsidRPr="0087082E">
        <w:t xml:space="preserve">Order No. </w:t>
      </w:r>
      <w:r w:rsidRPr="001A6832">
        <w:rPr>
          <w:rFonts w:eastAsia="Calibri"/>
        </w:rPr>
        <w:t>PSC-16-0254-PAA-WS</w:t>
      </w:r>
      <w:r w:rsidRPr="0087082E">
        <w:t xml:space="preserve">, issued June 29, 2016, in Docket No. 160006-WS, </w:t>
      </w:r>
      <w:r w:rsidRPr="002F0984">
        <w:rPr>
          <w:u w:val="single"/>
        </w:rPr>
        <w:t>In re: Water and wastewater industry annual reestablishment of authorized range of return on common equity for water and wastewater utilities pursuant to Section 367.081(4) (f), Florida Statutes.</w:t>
      </w:r>
    </w:p>
  </w:footnote>
  <w:footnote w:id="17">
    <w:p w:rsidR="00927CE3" w:rsidRPr="001A6832" w:rsidRDefault="00927CE3" w:rsidP="001A6832">
      <w:pPr>
        <w:pStyle w:val="FootnoteText"/>
        <w:rPr>
          <w:rFonts w:ascii="Calibri" w:hAnsi="Calibri" w:cs="Calibri"/>
        </w:rPr>
      </w:pPr>
      <w:r w:rsidRPr="00F54A49">
        <w:rPr>
          <w:rStyle w:val="FootnoteReference"/>
        </w:rPr>
        <w:footnoteRef/>
      </w:r>
      <w:r w:rsidRPr="00F54A49">
        <w:t>Document No. 07251-16, filed on September 1, 2016</w:t>
      </w:r>
      <w:r w:rsidRPr="001A6832">
        <w:rPr>
          <w:rFonts w:ascii="Calibri" w:hAnsi="Calibri" w:cs="Calibri"/>
        </w:rPr>
        <w:t>.</w:t>
      </w:r>
    </w:p>
  </w:footnote>
  <w:footnote w:id="18">
    <w:p w:rsidR="00927CE3" w:rsidRDefault="00927CE3" w:rsidP="001A6832">
      <w:pPr>
        <w:pStyle w:val="FootnoteText"/>
      </w:pPr>
      <w:r>
        <w:rPr>
          <w:rStyle w:val="FootnoteReference"/>
        </w:rPr>
        <w:footnoteRef/>
      </w:r>
      <w:r>
        <w:t xml:space="preserve">Document No. 07475-16, filed September 13, 2016. </w:t>
      </w:r>
    </w:p>
  </w:footnote>
  <w:footnote w:id="19">
    <w:p w:rsidR="00927CE3" w:rsidRPr="00767588" w:rsidRDefault="00927CE3" w:rsidP="001A6832">
      <w:pPr>
        <w:pStyle w:val="FootnoteText"/>
        <w:rPr>
          <w:u w:val="single"/>
        </w:rPr>
      </w:pPr>
      <w:r>
        <w:rPr>
          <w:rStyle w:val="FootnoteReference"/>
        </w:rPr>
        <w:footnoteRef/>
      </w:r>
      <w:r>
        <w:t xml:space="preserve">Order Nos. PSC-05-0624-PAA-WS, issued June 7, 2005, in Docket No. 040450-WS, </w:t>
      </w:r>
      <w:r w:rsidRPr="00767588">
        <w:rPr>
          <w:u w:val="single"/>
        </w:rPr>
        <w:t>In re: Application for rate increase in Martin County by Indiantown Company, Inc.</w:t>
      </w:r>
      <w:r>
        <w:t xml:space="preserve">; and PSC-01-0326-FOF-SU, issued February 6, 2001, in Docket No. 991643-SU, </w:t>
      </w:r>
      <w:r w:rsidRPr="00767588">
        <w:rPr>
          <w:u w:val="single"/>
        </w:rPr>
        <w:t>In re: Application for increase in wastewater rates in Seven Springs System in Pasco County by Aloha Utilities, Inc.</w:t>
      </w:r>
    </w:p>
  </w:footnote>
  <w:footnote w:id="20">
    <w:p w:rsidR="00927CE3" w:rsidRDefault="00927CE3" w:rsidP="001A6832">
      <w:pPr>
        <w:pStyle w:val="FootnoteText"/>
      </w:pPr>
      <w:r>
        <w:rPr>
          <w:rStyle w:val="FootnoteReference"/>
        </w:rPr>
        <w:footnoteRef/>
      </w:r>
      <w:r>
        <w:t>Document No. 07475-16.</w:t>
      </w:r>
    </w:p>
  </w:footnote>
  <w:footnote w:id="21">
    <w:p w:rsidR="00927CE3" w:rsidRDefault="00927CE3" w:rsidP="001A6832">
      <w:pPr>
        <w:pStyle w:val="FootnoteText"/>
      </w:pPr>
      <w:r>
        <w:rPr>
          <w:rStyle w:val="FootnoteReference"/>
        </w:rPr>
        <w:footnoteRef/>
      </w:r>
      <w:r>
        <w:t>Document No. 00366-16, filed on January 21, 2016.</w:t>
      </w:r>
    </w:p>
  </w:footnote>
  <w:footnote w:id="22">
    <w:p w:rsidR="00927CE3" w:rsidRDefault="00927CE3" w:rsidP="001A6832">
      <w:pPr>
        <w:pStyle w:val="FootnoteText"/>
      </w:pPr>
      <w:r>
        <w:rPr>
          <w:rStyle w:val="FootnoteReference"/>
        </w:rPr>
        <w:footnoteRef/>
      </w:r>
      <w:r w:rsidRPr="00CB02C5">
        <w:t>Order No. PSC-13-0611-PAA-WS, p.19.</w:t>
      </w:r>
    </w:p>
  </w:footnote>
  <w:footnote w:id="23">
    <w:p w:rsidR="00927CE3" w:rsidRPr="00A4533B" w:rsidRDefault="00927CE3" w:rsidP="001A6832">
      <w:pPr>
        <w:autoSpaceDE w:val="0"/>
        <w:autoSpaceDN w:val="0"/>
        <w:adjustRightInd w:val="0"/>
        <w:jc w:val="both"/>
        <w:rPr>
          <w:sz w:val="20"/>
          <w:szCs w:val="20"/>
        </w:rPr>
      </w:pPr>
      <w:r w:rsidRPr="00A4533B">
        <w:rPr>
          <w:rStyle w:val="FootnoteReference"/>
          <w:sz w:val="20"/>
          <w:szCs w:val="20"/>
        </w:rPr>
        <w:footnoteRef/>
      </w:r>
      <w:r w:rsidRPr="001A6832">
        <w:rPr>
          <w:rFonts w:eastAsia="Calibri"/>
          <w:sz w:val="20"/>
          <w:szCs w:val="20"/>
        </w:rPr>
        <w:t xml:space="preserve">Order No. PSC-14-0025-PAA-WS issued January 10, 2014, in Docket No. 120209-WS, </w:t>
      </w:r>
      <w:r w:rsidRPr="005D1AD3">
        <w:rPr>
          <w:rFonts w:eastAsia="Calibri"/>
          <w:iCs/>
          <w:sz w:val="20"/>
          <w:szCs w:val="20"/>
          <w:u w:val="single"/>
        </w:rPr>
        <w:t>In re: Application for increase in water and wastewater rates in Marion, Orange, Pasco, Pinellas, and Seminole Counties by Utilities, Inc. of Florida</w:t>
      </w:r>
      <w:r w:rsidRPr="005D1AD3">
        <w:rPr>
          <w:rFonts w:eastAsia="Calibri"/>
          <w:iCs/>
          <w:sz w:val="20"/>
          <w:szCs w:val="20"/>
        </w:rPr>
        <w:t>.</w:t>
      </w:r>
    </w:p>
  </w:footnote>
  <w:footnote w:id="24">
    <w:p w:rsidR="00927CE3" w:rsidRDefault="00927CE3" w:rsidP="001A6832">
      <w:pPr>
        <w:pStyle w:val="FootnoteText"/>
      </w:pPr>
      <w:r>
        <w:rPr>
          <w:rStyle w:val="FootnoteReference"/>
        </w:rPr>
        <w:footnoteRef/>
      </w:r>
      <w:r>
        <w:t>First class postage rate of $0.47, effective January 17, 2016.</w:t>
      </w:r>
    </w:p>
  </w:footnote>
  <w:footnote w:id="25">
    <w:p w:rsidR="00927CE3" w:rsidRDefault="00927CE3" w:rsidP="001A6832">
      <w:pPr>
        <w:autoSpaceDE w:val="0"/>
        <w:autoSpaceDN w:val="0"/>
        <w:adjustRightInd w:val="0"/>
      </w:pPr>
      <w:r w:rsidRPr="00F54A49">
        <w:rPr>
          <w:rStyle w:val="FootnoteReference"/>
          <w:sz w:val="20"/>
          <w:szCs w:val="20"/>
        </w:rPr>
        <w:footnoteRef/>
      </w:r>
      <w:r>
        <w:rPr>
          <w:rFonts w:eastAsia="Calibri"/>
          <w:sz w:val="20"/>
          <w:szCs w:val="20"/>
        </w:rPr>
        <w:t>We anticipate</w:t>
      </w:r>
      <w:r w:rsidRPr="001A6832">
        <w:rPr>
          <w:rFonts w:eastAsia="Calibri"/>
          <w:sz w:val="20"/>
          <w:szCs w:val="20"/>
        </w:rPr>
        <w:t xml:space="preserve"> that the final notice will be four pages.</w:t>
      </w:r>
    </w:p>
  </w:footnote>
  <w:footnote w:id="26">
    <w:p w:rsidR="00927CE3" w:rsidRPr="00CB02C5" w:rsidRDefault="00927CE3" w:rsidP="001A6832">
      <w:pPr>
        <w:pStyle w:val="FootnoteText"/>
      </w:pPr>
      <w:r w:rsidRPr="00CB02C5">
        <w:rPr>
          <w:rStyle w:val="FootnoteReference"/>
        </w:rPr>
        <w:footnoteRef/>
      </w:r>
      <w:r w:rsidRPr="00CB02C5">
        <w:t>Order No. PSC-13-0611-PAA-WS, p.19.</w:t>
      </w:r>
    </w:p>
  </w:footnote>
  <w:footnote w:id="27">
    <w:p w:rsidR="00927CE3" w:rsidRPr="001D3EEA" w:rsidRDefault="00927CE3" w:rsidP="001A6832">
      <w:pPr>
        <w:autoSpaceDE w:val="0"/>
        <w:autoSpaceDN w:val="0"/>
        <w:adjustRightInd w:val="0"/>
        <w:jc w:val="both"/>
        <w:rPr>
          <w:sz w:val="20"/>
          <w:szCs w:val="20"/>
        </w:rPr>
      </w:pPr>
      <w:r w:rsidRPr="006E7182">
        <w:rPr>
          <w:rStyle w:val="FootnoteReference"/>
          <w:rFonts w:cs="Calibri"/>
          <w:sz w:val="20"/>
          <w:szCs w:val="20"/>
        </w:rPr>
        <w:footnoteRef/>
      </w:r>
      <w:r w:rsidRPr="001D3EEA">
        <w:rPr>
          <w:sz w:val="20"/>
          <w:szCs w:val="20"/>
        </w:rPr>
        <w:t>O</w:t>
      </w:r>
      <w:r w:rsidRPr="001A6832">
        <w:rPr>
          <w:rFonts w:eastAsia="Calibri"/>
          <w:sz w:val="20"/>
          <w:szCs w:val="20"/>
        </w:rPr>
        <w:t xml:space="preserve">rder No. </w:t>
      </w:r>
      <w:r w:rsidRPr="001A6832">
        <w:rPr>
          <w:rFonts w:eastAsia="Calibri"/>
          <w:sz w:val="19"/>
          <w:szCs w:val="19"/>
        </w:rPr>
        <w:t xml:space="preserve">PSC-13-0611-P </w:t>
      </w:r>
      <w:r w:rsidRPr="001A6832">
        <w:rPr>
          <w:rFonts w:eastAsia="Calibri"/>
          <w:sz w:val="20"/>
          <w:szCs w:val="20"/>
        </w:rPr>
        <w:t>AA-</w:t>
      </w:r>
      <w:r w:rsidRPr="001A6832">
        <w:rPr>
          <w:rFonts w:eastAsia="Calibri"/>
          <w:sz w:val="19"/>
          <w:szCs w:val="19"/>
        </w:rPr>
        <w:t>WS,</w:t>
      </w:r>
      <w:r w:rsidRPr="001A6832">
        <w:rPr>
          <w:rFonts w:eastAsia="Calibri"/>
          <w:sz w:val="23"/>
          <w:szCs w:val="23"/>
        </w:rPr>
        <w:t xml:space="preserve"> </w:t>
      </w:r>
      <w:r w:rsidRPr="001A6832">
        <w:rPr>
          <w:rFonts w:eastAsia="Calibri"/>
          <w:sz w:val="19"/>
          <w:szCs w:val="19"/>
        </w:rPr>
        <w:t>p.20.</w:t>
      </w:r>
    </w:p>
  </w:footnote>
  <w:footnote w:id="28">
    <w:p w:rsidR="00927CE3" w:rsidRPr="00F81D4F" w:rsidRDefault="00927CE3" w:rsidP="001A6832">
      <w:pPr>
        <w:pStyle w:val="Default"/>
        <w:jc w:val="both"/>
        <w:rPr>
          <w:sz w:val="20"/>
          <w:szCs w:val="20"/>
          <w:u w:val="single"/>
        </w:rPr>
      </w:pPr>
      <w:r w:rsidRPr="00F54A49">
        <w:rPr>
          <w:rStyle w:val="FootnoteReference"/>
          <w:sz w:val="20"/>
          <w:szCs w:val="20"/>
        </w:rPr>
        <w:footnoteRef/>
      </w:r>
      <w:r w:rsidRPr="00881780">
        <w:rPr>
          <w:sz w:val="20"/>
          <w:szCs w:val="20"/>
        </w:rPr>
        <w:t>Order No. PSC-11-0199-PAA-WU, issued April 22, 2011,</w:t>
      </w:r>
      <w:r>
        <w:rPr>
          <w:sz w:val="20"/>
          <w:szCs w:val="20"/>
        </w:rPr>
        <w:t xml:space="preserve"> Docket No. 100149-WU,</w:t>
      </w:r>
      <w:r w:rsidRPr="00881780">
        <w:rPr>
          <w:sz w:val="20"/>
          <w:szCs w:val="20"/>
        </w:rPr>
        <w:t xml:space="preserve"> </w:t>
      </w:r>
      <w:r w:rsidRPr="00F81D4F">
        <w:rPr>
          <w:sz w:val="20"/>
          <w:szCs w:val="20"/>
          <w:u w:val="single"/>
        </w:rPr>
        <w:t>In re: Application for increase in water rates in Lee County by Ni Florida, LLC.</w:t>
      </w:r>
    </w:p>
  </w:footnote>
  <w:footnote w:id="29">
    <w:p w:rsidR="00927CE3" w:rsidRDefault="00927CE3" w:rsidP="001A6832">
      <w:pPr>
        <w:pStyle w:val="FootnoteText"/>
      </w:pPr>
      <w:r>
        <w:rPr>
          <w:rStyle w:val="FootnoteReference"/>
        </w:rPr>
        <w:footnoteRef/>
      </w:r>
      <w:r>
        <w:t>Document Nos. 03579-16 (Response to Commission staff’s first data request), filed June 16, 2016 and 07475-16  (Response to OPC Issues and Concerns), filed September 13, 2016.</w:t>
      </w:r>
    </w:p>
  </w:footnote>
  <w:footnote w:id="30">
    <w:p w:rsidR="00927CE3" w:rsidRDefault="00927CE3" w:rsidP="001A6832">
      <w:pPr>
        <w:pStyle w:val="FootnoteText"/>
      </w:pPr>
      <w:r>
        <w:rPr>
          <w:rStyle w:val="FootnoteReference"/>
        </w:rPr>
        <w:footnoteRef/>
      </w:r>
      <w:r>
        <w:t>Document No. 07514-16, filed September 14, 2016, Utility Response to Commission staff’s third data request, Question 5.</w:t>
      </w:r>
    </w:p>
  </w:footnote>
  <w:footnote w:id="31">
    <w:p w:rsidR="00927CE3" w:rsidRDefault="00927CE3" w:rsidP="001A6832">
      <w:pPr>
        <w:pStyle w:val="FootnoteText"/>
      </w:pPr>
      <w:r>
        <w:rPr>
          <w:rStyle w:val="FootnoteReference"/>
        </w:rPr>
        <w:footnoteRef/>
      </w:r>
      <w:r>
        <w:t>Document No. 07514-16.</w:t>
      </w:r>
    </w:p>
  </w:footnote>
  <w:footnote w:id="32">
    <w:p w:rsidR="00927CE3" w:rsidRDefault="00927CE3" w:rsidP="001A6832">
      <w:pPr>
        <w:pStyle w:val="FootnoteText"/>
      </w:pPr>
      <w:r>
        <w:rPr>
          <w:rStyle w:val="FootnoteReference"/>
        </w:rPr>
        <w:footnoteRef/>
      </w:r>
      <w:r>
        <w:t>Document No. 07551-16, filed September  15, 2016.</w:t>
      </w:r>
    </w:p>
  </w:footnote>
  <w:footnote w:id="33">
    <w:p w:rsidR="00927CE3" w:rsidRDefault="00927CE3" w:rsidP="001A6832">
      <w:pPr>
        <w:pStyle w:val="FootnoteText"/>
      </w:pPr>
      <w:r>
        <w:rPr>
          <w:rStyle w:val="FootnoteReference"/>
        </w:rPr>
        <w:footnoteRef/>
      </w:r>
      <w:r>
        <w:t>Document No. 07514-16.</w:t>
      </w:r>
    </w:p>
  </w:footnote>
  <w:footnote w:id="34">
    <w:p w:rsidR="00927CE3" w:rsidRPr="00613E32" w:rsidRDefault="00927CE3" w:rsidP="001A6832">
      <w:pPr>
        <w:pStyle w:val="FootnoteText"/>
      </w:pPr>
      <w:r>
        <w:rPr>
          <w:rStyle w:val="FootnoteReference"/>
        </w:rPr>
        <w:footnoteRef/>
      </w:r>
      <w:r w:rsidRPr="00613E32">
        <w:t>Order No. PSC-13-0611-PAA-WS, pp.13-14, 16.</w:t>
      </w:r>
    </w:p>
  </w:footnote>
  <w:footnote w:id="35">
    <w:p w:rsidR="00927CE3" w:rsidRPr="00613E32" w:rsidRDefault="00927CE3" w:rsidP="001A6832">
      <w:pPr>
        <w:pStyle w:val="FootnoteText"/>
      </w:pPr>
      <w:r w:rsidRPr="00613E32">
        <w:rPr>
          <w:rStyle w:val="FootnoteReference"/>
        </w:rPr>
        <w:footnoteRef/>
      </w:r>
      <w:r w:rsidRPr="00613E32">
        <w:t>Billing Supervisor, Customer Service Department Manager, Customer Service Representative – In Charge, Billing, Customer Service Representative – Part-Time.</w:t>
      </w:r>
    </w:p>
  </w:footnote>
  <w:footnote w:id="36">
    <w:p w:rsidR="00927CE3" w:rsidRDefault="00927CE3" w:rsidP="001A6832">
      <w:pPr>
        <w:pStyle w:val="FootnoteText"/>
      </w:pPr>
      <w:r>
        <w:rPr>
          <w:rStyle w:val="FootnoteReference"/>
        </w:rPr>
        <w:footnoteRef/>
      </w:r>
      <w:r>
        <w:t>This amount differs slightly from OPC’s recommended adjustment of</w:t>
      </w:r>
      <w:r w:rsidRPr="00A13DEA">
        <w:t xml:space="preserve"> $5,546 for water and $21,284 for wastewater.</w:t>
      </w:r>
      <w:r>
        <w:t xml:space="preserve"> We based our calculation on information provided in Confidential Document No. 06556-16.</w:t>
      </w:r>
    </w:p>
  </w:footnote>
  <w:footnote w:id="37">
    <w:p w:rsidR="00927CE3" w:rsidRPr="00207FB2" w:rsidRDefault="00927CE3" w:rsidP="001A6832">
      <w:pPr>
        <w:pStyle w:val="FootnoteText"/>
        <w:rPr>
          <w:u w:val="single"/>
        </w:rPr>
      </w:pPr>
      <w:r>
        <w:rPr>
          <w:rStyle w:val="FootnoteReference"/>
        </w:rPr>
        <w:footnoteRef/>
      </w:r>
      <w:r>
        <w:t xml:space="preserve">Order No. PSC-06-0338-AS-WU, issued April 24, 2006, in Docket No. 050819-WU, </w:t>
      </w:r>
      <w:r w:rsidRPr="00207FB2">
        <w:rPr>
          <w:u w:val="single"/>
        </w:rPr>
        <w:t>In re: Request to establish new class of service for RV park in Lee County, by Tamiami Village Water Company, Inc.</w:t>
      </w:r>
    </w:p>
  </w:footnote>
  <w:footnote w:id="38">
    <w:p w:rsidR="00927CE3" w:rsidRPr="00B714E0" w:rsidRDefault="00927CE3" w:rsidP="001A6832">
      <w:pPr>
        <w:pStyle w:val="FootnoteText"/>
        <w:rPr>
          <w:i/>
        </w:rPr>
      </w:pPr>
      <w:r>
        <w:rPr>
          <w:rStyle w:val="FootnoteReference"/>
        </w:rPr>
        <w:footnoteRef/>
      </w:r>
      <w:r>
        <w:t xml:space="preserve">Order No. PSC-15-0142-PAA-SU, issued March 26, 2015, in Docket No. 130178-SU, </w:t>
      </w:r>
      <w:r w:rsidRPr="00B8369A">
        <w:rPr>
          <w:u w:val="single"/>
        </w:rPr>
        <w:t>In re:  Application for staff-assisted rate case in Polk County by Crooked Lake Park Sewerage Company</w:t>
      </w:r>
      <w:r w:rsidRPr="00B8369A">
        <w:t>.</w:t>
      </w:r>
    </w:p>
  </w:footnote>
  <w:footnote w:id="39">
    <w:p w:rsidR="00927CE3" w:rsidRDefault="00927CE3" w:rsidP="001A6832">
      <w:pPr>
        <w:pStyle w:val="FootnoteText"/>
      </w:pPr>
      <w:r>
        <w:rPr>
          <w:rStyle w:val="FootnoteReference"/>
        </w:rPr>
        <w:footnoteRef/>
      </w:r>
      <w:r>
        <w:t xml:space="preserve">Order No. 13796, issued October 22, 1984, in Docket No. 830558-WS, </w:t>
      </w:r>
      <w:r>
        <w:rPr>
          <w:u w:val="single"/>
        </w:rPr>
        <w:t>In r</w:t>
      </w:r>
      <w:r w:rsidRPr="00B8369A">
        <w:rPr>
          <w:u w:val="single"/>
        </w:rPr>
        <w:t>e: Application of Tamiami Utility Company for increased water and sewer rates and charges to customers in Lee County, Florida</w:t>
      </w:r>
      <w:r w:rsidRPr="00B8369A">
        <w:t>.</w:t>
      </w:r>
    </w:p>
  </w:footnote>
  <w:footnote w:id="40">
    <w:p w:rsidR="00927CE3" w:rsidRDefault="00927CE3" w:rsidP="001A6832">
      <w:pPr>
        <w:pStyle w:val="FootnoteText"/>
      </w:pPr>
      <w:r>
        <w:rPr>
          <w:rStyle w:val="FootnoteReference"/>
        </w:rPr>
        <w:footnoteRef/>
      </w:r>
      <w:r>
        <w:t xml:space="preserve">Order No. PSC-02-1626-PAA-SU, issued November 25, 2002, in Docket No. 020254-SU, </w:t>
      </w:r>
      <w:r>
        <w:rPr>
          <w:u w:val="single"/>
        </w:rPr>
        <w:t>In r</w:t>
      </w:r>
      <w:r w:rsidRPr="00B8369A">
        <w:rPr>
          <w:u w:val="single"/>
        </w:rPr>
        <w:t>e: Application for increase in service availability charges in Pasco County by Hudson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pPr>
      <w:pStyle w:val="OrderHeader"/>
    </w:pPr>
    <w:r>
      <w:t xml:space="preserve">ORDER NO. </w:t>
    </w:r>
    <w:fldSimple w:instr=" REF OrderNo0525 ">
      <w:r w:rsidR="009C3637">
        <w:t>PSC-16-0525-PAA-WS</w:t>
      </w:r>
    </w:fldSimple>
  </w:p>
  <w:p w:rsidR="00927CE3" w:rsidRDefault="00927CE3">
    <w:pPr>
      <w:pStyle w:val="OrderHeader"/>
    </w:pPr>
    <w:bookmarkStart w:id="11" w:name="HeaderDocketNo"/>
    <w:bookmarkEnd w:id="11"/>
    <w:r>
      <w:t>DOCKET NO. 160030-WS</w:t>
    </w:r>
  </w:p>
  <w:p w:rsidR="00927CE3" w:rsidRDefault="00927CE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44</w:t>
    </w:r>
    <w:r>
      <w:rPr>
        <w:rStyle w:val="PageNumber"/>
      </w:rPr>
      <w:fldChar w:fldCharType="end"/>
    </w:r>
  </w:p>
  <w:p w:rsidR="00927CE3" w:rsidRDefault="00927CE3">
    <w:pPr>
      <w:pStyle w:val="OrderHeader"/>
    </w:pPr>
  </w:p>
  <w:p w:rsidR="00927CE3" w:rsidRDefault="00927CE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4-A</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53</w:t>
    </w:r>
    <w:r>
      <w:rPr>
        <w:rStyle w:val="PageNumber"/>
      </w:rPr>
      <w:fldChar w:fldCharType="end"/>
    </w:r>
  </w:p>
  <w:p w:rsidR="00927CE3" w:rsidRDefault="00927CE3" w:rsidP="001A6832">
    <w:pPr>
      <w:pStyle w:val="Order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1-A</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46</w:t>
    </w:r>
    <w:r>
      <w:rPr>
        <w:rStyle w:val="PageNumber"/>
      </w:rPr>
      <w:fldChar w:fldCharType="end"/>
    </w:r>
  </w:p>
  <w:p w:rsidR="00927CE3" w:rsidRDefault="00927CE3" w:rsidP="001A6832">
    <w:pPr>
      <w:pStyle w:val="Order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1-B</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47</w:t>
    </w:r>
    <w:r>
      <w:rPr>
        <w:rStyle w:val="PageNumber"/>
      </w:rPr>
      <w:fldChar w:fldCharType="end"/>
    </w:r>
  </w:p>
  <w:p w:rsidR="00927CE3" w:rsidRDefault="00927CE3" w:rsidP="001A6832">
    <w:pPr>
      <w:pStyle w:val="OrderHeader"/>
      <w:rPr>
        <w:rStyle w:val="PageNumber"/>
      </w:rPr>
    </w:pPr>
  </w:p>
  <w:p w:rsidR="00927CE3" w:rsidRDefault="00927CE3">
    <w:pPr>
      <w:pStyle w:val="Header"/>
    </w:pPr>
    <w:r>
      <w:tab/>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1-C</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48</w:t>
    </w:r>
    <w:r>
      <w:rPr>
        <w:rStyle w:val="PageNumber"/>
      </w:rPr>
      <w:fldChar w:fldCharType="end"/>
    </w:r>
  </w:p>
  <w:p w:rsidR="00927CE3" w:rsidRPr="001A6832" w:rsidRDefault="00927CE3" w:rsidP="001A68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r>
    <w:r>
      <w:tab/>
      <w:t>Schedule No. 2</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49</w:t>
    </w:r>
    <w:r>
      <w:rPr>
        <w:rStyle w:val="PageNumber"/>
      </w:rPr>
      <w:fldChar w:fldCharType="end"/>
    </w:r>
  </w:p>
  <w:p w:rsidR="00927CE3" w:rsidRPr="001A6832" w:rsidRDefault="00927CE3" w:rsidP="001A68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r>
    <w:r>
      <w:tab/>
    </w:r>
    <w:r>
      <w:tab/>
      <w:t>Schedule No. 3-A</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50</w:t>
    </w:r>
    <w:r>
      <w:rPr>
        <w:rStyle w:val="PageNumber"/>
      </w:rPr>
      <w:fldChar w:fldCharType="end"/>
    </w:r>
  </w:p>
  <w:p w:rsidR="00927CE3" w:rsidRPr="001A6832" w:rsidRDefault="00927CE3" w:rsidP="001A68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r>
    <w:r>
      <w:tab/>
    </w:r>
    <w:r>
      <w:tab/>
      <w:t>Schedule No. 3-B</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51</w:t>
    </w:r>
    <w:r>
      <w:rPr>
        <w:rStyle w:val="PageNumber"/>
      </w:rPr>
      <w:fldChar w:fldCharType="end"/>
    </w:r>
  </w:p>
  <w:p w:rsidR="00927CE3" w:rsidRPr="001A6832" w:rsidRDefault="00927CE3" w:rsidP="001A68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3-C</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52</w:t>
    </w:r>
    <w:r>
      <w:rPr>
        <w:rStyle w:val="PageNumber"/>
      </w:rPr>
      <w:fldChar w:fldCharType="end"/>
    </w:r>
  </w:p>
  <w:p w:rsidR="00927CE3" w:rsidRDefault="00927CE3" w:rsidP="001A6832">
    <w:pPr>
      <w:pStyle w:val="OrderHeader"/>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3" w:rsidRDefault="00927CE3" w:rsidP="001A6832">
    <w:pPr>
      <w:pStyle w:val="OrderHeader"/>
    </w:pPr>
    <w:r>
      <w:t xml:space="preserve">ORDER NO. </w:t>
    </w:r>
    <w:r w:rsidR="009C3637">
      <w:t>PSC-16-0525-PAA-WS</w:t>
    </w:r>
    <w:r>
      <w:tab/>
    </w:r>
    <w:r>
      <w:tab/>
      <w:t>Schedule No. 4-B</w:t>
    </w:r>
  </w:p>
  <w:p w:rsidR="00927CE3" w:rsidRDefault="00927CE3" w:rsidP="001A6832">
    <w:pPr>
      <w:pStyle w:val="OrderHeader"/>
    </w:pPr>
    <w:r>
      <w:t>DOCKET NO. 160030-WS</w:t>
    </w:r>
  </w:p>
  <w:p w:rsidR="00927CE3" w:rsidRDefault="00927CE3" w:rsidP="001A68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3637">
      <w:rPr>
        <w:rStyle w:val="PageNumber"/>
        <w:noProof/>
      </w:rPr>
      <w:t>54</w:t>
    </w:r>
    <w:r>
      <w:rPr>
        <w:rStyle w:val="PageNumber"/>
      </w:rPr>
      <w:fldChar w:fldCharType="end"/>
    </w:r>
  </w:p>
  <w:p w:rsidR="00927CE3" w:rsidRDefault="00927CE3" w:rsidP="001A6832">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E4D6BA5"/>
    <w:multiLevelType w:val="hybridMultilevel"/>
    <w:tmpl w:val="032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0-WS"/>
  </w:docVars>
  <w:rsids>
    <w:rsidRoot w:val="001A6832"/>
    <w:rsid w:val="000022B8"/>
    <w:rsid w:val="00053AB9"/>
    <w:rsid w:val="00056229"/>
    <w:rsid w:val="00065FC2"/>
    <w:rsid w:val="00072F5F"/>
    <w:rsid w:val="00090AFC"/>
    <w:rsid w:val="000D06E8"/>
    <w:rsid w:val="000E344D"/>
    <w:rsid w:val="000F3B2C"/>
    <w:rsid w:val="000F76B1"/>
    <w:rsid w:val="000F7BE3"/>
    <w:rsid w:val="00116AD3"/>
    <w:rsid w:val="00126593"/>
    <w:rsid w:val="00126849"/>
    <w:rsid w:val="00142A96"/>
    <w:rsid w:val="0017609B"/>
    <w:rsid w:val="00187E32"/>
    <w:rsid w:val="00194E81"/>
    <w:rsid w:val="00196458"/>
    <w:rsid w:val="001A33C9"/>
    <w:rsid w:val="001A6832"/>
    <w:rsid w:val="001D008A"/>
    <w:rsid w:val="002002ED"/>
    <w:rsid w:val="00207FB2"/>
    <w:rsid w:val="0022721A"/>
    <w:rsid w:val="00230BB9"/>
    <w:rsid w:val="00234CCB"/>
    <w:rsid w:val="00241CEF"/>
    <w:rsid w:val="002526F3"/>
    <w:rsid w:val="00252B30"/>
    <w:rsid w:val="00272DC2"/>
    <w:rsid w:val="002750D2"/>
    <w:rsid w:val="0028498B"/>
    <w:rsid w:val="002A11AC"/>
    <w:rsid w:val="002A6F30"/>
    <w:rsid w:val="002D7D15"/>
    <w:rsid w:val="002E27EB"/>
    <w:rsid w:val="002F0984"/>
    <w:rsid w:val="00303FDE"/>
    <w:rsid w:val="003140E8"/>
    <w:rsid w:val="003231C7"/>
    <w:rsid w:val="00331ED0"/>
    <w:rsid w:val="0035495B"/>
    <w:rsid w:val="00357CA0"/>
    <w:rsid w:val="003649C9"/>
    <w:rsid w:val="003744F5"/>
    <w:rsid w:val="00390DD8"/>
    <w:rsid w:val="00393994"/>
    <w:rsid w:val="00394DC6"/>
    <w:rsid w:val="00397C3E"/>
    <w:rsid w:val="003D4918"/>
    <w:rsid w:val="003D4CCA"/>
    <w:rsid w:val="003D6416"/>
    <w:rsid w:val="003D65F6"/>
    <w:rsid w:val="003E1D48"/>
    <w:rsid w:val="0042527B"/>
    <w:rsid w:val="004341A2"/>
    <w:rsid w:val="00457DC7"/>
    <w:rsid w:val="00463DB2"/>
    <w:rsid w:val="004700BB"/>
    <w:rsid w:val="00472BCC"/>
    <w:rsid w:val="00484513"/>
    <w:rsid w:val="004A25CD"/>
    <w:rsid w:val="004A26CC"/>
    <w:rsid w:val="004B2108"/>
    <w:rsid w:val="004B3A2B"/>
    <w:rsid w:val="004D2D1B"/>
    <w:rsid w:val="004F2DDE"/>
    <w:rsid w:val="0050097F"/>
    <w:rsid w:val="00505A3E"/>
    <w:rsid w:val="00514B1F"/>
    <w:rsid w:val="00555F9B"/>
    <w:rsid w:val="00556A10"/>
    <w:rsid w:val="0056061D"/>
    <w:rsid w:val="005627ED"/>
    <w:rsid w:val="00562AB6"/>
    <w:rsid w:val="0057236C"/>
    <w:rsid w:val="005723E4"/>
    <w:rsid w:val="00585B92"/>
    <w:rsid w:val="005963C2"/>
    <w:rsid w:val="005B45F7"/>
    <w:rsid w:val="005B63EA"/>
    <w:rsid w:val="005D1AD3"/>
    <w:rsid w:val="005E7F4C"/>
    <w:rsid w:val="00656D60"/>
    <w:rsid w:val="00660774"/>
    <w:rsid w:val="00665CC7"/>
    <w:rsid w:val="006A0BF3"/>
    <w:rsid w:val="006B0DA6"/>
    <w:rsid w:val="006C242E"/>
    <w:rsid w:val="006C547E"/>
    <w:rsid w:val="00704C5D"/>
    <w:rsid w:val="00715275"/>
    <w:rsid w:val="00733B6B"/>
    <w:rsid w:val="0076170F"/>
    <w:rsid w:val="0076669C"/>
    <w:rsid w:val="00767588"/>
    <w:rsid w:val="007865E9"/>
    <w:rsid w:val="00792383"/>
    <w:rsid w:val="007A060F"/>
    <w:rsid w:val="007A277D"/>
    <w:rsid w:val="007D3D20"/>
    <w:rsid w:val="007D6C54"/>
    <w:rsid w:val="007E3AFD"/>
    <w:rsid w:val="00803189"/>
    <w:rsid w:val="00804E7A"/>
    <w:rsid w:val="00805FBB"/>
    <w:rsid w:val="008169A4"/>
    <w:rsid w:val="008278FE"/>
    <w:rsid w:val="00832598"/>
    <w:rsid w:val="0083397E"/>
    <w:rsid w:val="0083534B"/>
    <w:rsid w:val="00853982"/>
    <w:rsid w:val="00863A66"/>
    <w:rsid w:val="00874429"/>
    <w:rsid w:val="00883D9A"/>
    <w:rsid w:val="008919EF"/>
    <w:rsid w:val="008A7C03"/>
    <w:rsid w:val="008C6A5B"/>
    <w:rsid w:val="008D44DB"/>
    <w:rsid w:val="008E26A5"/>
    <w:rsid w:val="008E42D2"/>
    <w:rsid w:val="008F2B1E"/>
    <w:rsid w:val="009040EE"/>
    <w:rsid w:val="009057FD"/>
    <w:rsid w:val="0091087D"/>
    <w:rsid w:val="00922A7F"/>
    <w:rsid w:val="00923A5E"/>
    <w:rsid w:val="00926374"/>
    <w:rsid w:val="00927CE3"/>
    <w:rsid w:val="009537D6"/>
    <w:rsid w:val="0097603B"/>
    <w:rsid w:val="00985C79"/>
    <w:rsid w:val="009924CF"/>
    <w:rsid w:val="009935CD"/>
    <w:rsid w:val="00994100"/>
    <w:rsid w:val="009C3637"/>
    <w:rsid w:val="009D4C29"/>
    <w:rsid w:val="00A62DAB"/>
    <w:rsid w:val="00A726A6"/>
    <w:rsid w:val="00A74C98"/>
    <w:rsid w:val="00A94949"/>
    <w:rsid w:val="00A97535"/>
    <w:rsid w:val="00AA73F1"/>
    <w:rsid w:val="00AB0E1A"/>
    <w:rsid w:val="00AB1A30"/>
    <w:rsid w:val="00AD1ED3"/>
    <w:rsid w:val="00AF3090"/>
    <w:rsid w:val="00AF5796"/>
    <w:rsid w:val="00B0777D"/>
    <w:rsid w:val="00B13F46"/>
    <w:rsid w:val="00B2432F"/>
    <w:rsid w:val="00B2594E"/>
    <w:rsid w:val="00B4057A"/>
    <w:rsid w:val="00B40894"/>
    <w:rsid w:val="00B45E75"/>
    <w:rsid w:val="00B50876"/>
    <w:rsid w:val="00B55EE5"/>
    <w:rsid w:val="00B73DE6"/>
    <w:rsid w:val="00B8369A"/>
    <w:rsid w:val="00B86EF0"/>
    <w:rsid w:val="00B97900"/>
    <w:rsid w:val="00BA04FB"/>
    <w:rsid w:val="00BA44A8"/>
    <w:rsid w:val="00BB39E1"/>
    <w:rsid w:val="00BD16D9"/>
    <w:rsid w:val="00BE0D25"/>
    <w:rsid w:val="00BE56A1"/>
    <w:rsid w:val="00BF6691"/>
    <w:rsid w:val="00C028FC"/>
    <w:rsid w:val="00C2334C"/>
    <w:rsid w:val="00C66692"/>
    <w:rsid w:val="00C86D2A"/>
    <w:rsid w:val="00C91123"/>
    <w:rsid w:val="00C91C80"/>
    <w:rsid w:val="00CA71FF"/>
    <w:rsid w:val="00CB5276"/>
    <w:rsid w:val="00CB68D7"/>
    <w:rsid w:val="00CC7E68"/>
    <w:rsid w:val="00CD7132"/>
    <w:rsid w:val="00CD724F"/>
    <w:rsid w:val="00CE0E6F"/>
    <w:rsid w:val="00CE16C0"/>
    <w:rsid w:val="00D20CD7"/>
    <w:rsid w:val="00D30B48"/>
    <w:rsid w:val="00D36E64"/>
    <w:rsid w:val="00D37F85"/>
    <w:rsid w:val="00D44A8B"/>
    <w:rsid w:val="00D46FAA"/>
    <w:rsid w:val="00D5079B"/>
    <w:rsid w:val="00D57BB2"/>
    <w:rsid w:val="00D71EB9"/>
    <w:rsid w:val="00D8560E"/>
    <w:rsid w:val="00D8758F"/>
    <w:rsid w:val="00D97EA2"/>
    <w:rsid w:val="00DC1D94"/>
    <w:rsid w:val="00DE057F"/>
    <w:rsid w:val="00DE2082"/>
    <w:rsid w:val="00DE2289"/>
    <w:rsid w:val="00E04410"/>
    <w:rsid w:val="00E11351"/>
    <w:rsid w:val="00E1634E"/>
    <w:rsid w:val="00E52710"/>
    <w:rsid w:val="00EA172C"/>
    <w:rsid w:val="00EA259B"/>
    <w:rsid w:val="00EA35A3"/>
    <w:rsid w:val="00EA3E6A"/>
    <w:rsid w:val="00EB18EF"/>
    <w:rsid w:val="00EC0B1C"/>
    <w:rsid w:val="00EE17DF"/>
    <w:rsid w:val="00EF4621"/>
    <w:rsid w:val="00F277B6"/>
    <w:rsid w:val="00F54380"/>
    <w:rsid w:val="00F54B47"/>
    <w:rsid w:val="00F70E84"/>
    <w:rsid w:val="00F81D4F"/>
    <w:rsid w:val="00F958F0"/>
    <w:rsid w:val="00FA6EFD"/>
    <w:rsid w:val="00FB6DF5"/>
    <w:rsid w:val="00FB74EA"/>
    <w:rsid w:val="00FD2C9E"/>
    <w:rsid w:val="00FD4786"/>
    <w:rsid w:val="00FD616C"/>
    <w:rsid w:val="00FE53F2"/>
    <w:rsid w:val="00FF0A00"/>
    <w:rsid w:val="00FF2581"/>
    <w:rsid w:val="00FF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ddress"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1A6832"/>
    <w:pPr>
      <w:spacing w:before="120"/>
      <w:ind w:left="1008" w:hanging="1008"/>
      <w:jc w:val="both"/>
    </w:pPr>
  </w:style>
  <w:style w:type="paragraph" w:customStyle="1" w:styleId="MastHeadPSC">
    <w:name w:val="MastHead PSC"/>
    <w:basedOn w:val="Normal"/>
    <w:next w:val="Normal"/>
    <w:rsid w:val="001A6832"/>
    <w:pPr>
      <w:jc w:val="center"/>
    </w:pPr>
    <w:rPr>
      <w:b/>
      <w:sz w:val="48"/>
      <w:szCs w:val="48"/>
    </w:rPr>
  </w:style>
  <w:style w:type="paragraph" w:customStyle="1" w:styleId="MastHeadMemorandum">
    <w:name w:val="MastHead Memorandum"/>
    <w:basedOn w:val="Normal"/>
    <w:next w:val="Normal"/>
    <w:rsid w:val="001A6832"/>
    <w:pPr>
      <w:jc w:val="center"/>
    </w:pPr>
    <w:rPr>
      <w:b/>
      <w:sz w:val="28"/>
      <w:szCs w:val="28"/>
    </w:rPr>
  </w:style>
  <w:style w:type="paragraph" w:customStyle="1" w:styleId="MastHeadAddress">
    <w:name w:val="MastHead Address"/>
    <w:basedOn w:val="Normal"/>
    <w:next w:val="Normal"/>
    <w:rsid w:val="001A6832"/>
    <w:pPr>
      <w:spacing w:after="200"/>
      <w:jc w:val="center"/>
    </w:pPr>
    <w:rPr>
      <w:b/>
      <w:smallCaps/>
      <w:sz w:val="20"/>
      <w:szCs w:val="20"/>
    </w:rPr>
  </w:style>
  <w:style w:type="paragraph" w:customStyle="1" w:styleId="MastHeadState">
    <w:name w:val="MastHead State"/>
    <w:basedOn w:val="Normal"/>
    <w:next w:val="Normal"/>
    <w:rsid w:val="001A6832"/>
    <w:pPr>
      <w:jc w:val="center"/>
    </w:pPr>
    <w:rPr>
      <w:b/>
      <w:sz w:val="28"/>
      <w:szCs w:val="28"/>
    </w:rPr>
  </w:style>
  <w:style w:type="paragraph" w:customStyle="1" w:styleId="MemoHeading">
    <w:name w:val="Memo Heading"/>
    <w:basedOn w:val="Normal"/>
    <w:next w:val="Normal"/>
    <w:rsid w:val="001A6832"/>
    <w:pPr>
      <w:jc w:val="both"/>
    </w:pPr>
  </w:style>
  <w:style w:type="paragraph" w:customStyle="1" w:styleId="BlockText5">
    <w:name w:val="Block Text .5&quot;"/>
    <w:basedOn w:val="Normal"/>
    <w:rsid w:val="001A6832"/>
    <w:pPr>
      <w:spacing w:after="120"/>
      <w:ind w:left="720" w:right="720"/>
    </w:pPr>
  </w:style>
  <w:style w:type="paragraph" w:customStyle="1" w:styleId="BlockText1">
    <w:name w:val="Block Text 1&quot;"/>
    <w:basedOn w:val="Normal"/>
    <w:rsid w:val="001A6832"/>
    <w:pPr>
      <w:spacing w:after="120"/>
      <w:ind w:left="1440" w:right="1440"/>
    </w:pPr>
  </w:style>
  <w:style w:type="paragraph" w:customStyle="1" w:styleId="BlockText15">
    <w:name w:val="Block Text 1.5&quot;"/>
    <w:basedOn w:val="Normal"/>
    <w:rsid w:val="001A6832"/>
    <w:pPr>
      <w:spacing w:after="120"/>
      <w:ind w:left="2160" w:right="2160"/>
    </w:pPr>
  </w:style>
  <w:style w:type="paragraph" w:customStyle="1" w:styleId="IssueHeading">
    <w:name w:val="Issue Heading"/>
    <w:basedOn w:val="Heading1"/>
    <w:next w:val="BodyText"/>
    <w:link w:val="IssueHeadingChar"/>
    <w:qFormat/>
    <w:rsid w:val="001A6832"/>
    <w:pPr>
      <w:keepNext w:val="0"/>
    </w:pPr>
    <w:rPr>
      <w:rFonts w:ascii="Arial" w:hAnsi="Arial"/>
      <w:b/>
      <w:i/>
    </w:rPr>
  </w:style>
  <w:style w:type="character" w:customStyle="1" w:styleId="IssueHeadingChar">
    <w:name w:val="Issue Heading Char"/>
    <w:link w:val="IssueHeading"/>
    <w:rsid w:val="001A6832"/>
    <w:rPr>
      <w:rFonts w:ascii="Arial" w:hAnsi="Arial" w:cs="Arial"/>
      <w:b/>
      <w:bCs/>
      <w:i/>
      <w:kern w:val="32"/>
      <w:sz w:val="24"/>
      <w:szCs w:val="32"/>
    </w:rPr>
  </w:style>
  <w:style w:type="paragraph" w:customStyle="1" w:styleId="MemoHeadingRe">
    <w:name w:val="Memo Heading Re"/>
    <w:basedOn w:val="MemoHeading"/>
    <w:rsid w:val="001A6832"/>
    <w:pPr>
      <w:tabs>
        <w:tab w:val="left" w:pos="2520"/>
        <w:tab w:val="left" w:pos="2736"/>
      </w:tabs>
    </w:pPr>
  </w:style>
  <w:style w:type="paragraph" w:styleId="TOC1">
    <w:name w:val="toc 1"/>
    <w:basedOn w:val="Normal"/>
    <w:next w:val="Normal"/>
    <w:uiPriority w:val="39"/>
    <w:rsid w:val="001A6832"/>
    <w:pPr>
      <w:tabs>
        <w:tab w:val="left" w:pos="864"/>
        <w:tab w:val="right" w:leader="dot" w:pos="9360"/>
      </w:tabs>
      <w:ind w:left="864" w:right="360" w:hanging="864"/>
    </w:pPr>
  </w:style>
  <w:style w:type="character" w:styleId="Hyperlink">
    <w:name w:val="Hyperlink"/>
    <w:uiPriority w:val="99"/>
    <w:rsid w:val="001A6832"/>
    <w:rPr>
      <w:color w:val="0000FF"/>
      <w:u w:val="single"/>
    </w:rPr>
  </w:style>
  <w:style w:type="paragraph" w:customStyle="1" w:styleId="RecommendationMajorSectionHeading">
    <w:name w:val="Recommendation Major Section Heading"/>
    <w:basedOn w:val="Heading1"/>
    <w:next w:val="BodyText"/>
    <w:rsid w:val="001A68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A6832"/>
    <w:pPr>
      <w:keepNext w:val="0"/>
    </w:pPr>
    <w:rPr>
      <w:rFonts w:ascii="Arial" w:hAnsi="Arial"/>
      <w:b/>
      <w:i/>
    </w:rPr>
  </w:style>
  <w:style w:type="character" w:customStyle="1" w:styleId="IssueSubsectionHeadingChar">
    <w:name w:val="Issue Subsection Heading Char"/>
    <w:link w:val="IssueSubsectionHeading"/>
    <w:rsid w:val="001A6832"/>
    <w:rPr>
      <w:rFonts w:ascii="Arial" w:hAnsi="Arial" w:cs="Arial"/>
      <w:b/>
      <w:bCs/>
      <w:i/>
      <w:iCs/>
      <w:sz w:val="24"/>
      <w:szCs w:val="28"/>
    </w:rPr>
  </w:style>
  <w:style w:type="paragraph" w:customStyle="1" w:styleId="RecommendationHeading">
    <w:name w:val="Recommendation Heading"/>
    <w:basedOn w:val="Heading1"/>
    <w:next w:val="BodyText"/>
    <w:rsid w:val="001A6832"/>
    <w:pPr>
      <w:keepNext w:val="0"/>
      <w:jc w:val="center"/>
    </w:pPr>
    <w:rPr>
      <w:b/>
      <w:u w:val="single"/>
    </w:rPr>
  </w:style>
  <w:style w:type="paragraph" w:customStyle="1" w:styleId="DiscussionofIssues">
    <w:name w:val="Discussion of Issues"/>
    <w:basedOn w:val="RecommendationMajorSectionHeading"/>
    <w:next w:val="BodyText"/>
    <w:rsid w:val="001A6832"/>
    <w:pPr>
      <w:spacing w:after="0"/>
    </w:pPr>
  </w:style>
  <w:style w:type="paragraph" w:customStyle="1" w:styleId="TOCColumnHeadings">
    <w:name w:val="TOC Column Headings"/>
    <w:basedOn w:val="Normal"/>
    <w:rsid w:val="001A6832"/>
    <w:pPr>
      <w:tabs>
        <w:tab w:val="left" w:pos="864"/>
        <w:tab w:val="right" w:pos="9360"/>
      </w:tabs>
    </w:pPr>
    <w:rPr>
      <w:rFonts w:ascii="Arial" w:hAnsi="Arial"/>
      <w:b/>
      <w:i/>
    </w:rPr>
  </w:style>
  <w:style w:type="table" w:customStyle="1" w:styleId="TableMasthead">
    <w:name w:val="Table Masthead"/>
    <w:basedOn w:val="TableGrid"/>
    <w:rsid w:val="001A6832"/>
    <w:tblPr/>
  </w:style>
  <w:style w:type="paragraph" w:customStyle="1" w:styleId="StyleHeading1BoldUnderline">
    <w:name w:val="Style Heading 1 + Bold Underline"/>
    <w:basedOn w:val="Heading1"/>
    <w:link w:val="StyleHeading1BoldUnderlineChar"/>
    <w:rsid w:val="001A6832"/>
    <w:pPr>
      <w:keepNext w:val="0"/>
      <w:spacing w:before="240"/>
    </w:pPr>
    <w:rPr>
      <w:b/>
      <w:u w:val="single"/>
    </w:rPr>
  </w:style>
  <w:style w:type="character" w:customStyle="1" w:styleId="StyleHeading1BoldUnderlineChar">
    <w:name w:val="Style Heading 1 + Bold Underline Char"/>
    <w:link w:val="StyleHeading1BoldUnderline"/>
    <w:rsid w:val="001A6832"/>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1A6832"/>
    <w:pPr>
      <w:jc w:val="left"/>
    </w:pPr>
  </w:style>
  <w:style w:type="paragraph" w:styleId="TOC3">
    <w:name w:val="toc 3"/>
    <w:basedOn w:val="TOC2"/>
    <w:next w:val="Normal"/>
    <w:rsid w:val="001A6832"/>
    <w:pPr>
      <w:tabs>
        <w:tab w:val="clear" w:pos="1152"/>
        <w:tab w:val="left" w:pos="1584"/>
      </w:tabs>
      <w:ind w:left="1584" w:hanging="432"/>
    </w:pPr>
  </w:style>
  <w:style w:type="paragraph" w:styleId="TOC2">
    <w:name w:val="toc 2"/>
    <w:basedOn w:val="TOC1"/>
    <w:next w:val="Normal"/>
    <w:rsid w:val="001A6832"/>
    <w:pPr>
      <w:tabs>
        <w:tab w:val="clear" w:pos="864"/>
        <w:tab w:val="left" w:pos="1152"/>
      </w:tabs>
      <w:ind w:left="1152" w:hanging="288"/>
    </w:pPr>
  </w:style>
  <w:style w:type="paragraph" w:styleId="DocumentMap">
    <w:name w:val="Document Map"/>
    <w:basedOn w:val="Normal"/>
    <w:link w:val="DocumentMapChar"/>
    <w:rsid w:val="001A6832"/>
    <w:pPr>
      <w:shd w:val="clear" w:color="auto" w:fill="000080"/>
    </w:pPr>
    <w:rPr>
      <w:rFonts w:ascii="Tahoma" w:hAnsi="Tahoma" w:cs="Tahoma"/>
    </w:rPr>
  </w:style>
  <w:style w:type="character" w:customStyle="1" w:styleId="DocumentMapChar">
    <w:name w:val="Document Map Char"/>
    <w:basedOn w:val="DefaultParagraphFont"/>
    <w:link w:val="DocumentMap"/>
    <w:rsid w:val="001A6832"/>
    <w:rPr>
      <w:rFonts w:ascii="Tahoma" w:hAnsi="Tahoma" w:cs="Tahoma"/>
      <w:sz w:val="24"/>
      <w:szCs w:val="24"/>
      <w:shd w:val="clear" w:color="auto" w:fill="000080"/>
    </w:rPr>
  </w:style>
  <w:style w:type="paragraph" w:styleId="BalloonText">
    <w:name w:val="Balloon Text"/>
    <w:basedOn w:val="Normal"/>
    <w:link w:val="BalloonTextChar"/>
    <w:rsid w:val="001A6832"/>
    <w:rPr>
      <w:rFonts w:ascii="Tahoma" w:hAnsi="Tahoma" w:cs="Tahoma"/>
      <w:sz w:val="16"/>
      <w:szCs w:val="16"/>
    </w:rPr>
  </w:style>
  <w:style w:type="character" w:customStyle="1" w:styleId="BalloonTextChar">
    <w:name w:val="Balloon Text Char"/>
    <w:basedOn w:val="DefaultParagraphFont"/>
    <w:link w:val="BalloonText"/>
    <w:rsid w:val="001A6832"/>
    <w:rPr>
      <w:rFonts w:ascii="Tahoma" w:hAnsi="Tahoma" w:cs="Tahoma"/>
      <w:sz w:val="16"/>
      <w:szCs w:val="16"/>
    </w:rPr>
  </w:style>
  <w:style w:type="paragraph" w:styleId="BlockText">
    <w:name w:val="Block Text"/>
    <w:basedOn w:val="Normal"/>
    <w:rsid w:val="001A6832"/>
    <w:pPr>
      <w:spacing w:after="120"/>
      <w:ind w:left="1440" w:right="1440"/>
    </w:pPr>
  </w:style>
  <w:style w:type="paragraph" w:styleId="BodyText2">
    <w:name w:val="Body Text 2"/>
    <w:basedOn w:val="Normal"/>
    <w:link w:val="BodyText2Char"/>
    <w:rsid w:val="001A6832"/>
    <w:pPr>
      <w:spacing w:after="120" w:line="480" w:lineRule="auto"/>
    </w:pPr>
  </w:style>
  <w:style w:type="character" w:customStyle="1" w:styleId="BodyText2Char">
    <w:name w:val="Body Text 2 Char"/>
    <w:basedOn w:val="DefaultParagraphFont"/>
    <w:link w:val="BodyText2"/>
    <w:rsid w:val="001A6832"/>
    <w:rPr>
      <w:sz w:val="24"/>
      <w:szCs w:val="24"/>
    </w:rPr>
  </w:style>
  <w:style w:type="paragraph" w:styleId="BodyText3">
    <w:name w:val="Body Text 3"/>
    <w:basedOn w:val="Normal"/>
    <w:link w:val="BodyText3Char"/>
    <w:rsid w:val="001A6832"/>
    <w:pPr>
      <w:spacing w:after="120"/>
    </w:pPr>
    <w:rPr>
      <w:sz w:val="16"/>
      <w:szCs w:val="16"/>
    </w:rPr>
  </w:style>
  <w:style w:type="character" w:customStyle="1" w:styleId="BodyText3Char">
    <w:name w:val="Body Text 3 Char"/>
    <w:basedOn w:val="DefaultParagraphFont"/>
    <w:link w:val="BodyText3"/>
    <w:rsid w:val="001A6832"/>
    <w:rPr>
      <w:sz w:val="16"/>
      <w:szCs w:val="16"/>
    </w:rPr>
  </w:style>
  <w:style w:type="paragraph" w:styleId="BodyTextFirstIndent">
    <w:name w:val="Body Text First Indent"/>
    <w:basedOn w:val="BodyText"/>
    <w:link w:val="BodyTextFirstIndentChar"/>
    <w:rsid w:val="001A6832"/>
    <w:pPr>
      <w:ind w:firstLine="210"/>
    </w:pPr>
  </w:style>
  <w:style w:type="character" w:customStyle="1" w:styleId="BodyTextFirstIndentChar">
    <w:name w:val="Body Text First Indent Char"/>
    <w:basedOn w:val="BodyTextChar"/>
    <w:link w:val="BodyTextFirstIndent"/>
    <w:rsid w:val="001A6832"/>
    <w:rPr>
      <w:sz w:val="24"/>
      <w:szCs w:val="24"/>
    </w:rPr>
  </w:style>
  <w:style w:type="paragraph" w:styleId="BodyTextIndent">
    <w:name w:val="Body Text Indent"/>
    <w:basedOn w:val="Normal"/>
    <w:link w:val="BodyTextIndentChar"/>
    <w:rsid w:val="001A6832"/>
    <w:pPr>
      <w:spacing w:after="120"/>
      <w:ind w:left="360"/>
    </w:pPr>
  </w:style>
  <w:style w:type="character" w:customStyle="1" w:styleId="BodyTextIndentChar">
    <w:name w:val="Body Text Indent Char"/>
    <w:basedOn w:val="DefaultParagraphFont"/>
    <w:link w:val="BodyTextIndent"/>
    <w:rsid w:val="001A6832"/>
    <w:rPr>
      <w:sz w:val="24"/>
      <w:szCs w:val="24"/>
    </w:rPr>
  </w:style>
  <w:style w:type="paragraph" w:styleId="BodyTextFirstIndent2">
    <w:name w:val="Body Text First Indent 2"/>
    <w:basedOn w:val="BodyTextIndent"/>
    <w:link w:val="BodyTextFirstIndent2Char"/>
    <w:rsid w:val="001A6832"/>
    <w:pPr>
      <w:ind w:firstLine="210"/>
    </w:pPr>
  </w:style>
  <w:style w:type="character" w:customStyle="1" w:styleId="BodyTextFirstIndent2Char">
    <w:name w:val="Body Text First Indent 2 Char"/>
    <w:basedOn w:val="BodyTextIndentChar"/>
    <w:link w:val="BodyTextFirstIndent2"/>
    <w:rsid w:val="001A6832"/>
    <w:rPr>
      <w:sz w:val="24"/>
      <w:szCs w:val="24"/>
    </w:rPr>
  </w:style>
  <w:style w:type="paragraph" w:styleId="BodyTextIndent2">
    <w:name w:val="Body Text Indent 2"/>
    <w:basedOn w:val="Normal"/>
    <w:link w:val="BodyTextIndent2Char"/>
    <w:rsid w:val="001A6832"/>
    <w:pPr>
      <w:spacing w:after="120" w:line="480" w:lineRule="auto"/>
      <w:ind w:left="360"/>
    </w:pPr>
  </w:style>
  <w:style w:type="character" w:customStyle="1" w:styleId="BodyTextIndent2Char">
    <w:name w:val="Body Text Indent 2 Char"/>
    <w:basedOn w:val="DefaultParagraphFont"/>
    <w:link w:val="BodyTextIndent2"/>
    <w:rsid w:val="001A6832"/>
    <w:rPr>
      <w:sz w:val="24"/>
      <w:szCs w:val="24"/>
    </w:rPr>
  </w:style>
  <w:style w:type="paragraph" w:styleId="BodyTextIndent3">
    <w:name w:val="Body Text Indent 3"/>
    <w:basedOn w:val="Normal"/>
    <w:link w:val="BodyTextIndent3Char"/>
    <w:rsid w:val="001A6832"/>
    <w:pPr>
      <w:spacing w:after="120"/>
      <w:ind w:left="360"/>
    </w:pPr>
    <w:rPr>
      <w:sz w:val="16"/>
      <w:szCs w:val="16"/>
    </w:rPr>
  </w:style>
  <w:style w:type="character" w:customStyle="1" w:styleId="BodyTextIndent3Char">
    <w:name w:val="Body Text Indent 3 Char"/>
    <w:basedOn w:val="DefaultParagraphFont"/>
    <w:link w:val="BodyTextIndent3"/>
    <w:rsid w:val="001A6832"/>
    <w:rPr>
      <w:sz w:val="16"/>
      <w:szCs w:val="16"/>
    </w:rPr>
  </w:style>
  <w:style w:type="paragraph" w:styleId="Caption">
    <w:name w:val="caption"/>
    <w:basedOn w:val="Normal"/>
    <w:next w:val="Normal"/>
    <w:qFormat/>
    <w:rsid w:val="001A6832"/>
    <w:pPr>
      <w:spacing w:before="120" w:after="120"/>
    </w:pPr>
    <w:rPr>
      <w:b/>
      <w:bCs/>
      <w:sz w:val="20"/>
      <w:szCs w:val="20"/>
    </w:rPr>
  </w:style>
  <w:style w:type="paragraph" w:styleId="Closing">
    <w:name w:val="Closing"/>
    <w:basedOn w:val="Normal"/>
    <w:link w:val="ClosingChar"/>
    <w:rsid w:val="001A6832"/>
    <w:pPr>
      <w:ind w:left="4320"/>
    </w:pPr>
  </w:style>
  <w:style w:type="character" w:customStyle="1" w:styleId="ClosingChar">
    <w:name w:val="Closing Char"/>
    <w:basedOn w:val="DefaultParagraphFont"/>
    <w:link w:val="Closing"/>
    <w:rsid w:val="001A6832"/>
    <w:rPr>
      <w:sz w:val="24"/>
      <w:szCs w:val="24"/>
    </w:rPr>
  </w:style>
  <w:style w:type="paragraph" w:styleId="CommentText">
    <w:name w:val="annotation text"/>
    <w:basedOn w:val="Normal"/>
    <w:link w:val="CommentTextChar"/>
    <w:rsid w:val="001A6832"/>
    <w:rPr>
      <w:sz w:val="20"/>
      <w:szCs w:val="20"/>
    </w:rPr>
  </w:style>
  <w:style w:type="character" w:customStyle="1" w:styleId="CommentTextChar">
    <w:name w:val="Comment Text Char"/>
    <w:basedOn w:val="DefaultParagraphFont"/>
    <w:link w:val="CommentText"/>
    <w:rsid w:val="001A6832"/>
  </w:style>
  <w:style w:type="paragraph" w:styleId="CommentSubject">
    <w:name w:val="annotation subject"/>
    <w:basedOn w:val="CommentText"/>
    <w:next w:val="CommentText"/>
    <w:link w:val="CommentSubjectChar"/>
    <w:rsid w:val="001A6832"/>
    <w:rPr>
      <w:b/>
      <w:bCs/>
    </w:rPr>
  </w:style>
  <w:style w:type="character" w:customStyle="1" w:styleId="CommentSubjectChar">
    <w:name w:val="Comment Subject Char"/>
    <w:basedOn w:val="CommentTextChar"/>
    <w:link w:val="CommentSubject"/>
    <w:rsid w:val="001A6832"/>
    <w:rPr>
      <w:b/>
      <w:bCs/>
    </w:rPr>
  </w:style>
  <w:style w:type="paragraph" w:styleId="Date">
    <w:name w:val="Date"/>
    <w:basedOn w:val="Normal"/>
    <w:next w:val="Normal"/>
    <w:link w:val="DateChar"/>
    <w:rsid w:val="001A6832"/>
  </w:style>
  <w:style w:type="character" w:customStyle="1" w:styleId="DateChar">
    <w:name w:val="Date Char"/>
    <w:basedOn w:val="DefaultParagraphFont"/>
    <w:link w:val="Date"/>
    <w:rsid w:val="001A6832"/>
    <w:rPr>
      <w:sz w:val="24"/>
      <w:szCs w:val="24"/>
    </w:rPr>
  </w:style>
  <w:style w:type="paragraph" w:styleId="E-mailSignature">
    <w:name w:val="E-mail Signature"/>
    <w:basedOn w:val="Normal"/>
    <w:link w:val="E-mailSignatureChar"/>
    <w:rsid w:val="001A6832"/>
  </w:style>
  <w:style w:type="character" w:customStyle="1" w:styleId="E-mailSignatureChar">
    <w:name w:val="E-mail Signature Char"/>
    <w:basedOn w:val="DefaultParagraphFont"/>
    <w:link w:val="E-mailSignature"/>
    <w:rsid w:val="001A6832"/>
    <w:rPr>
      <w:sz w:val="24"/>
      <w:szCs w:val="24"/>
    </w:rPr>
  </w:style>
  <w:style w:type="paragraph" w:styleId="EndnoteText">
    <w:name w:val="endnote text"/>
    <w:basedOn w:val="Normal"/>
    <w:link w:val="EndnoteTextChar"/>
    <w:rsid w:val="001A6832"/>
    <w:rPr>
      <w:sz w:val="20"/>
      <w:szCs w:val="20"/>
    </w:rPr>
  </w:style>
  <w:style w:type="character" w:customStyle="1" w:styleId="EndnoteTextChar">
    <w:name w:val="Endnote Text Char"/>
    <w:basedOn w:val="DefaultParagraphFont"/>
    <w:link w:val="EndnoteText"/>
    <w:rsid w:val="001A6832"/>
  </w:style>
  <w:style w:type="paragraph" w:styleId="EnvelopeAddress">
    <w:name w:val="envelope address"/>
    <w:basedOn w:val="Normal"/>
    <w:rsid w:val="001A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6832"/>
    <w:rPr>
      <w:rFonts w:ascii="Arial" w:hAnsi="Arial" w:cs="Arial"/>
      <w:sz w:val="20"/>
      <w:szCs w:val="20"/>
    </w:rPr>
  </w:style>
  <w:style w:type="paragraph" w:styleId="HTMLAddress">
    <w:name w:val="HTML Address"/>
    <w:basedOn w:val="Normal"/>
    <w:link w:val="HTMLAddressChar"/>
    <w:uiPriority w:val="99"/>
    <w:rsid w:val="001A6832"/>
    <w:rPr>
      <w:i/>
      <w:iCs/>
    </w:rPr>
  </w:style>
  <w:style w:type="character" w:customStyle="1" w:styleId="HTMLAddressChar">
    <w:name w:val="HTML Address Char"/>
    <w:basedOn w:val="DefaultParagraphFont"/>
    <w:link w:val="HTMLAddress"/>
    <w:uiPriority w:val="99"/>
    <w:rsid w:val="001A6832"/>
    <w:rPr>
      <w:i/>
      <w:iCs/>
      <w:sz w:val="24"/>
      <w:szCs w:val="24"/>
    </w:rPr>
  </w:style>
  <w:style w:type="paragraph" w:styleId="HTMLPreformatted">
    <w:name w:val="HTML Preformatted"/>
    <w:basedOn w:val="Normal"/>
    <w:link w:val="HTMLPreformattedChar"/>
    <w:rsid w:val="001A6832"/>
    <w:rPr>
      <w:rFonts w:ascii="Courier New" w:hAnsi="Courier New" w:cs="Courier New"/>
      <w:sz w:val="20"/>
      <w:szCs w:val="20"/>
    </w:rPr>
  </w:style>
  <w:style w:type="character" w:customStyle="1" w:styleId="HTMLPreformattedChar">
    <w:name w:val="HTML Preformatted Char"/>
    <w:basedOn w:val="DefaultParagraphFont"/>
    <w:link w:val="HTMLPreformatted"/>
    <w:rsid w:val="001A6832"/>
    <w:rPr>
      <w:rFonts w:ascii="Courier New" w:hAnsi="Courier New" w:cs="Courier New"/>
    </w:rPr>
  </w:style>
  <w:style w:type="paragraph" w:styleId="Index1">
    <w:name w:val="index 1"/>
    <w:basedOn w:val="Normal"/>
    <w:next w:val="Normal"/>
    <w:autoRedefine/>
    <w:rsid w:val="001A6832"/>
    <w:pPr>
      <w:ind w:left="240" w:hanging="240"/>
    </w:pPr>
  </w:style>
  <w:style w:type="paragraph" w:styleId="Index2">
    <w:name w:val="index 2"/>
    <w:basedOn w:val="Normal"/>
    <w:next w:val="Normal"/>
    <w:autoRedefine/>
    <w:rsid w:val="001A6832"/>
    <w:pPr>
      <w:ind w:left="480" w:hanging="240"/>
    </w:pPr>
  </w:style>
  <w:style w:type="paragraph" w:styleId="Index3">
    <w:name w:val="index 3"/>
    <w:basedOn w:val="Normal"/>
    <w:next w:val="Normal"/>
    <w:autoRedefine/>
    <w:rsid w:val="001A6832"/>
    <w:pPr>
      <w:ind w:left="720" w:hanging="240"/>
    </w:pPr>
  </w:style>
  <w:style w:type="paragraph" w:styleId="Index4">
    <w:name w:val="index 4"/>
    <w:basedOn w:val="Normal"/>
    <w:next w:val="Normal"/>
    <w:autoRedefine/>
    <w:rsid w:val="001A6832"/>
    <w:pPr>
      <w:ind w:left="960" w:hanging="240"/>
    </w:pPr>
  </w:style>
  <w:style w:type="paragraph" w:styleId="Index5">
    <w:name w:val="index 5"/>
    <w:basedOn w:val="Normal"/>
    <w:next w:val="Normal"/>
    <w:autoRedefine/>
    <w:rsid w:val="001A6832"/>
    <w:pPr>
      <w:ind w:left="1200" w:hanging="240"/>
    </w:pPr>
  </w:style>
  <w:style w:type="paragraph" w:styleId="Index6">
    <w:name w:val="index 6"/>
    <w:basedOn w:val="Normal"/>
    <w:next w:val="Normal"/>
    <w:autoRedefine/>
    <w:rsid w:val="001A6832"/>
    <w:pPr>
      <w:ind w:left="1440" w:hanging="240"/>
    </w:pPr>
  </w:style>
  <w:style w:type="paragraph" w:styleId="Index7">
    <w:name w:val="index 7"/>
    <w:basedOn w:val="Normal"/>
    <w:next w:val="Normal"/>
    <w:autoRedefine/>
    <w:rsid w:val="001A6832"/>
    <w:pPr>
      <w:ind w:left="1680" w:hanging="240"/>
    </w:pPr>
  </w:style>
  <w:style w:type="paragraph" w:styleId="Index8">
    <w:name w:val="index 8"/>
    <w:basedOn w:val="Normal"/>
    <w:next w:val="Normal"/>
    <w:autoRedefine/>
    <w:rsid w:val="001A6832"/>
    <w:pPr>
      <w:ind w:left="1920" w:hanging="240"/>
    </w:pPr>
  </w:style>
  <w:style w:type="paragraph" w:styleId="Index9">
    <w:name w:val="index 9"/>
    <w:basedOn w:val="Normal"/>
    <w:next w:val="Normal"/>
    <w:autoRedefine/>
    <w:rsid w:val="001A6832"/>
    <w:pPr>
      <w:ind w:left="2160" w:hanging="240"/>
    </w:pPr>
  </w:style>
  <w:style w:type="paragraph" w:styleId="IndexHeading">
    <w:name w:val="index heading"/>
    <w:basedOn w:val="Normal"/>
    <w:next w:val="Index1"/>
    <w:rsid w:val="001A6832"/>
    <w:rPr>
      <w:rFonts w:ascii="Arial" w:hAnsi="Arial" w:cs="Arial"/>
      <w:b/>
      <w:bCs/>
    </w:rPr>
  </w:style>
  <w:style w:type="paragraph" w:styleId="List">
    <w:name w:val="List"/>
    <w:basedOn w:val="Normal"/>
    <w:rsid w:val="001A6832"/>
    <w:pPr>
      <w:ind w:left="360" w:hanging="360"/>
    </w:pPr>
  </w:style>
  <w:style w:type="paragraph" w:styleId="List2">
    <w:name w:val="List 2"/>
    <w:basedOn w:val="Normal"/>
    <w:rsid w:val="001A6832"/>
    <w:pPr>
      <w:ind w:left="720" w:hanging="360"/>
    </w:pPr>
  </w:style>
  <w:style w:type="paragraph" w:styleId="List3">
    <w:name w:val="List 3"/>
    <w:basedOn w:val="Normal"/>
    <w:rsid w:val="001A6832"/>
    <w:pPr>
      <w:ind w:left="1080" w:hanging="360"/>
    </w:pPr>
  </w:style>
  <w:style w:type="paragraph" w:styleId="List4">
    <w:name w:val="List 4"/>
    <w:basedOn w:val="Normal"/>
    <w:rsid w:val="001A6832"/>
    <w:pPr>
      <w:ind w:left="1440" w:hanging="360"/>
    </w:pPr>
  </w:style>
  <w:style w:type="paragraph" w:styleId="List5">
    <w:name w:val="List 5"/>
    <w:basedOn w:val="Normal"/>
    <w:rsid w:val="001A6832"/>
    <w:pPr>
      <w:ind w:left="1800" w:hanging="360"/>
    </w:pPr>
  </w:style>
  <w:style w:type="paragraph" w:styleId="ListBullet">
    <w:name w:val="List Bullet"/>
    <w:basedOn w:val="Normal"/>
    <w:autoRedefine/>
    <w:rsid w:val="001A6832"/>
    <w:pPr>
      <w:tabs>
        <w:tab w:val="num" w:pos="360"/>
      </w:tabs>
      <w:ind w:left="360" w:hanging="360"/>
    </w:pPr>
  </w:style>
  <w:style w:type="paragraph" w:styleId="ListBullet2">
    <w:name w:val="List Bullet 2"/>
    <w:basedOn w:val="Normal"/>
    <w:autoRedefine/>
    <w:rsid w:val="001A6832"/>
    <w:pPr>
      <w:tabs>
        <w:tab w:val="num" w:pos="720"/>
      </w:tabs>
      <w:ind w:left="720" w:hanging="360"/>
    </w:pPr>
  </w:style>
  <w:style w:type="paragraph" w:styleId="ListBullet3">
    <w:name w:val="List Bullet 3"/>
    <w:basedOn w:val="Normal"/>
    <w:autoRedefine/>
    <w:rsid w:val="001A6832"/>
    <w:pPr>
      <w:tabs>
        <w:tab w:val="num" w:pos="1080"/>
      </w:tabs>
      <w:ind w:left="1080" w:hanging="360"/>
    </w:pPr>
  </w:style>
  <w:style w:type="paragraph" w:styleId="ListBullet4">
    <w:name w:val="List Bullet 4"/>
    <w:basedOn w:val="Normal"/>
    <w:autoRedefine/>
    <w:rsid w:val="001A6832"/>
    <w:pPr>
      <w:tabs>
        <w:tab w:val="num" w:pos="1440"/>
      </w:tabs>
      <w:ind w:left="1440" w:hanging="360"/>
    </w:pPr>
  </w:style>
  <w:style w:type="paragraph" w:styleId="ListBullet5">
    <w:name w:val="List Bullet 5"/>
    <w:basedOn w:val="Normal"/>
    <w:autoRedefine/>
    <w:rsid w:val="001A6832"/>
    <w:pPr>
      <w:tabs>
        <w:tab w:val="num" w:pos="1800"/>
      </w:tabs>
      <w:ind w:left="1800" w:hanging="360"/>
    </w:pPr>
  </w:style>
  <w:style w:type="paragraph" w:styleId="ListContinue">
    <w:name w:val="List Continue"/>
    <w:basedOn w:val="Normal"/>
    <w:rsid w:val="001A6832"/>
    <w:pPr>
      <w:spacing w:after="120"/>
      <w:ind w:left="360"/>
    </w:pPr>
  </w:style>
  <w:style w:type="paragraph" w:styleId="ListContinue2">
    <w:name w:val="List Continue 2"/>
    <w:basedOn w:val="Normal"/>
    <w:rsid w:val="001A6832"/>
    <w:pPr>
      <w:spacing w:after="120"/>
      <w:ind w:left="720"/>
    </w:pPr>
  </w:style>
  <w:style w:type="paragraph" w:styleId="ListContinue3">
    <w:name w:val="List Continue 3"/>
    <w:basedOn w:val="Normal"/>
    <w:rsid w:val="001A6832"/>
    <w:pPr>
      <w:spacing w:after="120"/>
      <w:ind w:left="1080"/>
    </w:pPr>
  </w:style>
  <w:style w:type="paragraph" w:styleId="ListContinue4">
    <w:name w:val="List Continue 4"/>
    <w:basedOn w:val="Normal"/>
    <w:rsid w:val="001A6832"/>
    <w:pPr>
      <w:spacing w:after="120"/>
      <w:ind w:left="1440"/>
    </w:pPr>
  </w:style>
  <w:style w:type="paragraph" w:styleId="ListContinue5">
    <w:name w:val="List Continue 5"/>
    <w:basedOn w:val="Normal"/>
    <w:rsid w:val="001A6832"/>
    <w:pPr>
      <w:spacing w:after="120"/>
      <w:ind w:left="1800"/>
    </w:pPr>
  </w:style>
  <w:style w:type="paragraph" w:styleId="ListNumber">
    <w:name w:val="List Number"/>
    <w:basedOn w:val="Normal"/>
    <w:rsid w:val="001A6832"/>
    <w:pPr>
      <w:tabs>
        <w:tab w:val="num" w:pos="360"/>
      </w:tabs>
      <w:ind w:left="360" w:hanging="360"/>
    </w:pPr>
  </w:style>
  <w:style w:type="paragraph" w:styleId="ListNumber2">
    <w:name w:val="List Number 2"/>
    <w:basedOn w:val="Normal"/>
    <w:rsid w:val="001A6832"/>
    <w:pPr>
      <w:tabs>
        <w:tab w:val="num" w:pos="720"/>
      </w:tabs>
      <w:ind w:left="720" w:hanging="360"/>
    </w:pPr>
  </w:style>
  <w:style w:type="paragraph" w:styleId="ListNumber3">
    <w:name w:val="List Number 3"/>
    <w:basedOn w:val="Normal"/>
    <w:rsid w:val="001A6832"/>
    <w:pPr>
      <w:tabs>
        <w:tab w:val="num" w:pos="1080"/>
      </w:tabs>
      <w:ind w:left="1080" w:hanging="360"/>
    </w:pPr>
  </w:style>
  <w:style w:type="paragraph" w:styleId="ListNumber4">
    <w:name w:val="List Number 4"/>
    <w:basedOn w:val="Normal"/>
    <w:rsid w:val="001A6832"/>
    <w:pPr>
      <w:tabs>
        <w:tab w:val="num" w:pos="1440"/>
      </w:tabs>
      <w:ind w:left="1440" w:hanging="360"/>
    </w:pPr>
  </w:style>
  <w:style w:type="paragraph" w:styleId="ListNumber5">
    <w:name w:val="List Number 5"/>
    <w:basedOn w:val="Normal"/>
    <w:rsid w:val="001A6832"/>
    <w:pPr>
      <w:tabs>
        <w:tab w:val="num" w:pos="1800"/>
      </w:tabs>
      <w:ind w:left="1800" w:hanging="360"/>
    </w:pPr>
  </w:style>
  <w:style w:type="paragraph" w:styleId="MacroText">
    <w:name w:val="macro"/>
    <w:link w:val="MacroTextChar"/>
    <w:rsid w:val="001A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A6832"/>
    <w:rPr>
      <w:rFonts w:ascii="Courier New" w:hAnsi="Courier New" w:cs="Courier New"/>
    </w:rPr>
  </w:style>
  <w:style w:type="paragraph" w:styleId="MessageHeader">
    <w:name w:val="Message Header"/>
    <w:basedOn w:val="Normal"/>
    <w:link w:val="MessageHeaderChar"/>
    <w:rsid w:val="001A683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A6832"/>
    <w:rPr>
      <w:rFonts w:ascii="Arial" w:hAnsi="Arial" w:cs="Arial"/>
      <w:sz w:val="24"/>
      <w:szCs w:val="24"/>
      <w:shd w:val="pct20" w:color="auto" w:fill="auto"/>
    </w:rPr>
  </w:style>
  <w:style w:type="paragraph" w:styleId="NormalWeb">
    <w:name w:val="Normal (Web)"/>
    <w:basedOn w:val="Normal"/>
    <w:rsid w:val="001A6832"/>
  </w:style>
  <w:style w:type="paragraph" w:styleId="NormalIndent">
    <w:name w:val="Normal Indent"/>
    <w:basedOn w:val="Normal"/>
    <w:rsid w:val="001A6832"/>
    <w:pPr>
      <w:ind w:left="720"/>
    </w:pPr>
  </w:style>
  <w:style w:type="paragraph" w:styleId="NoteHeading">
    <w:name w:val="Note Heading"/>
    <w:basedOn w:val="Normal"/>
    <w:next w:val="Normal"/>
    <w:link w:val="NoteHeadingChar"/>
    <w:rsid w:val="001A6832"/>
  </w:style>
  <w:style w:type="character" w:customStyle="1" w:styleId="NoteHeadingChar">
    <w:name w:val="Note Heading Char"/>
    <w:basedOn w:val="DefaultParagraphFont"/>
    <w:link w:val="NoteHeading"/>
    <w:rsid w:val="001A6832"/>
    <w:rPr>
      <w:sz w:val="24"/>
      <w:szCs w:val="24"/>
    </w:rPr>
  </w:style>
  <w:style w:type="paragraph" w:styleId="PlainText">
    <w:name w:val="Plain Text"/>
    <w:basedOn w:val="Normal"/>
    <w:link w:val="PlainTextChar"/>
    <w:rsid w:val="001A6832"/>
    <w:rPr>
      <w:rFonts w:ascii="Courier New" w:hAnsi="Courier New" w:cs="Courier New"/>
      <w:sz w:val="20"/>
      <w:szCs w:val="20"/>
    </w:rPr>
  </w:style>
  <w:style w:type="character" w:customStyle="1" w:styleId="PlainTextChar">
    <w:name w:val="Plain Text Char"/>
    <w:basedOn w:val="DefaultParagraphFont"/>
    <w:link w:val="PlainText"/>
    <w:rsid w:val="001A6832"/>
    <w:rPr>
      <w:rFonts w:ascii="Courier New" w:hAnsi="Courier New" w:cs="Courier New"/>
    </w:rPr>
  </w:style>
  <w:style w:type="paragraph" w:styleId="Salutation">
    <w:name w:val="Salutation"/>
    <w:basedOn w:val="Normal"/>
    <w:next w:val="Normal"/>
    <w:link w:val="SalutationChar"/>
    <w:rsid w:val="001A6832"/>
  </w:style>
  <w:style w:type="character" w:customStyle="1" w:styleId="SalutationChar">
    <w:name w:val="Salutation Char"/>
    <w:basedOn w:val="DefaultParagraphFont"/>
    <w:link w:val="Salutation"/>
    <w:rsid w:val="001A6832"/>
    <w:rPr>
      <w:sz w:val="24"/>
      <w:szCs w:val="24"/>
    </w:rPr>
  </w:style>
  <w:style w:type="paragraph" w:styleId="Signature">
    <w:name w:val="Signature"/>
    <w:basedOn w:val="Normal"/>
    <w:link w:val="SignatureChar"/>
    <w:rsid w:val="001A6832"/>
    <w:pPr>
      <w:ind w:left="4320"/>
    </w:pPr>
  </w:style>
  <w:style w:type="character" w:customStyle="1" w:styleId="SignatureChar">
    <w:name w:val="Signature Char"/>
    <w:basedOn w:val="DefaultParagraphFont"/>
    <w:link w:val="Signature"/>
    <w:rsid w:val="001A6832"/>
    <w:rPr>
      <w:sz w:val="24"/>
      <w:szCs w:val="24"/>
    </w:rPr>
  </w:style>
  <w:style w:type="paragraph" w:styleId="Subtitle">
    <w:name w:val="Subtitle"/>
    <w:basedOn w:val="Normal"/>
    <w:link w:val="SubtitleChar"/>
    <w:qFormat/>
    <w:rsid w:val="001A6832"/>
    <w:pPr>
      <w:spacing w:after="60"/>
      <w:jc w:val="center"/>
      <w:outlineLvl w:val="1"/>
    </w:pPr>
    <w:rPr>
      <w:rFonts w:ascii="Arial" w:hAnsi="Arial" w:cs="Arial"/>
    </w:rPr>
  </w:style>
  <w:style w:type="character" w:customStyle="1" w:styleId="SubtitleChar">
    <w:name w:val="Subtitle Char"/>
    <w:basedOn w:val="DefaultParagraphFont"/>
    <w:link w:val="Subtitle"/>
    <w:rsid w:val="001A6832"/>
    <w:rPr>
      <w:rFonts w:ascii="Arial" w:hAnsi="Arial" w:cs="Arial"/>
      <w:sz w:val="24"/>
      <w:szCs w:val="24"/>
    </w:rPr>
  </w:style>
  <w:style w:type="paragraph" w:styleId="TableofAuthorities">
    <w:name w:val="table of authorities"/>
    <w:basedOn w:val="Normal"/>
    <w:next w:val="Normal"/>
    <w:rsid w:val="001A6832"/>
    <w:pPr>
      <w:ind w:left="240" w:hanging="240"/>
    </w:pPr>
  </w:style>
  <w:style w:type="paragraph" w:styleId="TableofFigures">
    <w:name w:val="table of figures"/>
    <w:basedOn w:val="Normal"/>
    <w:next w:val="Normal"/>
    <w:rsid w:val="001A6832"/>
    <w:pPr>
      <w:ind w:left="480" w:hanging="480"/>
    </w:pPr>
  </w:style>
  <w:style w:type="paragraph" w:styleId="Title">
    <w:name w:val="Title"/>
    <w:basedOn w:val="Normal"/>
    <w:link w:val="TitleChar"/>
    <w:qFormat/>
    <w:rsid w:val="001A683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6832"/>
    <w:rPr>
      <w:rFonts w:ascii="Arial" w:hAnsi="Arial" w:cs="Arial"/>
      <w:b/>
      <w:bCs/>
      <w:kern w:val="28"/>
      <w:sz w:val="32"/>
      <w:szCs w:val="32"/>
    </w:rPr>
  </w:style>
  <w:style w:type="paragraph" w:styleId="TOAHeading">
    <w:name w:val="toa heading"/>
    <w:basedOn w:val="Normal"/>
    <w:next w:val="Normal"/>
    <w:rsid w:val="001A6832"/>
    <w:pPr>
      <w:spacing w:before="120"/>
    </w:pPr>
    <w:rPr>
      <w:rFonts w:ascii="Arial" w:hAnsi="Arial" w:cs="Arial"/>
      <w:b/>
      <w:bCs/>
    </w:rPr>
  </w:style>
  <w:style w:type="paragraph" w:styleId="TOC4">
    <w:name w:val="toc 4"/>
    <w:basedOn w:val="Normal"/>
    <w:next w:val="Normal"/>
    <w:autoRedefine/>
    <w:rsid w:val="001A6832"/>
    <w:pPr>
      <w:ind w:left="720"/>
    </w:pPr>
  </w:style>
  <w:style w:type="paragraph" w:styleId="TOC5">
    <w:name w:val="toc 5"/>
    <w:basedOn w:val="Normal"/>
    <w:next w:val="Normal"/>
    <w:autoRedefine/>
    <w:rsid w:val="001A6832"/>
    <w:pPr>
      <w:ind w:left="960"/>
    </w:pPr>
  </w:style>
  <w:style w:type="paragraph" w:styleId="TOC6">
    <w:name w:val="toc 6"/>
    <w:basedOn w:val="Normal"/>
    <w:next w:val="Normal"/>
    <w:autoRedefine/>
    <w:rsid w:val="001A6832"/>
    <w:pPr>
      <w:ind w:left="1200"/>
    </w:pPr>
  </w:style>
  <w:style w:type="paragraph" w:styleId="TOC9">
    <w:name w:val="toc 9"/>
    <w:basedOn w:val="TOC1"/>
    <w:next w:val="Normal"/>
    <w:autoRedefine/>
    <w:rsid w:val="001A6832"/>
    <w:pPr>
      <w:ind w:left="1728"/>
    </w:pPr>
    <w:rPr>
      <w:u w:val="single"/>
    </w:rPr>
  </w:style>
  <w:style w:type="paragraph" w:customStyle="1" w:styleId="MemoHeadingLabel">
    <w:name w:val="Memo Heading Label"/>
    <w:basedOn w:val="MemoHeading"/>
    <w:qFormat/>
    <w:rsid w:val="001A6832"/>
    <w:rPr>
      <w:rFonts w:ascii="Arial" w:hAnsi="Arial"/>
      <w:b/>
    </w:rPr>
  </w:style>
  <w:style w:type="paragraph" w:customStyle="1" w:styleId="First-LevelSubheading">
    <w:name w:val="First-Level Subheading"/>
    <w:basedOn w:val="IssueSubsectionHeading"/>
    <w:next w:val="BodyText"/>
    <w:qFormat/>
    <w:rsid w:val="001A6832"/>
    <w:pPr>
      <w:spacing w:after="0"/>
      <w:outlineLvl w:val="2"/>
    </w:pPr>
    <w:rPr>
      <w:i w:val="0"/>
    </w:rPr>
  </w:style>
  <w:style w:type="paragraph" w:customStyle="1" w:styleId="Second-LevelSubheading">
    <w:name w:val="Second-Level Subheading"/>
    <w:basedOn w:val="First-LevelSubheading"/>
    <w:next w:val="BodyText"/>
    <w:qFormat/>
    <w:rsid w:val="001A6832"/>
    <w:pPr>
      <w:ind w:left="720"/>
      <w:outlineLvl w:val="3"/>
    </w:pPr>
    <w:rPr>
      <w:i/>
    </w:rPr>
  </w:style>
  <w:style w:type="paragraph" w:customStyle="1" w:styleId="TableNumber">
    <w:name w:val="Table Number"/>
    <w:basedOn w:val="BodyText"/>
    <w:next w:val="BodyText"/>
    <w:qFormat/>
    <w:rsid w:val="001A6832"/>
    <w:pPr>
      <w:spacing w:before="480" w:after="0"/>
      <w:jc w:val="center"/>
    </w:pPr>
    <w:rPr>
      <w:rFonts w:ascii="Arial" w:hAnsi="Arial"/>
      <w:b/>
    </w:rPr>
  </w:style>
  <w:style w:type="paragraph" w:customStyle="1" w:styleId="TableTitle">
    <w:name w:val="Table Title"/>
    <w:basedOn w:val="BodyText"/>
    <w:next w:val="BodyText"/>
    <w:qFormat/>
    <w:rsid w:val="001A6832"/>
    <w:pPr>
      <w:spacing w:after="0"/>
      <w:jc w:val="center"/>
    </w:pPr>
    <w:rPr>
      <w:rFonts w:ascii="Arial" w:hAnsi="Arial"/>
      <w:b/>
    </w:rPr>
  </w:style>
  <w:style w:type="paragraph" w:customStyle="1" w:styleId="TableSource">
    <w:name w:val="Table Source"/>
    <w:basedOn w:val="BodyText"/>
    <w:next w:val="BodyText"/>
    <w:qFormat/>
    <w:rsid w:val="001A6832"/>
    <w:pPr>
      <w:spacing w:after="480"/>
      <w:jc w:val="both"/>
    </w:pPr>
  </w:style>
  <w:style w:type="paragraph" w:customStyle="1" w:styleId="PartyName">
    <w:name w:val="Party Name"/>
    <w:basedOn w:val="IssueSubsectionHeading"/>
    <w:next w:val="BodyText"/>
    <w:qFormat/>
    <w:rsid w:val="001A6832"/>
    <w:rPr>
      <w:i w:val="0"/>
    </w:rPr>
  </w:style>
  <w:style w:type="paragraph" w:customStyle="1" w:styleId="Third-LevelSubheading">
    <w:name w:val="Third-Level Subheading"/>
    <w:basedOn w:val="Second-LevelSubheading"/>
    <w:next w:val="BodyText"/>
    <w:qFormat/>
    <w:rsid w:val="001A6832"/>
    <w:pPr>
      <w:ind w:left="1440"/>
      <w:outlineLvl w:val="4"/>
    </w:pPr>
  </w:style>
  <w:style w:type="character" w:customStyle="1" w:styleId="FootnoteTextChar">
    <w:name w:val="Footnote Text Char"/>
    <w:link w:val="FootnoteText"/>
    <w:uiPriority w:val="99"/>
    <w:rsid w:val="001A6832"/>
  </w:style>
  <w:style w:type="paragraph" w:styleId="ListParagraph">
    <w:name w:val="List Paragraph"/>
    <w:basedOn w:val="Normal"/>
    <w:uiPriority w:val="34"/>
    <w:qFormat/>
    <w:rsid w:val="001A6832"/>
    <w:pPr>
      <w:ind w:left="720"/>
      <w:contextualSpacing/>
    </w:pPr>
  </w:style>
  <w:style w:type="numbering" w:styleId="111111">
    <w:name w:val="Outline List 2"/>
    <w:basedOn w:val="NoList"/>
    <w:rsid w:val="001A6832"/>
    <w:pPr>
      <w:numPr>
        <w:numId w:val="12"/>
      </w:numPr>
    </w:pPr>
  </w:style>
  <w:style w:type="paragraph" w:customStyle="1" w:styleId="Default">
    <w:name w:val="Default"/>
    <w:rsid w:val="001A6832"/>
    <w:pPr>
      <w:autoSpaceDE w:val="0"/>
      <w:autoSpaceDN w:val="0"/>
      <w:adjustRightInd w:val="0"/>
    </w:pPr>
    <w:rPr>
      <w:rFonts w:eastAsia="Calibri"/>
      <w:color w:val="000000"/>
      <w:sz w:val="24"/>
      <w:szCs w:val="24"/>
    </w:rPr>
  </w:style>
  <w:style w:type="table" w:customStyle="1" w:styleId="TableGrid1">
    <w:name w:val="Table Grid1"/>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1A6832"/>
  </w:style>
  <w:style w:type="table" w:customStyle="1" w:styleId="TableGrid3">
    <w:name w:val="Table Grid3"/>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1A6832"/>
  </w:style>
  <w:style w:type="character" w:styleId="EndnoteReference">
    <w:name w:val="endnote reference"/>
    <w:rsid w:val="001A6832"/>
    <w:rPr>
      <w:vertAlign w:val="superscript"/>
    </w:rPr>
  </w:style>
  <w:style w:type="numbering" w:customStyle="1" w:styleId="1111113">
    <w:name w:val="1 / 1.1 / 1.1.13"/>
    <w:basedOn w:val="NoList"/>
    <w:next w:val="111111"/>
    <w:rsid w:val="001A6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ddress"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1A6832"/>
    <w:pPr>
      <w:spacing w:before="120"/>
      <w:ind w:left="1008" w:hanging="1008"/>
      <w:jc w:val="both"/>
    </w:pPr>
  </w:style>
  <w:style w:type="paragraph" w:customStyle="1" w:styleId="MastHeadPSC">
    <w:name w:val="MastHead PSC"/>
    <w:basedOn w:val="Normal"/>
    <w:next w:val="Normal"/>
    <w:rsid w:val="001A6832"/>
    <w:pPr>
      <w:jc w:val="center"/>
    </w:pPr>
    <w:rPr>
      <w:b/>
      <w:sz w:val="48"/>
      <w:szCs w:val="48"/>
    </w:rPr>
  </w:style>
  <w:style w:type="paragraph" w:customStyle="1" w:styleId="MastHeadMemorandum">
    <w:name w:val="MastHead Memorandum"/>
    <w:basedOn w:val="Normal"/>
    <w:next w:val="Normal"/>
    <w:rsid w:val="001A6832"/>
    <w:pPr>
      <w:jc w:val="center"/>
    </w:pPr>
    <w:rPr>
      <w:b/>
      <w:sz w:val="28"/>
      <w:szCs w:val="28"/>
    </w:rPr>
  </w:style>
  <w:style w:type="paragraph" w:customStyle="1" w:styleId="MastHeadAddress">
    <w:name w:val="MastHead Address"/>
    <w:basedOn w:val="Normal"/>
    <w:next w:val="Normal"/>
    <w:rsid w:val="001A6832"/>
    <w:pPr>
      <w:spacing w:after="200"/>
      <w:jc w:val="center"/>
    </w:pPr>
    <w:rPr>
      <w:b/>
      <w:smallCaps/>
      <w:sz w:val="20"/>
      <w:szCs w:val="20"/>
    </w:rPr>
  </w:style>
  <w:style w:type="paragraph" w:customStyle="1" w:styleId="MastHeadState">
    <w:name w:val="MastHead State"/>
    <w:basedOn w:val="Normal"/>
    <w:next w:val="Normal"/>
    <w:rsid w:val="001A6832"/>
    <w:pPr>
      <w:jc w:val="center"/>
    </w:pPr>
    <w:rPr>
      <w:b/>
      <w:sz w:val="28"/>
      <w:szCs w:val="28"/>
    </w:rPr>
  </w:style>
  <w:style w:type="paragraph" w:customStyle="1" w:styleId="MemoHeading">
    <w:name w:val="Memo Heading"/>
    <w:basedOn w:val="Normal"/>
    <w:next w:val="Normal"/>
    <w:rsid w:val="001A6832"/>
    <w:pPr>
      <w:jc w:val="both"/>
    </w:pPr>
  </w:style>
  <w:style w:type="paragraph" w:customStyle="1" w:styleId="BlockText5">
    <w:name w:val="Block Text .5&quot;"/>
    <w:basedOn w:val="Normal"/>
    <w:rsid w:val="001A6832"/>
    <w:pPr>
      <w:spacing w:after="120"/>
      <w:ind w:left="720" w:right="720"/>
    </w:pPr>
  </w:style>
  <w:style w:type="paragraph" w:customStyle="1" w:styleId="BlockText1">
    <w:name w:val="Block Text 1&quot;"/>
    <w:basedOn w:val="Normal"/>
    <w:rsid w:val="001A6832"/>
    <w:pPr>
      <w:spacing w:after="120"/>
      <w:ind w:left="1440" w:right="1440"/>
    </w:pPr>
  </w:style>
  <w:style w:type="paragraph" w:customStyle="1" w:styleId="BlockText15">
    <w:name w:val="Block Text 1.5&quot;"/>
    <w:basedOn w:val="Normal"/>
    <w:rsid w:val="001A6832"/>
    <w:pPr>
      <w:spacing w:after="120"/>
      <w:ind w:left="2160" w:right="2160"/>
    </w:pPr>
  </w:style>
  <w:style w:type="paragraph" w:customStyle="1" w:styleId="IssueHeading">
    <w:name w:val="Issue Heading"/>
    <w:basedOn w:val="Heading1"/>
    <w:next w:val="BodyText"/>
    <w:link w:val="IssueHeadingChar"/>
    <w:qFormat/>
    <w:rsid w:val="001A6832"/>
    <w:pPr>
      <w:keepNext w:val="0"/>
    </w:pPr>
    <w:rPr>
      <w:rFonts w:ascii="Arial" w:hAnsi="Arial"/>
      <w:b/>
      <w:i/>
    </w:rPr>
  </w:style>
  <w:style w:type="character" w:customStyle="1" w:styleId="IssueHeadingChar">
    <w:name w:val="Issue Heading Char"/>
    <w:link w:val="IssueHeading"/>
    <w:rsid w:val="001A6832"/>
    <w:rPr>
      <w:rFonts w:ascii="Arial" w:hAnsi="Arial" w:cs="Arial"/>
      <w:b/>
      <w:bCs/>
      <w:i/>
      <w:kern w:val="32"/>
      <w:sz w:val="24"/>
      <w:szCs w:val="32"/>
    </w:rPr>
  </w:style>
  <w:style w:type="paragraph" w:customStyle="1" w:styleId="MemoHeadingRe">
    <w:name w:val="Memo Heading Re"/>
    <w:basedOn w:val="MemoHeading"/>
    <w:rsid w:val="001A6832"/>
    <w:pPr>
      <w:tabs>
        <w:tab w:val="left" w:pos="2520"/>
        <w:tab w:val="left" w:pos="2736"/>
      </w:tabs>
    </w:pPr>
  </w:style>
  <w:style w:type="paragraph" w:styleId="TOC1">
    <w:name w:val="toc 1"/>
    <w:basedOn w:val="Normal"/>
    <w:next w:val="Normal"/>
    <w:uiPriority w:val="39"/>
    <w:rsid w:val="001A6832"/>
    <w:pPr>
      <w:tabs>
        <w:tab w:val="left" w:pos="864"/>
        <w:tab w:val="right" w:leader="dot" w:pos="9360"/>
      </w:tabs>
      <w:ind w:left="864" w:right="360" w:hanging="864"/>
    </w:pPr>
  </w:style>
  <w:style w:type="character" w:styleId="Hyperlink">
    <w:name w:val="Hyperlink"/>
    <w:uiPriority w:val="99"/>
    <w:rsid w:val="001A6832"/>
    <w:rPr>
      <w:color w:val="0000FF"/>
      <w:u w:val="single"/>
    </w:rPr>
  </w:style>
  <w:style w:type="paragraph" w:customStyle="1" w:styleId="RecommendationMajorSectionHeading">
    <w:name w:val="Recommendation Major Section Heading"/>
    <w:basedOn w:val="Heading1"/>
    <w:next w:val="BodyText"/>
    <w:rsid w:val="001A68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1A6832"/>
    <w:pPr>
      <w:keepNext w:val="0"/>
    </w:pPr>
    <w:rPr>
      <w:rFonts w:ascii="Arial" w:hAnsi="Arial"/>
      <w:b/>
      <w:i/>
    </w:rPr>
  </w:style>
  <w:style w:type="character" w:customStyle="1" w:styleId="IssueSubsectionHeadingChar">
    <w:name w:val="Issue Subsection Heading Char"/>
    <w:link w:val="IssueSubsectionHeading"/>
    <w:rsid w:val="001A6832"/>
    <w:rPr>
      <w:rFonts w:ascii="Arial" w:hAnsi="Arial" w:cs="Arial"/>
      <w:b/>
      <w:bCs/>
      <w:i/>
      <w:iCs/>
      <w:sz w:val="24"/>
      <w:szCs w:val="28"/>
    </w:rPr>
  </w:style>
  <w:style w:type="paragraph" w:customStyle="1" w:styleId="RecommendationHeading">
    <w:name w:val="Recommendation Heading"/>
    <w:basedOn w:val="Heading1"/>
    <w:next w:val="BodyText"/>
    <w:rsid w:val="001A6832"/>
    <w:pPr>
      <w:keepNext w:val="0"/>
      <w:jc w:val="center"/>
    </w:pPr>
    <w:rPr>
      <w:b/>
      <w:u w:val="single"/>
    </w:rPr>
  </w:style>
  <w:style w:type="paragraph" w:customStyle="1" w:styleId="DiscussionofIssues">
    <w:name w:val="Discussion of Issues"/>
    <w:basedOn w:val="RecommendationMajorSectionHeading"/>
    <w:next w:val="BodyText"/>
    <w:rsid w:val="001A6832"/>
    <w:pPr>
      <w:spacing w:after="0"/>
    </w:pPr>
  </w:style>
  <w:style w:type="paragraph" w:customStyle="1" w:styleId="TOCColumnHeadings">
    <w:name w:val="TOC Column Headings"/>
    <w:basedOn w:val="Normal"/>
    <w:rsid w:val="001A6832"/>
    <w:pPr>
      <w:tabs>
        <w:tab w:val="left" w:pos="864"/>
        <w:tab w:val="right" w:pos="9360"/>
      </w:tabs>
    </w:pPr>
    <w:rPr>
      <w:rFonts w:ascii="Arial" w:hAnsi="Arial"/>
      <w:b/>
      <w:i/>
    </w:rPr>
  </w:style>
  <w:style w:type="table" w:customStyle="1" w:styleId="TableMasthead">
    <w:name w:val="Table Masthead"/>
    <w:basedOn w:val="TableGrid"/>
    <w:rsid w:val="001A6832"/>
    <w:tblPr/>
  </w:style>
  <w:style w:type="paragraph" w:customStyle="1" w:styleId="StyleHeading1BoldUnderline">
    <w:name w:val="Style Heading 1 + Bold Underline"/>
    <w:basedOn w:val="Heading1"/>
    <w:link w:val="StyleHeading1BoldUnderlineChar"/>
    <w:rsid w:val="001A6832"/>
    <w:pPr>
      <w:keepNext w:val="0"/>
      <w:spacing w:before="240"/>
    </w:pPr>
    <w:rPr>
      <w:b/>
      <w:u w:val="single"/>
    </w:rPr>
  </w:style>
  <w:style w:type="character" w:customStyle="1" w:styleId="StyleHeading1BoldUnderlineChar">
    <w:name w:val="Style Heading 1 + Bold Underline Char"/>
    <w:link w:val="StyleHeading1BoldUnderline"/>
    <w:rsid w:val="001A6832"/>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1A6832"/>
    <w:pPr>
      <w:jc w:val="left"/>
    </w:pPr>
  </w:style>
  <w:style w:type="paragraph" w:styleId="TOC3">
    <w:name w:val="toc 3"/>
    <w:basedOn w:val="TOC2"/>
    <w:next w:val="Normal"/>
    <w:rsid w:val="001A6832"/>
    <w:pPr>
      <w:tabs>
        <w:tab w:val="clear" w:pos="1152"/>
        <w:tab w:val="left" w:pos="1584"/>
      </w:tabs>
      <w:ind w:left="1584" w:hanging="432"/>
    </w:pPr>
  </w:style>
  <w:style w:type="paragraph" w:styleId="TOC2">
    <w:name w:val="toc 2"/>
    <w:basedOn w:val="TOC1"/>
    <w:next w:val="Normal"/>
    <w:rsid w:val="001A6832"/>
    <w:pPr>
      <w:tabs>
        <w:tab w:val="clear" w:pos="864"/>
        <w:tab w:val="left" w:pos="1152"/>
      </w:tabs>
      <w:ind w:left="1152" w:hanging="288"/>
    </w:pPr>
  </w:style>
  <w:style w:type="paragraph" w:styleId="DocumentMap">
    <w:name w:val="Document Map"/>
    <w:basedOn w:val="Normal"/>
    <w:link w:val="DocumentMapChar"/>
    <w:rsid w:val="001A6832"/>
    <w:pPr>
      <w:shd w:val="clear" w:color="auto" w:fill="000080"/>
    </w:pPr>
    <w:rPr>
      <w:rFonts w:ascii="Tahoma" w:hAnsi="Tahoma" w:cs="Tahoma"/>
    </w:rPr>
  </w:style>
  <w:style w:type="character" w:customStyle="1" w:styleId="DocumentMapChar">
    <w:name w:val="Document Map Char"/>
    <w:basedOn w:val="DefaultParagraphFont"/>
    <w:link w:val="DocumentMap"/>
    <w:rsid w:val="001A6832"/>
    <w:rPr>
      <w:rFonts w:ascii="Tahoma" w:hAnsi="Tahoma" w:cs="Tahoma"/>
      <w:sz w:val="24"/>
      <w:szCs w:val="24"/>
      <w:shd w:val="clear" w:color="auto" w:fill="000080"/>
    </w:rPr>
  </w:style>
  <w:style w:type="paragraph" w:styleId="BalloonText">
    <w:name w:val="Balloon Text"/>
    <w:basedOn w:val="Normal"/>
    <w:link w:val="BalloonTextChar"/>
    <w:rsid w:val="001A6832"/>
    <w:rPr>
      <w:rFonts w:ascii="Tahoma" w:hAnsi="Tahoma" w:cs="Tahoma"/>
      <w:sz w:val="16"/>
      <w:szCs w:val="16"/>
    </w:rPr>
  </w:style>
  <w:style w:type="character" w:customStyle="1" w:styleId="BalloonTextChar">
    <w:name w:val="Balloon Text Char"/>
    <w:basedOn w:val="DefaultParagraphFont"/>
    <w:link w:val="BalloonText"/>
    <w:rsid w:val="001A6832"/>
    <w:rPr>
      <w:rFonts w:ascii="Tahoma" w:hAnsi="Tahoma" w:cs="Tahoma"/>
      <w:sz w:val="16"/>
      <w:szCs w:val="16"/>
    </w:rPr>
  </w:style>
  <w:style w:type="paragraph" w:styleId="BlockText">
    <w:name w:val="Block Text"/>
    <w:basedOn w:val="Normal"/>
    <w:rsid w:val="001A6832"/>
    <w:pPr>
      <w:spacing w:after="120"/>
      <w:ind w:left="1440" w:right="1440"/>
    </w:pPr>
  </w:style>
  <w:style w:type="paragraph" w:styleId="BodyText2">
    <w:name w:val="Body Text 2"/>
    <w:basedOn w:val="Normal"/>
    <w:link w:val="BodyText2Char"/>
    <w:rsid w:val="001A6832"/>
    <w:pPr>
      <w:spacing w:after="120" w:line="480" w:lineRule="auto"/>
    </w:pPr>
  </w:style>
  <w:style w:type="character" w:customStyle="1" w:styleId="BodyText2Char">
    <w:name w:val="Body Text 2 Char"/>
    <w:basedOn w:val="DefaultParagraphFont"/>
    <w:link w:val="BodyText2"/>
    <w:rsid w:val="001A6832"/>
    <w:rPr>
      <w:sz w:val="24"/>
      <w:szCs w:val="24"/>
    </w:rPr>
  </w:style>
  <w:style w:type="paragraph" w:styleId="BodyText3">
    <w:name w:val="Body Text 3"/>
    <w:basedOn w:val="Normal"/>
    <w:link w:val="BodyText3Char"/>
    <w:rsid w:val="001A6832"/>
    <w:pPr>
      <w:spacing w:after="120"/>
    </w:pPr>
    <w:rPr>
      <w:sz w:val="16"/>
      <w:szCs w:val="16"/>
    </w:rPr>
  </w:style>
  <w:style w:type="character" w:customStyle="1" w:styleId="BodyText3Char">
    <w:name w:val="Body Text 3 Char"/>
    <w:basedOn w:val="DefaultParagraphFont"/>
    <w:link w:val="BodyText3"/>
    <w:rsid w:val="001A6832"/>
    <w:rPr>
      <w:sz w:val="16"/>
      <w:szCs w:val="16"/>
    </w:rPr>
  </w:style>
  <w:style w:type="paragraph" w:styleId="BodyTextFirstIndent">
    <w:name w:val="Body Text First Indent"/>
    <w:basedOn w:val="BodyText"/>
    <w:link w:val="BodyTextFirstIndentChar"/>
    <w:rsid w:val="001A6832"/>
    <w:pPr>
      <w:ind w:firstLine="210"/>
    </w:pPr>
  </w:style>
  <w:style w:type="character" w:customStyle="1" w:styleId="BodyTextFirstIndentChar">
    <w:name w:val="Body Text First Indent Char"/>
    <w:basedOn w:val="BodyTextChar"/>
    <w:link w:val="BodyTextFirstIndent"/>
    <w:rsid w:val="001A6832"/>
    <w:rPr>
      <w:sz w:val="24"/>
      <w:szCs w:val="24"/>
    </w:rPr>
  </w:style>
  <w:style w:type="paragraph" w:styleId="BodyTextIndent">
    <w:name w:val="Body Text Indent"/>
    <w:basedOn w:val="Normal"/>
    <w:link w:val="BodyTextIndentChar"/>
    <w:rsid w:val="001A6832"/>
    <w:pPr>
      <w:spacing w:after="120"/>
      <w:ind w:left="360"/>
    </w:pPr>
  </w:style>
  <w:style w:type="character" w:customStyle="1" w:styleId="BodyTextIndentChar">
    <w:name w:val="Body Text Indent Char"/>
    <w:basedOn w:val="DefaultParagraphFont"/>
    <w:link w:val="BodyTextIndent"/>
    <w:rsid w:val="001A6832"/>
    <w:rPr>
      <w:sz w:val="24"/>
      <w:szCs w:val="24"/>
    </w:rPr>
  </w:style>
  <w:style w:type="paragraph" w:styleId="BodyTextFirstIndent2">
    <w:name w:val="Body Text First Indent 2"/>
    <w:basedOn w:val="BodyTextIndent"/>
    <w:link w:val="BodyTextFirstIndent2Char"/>
    <w:rsid w:val="001A6832"/>
    <w:pPr>
      <w:ind w:firstLine="210"/>
    </w:pPr>
  </w:style>
  <w:style w:type="character" w:customStyle="1" w:styleId="BodyTextFirstIndent2Char">
    <w:name w:val="Body Text First Indent 2 Char"/>
    <w:basedOn w:val="BodyTextIndentChar"/>
    <w:link w:val="BodyTextFirstIndent2"/>
    <w:rsid w:val="001A6832"/>
    <w:rPr>
      <w:sz w:val="24"/>
      <w:szCs w:val="24"/>
    </w:rPr>
  </w:style>
  <w:style w:type="paragraph" w:styleId="BodyTextIndent2">
    <w:name w:val="Body Text Indent 2"/>
    <w:basedOn w:val="Normal"/>
    <w:link w:val="BodyTextIndent2Char"/>
    <w:rsid w:val="001A6832"/>
    <w:pPr>
      <w:spacing w:after="120" w:line="480" w:lineRule="auto"/>
      <w:ind w:left="360"/>
    </w:pPr>
  </w:style>
  <w:style w:type="character" w:customStyle="1" w:styleId="BodyTextIndent2Char">
    <w:name w:val="Body Text Indent 2 Char"/>
    <w:basedOn w:val="DefaultParagraphFont"/>
    <w:link w:val="BodyTextIndent2"/>
    <w:rsid w:val="001A6832"/>
    <w:rPr>
      <w:sz w:val="24"/>
      <w:szCs w:val="24"/>
    </w:rPr>
  </w:style>
  <w:style w:type="paragraph" w:styleId="BodyTextIndent3">
    <w:name w:val="Body Text Indent 3"/>
    <w:basedOn w:val="Normal"/>
    <w:link w:val="BodyTextIndent3Char"/>
    <w:rsid w:val="001A6832"/>
    <w:pPr>
      <w:spacing w:after="120"/>
      <w:ind w:left="360"/>
    </w:pPr>
    <w:rPr>
      <w:sz w:val="16"/>
      <w:szCs w:val="16"/>
    </w:rPr>
  </w:style>
  <w:style w:type="character" w:customStyle="1" w:styleId="BodyTextIndent3Char">
    <w:name w:val="Body Text Indent 3 Char"/>
    <w:basedOn w:val="DefaultParagraphFont"/>
    <w:link w:val="BodyTextIndent3"/>
    <w:rsid w:val="001A6832"/>
    <w:rPr>
      <w:sz w:val="16"/>
      <w:szCs w:val="16"/>
    </w:rPr>
  </w:style>
  <w:style w:type="paragraph" w:styleId="Caption">
    <w:name w:val="caption"/>
    <w:basedOn w:val="Normal"/>
    <w:next w:val="Normal"/>
    <w:qFormat/>
    <w:rsid w:val="001A6832"/>
    <w:pPr>
      <w:spacing w:before="120" w:after="120"/>
    </w:pPr>
    <w:rPr>
      <w:b/>
      <w:bCs/>
      <w:sz w:val="20"/>
      <w:szCs w:val="20"/>
    </w:rPr>
  </w:style>
  <w:style w:type="paragraph" w:styleId="Closing">
    <w:name w:val="Closing"/>
    <w:basedOn w:val="Normal"/>
    <w:link w:val="ClosingChar"/>
    <w:rsid w:val="001A6832"/>
    <w:pPr>
      <w:ind w:left="4320"/>
    </w:pPr>
  </w:style>
  <w:style w:type="character" w:customStyle="1" w:styleId="ClosingChar">
    <w:name w:val="Closing Char"/>
    <w:basedOn w:val="DefaultParagraphFont"/>
    <w:link w:val="Closing"/>
    <w:rsid w:val="001A6832"/>
    <w:rPr>
      <w:sz w:val="24"/>
      <w:szCs w:val="24"/>
    </w:rPr>
  </w:style>
  <w:style w:type="paragraph" w:styleId="CommentText">
    <w:name w:val="annotation text"/>
    <w:basedOn w:val="Normal"/>
    <w:link w:val="CommentTextChar"/>
    <w:rsid w:val="001A6832"/>
    <w:rPr>
      <w:sz w:val="20"/>
      <w:szCs w:val="20"/>
    </w:rPr>
  </w:style>
  <w:style w:type="character" w:customStyle="1" w:styleId="CommentTextChar">
    <w:name w:val="Comment Text Char"/>
    <w:basedOn w:val="DefaultParagraphFont"/>
    <w:link w:val="CommentText"/>
    <w:rsid w:val="001A6832"/>
  </w:style>
  <w:style w:type="paragraph" w:styleId="CommentSubject">
    <w:name w:val="annotation subject"/>
    <w:basedOn w:val="CommentText"/>
    <w:next w:val="CommentText"/>
    <w:link w:val="CommentSubjectChar"/>
    <w:rsid w:val="001A6832"/>
    <w:rPr>
      <w:b/>
      <w:bCs/>
    </w:rPr>
  </w:style>
  <w:style w:type="character" w:customStyle="1" w:styleId="CommentSubjectChar">
    <w:name w:val="Comment Subject Char"/>
    <w:basedOn w:val="CommentTextChar"/>
    <w:link w:val="CommentSubject"/>
    <w:rsid w:val="001A6832"/>
    <w:rPr>
      <w:b/>
      <w:bCs/>
    </w:rPr>
  </w:style>
  <w:style w:type="paragraph" w:styleId="Date">
    <w:name w:val="Date"/>
    <w:basedOn w:val="Normal"/>
    <w:next w:val="Normal"/>
    <w:link w:val="DateChar"/>
    <w:rsid w:val="001A6832"/>
  </w:style>
  <w:style w:type="character" w:customStyle="1" w:styleId="DateChar">
    <w:name w:val="Date Char"/>
    <w:basedOn w:val="DefaultParagraphFont"/>
    <w:link w:val="Date"/>
    <w:rsid w:val="001A6832"/>
    <w:rPr>
      <w:sz w:val="24"/>
      <w:szCs w:val="24"/>
    </w:rPr>
  </w:style>
  <w:style w:type="paragraph" w:styleId="E-mailSignature">
    <w:name w:val="E-mail Signature"/>
    <w:basedOn w:val="Normal"/>
    <w:link w:val="E-mailSignatureChar"/>
    <w:rsid w:val="001A6832"/>
  </w:style>
  <w:style w:type="character" w:customStyle="1" w:styleId="E-mailSignatureChar">
    <w:name w:val="E-mail Signature Char"/>
    <w:basedOn w:val="DefaultParagraphFont"/>
    <w:link w:val="E-mailSignature"/>
    <w:rsid w:val="001A6832"/>
    <w:rPr>
      <w:sz w:val="24"/>
      <w:szCs w:val="24"/>
    </w:rPr>
  </w:style>
  <w:style w:type="paragraph" w:styleId="EndnoteText">
    <w:name w:val="endnote text"/>
    <w:basedOn w:val="Normal"/>
    <w:link w:val="EndnoteTextChar"/>
    <w:rsid w:val="001A6832"/>
    <w:rPr>
      <w:sz w:val="20"/>
      <w:szCs w:val="20"/>
    </w:rPr>
  </w:style>
  <w:style w:type="character" w:customStyle="1" w:styleId="EndnoteTextChar">
    <w:name w:val="Endnote Text Char"/>
    <w:basedOn w:val="DefaultParagraphFont"/>
    <w:link w:val="EndnoteText"/>
    <w:rsid w:val="001A6832"/>
  </w:style>
  <w:style w:type="paragraph" w:styleId="EnvelopeAddress">
    <w:name w:val="envelope address"/>
    <w:basedOn w:val="Normal"/>
    <w:rsid w:val="001A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A6832"/>
    <w:rPr>
      <w:rFonts w:ascii="Arial" w:hAnsi="Arial" w:cs="Arial"/>
      <w:sz w:val="20"/>
      <w:szCs w:val="20"/>
    </w:rPr>
  </w:style>
  <w:style w:type="paragraph" w:styleId="HTMLAddress">
    <w:name w:val="HTML Address"/>
    <w:basedOn w:val="Normal"/>
    <w:link w:val="HTMLAddressChar"/>
    <w:uiPriority w:val="99"/>
    <w:rsid w:val="001A6832"/>
    <w:rPr>
      <w:i/>
      <w:iCs/>
    </w:rPr>
  </w:style>
  <w:style w:type="character" w:customStyle="1" w:styleId="HTMLAddressChar">
    <w:name w:val="HTML Address Char"/>
    <w:basedOn w:val="DefaultParagraphFont"/>
    <w:link w:val="HTMLAddress"/>
    <w:uiPriority w:val="99"/>
    <w:rsid w:val="001A6832"/>
    <w:rPr>
      <w:i/>
      <w:iCs/>
      <w:sz w:val="24"/>
      <w:szCs w:val="24"/>
    </w:rPr>
  </w:style>
  <w:style w:type="paragraph" w:styleId="HTMLPreformatted">
    <w:name w:val="HTML Preformatted"/>
    <w:basedOn w:val="Normal"/>
    <w:link w:val="HTMLPreformattedChar"/>
    <w:rsid w:val="001A6832"/>
    <w:rPr>
      <w:rFonts w:ascii="Courier New" w:hAnsi="Courier New" w:cs="Courier New"/>
      <w:sz w:val="20"/>
      <w:szCs w:val="20"/>
    </w:rPr>
  </w:style>
  <w:style w:type="character" w:customStyle="1" w:styleId="HTMLPreformattedChar">
    <w:name w:val="HTML Preformatted Char"/>
    <w:basedOn w:val="DefaultParagraphFont"/>
    <w:link w:val="HTMLPreformatted"/>
    <w:rsid w:val="001A6832"/>
    <w:rPr>
      <w:rFonts w:ascii="Courier New" w:hAnsi="Courier New" w:cs="Courier New"/>
    </w:rPr>
  </w:style>
  <w:style w:type="paragraph" w:styleId="Index1">
    <w:name w:val="index 1"/>
    <w:basedOn w:val="Normal"/>
    <w:next w:val="Normal"/>
    <w:autoRedefine/>
    <w:rsid w:val="001A6832"/>
    <w:pPr>
      <w:ind w:left="240" w:hanging="240"/>
    </w:pPr>
  </w:style>
  <w:style w:type="paragraph" w:styleId="Index2">
    <w:name w:val="index 2"/>
    <w:basedOn w:val="Normal"/>
    <w:next w:val="Normal"/>
    <w:autoRedefine/>
    <w:rsid w:val="001A6832"/>
    <w:pPr>
      <w:ind w:left="480" w:hanging="240"/>
    </w:pPr>
  </w:style>
  <w:style w:type="paragraph" w:styleId="Index3">
    <w:name w:val="index 3"/>
    <w:basedOn w:val="Normal"/>
    <w:next w:val="Normal"/>
    <w:autoRedefine/>
    <w:rsid w:val="001A6832"/>
    <w:pPr>
      <w:ind w:left="720" w:hanging="240"/>
    </w:pPr>
  </w:style>
  <w:style w:type="paragraph" w:styleId="Index4">
    <w:name w:val="index 4"/>
    <w:basedOn w:val="Normal"/>
    <w:next w:val="Normal"/>
    <w:autoRedefine/>
    <w:rsid w:val="001A6832"/>
    <w:pPr>
      <w:ind w:left="960" w:hanging="240"/>
    </w:pPr>
  </w:style>
  <w:style w:type="paragraph" w:styleId="Index5">
    <w:name w:val="index 5"/>
    <w:basedOn w:val="Normal"/>
    <w:next w:val="Normal"/>
    <w:autoRedefine/>
    <w:rsid w:val="001A6832"/>
    <w:pPr>
      <w:ind w:left="1200" w:hanging="240"/>
    </w:pPr>
  </w:style>
  <w:style w:type="paragraph" w:styleId="Index6">
    <w:name w:val="index 6"/>
    <w:basedOn w:val="Normal"/>
    <w:next w:val="Normal"/>
    <w:autoRedefine/>
    <w:rsid w:val="001A6832"/>
    <w:pPr>
      <w:ind w:left="1440" w:hanging="240"/>
    </w:pPr>
  </w:style>
  <w:style w:type="paragraph" w:styleId="Index7">
    <w:name w:val="index 7"/>
    <w:basedOn w:val="Normal"/>
    <w:next w:val="Normal"/>
    <w:autoRedefine/>
    <w:rsid w:val="001A6832"/>
    <w:pPr>
      <w:ind w:left="1680" w:hanging="240"/>
    </w:pPr>
  </w:style>
  <w:style w:type="paragraph" w:styleId="Index8">
    <w:name w:val="index 8"/>
    <w:basedOn w:val="Normal"/>
    <w:next w:val="Normal"/>
    <w:autoRedefine/>
    <w:rsid w:val="001A6832"/>
    <w:pPr>
      <w:ind w:left="1920" w:hanging="240"/>
    </w:pPr>
  </w:style>
  <w:style w:type="paragraph" w:styleId="Index9">
    <w:name w:val="index 9"/>
    <w:basedOn w:val="Normal"/>
    <w:next w:val="Normal"/>
    <w:autoRedefine/>
    <w:rsid w:val="001A6832"/>
    <w:pPr>
      <w:ind w:left="2160" w:hanging="240"/>
    </w:pPr>
  </w:style>
  <w:style w:type="paragraph" w:styleId="IndexHeading">
    <w:name w:val="index heading"/>
    <w:basedOn w:val="Normal"/>
    <w:next w:val="Index1"/>
    <w:rsid w:val="001A6832"/>
    <w:rPr>
      <w:rFonts w:ascii="Arial" w:hAnsi="Arial" w:cs="Arial"/>
      <w:b/>
      <w:bCs/>
    </w:rPr>
  </w:style>
  <w:style w:type="paragraph" w:styleId="List">
    <w:name w:val="List"/>
    <w:basedOn w:val="Normal"/>
    <w:rsid w:val="001A6832"/>
    <w:pPr>
      <w:ind w:left="360" w:hanging="360"/>
    </w:pPr>
  </w:style>
  <w:style w:type="paragraph" w:styleId="List2">
    <w:name w:val="List 2"/>
    <w:basedOn w:val="Normal"/>
    <w:rsid w:val="001A6832"/>
    <w:pPr>
      <w:ind w:left="720" w:hanging="360"/>
    </w:pPr>
  </w:style>
  <w:style w:type="paragraph" w:styleId="List3">
    <w:name w:val="List 3"/>
    <w:basedOn w:val="Normal"/>
    <w:rsid w:val="001A6832"/>
    <w:pPr>
      <w:ind w:left="1080" w:hanging="360"/>
    </w:pPr>
  </w:style>
  <w:style w:type="paragraph" w:styleId="List4">
    <w:name w:val="List 4"/>
    <w:basedOn w:val="Normal"/>
    <w:rsid w:val="001A6832"/>
    <w:pPr>
      <w:ind w:left="1440" w:hanging="360"/>
    </w:pPr>
  </w:style>
  <w:style w:type="paragraph" w:styleId="List5">
    <w:name w:val="List 5"/>
    <w:basedOn w:val="Normal"/>
    <w:rsid w:val="001A6832"/>
    <w:pPr>
      <w:ind w:left="1800" w:hanging="360"/>
    </w:pPr>
  </w:style>
  <w:style w:type="paragraph" w:styleId="ListBullet">
    <w:name w:val="List Bullet"/>
    <w:basedOn w:val="Normal"/>
    <w:autoRedefine/>
    <w:rsid w:val="001A6832"/>
    <w:pPr>
      <w:tabs>
        <w:tab w:val="num" w:pos="360"/>
      </w:tabs>
      <w:ind w:left="360" w:hanging="360"/>
    </w:pPr>
  </w:style>
  <w:style w:type="paragraph" w:styleId="ListBullet2">
    <w:name w:val="List Bullet 2"/>
    <w:basedOn w:val="Normal"/>
    <w:autoRedefine/>
    <w:rsid w:val="001A6832"/>
    <w:pPr>
      <w:tabs>
        <w:tab w:val="num" w:pos="720"/>
      </w:tabs>
      <w:ind w:left="720" w:hanging="360"/>
    </w:pPr>
  </w:style>
  <w:style w:type="paragraph" w:styleId="ListBullet3">
    <w:name w:val="List Bullet 3"/>
    <w:basedOn w:val="Normal"/>
    <w:autoRedefine/>
    <w:rsid w:val="001A6832"/>
    <w:pPr>
      <w:tabs>
        <w:tab w:val="num" w:pos="1080"/>
      </w:tabs>
      <w:ind w:left="1080" w:hanging="360"/>
    </w:pPr>
  </w:style>
  <w:style w:type="paragraph" w:styleId="ListBullet4">
    <w:name w:val="List Bullet 4"/>
    <w:basedOn w:val="Normal"/>
    <w:autoRedefine/>
    <w:rsid w:val="001A6832"/>
    <w:pPr>
      <w:tabs>
        <w:tab w:val="num" w:pos="1440"/>
      </w:tabs>
      <w:ind w:left="1440" w:hanging="360"/>
    </w:pPr>
  </w:style>
  <w:style w:type="paragraph" w:styleId="ListBullet5">
    <w:name w:val="List Bullet 5"/>
    <w:basedOn w:val="Normal"/>
    <w:autoRedefine/>
    <w:rsid w:val="001A6832"/>
    <w:pPr>
      <w:tabs>
        <w:tab w:val="num" w:pos="1800"/>
      </w:tabs>
      <w:ind w:left="1800" w:hanging="360"/>
    </w:pPr>
  </w:style>
  <w:style w:type="paragraph" w:styleId="ListContinue">
    <w:name w:val="List Continue"/>
    <w:basedOn w:val="Normal"/>
    <w:rsid w:val="001A6832"/>
    <w:pPr>
      <w:spacing w:after="120"/>
      <w:ind w:left="360"/>
    </w:pPr>
  </w:style>
  <w:style w:type="paragraph" w:styleId="ListContinue2">
    <w:name w:val="List Continue 2"/>
    <w:basedOn w:val="Normal"/>
    <w:rsid w:val="001A6832"/>
    <w:pPr>
      <w:spacing w:after="120"/>
      <w:ind w:left="720"/>
    </w:pPr>
  </w:style>
  <w:style w:type="paragraph" w:styleId="ListContinue3">
    <w:name w:val="List Continue 3"/>
    <w:basedOn w:val="Normal"/>
    <w:rsid w:val="001A6832"/>
    <w:pPr>
      <w:spacing w:after="120"/>
      <w:ind w:left="1080"/>
    </w:pPr>
  </w:style>
  <w:style w:type="paragraph" w:styleId="ListContinue4">
    <w:name w:val="List Continue 4"/>
    <w:basedOn w:val="Normal"/>
    <w:rsid w:val="001A6832"/>
    <w:pPr>
      <w:spacing w:after="120"/>
      <w:ind w:left="1440"/>
    </w:pPr>
  </w:style>
  <w:style w:type="paragraph" w:styleId="ListContinue5">
    <w:name w:val="List Continue 5"/>
    <w:basedOn w:val="Normal"/>
    <w:rsid w:val="001A6832"/>
    <w:pPr>
      <w:spacing w:after="120"/>
      <w:ind w:left="1800"/>
    </w:pPr>
  </w:style>
  <w:style w:type="paragraph" w:styleId="ListNumber">
    <w:name w:val="List Number"/>
    <w:basedOn w:val="Normal"/>
    <w:rsid w:val="001A6832"/>
    <w:pPr>
      <w:tabs>
        <w:tab w:val="num" w:pos="360"/>
      </w:tabs>
      <w:ind w:left="360" w:hanging="360"/>
    </w:pPr>
  </w:style>
  <w:style w:type="paragraph" w:styleId="ListNumber2">
    <w:name w:val="List Number 2"/>
    <w:basedOn w:val="Normal"/>
    <w:rsid w:val="001A6832"/>
    <w:pPr>
      <w:tabs>
        <w:tab w:val="num" w:pos="720"/>
      </w:tabs>
      <w:ind w:left="720" w:hanging="360"/>
    </w:pPr>
  </w:style>
  <w:style w:type="paragraph" w:styleId="ListNumber3">
    <w:name w:val="List Number 3"/>
    <w:basedOn w:val="Normal"/>
    <w:rsid w:val="001A6832"/>
    <w:pPr>
      <w:tabs>
        <w:tab w:val="num" w:pos="1080"/>
      </w:tabs>
      <w:ind w:left="1080" w:hanging="360"/>
    </w:pPr>
  </w:style>
  <w:style w:type="paragraph" w:styleId="ListNumber4">
    <w:name w:val="List Number 4"/>
    <w:basedOn w:val="Normal"/>
    <w:rsid w:val="001A6832"/>
    <w:pPr>
      <w:tabs>
        <w:tab w:val="num" w:pos="1440"/>
      </w:tabs>
      <w:ind w:left="1440" w:hanging="360"/>
    </w:pPr>
  </w:style>
  <w:style w:type="paragraph" w:styleId="ListNumber5">
    <w:name w:val="List Number 5"/>
    <w:basedOn w:val="Normal"/>
    <w:rsid w:val="001A6832"/>
    <w:pPr>
      <w:tabs>
        <w:tab w:val="num" w:pos="1800"/>
      </w:tabs>
      <w:ind w:left="1800" w:hanging="360"/>
    </w:pPr>
  </w:style>
  <w:style w:type="paragraph" w:styleId="MacroText">
    <w:name w:val="macro"/>
    <w:link w:val="MacroTextChar"/>
    <w:rsid w:val="001A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A6832"/>
    <w:rPr>
      <w:rFonts w:ascii="Courier New" w:hAnsi="Courier New" w:cs="Courier New"/>
    </w:rPr>
  </w:style>
  <w:style w:type="paragraph" w:styleId="MessageHeader">
    <w:name w:val="Message Header"/>
    <w:basedOn w:val="Normal"/>
    <w:link w:val="MessageHeaderChar"/>
    <w:rsid w:val="001A683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A6832"/>
    <w:rPr>
      <w:rFonts w:ascii="Arial" w:hAnsi="Arial" w:cs="Arial"/>
      <w:sz w:val="24"/>
      <w:szCs w:val="24"/>
      <w:shd w:val="pct20" w:color="auto" w:fill="auto"/>
    </w:rPr>
  </w:style>
  <w:style w:type="paragraph" w:styleId="NormalWeb">
    <w:name w:val="Normal (Web)"/>
    <w:basedOn w:val="Normal"/>
    <w:rsid w:val="001A6832"/>
  </w:style>
  <w:style w:type="paragraph" w:styleId="NormalIndent">
    <w:name w:val="Normal Indent"/>
    <w:basedOn w:val="Normal"/>
    <w:rsid w:val="001A6832"/>
    <w:pPr>
      <w:ind w:left="720"/>
    </w:pPr>
  </w:style>
  <w:style w:type="paragraph" w:styleId="NoteHeading">
    <w:name w:val="Note Heading"/>
    <w:basedOn w:val="Normal"/>
    <w:next w:val="Normal"/>
    <w:link w:val="NoteHeadingChar"/>
    <w:rsid w:val="001A6832"/>
  </w:style>
  <w:style w:type="character" w:customStyle="1" w:styleId="NoteHeadingChar">
    <w:name w:val="Note Heading Char"/>
    <w:basedOn w:val="DefaultParagraphFont"/>
    <w:link w:val="NoteHeading"/>
    <w:rsid w:val="001A6832"/>
    <w:rPr>
      <w:sz w:val="24"/>
      <w:szCs w:val="24"/>
    </w:rPr>
  </w:style>
  <w:style w:type="paragraph" w:styleId="PlainText">
    <w:name w:val="Plain Text"/>
    <w:basedOn w:val="Normal"/>
    <w:link w:val="PlainTextChar"/>
    <w:rsid w:val="001A6832"/>
    <w:rPr>
      <w:rFonts w:ascii="Courier New" w:hAnsi="Courier New" w:cs="Courier New"/>
      <w:sz w:val="20"/>
      <w:szCs w:val="20"/>
    </w:rPr>
  </w:style>
  <w:style w:type="character" w:customStyle="1" w:styleId="PlainTextChar">
    <w:name w:val="Plain Text Char"/>
    <w:basedOn w:val="DefaultParagraphFont"/>
    <w:link w:val="PlainText"/>
    <w:rsid w:val="001A6832"/>
    <w:rPr>
      <w:rFonts w:ascii="Courier New" w:hAnsi="Courier New" w:cs="Courier New"/>
    </w:rPr>
  </w:style>
  <w:style w:type="paragraph" w:styleId="Salutation">
    <w:name w:val="Salutation"/>
    <w:basedOn w:val="Normal"/>
    <w:next w:val="Normal"/>
    <w:link w:val="SalutationChar"/>
    <w:rsid w:val="001A6832"/>
  </w:style>
  <w:style w:type="character" w:customStyle="1" w:styleId="SalutationChar">
    <w:name w:val="Salutation Char"/>
    <w:basedOn w:val="DefaultParagraphFont"/>
    <w:link w:val="Salutation"/>
    <w:rsid w:val="001A6832"/>
    <w:rPr>
      <w:sz w:val="24"/>
      <w:szCs w:val="24"/>
    </w:rPr>
  </w:style>
  <w:style w:type="paragraph" w:styleId="Signature">
    <w:name w:val="Signature"/>
    <w:basedOn w:val="Normal"/>
    <w:link w:val="SignatureChar"/>
    <w:rsid w:val="001A6832"/>
    <w:pPr>
      <w:ind w:left="4320"/>
    </w:pPr>
  </w:style>
  <w:style w:type="character" w:customStyle="1" w:styleId="SignatureChar">
    <w:name w:val="Signature Char"/>
    <w:basedOn w:val="DefaultParagraphFont"/>
    <w:link w:val="Signature"/>
    <w:rsid w:val="001A6832"/>
    <w:rPr>
      <w:sz w:val="24"/>
      <w:szCs w:val="24"/>
    </w:rPr>
  </w:style>
  <w:style w:type="paragraph" w:styleId="Subtitle">
    <w:name w:val="Subtitle"/>
    <w:basedOn w:val="Normal"/>
    <w:link w:val="SubtitleChar"/>
    <w:qFormat/>
    <w:rsid w:val="001A6832"/>
    <w:pPr>
      <w:spacing w:after="60"/>
      <w:jc w:val="center"/>
      <w:outlineLvl w:val="1"/>
    </w:pPr>
    <w:rPr>
      <w:rFonts w:ascii="Arial" w:hAnsi="Arial" w:cs="Arial"/>
    </w:rPr>
  </w:style>
  <w:style w:type="character" w:customStyle="1" w:styleId="SubtitleChar">
    <w:name w:val="Subtitle Char"/>
    <w:basedOn w:val="DefaultParagraphFont"/>
    <w:link w:val="Subtitle"/>
    <w:rsid w:val="001A6832"/>
    <w:rPr>
      <w:rFonts w:ascii="Arial" w:hAnsi="Arial" w:cs="Arial"/>
      <w:sz w:val="24"/>
      <w:szCs w:val="24"/>
    </w:rPr>
  </w:style>
  <w:style w:type="paragraph" w:styleId="TableofAuthorities">
    <w:name w:val="table of authorities"/>
    <w:basedOn w:val="Normal"/>
    <w:next w:val="Normal"/>
    <w:rsid w:val="001A6832"/>
    <w:pPr>
      <w:ind w:left="240" w:hanging="240"/>
    </w:pPr>
  </w:style>
  <w:style w:type="paragraph" w:styleId="TableofFigures">
    <w:name w:val="table of figures"/>
    <w:basedOn w:val="Normal"/>
    <w:next w:val="Normal"/>
    <w:rsid w:val="001A6832"/>
    <w:pPr>
      <w:ind w:left="480" w:hanging="480"/>
    </w:pPr>
  </w:style>
  <w:style w:type="paragraph" w:styleId="Title">
    <w:name w:val="Title"/>
    <w:basedOn w:val="Normal"/>
    <w:link w:val="TitleChar"/>
    <w:qFormat/>
    <w:rsid w:val="001A683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6832"/>
    <w:rPr>
      <w:rFonts w:ascii="Arial" w:hAnsi="Arial" w:cs="Arial"/>
      <w:b/>
      <w:bCs/>
      <w:kern w:val="28"/>
      <w:sz w:val="32"/>
      <w:szCs w:val="32"/>
    </w:rPr>
  </w:style>
  <w:style w:type="paragraph" w:styleId="TOAHeading">
    <w:name w:val="toa heading"/>
    <w:basedOn w:val="Normal"/>
    <w:next w:val="Normal"/>
    <w:rsid w:val="001A6832"/>
    <w:pPr>
      <w:spacing w:before="120"/>
    </w:pPr>
    <w:rPr>
      <w:rFonts w:ascii="Arial" w:hAnsi="Arial" w:cs="Arial"/>
      <w:b/>
      <w:bCs/>
    </w:rPr>
  </w:style>
  <w:style w:type="paragraph" w:styleId="TOC4">
    <w:name w:val="toc 4"/>
    <w:basedOn w:val="Normal"/>
    <w:next w:val="Normal"/>
    <w:autoRedefine/>
    <w:rsid w:val="001A6832"/>
    <w:pPr>
      <w:ind w:left="720"/>
    </w:pPr>
  </w:style>
  <w:style w:type="paragraph" w:styleId="TOC5">
    <w:name w:val="toc 5"/>
    <w:basedOn w:val="Normal"/>
    <w:next w:val="Normal"/>
    <w:autoRedefine/>
    <w:rsid w:val="001A6832"/>
    <w:pPr>
      <w:ind w:left="960"/>
    </w:pPr>
  </w:style>
  <w:style w:type="paragraph" w:styleId="TOC6">
    <w:name w:val="toc 6"/>
    <w:basedOn w:val="Normal"/>
    <w:next w:val="Normal"/>
    <w:autoRedefine/>
    <w:rsid w:val="001A6832"/>
    <w:pPr>
      <w:ind w:left="1200"/>
    </w:pPr>
  </w:style>
  <w:style w:type="paragraph" w:styleId="TOC9">
    <w:name w:val="toc 9"/>
    <w:basedOn w:val="TOC1"/>
    <w:next w:val="Normal"/>
    <w:autoRedefine/>
    <w:rsid w:val="001A6832"/>
    <w:pPr>
      <w:ind w:left="1728"/>
    </w:pPr>
    <w:rPr>
      <w:u w:val="single"/>
    </w:rPr>
  </w:style>
  <w:style w:type="paragraph" w:customStyle="1" w:styleId="MemoHeadingLabel">
    <w:name w:val="Memo Heading Label"/>
    <w:basedOn w:val="MemoHeading"/>
    <w:qFormat/>
    <w:rsid w:val="001A6832"/>
    <w:rPr>
      <w:rFonts w:ascii="Arial" w:hAnsi="Arial"/>
      <w:b/>
    </w:rPr>
  </w:style>
  <w:style w:type="paragraph" w:customStyle="1" w:styleId="First-LevelSubheading">
    <w:name w:val="First-Level Subheading"/>
    <w:basedOn w:val="IssueSubsectionHeading"/>
    <w:next w:val="BodyText"/>
    <w:qFormat/>
    <w:rsid w:val="001A6832"/>
    <w:pPr>
      <w:spacing w:after="0"/>
      <w:outlineLvl w:val="2"/>
    </w:pPr>
    <w:rPr>
      <w:i w:val="0"/>
    </w:rPr>
  </w:style>
  <w:style w:type="paragraph" w:customStyle="1" w:styleId="Second-LevelSubheading">
    <w:name w:val="Second-Level Subheading"/>
    <w:basedOn w:val="First-LevelSubheading"/>
    <w:next w:val="BodyText"/>
    <w:qFormat/>
    <w:rsid w:val="001A6832"/>
    <w:pPr>
      <w:ind w:left="720"/>
      <w:outlineLvl w:val="3"/>
    </w:pPr>
    <w:rPr>
      <w:i/>
    </w:rPr>
  </w:style>
  <w:style w:type="paragraph" w:customStyle="1" w:styleId="TableNumber">
    <w:name w:val="Table Number"/>
    <w:basedOn w:val="BodyText"/>
    <w:next w:val="BodyText"/>
    <w:qFormat/>
    <w:rsid w:val="001A6832"/>
    <w:pPr>
      <w:spacing w:before="480" w:after="0"/>
      <w:jc w:val="center"/>
    </w:pPr>
    <w:rPr>
      <w:rFonts w:ascii="Arial" w:hAnsi="Arial"/>
      <w:b/>
    </w:rPr>
  </w:style>
  <w:style w:type="paragraph" w:customStyle="1" w:styleId="TableTitle">
    <w:name w:val="Table Title"/>
    <w:basedOn w:val="BodyText"/>
    <w:next w:val="BodyText"/>
    <w:qFormat/>
    <w:rsid w:val="001A6832"/>
    <w:pPr>
      <w:spacing w:after="0"/>
      <w:jc w:val="center"/>
    </w:pPr>
    <w:rPr>
      <w:rFonts w:ascii="Arial" w:hAnsi="Arial"/>
      <w:b/>
    </w:rPr>
  </w:style>
  <w:style w:type="paragraph" w:customStyle="1" w:styleId="TableSource">
    <w:name w:val="Table Source"/>
    <w:basedOn w:val="BodyText"/>
    <w:next w:val="BodyText"/>
    <w:qFormat/>
    <w:rsid w:val="001A6832"/>
    <w:pPr>
      <w:spacing w:after="480"/>
      <w:jc w:val="both"/>
    </w:pPr>
  </w:style>
  <w:style w:type="paragraph" w:customStyle="1" w:styleId="PartyName">
    <w:name w:val="Party Name"/>
    <w:basedOn w:val="IssueSubsectionHeading"/>
    <w:next w:val="BodyText"/>
    <w:qFormat/>
    <w:rsid w:val="001A6832"/>
    <w:rPr>
      <w:i w:val="0"/>
    </w:rPr>
  </w:style>
  <w:style w:type="paragraph" w:customStyle="1" w:styleId="Third-LevelSubheading">
    <w:name w:val="Third-Level Subheading"/>
    <w:basedOn w:val="Second-LevelSubheading"/>
    <w:next w:val="BodyText"/>
    <w:qFormat/>
    <w:rsid w:val="001A6832"/>
    <w:pPr>
      <w:ind w:left="1440"/>
      <w:outlineLvl w:val="4"/>
    </w:pPr>
  </w:style>
  <w:style w:type="character" w:customStyle="1" w:styleId="FootnoteTextChar">
    <w:name w:val="Footnote Text Char"/>
    <w:link w:val="FootnoteText"/>
    <w:uiPriority w:val="99"/>
    <w:rsid w:val="001A6832"/>
  </w:style>
  <w:style w:type="paragraph" w:styleId="ListParagraph">
    <w:name w:val="List Paragraph"/>
    <w:basedOn w:val="Normal"/>
    <w:uiPriority w:val="34"/>
    <w:qFormat/>
    <w:rsid w:val="001A6832"/>
    <w:pPr>
      <w:ind w:left="720"/>
      <w:contextualSpacing/>
    </w:pPr>
  </w:style>
  <w:style w:type="numbering" w:styleId="111111">
    <w:name w:val="Outline List 2"/>
    <w:basedOn w:val="NoList"/>
    <w:rsid w:val="001A6832"/>
    <w:pPr>
      <w:numPr>
        <w:numId w:val="12"/>
      </w:numPr>
    </w:pPr>
  </w:style>
  <w:style w:type="paragraph" w:customStyle="1" w:styleId="Default">
    <w:name w:val="Default"/>
    <w:rsid w:val="001A6832"/>
    <w:pPr>
      <w:autoSpaceDE w:val="0"/>
      <w:autoSpaceDN w:val="0"/>
      <w:adjustRightInd w:val="0"/>
    </w:pPr>
    <w:rPr>
      <w:rFonts w:eastAsia="Calibri"/>
      <w:color w:val="000000"/>
      <w:sz w:val="24"/>
      <w:szCs w:val="24"/>
    </w:rPr>
  </w:style>
  <w:style w:type="table" w:customStyle="1" w:styleId="TableGrid1">
    <w:name w:val="Table Grid1"/>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1A6832"/>
  </w:style>
  <w:style w:type="table" w:customStyle="1" w:styleId="TableGrid3">
    <w:name w:val="Table Grid3"/>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A68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1A6832"/>
  </w:style>
  <w:style w:type="character" w:styleId="EndnoteReference">
    <w:name w:val="endnote reference"/>
    <w:rsid w:val="001A6832"/>
    <w:rPr>
      <w:vertAlign w:val="superscript"/>
    </w:rPr>
  </w:style>
  <w:style w:type="numbering" w:customStyle="1" w:styleId="1111113">
    <w:name w:val="1 / 1.1 / 1.1.13"/>
    <w:basedOn w:val="NoList"/>
    <w:next w:val="111111"/>
    <w:rsid w:val="001A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D3A5-BDC8-46A3-879F-0A55C16C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54</Pages>
  <Words>19293</Words>
  <Characters>108474</Characters>
  <Application>Microsoft Office Word</Application>
  <DocSecurity>0</DocSecurity>
  <Lines>903</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2016-11-21T18:50:00Z</dcterms:created>
  <dcterms:modified xsi:type="dcterms:W3CDTF">2016-11-21T19:55:00Z</dcterms:modified>
</cp:coreProperties>
</file>