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FF1E01" w:rsidRDefault="00FF1E01" w:rsidP="00FF1E01">
            <w:pPr>
              <w:pStyle w:val="MastHeadState"/>
              <w:jc w:val="right"/>
            </w:pPr>
            <w:bookmarkStart w:id="0" w:name="_GoBack"/>
            <w:bookmarkEnd w:id="0"/>
            <w:r>
              <w:t>State of Florida</w:t>
            </w:r>
          </w:p>
          <w:p w:rsidR="00FF1E01" w:rsidRDefault="00FF1E01" w:rsidP="00FF1E01">
            <w:pPr>
              <w:jc w:val="center"/>
            </w:pPr>
            <w:r>
              <w:rPr>
                <w:noProof/>
              </w:rPr>
              <w:drawing>
                <wp:inline distT="0" distB="0" distL="0" distR="0">
                  <wp:extent cx="922655" cy="914400"/>
                  <wp:effectExtent l="0" t="0" r="0"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16959" w:rsidP="00716959">
            <w:pPr>
              <w:pStyle w:val="MemoHeading"/>
            </w:pPr>
            <w:bookmarkStart w:id="1" w:name="FilingDate"/>
            <w:r>
              <w:t>December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16959" w:rsidRDefault="00716959">
            <w:pPr>
              <w:pStyle w:val="MemoHeading"/>
            </w:pPr>
            <w:bookmarkStart w:id="2" w:name="From"/>
            <w:r>
              <w:t>Division of Engineering (Lewis, Knoblauch)</w:t>
            </w:r>
          </w:p>
          <w:p w:rsidR="00716959" w:rsidRDefault="00716959">
            <w:pPr>
              <w:pStyle w:val="MemoHeading"/>
            </w:pPr>
            <w:r>
              <w:t>Division of Accounting and F</w:t>
            </w:r>
            <w:r w:rsidR="008230D2">
              <w:t>inance (Andrews, Fletcher</w:t>
            </w:r>
            <w:r>
              <w:t>)</w:t>
            </w:r>
          </w:p>
          <w:p w:rsidR="00716959" w:rsidRDefault="00716959">
            <w:pPr>
              <w:pStyle w:val="MemoHeading"/>
            </w:pPr>
            <w:r>
              <w:t>Division of Economics (Friedrich, Hudson)</w:t>
            </w:r>
          </w:p>
          <w:p w:rsidR="007C0528" w:rsidRDefault="00716959">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16959">
            <w:pPr>
              <w:pStyle w:val="MemoHeadingRe"/>
            </w:pPr>
            <w:bookmarkStart w:id="3" w:name="Re"/>
            <w:r>
              <w:t>Docket No. 160169-WU – Application for authority to transfer water system and Certificate No. 450-W from Pine Harbour Water Utilities, LLC to Pine Harbour Waterworks, Inc. in Lake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16959">
            <w:pPr>
              <w:pStyle w:val="MemoHeading"/>
            </w:pPr>
            <w:r>
              <w:t>01/05/17</w:t>
            </w:r>
            <w:r w:rsidR="007C0528">
              <w:t xml:space="preserve"> – </w:t>
            </w:r>
            <w:bookmarkStart w:id="4" w:name="PermittedStatus"/>
            <w:r>
              <w:t xml:space="preserve">Regular Agenda – </w:t>
            </w:r>
            <w:r w:rsidR="00063536">
              <w:t>Proposed Agency Action for Issues 2, 3, 4</w:t>
            </w:r>
            <w:r w:rsidR="009605B6">
              <w:t>, and 5 -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16959">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16959">
            <w:pPr>
              <w:pStyle w:val="MemoHeading"/>
            </w:pPr>
            <w:bookmarkStart w:id="6" w:name="PrehearingOfficer"/>
            <w:r>
              <w:t>Patronis</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16959">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1695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02C49" w:rsidRDefault="00981944" w:rsidP="00502C49">
      <w:pPr>
        <w:spacing w:before="240" w:after="240"/>
        <w:jc w:val="both"/>
      </w:pPr>
      <w:r>
        <w:t>On July 13</w:t>
      </w:r>
      <w:r w:rsidR="00502C49">
        <w:t>, 2016, Pine</w:t>
      </w:r>
      <w:r w:rsidR="009C7FD2">
        <w:t xml:space="preserve"> Harbour Waterw</w:t>
      </w:r>
      <w:r w:rsidR="009502C5">
        <w:t>orks, Inc. (PHWI</w:t>
      </w:r>
      <w:r w:rsidR="00502C49">
        <w:t>, Applicant, or Buyer) filed an application for the transfer of Certificate No. 450-W from Pine Ha</w:t>
      </w:r>
      <w:r w:rsidR="009F1B30">
        <w:t>rbour Water Utilities, LLC (PHWU</w:t>
      </w:r>
      <w:r w:rsidR="00A0570B">
        <w:t>L</w:t>
      </w:r>
      <w:r w:rsidR="00502C49">
        <w:t>, Utility, or Seller) in Lake County. The ser</w:t>
      </w:r>
      <w:r w:rsidR="00F65AD3">
        <w:t>vice area is located in the S</w:t>
      </w:r>
      <w:r w:rsidR="00502C49">
        <w:t>t</w:t>
      </w:r>
      <w:r w:rsidR="00F65AD3">
        <w:t>.</w:t>
      </w:r>
      <w:r w:rsidR="00502C49">
        <w:t xml:space="preserve"> John</w:t>
      </w:r>
      <w:r w:rsidR="0096401C">
        <w:t>s</w:t>
      </w:r>
      <w:r w:rsidR="00502C49">
        <w:t xml:space="preserve"> River Water Management </w:t>
      </w:r>
      <w:r w:rsidR="00F65AD3">
        <w:t>District</w:t>
      </w:r>
      <w:r w:rsidR="00C35EAA">
        <w:t xml:space="preserve"> </w:t>
      </w:r>
      <w:r w:rsidR="00F65AD3">
        <w:t>which</w:t>
      </w:r>
      <w:r w:rsidR="00502C49">
        <w:t xml:space="preserve"> has enacted district wide irrigation restrictions. According to the Utility’s 2015 Annual Report, it serves appr</w:t>
      </w:r>
      <w:r w:rsidR="00C622B0">
        <w:t>oximately 64 water customers and has</w:t>
      </w:r>
      <w:r w:rsidR="00502C49">
        <w:t xml:space="preserve"> operating revenue of $22,395, which designates it as a Class C utility. Wastewater treatment is provided by septic tanks.</w:t>
      </w:r>
    </w:p>
    <w:p w:rsidR="00502C49" w:rsidRDefault="00502C49" w:rsidP="00502C49">
      <w:pPr>
        <w:spacing w:before="240" w:after="240"/>
        <w:jc w:val="both"/>
      </w:pPr>
      <w:r>
        <w:lastRenderedPageBreak/>
        <w:t>The Utility has been under Commission jurisdiction since December 9, 1986</w:t>
      </w:r>
      <w:r w:rsidR="00DE65A3">
        <w:t>,</w:t>
      </w:r>
      <w:r>
        <w:t xml:space="preserve"> when it was known as P</w:t>
      </w:r>
      <w:r w:rsidR="00BB38AE">
        <w:t>ine</w:t>
      </w:r>
      <w:r>
        <w:t xml:space="preserve"> H</w:t>
      </w:r>
      <w:r w:rsidR="00BB38AE">
        <w:t>arbour</w:t>
      </w:r>
      <w:r>
        <w:t>.</w:t>
      </w:r>
      <w:r w:rsidR="008B1364" w:rsidRPr="008B1364">
        <w:rPr>
          <w:rStyle w:val="FootnoteReference"/>
        </w:rPr>
        <w:t xml:space="preserve"> </w:t>
      </w:r>
      <w:r w:rsidR="008B1364">
        <w:rPr>
          <w:rStyle w:val="FootnoteReference"/>
        </w:rPr>
        <w:footnoteReference w:id="1"/>
      </w:r>
      <w:r>
        <w:t xml:space="preserve"> </w:t>
      </w:r>
      <w:r w:rsidR="0014696A" w:rsidRPr="0014696A">
        <w:t>Certificate No. 450-W was granted to Mr. Earl W. Stockwell in 1990 and</w:t>
      </w:r>
      <w:r w:rsidR="00A0570B">
        <w:t xml:space="preserve"> </w:t>
      </w:r>
      <w:r w:rsidR="00C622B0">
        <w:t xml:space="preserve">was </w:t>
      </w:r>
      <w:r w:rsidR="0014696A" w:rsidRPr="0014696A">
        <w:t>subsequently transferre</w:t>
      </w:r>
      <w:r w:rsidR="00D42724">
        <w:t>d to Mr. Jim C. Branham in 1991.</w:t>
      </w:r>
      <w:r w:rsidR="008B1364" w:rsidRPr="008B1364">
        <w:rPr>
          <w:rStyle w:val="FootnoteReference"/>
        </w:rPr>
        <w:t xml:space="preserve"> </w:t>
      </w:r>
      <w:r w:rsidR="008B1364">
        <w:rPr>
          <w:rStyle w:val="FootnoteReference"/>
        </w:rPr>
        <w:footnoteReference w:id="2"/>
      </w:r>
      <w:r w:rsidR="0014696A" w:rsidRPr="0014696A">
        <w:t xml:space="preserve"> Upon Mr. Branham’s death on April 14, 2007, the </w:t>
      </w:r>
      <w:r w:rsidR="00AF693D">
        <w:t>U</w:t>
      </w:r>
      <w:r w:rsidR="0014696A" w:rsidRPr="0014696A">
        <w:t xml:space="preserve">tility became a part of his estate. On May 11, 2007, the Circuit Court for Lake County, Florida appointed Ms. Sandra Wesson as personal representative of the Estate of Jim C. Branham. During the probate of </w:t>
      </w:r>
      <w:r w:rsidR="00C35EAA">
        <w:t>Mr. Branham’s Es</w:t>
      </w:r>
      <w:r w:rsidR="0014696A" w:rsidRPr="0014696A">
        <w:t>tate, the Court granted Ms. Wesson authority to</w:t>
      </w:r>
      <w:r w:rsidR="0014696A">
        <w:t xml:space="preserve"> manage and operate the </w:t>
      </w:r>
      <w:r w:rsidR="0011254B">
        <w:t>U</w:t>
      </w:r>
      <w:r w:rsidR="0014696A">
        <w:t>tility as</w:t>
      </w:r>
      <w:r>
        <w:t xml:space="preserve"> </w:t>
      </w:r>
      <w:r w:rsidR="00B8132C">
        <w:t>Pine Harbour Water Utilities</w:t>
      </w:r>
      <w:r>
        <w:t>.</w:t>
      </w:r>
      <w:r w:rsidR="0014696A">
        <w:t xml:space="preserve"> </w:t>
      </w:r>
      <w:r>
        <w:t>The certificate was subsequently</w:t>
      </w:r>
      <w:r w:rsidR="00BB38AE">
        <w:t xml:space="preserve"> transferred to P</w:t>
      </w:r>
      <w:r w:rsidR="00B8132C">
        <w:t>HWU</w:t>
      </w:r>
      <w:r w:rsidR="00A0570B">
        <w:t>L</w:t>
      </w:r>
      <w:r w:rsidR="00B8132C">
        <w:t xml:space="preserve"> </w:t>
      </w:r>
      <w:r>
        <w:t>on October 6, 2008.</w:t>
      </w:r>
      <w:r>
        <w:rPr>
          <w:rStyle w:val="FootnoteReference"/>
        </w:rPr>
        <w:footnoteReference w:id="3"/>
      </w:r>
      <w:r>
        <w:t xml:space="preserve"> There have been no further certification actions since that time.</w:t>
      </w:r>
      <w:r w:rsidR="00FC1BFB">
        <w:t xml:space="preserve"> </w:t>
      </w:r>
      <w:r>
        <w:t xml:space="preserve">The </w:t>
      </w:r>
      <w:r w:rsidR="00E107F1">
        <w:t xml:space="preserve">current </w:t>
      </w:r>
      <w:r>
        <w:t>rates and charges for utility service were approved by the Commission in 2010.</w:t>
      </w:r>
      <w:r>
        <w:rPr>
          <w:rStyle w:val="FootnoteReference"/>
        </w:rPr>
        <w:footnoteReference w:id="4"/>
      </w:r>
      <w:r>
        <w:t xml:space="preserve"> </w:t>
      </w:r>
    </w:p>
    <w:p w:rsidR="00502C49" w:rsidRDefault="00502C49" w:rsidP="00502C49">
      <w:pPr>
        <w:jc w:val="both"/>
      </w:pPr>
      <w:r>
        <w:t>This recommendation addresses the transfer of the water system,</w:t>
      </w:r>
      <w:r w:rsidR="00C622B0">
        <w:t xml:space="preserve"> and the determination of</w:t>
      </w:r>
      <w:r>
        <w:t xml:space="preserve"> the net book value of the water</w:t>
      </w:r>
      <w:r w:rsidR="0014696A">
        <w:t xml:space="preserve"> system at the time of transfer</w:t>
      </w:r>
      <w:r>
        <w:t xml:space="preserve">. On August 15, 2016, </w:t>
      </w:r>
      <w:r w:rsidR="00911049">
        <w:t>PHWI</w:t>
      </w:r>
      <w:r>
        <w:t xml:space="preserve"> waived the 60-day statutory time</w:t>
      </w:r>
      <w:r w:rsidR="00FC1BFB">
        <w:t xml:space="preserve"> </w:t>
      </w:r>
      <w:r>
        <w:t>frame for the Commission’s decision on the proposed service charges as set forth in Section 367.091(6), Florida Statutes (F.S.).</w:t>
      </w:r>
      <w:r w:rsidR="00E107F1">
        <w:rPr>
          <w:rStyle w:val="FootnoteReference"/>
        </w:rPr>
        <w:footnoteReference w:id="5"/>
      </w:r>
      <w:r>
        <w:t xml:space="preserve"> </w:t>
      </w:r>
      <w:r w:rsidR="00FC1BFB">
        <w:t>T</w:t>
      </w:r>
      <w:r>
        <w:t>he Commission has jurisdiction pursuant to Sections 367.071 and 367.091,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16959" w:rsidRDefault="00716959">
      <w:pPr>
        <w:pStyle w:val="IssueHeading"/>
        <w:rPr>
          <w:vanish/>
          <w:specVanish/>
        </w:rPr>
      </w:pPr>
      <w:r w:rsidRPr="004C3641">
        <w:t xml:space="preserve">Issue </w:t>
      </w:r>
      <w:fldSimple w:instr=" SEQ Issue \* MERGEFORMAT ">
        <w:r w:rsidR="00DD480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D480F">
        <w:rPr>
          <w:noProof/>
        </w:rPr>
        <w:instrText>1</w:instrText>
      </w:r>
      <w:r>
        <w:fldChar w:fldCharType="end"/>
      </w:r>
      <w:r>
        <w:tab/>
        <w:instrText xml:space="preserve">" \l 1 </w:instrText>
      </w:r>
      <w:r>
        <w:fldChar w:fldCharType="end"/>
      </w:r>
      <w:r>
        <w:t> </w:t>
      </w:r>
    </w:p>
    <w:p w:rsidR="00716959" w:rsidRDefault="00716959">
      <w:pPr>
        <w:pStyle w:val="BodyText"/>
      </w:pPr>
      <w:r>
        <w:t> </w:t>
      </w:r>
      <w:r w:rsidR="00EE3107">
        <w:t>Should the transfer of Pine Harbour Water Utilities, LLC water system and Certificate No. 450-W to Pine Harbour Waterworks, Inc. be approved?</w:t>
      </w:r>
    </w:p>
    <w:p w:rsidR="00716959" w:rsidRPr="004C3641" w:rsidRDefault="00716959">
      <w:pPr>
        <w:pStyle w:val="IssueSubsectionHeading"/>
        <w:rPr>
          <w:vanish/>
          <w:specVanish/>
        </w:rPr>
      </w:pPr>
      <w:r w:rsidRPr="004C3641">
        <w:t>Recommendation: </w:t>
      </w:r>
    </w:p>
    <w:p w:rsidR="00CD7CF3" w:rsidRDefault="00716959" w:rsidP="00CD7CF3">
      <w:pPr>
        <w:pStyle w:val="BodyText"/>
        <w:spacing w:after="0"/>
      </w:pPr>
      <w:r>
        <w:t> </w:t>
      </w:r>
      <w:r w:rsidR="006228F1">
        <w:t>Yes. The transfer of the water system and Certificate No. 450-W is in the public interest and should be approved effective the date of the Commission vote. The resultant order should serve as the Buyer’s certificate and sh</w:t>
      </w:r>
      <w:r w:rsidR="00A4561D">
        <w:t xml:space="preserve">ould be retained by the Buyer. </w:t>
      </w:r>
      <w:r w:rsidR="00C67590">
        <w:t xml:space="preserve">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w:t>
      </w:r>
      <w:r w:rsidR="006F29A1">
        <w:t>PHWUL will be responsible for paying RAFs through June 29, 2016</w:t>
      </w:r>
      <w:r w:rsidR="00A3601C">
        <w:t>,</w:t>
      </w:r>
      <w:r w:rsidR="006F29A1">
        <w:t xml:space="preserve"> and the Buyer will be responsible for paying RAFs </w:t>
      </w:r>
      <w:r w:rsidR="00372784">
        <w:t>after</w:t>
      </w:r>
      <w:r w:rsidR="006F29A1">
        <w:t xml:space="preserve"> June 29, 2016</w:t>
      </w:r>
      <w:r w:rsidR="00372784">
        <w:t>,</w:t>
      </w:r>
      <w:r w:rsidR="006F29A1">
        <w:t xml:space="preserve"> and all future years. The Buyer should be responsible for filing the 2016 </w:t>
      </w:r>
      <w:r w:rsidR="005072E5">
        <w:t>A</w:t>
      </w:r>
      <w:r w:rsidR="006F29A1">
        <w:t xml:space="preserve">nnual </w:t>
      </w:r>
      <w:r w:rsidR="005072E5">
        <w:t>R</w:t>
      </w:r>
      <w:r w:rsidR="006F29A1">
        <w:t xml:space="preserve">eport and all future </w:t>
      </w:r>
      <w:r w:rsidR="00A3601C">
        <w:t>A</w:t>
      </w:r>
      <w:r w:rsidR="006F29A1">
        <w:t xml:space="preserve">nnual </w:t>
      </w:r>
      <w:r w:rsidR="00A3601C">
        <w:t>R</w:t>
      </w:r>
      <w:r w:rsidR="006F29A1">
        <w:t>eports.</w:t>
      </w:r>
      <w:r w:rsidR="00CD7CF3">
        <w:t xml:space="preserve"> </w:t>
      </w:r>
      <w:r w:rsidR="006228F1">
        <w:t>(</w:t>
      </w:r>
      <w:r w:rsidR="00534EF8">
        <w:t xml:space="preserve">Lewis, Knoblauch, </w:t>
      </w:r>
      <w:r w:rsidR="006228F1">
        <w:t>Andrews, Friedrich,)</w:t>
      </w:r>
    </w:p>
    <w:p w:rsidR="00716959" w:rsidRDefault="00716959" w:rsidP="00CD7CF3">
      <w:pPr>
        <w:pStyle w:val="BodyText"/>
        <w:spacing w:after="0"/>
      </w:pPr>
      <w:r>
        <w:t xml:space="preserve"> </w:t>
      </w:r>
    </w:p>
    <w:p w:rsidR="00716959" w:rsidRPr="004C3641" w:rsidRDefault="00716959">
      <w:pPr>
        <w:pStyle w:val="IssueSubsectionHeading"/>
        <w:rPr>
          <w:vanish/>
          <w:specVanish/>
        </w:rPr>
      </w:pPr>
      <w:r w:rsidRPr="004C3641">
        <w:t>Staff Analysis: </w:t>
      </w:r>
    </w:p>
    <w:p w:rsidR="004C4D79" w:rsidRDefault="00716959" w:rsidP="004C4D79">
      <w:pPr>
        <w:spacing w:before="240" w:after="240"/>
        <w:jc w:val="both"/>
      </w:pPr>
      <w:r>
        <w:t> </w:t>
      </w:r>
      <w:r w:rsidR="007E5540">
        <w:t xml:space="preserve">On July </w:t>
      </w:r>
      <w:r w:rsidR="00981944">
        <w:t>13</w:t>
      </w:r>
      <w:r w:rsidR="004C4D79">
        <w:t xml:space="preserve">, 2016, </w:t>
      </w:r>
      <w:r w:rsidR="009502C5">
        <w:t>Pine Harbour Waterworks, Inc. filed</w:t>
      </w:r>
      <w:r w:rsidR="004C4D79">
        <w:t xml:space="preserve"> an application for the transfer of Certificate No. 450-W from Pine Harbour Water Utilities, LLC in Lake County. The application is in compliance with Section 367.071, F.S., and Commission rules concerning applications for transfer of certificates. The sale occurred on June 29, 2016, contingent upon Commission approval, pursuant to Section 367.071(1), F.S.</w:t>
      </w:r>
    </w:p>
    <w:p w:rsidR="004C4D79" w:rsidRDefault="004C4D79" w:rsidP="004C4D79">
      <w:pPr>
        <w:spacing w:before="240"/>
        <w:jc w:val="both"/>
        <w:rPr>
          <w:rFonts w:ascii="Arial" w:hAnsi="Arial" w:cs="Arial"/>
          <w:b/>
        </w:rPr>
      </w:pPr>
      <w:r>
        <w:rPr>
          <w:rFonts w:ascii="Arial" w:hAnsi="Arial" w:cs="Arial"/>
          <w:b/>
        </w:rPr>
        <w:t>Noticing, Territory, and Land Ownership</w:t>
      </w:r>
    </w:p>
    <w:p w:rsidR="004C4D79" w:rsidRDefault="00333F8A" w:rsidP="004C4D79">
      <w:pPr>
        <w:spacing w:after="240"/>
        <w:jc w:val="both"/>
      </w:pPr>
      <w:r>
        <w:t>On August</w:t>
      </w:r>
      <w:r w:rsidR="00DF71C2">
        <w:t xml:space="preserve"> </w:t>
      </w:r>
      <w:r>
        <w:t>1</w:t>
      </w:r>
      <w:r w:rsidR="00DF71C2">
        <w:t>6, 2016, staff</w:t>
      </w:r>
      <w:r w:rsidR="004C4D79">
        <w:t xml:space="preserve"> notified P</w:t>
      </w:r>
      <w:r w:rsidR="009502C5">
        <w:t>HWI</w:t>
      </w:r>
      <w:r w:rsidR="004C4D79">
        <w:t xml:space="preserve"> that its application was not in compliance with the noticing provisions set forth in Section 367.071, F.S., and Rule 25-30.030,</w:t>
      </w:r>
      <w:r w:rsidR="00F65AD3" w:rsidRPr="009B6AD6">
        <w:rPr>
          <w:rFonts w:eastAsiaTheme="minorHAnsi"/>
        </w:rPr>
        <w:t xml:space="preserve"> Florida Administrative Code</w:t>
      </w:r>
      <w:r w:rsidR="004C4D79">
        <w:t xml:space="preserve"> </w:t>
      </w:r>
      <w:r w:rsidR="00F65AD3">
        <w:t>(</w:t>
      </w:r>
      <w:r w:rsidR="004C4D79">
        <w:t>F.A.C.</w:t>
      </w:r>
      <w:r w:rsidR="00F65AD3">
        <w:t>)</w:t>
      </w:r>
      <w:r w:rsidR="004C4D79">
        <w:t xml:space="preserve"> </w:t>
      </w:r>
      <w:r w:rsidR="00DC063B">
        <w:t>PHWI</w:t>
      </w:r>
      <w:r w:rsidR="004C4D79">
        <w:t xml:space="preserve"> filed a corrected notice on September 9, 2016. No objections to the transfer were filed, and the time for doing so has expired. </w:t>
      </w:r>
      <w:r w:rsidR="00DF71C2">
        <w:t xml:space="preserve">The application contains a </w:t>
      </w:r>
      <w:r w:rsidR="00DC063B">
        <w:t>description of the</w:t>
      </w:r>
      <w:r w:rsidR="00DF71C2">
        <w:t xml:space="preserve"> </w:t>
      </w:r>
      <w:r w:rsidR="004C4D79">
        <w:t xml:space="preserve">water service territory </w:t>
      </w:r>
      <w:r w:rsidR="00DF71C2">
        <w:t xml:space="preserve">which </w:t>
      </w:r>
      <w:r w:rsidR="004C4D79">
        <w:t xml:space="preserve">is appended to this recommendation as Attachment A. The application </w:t>
      </w:r>
      <w:r w:rsidR="00DF71C2">
        <w:t xml:space="preserve">also </w:t>
      </w:r>
      <w:r w:rsidR="004C4D79">
        <w:t xml:space="preserve">contains a copy of a </w:t>
      </w:r>
      <w:r w:rsidR="004C4D79" w:rsidRPr="00DF71C2">
        <w:t>quit</w:t>
      </w:r>
      <w:r w:rsidR="004C4D79">
        <w:t xml:space="preserve"> claim deed that was executed on June 21, 2016, as evidence that the Applicant owns the land upon which the water treatment facilities are located pursuant to Rule 25-30.037(2)(q), F.A.C.</w:t>
      </w:r>
    </w:p>
    <w:p w:rsidR="009B6AD6" w:rsidRPr="009B6AD6" w:rsidRDefault="009B6AD6" w:rsidP="009B6AD6">
      <w:pPr>
        <w:rPr>
          <w:rFonts w:ascii="Arial" w:eastAsiaTheme="minorHAnsi" w:hAnsi="Arial" w:cs="Arial"/>
          <w:b/>
        </w:rPr>
      </w:pPr>
      <w:r w:rsidRPr="009B6AD6">
        <w:rPr>
          <w:rFonts w:ascii="Arial" w:eastAsiaTheme="minorHAnsi" w:hAnsi="Arial" w:cs="Arial"/>
          <w:b/>
        </w:rPr>
        <w:t>Purchase Agreement and Financing</w:t>
      </w:r>
    </w:p>
    <w:p w:rsidR="009B6AD6" w:rsidRDefault="009B6AD6" w:rsidP="00D44307">
      <w:pPr>
        <w:jc w:val="both"/>
        <w:rPr>
          <w:rFonts w:eastAsiaTheme="minorHAnsi"/>
        </w:rPr>
      </w:pPr>
      <w:r w:rsidRPr="009B6AD6">
        <w:rPr>
          <w:rFonts w:eastAsiaTheme="minorHAnsi"/>
        </w:rPr>
        <w:t>Pursuant to Rule 25-30.037(2)(i), and (j),</w:t>
      </w:r>
      <w:r w:rsidR="00F65AD3">
        <w:rPr>
          <w:rFonts w:eastAsiaTheme="minorHAnsi"/>
        </w:rPr>
        <w:t xml:space="preserve"> F.A.C.</w:t>
      </w:r>
      <w:r w:rsidRPr="009B6AD6">
        <w:rPr>
          <w:rFonts w:eastAsiaTheme="minorHAnsi"/>
        </w:rPr>
        <w:t>, the application contains a statement regardi</w:t>
      </w:r>
      <w:r w:rsidR="007142F4">
        <w:rPr>
          <w:rFonts w:eastAsiaTheme="minorHAnsi"/>
        </w:rPr>
        <w:t>ng financing and a copy of the purchase a</w:t>
      </w:r>
      <w:r w:rsidRPr="009B6AD6">
        <w:rPr>
          <w:rFonts w:eastAsiaTheme="minorHAnsi"/>
        </w:rPr>
        <w:t>greement, which includes the purchase price, terms of payment, and a list of the assets purchased. There are no customer deposits, guaranteed revenue contracts, developer agreements, customer advances, leases, or debt of PHWU</w:t>
      </w:r>
      <w:r w:rsidR="003B0078">
        <w:rPr>
          <w:rFonts w:eastAsiaTheme="minorHAnsi"/>
        </w:rPr>
        <w:t>L</w:t>
      </w:r>
      <w:r w:rsidRPr="009B6AD6">
        <w:rPr>
          <w:rFonts w:eastAsiaTheme="minorHAnsi"/>
        </w:rPr>
        <w:t xml:space="preserve"> that must be disposed of with regard to the transfer. According to the purchase agreement, the total purchase price for the assets is $34,000 with $30,600 paid at closing and the final payment of $3,400 being paid within 30 days of Commission approval of the transfer. According to the Buyer, the sale took place on June 29, 2016, subject to Commission approval, pursuant to Section 367.071(1), F.S</w:t>
      </w:r>
      <w:r w:rsidR="0041756E">
        <w:rPr>
          <w:rFonts w:eastAsiaTheme="minorHAnsi"/>
        </w:rPr>
        <w:t>.</w:t>
      </w:r>
    </w:p>
    <w:p w:rsidR="006A1616" w:rsidRDefault="006A1616" w:rsidP="00D44307">
      <w:pPr>
        <w:jc w:val="both"/>
        <w:rPr>
          <w:rFonts w:eastAsiaTheme="minorHAnsi"/>
        </w:rPr>
      </w:pPr>
    </w:p>
    <w:p w:rsidR="006A1616" w:rsidRDefault="006A1616" w:rsidP="00D44307">
      <w:pPr>
        <w:jc w:val="both"/>
        <w:rPr>
          <w:rFonts w:eastAsiaTheme="minorHAnsi"/>
        </w:rPr>
      </w:pPr>
    </w:p>
    <w:p w:rsidR="006A1616" w:rsidRDefault="006A1616" w:rsidP="00D44307">
      <w:pPr>
        <w:jc w:val="both"/>
        <w:rPr>
          <w:rFonts w:eastAsiaTheme="minorHAnsi"/>
        </w:rPr>
      </w:pPr>
    </w:p>
    <w:p w:rsidR="00D44307" w:rsidRDefault="00D44307" w:rsidP="00D44307">
      <w:pPr>
        <w:jc w:val="both"/>
      </w:pPr>
    </w:p>
    <w:p w:rsidR="004C4D79" w:rsidRDefault="004C4D79" w:rsidP="00D44307">
      <w:pPr>
        <w:jc w:val="both"/>
        <w:rPr>
          <w:b/>
        </w:rPr>
      </w:pPr>
      <w:r>
        <w:rPr>
          <w:rFonts w:ascii="Arial" w:hAnsi="Arial" w:cs="Arial"/>
          <w:b/>
        </w:rPr>
        <w:lastRenderedPageBreak/>
        <w:t>Facility Description and Compliance</w:t>
      </w:r>
    </w:p>
    <w:p w:rsidR="004C4D79" w:rsidRDefault="004C4D79" w:rsidP="00D44307">
      <w:pPr>
        <w:jc w:val="both"/>
      </w:pPr>
      <w:r>
        <w:t xml:space="preserve">The water treatment system consists of one well with a 6,000 gallon steel </w:t>
      </w:r>
      <w:r w:rsidR="0011254B">
        <w:t>hydro pneumatic</w:t>
      </w:r>
      <w:r>
        <w:t xml:space="preserve"> tank</w:t>
      </w:r>
      <w:r w:rsidR="00B53415">
        <w:t>,</w:t>
      </w:r>
      <w:r>
        <w:t xml:space="preserve"> a 10,000 gallon ground storage tank</w:t>
      </w:r>
      <w:r w:rsidR="00B53415">
        <w:t>,</w:t>
      </w:r>
      <w:r>
        <w:t xml:space="preserve"> and a liquid chlorination system used for disinfection. The last Florida Department of Environmental Protection (DEP) sanitary survey was conducted on September 16, 2015, and there was one deficiency, which </w:t>
      </w:r>
      <w:r w:rsidR="00B53415">
        <w:t xml:space="preserve">has been </w:t>
      </w:r>
      <w:r>
        <w:t>corr</w:t>
      </w:r>
      <w:r w:rsidR="00B53415">
        <w:t xml:space="preserve">ected. On October 20, 2015, DEP deemed the </w:t>
      </w:r>
      <w:r>
        <w:t>Utility</w:t>
      </w:r>
      <w:r w:rsidR="00FE2D93">
        <w:t xml:space="preserve"> was </w:t>
      </w:r>
      <w:r>
        <w:t xml:space="preserve">in compliance </w:t>
      </w:r>
      <w:r w:rsidR="009D0751">
        <w:t xml:space="preserve">with applicable </w:t>
      </w:r>
      <w:r>
        <w:t>rules.</w:t>
      </w:r>
    </w:p>
    <w:p w:rsidR="00DE6584" w:rsidRDefault="00DE6584" w:rsidP="00D44307">
      <w:pPr>
        <w:jc w:val="both"/>
      </w:pPr>
    </w:p>
    <w:p w:rsidR="005248CD" w:rsidRDefault="004C4D79" w:rsidP="005248CD">
      <w:pPr>
        <w:jc w:val="both"/>
        <w:rPr>
          <w:rFonts w:ascii="Arial" w:hAnsi="Arial" w:cs="Arial"/>
          <w:b/>
        </w:rPr>
      </w:pPr>
      <w:r>
        <w:rPr>
          <w:rFonts w:ascii="Arial" w:hAnsi="Arial" w:cs="Arial"/>
          <w:b/>
        </w:rPr>
        <w:t>Technical and Financial Ability</w:t>
      </w:r>
    </w:p>
    <w:p w:rsidR="005248CD" w:rsidRDefault="005248CD" w:rsidP="005248CD">
      <w:pPr>
        <w:jc w:val="both"/>
        <w:rPr>
          <w:rStyle w:val="CharChar"/>
        </w:rPr>
      </w:pPr>
      <w:r w:rsidRPr="00C91A0C">
        <w:t>Pursuant to Rule 25-30.037(2)(l), F.A.C., the application contains statements describing the technical and financial ability of the Applicant to provide service to the proposed service area. According to the application, the Buyer has considerable Florida-specific expertise in private utility ownership. The President and Vice President have over 30 and 38 years, respectively, of experience operating or owning water utilities, including a number of utilities previously regulated by the Commission. In addition, the directors are part owners of other systems regulated by the Commission, including Harbor Waterworks, Inc.,</w:t>
      </w:r>
      <w:r w:rsidRPr="00C91A0C">
        <w:rPr>
          <w:vertAlign w:val="superscript"/>
        </w:rPr>
        <w:footnoteReference w:id="6"/>
      </w:r>
      <w:r w:rsidRPr="00C91A0C">
        <w:t xml:space="preserve"> Lakeside Waterworks, Inc.,</w:t>
      </w:r>
      <w:r w:rsidRPr="00C91A0C">
        <w:rPr>
          <w:vertAlign w:val="superscript"/>
        </w:rPr>
        <w:footnoteReference w:id="7"/>
      </w:r>
      <w:r w:rsidRPr="00C91A0C">
        <w:t xml:space="preserve"> LP Waterworks, Inc.,</w:t>
      </w:r>
      <w:r w:rsidRPr="00C91A0C">
        <w:rPr>
          <w:vertAlign w:val="superscript"/>
        </w:rPr>
        <w:footnoteReference w:id="8"/>
      </w:r>
      <w:r w:rsidRPr="00C91A0C">
        <w:t xml:space="preserve"> Raintree Waterworks, Inc.,</w:t>
      </w:r>
      <w:r w:rsidRPr="00C91A0C">
        <w:rPr>
          <w:vertAlign w:val="superscript"/>
        </w:rPr>
        <w:footnoteReference w:id="9"/>
      </w:r>
      <w:r w:rsidRPr="00C91A0C">
        <w:t xml:space="preserve"> Brendenwood Waterworks, Inc.,</w:t>
      </w:r>
      <w:r w:rsidRPr="00C91A0C">
        <w:rPr>
          <w:vertAlign w:val="superscript"/>
        </w:rPr>
        <w:footnoteReference w:id="10"/>
      </w:r>
      <w:r w:rsidRPr="00C91A0C">
        <w:t xml:space="preserve"> Country Walk Utilities, Inc.,</w:t>
      </w:r>
      <w:r w:rsidRPr="00C91A0C">
        <w:rPr>
          <w:vertAlign w:val="superscript"/>
        </w:rPr>
        <w:footnoteReference w:id="11"/>
      </w:r>
      <w:r w:rsidRPr="00C91A0C">
        <w:t xml:space="preserve"> </w:t>
      </w:r>
      <w:r>
        <w:t>Lake Idlewild Utility Company,</w:t>
      </w:r>
      <w:r>
        <w:rPr>
          <w:rStyle w:val="FootnoteReference"/>
        </w:rPr>
        <w:footnoteReference w:id="12"/>
      </w:r>
      <w:r>
        <w:t xml:space="preserve"> </w:t>
      </w:r>
      <w:r w:rsidRPr="00C91A0C">
        <w:t>Black Bear Reserve Water Corporation,</w:t>
      </w:r>
      <w:r w:rsidRPr="00C91A0C">
        <w:rPr>
          <w:vertAlign w:val="superscript"/>
        </w:rPr>
        <w:footnoteReference w:id="13"/>
      </w:r>
      <w:r w:rsidRPr="00C91A0C">
        <w:t xml:space="preserve"> and several of the systems previously owned by Aqua Utilities Florida, Inc.</w:t>
      </w:r>
      <w:r w:rsidRPr="00C91A0C">
        <w:rPr>
          <w:vertAlign w:val="superscript"/>
        </w:rPr>
        <w:footnoteReference w:id="14"/>
      </w:r>
      <w:r w:rsidRPr="00C91A0C">
        <w:t xml:space="preserve"> The </w:t>
      </w:r>
      <w:r w:rsidRPr="00C91A0C">
        <w:lastRenderedPageBreak/>
        <w:t>application also indicates that both the President and Vice President have controlled service delivery to more than 850 water and wastewater facilities within Florida during their careers.</w:t>
      </w:r>
      <w:r>
        <w:rPr>
          <w:rStyle w:val="CharChar"/>
        </w:rPr>
        <w:t xml:space="preserve"> </w:t>
      </w:r>
      <w:r w:rsidRPr="00032C87">
        <w:rPr>
          <w:rStyle w:val="CharChar"/>
        </w:rPr>
        <w:t xml:space="preserve">Further, the application indicates that the President has secured the services of U.S. Water Services Corporation to provide contract operating service, as well as, billing and collection services. Staff also reviewed the personal financial statements </w:t>
      </w:r>
      <w:r>
        <w:rPr>
          <w:rStyle w:val="CharChar"/>
        </w:rPr>
        <w:t>of</w:t>
      </w:r>
      <w:r w:rsidRPr="00032C87">
        <w:rPr>
          <w:rStyle w:val="CharChar"/>
        </w:rPr>
        <w:t xml:space="preserve"> the </w:t>
      </w:r>
      <w:r>
        <w:rPr>
          <w:rStyle w:val="CharChar"/>
        </w:rPr>
        <w:t xml:space="preserve">three primary shareholders, which includes the </w:t>
      </w:r>
      <w:r w:rsidRPr="00032C87">
        <w:rPr>
          <w:rStyle w:val="CharChar"/>
        </w:rPr>
        <w:t>President and Vice President.</w:t>
      </w:r>
      <w:r w:rsidRPr="00A218F1">
        <w:rPr>
          <w:rStyle w:val="CharChar"/>
          <w:vertAlign w:val="superscript"/>
        </w:rPr>
        <w:footnoteReference w:id="15"/>
      </w:r>
      <w:r w:rsidRPr="00032C87">
        <w:rPr>
          <w:rStyle w:val="CharChar"/>
        </w:rPr>
        <w:t xml:space="preserve"> Based on the above, </w:t>
      </w:r>
      <w:r>
        <w:rPr>
          <w:rStyle w:val="CharChar"/>
        </w:rPr>
        <w:t xml:space="preserve">staff believes </w:t>
      </w:r>
      <w:r w:rsidRPr="00032C87">
        <w:rPr>
          <w:rStyle w:val="CharChar"/>
        </w:rPr>
        <w:t xml:space="preserve">the </w:t>
      </w:r>
      <w:r>
        <w:rPr>
          <w:rStyle w:val="CharChar"/>
        </w:rPr>
        <w:t>B</w:t>
      </w:r>
      <w:r w:rsidRPr="00032C87">
        <w:rPr>
          <w:rStyle w:val="CharChar"/>
        </w:rPr>
        <w:t>uyer has demonstrated the technical and financial ability to provide service to the existing service territory</w:t>
      </w:r>
      <w:r>
        <w:rPr>
          <w:rStyle w:val="CharChar"/>
        </w:rPr>
        <w:t>.</w:t>
      </w:r>
    </w:p>
    <w:p w:rsidR="00C67590" w:rsidRDefault="00C67590" w:rsidP="00C67590">
      <w:pPr>
        <w:spacing w:before="240"/>
        <w:jc w:val="both"/>
        <w:rPr>
          <w:rFonts w:ascii="Arial" w:hAnsi="Arial" w:cs="Arial"/>
          <w:b/>
        </w:rPr>
      </w:pPr>
      <w:r w:rsidRPr="00C67590">
        <w:rPr>
          <w:rFonts w:ascii="Arial" w:hAnsi="Arial" w:cs="Arial"/>
          <w:b/>
        </w:rPr>
        <w:t>Rates and Charges</w:t>
      </w:r>
    </w:p>
    <w:p w:rsidR="007B373C" w:rsidRPr="00D26D0D" w:rsidRDefault="007B373C" w:rsidP="007B373C">
      <w:pPr>
        <w:spacing w:after="200"/>
        <w:jc w:val="both"/>
        <w:rPr>
          <w:u w:val="single"/>
        </w:rPr>
      </w:pPr>
      <w:r>
        <w:t xml:space="preserve">The </w:t>
      </w:r>
      <w:r w:rsidR="00F974C6">
        <w:t>U</w:t>
      </w:r>
      <w:r>
        <w:t>tility’s rates and charges were last approved in an original certificate case in 1986.</w:t>
      </w:r>
      <w:r>
        <w:rPr>
          <w:rStyle w:val="FootnoteReference"/>
        </w:rPr>
        <w:footnoteReference w:id="16"/>
      </w:r>
      <w:r w:rsidRPr="00D26D0D">
        <w:t xml:space="preserve"> </w:t>
      </w:r>
      <w:r>
        <w:t xml:space="preserve">Subsequently, the rates were amended by several price index and pass through adjustments. </w:t>
      </w:r>
      <w:r w:rsidRPr="00D26D0D">
        <w:t xml:space="preserve">The </w:t>
      </w:r>
      <w:r w:rsidR="00F974C6">
        <w:t>U</w:t>
      </w:r>
      <w:r w:rsidRPr="00D26D0D">
        <w:t xml:space="preserve">tility’s existing rates are shown on </w:t>
      </w:r>
      <w:r w:rsidR="00254246">
        <w:t>Attachment B</w:t>
      </w:r>
      <w:r w:rsidRPr="00D26D0D">
        <w:t xml:space="preserve">. Rule 25-9.044(1), F.A.C., provides that, in the case of a change of ownership or control of a utility, the rates, classifications, and regulations of the former owner must continue unless authorized to change by this Commission. Therefore, staff recommends that the </w:t>
      </w:r>
      <w:r w:rsidR="00F974C6">
        <w:t>U</w:t>
      </w:r>
      <w:r w:rsidRPr="00D26D0D">
        <w:t xml:space="preserve">tility’s existing rates and charges remain in effect until a change is authorized by this Commission in a subsequent proceeding.  </w:t>
      </w:r>
    </w:p>
    <w:p w:rsidR="004C4D79" w:rsidRDefault="004C4D79" w:rsidP="004C4D79">
      <w:pPr>
        <w:spacing w:before="240"/>
        <w:jc w:val="both"/>
        <w:rPr>
          <w:rFonts w:ascii="Arial" w:hAnsi="Arial" w:cs="Arial"/>
          <w:b/>
        </w:rPr>
      </w:pPr>
      <w:r>
        <w:rPr>
          <w:rFonts w:ascii="Arial" w:hAnsi="Arial" w:cs="Arial"/>
          <w:b/>
        </w:rPr>
        <w:t>Regulatory Assessment Fees and Annual Reports</w:t>
      </w:r>
    </w:p>
    <w:p w:rsidR="005248CD" w:rsidRDefault="005248CD" w:rsidP="005248CD">
      <w:pPr>
        <w:jc w:val="both"/>
      </w:pPr>
      <w:r>
        <w:t xml:space="preserve">Staff has verified that the Utility is current on the filing of </w:t>
      </w:r>
      <w:r w:rsidR="000D0B98">
        <w:t>A</w:t>
      </w:r>
      <w:r>
        <w:t xml:space="preserve">nnual </w:t>
      </w:r>
      <w:r w:rsidR="000D0B98">
        <w:t>R</w:t>
      </w:r>
      <w:r>
        <w:t>eports and RAFs through December 31, 2015. PHWU</w:t>
      </w:r>
      <w:r w:rsidR="00617FAD">
        <w:t>L</w:t>
      </w:r>
      <w:r>
        <w:t xml:space="preserve"> will be responsible for paying RAFs through June 29, 2016</w:t>
      </w:r>
      <w:r w:rsidR="00C56D22">
        <w:t>,</w:t>
      </w:r>
      <w:r>
        <w:t xml:space="preserve"> and</w:t>
      </w:r>
      <w:r w:rsidR="00266D11">
        <w:t xml:space="preserve"> t</w:t>
      </w:r>
      <w:r>
        <w:t xml:space="preserve">he Buyer will be responsible for paying RAFs </w:t>
      </w:r>
      <w:r w:rsidR="00372784">
        <w:t>after</w:t>
      </w:r>
      <w:r>
        <w:t xml:space="preserve"> June 29, 2016</w:t>
      </w:r>
      <w:r w:rsidR="00372784">
        <w:t>,</w:t>
      </w:r>
      <w:r>
        <w:t xml:space="preserve"> and all future years.</w:t>
      </w:r>
      <w:r w:rsidR="006F29A1">
        <w:t xml:space="preserve"> The Buyer should be responsible for filing the 2016 </w:t>
      </w:r>
      <w:r w:rsidR="005072E5">
        <w:t>A</w:t>
      </w:r>
      <w:r w:rsidR="006F29A1">
        <w:t xml:space="preserve">nnual </w:t>
      </w:r>
      <w:r w:rsidR="005072E5">
        <w:t>R</w:t>
      </w:r>
      <w:r w:rsidR="006F29A1">
        <w:t xml:space="preserve">eport and all future </w:t>
      </w:r>
      <w:r w:rsidR="008A6889">
        <w:t>A</w:t>
      </w:r>
      <w:r w:rsidR="006F29A1">
        <w:t xml:space="preserve">nnual </w:t>
      </w:r>
      <w:r w:rsidR="008A6889">
        <w:t>R</w:t>
      </w:r>
      <w:r w:rsidR="006F29A1">
        <w:t>eports.</w:t>
      </w:r>
    </w:p>
    <w:p w:rsidR="004C4D79" w:rsidRDefault="004C4D79" w:rsidP="004C4D79">
      <w:pPr>
        <w:spacing w:before="240"/>
        <w:jc w:val="both"/>
        <w:rPr>
          <w:rFonts w:ascii="Arial" w:hAnsi="Arial" w:cs="Arial"/>
          <w:b/>
        </w:rPr>
      </w:pPr>
      <w:r>
        <w:rPr>
          <w:rFonts w:ascii="Arial" w:hAnsi="Arial" w:cs="Arial"/>
          <w:b/>
        </w:rPr>
        <w:t>Conclusion</w:t>
      </w:r>
    </w:p>
    <w:p w:rsidR="004C4D79" w:rsidRDefault="004C4D79" w:rsidP="004C4D79">
      <w:pPr>
        <w:jc w:val="both"/>
        <w:rPr>
          <w:rFonts w:eastAsiaTheme="minorHAnsi"/>
        </w:rPr>
      </w:pPr>
      <w:r>
        <w:t>Based on the foregoing, staff recommends that the transfer of the water system and Certificate No. 450-W is in the public interest and should be approved effective the date of the Commission vote. The resultant</w:t>
      </w:r>
      <w:r w:rsidR="00E97620">
        <w:t xml:space="preserve"> order should serve as the </w:t>
      </w:r>
      <w:r w:rsidR="00816233">
        <w:t>Buyer</w:t>
      </w:r>
      <w:r>
        <w:t>’s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p>
    <w:p w:rsidR="007B373C" w:rsidRDefault="007B373C" w:rsidP="004C4D79">
      <w:pPr>
        <w:pStyle w:val="IssueHeading"/>
        <w:rPr>
          <w:b w:val="0"/>
          <w:i w:val="0"/>
        </w:rPr>
      </w:pPr>
    </w:p>
    <w:p w:rsidR="00EE5E91" w:rsidRDefault="00EE5E91">
      <w:pPr>
        <w:pStyle w:val="IssueHeading"/>
        <w:rPr>
          <w:b w:val="0"/>
          <w:i w:val="0"/>
        </w:rPr>
        <w:sectPr w:rsidR="00EE5E9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16959" w:rsidRDefault="00716959">
      <w:pPr>
        <w:pStyle w:val="IssueHeading"/>
        <w:rPr>
          <w:vanish/>
          <w:specVanish/>
        </w:rPr>
      </w:pPr>
      <w:r w:rsidRPr="004C3641">
        <w:lastRenderedPageBreak/>
        <w:t xml:space="preserve">Issue </w:t>
      </w:r>
      <w:r w:rsidR="00EE5E91">
        <w:t>2</w:t>
      </w:r>
      <w:r w:rsidRPr="004C3641">
        <w:t>:</w:t>
      </w:r>
      <w:r>
        <w:fldChar w:fldCharType="begin"/>
      </w:r>
      <w:r>
        <w:instrText xml:space="preserve"> TC "</w:instrText>
      </w:r>
      <w:r>
        <w:fldChar w:fldCharType="begin"/>
      </w:r>
      <w:r>
        <w:instrText xml:space="preserve"> SEQ issue \c </w:instrText>
      </w:r>
      <w:r>
        <w:fldChar w:fldCharType="separate"/>
      </w:r>
      <w:r w:rsidR="00DD480F">
        <w:rPr>
          <w:noProof/>
        </w:rPr>
        <w:instrText>1</w:instrText>
      </w:r>
      <w:r>
        <w:fldChar w:fldCharType="end"/>
      </w:r>
      <w:r>
        <w:tab/>
        <w:instrText xml:space="preserve">" \l 1 </w:instrText>
      </w:r>
      <w:r>
        <w:fldChar w:fldCharType="end"/>
      </w:r>
      <w:r>
        <w:t> </w:t>
      </w:r>
    </w:p>
    <w:p w:rsidR="00716959" w:rsidRDefault="00716959">
      <w:pPr>
        <w:pStyle w:val="BodyText"/>
      </w:pPr>
      <w:r>
        <w:t> </w:t>
      </w:r>
      <w:r w:rsidR="006472DF">
        <w:t xml:space="preserve">What are the appropriate initial customer deposits for </w:t>
      </w:r>
      <w:r w:rsidR="005D52E0" w:rsidRPr="005D52E0">
        <w:rPr>
          <w:color w:val="000000" w:themeColor="text1"/>
        </w:rPr>
        <w:t>Pine Harbour Waterwork</w:t>
      </w:r>
      <w:r w:rsidR="000C711F" w:rsidRPr="005D52E0">
        <w:rPr>
          <w:color w:val="000000" w:themeColor="text1"/>
        </w:rPr>
        <w:t xml:space="preserve">s, </w:t>
      </w:r>
      <w:r w:rsidR="00981C4B" w:rsidRPr="005D52E0">
        <w:rPr>
          <w:color w:val="000000" w:themeColor="text1"/>
        </w:rPr>
        <w:t>Inc.</w:t>
      </w:r>
      <w:r w:rsidR="000C711F" w:rsidRPr="005D52E0">
        <w:rPr>
          <w:color w:val="000000" w:themeColor="text1"/>
        </w:rPr>
        <w:t xml:space="preserve"> </w:t>
      </w:r>
      <w:r w:rsidR="006472DF">
        <w:t>water service?</w:t>
      </w:r>
    </w:p>
    <w:p w:rsidR="00716959" w:rsidRPr="004C3641" w:rsidRDefault="00716959">
      <w:pPr>
        <w:pStyle w:val="IssueSubsectionHeading"/>
        <w:rPr>
          <w:vanish/>
          <w:specVanish/>
        </w:rPr>
      </w:pPr>
      <w:r w:rsidRPr="004C3641">
        <w:t>Recommendation: </w:t>
      </w:r>
    </w:p>
    <w:p w:rsidR="00716959" w:rsidRDefault="00716959">
      <w:pPr>
        <w:pStyle w:val="BodyText"/>
      </w:pPr>
      <w:r>
        <w:t> </w:t>
      </w:r>
      <w:r w:rsidR="00B2304B">
        <w:t xml:space="preserve">The appropriate water initial customer deposit should be $56 for the residential 5/8” x 3/4” meter size. The initial customer deposits for all other residential meter sizes should be two times the average estimated bill for water service. </w:t>
      </w:r>
      <w:r w:rsidR="00B2304B">
        <w:rPr>
          <w:color w:val="000000"/>
        </w:rPr>
        <w:t>The approved initial customer deposits should be effective for connections made on or after the stamped approval date on the tariff sheet pursuant to Rule 25-30.475, F.A.C.</w:t>
      </w:r>
      <w:r w:rsidR="00B2304B">
        <w:t xml:space="preserve"> (Friedrich)</w:t>
      </w:r>
      <w:r>
        <w:t xml:space="preserve"> </w:t>
      </w:r>
    </w:p>
    <w:p w:rsidR="00716959" w:rsidRPr="004C3641" w:rsidRDefault="00716959">
      <w:pPr>
        <w:pStyle w:val="IssueSubsectionHeading"/>
        <w:rPr>
          <w:vanish/>
          <w:specVanish/>
        </w:rPr>
      </w:pPr>
      <w:r w:rsidRPr="004C3641">
        <w:t>Staff Analysis: </w:t>
      </w:r>
    </w:p>
    <w:p w:rsidR="00B10C4A" w:rsidRDefault="00716959" w:rsidP="00B10C4A">
      <w:pPr>
        <w:spacing w:after="240"/>
        <w:jc w:val="both"/>
        <w:outlineLvl w:val="0"/>
        <w:rPr>
          <w:color w:val="000000"/>
        </w:rPr>
      </w:pPr>
      <w:r>
        <w:t> </w:t>
      </w:r>
      <w:r w:rsidR="00B10C4A">
        <w:rPr>
          <w:color w:val="000000"/>
        </w:rPr>
        <w:t>Rule 25-30.311, F.A.C., contains the criteria for collecting, administering, and refunding customer deposits. Customer deposits are designed to minimize the ex</w:t>
      </w:r>
      <w:r w:rsidR="00DC063B">
        <w:rPr>
          <w:color w:val="000000"/>
        </w:rPr>
        <w:t>posure of bad debt expense for a utility</w:t>
      </w:r>
      <w:r w:rsidR="00B10C4A">
        <w:rPr>
          <w:color w:val="000000"/>
        </w:rPr>
        <w:t xml:space="preserve"> and, ultimately, the general body of ratepayers. Historically, the Commission has set initial customer deposits equal to two times the average estimated bill.</w:t>
      </w:r>
      <w:r w:rsidR="00B10C4A">
        <w:rPr>
          <w:color w:val="000000"/>
          <w:vertAlign w:val="superscript"/>
        </w:rPr>
        <w:footnoteReference w:id="17"/>
      </w:r>
      <w:r w:rsidR="00DC063B">
        <w:rPr>
          <w:color w:val="000000"/>
        </w:rPr>
        <w:t xml:space="preserve"> Currently,</w:t>
      </w:r>
      <w:r w:rsidR="00B10C4A">
        <w:rPr>
          <w:color w:val="000000"/>
        </w:rPr>
        <w:t xml:space="preserve"> initial customer deposits</w:t>
      </w:r>
      <w:r w:rsidR="00DC063B">
        <w:rPr>
          <w:color w:val="000000"/>
        </w:rPr>
        <w:t xml:space="preserve"> are not in place</w:t>
      </w:r>
      <w:r w:rsidR="00B10C4A">
        <w:rPr>
          <w:color w:val="000000"/>
        </w:rPr>
        <w:t xml:space="preserve">. Based on the average water demand, the appropriate initial customer deposit should be $56 to reflect an average residential customer bill for two months. </w:t>
      </w:r>
    </w:p>
    <w:p w:rsidR="00B10C4A" w:rsidRDefault="00B10C4A" w:rsidP="00912483">
      <w:pPr>
        <w:jc w:val="both"/>
        <w:rPr>
          <w:rFonts w:eastAsiaTheme="minorHAnsi"/>
        </w:rPr>
      </w:pPr>
      <w:r>
        <w:rPr>
          <w:color w:val="000000"/>
        </w:rPr>
        <w:t>Based on the above, staff recommends that t</w:t>
      </w:r>
      <w:r>
        <w:t xml:space="preserve">he appropriate water initial customer deposit should be $56 for the residential 5/8” x 3/4” meter size. The initial customer deposits for all other residential meter sizes should be two times the average estimated bill for water service. </w:t>
      </w:r>
      <w:r>
        <w:rPr>
          <w:color w:val="000000"/>
        </w:rPr>
        <w:t>The approved initial customer deposits should be effective for connections made on or after the stamped approval date on the tariff sheet pursuant to Rule 25-30.475, F.A.C.</w:t>
      </w:r>
      <w:r>
        <w:rPr>
          <w:rFonts w:eastAsiaTheme="minorHAnsi"/>
        </w:rPr>
        <w:t xml:space="preserve"> </w:t>
      </w:r>
    </w:p>
    <w:p w:rsidR="00EE5E91" w:rsidRDefault="00EE5E91" w:rsidP="00912483">
      <w:pPr>
        <w:pStyle w:val="IssueHeading"/>
        <w:rPr>
          <w:b w:val="0"/>
          <w:i w:val="0"/>
        </w:rPr>
        <w:sectPr w:rsidR="00EE5E91" w:rsidSect="0068481F">
          <w:headerReference w:type="default" r:id="rId15"/>
          <w:pgSz w:w="12240" w:h="15840" w:code="1"/>
          <w:pgMar w:top="1584" w:right="1440" w:bottom="1440" w:left="1440" w:header="720" w:footer="720" w:gutter="0"/>
          <w:cols w:space="720"/>
          <w:formProt w:val="0"/>
          <w:docGrid w:linePitch="360"/>
        </w:sectPr>
      </w:pPr>
    </w:p>
    <w:p w:rsidR="00716959" w:rsidRDefault="00716959" w:rsidP="00912483">
      <w:pPr>
        <w:pStyle w:val="IssueHeading"/>
        <w:rPr>
          <w:vanish/>
          <w:specVanish/>
        </w:rPr>
      </w:pPr>
      <w:r w:rsidRPr="004C3641">
        <w:lastRenderedPageBreak/>
        <w:t xml:space="preserve">Issue </w:t>
      </w:r>
      <w:r w:rsidR="00EE5E91">
        <w:t>3</w:t>
      </w:r>
      <w:r w:rsidRPr="004C3641">
        <w:t>:</w:t>
      </w:r>
      <w:r>
        <w:fldChar w:fldCharType="begin"/>
      </w:r>
      <w:r>
        <w:instrText xml:space="preserve"> TC "</w:instrText>
      </w:r>
      <w:r>
        <w:fldChar w:fldCharType="begin"/>
      </w:r>
      <w:r>
        <w:instrText xml:space="preserve"> SEQ issue \c </w:instrText>
      </w:r>
      <w:r>
        <w:fldChar w:fldCharType="separate"/>
      </w:r>
      <w:r w:rsidR="00DD480F">
        <w:rPr>
          <w:noProof/>
        </w:rPr>
        <w:instrText>1</w:instrText>
      </w:r>
      <w:r>
        <w:fldChar w:fldCharType="end"/>
      </w:r>
      <w:r>
        <w:tab/>
        <w:instrText xml:space="preserve">" \l 1 </w:instrText>
      </w:r>
      <w:r>
        <w:fldChar w:fldCharType="end"/>
      </w:r>
      <w:r>
        <w:t> </w:t>
      </w:r>
    </w:p>
    <w:p w:rsidR="00716959" w:rsidRDefault="00716959">
      <w:pPr>
        <w:pStyle w:val="BodyText"/>
      </w:pPr>
      <w:r>
        <w:t> </w:t>
      </w:r>
      <w:r w:rsidR="001C254C">
        <w:t xml:space="preserve">Should the Commission approve </w:t>
      </w:r>
      <w:r w:rsidR="006F3F2C" w:rsidRPr="005D52E0">
        <w:rPr>
          <w:color w:val="000000" w:themeColor="text1"/>
        </w:rPr>
        <w:t>Pine Harbour Waterworks, Inc.</w:t>
      </w:r>
      <w:r w:rsidR="001C254C">
        <w:t>’s request to implement a convenience charge for customers who opt to pay their water bill by debit or credit card online or by telephone?</w:t>
      </w:r>
    </w:p>
    <w:p w:rsidR="00716959" w:rsidRPr="004C3641" w:rsidRDefault="00716959">
      <w:pPr>
        <w:pStyle w:val="IssueSubsectionHeading"/>
        <w:rPr>
          <w:vanish/>
          <w:specVanish/>
        </w:rPr>
      </w:pPr>
      <w:r w:rsidRPr="004C3641">
        <w:t>Recommendation: </w:t>
      </w:r>
    </w:p>
    <w:p w:rsidR="00716959" w:rsidRDefault="00716959">
      <w:pPr>
        <w:pStyle w:val="BodyText"/>
      </w:pPr>
      <w:r>
        <w:t> </w:t>
      </w:r>
      <w:bookmarkStart w:id="17" w:name="IssueRecommendation"/>
      <w:r w:rsidR="00F768D7">
        <w:t>Yes. PHWI</w:t>
      </w:r>
      <w:r w:rsidR="00CD6BFB">
        <w:t>’s request to implement a convenience charge of $2.60 for customers who opt to pay their water bill by debit or credit card online or by way of telephone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P</w:t>
      </w:r>
      <w:r w:rsidR="00217B78">
        <w:t>HWI</w:t>
      </w:r>
      <w:r w:rsidR="00CD6BFB">
        <w:t xml:space="preserve"> should provide proof of the date that the notice was given within 10 days of the date of the notice. (Friedrich)</w:t>
      </w:r>
      <w:bookmarkEnd w:id="17"/>
      <w:r>
        <w:t xml:space="preserve"> </w:t>
      </w:r>
    </w:p>
    <w:p w:rsidR="00716959" w:rsidRPr="004C3641" w:rsidRDefault="00716959">
      <w:pPr>
        <w:pStyle w:val="IssueSubsectionHeading"/>
        <w:rPr>
          <w:vanish/>
          <w:specVanish/>
        </w:rPr>
      </w:pPr>
      <w:r w:rsidRPr="004C3641">
        <w:t>Staff Analysis: </w:t>
      </w:r>
    </w:p>
    <w:p w:rsidR="00544C2C" w:rsidRDefault="00716959" w:rsidP="00544C2C">
      <w:pPr>
        <w:jc w:val="both"/>
      </w:pPr>
      <w:r>
        <w:t> </w:t>
      </w:r>
      <w:r w:rsidR="00544C2C">
        <w:t xml:space="preserve">Section 367.091, F.S., authorizes the Commission to establish, increase, or change a rate or charge other than monthly rates or service availability charges. Currently, </w:t>
      </w:r>
      <w:r w:rsidR="00217B78">
        <w:t>PHWI</w:t>
      </w:r>
      <w:r w:rsidR="00544C2C">
        <w:t xml:space="preserve"> accepts and processes credit card payment transactions online through a websi</w:t>
      </w:r>
      <w:r w:rsidR="00F768D7">
        <w:t>te. As indicated in PHWI</w:t>
      </w:r>
      <w:r w:rsidR="00544C2C">
        <w:t xml:space="preserve">’s request, the payments are processed by Opus 21 Management Solutions, </w:t>
      </w:r>
      <w:r w:rsidR="00F768D7">
        <w:t>PHWI</w:t>
      </w:r>
      <w:r w:rsidR="00544C2C">
        <w:t xml:space="preserve">’s outside vendor, which utilizes its merchant with TD Bank. </w:t>
      </w:r>
      <w:r w:rsidR="00F768D7">
        <w:t>PHWI</w:t>
      </w:r>
      <w:r w:rsidR="00544C2C">
        <w:t xml:space="preserve"> has been absorbing the transaction costs, and has not passed on these costs to its customers. Therefore, </w:t>
      </w:r>
      <w:r w:rsidR="00F768D7">
        <w:t xml:space="preserve">PHWI </w:t>
      </w:r>
      <w:r w:rsidR="00544C2C">
        <w:t>is requesting to amend its tariff sheet to include a $2.60 convenience fee to recover the cost incurred for the bank and credit card company fee, debit or credit card processing by telep</w:t>
      </w:r>
      <w:r w:rsidR="00F768D7">
        <w:t>hone or online, and PHWI</w:t>
      </w:r>
      <w:r w:rsidR="00544C2C">
        <w:t xml:space="preserve"> staff time required for processing the transactions. As required by Section 367.091, F.S., </w:t>
      </w:r>
      <w:r w:rsidR="00F768D7">
        <w:t>PHWI</w:t>
      </w:r>
      <w:r w:rsidR="00544C2C">
        <w:t xml:space="preserve">’s cost analysis breakdown for its requested charge is shown below, in table </w:t>
      </w:r>
      <w:r w:rsidR="003750F6">
        <w:t>4</w:t>
      </w:r>
      <w:r w:rsidR="00B7263D">
        <w:t>-</w:t>
      </w:r>
      <w:r w:rsidR="00544C2C">
        <w:t>1.</w:t>
      </w:r>
    </w:p>
    <w:p w:rsidR="004D628E" w:rsidRDefault="004D628E" w:rsidP="00544C2C">
      <w:pPr>
        <w:jc w:val="both"/>
      </w:pPr>
    </w:p>
    <w:p w:rsidR="00544C2C" w:rsidRDefault="00544C2C" w:rsidP="00544C2C">
      <w:pPr>
        <w:jc w:val="center"/>
        <w:rPr>
          <w:rFonts w:ascii="Arial" w:hAnsi="Arial" w:cs="Arial"/>
          <w:b/>
        </w:rPr>
      </w:pPr>
      <w:r>
        <w:rPr>
          <w:rFonts w:ascii="Arial" w:hAnsi="Arial" w:cs="Arial"/>
          <w:b/>
        </w:rPr>
        <w:t xml:space="preserve">Table </w:t>
      </w:r>
      <w:r w:rsidR="00DF3C00">
        <w:rPr>
          <w:rFonts w:ascii="Arial" w:hAnsi="Arial" w:cs="Arial"/>
          <w:b/>
        </w:rPr>
        <w:t>4</w:t>
      </w:r>
      <w:r>
        <w:rPr>
          <w:rFonts w:ascii="Arial" w:hAnsi="Arial" w:cs="Arial"/>
          <w:b/>
        </w:rPr>
        <w:t>-1</w:t>
      </w:r>
    </w:p>
    <w:p w:rsidR="00544C2C" w:rsidRDefault="00544C2C" w:rsidP="00544C2C">
      <w:pPr>
        <w:jc w:val="center"/>
      </w:pPr>
      <w:r>
        <w:rPr>
          <w:rFonts w:ascii="Arial" w:hAnsi="Arial" w:cs="Arial"/>
          <w:b/>
        </w:rPr>
        <w:t>Convenience Charge Cost Justification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900"/>
      </w:tblGrid>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rPr>
                <w:b/>
              </w:rPr>
            </w:pPr>
            <w:r>
              <w:rPr>
                <w:b/>
              </w:rPr>
              <w:t>Activity</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rPr>
                <w:b/>
              </w:rPr>
            </w:pPr>
            <w:r>
              <w:rPr>
                <w:b/>
              </w:rPr>
              <w:t>Cost</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Bank and credit card company fee</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$1.60</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1-Transact gateway fee per transaction (Opus21)</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$.60</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Telephonic processing fee (TD Bank)</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$.10</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Authorization fee (TD Bank)</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$.05</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 xml:space="preserve">Monthly telephonic account </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$.07</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Accounting staff</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$.09</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Clerical staff</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$.09</w:t>
            </w:r>
          </w:p>
        </w:tc>
      </w:tr>
      <w:tr w:rsidR="00544C2C" w:rsidTr="00544C2C">
        <w:tc>
          <w:tcPr>
            <w:tcW w:w="522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both"/>
            </w:pPr>
            <w:r>
              <w:t>Total</w:t>
            </w:r>
          </w:p>
        </w:tc>
        <w:tc>
          <w:tcPr>
            <w:tcW w:w="900" w:type="dxa"/>
            <w:tcBorders>
              <w:top w:val="single" w:sz="4" w:space="0" w:color="auto"/>
              <w:left w:val="single" w:sz="4" w:space="0" w:color="auto"/>
              <w:bottom w:val="single" w:sz="4" w:space="0" w:color="auto"/>
              <w:right w:val="single" w:sz="4" w:space="0" w:color="auto"/>
            </w:tcBorders>
            <w:hideMark/>
          </w:tcPr>
          <w:p w:rsidR="00544C2C" w:rsidRDefault="00544C2C">
            <w:pPr>
              <w:spacing w:line="276" w:lineRule="auto"/>
              <w:jc w:val="right"/>
            </w:pPr>
            <w:r>
              <w:t>$2.60</w:t>
            </w:r>
          </w:p>
        </w:tc>
      </w:tr>
    </w:tbl>
    <w:p w:rsidR="004D628E" w:rsidRDefault="00544C2C" w:rsidP="004D628E">
      <w:pPr>
        <w:tabs>
          <w:tab w:val="left" w:pos="1440"/>
        </w:tabs>
        <w:jc w:val="both"/>
      </w:pPr>
      <w:r>
        <w:tab/>
      </w:r>
    </w:p>
    <w:p w:rsidR="004D628E" w:rsidRDefault="004D628E" w:rsidP="004D628E">
      <w:pPr>
        <w:tabs>
          <w:tab w:val="left" w:pos="1440"/>
        </w:tabs>
        <w:jc w:val="both"/>
      </w:pPr>
    </w:p>
    <w:p w:rsidR="00544C2C" w:rsidRDefault="00544C2C" w:rsidP="004D628E">
      <w:pPr>
        <w:tabs>
          <w:tab w:val="left" w:pos="1440"/>
        </w:tabs>
        <w:jc w:val="both"/>
        <w:rPr>
          <w:rFonts w:eastAsiaTheme="minorHAnsi"/>
        </w:rPr>
      </w:pPr>
      <w:r>
        <w:t>The Commission recently approved a convenience charge of $2.60 for Brevard Waterworks, Inc., LP Waterworks, Inc., and Lakeside Waterworks, Inc., among others.</w:t>
      </w:r>
      <w:r>
        <w:rPr>
          <w:vertAlign w:val="superscript"/>
        </w:rPr>
        <w:footnoteReference w:id="18"/>
      </w:r>
      <w:r>
        <w:t xml:space="preserve"> The aforementioned </w:t>
      </w:r>
      <w:r w:rsidR="001725DA">
        <w:lastRenderedPageBreak/>
        <w:t>U</w:t>
      </w:r>
      <w:r>
        <w:t>t</w:t>
      </w:r>
      <w:r w:rsidR="000073EF">
        <w:t>ilities, as well as PHWI</w:t>
      </w:r>
      <w:r>
        <w:t xml:space="preserve">, are all managed by U.S. Water Corporation and the administrative costs for the convenience charge are the same. Staff believes that </w:t>
      </w:r>
      <w:r w:rsidR="000073EF">
        <w:t>PHWI</w:t>
      </w:r>
      <w:r>
        <w:t xml:space="preserve">’s requested convenience charge of $2.60 is reasonable. The requested charge benefits the customers by allowing them to expand their payment options. Furthermore, this fee will insure </w:t>
      </w:r>
      <w:r w:rsidR="000073EF">
        <w:t>PHWI</w:t>
      </w:r>
      <w:r>
        <w:t>’s remaining customers do not subsidize those customers who choose to pay using this option</w:t>
      </w:r>
      <w:r w:rsidR="00326261">
        <w:t>.</w:t>
      </w:r>
      <w:r>
        <w:rPr>
          <w:rFonts w:eastAsiaTheme="minorHAnsi"/>
        </w:rPr>
        <w:t xml:space="preserve"> </w:t>
      </w:r>
    </w:p>
    <w:p w:rsidR="00CF7F66" w:rsidRDefault="00CF7F66" w:rsidP="00326261">
      <w:pPr>
        <w:spacing w:after="240"/>
        <w:jc w:val="both"/>
        <w:outlineLvl w:val="1"/>
        <w:rPr>
          <w:rFonts w:ascii="Arial" w:hAnsi="Arial" w:cs="Arial"/>
          <w:b/>
          <w:bCs/>
          <w:i/>
          <w:iCs/>
          <w:vanish/>
          <w:szCs w:val="28"/>
        </w:rPr>
      </w:pPr>
      <w:r>
        <w:rPr>
          <w:rFonts w:ascii="Arial" w:hAnsi="Arial" w:cs="Arial"/>
          <w:b/>
          <w:bCs/>
          <w:i/>
          <w:iCs/>
          <w:szCs w:val="28"/>
        </w:rPr>
        <w:t> </w:t>
      </w:r>
    </w:p>
    <w:p w:rsidR="00544C2C" w:rsidRDefault="00CF7F66" w:rsidP="00326261">
      <w:pPr>
        <w:jc w:val="both"/>
      </w:pPr>
      <w:r>
        <w:t> </w:t>
      </w:r>
    </w:p>
    <w:p w:rsidR="000A53DB" w:rsidRDefault="000A53DB" w:rsidP="000A53DB">
      <w:pPr>
        <w:jc w:val="both"/>
      </w:pPr>
      <w:r>
        <w:rPr>
          <w:rFonts w:ascii="Arial" w:hAnsi="Arial" w:cs="Arial"/>
          <w:b/>
        </w:rPr>
        <w:t>Conclusion</w:t>
      </w:r>
    </w:p>
    <w:p w:rsidR="00CF7F66" w:rsidRDefault="000A53DB" w:rsidP="000A53DB">
      <w:pPr>
        <w:jc w:val="both"/>
        <w:rPr>
          <w:rFonts w:eastAsiaTheme="minorHAnsi"/>
        </w:rPr>
      </w:pPr>
      <w:r>
        <w:t>Based on the above, st</w:t>
      </w:r>
      <w:r w:rsidR="003A0880">
        <w:t>aff recommends that PHWI</w:t>
      </w:r>
      <w:r>
        <w:t xml:space="preserve">’s request to implement a convenience charge of $2.60 for customers who opt to pay their water bill by debit or credit card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w:t>
      </w:r>
      <w:r w:rsidR="00217B78">
        <w:t>PHWI</w:t>
      </w:r>
      <w:r>
        <w:t xml:space="preserve"> should provide proof of the date that the notice was given within 10 days of the date of the notice.</w:t>
      </w:r>
    </w:p>
    <w:p w:rsidR="00716959" w:rsidRDefault="00716959">
      <w:pPr>
        <w:pStyle w:val="BodyText"/>
      </w:pPr>
    </w:p>
    <w:p w:rsidR="00CC584A" w:rsidRDefault="00CC584A" w:rsidP="00E275D8">
      <w:pPr>
        <w:pStyle w:val="BodyText"/>
        <w:sectPr w:rsidR="00CC584A" w:rsidSect="0068481F">
          <w:headerReference w:type="default" r:id="rId16"/>
          <w:pgSz w:w="12240" w:h="15840" w:code="1"/>
          <w:pgMar w:top="1584" w:right="1440" w:bottom="1440" w:left="1440" w:header="720" w:footer="720" w:gutter="0"/>
          <w:cols w:space="720"/>
          <w:formProt w:val="0"/>
          <w:docGrid w:linePitch="360"/>
        </w:sectPr>
      </w:pPr>
    </w:p>
    <w:p w:rsidR="00CC584A" w:rsidRDefault="00CC584A" w:rsidP="00CC584A">
      <w:pPr>
        <w:spacing w:after="240"/>
        <w:jc w:val="both"/>
        <w:outlineLvl w:val="0"/>
        <w:rPr>
          <w:rFonts w:ascii="Arial" w:hAnsi="Arial" w:cs="Arial"/>
          <w:b/>
          <w:bCs/>
          <w:i/>
          <w:vanish/>
          <w:kern w:val="32"/>
          <w:szCs w:val="32"/>
        </w:rPr>
      </w:pPr>
      <w:r>
        <w:rPr>
          <w:rFonts w:ascii="Arial" w:hAnsi="Arial" w:cs="Arial"/>
          <w:b/>
          <w:bCs/>
          <w:i/>
          <w:kern w:val="32"/>
          <w:szCs w:val="32"/>
        </w:rPr>
        <w:lastRenderedPageBreak/>
        <w:t xml:space="preserve">Issue </w:t>
      </w:r>
      <w:r w:rsidR="00EE5E91">
        <w:rPr>
          <w:rFonts w:ascii="Arial" w:hAnsi="Arial" w:cs="Arial"/>
          <w:b/>
          <w:bCs/>
          <w:i/>
          <w:kern w:val="32"/>
          <w:szCs w:val="32"/>
        </w:rPr>
        <w:t>4</w:t>
      </w:r>
      <w:r>
        <w:rPr>
          <w:rFonts w:ascii="Arial" w:hAnsi="Arial" w:cs="Arial"/>
          <w:b/>
          <w:bCs/>
          <w:i/>
          <w:kern w:val="32"/>
          <w:szCs w:val="32"/>
        </w:rPr>
        <w:t>:</w:t>
      </w:r>
      <w:r>
        <w:rPr>
          <w:rFonts w:ascii="Arial" w:hAnsi="Arial" w:cs="Arial"/>
          <w:b/>
          <w:bCs/>
          <w:i/>
          <w:kern w:val="32"/>
          <w:szCs w:val="32"/>
        </w:rPr>
        <w:fldChar w:fldCharType="begin"/>
      </w:r>
      <w:r>
        <w:rPr>
          <w:rFonts w:ascii="Arial" w:hAnsi="Arial" w:cs="Arial"/>
          <w:b/>
          <w:bCs/>
          <w:i/>
          <w:kern w:val="32"/>
          <w:szCs w:val="32"/>
        </w:rPr>
        <w:instrText xml:space="preserve"> TC "</w:instrText>
      </w:r>
      <w:r>
        <w:rPr>
          <w:rFonts w:ascii="Arial" w:hAnsi="Arial" w:cs="Arial"/>
          <w:b/>
          <w:bCs/>
          <w:i/>
          <w:kern w:val="32"/>
          <w:szCs w:val="32"/>
        </w:rPr>
        <w:fldChar w:fldCharType="begin"/>
      </w:r>
      <w:r>
        <w:rPr>
          <w:rFonts w:ascii="Arial" w:hAnsi="Arial" w:cs="Arial"/>
          <w:b/>
          <w:bCs/>
          <w:i/>
          <w:kern w:val="32"/>
          <w:szCs w:val="32"/>
        </w:rPr>
        <w:instrText xml:space="preserve"> SEQ issue \c </w:instrText>
      </w:r>
      <w:r>
        <w:rPr>
          <w:rFonts w:ascii="Arial" w:hAnsi="Arial" w:cs="Arial"/>
          <w:b/>
          <w:bCs/>
          <w:i/>
          <w:kern w:val="32"/>
          <w:szCs w:val="32"/>
        </w:rPr>
        <w:fldChar w:fldCharType="separate"/>
      </w:r>
      <w:bookmarkStart w:id="18" w:name="_Toc448761988"/>
      <w:r w:rsidR="00DD480F">
        <w:rPr>
          <w:rFonts w:ascii="Arial" w:hAnsi="Arial" w:cs="Arial"/>
          <w:b/>
          <w:bCs/>
          <w:i/>
          <w:noProof/>
          <w:kern w:val="32"/>
          <w:szCs w:val="32"/>
        </w:rPr>
        <w:instrText>1</w:instrText>
      </w:r>
      <w:r>
        <w:rPr>
          <w:rFonts w:ascii="Arial" w:hAnsi="Arial" w:cs="Arial"/>
          <w:b/>
          <w:bCs/>
          <w:i/>
          <w:kern w:val="32"/>
          <w:szCs w:val="32"/>
        </w:rPr>
        <w:fldChar w:fldCharType="end"/>
      </w:r>
      <w:r>
        <w:rPr>
          <w:rFonts w:ascii="Arial" w:hAnsi="Arial" w:cs="Arial"/>
          <w:b/>
          <w:bCs/>
          <w:i/>
          <w:kern w:val="32"/>
          <w:szCs w:val="32"/>
        </w:rPr>
        <w:instrText xml:space="preserve"> Non-Sufficient Funds (NSF) Charge (Hudson, Johnson)</w:instrText>
      </w:r>
      <w:bookmarkEnd w:id="18"/>
      <w:r>
        <w:rPr>
          <w:rFonts w:ascii="Arial" w:hAnsi="Arial" w:cs="Arial"/>
          <w:b/>
          <w:bCs/>
          <w:i/>
          <w:kern w:val="32"/>
          <w:szCs w:val="32"/>
        </w:rPr>
        <w:instrText xml:space="preserve">" \l 1 </w:instrText>
      </w:r>
      <w:r>
        <w:rPr>
          <w:rFonts w:ascii="Arial" w:hAnsi="Arial" w:cs="Arial"/>
          <w:b/>
          <w:bCs/>
          <w:i/>
          <w:kern w:val="32"/>
          <w:szCs w:val="32"/>
        </w:rPr>
        <w:fldChar w:fldCharType="end"/>
      </w:r>
      <w:r>
        <w:rPr>
          <w:rFonts w:ascii="Arial" w:hAnsi="Arial" w:cs="Arial"/>
          <w:b/>
          <w:bCs/>
          <w:i/>
          <w:kern w:val="32"/>
          <w:szCs w:val="32"/>
        </w:rPr>
        <w:t> </w:t>
      </w:r>
    </w:p>
    <w:p w:rsidR="00CC584A" w:rsidRDefault="0033692D" w:rsidP="00CC584A">
      <w:pPr>
        <w:spacing w:after="240"/>
        <w:jc w:val="both"/>
      </w:pPr>
      <w:r>
        <w:t> Should P</w:t>
      </w:r>
      <w:r w:rsidR="00F63AB6">
        <w:t xml:space="preserve">ine </w:t>
      </w:r>
      <w:r>
        <w:t>H</w:t>
      </w:r>
      <w:r w:rsidR="00F63AB6">
        <w:t xml:space="preserve">arbour </w:t>
      </w:r>
      <w:r>
        <w:t>W</w:t>
      </w:r>
      <w:r w:rsidR="00F63AB6">
        <w:t xml:space="preserve">aterworks, </w:t>
      </w:r>
      <w:r>
        <w:t>I</w:t>
      </w:r>
      <w:r w:rsidR="00F63AB6">
        <w:t xml:space="preserve">nc. </w:t>
      </w:r>
      <w:r w:rsidR="00CC584A">
        <w:t>be authorized to collect Non-Sufficient Funds Charges (NSF)?</w:t>
      </w:r>
    </w:p>
    <w:p w:rsidR="00CC584A" w:rsidRDefault="00CC584A" w:rsidP="00CC584A">
      <w:pPr>
        <w:spacing w:after="240"/>
        <w:jc w:val="both"/>
        <w:outlineLvl w:val="1"/>
        <w:rPr>
          <w:rFonts w:ascii="Arial" w:hAnsi="Arial" w:cs="Arial"/>
          <w:b/>
          <w:bCs/>
          <w:i/>
          <w:iCs/>
          <w:vanish/>
          <w:szCs w:val="28"/>
        </w:rPr>
      </w:pPr>
      <w:r>
        <w:rPr>
          <w:rFonts w:ascii="Arial" w:hAnsi="Arial" w:cs="Arial"/>
          <w:b/>
          <w:bCs/>
          <w:i/>
          <w:iCs/>
          <w:szCs w:val="28"/>
        </w:rPr>
        <w:t>Recommendation: </w:t>
      </w:r>
    </w:p>
    <w:p w:rsidR="00CC584A" w:rsidRDefault="0033692D" w:rsidP="00CC584A">
      <w:pPr>
        <w:spacing w:after="240"/>
        <w:jc w:val="both"/>
      </w:pPr>
      <w:r>
        <w:t> Yes.</w:t>
      </w:r>
      <w:r w:rsidR="00FE2CC3">
        <w:t xml:space="preserve"> </w:t>
      </w:r>
      <w:r>
        <w:t>PHWI</w:t>
      </w:r>
      <w:r w:rsidR="00CC584A">
        <w:t xml:space="preserve"> should be authorized to collect NSF charges.</w:t>
      </w:r>
      <w:r w:rsidR="00FE2CC3">
        <w:t xml:space="preserve"> </w:t>
      </w:r>
      <w:r w:rsidR="00CC584A">
        <w:t xml:space="preserve">Staff recommends that </w:t>
      </w:r>
      <w:r w:rsidR="00217B78">
        <w:t>PHWI</w:t>
      </w:r>
      <w:r w:rsidR="00CC584A">
        <w:t xml:space="preserv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w:t>
      </w:r>
      <w:r w:rsidR="00217B78">
        <w:t>PHWI</w:t>
      </w:r>
      <w:r w:rsidR="00CC584A">
        <w:t xml:space="preserve"> should provide proof of the date the notice was given within 10 days of the date of the notice. (Friedrich)</w:t>
      </w:r>
    </w:p>
    <w:p w:rsidR="00CC584A" w:rsidRDefault="00CC584A" w:rsidP="00CC584A">
      <w:pPr>
        <w:spacing w:after="240"/>
        <w:jc w:val="both"/>
        <w:outlineLvl w:val="1"/>
        <w:rPr>
          <w:rFonts w:ascii="Arial" w:hAnsi="Arial" w:cs="Arial"/>
          <w:b/>
          <w:bCs/>
          <w:i/>
          <w:iCs/>
          <w:vanish/>
          <w:szCs w:val="28"/>
        </w:rPr>
      </w:pPr>
      <w:r>
        <w:rPr>
          <w:rFonts w:ascii="Arial" w:hAnsi="Arial" w:cs="Arial"/>
          <w:b/>
          <w:bCs/>
          <w:i/>
          <w:iCs/>
          <w:szCs w:val="28"/>
        </w:rPr>
        <w:t>Staff Analysis: </w:t>
      </w:r>
    </w:p>
    <w:p w:rsidR="00CC584A" w:rsidRDefault="00CC584A" w:rsidP="00CC584A">
      <w:pPr>
        <w:spacing w:after="240"/>
        <w:ind w:firstLine="720"/>
        <w:jc w:val="both"/>
      </w:pPr>
      <w:r>
        <w:t xml:space="preserve"> Section 367.091, F.S., requires rates, charges, and customer service policies to be approved by the Commission. The Commission has authority to establish, increase, or change a rate or charge. Staff believes that </w:t>
      </w:r>
      <w:r w:rsidR="00217B78">
        <w:t>PHWI</w:t>
      </w:r>
      <w:r>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CC584A" w:rsidRDefault="00CC584A" w:rsidP="00CC584A">
      <w:pPr>
        <w:spacing w:after="240"/>
        <w:ind w:left="360"/>
        <w:jc w:val="both"/>
      </w:pPr>
      <w:r>
        <w:t>(1)</w:t>
      </w:r>
      <w:r>
        <w:tab/>
        <w:t xml:space="preserve">$25, if the face value does not exceed $50,  </w:t>
      </w:r>
    </w:p>
    <w:p w:rsidR="00CC584A" w:rsidRDefault="00CC584A" w:rsidP="00CC584A">
      <w:pPr>
        <w:spacing w:after="240"/>
        <w:ind w:firstLine="360"/>
        <w:jc w:val="both"/>
      </w:pPr>
      <w:r>
        <w:t>(2)</w:t>
      </w:r>
      <w:r>
        <w:tab/>
        <w:t>$30, if the face value exceeds $50 but does not exceed $300,</w:t>
      </w:r>
    </w:p>
    <w:p w:rsidR="00CC584A" w:rsidRDefault="00CC584A" w:rsidP="00CC584A">
      <w:pPr>
        <w:spacing w:after="240"/>
        <w:ind w:firstLine="360"/>
        <w:jc w:val="both"/>
      </w:pPr>
      <w:r>
        <w:t>(3)</w:t>
      </w:r>
      <w:r>
        <w:tab/>
        <w:t>$40, if the face value exceeds $300,</w:t>
      </w:r>
    </w:p>
    <w:p w:rsidR="00CC584A" w:rsidRDefault="00CC584A" w:rsidP="00CC584A">
      <w:pPr>
        <w:spacing w:after="240"/>
        <w:ind w:firstLine="360"/>
        <w:jc w:val="both"/>
      </w:pPr>
      <w:r>
        <w:t>(4)</w:t>
      </w:r>
      <w:r>
        <w:tab/>
        <w:t xml:space="preserve">or five percent of the face amount of the check, whichever is greater. </w:t>
      </w:r>
    </w:p>
    <w:p w:rsidR="00EF2C62" w:rsidRDefault="00CC584A" w:rsidP="001725DA">
      <w:pPr>
        <w:jc w:val="both"/>
        <w:sectPr w:rsidR="00EF2C62" w:rsidSect="0068481F">
          <w:headerReference w:type="default" r:id="rId17"/>
          <w:pgSz w:w="12240" w:h="15840" w:code="1"/>
          <w:pgMar w:top="1584" w:right="1440" w:bottom="1440" w:left="1440" w:header="720" w:footer="720" w:gutter="0"/>
          <w:cols w:space="720"/>
          <w:formProt w:val="0"/>
          <w:docGrid w:linePitch="360"/>
        </w:sectPr>
      </w:pPr>
      <w:r>
        <w:t>Approval of NSF charges is consistent with prior Commission decisions.</w:t>
      </w:r>
      <w:r>
        <w:rPr>
          <w:vertAlign w:val="superscript"/>
        </w:rPr>
        <w:footnoteReference w:id="19"/>
      </w:r>
      <w:r>
        <w:t xml:space="preserve"> Furthermore, NSF charges place the cost on the cost-causer, rather than requiring that the costs associated with the return of the NSF checks be spread across the general body of ratepayers. As such, </w:t>
      </w:r>
      <w:r w:rsidR="00217B78">
        <w:t>PHWI</w:t>
      </w:r>
      <w:r>
        <w:t xml:space="preserve"> should be authorized to collect NSF charges for its water system. Staff recommends that </w:t>
      </w:r>
      <w:r w:rsidR="00217B78">
        <w:t xml:space="preserve">PHWI </w:t>
      </w:r>
      <w:r>
        <w:t xml:space="preserve">revise its tariff sheet to reflect the NSF charges currently set forth in Section 68.065, F.S. The NSF charges should be effective on or after the stamped approval date on the tariff sheet pursuant to Rule 25-30.475(1), F.A.C. Furthermore, the NSF charges should not be implemented until staff has approved the proposed customer notice. </w:t>
      </w:r>
      <w:r w:rsidR="00217B78">
        <w:t>PHWI</w:t>
      </w:r>
      <w:r>
        <w:t xml:space="preserve"> should provide proof of the date the notice was given within 10 days of the date o</w:t>
      </w:r>
      <w:r w:rsidR="00EF2C62">
        <w:t>f the notice</w:t>
      </w:r>
      <w:r w:rsidR="00EF2C62">
        <w:rPr>
          <w:rFonts w:eastAsiaTheme="minorHAnsi"/>
        </w:rPr>
        <w:t>.</w:t>
      </w:r>
    </w:p>
    <w:p w:rsidR="00EF2C62" w:rsidRDefault="00EF2C62" w:rsidP="00EF2C62">
      <w:pPr>
        <w:spacing w:after="240"/>
        <w:jc w:val="both"/>
        <w:outlineLvl w:val="0"/>
        <w:rPr>
          <w:rFonts w:ascii="Arial" w:hAnsi="Arial" w:cs="Arial"/>
          <w:b/>
          <w:bCs/>
          <w:i/>
          <w:vanish/>
          <w:kern w:val="32"/>
          <w:szCs w:val="32"/>
        </w:rPr>
      </w:pPr>
      <w:r>
        <w:rPr>
          <w:rFonts w:ascii="Arial" w:hAnsi="Arial" w:cs="Arial"/>
          <w:b/>
          <w:bCs/>
          <w:i/>
          <w:kern w:val="32"/>
          <w:szCs w:val="32"/>
        </w:rPr>
        <w:lastRenderedPageBreak/>
        <w:t xml:space="preserve">Issue </w:t>
      </w:r>
      <w:r w:rsidR="00EE5E91">
        <w:rPr>
          <w:rFonts w:ascii="Arial" w:hAnsi="Arial" w:cs="Arial"/>
          <w:b/>
          <w:bCs/>
          <w:i/>
          <w:kern w:val="32"/>
          <w:szCs w:val="32"/>
        </w:rPr>
        <w:t>5</w:t>
      </w:r>
      <w:r>
        <w:rPr>
          <w:rFonts w:ascii="Arial" w:hAnsi="Arial" w:cs="Arial"/>
          <w:b/>
          <w:bCs/>
          <w:i/>
          <w:kern w:val="32"/>
          <w:szCs w:val="32"/>
        </w:rPr>
        <w:t>:</w:t>
      </w:r>
      <w:r>
        <w:rPr>
          <w:rFonts w:ascii="Arial" w:hAnsi="Arial" w:cs="Arial"/>
          <w:b/>
          <w:bCs/>
          <w:i/>
          <w:kern w:val="32"/>
          <w:szCs w:val="32"/>
        </w:rPr>
        <w:fldChar w:fldCharType="begin"/>
      </w:r>
      <w:r>
        <w:rPr>
          <w:rFonts w:ascii="Arial" w:hAnsi="Arial" w:cs="Arial"/>
          <w:b/>
          <w:bCs/>
          <w:i/>
          <w:kern w:val="32"/>
          <w:szCs w:val="32"/>
        </w:rPr>
        <w:instrText xml:space="preserve"> TC "</w:instrText>
      </w:r>
      <w:r>
        <w:rPr>
          <w:rFonts w:ascii="Arial" w:hAnsi="Arial" w:cs="Arial"/>
          <w:b/>
          <w:bCs/>
          <w:i/>
          <w:kern w:val="32"/>
          <w:szCs w:val="32"/>
        </w:rPr>
        <w:fldChar w:fldCharType="begin"/>
      </w:r>
      <w:r>
        <w:rPr>
          <w:rFonts w:ascii="Arial" w:hAnsi="Arial" w:cs="Arial"/>
          <w:b/>
          <w:bCs/>
          <w:i/>
          <w:kern w:val="32"/>
          <w:szCs w:val="32"/>
        </w:rPr>
        <w:instrText xml:space="preserve"> SEQ issue \c </w:instrText>
      </w:r>
      <w:r>
        <w:rPr>
          <w:rFonts w:ascii="Arial" w:hAnsi="Arial" w:cs="Arial"/>
          <w:b/>
          <w:bCs/>
          <w:i/>
          <w:kern w:val="32"/>
          <w:szCs w:val="32"/>
        </w:rPr>
        <w:fldChar w:fldCharType="separate"/>
      </w:r>
      <w:r w:rsidR="00DD480F">
        <w:rPr>
          <w:rFonts w:ascii="Arial" w:hAnsi="Arial" w:cs="Arial"/>
          <w:b/>
          <w:bCs/>
          <w:i/>
          <w:noProof/>
          <w:kern w:val="32"/>
          <w:szCs w:val="32"/>
        </w:rPr>
        <w:instrText>1</w:instrText>
      </w:r>
      <w:r>
        <w:rPr>
          <w:rFonts w:ascii="Arial" w:hAnsi="Arial" w:cs="Arial"/>
          <w:b/>
          <w:bCs/>
          <w:i/>
          <w:kern w:val="32"/>
          <w:szCs w:val="32"/>
        </w:rPr>
        <w:fldChar w:fldCharType="end"/>
      </w:r>
      <w:r>
        <w:rPr>
          <w:rFonts w:ascii="Arial" w:hAnsi="Arial" w:cs="Arial"/>
          <w:b/>
          <w:bCs/>
          <w:i/>
          <w:kern w:val="32"/>
          <w:szCs w:val="32"/>
        </w:rPr>
        <w:instrText xml:space="preserve"> Non-Sufficient Funds (NSF) Charge (Hudson, Johnson)" \l 1 </w:instrText>
      </w:r>
      <w:r>
        <w:rPr>
          <w:rFonts w:ascii="Arial" w:hAnsi="Arial" w:cs="Arial"/>
          <w:b/>
          <w:bCs/>
          <w:i/>
          <w:kern w:val="32"/>
          <w:szCs w:val="32"/>
        </w:rPr>
        <w:fldChar w:fldCharType="end"/>
      </w:r>
      <w:r w:rsidR="00B0065D">
        <w:rPr>
          <w:rFonts w:ascii="Arial" w:hAnsi="Arial" w:cs="Arial"/>
          <w:b/>
          <w:bCs/>
          <w:i/>
          <w:vanish/>
          <w:kern w:val="32"/>
          <w:szCs w:val="32"/>
        </w:rPr>
        <w:t xml:space="preserve"> </w:t>
      </w:r>
    </w:p>
    <w:p w:rsidR="00EF2C62" w:rsidRDefault="00EF2C62" w:rsidP="00EF2C62">
      <w:pPr>
        <w:spacing w:after="240"/>
        <w:jc w:val="both"/>
      </w:pPr>
      <w:r>
        <w:t> </w:t>
      </w:r>
      <w:r w:rsidR="006C0D25">
        <w:t xml:space="preserve">What is the appropriate net book value for the </w:t>
      </w:r>
      <w:r w:rsidR="006F3F2C">
        <w:t>Pine Harbour Water Utilities, LLC</w:t>
      </w:r>
      <w:r w:rsidR="006C0D25">
        <w:t xml:space="preserve"> water system for transfer purposes and should an acquisition adjustment be approved?</w:t>
      </w:r>
    </w:p>
    <w:p w:rsidR="00847265" w:rsidRDefault="00924203" w:rsidP="00847265">
      <w:pPr>
        <w:pStyle w:val="BodyText"/>
        <w:spacing w:after="0"/>
      </w:pPr>
      <w:r w:rsidRPr="00924203">
        <w:rPr>
          <w:rFonts w:ascii="Arial" w:hAnsi="Arial" w:cs="Arial"/>
          <w:b/>
          <w:bCs/>
          <w:i/>
          <w:kern w:val="32"/>
          <w:szCs w:val="32"/>
        </w:rPr>
        <w:t>R</w:t>
      </w:r>
      <w:r w:rsidRPr="00924203">
        <w:rPr>
          <w:rFonts w:ascii="Arial" w:hAnsi="Arial" w:cs="Arial"/>
          <w:b/>
          <w:i/>
        </w:rPr>
        <w:t>ecommendation</w:t>
      </w:r>
      <w:r w:rsidRPr="00924203">
        <w:rPr>
          <w:rFonts w:ascii="Arial" w:hAnsi="Arial" w:cs="Arial"/>
        </w:rPr>
        <w:t>:</w:t>
      </w:r>
      <w:r>
        <w:rPr>
          <w:rFonts w:ascii="Calibri" w:hAnsi="Calibri" w:cs="Calibri"/>
        </w:rPr>
        <w:t xml:space="preserve"> </w:t>
      </w:r>
      <w:r w:rsidR="00847265">
        <w:rPr>
          <w:rFonts w:ascii="Calibri" w:hAnsi="Calibri" w:cs="Calibri"/>
        </w:rPr>
        <w:t>T</w:t>
      </w:r>
      <w:r w:rsidR="00D90578">
        <w:t>he net book v</w:t>
      </w:r>
      <w:r w:rsidR="00847265">
        <w:t xml:space="preserve">alue of the water system for transfer purposes is $23,698 as of June 29, 2016. An acquisition adjustment should not be included in rate base. Within 90 days of the date </w:t>
      </w:r>
      <w:r w:rsidR="0068063A">
        <w:t>of the final order, PHWI</w:t>
      </w:r>
      <w:r w:rsidR="00847265">
        <w:t xml:space="preserve"> should be required to notify the Commission in writing, that it has adjusted its books in accordance with the Commission’s decision. The adjustments sho</w:t>
      </w:r>
      <w:r w:rsidR="0033692D">
        <w:t>uld be reflected in PHWI</w:t>
      </w:r>
      <w:r w:rsidR="00847265">
        <w:t xml:space="preserve">’s 2016 Annual Report when filed. (Andrews) </w:t>
      </w:r>
    </w:p>
    <w:p w:rsidR="00847265" w:rsidRDefault="00847265" w:rsidP="00847265">
      <w:pPr>
        <w:pStyle w:val="IssueSubsectionHeading"/>
        <w:spacing w:after="0"/>
      </w:pPr>
    </w:p>
    <w:p w:rsidR="00847265" w:rsidRDefault="00847265" w:rsidP="00847265">
      <w:pPr>
        <w:pStyle w:val="IssueSubsectionHeading"/>
        <w:spacing w:after="0"/>
        <w:rPr>
          <w:vanish/>
          <w:specVanish/>
        </w:rPr>
      </w:pPr>
      <w:r>
        <w:t>Staff Analysis: </w:t>
      </w:r>
    </w:p>
    <w:p w:rsidR="00847265" w:rsidRDefault="00847265" w:rsidP="00847265">
      <w:pPr>
        <w:pStyle w:val="BodyText"/>
        <w:spacing w:after="0"/>
      </w:pPr>
      <w:r>
        <w:t> </w:t>
      </w:r>
      <w:r>
        <w:rPr>
          <w:rFonts w:cs="Calibri"/>
        </w:rPr>
        <w:t>Rate base was last established as of April 12, 1990.</w:t>
      </w:r>
      <w:r>
        <w:rPr>
          <w:rStyle w:val="FootnoteReference"/>
          <w:rFonts w:cs="Calibri"/>
        </w:rPr>
        <w:footnoteReference w:id="20"/>
      </w:r>
      <w:r>
        <w:rPr>
          <w:rFonts w:cs="Calibri"/>
        </w:rPr>
        <w:t xml:space="preserve"> The purpose of establishing net book value (NBV)</w:t>
      </w:r>
      <w:r>
        <w:rPr>
          <w:rStyle w:val="BodyTextChar2"/>
          <w:rFonts w:eastAsiaTheme="majorEastAsia" w:cs="Calibri"/>
        </w:rPr>
        <w:t xml:space="preserve"> for transfers is to determine whether an acquisition adjustment should be approved. The NBV does not include normal ratemaking adjustments for used and useful plant or working capital. The NBV has been updated to reflect balances as of </w:t>
      </w:r>
      <w:r>
        <w:rPr>
          <w:rFonts w:cs="Calibri"/>
          <w:bCs/>
          <w:color w:val="000000"/>
        </w:rPr>
        <w:t>June 29, 2016</w:t>
      </w:r>
      <w:r>
        <w:rPr>
          <w:rStyle w:val="BodyTextChar2"/>
          <w:rFonts w:eastAsiaTheme="majorEastAsia" w:cs="Calibri"/>
        </w:rPr>
        <w:t xml:space="preserve">. Staff’s recommended NBV, as described below, is shown on </w:t>
      </w:r>
      <w:r w:rsidRPr="00F42B9D">
        <w:rPr>
          <w:rStyle w:val="BodyTextChar1"/>
          <w:rFonts w:cs="Calibri"/>
        </w:rPr>
        <w:t>Schedule No. 1</w:t>
      </w:r>
      <w:r w:rsidRPr="00F42B9D">
        <w:rPr>
          <w:rStyle w:val="BodyTextChar2"/>
          <w:rFonts w:eastAsiaTheme="majorEastAsia" w:cs="Calibri"/>
        </w:rPr>
        <w:t>.</w:t>
      </w:r>
    </w:p>
    <w:p w:rsidR="00847265" w:rsidRDefault="00847265" w:rsidP="00847265">
      <w:pPr>
        <w:widowControl w:val="0"/>
        <w:jc w:val="both"/>
        <w:rPr>
          <w:rFonts w:ascii="Arial" w:hAnsi="Arial" w:cs="Arial"/>
          <w:b/>
        </w:rPr>
      </w:pPr>
    </w:p>
    <w:p w:rsidR="00847265" w:rsidRDefault="00847265" w:rsidP="00847265">
      <w:pPr>
        <w:widowControl w:val="0"/>
        <w:jc w:val="both"/>
        <w:rPr>
          <w:rFonts w:ascii="Arial" w:hAnsi="Arial" w:cs="Arial"/>
          <w:b/>
        </w:rPr>
      </w:pPr>
      <w:r>
        <w:rPr>
          <w:rFonts w:ascii="Arial" w:hAnsi="Arial" w:cs="Arial"/>
          <w:b/>
        </w:rPr>
        <w:t xml:space="preserve">Utility Plant in Service (UPIS) </w:t>
      </w:r>
    </w:p>
    <w:p w:rsidR="00847265" w:rsidRDefault="00847265" w:rsidP="00847265">
      <w:pPr>
        <w:widowControl w:val="0"/>
        <w:jc w:val="both"/>
        <w:rPr>
          <w:rFonts w:ascii="Arial" w:hAnsi="Arial" w:cs="Arial"/>
          <w:b/>
        </w:rPr>
      </w:pPr>
      <w:r>
        <w:t xml:space="preserve">The general ledger reflected </w:t>
      </w:r>
      <w:r w:rsidR="0033692D">
        <w:t>water</w:t>
      </w:r>
      <w:r>
        <w:t xml:space="preserve"> </w:t>
      </w:r>
      <w:r w:rsidR="00A91E16">
        <w:t>u</w:t>
      </w:r>
      <w:r w:rsidR="00197C15">
        <w:t>tility p</w:t>
      </w:r>
      <w:r w:rsidR="00254CB5">
        <w:t xml:space="preserve">lant </w:t>
      </w:r>
      <w:r w:rsidR="00254CB5" w:rsidRPr="0011254B">
        <w:t>in</w:t>
      </w:r>
      <w:r w:rsidR="00254CB5">
        <w:t xml:space="preserve"> </w:t>
      </w:r>
      <w:r w:rsidR="00197C15">
        <w:t>s</w:t>
      </w:r>
      <w:r w:rsidR="00254CB5">
        <w:t>ervice (</w:t>
      </w:r>
      <w:r>
        <w:t>UPIS</w:t>
      </w:r>
      <w:r w:rsidR="00254CB5">
        <w:t>)</w:t>
      </w:r>
      <w:r>
        <w:t xml:space="preserve"> balance of $130,485. Staff reviewed UPIS additions since the last rate case proceeding and has decreased UPIS by $43,924 to reflect unsupported plant additions. Therefore, staff recommends that </w:t>
      </w:r>
      <w:r w:rsidR="00197C15">
        <w:t>the UPIS</w:t>
      </w:r>
      <w:r>
        <w:t xml:space="preserve"> balance as of June 29, 2016, should be $</w:t>
      </w:r>
      <w:r>
        <w:rPr>
          <w:color w:val="000000"/>
        </w:rPr>
        <w:t xml:space="preserve">86,561. </w:t>
      </w:r>
    </w:p>
    <w:p w:rsidR="00847265" w:rsidRDefault="00847265" w:rsidP="00847265">
      <w:pPr>
        <w:widowControl w:val="0"/>
        <w:jc w:val="both"/>
        <w:rPr>
          <w:rFonts w:ascii="Arial" w:hAnsi="Arial" w:cs="Arial"/>
          <w:b/>
          <w:sz w:val="22"/>
          <w:szCs w:val="22"/>
        </w:rPr>
      </w:pPr>
    </w:p>
    <w:p w:rsidR="00847265" w:rsidRDefault="00847265" w:rsidP="00847265">
      <w:pPr>
        <w:widowControl w:val="0"/>
        <w:jc w:val="both"/>
        <w:rPr>
          <w:rFonts w:ascii="Arial" w:hAnsi="Arial" w:cs="Arial"/>
          <w:b/>
        </w:rPr>
      </w:pPr>
      <w:r>
        <w:rPr>
          <w:rFonts w:ascii="Arial" w:hAnsi="Arial" w:cs="Arial"/>
          <w:b/>
        </w:rPr>
        <w:t xml:space="preserve">Land </w:t>
      </w:r>
    </w:p>
    <w:p w:rsidR="00847265" w:rsidRDefault="00847265" w:rsidP="00847265">
      <w:pPr>
        <w:autoSpaceDE w:val="0"/>
        <w:autoSpaceDN w:val="0"/>
        <w:adjustRightInd w:val="0"/>
        <w:jc w:val="both"/>
      </w:pPr>
      <w:r>
        <w:t>The general ledger reflected a land balance of $5,000. In Order No. 24273, issued March 21, 1991, the Commission established the value of the land to be $5,000. There have been no additions to land purchased since that order was issued.</w:t>
      </w:r>
      <w:r>
        <w:rPr>
          <w:rFonts w:eastAsia="MS PGothic"/>
          <w:bCs/>
          <w:kern w:val="32"/>
        </w:rPr>
        <w:t xml:space="preserve"> </w:t>
      </w:r>
      <w:r>
        <w:t xml:space="preserve">Therefore, staff recommends a land balance of $5,000, as of June 29, 2016. </w:t>
      </w:r>
    </w:p>
    <w:p w:rsidR="00847265" w:rsidRDefault="00847265" w:rsidP="00847265">
      <w:pPr>
        <w:autoSpaceDE w:val="0"/>
        <w:autoSpaceDN w:val="0"/>
        <w:adjustRightInd w:val="0"/>
        <w:jc w:val="both"/>
        <w:rPr>
          <w:bCs/>
          <w:kern w:val="32"/>
        </w:rPr>
      </w:pPr>
    </w:p>
    <w:p w:rsidR="00847265" w:rsidRDefault="00847265" w:rsidP="00847265">
      <w:pPr>
        <w:widowControl w:val="0"/>
        <w:jc w:val="both"/>
        <w:rPr>
          <w:rFonts w:ascii="Arial" w:hAnsi="Arial" w:cs="Arial"/>
          <w:b/>
        </w:rPr>
      </w:pPr>
      <w:r>
        <w:rPr>
          <w:rFonts w:ascii="Arial" w:hAnsi="Arial" w:cs="Arial"/>
          <w:b/>
        </w:rPr>
        <w:t>Accumulated Depreciation</w:t>
      </w:r>
    </w:p>
    <w:p w:rsidR="00847265" w:rsidRDefault="00847265" w:rsidP="00847265">
      <w:pPr>
        <w:jc w:val="both"/>
      </w:pPr>
      <w:r>
        <w:t>The general ledger reflected an accumulated depreciation balance of $104,887</w:t>
      </w:r>
      <w:r>
        <w:rPr>
          <w:color w:val="000000"/>
        </w:rPr>
        <w:t>. Based on the UPIS adjustment discussed earlier, s</w:t>
      </w:r>
      <w:r>
        <w:t>taff calculated the appropriate accumulated depreciation balance to be $67,863. As a result, accumulated depreciation should be decreased by $37,024 to reflect an accumulated depreciation balance of $</w:t>
      </w:r>
      <w:r>
        <w:rPr>
          <w:color w:val="000000"/>
        </w:rPr>
        <w:t xml:space="preserve">67,683 </w:t>
      </w:r>
      <w:r>
        <w:t>as of June 29, 2016.</w:t>
      </w:r>
    </w:p>
    <w:p w:rsidR="00847265" w:rsidRDefault="00847265" w:rsidP="00847265"/>
    <w:p w:rsidR="00847265" w:rsidRDefault="00847265" w:rsidP="00847265">
      <w:pPr>
        <w:rPr>
          <w:rFonts w:ascii="Arial" w:hAnsi="Arial" w:cs="Arial"/>
          <w:b/>
        </w:rPr>
      </w:pPr>
      <w:r>
        <w:rPr>
          <w:rFonts w:ascii="Arial" w:hAnsi="Arial" w:cs="Arial"/>
          <w:b/>
        </w:rPr>
        <w:t>Contributions-in-Aid-of-Construction (CIAC) and Accumulated Amortization of CIAC</w:t>
      </w:r>
    </w:p>
    <w:p w:rsidR="00847265" w:rsidRDefault="00847265" w:rsidP="00847265">
      <w:pPr>
        <w:jc w:val="both"/>
      </w:pPr>
      <w:r>
        <w:t>As of June 29, 2016, the general ledger reflected a CIAC balance of $0; and an accumulated amortization of CIAC balance of $0. The CIAC balance should be $56,883, and it is fully amortized based on the Commission approved balances in Order No. 24273. As such, staff increased CIAC and accumulated amortization of CIAC by $56,883 to reflect the appropriate Commission approved balance. Therefore, staff recommends a CIAC balance of $56,883 and an accumulated amortization of CIAC balance of $56,883 as of June 29, 2016.</w:t>
      </w:r>
    </w:p>
    <w:p w:rsidR="00097B93" w:rsidRDefault="00097B93" w:rsidP="00847265">
      <w:pPr>
        <w:jc w:val="both"/>
      </w:pPr>
    </w:p>
    <w:p w:rsidR="00847265" w:rsidRDefault="00847265" w:rsidP="00847265"/>
    <w:p w:rsidR="00B272A3" w:rsidRDefault="00B272A3" w:rsidP="00B272A3">
      <w:pPr>
        <w:rPr>
          <w:rFonts w:ascii="Arial" w:hAnsi="Arial" w:cs="Arial"/>
          <w:b/>
        </w:rPr>
      </w:pPr>
      <w:r>
        <w:rPr>
          <w:rFonts w:ascii="Arial" w:hAnsi="Arial" w:cs="Arial"/>
          <w:b/>
        </w:rPr>
        <w:lastRenderedPageBreak/>
        <w:t>Net Book Value</w:t>
      </w:r>
    </w:p>
    <w:p w:rsidR="00B272A3" w:rsidRDefault="00B272A3" w:rsidP="00B272A3">
      <w:pPr>
        <w:jc w:val="both"/>
      </w:pPr>
      <w:r>
        <w:t>The general ledger reflected a NBV of $30,598. Based on the adjustments described above, staff recommends that the NBV is $23,698. Staff’s recommended NBV and the National Association of Regulatory Utility Commissioners, Uniform System of Accounts (NARUC USOA) balance for UPIS and accumulated depreciation are shown on Schedule No. 1, as of June 29, 2016.</w:t>
      </w:r>
    </w:p>
    <w:p w:rsidR="00B272A3" w:rsidRDefault="00B272A3" w:rsidP="00B272A3"/>
    <w:p w:rsidR="00B272A3" w:rsidRDefault="00B272A3" w:rsidP="00B272A3">
      <w:pPr>
        <w:rPr>
          <w:rFonts w:ascii="Arial" w:hAnsi="Arial" w:cs="Arial"/>
          <w:b/>
        </w:rPr>
      </w:pPr>
      <w:r>
        <w:rPr>
          <w:rFonts w:ascii="Arial" w:hAnsi="Arial" w:cs="Arial"/>
          <w:b/>
        </w:rPr>
        <w:t>Acquisition Adjustment</w:t>
      </w:r>
    </w:p>
    <w:p w:rsidR="00B272A3" w:rsidRDefault="00B272A3" w:rsidP="00B272A3">
      <w:pPr>
        <w:jc w:val="both"/>
      </w:pPr>
      <w:r>
        <w:t xml:space="preserve">An acquisition adjustment results when the purchase price differs from the NBV of the assets at the time of the acquisition. The </w:t>
      </w:r>
      <w:r w:rsidR="003960BC">
        <w:t xml:space="preserve">utility </w:t>
      </w:r>
      <w:r>
        <w:t xml:space="preserve">assets were purchased for $34,000. As stated above, staff has determined the appropriate NBV total to be $23,698. Pursuant to Rule 25-30.0371, F.A.C., a positive acquisition adjustment may be appropriate when the purchase price is greater than the NBV, and a negative acquisition adjustment may be appropriate when the purchase price is less than NBV. </w:t>
      </w:r>
      <w:r>
        <w:rPr>
          <w:rFonts w:eastAsia="MS PGothic"/>
          <w:iCs/>
        </w:rPr>
        <w:t>However, p</w:t>
      </w:r>
      <w:r>
        <w:rPr>
          <w:iCs/>
        </w:rPr>
        <w:t xml:space="preserve">ursuant to Rule 25-30.0371(2), F.A.C., a positive acquisition adjustment shall not be included in rate base unless there is proof of extraordinary circumstances. The </w:t>
      </w:r>
      <w:r w:rsidR="007633C6">
        <w:rPr>
          <w:iCs/>
        </w:rPr>
        <w:t>B</w:t>
      </w:r>
      <w:r>
        <w:rPr>
          <w:iCs/>
        </w:rPr>
        <w:t>uyer did not request a positive acquisition adjustment. As such, staff recommends that no positive acquisition adjustment be approved.</w:t>
      </w:r>
      <w:r>
        <w:t xml:space="preserve"> </w:t>
      </w:r>
    </w:p>
    <w:p w:rsidR="00B272A3" w:rsidRDefault="00B272A3" w:rsidP="00B272A3"/>
    <w:p w:rsidR="00B272A3" w:rsidRDefault="00B272A3" w:rsidP="00B272A3">
      <w:pPr>
        <w:rPr>
          <w:rFonts w:ascii="Arial" w:hAnsi="Arial" w:cs="Arial"/>
          <w:b/>
        </w:rPr>
      </w:pPr>
      <w:r>
        <w:rPr>
          <w:rFonts w:ascii="Arial" w:hAnsi="Arial" w:cs="Arial"/>
          <w:b/>
        </w:rPr>
        <w:t>Conclusion</w:t>
      </w:r>
    </w:p>
    <w:p w:rsidR="00847265" w:rsidRDefault="00B272A3" w:rsidP="002C1B90">
      <w:pPr>
        <w:jc w:val="both"/>
        <w:rPr>
          <w:rFonts w:ascii="Arial" w:hAnsi="Arial" w:cs="Arial"/>
          <w:b/>
        </w:rPr>
      </w:pPr>
      <w:r>
        <w:t>Based on the above, staff recommends that the NBV of PHWU</w:t>
      </w:r>
      <w:r w:rsidR="0033692D">
        <w:t>L</w:t>
      </w:r>
      <w:r>
        <w:t xml:space="preserve">’s water system for transfer purposes is $23,698 as of June 29, 2016. No acquisition adjustment should be included in rate base. Within 90 days of the date of the final order, the </w:t>
      </w:r>
      <w:r w:rsidR="007633C6">
        <w:t>B</w:t>
      </w:r>
      <w:r>
        <w:t>uyer should be required to notify the Commission in writing, that it has adjusted its books in accordance with the Commission’s decision. The adjustments shou</w:t>
      </w:r>
      <w:r w:rsidR="0033692D">
        <w:t>ld be reflected in PHW</w:t>
      </w:r>
      <w:r w:rsidR="008C21EB">
        <w:t>I</w:t>
      </w:r>
      <w:r w:rsidR="0033692D">
        <w:t>’s</w:t>
      </w:r>
      <w:r>
        <w:t xml:space="preserve"> 2016 Annual Report when filed.</w:t>
      </w:r>
      <w:r w:rsidR="00847265">
        <w:rPr>
          <w:rFonts w:ascii="Arial" w:hAnsi="Arial" w:cs="Arial"/>
          <w:b/>
        </w:rPr>
        <w:br w:type="page"/>
      </w:r>
    </w:p>
    <w:p w:rsidR="00847265" w:rsidRDefault="00847265" w:rsidP="00EF2C62">
      <w:pPr>
        <w:spacing w:after="240"/>
        <w:ind w:firstLine="720"/>
        <w:jc w:val="both"/>
        <w:sectPr w:rsidR="00847265" w:rsidSect="00EF2C62">
          <w:headerReference w:type="default" r:id="rId18"/>
          <w:pgSz w:w="12240" w:h="15840" w:code="1"/>
          <w:pgMar w:top="1584" w:right="1440" w:bottom="1440" w:left="1440" w:header="720" w:footer="720" w:gutter="0"/>
          <w:cols w:space="720"/>
          <w:formProt w:val="0"/>
          <w:docGrid w:linePitch="360"/>
        </w:sectPr>
      </w:pPr>
    </w:p>
    <w:p w:rsidR="00061570" w:rsidRDefault="00061570" w:rsidP="00061570">
      <w:pPr>
        <w:spacing w:after="240"/>
        <w:jc w:val="both"/>
        <w:outlineLvl w:val="0"/>
        <w:rPr>
          <w:rFonts w:ascii="Arial" w:hAnsi="Arial" w:cs="Arial"/>
          <w:b/>
          <w:bCs/>
          <w:i/>
          <w:vanish/>
          <w:kern w:val="32"/>
          <w:szCs w:val="32"/>
        </w:rPr>
      </w:pPr>
      <w:r>
        <w:rPr>
          <w:rFonts w:ascii="Arial" w:hAnsi="Arial" w:cs="Arial"/>
          <w:b/>
          <w:bCs/>
          <w:i/>
          <w:kern w:val="32"/>
          <w:szCs w:val="32"/>
        </w:rPr>
        <w:lastRenderedPageBreak/>
        <w:t xml:space="preserve">Issue </w:t>
      </w:r>
      <w:r w:rsidR="00EE5E91">
        <w:rPr>
          <w:rFonts w:ascii="Arial" w:hAnsi="Arial" w:cs="Arial"/>
          <w:b/>
          <w:bCs/>
          <w:i/>
          <w:kern w:val="32"/>
          <w:szCs w:val="32"/>
        </w:rPr>
        <w:t>6</w:t>
      </w:r>
      <w:r>
        <w:rPr>
          <w:rFonts w:ascii="Arial" w:hAnsi="Arial" w:cs="Arial"/>
          <w:b/>
          <w:bCs/>
          <w:i/>
          <w:kern w:val="32"/>
          <w:szCs w:val="32"/>
        </w:rPr>
        <w:t>:</w:t>
      </w:r>
      <w:r>
        <w:rPr>
          <w:rFonts w:ascii="Arial" w:hAnsi="Arial" w:cs="Arial"/>
          <w:b/>
          <w:bCs/>
          <w:i/>
          <w:kern w:val="32"/>
          <w:szCs w:val="32"/>
        </w:rPr>
        <w:fldChar w:fldCharType="begin"/>
      </w:r>
      <w:r>
        <w:rPr>
          <w:rFonts w:ascii="Arial" w:hAnsi="Arial" w:cs="Arial"/>
          <w:b/>
          <w:bCs/>
          <w:i/>
          <w:kern w:val="32"/>
          <w:szCs w:val="32"/>
        </w:rPr>
        <w:instrText xml:space="preserve"> TC "</w:instrText>
      </w:r>
      <w:r>
        <w:rPr>
          <w:rFonts w:ascii="Arial" w:hAnsi="Arial" w:cs="Arial"/>
          <w:b/>
          <w:bCs/>
          <w:i/>
          <w:kern w:val="32"/>
          <w:szCs w:val="32"/>
        </w:rPr>
        <w:fldChar w:fldCharType="begin"/>
      </w:r>
      <w:r>
        <w:rPr>
          <w:rFonts w:ascii="Arial" w:hAnsi="Arial" w:cs="Arial"/>
          <w:b/>
          <w:bCs/>
          <w:i/>
          <w:kern w:val="32"/>
          <w:szCs w:val="32"/>
        </w:rPr>
        <w:instrText xml:space="preserve"> SEQ issue \c </w:instrText>
      </w:r>
      <w:r>
        <w:rPr>
          <w:rFonts w:ascii="Arial" w:hAnsi="Arial" w:cs="Arial"/>
          <w:b/>
          <w:bCs/>
          <w:i/>
          <w:kern w:val="32"/>
          <w:szCs w:val="32"/>
        </w:rPr>
        <w:fldChar w:fldCharType="separate"/>
      </w:r>
      <w:r w:rsidR="00DD480F">
        <w:rPr>
          <w:rFonts w:ascii="Arial" w:hAnsi="Arial" w:cs="Arial"/>
          <w:b/>
          <w:bCs/>
          <w:i/>
          <w:noProof/>
          <w:kern w:val="32"/>
          <w:szCs w:val="32"/>
        </w:rPr>
        <w:instrText>1</w:instrText>
      </w:r>
      <w:r>
        <w:rPr>
          <w:rFonts w:ascii="Arial" w:hAnsi="Arial" w:cs="Arial"/>
          <w:b/>
          <w:bCs/>
          <w:i/>
          <w:kern w:val="32"/>
          <w:szCs w:val="32"/>
        </w:rPr>
        <w:fldChar w:fldCharType="end"/>
      </w:r>
      <w:r>
        <w:rPr>
          <w:rFonts w:ascii="Arial" w:hAnsi="Arial" w:cs="Arial"/>
          <w:b/>
          <w:bCs/>
          <w:i/>
          <w:kern w:val="32"/>
          <w:szCs w:val="32"/>
        </w:rPr>
        <w:instrText xml:space="preserve"> Non-Sufficient Funds (NSF) Charge (Hudson, Johnson)" \l 1 </w:instrText>
      </w:r>
      <w:r>
        <w:rPr>
          <w:rFonts w:ascii="Arial" w:hAnsi="Arial" w:cs="Arial"/>
          <w:b/>
          <w:bCs/>
          <w:i/>
          <w:kern w:val="32"/>
          <w:szCs w:val="32"/>
        </w:rPr>
        <w:fldChar w:fldCharType="end"/>
      </w:r>
      <w:r>
        <w:rPr>
          <w:rFonts w:ascii="Arial" w:hAnsi="Arial" w:cs="Arial"/>
          <w:b/>
          <w:bCs/>
          <w:i/>
          <w:vanish/>
          <w:kern w:val="32"/>
          <w:szCs w:val="32"/>
        </w:rPr>
        <w:t xml:space="preserve"> </w:t>
      </w:r>
    </w:p>
    <w:p w:rsidR="00061570" w:rsidRDefault="00061570" w:rsidP="00061570">
      <w:pPr>
        <w:spacing w:after="240"/>
        <w:jc w:val="both"/>
      </w:pPr>
      <w:r>
        <w:t> </w:t>
      </w:r>
      <w:r w:rsidR="00FF3AC1">
        <w:t>Should this docket be closed?</w:t>
      </w:r>
    </w:p>
    <w:p w:rsidR="002A08AB" w:rsidRDefault="002A08AB" w:rsidP="002A08AB">
      <w:pPr>
        <w:pStyle w:val="IssueSubsectionHeading"/>
      </w:pPr>
      <w:r>
        <w:t>Recommendation: </w:t>
      </w:r>
      <w:r>
        <w:rPr>
          <w:rFonts w:ascii="Times New Roman" w:hAnsi="Times New Roman" w:cs="Times New Roman"/>
          <w:b w:val="0"/>
          <w:i w:val="0"/>
        </w:rPr>
        <w:t>The docket should remain open pending staff’s verification that the revised tariff sheets and customer notice have been filed by Pine Harbour Water</w:t>
      </w:r>
      <w:r w:rsidR="00875CB4">
        <w:rPr>
          <w:rFonts w:ascii="Times New Roman" w:hAnsi="Times New Roman" w:cs="Times New Roman"/>
          <w:b w:val="0"/>
          <w:i w:val="0"/>
        </w:rPr>
        <w:t>w</w:t>
      </w:r>
      <w:r>
        <w:rPr>
          <w:rFonts w:ascii="Times New Roman" w:hAnsi="Times New Roman" w:cs="Times New Roman"/>
          <w:b w:val="0"/>
          <w:i w:val="0"/>
        </w:rPr>
        <w:t>orks, Inc.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 has been given to customers, the docket should be ad</w:t>
      </w:r>
      <w:r w:rsidR="00B720F4">
        <w:rPr>
          <w:rFonts w:ascii="Times New Roman" w:hAnsi="Times New Roman" w:cs="Times New Roman"/>
          <w:b w:val="0"/>
          <w:i w:val="0"/>
        </w:rPr>
        <w:t>ministratively closed. (Trierweiler</w:t>
      </w:r>
      <w:r>
        <w:rPr>
          <w:rFonts w:ascii="Times New Roman" w:hAnsi="Times New Roman" w:cs="Times New Roman"/>
          <w:b w:val="0"/>
          <w:i w:val="0"/>
        </w:rPr>
        <w:t>)</w:t>
      </w:r>
    </w:p>
    <w:p w:rsidR="002A08AB" w:rsidRDefault="002A08AB" w:rsidP="002A08AB">
      <w:pPr>
        <w:pStyle w:val="IssueSubsectionHeading"/>
        <w:rPr>
          <w:vanish/>
          <w:specVanish/>
        </w:rPr>
      </w:pPr>
      <w:r>
        <w:t>Staff Analysis: </w:t>
      </w:r>
    </w:p>
    <w:p w:rsidR="00716959" w:rsidRDefault="002A08AB" w:rsidP="002A08AB">
      <w:pPr>
        <w:spacing w:after="240"/>
        <w:jc w:val="both"/>
      </w:pPr>
      <w:r>
        <w:t> The docket should remain open pending staff’s verification that the revised tariff sheets and customer notice have been filed by Pine Harbour Water</w:t>
      </w:r>
      <w:r w:rsidR="00875CB4">
        <w:t>w</w:t>
      </w:r>
      <w:r>
        <w:t>orks, Inc. and approved by staff. If a protest is filed within 21 days of the issuance date of the Order, the tariff sheets should remain in effect with the charges held subject to refund pending resolution of the protest. If no timely protest is filed, a consummating order should be issued and, once staff verifies that the notice of the charges has been given to customers, the docket should be administratively closed.</w:t>
      </w:r>
    </w:p>
    <w:p w:rsidR="002A08AB" w:rsidRDefault="002A08AB" w:rsidP="00061570">
      <w:pPr>
        <w:spacing w:after="240"/>
        <w:jc w:val="both"/>
        <w:sectPr w:rsidR="002A08AB" w:rsidSect="00EF2C62">
          <w:headerReference w:type="default" r:id="rId19"/>
          <w:pgSz w:w="12240" w:h="15840" w:code="1"/>
          <w:pgMar w:top="1584" w:right="1440" w:bottom="1440" w:left="1440" w:header="720" w:footer="720" w:gutter="0"/>
          <w:cols w:space="720"/>
          <w:formProt w:val="0"/>
          <w:docGrid w:linePitch="360"/>
        </w:sectPr>
      </w:pPr>
      <w:r>
        <w:t xml:space="preserve"> </w:t>
      </w:r>
    </w:p>
    <w:p w:rsidR="00AB0643" w:rsidRDefault="00AB0643" w:rsidP="00AB0643">
      <w:pPr>
        <w:spacing w:before="240"/>
        <w:jc w:val="center"/>
        <w:rPr>
          <w:b/>
        </w:rPr>
      </w:pPr>
      <w:r>
        <w:rPr>
          <w:b/>
        </w:rPr>
        <w:lastRenderedPageBreak/>
        <w:t>Pine Harbour Waterworks, Inc.</w:t>
      </w:r>
    </w:p>
    <w:p w:rsidR="00AB0643" w:rsidRDefault="00AB0643" w:rsidP="00AB0643">
      <w:pPr>
        <w:jc w:val="center"/>
        <w:rPr>
          <w:b/>
        </w:rPr>
      </w:pPr>
      <w:r>
        <w:rPr>
          <w:b/>
        </w:rPr>
        <w:t>Lake County</w:t>
      </w:r>
    </w:p>
    <w:p w:rsidR="00AB0643" w:rsidRDefault="00AB0643" w:rsidP="00AB0643">
      <w:pPr>
        <w:jc w:val="center"/>
        <w:rPr>
          <w:b/>
        </w:rPr>
      </w:pPr>
      <w:r>
        <w:rPr>
          <w:b/>
        </w:rPr>
        <w:t>Description of Water Territory</w:t>
      </w:r>
    </w:p>
    <w:p w:rsidR="00AB0643" w:rsidRDefault="00AB0643" w:rsidP="00AB0643">
      <w:pPr>
        <w:autoSpaceDE w:val="0"/>
        <w:autoSpaceDN w:val="0"/>
        <w:adjustRightInd w:val="0"/>
        <w:rPr>
          <w:b/>
          <w:bCs/>
          <w:color w:val="5D5D5D"/>
          <w:sz w:val="23"/>
          <w:szCs w:val="23"/>
        </w:rPr>
      </w:pPr>
    </w:p>
    <w:p w:rsidR="00772DFD" w:rsidRDefault="00AB0643" w:rsidP="00AB0643">
      <w:pPr>
        <w:pStyle w:val="BodyText"/>
      </w:pPr>
      <w:r>
        <w:t>The following described lands located in a portion of Section 6, Township 19 South, Range 26 East, Lake County. From the N.E. comer of Section 6, run West along the North line of Section 6 a distance 2,720 more or less to the Point of Beginning (P.O.B.). From the P.O.B. continue North 89"29'45' West, 975.50 feet to the Southerly Right-of-way of State Road 44; thence South 54" 12'40" West along said Southerly Right of-way, 44.47 feet to the Easterly Right-of-way of District road No. 5-5942 (Woodlyn Road); thence South 00'34'55" West, along said Easterly Right-of-way 992.43 feet; thence south 89"53'30" East, 1562.90 feet; thence North 00'06'30" East, 188.00 feet; thence North 27"55'02" West, 198.70 feet ; thence North 29"53'30" West I 00.00 feet; thence North 26"38'55", 243.02 feet; thence North 62"39'26" West, 297.75 feet; thence North 06"55'19" West, 209.76 feet to the P.O.B</w:t>
      </w:r>
      <w:r w:rsidR="00940C87">
        <w:t>.</w:t>
      </w:r>
    </w:p>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Pr="00772DFD" w:rsidRDefault="00772DFD" w:rsidP="00772DFD"/>
    <w:p w:rsidR="00772DFD" w:rsidRDefault="00772DFD" w:rsidP="00772DFD"/>
    <w:p w:rsidR="00772DFD" w:rsidRPr="00772DFD" w:rsidRDefault="00772DFD" w:rsidP="00772DFD"/>
    <w:p w:rsidR="00772DFD" w:rsidRDefault="00772DFD" w:rsidP="00772DFD">
      <w:pPr>
        <w:tabs>
          <w:tab w:val="left" w:pos="7935"/>
        </w:tabs>
        <w:sectPr w:rsidR="00772DFD" w:rsidSect="0068481F">
          <w:headerReference w:type="default" r:id="rId20"/>
          <w:pgSz w:w="12240" w:h="15840" w:code="1"/>
          <w:pgMar w:top="1584" w:right="1440" w:bottom="1440" w:left="1440" w:header="720" w:footer="720" w:gutter="0"/>
          <w:cols w:space="720"/>
          <w:formProt w:val="0"/>
          <w:docGrid w:linePitch="360"/>
        </w:sectPr>
      </w:pPr>
      <w:r>
        <w:tab/>
      </w:r>
    </w:p>
    <w:p w:rsidR="00861749" w:rsidRDefault="00861749" w:rsidP="00861749">
      <w:pPr>
        <w:pStyle w:val="BodyText"/>
        <w:jc w:val="center"/>
        <w:rPr>
          <w:b/>
        </w:rPr>
      </w:pPr>
      <w:r w:rsidRPr="00C6422B">
        <w:rPr>
          <w:b/>
        </w:rPr>
        <w:lastRenderedPageBreak/>
        <w:t>FLORIDA PUBLIC SER</w:t>
      </w:r>
      <w:r>
        <w:rPr>
          <w:b/>
        </w:rPr>
        <w:t>VICE COMMISSION</w:t>
      </w:r>
    </w:p>
    <w:p w:rsidR="00861749" w:rsidRDefault="00861749" w:rsidP="00861749">
      <w:pPr>
        <w:spacing w:before="240"/>
        <w:jc w:val="center"/>
        <w:rPr>
          <w:b/>
        </w:rPr>
      </w:pPr>
      <w:r>
        <w:rPr>
          <w:b/>
        </w:rPr>
        <w:t>Authorizes</w:t>
      </w:r>
    </w:p>
    <w:p w:rsidR="00861749" w:rsidRDefault="00861749" w:rsidP="00861749">
      <w:pPr>
        <w:jc w:val="center"/>
        <w:rPr>
          <w:b/>
        </w:rPr>
      </w:pPr>
      <w:r>
        <w:rPr>
          <w:b/>
        </w:rPr>
        <w:t>Pine Harbour Waterworks, Inc.</w:t>
      </w:r>
    </w:p>
    <w:p w:rsidR="00861749" w:rsidRDefault="00861749" w:rsidP="00861749">
      <w:pPr>
        <w:jc w:val="center"/>
        <w:rPr>
          <w:b/>
        </w:rPr>
      </w:pPr>
      <w:r>
        <w:rPr>
          <w:b/>
        </w:rPr>
        <w:t>Pursuant to</w:t>
      </w:r>
    </w:p>
    <w:p w:rsidR="00861749" w:rsidRDefault="00861749" w:rsidP="00861749">
      <w:pPr>
        <w:spacing w:after="240"/>
        <w:jc w:val="center"/>
        <w:rPr>
          <w:b/>
        </w:rPr>
      </w:pPr>
      <w:r>
        <w:rPr>
          <w:b/>
        </w:rPr>
        <w:t>Certificate Number 450-W</w:t>
      </w:r>
    </w:p>
    <w:p w:rsidR="00861749" w:rsidRDefault="00861749" w:rsidP="00861749">
      <w:pPr>
        <w:spacing w:before="240" w:after="240"/>
        <w:jc w:val="both"/>
      </w:pPr>
      <w:r>
        <w:t xml:space="preserve">To provide water service in </w:t>
      </w:r>
      <w:r w:rsidRPr="006600CC">
        <w:rPr>
          <w:u w:val="single"/>
        </w:rPr>
        <w:t>Lake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861749" w:rsidRDefault="00861749" w:rsidP="00861749">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861749" w:rsidRDefault="00861749" w:rsidP="00861749">
      <w:pPr>
        <w:spacing w:before="240"/>
        <w:jc w:val="both"/>
      </w:pPr>
      <w:r w:rsidRPr="004C13B3">
        <w:t>Order No. 15285</w:t>
      </w:r>
      <w:r>
        <w:tab/>
      </w:r>
      <w:r>
        <w:tab/>
        <w:t>10/22/1985</w:t>
      </w:r>
      <w:r>
        <w:tab/>
      </w:r>
      <w:r>
        <w:tab/>
      </w:r>
      <w:r w:rsidRPr="00455CCB">
        <w:t>850417-WU</w:t>
      </w:r>
      <w:r>
        <w:tab/>
      </w:r>
      <w:r>
        <w:tab/>
        <w:t>Original Certificate</w:t>
      </w:r>
    </w:p>
    <w:p w:rsidR="00861749" w:rsidRDefault="00861749" w:rsidP="00861749">
      <w:pPr>
        <w:spacing w:before="240"/>
        <w:jc w:val="both"/>
      </w:pPr>
      <w:r>
        <w:t xml:space="preserve">Order </w:t>
      </w:r>
      <w:r w:rsidRPr="00455CCB">
        <w:t>No. 24273</w:t>
      </w:r>
      <w:r>
        <w:tab/>
      </w:r>
      <w:r>
        <w:tab/>
        <w:t>03/21/1991</w:t>
      </w:r>
      <w:r>
        <w:tab/>
      </w:r>
      <w:r>
        <w:tab/>
      </w:r>
      <w:r w:rsidRPr="00455CCB">
        <w:t>900525-WU</w:t>
      </w:r>
      <w:r>
        <w:tab/>
      </w:r>
      <w:r>
        <w:tab/>
        <w:t>Transfer of Certificate</w:t>
      </w:r>
    </w:p>
    <w:p w:rsidR="00861749" w:rsidRDefault="00861749" w:rsidP="00861749">
      <w:pPr>
        <w:spacing w:before="240"/>
        <w:jc w:val="both"/>
      </w:pPr>
      <w:r w:rsidRPr="00455CCB">
        <w:t>PSC-08-0645-FOF-WU</w:t>
      </w:r>
      <w:r>
        <w:tab/>
        <w:t>10/06/2008</w:t>
      </w:r>
      <w:r>
        <w:tab/>
      </w:r>
      <w:r>
        <w:tab/>
      </w:r>
      <w:r w:rsidRPr="00455CCB">
        <w:t>080269-WU</w:t>
      </w:r>
      <w:r>
        <w:tab/>
      </w:r>
      <w:r>
        <w:tab/>
        <w:t>Transfer of Certificate</w:t>
      </w:r>
    </w:p>
    <w:p w:rsidR="00662E3E" w:rsidRDefault="00662E3E" w:rsidP="00861749">
      <w:pPr>
        <w:spacing w:after="240"/>
        <w:jc w:val="both"/>
      </w:pPr>
    </w:p>
    <w:p w:rsidR="00861749" w:rsidRDefault="00861749" w:rsidP="00861749">
      <w:pPr>
        <w:spacing w:after="240"/>
        <w:jc w:val="both"/>
      </w:pPr>
      <w:r>
        <w:t>*</w:t>
      </w:r>
      <w:r>
        <w:tab/>
      </w:r>
      <w:r>
        <w:tab/>
      </w:r>
      <w:r>
        <w:tab/>
      </w:r>
      <w:r>
        <w:tab/>
        <w:t>*</w:t>
      </w:r>
      <w:r>
        <w:tab/>
      </w:r>
      <w:r>
        <w:tab/>
      </w:r>
      <w:r>
        <w:tab/>
      </w:r>
      <w:r w:rsidR="00640369">
        <w:t>160169</w:t>
      </w:r>
      <w:r>
        <w:t>-WU</w:t>
      </w:r>
      <w:r>
        <w:tab/>
      </w:r>
      <w:r>
        <w:tab/>
        <w:t>Transfer of Certificate</w:t>
      </w:r>
    </w:p>
    <w:p w:rsidR="00861749" w:rsidRDefault="00861749" w:rsidP="00861749">
      <w:pPr>
        <w:pStyle w:val="BodyText"/>
        <w:rPr>
          <w:b/>
        </w:rPr>
      </w:pPr>
      <w:r>
        <w:t xml:space="preserve">* </w:t>
      </w:r>
      <w:r w:rsidRPr="006600CC">
        <w:rPr>
          <w:b/>
        </w:rPr>
        <w:t>O</w:t>
      </w:r>
      <w:r>
        <w:rPr>
          <w:b/>
        </w:rPr>
        <w:t>r</w:t>
      </w:r>
      <w:r w:rsidRPr="006600CC">
        <w:rPr>
          <w:b/>
        </w:rPr>
        <w:t>der Numbers and dates to be provided at time of issuanc</w:t>
      </w:r>
      <w:r>
        <w:rPr>
          <w:b/>
        </w:rPr>
        <w:t>e</w:t>
      </w:r>
    </w:p>
    <w:p w:rsidR="00772DFD" w:rsidRDefault="00772DFD" w:rsidP="00772DFD">
      <w:pPr>
        <w:tabs>
          <w:tab w:val="left" w:pos="7935"/>
        </w:tabs>
      </w:pPr>
    </w:p>
    <w:p w:rsidR="00772DFD" w:rsidRDefault="00772DFD" w:rsidP="00772DFD"/>
    <w:p w:rsidR="00716959" w:rsidRPr="00772DFD" w:rsidRDefault="00716959" w:rsidP="00772DFD">
      <w:pPr>
        <w:sectPr w:rsidR="00716959" w:rsidRPr="00772DFD" w:rsidSect="0068481F">
          <w:headerReference w:type="default" r:id="rId21"/>
          <w:pgSz w:w="12240" w:h="15840" w:code="1"/>
          <w:pgMar w:top="1584" w:right="1440" w:bottom="1440" w:left="1440" w:header="720" w:footer="720" w:gutter="0"/>
          <w:cols w:space="720"/>
          <w:formProt w:val="0"/>
          <w:docGrid w:linePitch="360"/>
        </w:sectPr>
      </w:pPr>
    </w:p>
    <w:p w:rsidR="00055C51" w:rsidRDefault="00055C51" w:rsidP="00055C51">
      <w:pPr>
        <w:spacing w:after="200" w:line="276" w:lineRule="auto"/>
        <w:jc w:val="center"/>
      </w:pPr>
      <w:r>
        <w:rPr>
          <w:rFonts w:ascii="Arial" w:hAnsi="Arial" w:cs="Arial"/>
          <w:b/>
        </w:rPr>
        <w:lastRenderedPageBreak/>
        <w:t>Pine Harbour Water Utilities, LLC</w:t>
      </w:r>
    </w:p>
    <w:p w:rsidR="00055C51" w:rsidRDefault="00055C51" w:rsidP="00055C51">
      <w:pPr>
        <w:jc w:val="center"/>
        <w:rPr>
          <w:rFonts w:ascii="Arial" w:hAnsi="Arial" w:cs="Arial"/>
          <w:b/>
        </w:rPr>
      </w:pPr>
      <w:r>
        <w:rPr>
          <w:rFonts w:ascii="Arial" w:hAnsi="Arial" w:cs="Arial"/>
          <w:b/>
        </w:rPr>
        <w:t>Monthly Water Rates</w:t>
      </w:r>
    </w:p>
    <w:p w:rsidR="00C4724F" w:rsidRDefault="00C4724F" w:rsidP="00E275D8">
      <w:pPr>
        <w:pStyle w:val="BodyText"/>
      </w:pPr>
    </w:p>
    <w:tbl>
      <w:tblPr>
        <w:tblW w:w="9540" w:type="dxa"/>
        <w:tblInd w:w="-72" w:type="dxa"/>
        <w:tblLook w:val="01E0" w:firstRow="1" w:lastRow="1" w:firstColumn="1" w:lastColumn="1" w:noHBand="0" w:noVBand="0"/>
      </w:tblPr>
      <w:tblGrid>
        <w:gridCol w:w="4860"/>
        <w:gridCol w:w="450"/>
        <w:gridCol w:w="4230"/>
      </w:tblGrid>
      <w:tr w:rsidR="00C4724F" w:rsidTr="00C4724F">
        <w:trPr>
          <w:trHeight w:val="297"/>
        </w:trPr>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rFonts w:ascii="Arial" w:hAnsi="Arial" w:cs="Arial"/>
                <w:b/>
              </w:rPr>
            </w:pPr>
            <w:r>
              <w:rPr>
                <w:rFonts w:ascii="Arial" w:hAnsi="Arial" w:cs="Arial"/>
                <w:b/>
              </w:rPr>
              <w:t xml:space="preserve">Residential </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rFonts w:ascii="Arial" w:hAnsi="Arial" w:cs="Arial"/>
              </w:rPr>
            </w:pPr>
          </w:p>
        </w:tc>
        <w:tc>
          <w:tcPr>
            <w:tcW w:w="423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rFonts w:ascii="Arial" w:hAnsi="Arial" w:cs="Arial"/>
              </w:rPr>
            </w:pP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Base Facility Charge by Meter Size</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5/8” x 3/4"</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$17.28</w:t>
            </w: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3/4"</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$25.92</w:t>
            </w: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1"</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$43.22</w:t>
            </w: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t>1 1/2"</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$86.41</w:t>
            </w: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t>2"</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$138.27</w:t>
            </w: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t>3"</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$276.51</w:t>
            </w: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t>4"</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$432.04</w:t>
            </w:r>
          </w:p>
        </w:tc>
      </w:tr>
      <w:tr w:rsidR="00C4724F" w:rsidTr="00C4724F">
        <w:tc>
          <w:tcPr>
            <w:tcW w:w="486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C4724F" w:rsidTr="00C4724F">
        <w:tc>
          <w:tcPr>
            <w:tcW w:w="486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t>Charge Per 1,000 gallons – Residential Service</w:t>
            </w: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 xml:space="preserve">                                                  $2.17</w:t>
            </w:r>
          </w:p>
        </w:tc>
      </w:tr>
      <w:tr w:rsidR="00C4724F" w:rsidTr="00C4724F">
        <w:tc>
          <w:tcPr>
            <w:tcW w:w="486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C4724F" w:rsidRDefault="00C472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bl>
    <w:p w:rsidR="0022109C" w:rsidRDefault="0022109C" w:rsidP="00C4724F"/>
    <w:p w:rsidR="0001641B" w:rsidRDefault="0001641B" w:rsidP="00C4724F"/>
    <w:tbl>
      <w:tblPr>
        <w:tblW w:w="9630" w:type="dxa"/>
        <w:tblInd w:w="-72" w:type="dxa"/>
        <w:tblLook w:val="01E0" w:firstRow="1" w:lastRow="1" w:firstColumn="1" w:lastColumn="1" w:noHBand="0" w:noVBand="0"/>
      </w:tblPr>
      <w:tblGrid>
        <w:gridCol w:w="5670"/>
        <w:gridCol w:w="1980"/>
        <w:gridCol w:w="1980"/>
      </w:tblGrid>
      <w:tr w:rsidR="0022109C" w:rsidTr="0022109C">
        <w:trPr>
          <w:trHeight w:val="144"/>
        </w:trPr>
        <w:tc>
          <w:tcPr>
            <w:tcW w:w="9630" w:type="dxa"/>
            <w:gridSpan w:val="3"/>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rFonts w:ascii="Arial" w:hAnsi="Arial" w:cs="Arial"/>
              </w:rPr>
            </w:pPr>
            <w:r>
              <w:rPr>
                <w:rFonts w:ascii="Arial" w:hAnsi="Arial" w:cs="Arial"/>
                <w:b/>
              </w:rPr>
              <w:t>Miscellaneous Service Charges</w:t>
            </w:r>
          </w:p>
        </w:tc>
      </w:tr>
      <w:tr w:rsidR="0022109C" w:rsidTr="0022109C">
        <w:trPr>
          <w:trHeight w:val="144"/>
        </w:trPr>
        <w:tc>
          <w:tcPr>
            <w:tcW w:w="567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22109C" w:rsidTr="0022109C">
        <w:trPr>
          <w:trHeight w:val="144"/>
        </w:trPr>
        <w:tc>
          <w:tcPr>
            <w:tcW w:w="567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u w:val="single"/>
              </w:rPr>
            </w:pPr>
            <w:r>
              <w:rPr>
                <w:u w:val="single"/>
              </w:rPr>
              <w:t xml:space="preserve">Business Hours </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u w:val="single"/>
              </w:rPr>
            </w:pPr>
            <w:r>
              <w:rPr>
                <w:u w:val="single"/>
              </w:rPr>
              <w:t>After Hours</w:t>
            </w:r>
          </w:p>
        </w:tc>
      </w:tr>
      <w:tr w:rsidR="0022109C" w:rsidTr="0022109C">
        <w:trPr>
          <w:trHeight w:val="144"/>
        </w:trPr>
        <w:tc>
          <w:tcPr>
            <w:tcW w:w="567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22109C" w:rsidTr="0022109C">
        <w:trPr>
          <w:trHeight w:val="144"/>
        </w:trPr>
        <w:tc>
          <w:tcPr>
            <w:tcW w:w="567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Initial Connection Charge</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$22.00</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$43.00</w:t>
            </w:r>
          </w:p>
        </w:tc>
      </w:tr>
      <w:tr w:rsidR="0022109C" w:rsidTr="0022109C">
        <w:trPr>
          <w:trHeight w:val="144"/>
        </w:trPr>
        <w:tc>
          <w:tcPr>
            <w:tcW w:w="567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Normal Reconnection Charge</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$22.00</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$43.00</w:t>
            </w:r>
          </w:p>
        </w:tc>
      </w:tr>
      <w:tr w:rsidR="0022109C" w:rsidTr="0022109C">
        <w:trPr>
          <w:trHeight w:val="144"/>
        </w:trPr>
        <w:tc>
          <w:tcPr>
            <w:tcW w:w="567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Violation Reconnection Charge</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$22.00</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$43.00</w:t>
            </w:r>
          </w:p>
        </w:tc>
      </w:tr>
      <w:tr w:rsidR="0022109C" w:rsidTr="0022109C">
        <w:trPr>
          <w:trHeight w:val="144"/>
        </w:trPr>
        <w:tc>
          <w:tcPr>
            <w:tcW w:w="567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t>Premises Visit Charge (in lieu of disconnection)</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$22.00</w:t>
            </w:r>
          </w:p>
        </w:tc>
        <w:tc>
          <w:tcPr>
            <w:tcW w:w="1980" w:type="dxa"/>
            <w:hideMark/>
          </w:tcPr>
          <w:p w:rsidR="0022109C" w:rsidRDefault="002210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$43.00</w:t>
            </w:r>
          </w:p>
        </w:tc>
      </w:tr>
    </w:tbl>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48"/>
      </w:tblGrid>
      <w:tr w:rsidR="00FC1F58" w:rsidTr="00FC1F58">
        <w:tc>
          <w:tcPr>
            <w:tcW w:w="6300" w:type="dxa"/>
            <w:hideMark/>
          </w:tcPr>
          <w:p w:rsidR="00FC1F58" w:rsidRDefault="00FC1F58">
            <w:r>
              <w:t>Late Payment</w:t>
            </w:r>
          </w:p>
        </w:tc>
        <w:tc>
          <w:tcPr>
            <w:tcW w:w="3348" w:type="dxa"/>
            <w:hideMark/>
          </w:tcPr>
          <w:p w:rsidR="00FC1F58" w:rsidRDefault="00FC1F58">
            <w:pPr>
              <w:jc w:val="center"/>
            </w:pPr>
            <w:r>
              <w:t>$5.00</w:t>
            </w:r>
          </w:p>
        </w:tc>
      </w:tr>
      <w:tr w:rsidR="00FC1F58" w:rsidTr="00FC1F58">
        <w:tc>
          <w:tcPr>
            <w:tcW w:w="6300" w:type="dxa"/>
            <w:hideMark/>
          </w:tcPr>
          <w:p w:rsidR="00FC1F58" w:rsidRDefault="00FC1F58">
            <w:r>
              <w:t>NSF Check Charge</w:t>
            </w:r>
          </w:p>
        </w:tc>
        <w:tc>
          <w:tcPr>
            <w:tcW w:w="3348" w:type="dxa"/>
            <w:hideMark/>
          </w:tcPr>
          <w:p w:rsidR="00FC1F58" w:rsidRDefault="00FC1F58" w:rsidP="00746327">
            <w:pPr>
              <w:jc w:val="center"/>
            </w:pPr>
            <w:r>
              <w:t xml:space="preserve">Pursuant to </w:t>
            </w:r>
            <w:r w:rsidR="00746327">
              <w:t>Section</w:t>
            </w:r>
            <w:r>
              <w:t xml:space="preserve"> 68.065</w:t>
            </w:r>
            <w:r w:rsidR="00850748">
              <w:t>,F.S.</w:t>
            </w:r>
          </w:p>
        </w:tc>
      </w:tr>
      <w:tr w:rsidR="00FC1F58" w:rsidTr="00B241AF">
        <w:tc>
          <w:tcPr>
            <w:tcW w:w="6300" w:type="dxa"/>
          </w:tcPr>
          <w:p w:rsidR="00FC1F58" w:rsidRDefault="00FC1F58"/>
        </w:tc>
        <w:tc>
          <w:tcPr>
            <w:tcW w:w="3348" w:type="dxa"/>
          </w:tcPr>
          <w:p w:rsidR="00FC1F58" w:rsidRDefault="00FC1F58">
            <w:pPr>
              <w:jc w:val="center"/>
            </w:pPr>
          </w:p>
        </w:tc>
      </w:tr>
      <w:tr w:rsidR="00FC1F58" w:rsidTr="00FC1F58">
        <w:trPr>
          <w:trHeight w:val="189"/>
        </w:trPr>
        <w:tc>
          <w:tcPr>
            <w:tcW w:w="6300" w:type="dxa"/>
          </w:tcPr>
          <w:p w:rsidR="00FC1F58" w:rsidRDefault="00FC1F58"/>
        </w:tc>
        <w:tc>
          <w:tcPr>
            <w:tcW w:w="3348" w:type="dxa"/>
          </w:tcPr>
          <w:p w:rsidR="00FC1F58" w:rsidRDefault="00FC1F58"/>
        </w:tc>
      </w:tr>
      <w:tr w:rsidR="00FC1F58" w:rsidTr="00FC1F58">
        <w:tc>
          <w:tcPr>
            <w:tcW w:w="6300" w:type="dxa"/>
            <w:hideMark/>
          </w:tcPr>
          <w:p w:rsidR="00FC1F58" w:rsidRDefault="00FC1F58">
            <w:r>
              <w:t>Meter Tampering Charge</w:t>
            </w:r>
          </w:p>
        </w:tc>
        <w:tc>
          <w:tcPr>
            <w:tcW w:w="3348" w:type="dxa"/>
            <w:hideMark/>
          </w:tcPr>
          <w:p w:rsidR="00FC1F58" w:rsidRDefault="00FC1F58">
            <w:pPr>
              <w:jc w:val="center"/>
            </w:pPr>
            <w:r>
              <w:t>Actual Cost</w:t>
            </w:r>
          </w:p>
        </w:tc>
      </w:tr>
      <w:tr w:rsidR="00FC1F58" w:rsidTr="00FC1F58">
        <w:tc>
          <w:tcPr>
            <w:tcW w:w="6300" w:type="dxa"/>
            <w:hideMark/>
          </w:tcPr>
          <w:p w:rsidR="00FC1F58" w:rsidRDefault="00FC1F58">
            <w:r>
              <w:t>Investigation of Meter Tampering Charge</w:t>
            </w:r>
          </w:p>
        </w:tc>
        <w:tc>
          <w:tcPr>
            <w:tcW w:w="3348" w:type="dxa"/>
            <w:hideMark/>
          </w:tcPr>
          <w:p w:rsidR="00FC1F58" w:rsidRDefault="00FC1F58">
            <w:pPr>
              <w:jc w:val="center"/>
            </w:pPr>
            <w:r>
              <w:t>$50.00</w:t>
            </w:r>
          </w:p>
        </w:tc>
      </w:tr>
    </w:tbl>
    <w:p w:rsidR="0022109C" w:rsidRDefault="0022109C" w:rsidP="00C4724F"/>
    <w:tbl>
      <w:tblPr>
        <w:tblW w:w="9594" w:type="dxa"/>
        <w:tblInd w:w="-72" w:type="dxa"/>
        <w:tblLook w:val="01E0" w:firstRow="1" w:lastRow="1" w:firstColumn="1" w:lastColumn="1" w:noHBand="0" w:noVBand="0"/>
      </w:tblPr>
      <w:tblGrid>
        <w:gridCol w:w="4568"/>
        <w:gridCol w:w="808"/>
        <w:gridCol w:w="4218"/>
      </w:tblGrid>
      <w:tr w:rsidR="00F23DEA" w:rsidTr="00F23DEA">
        <w:tc>
          <w:tcPr>
            <w:tcW w:w="9594" w:type="dxa"/>
            <w:gridSpan w:val="3"/>
            <w:hideMark/>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rFonts w:ascii="Arial" w:hAnsi="Arial" w:cs="Arial"/>
              </w:rPr>
            </w:pPr>
            <w:r>
              <w:rPr>
                <w:rFonts w:ascii="Arial" w:hAnsi="Arial" w:cs="Arial"/>
                <w:b/>
              </w:rPr>
              <w:t>Service Availability Charges</w:t>
            </w:r>
          </w:p>
        </w:tc>
      </w:tr>
      <w:tr w:rsidR="00F23DEA" w:rsidTr="00F23DEA">
        <w:trPr>
          <w:trHeight w:val="162"/>
        </w:trPr>
        <w:tc>
          <w:tcPr>
            <w:tcW w:w="4568" w:type="dxa"/>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rFonts w:ascii="Arial" w:hAnsi="Arial" w:cs="Arial"/>
                <w:b/>
              </w:rPr>
            </w:pPr>
          </w:p>
        </w:tc>
        <w:tc>
          <w:tcPr>
            <w:tcW w:w="808" w:type="dxa"/>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18" w:type="dxa"/>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F23DEA" w:rsidTr="00F23DEA">
        <w:trPr>
          <w:trHeight w:val="162"/>
        </w:trPr>
        <w:tc>
          <w:tcPr>
            <w:tcW w:w="4568" w:type="dxa"/>
            <w:hideMark/>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rFonts w:ascii="Arial" w:hAnsi="Arial" w:cs="Arial"/>
                <w:b/>
              </w:rPr>
            </w:pPr>
            <w:r>
              <w:rPr>
                <w:rFonts w:ascii="Arial" w:hAnsi="Arial" w:cs="Arial"/>
                <w:b/>
              </w:rPr>
              <w:t>Meter Installation Charge</w:t>
            </w:r>
          </w:p>
        </w:tc>
        <w:tc>
          <w:tcPr>
            <w:tcW w:w="808" w:type="dxa"/>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18" w:type="dxa"/>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F23DEA" w:rsidTr="00F23DEA">
        <w:tc>
          <w:tcPr>
            <w:tcW w:w="4568" w:type="dxa"/>
            <w:hideMark/>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t>All meter sizes</w:t>
            </w:r>
          </w:p>
        </w:tc>
        <w:tc>
          <w:tcPr>
            <w:tcW w:w="808" w:type="dxa"/>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18" w:type="dxa"/>
            <w:hideMark/>
          </w:tcPr>
          <w:p w:rsidR="00F23DEA" w:rsidRDefault="00F23D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t>$82.00</w:t>
            </w:r>
          </w:p>
        </w:tc>
      </w:tr>
    </w:tbl>
    <w:p w:rsidR="00315AA6" w:rsidRDefault="00315AA6" w:rsidP="00C4724F"/>
    <w:p w:rsidR="00315AA6" w:rsidRDefault="00315AA6" w:rsidP="00C4724F"/>
    <w:p w:rsidR="00315AA6" w:rsidRPr="00C4724F" w:rsidRDefault="00315AA6" w:rsidP="00C4724F">
      <w:pPr>
        <w:sectPr w:rsidR="00315AA6" w:rsidRPr="00C4724F" w:rsidSect="0068481F">
          <w:headerReference w:type="default" r:id="rId22"/>
          <w:pgSz w:w="12240" w:h="15840" w:code="1"/>
          <w:pgMar w:top="1584" w:right="1440" w:bottom="1440" w:left="1440" w:header="720" w:footer="720" w:gutter="0"/>
          <w:cols w:space="720"/>
          <w:formProt w:val="0"/>
          <w:docGrid w:linePitch="360"/>
        </w:sectPr>
      </w:pPr>
    </w:p>
    <w:tbl>
      <w:tblPr>
        <w:tblW w:w="8455" w:type="dxa"/>
        <w:jc w:val="center"/>
        <w:tblLook w:val="0480" w:firstRow="0" w:lastRow="0" w:firstColumn="1" w:lastColumn="0" w:noHBand="0" w:noVBand="1"/>
      </w:tblPr>
      <w:tblGrid>
        <w:gridCol w:w="2812"/>
        <w:gridCol w:w="1840"/>
        <w:gridCol w:w="1523"/>
        <w:gridCol w:w="2280"/>
      </w:tblGrid>
      <w:tr w:rsidR="006D6719" w:rsidTr="006D6719">
        <w:trPr>
          <w:trHeight w:val="288"/>
          <w:jc w:val="center"/>
        </w:trPr>
        <w:tc>
          <w:tcPr>
            <w:tcW w:w="8455" w:type="dxa"/>
            <w:gridSpan w:val="4"/>
            <w:vAlign w:val="center"/>
            <w:hideMark/>
          </w:tcPr>
          <w:p w:rsidR="006D6719" w:rsidRDefault="006D6719" w:rsidP="001141BF">
            <w:pPr>
              <w:spacing w:after="200" w:line="276" w:lineRule="auto"/>
              <w:jc w:val="center"/>
              <w:rPr>
                <w:b/>
                <w:bCs/>
                <w:color w:val="000000"/>
              </w:rPr>
            </w:pPr>
            <w:r>
              <w:rPr>
                <w:b/>
                <w:bCs/>
                <w:color w:val="000000"/>
              </w:rPr>
              <w:lastRenderedPageBreak/>
              <w:t xml:space="preserve">Pine Harbour Water Utilities, LLC. </w:t>
            </w:r>
          </w:p>
        </w:tc>
      </w:tr>
      <w:tr w:rsidR="006D6719" w:rsidTr="006D6719">
        <w:trPr>
          <w:trHeight w:val="288"/>
          <w:jc w:val="center"/>
        </w:trPr>
        <w:tc>
          <w:tcPr>
            <w:tcW w:w="8455" w:type="dxa"/>
            <w:gridSpan w:val="4"/>
            <w:vAlign w:val="center"/>
            <w:hideMark/>
          </w:tcPr>
          <w:p w:rsidR="006D6719" w:rsidRDefault="006D6719">
            <w:pPr>
              <w:spacing w:after="200" w:line="276" w:lineRule="auto"/>
              <w:jc w:val="center"/>
              <w:rPr>
                <w:b/>
                <w:bCs/>
                <w:color w:val="000000"/>
              </w:rPr>
            </w:pPr>
            <w:r>
              <w:rPr>
                <w:b/>
                <w:bCs/>
                <w:color w:val="000000"/>
              </w:rPr>
              <w:t>Water System</w:t>
            </w:r>
          </w:p>
        </w:tc>
      </w:tr>
      <w:tr w:rsidR="006D6719" w:rsidTr="006D6719">
        <w:trPr>
          <w:trHeight w:val="288"/>
          <w:jc w:val="center"/>
        </w:trPr>
        <w:tc>
          <w:tcPr>
            <w:tcW w:w="8455" w:type="dxa"/>
            <w:gridSpan w:val="4"/>
            <w:vAlign w:val="center"/>
            <w:hideMark/>
          </w:tcPr>
          <w:p w:rsidR="006D6719" w:rsidRDefault="006D6719">
            <w:pPr>
              <w:spacing w:after="200" w:line="276" w:lineRule="auto"/>
              <w:jc w:val="center"/>
              <w:rPr>
                <w:b/>
                <w:bCs/>
                <w:color w:val="000000"/>
              </w:rPr>
            </w:pPr>
            <w:r>
              <w:rPr>
                <w:b/>
                <w:bCs/>
                <w:color w:val="000000"/>
              </w:rPr>
              <w:t>Schedule of Net Book Value as of June 29, 2016</w:t>
            </w:r>
          </w:p>
        </w:tc>
      </w:tr>
      <w:tr w:rsidR="006D6719" w:rsidTr="006D6719">
        <w:trPr>
          <w:trHeight w:hRule="exact" w:val="288"/>
          <w:jc w:val="center"/>
        </w:trPr>
        <w:tc>
          <w:tcPr>
            <w:tcW w:w="2812" w:type="dxa"/>
            <w:vAlign w:val="center"/>
            <w:hideMark/>
          </w:tcPr>
          <w:p w:rsidR="006D6719" w:rsidRDefault="006D6719">
            <w:pPr>
              <w:spacing w:line="276" w:lineRule="auto"/>
              <w:rPr>
                <w:sz w:val="22"/>
                <w:szCs w:val="22"/>
              </w:rPr>
            </w:pPr>
          </w:p>
        </w:tc>
        <w:tc>
          <w:tcPr>
            <w:tcW w:w="1840" w:type="dxa"/>
            <w:vAlign w:val="center"/>
            <w:hideMark/>
          </w:tcPr>
          <w:p w:rsidR="006D6719" w:rsidRDefault="006D6719">
            <w:pPr>
              <w:spacing w:line="276" w:lineRule="auto"/>
              <w:rPr>
                <w:sz w:val="22"/>
                <w:szCs w:val="22"/>
              </w:rPr>
            </w:pPr>
          </w:p>
        </w:tc>
        <w:tc>
          <w:tcPr>
            <w:tcW w:w="1523" w:type="dxa"/>
            <w:vAlign w:val="center"/>
            <w:hideMark/>
          </w:tcPr>
          <w:p w:rsidR="006D6719" w:rsidRDefault="006D6719">
            <w:pPr>
              <w:spacing w:line="276" w:lineRule="auto"/>
              <w:rPr>
                <w:sz w:val="22"/>
                <w:szCs w:val="22"/>
              </w:rPr>
            </w:pPr>
          </w:p>
        </w:tc>
        <w:tc>
          <w:tcPr>
            <w:tcW w:w="2280" w:type="dxa"/>
            <w:vAlign w:val="center"/>
            <w:hideMark/>
          </w:tcPr>
          <w:p w:rsidR="006D6719" w:rsidRDefault="006D6719">
            <w:pPr>
              <w:spacing w:line="276" w:lineRule="auto"/>
              <w:rPr>
                <w:sz w:val="22"/>
                <w:szCs w:val="22"/>
              </w:rPr>
            </w:pPr>
          </w:p>
        </w:tc>
      </w:tr>
      <w:tr w:rsidR="006D6719" w:rsidTr="006D6719">
        <w:trPr>
          <w:trHeight w:hRule="exact" w:val="576"/>
          <w:jc w:val="center"/>
        </w:trPr>
        <w:tc>
          <w:tcPr>
            <w:tcW w:w="2812" w:type="dxa"/>
            <w:vAlign w:val="bottom"/>
            <w:hideMark/>
          </w:tcPr>
          <w:p w:rsidR="006D6719" w:rsidRDefault="006D6719">
            <w:pPr>
              <w:spacing w:after="200" w:line="276" w:lineRule="auto"/>
              <w:jc w:val="center"/>
              <w:rPr>
                <w:b/>
                <w:bCs/>
                <w:color w:val="000000"/>
              </w:rPr>
            </w:pPr>
            <w:r>
              <w:rPr>
                <w:b/>
                <w:bCs/>
                <w:color w:val="000000"/>
              </w:rPr>
              <w:t>Description</w:t>
            </w:r>
          </w:p>
        </w:tc>
        <w:tc>
          <w:tcPr>
            <w:tcW w:w="1840" w:type="dxa"/>
            <w:vAlign w:val="bottom"/>
            <w:hideMark/>
          </w:tcPr>
          <w:p w:rsidR="006D6719" w:rsidRDefault="006D6719">
            <w:pPr>
              <w:tabs>
                <w:tab w:val="left" w:pos="1532"/>
              </w:tabs>
              <w:spacing w:after="200" w:line="276" w:lineRule="auto"/>
              <w:jc w:val="center"/>
              <w:rPr>
                <w:b/>
                <w:bCs/>
                <w:color w:val="000000"/>
              </w:rPr>
            </w:pPr>
            <w:r>
              <w:rPr>
                <w:b/>
                <w:bCs/>
                <w:color w:val="000000"/>
              </w:rPr>
              <w:t>Balance Per Utility</w:t>
            </w:r>
          </w:p>
        </w:tc>
        <w:tc>
          <w:tcPr>
            <w:tcW w:w="1523" w:type="dxa"/>
            <w:vAlign w:val="bottom"/>
            <w:hideMark/>
          </w:tcPr>
          <w:p w:rsidR="006D6719" w:rsidRDefault="006D6719">
            <w:pPr>
              <w:spacing w:after="200" w:line="276" w:lineRule="auto"/>
              <w:jc w:val="center"/>
              <w:rPr>
                <w:b/>
                <w:bCs/>
                <w:color w:val="000000"/>
              </w:rPr>
            </w:pPr>
            <w:r>
              <w:rPr>
                <w:b/>
                <w:bCs/>
                <w:color w:val="000000"/>
              </w:rPr>
              <w:t xml:space="preserve">Adjustments </w:t>
            </w:r>
          </w:p>
        </w:tc>
        <w:tc>
          <w:tcPr>
            <w:tcW w:w="2280" w:type="dxa"/>
            <w:vAlign w:val="bottom"/>
            <w:hideMark/>
          </w:tcPr>
          <w:p w:rsidR="006D6719" w:rsidRDefault="006D6719">
            <w:pPr>
              <w:spacing w:after="200" w:line="276" w:lineRule="auto"/>
              <w:jc w:val="center"/>
              <w:rPr>
                <w:b/>
                <w:bCs/>
                <w:color w:val="000000"/>
              </w:rPr>
            </w:pPr>
            <w:r>
              <w:rPr>
                <w:b/>
                <w:bCs/>
                <w:color w:val="000000"/>
              </w:rPr>
              <w:t>Staff Recommendation</w:t>
            </w:r>
          </w:p>
        </w:tc>
      </w:tr>
      <w:tr w:rsidR="006D6719" w:rsidTr="006D6719">
        <w:trPr>
          <w:trHeight w:hRule="exact" w:val="288"/>
          <w:jc w:val="center"/>
        </w:trPr>
        <w:tc>
          <w:tcPr>
            <w:tcW w:w="2812" w:type="dxa"/>
            <w:noWrap/>
            <w:vAlign w:val="bottom"/>
            <w:hideMark/>
          </w:tcPr>
          <w:p w:rsidR="006D6719" w:rsidRDefault="006D6719">
            <w:pPr>
              <w:spacing w:after="200" w:line="276" w:lineRule="auto"/>
              <w:rPr>
                <w:color w:val="000000"/>
              </w:rPr>
            </w:pPr>
            <w:r>
              <w:rPr>
                <w:color w:val="000000"/>
              </w:rPr>
              <w:t>Utility Plant in Service</w:t>
            </w:r>
          </w:p>
        </w:tc>
        <w:tc>
          <w:tcPr>
            <w:tcW w:w="1840" w:type="dxa"/>
            <w:noWrap/>
            <w:vAlign w:val="bottom"/>
            <w:hideMark/>
          </w:tcPr>
          <w:p w:rsidR="006D6719" w:rsidRDefault="006D6719">
            <w:pPr>
              <w:tabs>
                <w:tab w:val="decimal" w:pos="1502"/>
              </w:tabs>
              <w:spacing w:after="200" w:line="276" w:lineRule="auto"/>
              <w:rPr>
                <w:color w:val="000000"/>
              </w:rPr>
            </w:pPr>
            <w:r>
              <w:rPr>
                <w:color w:val="000000"/>
              </w:rPr>
              <w:t xml:space="preserve">$130,485 </w:t>
            </w:r>
          </w:p>
        </w:tc>
        <w:tc>
          <w:tcPr>
            <w:tcW w:w="1523" w:type="dxa"/>
            <w:noWrap/>
            <w:vAlign w:val="bottom"/>
            <w:hideMark/>
          </w:tcPr>
          <w:p w:rsidR="006D6719" w:rsidRDefault="006D6719">
            <w:pPr>
              <w:tabs>
                <w:tab w:val="decimal" w:pos="994"/>
                <w:tab w:val="left" w:pos="1133"/>
              </w:tabs>
              <w:spacing w:after="200" w:line="276" w:lineRule="auto"/>
              <w:rPr>
                <w:color w:val="000000"/>
              </w:rPr>
            </w:pPr>
            <w:r>
              <w:rPr>
                <w:color w:val="000000"/>
              </w:rPr>
              <w:tab/>
              <w:t>($43,924)</w:t>
            </w:r>
            <w:r>
              <w:rPr>
                <w:color w:val="000000"/>
              </w:rPr>
              <w:tab/>
            </w:r>
          </w:p>
        </w:tc>
        <w:tc>
          <w:tcPr>
            <w:tcW w:w="2280" w:type="dxa"/>
            <w:noWrap/>
            <w:vAlign w:val="bottom"/>
            <w:hideMark/>
          </w:tcPr>
          <w:p w:rsidR="006D6719" w:rsidRDefault="006D6719">
            <w:pPr>
              <w:tabs>
                <w:tab w:val="decimal" w:pos="1635"/>
              </w:tabs>
              <w:spacing w:after="200" w:line="276" w:lineRule="auto"/>
              <w:jc w:val="right"/>
              <w:rPr>
                <w:color w:val="000000"/>
              </w:rPr>
            </w:pPr>
            <w:r>
              <w:rPr>
                <w:color w:val="000000"/>
              </w:rPr>
              <w:t xml:space="preserve">$86,561 </w:t>
            </w:r>
          </w:p>
        </w:tc>
      </w:tr>
      <w:tr w:rsidR="006D6719" w:rsidTr="006D6719">
        <w:trPr>
          <w:trHeight w:hRule="exact" w:val="288"/>
          <w:jc w:val="center"/>
        </w:trPr>
        <w:tc>
          <w:tcPr>
            <w:tcW w:w="2812" w:type="dxa"/>
            <w:noWrap/>
            <w:vAlign w:val="bottom"/>
            <w:hideMark/>
          </w:tcPr>
          <w:p w:rsidR="006D6719" w:rsidRDefault="006D6719">
            <w:pPr>
              <w:spacing w:after="200" w:line="276" w:lineRule="auto"/>
              <w:rPr>
                <w:color w:val="000000"/>
              </w:rPr>
            </w:pPr>
            <w:r>
              <w:rPr>
                <w:color w:val="000000"/>
              </w:rPr>
              <w:t>Land &amp; Land Rights</w:t>
            </w:r>
          </w:p>
        </w:tc>
        <w:tc>
          <w:tcPr>
            <w:tcW w:w="1840" w:type="dxa"/>
            <w:noWrap/>
            <w:vAlign w:val="bottom"/>
            <w:hideMark/>
          </w:tcPr>
          <w:p w:rsidR="006D6719" w:rsidRDefault="006D6719">
            <w:pPr>
              <w:tabs>
                <w:tab w:val="decimal" w:pos="1502"/>
              </w:tabs>
              <w:spacing w:after="200" w:line="276" w:lineRule="auto"/>
              <w:rPr>
                <w:color w:val="000000"/>
              </w:rPr>
            </w:pPr>
            <w:r>
              <w:rPr>
                <w:color w:val="000000"/>
              </w:rPr>
              <w:t xml:space="preserve">5,000 </w:t>
            </w:r>
          </w:p>
        </w:tc>
        <w:tc>
          <w:tcPr>
            <w:tcW w:w="1523" w:type="dxa"/>
            <w:noWrap/>
            <w:vAlign w:val="bottom"/>
            <w:hideMark/>
          </w:tcPr>
          <w:p w:rsidR="006D6719" w:rsidRDefault="006D6719">
            <w:pPr>
              <w:tabs>
                <w:tab w:val="decimal" w:pos="994"/>
                <w:tab w:val="left" w:pos="1133"/>
              </w:tabs>
              <w:spacing w:after="200" w:line="276" w:lineRule="auto"/>
              <w:rPr>
                <w:color w:val="000000"/>
              </w:rPr>
            </w:pPr>
            <w:r>
              <w:rPr>
                <w:color w:val="000000"/>
              </w:rPr>
              <w:tab/>
              <w:t>0</w:t>
            </w:r>
            <w:r>
              <w:rPr>
                <w:color w:val="000000"/>
              </w:rPr>
              <w:tab/>
            </w:r>
          </w:p>
        </w:tc>
        <w:tc>
          <w:tcPr>
            <w:tcW w:w="2280" w:type="dxa"/>
            <w:noWrap/>
            <w:vAlign w:val="bottom"/>
            <w:hideMark/>
          </w:tcPr>
          <w:p w:rsidR="006D6719" w:rsidRDefault="006D6719">
            <w:pPr>
              <w:tabs>
                <w:tab w:val="decimal" w:pos="1635"/>
              </w:tabs>
              <w:spacing w:after="200" w:line="276" w:lineRule="auto"/>
              <w:jc w:val="right"/>
              <w:rPr>
                <w:color w:val="000000"/>
              </w:rPr>
            </w:pPr>
            <w:r>
              <w:rPr>
                <w:color w:val="000000"/>
              </w:rPr>
              <w:t>5,000</w:t>
            </w:r>
          </w:p>
        </w:tc>
      </w:tr>
      <w:tr w:rsidR="006D6719" w:rsidTr="006D6719">
        <w:trPr>
          <w:trHeight w:hRule="exact" w:val="288"/>
          <w:jc w:val="center"/>
        </w:trPr>
        <w:tc>
          <w:tcPr>
            <w:tcW w:w="2812" w:type="dxa"/>
            <w:noWrap/>
            <w:vAlign w:val="bottom"/>
            <w:hideMark/>
          </w:tcPr>
          <w:p w:rsidR="006D6719" w:rsidRDefault="006D6719">
            <w:pPr>
              <w:spacing w:after="200" w:line="276" w:lineRule="auto"/>
              <w:rPr>
                <w:color w:val="000000"/>
              </w:rPr>
            </w:pPr>
            <w:r>
              <w:rPr>
                <w:color w:val="000000"/>
              </w:rPr>
              <w:t>Accumulated Depreciation</w:t>
            </w:r>
          </w:p>
        </w:tc>
        <w:tc>
          <w:tcPr>
            <w:tcW w:w="1840" w:type="dxa"/>
            <w:noWrap/>
            <w:vAlign w:val="bottom"/>
            <w:hideMark/>
          </w:tcPr>
          <w:p w:rsidR="006D6719" w:rsidRDefault="006D6719">
            <w:pPr>
              <w:tabs>
                <w:tab w:val="decimal" w:pos="1502"/>
              </w:tabs>
              <w:spacing w:after="200" w:line="276" w:lineRule="auto"/>
              <w:rPr>
                <w:color w:val="000000"/>
              </w:rPr>
            </w:pPr>
            <w:r>
              <w:rPr>
                <w:color w:val="000000"/>
              </w:rPr>
              <w:t>(104,887)</w:t>
            </w:r>
          </w:p>
        </w:tc>
        <w:tc>
          <w:tcPr>
            <w:tcW w:w="1523" w:type="dxa"/>
            <w:noWrap/>
            <w:vAlign w:val="bottom"/>
            <w:hideMark/>
          </w:tcPr>
          <w:p w:rsidR="006D6719" w:rsidRDefault="006D6719">
            <w:pPr>
              <w:tabs>
                <w:tab w:val="decimal" w:pos="994"/>
                <w:tab w:val="left" w:pos="1133"/>
              </w:tabs>
              <w:spacing w:after="200" w:line="276" w:lineRule="auto"/>
              <w:rPr>
                <w:color w:val="000000"/>
              </w:rPr>
            </w:pPr>
            <w:r>
              <w:rPr>
                <w:color w:val="000000"/>
              </w:rPr>
              <w:tab/>
              <w:t>37,024</w:t>
            </w:r>
            <w:r>
              <w:rPr>
                <w:color w:val="000000"/>
              </w:rPr>
              <w:tab/>
            </w:r>
          </w:p>
        </w:tc>
        <w:tc>
          <w:tcPr>
            <w:tcW w:w="2280" w:type="dxa"/>
            <w:noWrap/>
            <w:vAlign w:val="bottom"/>
            <w:hideMark/>
          </w:tcPr>
          <w:p w:rsidR="006D6719" w:rsidRDefault="006D6719">
            <w:pPr>
              <w:tabs>
                <w:tab w:val="decimal" w:pos="1635"/>
              </w:tabs>
              <w:spacing w:after="200" w:line="276" w:lineRule="auto"/>
              <w:jc w:val="right"/>
              <w:rPr>
                <w:color w:val="000000"/>
              </w:rPr>
            </w:pPr>
            <w:r>
              <w:rPr>
                <w:color w:val="000000"/>
              </w:rPr>
              <w:t>(67,863)</w:t>
            </w:r>
          </w:p>
        </w:tc>
      </w:tr>
      <w:tr w:rsidR="006D6719" w:rsidTr="006D6719">
        <w:trPr>
          <w:trHeight w:hRule="exact" w:val="288"/>
          <w:jc w:val="center"/>
        </w:trPr>
        <w:tc>
          <w:tcPr>
            <w:tcW w:w="2812" w:type="dxa"/>
            <w:noWrap/>
            <w:vAlign w:val="bottom"/>
            <w:hideMark/>
          </w:tcPr>
          <w:p w:rsidR="006D6719" w:rsidRDefault="006D6719">
            <w:pPr>
              <w:spacing w:after="200" w:line="276" w:lineRule="auto"/>
              <w:rPr>
                <w:color w:val="000000"/>
              </w:rPr>
            </w:pPr>
            <w:r>
              <w:rPr>
                <w:color w:val="000000"/>
              </w:rPr>
              <w:t>CIAC</w:t>
            </w:r>
          </w:p>
        </w:tc>
        <w:tc>
          <w:tcPr>
            <w:tcW w:w="1840" w:type="dxa"/>
            <w:noWrap/>
            <w:vAlign w:val="bottom"/>
            <w:hideMark/>
          </w:tcPr>
          <w:p w:rsidR="006D6719" w:rsidRDefault="006D6719">
            <w:pPr>
              <w:tabs>
                <w:tab w:val="decimal" w:pos="1502"/>
              </w:tabs>
              <w:spacing w:after="200" w:line="276" w:lineRule="auto"/>
              <w:rPr>
                <w:color w:val="000000"/>
              </w:rPr>
            </w:pPr>
            <w:r>
              <w:rPr>
                <w:color w:val="000000"/>
              </w:rPr>
              <w:t>0</w:t>
            </w:r>
          </w:p>
        </w:tc>
        <w:tc>
          <w:tcPr>
            <w:tcW w:w="1523" w:type="dxa"/>
            <w:noWrap/>
            <w:vAlign w:val="bottom"/>
            <w:hideMark/>
          </w:tcPr>
          <w:p w:rsidR="006D6719" w:rsidRDefault="006D6719">
            <w:pPr>
              <w:tabs>
                <w:tab w:val="decimal" w:pos="994"/>
                <w:tab w:val="left" w:pos="1133"/>
              </w:tabs>
              <w:spacing w:after="200" w:line="276" w:lineRule="auto"/>
              <w:rPr>
                <w:color w:val="000000"/>
              </w:rPr>
            </w:pPr>
            <w:r>
              <w:rPr>
                <w:color w:val="000000"/>
              </w:rPr>
              <w:tab/>
              <w:t>(56,883)</w:t>
            </w:r>
            <w:r>
              <w:rPr>
                <w:color w:val="000000"/>
              </w:rPr>
              <w:tab/>
            </w:r>
          </w:p>
        </w:tc>
        <w:tc>
          <w:tcPr>
            <w:tcW w:w="2280" w:type="dxa"/>
            <w:noWrap/>
            <w:vAlign w:val="bottom"/>
            <w:hideMark/>
          </w:tcPr>
          <w:p w:rsidR="006D6719" w:rsidRDefault="006D6719">
            <w:pPr>
              <w:tabs>
                <w:tab w:val="decimal" w:pos="1635"/>
              </w:tabs>
              <w:spacing w:after="200" w:line="276" w:lineRule="auto"/>
              <w:jc w:val="right"/>
              <w:rPr>
                <w:color w:val="000000"/>
              </w:rPr>
            </w:pPr>
            <w:r>
              <w:rPr>
                <w:color w:val="000000"/>
              </w:rPr>
              <w:t>(56,883)</w:t>
            </w:r>
          </w:p>
        </w:tc>
      </w:tr>
      <w:tr w:rsidR="006D6719" w:rsidTr="006D6719">
        <w:trPr>
          <w:trHeight w:hRule="exact" w:val="288"/>
          <w:jc w:val="center"/>
        </w:trPr>
        <w:tc>
          <w:tcPr>
            <w:tcW w:w="2812" w:type="dxa"/>
            <w:noWrap/>
            <w:vAlign w:val="bottom"/>
            <w:hideMark/>
          </w:tcPr>
          <w:p w:rsidR="006D6719" w:rsidRDefault="006D6719">
            <w:pPr>
              <w:spacing w:after="200" w:line="276" w:lineRule="auto"/>
              <w:rPr>
                <w:color w:val="000000"/>
              </w:rPr>
            </w:pPr>
            <w:r>
              <w:rPr>
                <w:color w:val="000000"/>
              </w:rPr>
              <w:t>Amortization of CIAC</w:t>
            </w:r>
          </w:p>
        </w:tc>
        <w:tc>
          <w:tcPr>
            <w:tcW w:w="1840" w:type="dxa"/>
            <w:noWrap/>
            <w:vAlign w:val="bottom"/>
            <w:hideMark/>
          </w:tcPr>
          <w:p w:rsidR="006D6719" w:rsidRDefault="006D6719">
            <w:pPr>
              <w:tabs>
                <w:tab w:val="decimal" w:pos="1502"/>
              </w:tabs>
              <w:spacing w:after="200" w:line="276" w:lineRule="auto"/>
              <w:rPr>
                <w:color w:val="000000"/>
                <w:u w:val="single"/>
              </w:rPr>
            </w:pPr>
            <w:r>
              <w:rPr>
                <w:color w:val="000000"/>
                <w:u w:val="single"/>
              </w:rPr>
              <w:t>0</w:t>
            </w:r>
          </w:p>
        </w:tc>
        <w:tc>
          <w:tcPr>
            <w:tcW w:w="1523" w:type="dxa"/>
            <w:noWrap/>
            <w:vAlign w:val="bottom"/>
            <w:hideMark/>
          </w:tcPr>
          <w:p w:rsidR="006D6719" w:rsidRDefault="006D6719">
            <w:pPr>
              <w:tabs>
                <w:tab w:val="decimal" w:pos="994"/>
                <w:tab w:val="left" w:pos="1133"/>
              </w:tabs>
              <w:spacing w:after="200" w:line="276" w:lineRule="auto"/>
              <w:rPr>
                <w:color w:val="000000"/>
              </w:rPr>
            </w:pPr>
            <w:r>
              <w:rPr>
                <w:color w:val="000000"/>
              </w:rPr>
              <w:tab/>
            </w:r>
            <w:r>
              <w:rPr>
                <w:color w:val="000000"/>
                <w:u w:val="single"/>
              </w:rPr>
              <w:t>56,883</w:t>
            </w:r>
            <w:r>
              <w:rPr>
                <w:color w:val="000000"/>
              </w:rPr>
              <w:tab/>
            </w:r>
          </w:p>
        </w:tc>
        <w:tc>
          <w:tcPr>
            <w:tcW w:w="2280" w:type="dxa"/>
            <w:noWrap/>
            <w:vAlign w:val="bottom"/>
            <w:hideMark/>
          </w:tcPr>
          <w:p w:rsidR="006D6719" w:rsidRDefault="006D6719">
            <w:pPr>
              <w:tabs>
                <w:tab w:val="decimal" w:pos="1635"/>
              </w:tabs>
              <w:spacing w:after="200" w:line="276" w:lineRule="auto"/>
              <w:jc w:val="right"/>
              <w:rPr>
                <w:color w:val="000000"/>
                <w:u w:val="single"/>
              </w:rPr>
            </w:pPr>
            <w:r>
              <w:rPr>
                <w:color w:val="000000"/>
                <w:u w:val="single"/>
              </w:rPr>
              <w:t xml:space="preserve">56,883 </w:t>
            </w:r>
          </w:p>
        </w:tc>
      </w:tr>
      <w:tr w:rsidR="006D6719" w:rsidTr="006D6719">
        <w:trPr>
          <w:trHeight w:hRule="exact" w:val="288"/>
          <w:jc w:val="center"/>
        </w:trPr>
        <w:tc>
          <w:tcPr>
            <w:tcW w:w="2812" w:type="dxa"/>
            <w:noWrap/>
            <w:vAlign w:val="bottom"/>
            <w:hideMark/>
          </w:tcPr>
          <w:p w:rsidR="006D6719" w:rsidRDefault="006D6719">
            <w:pPr>
              <w:spacing w:line="276" w:lineRule="auto"/>
              <w:rPr>
                <w:sz w:val="22"/>
                <w:szCs w:val="22"/>
              </w:rPr>
            </w:pPr>
          </w:p>
        </w:tc>
        <w:tc>
          <w:tcPr>
            <w:tcW w:w="1840" w:type="dxa"/>
            <w:noWrap/>
            <w:vAlign w:val="bottom"/>
          </w:tcPr>
          <w:p w:rsidR="006D6719" w:rsidRDefault="006D6719">
            <w:pPr>
              <w:tabs>
                <w:tab w:val="decimal" w:pos="1502"/>
              </w:tabs>
              <w:spacing w:after="200" w:line="276" w:lineRule="auto"/>
              <w:rPr>
                <w:color w:val="000000"/>
              </w:rPr>
            </w:pPr>
          </w:p>
        </w:tc>
        <w:tc>
          <w:tcPr>
            <w:tcW w:w="1523" w:type="dxa"/>
            <w:noWrap/>
            <w:vAlign w:val="bottom"/>
          </w:tcPr>
          <w:p w:rsidR="006D6719" w:rsidRDefault="006D6719">
            <w:pPr>
              <w:tabs>
                <w:tab w:val="decimal" w:pos="994"/>
                <w:tab w:val="left" w:pos="1133"/>
              </w:tabs>
              <w:spacing w:after="200" w:line="276" w:lineRule="auto"/>
              <w:rPr>
                <w:color w:val="000000"/>
              </w:rPr>
            </w:pPr>
          </w:p>
        </w:tc>
        <w:tc>
          <w:tcPr>
            <w:tcW w:w="2280" w:type="dxa"/>
            <w:noWrap/>
            <w:vAlign w:val="bottom"/>
          </w:tcPr>
          <w:p w:rsidR="006D6719" w:rsidRDefault="006D6719">
            <w:pPr>
              <w:tabs>
                <w:tab w:val="decimal" w:pos="1635"/>
              </w:tabs>
              <w:spacing w:after="200" w:line="276" w:lineRule="auto"/>
              <w:jc w:val="right"/>
              <w:rPr>
                <w:color w:val="000000"/>
              </w:rPr>
            </w:pPr>
          </w:p>
        </w:tc>
      </w:tr>
      <w:tr w:rsidR="006D6719" w:rsidTr="006D6719">
        <w:trPr>
          <w:trHeight w:hRule="exact" w:val="288"/>
          <w:jc w:val="center"/>
        </w:trPr>
        <w:tc>
          <w:tcPr>
            <w:tcW w:w="2812" w:type="dxa"/>
            <w:noWrap/>
            <w:vAlign w:val="bottom"/>
            <w:hideMark/>
          </w:tcPr>
          <w:p w:rsidR="006D6719" w:rsidRDefault="006D6719">
            <w:pPr>
              <w:spacing w:after="200" w:line="276" w:lineRule="auto"/>
              <w:rPr>
                <w:color w:val="000000"/>
              </w:rPr>
            </w:pPr>
            <w:r>
              <w:rPr>
                <w:color w:val="000000"/>
              </w:rPr>
              <w:t>Total</w:t>
            </w:r>
          </w:p>
        </w:tc>
        <w:tc>
          <w:tcPr>
            <w:tcW w:w="1840" w:type="dxa"/>
            <w:noWrap/>
            <w:vAlign w:val="bottom"/>
            <w:hideMark/>
          </w:tcPr>
          <w:p w:rsidR="006D6719" w:rsidRDefault="006D6719">
            <w:pPr>
              <w:tabs>
                <w:tab w:val="decimal" w:pos="1502"/>
              </w:tabs>
              <w:spacing w:after="200" w:line="276" w:lineRule="auto"/>
              <w:rPr>
                <w:color w:val="000000"/>
                <w:u w:val="double"/>
              </w:rPr>
            </w:pPr>
            <w:r>
              <w:rPr>
                <w:color w:val="000000"/>
                <w:u w:val="double"/>
              </w:rPr>
              <w:t xml:space="preserve">$30,598 </w:t>
            </w:r>
          </w:p>
        </w:tc>
        <w:tc>
          <w:tcPr>
            <w:tcW w:w="1523" w:type="dxa"/>
            <w:noWrap/>
            <w:vAlign w:val="bottom"/>
            <w:hideMark/>
          </w:tcPr>
          <w:p w:rsidR="006D6719" w:rsidRDefault="006D6719">
            <w:pPr>
              <w:tabs>
                <w:tab w:val="decimal" w:pos="994"/>
                <w:tab w:val="left" w:pos="1133"/>
              </w:tabs>
              <w:spacing w:after="200" w:line="276" w:lineRule="auto"/>
              <w:rPr>
                <w:color w:val="000000"/>
                <w:u w:val="double"/>
              </w:rPr>
            </w:pPr>
            <w:r>
              <w:rPr>
                <w:color w:val="000000"/>
              </w:rPr>
              <w:tab/>
            </w:r>
            <w:r>
              <w:rPr>
                <w:color w:val="000000"/>
                <w:u w:val="double"/>
              </w:rPr>
              <w:t>($6,900)</w:t>
            </w:r>
          </w:p>
        </w:tc>
        <w:tc>
          <w:tcPr>
            <w:tcW w:w="2280" w:type="dxa"/>
            <w:noWrap/>
            <w:vAlign w:val="bottom"/>
            <w:hideMark/>
          </w:tcPr>
          <w:p w:rsidR="006D6719" w:rsidRDefault="006D6719">
            <w:pPr>
              <w:tabs>
                <w:tab w:val="decimal" w:pos="1635"/>
              </w:tabs>
              <w:spacing w:after="200" w:line="276" w:lineRule="auto"/>
              <w:jc w:val="right"/>
              <w:rPr>
                <w:color w:val="000000"/>
                <w:u w:val="double"/>
              </w:rPr>
            </w:pPr>
            <w:r>
              <w:rPr>
                <w:color w:val="000000"/>
                <w:u w:val="double"/>
              </w:rPr>
              <w:t xml:space="preserve">$23,698 </w:t>
            </w:r>
          </w:p>
        </w:tc>
      </w:tr>
    </w:tbl>
    <w:p w:rsidR="00716959" w:rsidRDefault="00716959" w:rsidP="00E275D8">
      <w:pPr>
        <w:pStyle w:val="BodyText"/>
        <w:sectPr w:rsidR="00716959" w:rsidSect="0068481F">
          <w:headerReference w:type="default" r:id="rId23"/>
          <w:pgSz w:w="12240" w:h="15840" w:code="1"/>
          <w:pgMar w:top="1584" w:right="1440" w:bottom="1440" w:left="1440" w:header="720" w:footer="720" w:gutter="0"/>
          <w:cols w:space="720"/>
          <w:formProt w:val="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140A63" w:rsidTr="00140A63">
        <w:trPr>
          <w:jc w:val="center"/>
        </w:trPr>
        <w:tc>
          <w:tcPr>
            <w:tcW w:w="9576" w:type="dxa"/>
            <w:gridSpan w:val="2"/>
            <w:hideMark/>
          </w:tcPr>
          <w:p w:rsidR="00140A63" w:rsidRDefault="00140A63">
            <w:pPr>
              <w:jc w:val="center"/>
              <w:rPr>
                <w:b/>
              </w:rPr>
            </w:pPr>
            <w:r>
              <w:rPr>
                <w:b/>
              </w:rPr>
              <w:lastRenderedPageBreak/>
              <w:t>Explanation of Staff’s Recommended</w:t>
            </w:r>
          </w:p>
        </w:tc>
      </w:tr>
      <w:tr w:rsidR="00140A63" w:rsidTr="00140A63">
        <w:trPr>
          <w:jc w:val="center"/>
        </w:trPr>
        <w:tc>
          <w:tcPr>
            <w:tcW w:w="9576" w:type="dxa"/>
            <w:gridSpan w:val="2"/>
            <w:hideMark/>
          </w:tcPr>
          <w:p w:rsidR="00140A63" w:rsidRDefault="00140A63">
            <w:pPr>
              <w:jc w:val="center"/>
              <w:rPr>
                <w:b/>
              </w:rPr>
            </w:pPr>
            <w:r>
              <w:rPr>
                <w:b/>
              </w:rPr>
              <w:t>Adjustments to Net Book Value as of June 29, 2016</w:t>
            </w:r>
          </w:p>
        </w:tc>
      </w:tr>
      <w:tr w:rsidR="00140A63" w:rsidTr="00140A63">
        <w:trPr>
          <w:jc w:val="center"/>
        </w:trPr>
        <w:tc>
          <w:tcPr>
            <w:tcW w:w="9576" w:type="dxa"/>
            <w:gridSpan w:val="2"/>
            <w:hideMark/>
          </w:tcPr>
          <w:p w:rsidR="00140A63" w:rsidRDefault="00140A63">
            <w:pPr>
              <w:jc w:val="center"/>
              <w:rPr>
                <w:b/>
              </w:rPr>
            </w:pPr>
            <w:r>
              <w:rPr>
                <w:b/>
              </w:rPr>
              <w:t>Water System</w:t>
            </w:r>
          </w:p>
        </w:tc>
      </w:tr>
      <w:tr w:rsidR="00140A63" w:rsidTr="00140A63">
        <w:trPr>
          <w:jc w:val="center"/>
        </w:trPr>
        <w:tc>
          <w:tcPr>
            <w:tcW w:w="7668" w:type="dxa"/>
            <w:hideMark/>
          </w:tcPr>
          <w:p w:rsidR="00140A63" w:rsidRDefault="00140A63">
            <w:pPr>
              <w:rPr>
                <w:b/>
              </w:rPr>
            </w:pPr>
            <w:r>
              <w:rPr>
                <w:b/>
              </w:rPr>
              <w:t>Explanation</w:t>
            </w:r>
          </w:p>
        </w:tc>
        <w:tc>
          <w:tcPr>
            <w:tcW w:w="1908" w:type="dxa"/>
            <w:hideMark/>
          </w:tcPr>
          <w:p w:rsidR="00140A63" w:rsidRDefault="00140A63">
            <w:pPr>
              <w:rPr>
                <w:b/>
              </w:rPr>
            </w:pPr>
            <w:r>
              <w:rPr>
                <w:b/>
              </w:rPr>
              <w:t>Amount</w:t>
            </w:r>
          </w:p>
        </w:tc>
      </w:tr>
      <w:tr w:rsidR="00140A63" w:rsidTr="00140A63">
        <w:trPr>
          <w:jc w:val="center"/>
        </w:trPr>
        <w:tc>
          <w:tcPr>
            <w:tcW w:w="7668" w:type="dxa"/>
          </w:tcPr>
          <w:p w:rsidR="00140A63" w:rsidRDefault="00140A63">
            <w:pPr>
              <w:rPr>
                <w:b/>
              </w:rPr>
            </w:pPr>
          </w:p>
        </w:tc>
        <w:tc>
          <w:tcPr>
            <w:tcW w:w="1908" w:type="dxa"/>
          </w:tcPr>
          <w:p w:rsidR="00140A63" w:rsidRDefault="00140A63">
            <w:pPr>
              <w:rPr>
                <w:b/>
              </w:rPr>
            </w:pPr>
          </w:p>
        </w:tc>
      </w:tr>
      <w:tr w:rsidR="00140A63" w:rsidTr="00140A63">
        <w:trPr>
          <w:jc w:val="center"/>
        </w:trPr>
        <w:tc>
          <w:tcPr>
            <w:tcW w:w="7668" w:type="dxa"/>
            <w:hideMark/>
          </w:tcPr>
          <w:p w:rsidR="00140A63" w:rsidRDefault="00140A63" w:rsidP="00140A6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Utility Plant in Service</w:t>
            </w:r>
          </w:p>
        </w:tc>
        <w:tc>
          <w:tcPr>
            <w:tcW w:w="1908" w:type="dxa"/>
          </w:tcPr>
          <w:p w:rsidR="00140A63" w:rsidRDefault="00140A63"/>
        </w:tc>
      </w:tr>
      <w:tr w:rsidR="00140A63" w:rsidTr="00140A63">
        <w:trPr>
          <w:jc w:val="center"/>
        </w:trPr>
        <w:tc>
          <w:tcPr>
            <w:tcW w:w="7668" w:type="dxa"/>
            <w:hideMark/>
          </w:tcPr>
          <w:p w:rsidR="00140A63" w:rsidRDefault="00140A63">
            <w:r>
              <w:t xml:space="preserve">To </w:t>
            </w:r>
            <w:r w:rsidR="00C173D3">
              <w:t>reflect</w:t>
            </w:r>
            <w:r>
              <w:t xml:space="preserve"> appropriate amount of utility plant in service.</w:t>
            </w:r>
          </w:p>
        </w:tc>
        <w:tc>
          <w:tcPr>
            <w:tcW w:w="1908" w:type="dxa"/>
            <w:hideMark/>
          </w:tcPr>
          <w:p w:rsidR="00140A63" w:rsidRDefault="00140A63">
            <w:pPr>
              <w:jc w:val="right"/>
              <w:rPr>
                <w:u w:val="double"/>
              </w:rPr>
            </w:pPr>
            <w:r>
              <w:rPr>
                <w:u w:val="double"/>
              </w:rPr>
              <w:t>($43,924)</w:t>
            </w:r>
          </w:p>
        </w:tc>
      </w:tr>
      <w:tr w:rsidR="00140A63" w:rsidTr="00140A63">
        <w:trPr>
          <w:jc w:val="center"/>
        </w:trPr>
        <w:tc>
          <w:tcPr>
            <w:tcW w:w="7668" w:type="dxa"/>
            <w:hideMark/>
          </w:tcPr>
          <w:p w:rsidR="00140A63" w:rsidRDefault="00140A63" w:rsidP="00140A6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Depreciation</w:t>
            </w:r>
          </w:p>
        </w:tc>
        <w:tc>
          <w:tcPr>
            <w:tcW w:w="1908" w:type="dxa"/>
          </w:tcPr>
          <w:p w:rsidR="00140A63" w:rsidRDefault="00140A63">
            <w:pPr>
              <w:jc w:val="right"/>
              <w:rPr>
                <w:u w:val="double"/>
              </w:rPr>
            </w:pPr>
          </w:p>
        </w:tc>
      </w:tr>
      <w:tr w:rsidR="00140A63" w:rsidTr="00140A63">
        <w:trPr>
          <w:jc w:val="center"/>
        </w:trPr>
        <w:tc>
          <w:tcPr>
            <w:tcW w:w="7668" w:type="dxa"/>
            <w:hideMark/>
          </w:tcPr>
          <w:p w:rsidR="00140A63" w:rsidRDefault="00140A63">
            <w:r>
              <w:t>To reflect appropriate amount of accumulated depreciation.</w:t>
            </w:r>
          </w:p>
        </w:tc>
        <w:tc>
          <w:tcPr>
            <w:tcW w:w="1908" w:type="dxa"/>
            <w:hideMark/>
          </w:tcPr>
          <w:p w:rsidR="00140A63" w:rsidRDefault="00140A63">
            <w:pPr>
              <w:jc w:val="right"/>
              <w:rPr>
                <w:u w:val="double"/>
              </w:rPr>
            </w:pPr>
            <w:r>
              <w:rPr>
                <w:u w:val="double"/>
              </w:rPr>
              <w:t>$37,024</w:t>
            </w:r>
          </w:p>
        </w:tc>
      </w:tr>
      <w:tr w:rsidR="00140A63" w:rsidTr="00140A63">
        <w:trPr>
          <w:jc w:val="center"/>
        </w:trPr>
        <w:tc>
          <w:tcPr>
            <w:tcW w:w="7668" w:type="dxa"/>
            <w:hideMark/>
          </w:tcPr>
          <w:p w:rsidR="00140A63" w:rsidRDefault="00140A63" w:rsidP="00140A6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Contributions-in-Aid-of-Construction (CIAC)</w:t>
            </w:r>
          </w:p>
        </w:tc>
        <w:tc>
          <w:tcPr>
            <w:tcW w:w="1908" w:type="dxa"/>
          </w:tcPr>
          <w:p w:rsidR="00140A63" w:rsidRDefault="00140A63">
            <w:pPr>
              <w:jc w:val="right"/>
              <w:rPr>
                <w:u w:val="double"/>
              </w:rPr>
            </w:pPr>
          </w:p>
        </w:tc>
      </w:tr>
      <w:tr w:rsidR="00140A63" w:rsidTr="00140A63">
        <w:trPr>
          <w:jc w:val="center"/>
        </w:trPr>
        <w:tc>
          <w:tcPr>
            <w:tcW w:w="7668" w:type="dxa"/>
            <w:hideMark/>
          </w:tcPr>
          <w:p w:rsidR="00140A63" w:rsidRDefault="00140A63">
            <w:r>
              <w:t>To reflect appropriate CIAC.</w:t>
            </w:r>
          </w:p>
        </w:tc>
        <w:tc>
          <w:tcPr>
            <w:tcW w:w="1908" w:type="dxa"/>
            <w:hideMark/>
          </w:tcPr>
          <w:p w:rsidR="00140A63" w:rsidRDefault="00140A63">
            <w:pPr>
              <w:jc w:val="right"/>
              <w:rPr>
                <w:u w:val="double"/>
              </w:rPr>
            </w:pPr>
            <w:r>
              <w:rPr>
                <w:u w:val="double"/>
              </w:rPr>
              <w:t>($56,883)</w:t>
            </w:r>
          </w:p>
        </w:tc>
      </w:tr>
      <w:tr w:rsidR="00140A63" w:rsidTr="00140A63">
        <w:trPr>
          <w:jc w:val="center"/>
        </w:trPr>
        <w:tc>
          <w:tcPr>
            <w:tcW w:w="7668" w:type="dxa"/>
            <w:hideMark/>
          </w:tcPr>
          <w:p w:rsidR="00140A63" w:rsidRDefault="00140A63" w:rsidP="00140A6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Amortization of CIAC</w:t>
            </w:r>
          </w:p>
        </w:tc>
        <w:tc>
          <w:tcPr>
            <w:tcW w:w="1908" w:type="dxa"/>
          </w:tcPr>
          <w:p w:rsidR="00140A63" w:rsidRDefault="00140A63">
            <w:pPr>
              <w:jc w:val="right"/>
              <w:rPr>
                <w:u w:val="double"/>
              </w:rPr>
            </w:pPr>
          </w:p>
        </w:tc>
      </w:tr>
      <w:tr w:rsidR="00140A63" w:rsidTr="00140A63">
        <w:trPr>
          <w:jc w:val="center"/>
        </w:trPr>
        <w:tc>
          <w:tcPr>
            <w:tcW w:w="7668" w:type="dxa"/>
            <w:hideMark/>
          </w:tcPr>
          <w:p w:rsidR="00140A63" w:rsidRDefault="00140A63">
            <w:r>
              <w:t>To reflect appropriate amount of accumulated amortization of CIAC.</w:t>
            </w:r>
          </w:p>
        </w:tc>
        <w:tc>
          <w:tcPr>
            <w:tcW w:w="1908" w:type="dxa"/>
            <w:hideMark/>
          </w:tcPr>
          <w:p w:rsidR="00140A63" w:rsidRDefault="00140A63">
            <w:pPr>
              <w:jc w:val="right"/>
              <w:rPr>
                <w:u w:val="double"/>
              </w:rPr>
            </w:pPr>
            <w:r>
              <w:rPr>
                <w:u w:val="double"/>
              </w:rPr>
              <w:t>$56,883</w:t>
            </w:r>
          </w:p>
        </w:tc>
      </w:tr>
      <w:tr w:rsidR="00140A63" w:rsidTr="00140A63">
        <w:trPr>
          <w:jc w:val="center"/>
        </w:trPr>
        <w:tc>
          <w:tcPr>
            <w:tcW w:w="7668" w:type="dxa"/>
          </w:tcPr>
          <w:p w:rsidR="00140A63" w:rsidRDefault="00140A63"/>
        </w:tc>
        <w:tc>
          <w:tcPr>
            <w:tcW w:w="1908" w:type="dxa"/>
          </w:tcPr>
          <w:p w:rsidR="00140A63" w:rsidRDefault="00140A63">
            <w:pPr>
              <w:jc w:val="right"/>
              <w:rPr>
                <w:u w:val="double"/>
              </w:rPr>
            </w:pPr>
          </w:p>
        </w:tc>
      </w:tr>
      <w:tr w:rsidR="00140A63" w:rsidTr="00140A63">
        <w:trPr>
          <w:jc w:val="center"/>
        </w:trPr>
        <w:tc>
          <w:tcPr>
            <w:tcW w:w="7668" w:type="dxa"/>
            <w:hideMark/>
          </w:tcPr>
          <w:p w:rsidR="00140A63" w:rsidRDefault="00140A63">
            <w:r>
              <w:t>Total Adjustments to Net Book Value as of June 29, 2016.</w:t>
            </w:r>
          </w:p>
        </w:tc>
        <w:tc>
          <w:tcPr>
            <w:tcW w:w="1908" w:type="dxa"/>
            <w:hideMark/>
          </w:tcPr>
          <w:p w:rsidR="00140A63" w:rsidRDefault="00140A63">
            <w:pPr>
              <w:jc w:val="right"/>
              <w:rPr>
                <w:u w:val="double"/>
              </w:rPr>
            </w:pPr>
            <w:r>
              <w:rPr>
                <w:u w:val="double"/>
              </w:rPr>
              <w:t>($6,900)</w:t>
            </w:r>
          </w:p>
        </w:tc>
      </w:tr>
    </w:tbl>
    <w:p w:rsidR="00716959" w:rsidRDefault="00716959" w:rsidP="00E275D8">
      <w:pPr>
        <w:pStyle w:val="BodyText"/>
        <w:sectPr w:rsidR="00716959" w:rsidSect="0068481F">
          <w:headerReference w:type="default" r:id="rId24"/>
          <w:pgSz w:w="12240" w:h="15840" w:code="1"/>
          <w:pgMar w:top="1584" w:right="1440" w:bottom="1440" w:left="144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7"/>
        <w:gridCol w:w="1615"/>
        <w:gridCol w:w="1576"/>
      </w:tblGrid>
      <w:tr w:rsidR="0056373F" w:rsidTr="0056373F">
        <w:tc>
          <w:tcPr>
            <w:tcW w:w="9576" w:type="dxa"/>
            <w:gridSpan w:val="4"/>
            <w:hideMark/>
          </w:tcPr>
          <w:p w:rsidR="0056373F" w:rsidRDefault="0056373F">
            <w:pPr>
              <w:jc w:val="center"/>
              <w:rPr>
                <w:b/>
              </w:rPr>
            </w:pPr>
            <w:r>
              <w:rPr>
                <w:b/>
              </w:rPr>
              <w:lastRenderedPageBreak/>
              <w:t>Pine Harbour Water Utilities, LLC</w:t>
            </w:r>
          </w:p>
        </w:tc>
      </w:tr>
      <w:tr w:rsidR="0056373F" w:rsidTr="0056373F">
        <w:tc>
          <w:tcPr>
            <w:tcW w:w="9576" w:type="dxa"/>
            <w:gridSpan w:val="4"/>
            <w:hideMark/>
          </w:tcPr>
          <w:p w:rsidR="0056373F" w:rsidRDefault="0056373F">
            <w:pPr>
              <w:jc w:val="center"/>
              <w:rPr>
                <w:b/>
              </w:rPr>
            </w:pPr>
            <w:r>
              <w:rPr>
                <w:b/>
              </w:rPr>
              <w:t>Water System</w:t>
            </w:r>
          </w:p>
        </w:tc>
      </w:tr>
      <w:tr w:rsidR="0056373F" w:rsidTr="0056373F">
        <w:tc>
          <w:tcPr>
            <w:tcW w:w="9576" w:type="dxa"/>
            <w:gridSpan w:val="4"/>
            <w:hideMark/>
          </w:tcPr>
          <w:p w:rsidR="0056373F" w:rsidRDefault="0056373F">
            <w:pPr>
              <w:jc w:val="center"/>
              <w:rPr>
                <w:b/>
              </w:rPr>
            </w:pPr>
            <w:r>
              <w:rPr>
                <w:b/>
              </w:rPr>
              <w:t>Schedule of Staff Recommended Account Balances as of June 29, 2016</w:t>
            </w:r>
          </w:p>
        </w:tc>
      </w:tr>
      <w:tr w:rsidR="0056373F" w:rsidTr="0056373F">
        <w:tc>
          <w:tcPr>
            <w:tcW w:w="1098" w:type="dxa"/>
            <w:hideMark/>
          </w:tcPr>
          <w:p w:rsidR="0056373F" w:rsidRDefault="0056373F">
            <w:pPr>
              <w:jc w:val="center"/>
              <w:rPr>
                <w:b/>
              </w:rPr>
            </w:pPr>
            <w:r>
              <w:rPr>
                <w:b/>
              </w:rPr>
              <w:t>Account</w:t>
            </w:r>
          </w:p>
        </w:tc>
        <w:tc>
          <w:tcPr>
            <w:tcW w:w="5287" w:type="dxa"/>
          </w:tcPr>
          <w:p w:rsidR="0056373F" w:rsidRDefault="0056373F">
            <w:pPr>
              <w:rPr>
                <w:b/>
              </w:rPr>
            </w:pPr>
          </w:p>
        </w:tc>
        <w:tc>
          <w:tcPr>
            <w:tcW w:w="1615" w:type="dxa"/>
          </w:tcPr>
          <w:p w:rsidR="0056373F" w:rsidRDefault="0056373F">
            <w:pPr>
              <w:rPr>
                <w:b/>
              </w:rPr>
            </w:pPr>
          </w:p>
        </w:tc>
        <w:tc>
          <w:tcPr>
            <w:tcW w:w="1576" w:type="dxa"/>
            <w:hideMark/>
          </w:tcPr>
          <w:p w:rsidR="0056373F" w:rsidRDefault="0056373F">
            <w:pPr>
              <w:jc w:val="right"/>
              <w:rPr>
                <w:b/>
              </w:rPr>
            </w:pPr>
            <w:r>
              <w:rPr>
                <w:b/>
              </w:rPr>
              <w:t>Accumulated</w:t>
            </w:r>
          </w:p>
        </w:tc>
      </w:tr>
      <w:tr w:rsidR="0056373F" w:rsidTr="0056373F">
        <w:tc>
          <w:tcPr>
            <w:tcW w:w="1098" w:type="dxa"/>
            <w:hideMark/>
          </w:tcPr>
          <w:p w:rsidR="0056373F" w:rsidRDefault="0056373F">
            <w:pPr>
              <w:jc w:val="center"/>
              <w:rPr>
                <w:b/>
              </w:rPr>
            </w:pPr>
            <w:r>
              <w:rPr>
                <w:b/>
              </w:rPr>
              <w:t>No.</w:t>
            </w:r>
          </w:p>
        </w:tc>
        <w:tc>
          <w:tcPr>
            <w:tcW w:w="5287" w:type="dxa"/>
            <w:hideMark/>
          </w:tcPr>
          <w:p w:rsidR="0056373F" w:rsidRDefault="0056373F">
            <w:pPr>
              <w:rPr>
                <w:b/>
              </w:rPr>
            </w:pPr>
            <w:r>
              <w:rPr>
                <w:b/>
              </w:rPr>
              <w:t>Description</w:t>
            </w:r>
          </w:p>
        </w:tc>
        <w:tc>
          <w:tcPr>
            <w:tcW w:w="1615" w:type="dxa"/>
            <w:hideMark/>
          </w:tcPr>
          <w:p w:rsidR="0056373F" w:rsidRDefault="0056373F">
            <w:pPr>
              <w:jc w:val="right"/>
              <w:rPr>
                <w:b/>
              </w:rPr>
            </w:pPr>
            <w:r>
              <w:rPr>
                <w:b/>
              </w:rPr>
              <w:t>UPIS</w:t>
            </w:r>
          </w:p>
        </w:tc>
        <w:tc>
          <w:tcPr>
            <w:tcW w:w="1576" w:type="dxa"/>
            <w:hideMark/>
          </w:tcPr>
          <w:p w:rsidR="0056373F" w:rsidRDefault="0056373F">
            <w:pPr>
              <w:jc w:val="right"/>
              <w:rPr>
                <w:b/>
              </w:rPr>
            </w:pPr>
            <w:r>
              <w:rPr>
                <w:b/>
              </w:rPr>
              <w:t>Depreciation</w:t>
            </w:r>
          </w:p>
        </w:tc>
      </w:tr>
      <w:tr w:rsidR="0056373F" w:rsidTr="0056373F">
        <w:tc>
          <w:tcPr>
            <w:tcW w:w="1098" w:type="dxa"/>
            <w:hideMark/>
          </w:tcPr>
          <w:p w:rsidR="0056373F" w:rsidRDefault="0056373F">
            <w:pPr>
              <w:jc w:val="center"/>
            </w:pPr>
            <w:r>
              <w:t>301</w:t>
            </w:r>
          </w:p>
        </w:tc>
        <w:tc>
          <w:tcPr>
            <w:tcW w:w="5287" w:type="dxa"/>
            <w:hideMark/>
          </w:tcPr>
          <w:p w:rsidR="0056373F" w:rsidRDefault="0056373F">
            <w:r>
              <w:t>Organization</w:t>
            </w:r>
          </w:p>
        </w:tc>
        <w:tc>
          <w:tcPr>
            <w:tcW w:w="1615" w:type="dxa"/>
            <w:hideMark/>
          </w:tcPr>
          <w:p w:rsidR="0056373F" w:rsidRDefault="0056373F">
            <w:pPr>
              <w:jc w:val="right"/>
            </w:pPr>
            <w:r>
              <w:t>$500</w:t>
            </w:r>
          </w:p>
        </w:tc>
        <w:tc>
          <w:tcPr>
            <w:tcW w:w="1576" w:type="dxa"/>
            <w:hideMark/>
          </w:tcPr>
          <w:p w:rsidR="0056373F" w:rsidRDefault="0056373F">
            <w:pPr>
              <w:jc w:val="right"/>
            </w:pPr>
            <w:r>
              <w:t>($381)</w:t>
            </w:r>
          </w:p>
        </w:tc>
      </w:tr>
      <w:tr w:rsidR="0056373F" w:rsidTr="0056373F">
        <w:tc>
          <w:tcPr>
            <w:tcW w:w="1098" w:type="dxa"/>
            <w:hideMark/>
          </w:tcPr>
          <w:p w:rsidR="0056373F" w:rsidRDefault="0056373F">
            <w:pPr>
              <w:jc w:val="center"/>
            </w:pPr>
            <w:r>
              <w:t>304</w:t>
            </w:r>
          </w:p>
        </w:tc>
        <w:tc>
          <w:tcPr>
            <w:tcW w:w="5287" w:type="dxa"/>
            <w:hideMark/>
          </w:tcPr>
          <w:p w:rsidR="0056373F" w:rsidRDefault="0056373F">
            <w:r>
              <w:t>Structures &amp; Improvements</w:t>
            </w:r>
          </w:p>
        </w:tc>
        <w:tc>
          <w:tcPr>
            <w:tcW w:w="1615" w:type="dxa"/>
            <w:hideMark/>
          </w:tcPr>
          <w:p w:rsidR="0056373F" w:rsidRDefault="0056373F">
            <w:pPr>
              <w:jc w:val="right"/>
            </w:pPr>
            <w:r>
              <w:t>2,869</w:t>
            </w:r>
          </w:p>
        </w:tc>
        <w:tc>
          <w:tcPr>
            <w:tcW w:w="1576" w:type="dxa"/>
            <w:hideMark/>
          </w:tcPr>
          <w:p w:rsidR="0056373F" w:rsidRDefault="0056373F">
            <w:pPr>
              <w:jc w:val="right"/>
            </w:pPr>
            <w:r>
              <w:t>(584)</w:t>
            </w:r>
          </w:p>
        </w:tc>
      </w:tr>
      <w:tr w:rsidR="0056373F" w:rsidTr="0056373F">
        <w:tc>
          <w:tcPr>
            <w:tcW w:w="1098" w:type="dxa"/>
            <w:hideMark/>
          </w:tcPr>
          <w:p w:rsidR="0056373F" w:rsidRDefault="0056373F">
            <w:pPr>
              <w:jc w:val="center"/>
            </w:pPr>
            <w:r>
              <w:t>307</w:t>
            </w:r>
          </w:p>
        </w:tc>
        <w:tc>
          <w:tcPr>
            <w:tcW w:w="5287" w:type="dxa"/>
            <w:hideMark/>
          </w:tcPr>
          <w:p w:rsidR="0056373F" w:rsidRDefault="0056373F">
            <w:r>
              <w:t>Wells &amp; Springs</w:t>
            </w:r>
          </w:p>
        </w:tc>
        <w:tc>
          <w:tcPr>
            <w:tcW w:w="1615" w:type="dxa"/>
            <w:hideMark/>
          </w:tcPr>
          <w:p w:rsidR="0056373F" w:rsidRDefault="0056373F">
            <w:pPr>
              <w:jc w:val="right"/>
            </w:pPr>
            <w:r>
              <w:t>7,763</w:t>
            </w:r>
          </w:p>
        </w:tc>
        <w:tc>
          <w:tcPr>
            <w:tcW w:w="1576" w:type="dxa"/>
            <w:hideMark/>
          </w:tcPr>
          <w:p w:rsidR="0056373F" w:rsidRDefault="0056373F">
            <w:pPr>
              <w:jc w:val="right"/>
            </w:pPr>
            <w:r>
              <w:t>(6,613)</w:t>
            </w:r>
          </w:p>
        </w:tc>
      </w:tr>
      <w:tr w:rsidR="0056373F" w:rsidTr="0056373F">
        <w:tc>
          <w:tcPr>
            <w:tcW w:w="1098" w:type="dxa"/>
            <w:hideMark/>
          </w:tcPr>
          <w:p w:rsidR="0056373F" w:rsidRDefault="0056373F">
            <w:pPr>
              <w:jc w:val="center"/>
            </w:pPr>
            <w:r>
              <w:t>309</w:t>
            </w:r>
          </w:p>
        </w:tc>
        <w:tc>
          <w:tcPr>
            <w:tcW w:w="5287" w:type="dxa"/>
            <w:hideMark/>
          </w:tcPr>
          <w:p w:rsidR="0056373F" w:rsidRDefault="0056373F">
            <w:r>
              <w:t>Supply Mains</w:t>
            </w:r>
          </w:p>
        </w:tc>
        <w:tc>
          <w:tcPr>
            <w:tcW w:w="1615" w:type="dxa"/>
            <w:hideMark/>
          </w:tcPr>
          <w:p w:rsidR="0056373F" w:rsidRDefault="0056373F">
            <w:pPr>
              <w:jc w:val="right"/>
            </w:pPr>
            <w:r>
              <w:t>6,885</w:t>
            </w:r>
          </w:p>
        </w:tc>
        <w:tc>
          <w:tcPr>
            <w:tcW w:w="1576" w:type="dxa"/>
            <w:hideMark/>
          </w:tcPr>
          <w:p w:rsidR="0056373F" w:rsidRDefault="0056373F">
            <w:pPr>
              <w:jc w:val="right"/>
            </w:pPr>
            <w:r>
              <w:t>(2,690)</w:t>
            </w:r>
          </w:p>
        </w:tc>
      </w:tr>
      <w:tr w:rsidR="0056373F" w:rsidTr="0056373F">
        <w:tc>
          <w:tcPr>
            <w:tcW w:w="1098" w:type="dxa"/>
            <w:hideMark/>
          </w:tcPr>
          <w:p w:rsidR="0056373F" w:rsidRDefault="0056373F">
            <w:pPr>
              <w:jc w:val="center"/>
            </w:pPr>
            <w:r>
              <w:t>311</w:t>
            </w:r>
          </w:p>
        </w:tc>
        <w:tc>
          <w:tcPr>
            <w:tcW w:w="5287" w:type="dxa"/>
            <w:hideMark/>
          </w:tcPr>
          <w:p w:rsidR="0056373F" w:rsidRDefault="0056373F">
            <w:r>
              <w:t>Pumping Equipment</w:t>
            </w:r>
          </w:p>
        </w:tc>
        <w:tc>
          <w:tcPr>
            <w:tcW w:w="1615" w:type="dxa"/>
            <w:hideMark/>
          </w:tcPr>
          <w:p w:rsidR="0056373F" w:rsidRDefault="0056373F">
            <w:pPr>
              <w:jc w:val="right"/>
            </w:pPr>
            <w:r>
              <w:t>16,314</w:t>
            </w:r>
          </w:p>
        </w:tc>
        <w:tc>
          <w:tcPr>
            <w:tcW w:w="1576" w:type="dxa"/>
            <w:hideMark/>
          </w:tcPr>
          <w:p w:rsidR="0056373F" w:rsidRDefault="0056373F">
            <w:pPr>
              <w:jc w:val="right"/>
            </w:pPr>
            <w:r>
              <w:t>(16,314)</w:t>
            </w:r>
          </w:p>
        </w:tc>
      </w:tr>
      <w:tr w:rsidR="0056373F" w:rsidTr="0056373F">
        <w:tc>
          <w:tcPr>
            <w:tcW w:w="1098" w:type="dxa"/>
            <w:hideMark/>
          </w:tcPr>
          <w:p w:rsidR="0056373F" w:rsidRDefault="0056373F">
            <w:pPr>
              <w:jc w:val="center"/>
            </w:pPr>
            <w:r>
              <w:t>320</w:t>
            </w:r>
          </w:p>
        </w:tc>
        <w:tc>
          <w:tcPr>
            <w:tcW w:w="5287" w:type="dxa"/>
            <w:hideMark/>
          </w:tcPr>
          <w:p w:rsidR="0056373F" w:rsidRDefault="0056373F">
            <w:r>
              <w:t>Water Treatment Equipment</w:t>
            </w:r>
          </w:p>
        </w:tc>
        <w:tc>
          <w:tcPr>
            <w:tcW w:w="1615" w:type="dxa"/>
            <w:hideMark/>
          </w:tcPr>
          <w:p w:rsidR="0056373F" w:rsidRDefault="0056373F">
            <w:pPr>
              <w:jc w:val="right"/>
            </w:pPr>
            <w:r>
              <w:t>350</w:t>
            </w:r>
          </w:p>
        </w:tc>
        <w:tc>
          <w:tcPr>
            <w:tcW w:w="1576" w:type="dxa"/>
            <w:hideMark/>
          </w:tcPr>
          <w:p w:rsidR="0056373F" w:rsidRDefault="0056373F">
            <w:pPr>
              <w:jc w:val="right"/>
            </w:pPr>
            <w:r>
              <w:t>(350)</w:t>
            </w:r>
          </w:p>
        </w:tc>
      </w:tr>
      <w:tr w:rsidR="0056373F" w:rsidTr="0056373F">
        <w:tc>
          <w:tcPr>
            <w:tcW w:w="1098" w:type="dxa"/>
            <w:hideMark/>
          </w:tcPr>
          <w:p w:rsidR="0056373F" w:rsidRDefault="0056373F">
            <w:pPr>
              <w:jc w:val="center"/>
            </w:pPr>
            <w:r>
              <w:t>330</w:t>
            </w:r>
          </w:p>
        </w:tc>
        <w:tc>
          <w:tcPr>
            <w:tcW w:w="5287" w:type="dxa"/>
            <w:hideMark/>
          </w:tcPr>
          <w:p w:rsidR="0056373F" w:rsidRDefault="0056373F">
            <w:r>
              <w:t>Distribution Reservoirs &amp; Standpipes</w:t>
            </w:r>
          </w:p>
        </w:tc>
        <w:tc>
          <w:tcPr>
            <w:tcW w:w="1615" w:type="dxa"/>
            <w:hideMark/>
          </w:tcPr>
          <w:p w:rsidR="0056373F" w:rsidRDefault="0056373F">
            <w:pPr>
              <w:jc w:val="right"/>
            </w:pPr>
            <w:r>
              <w:t>15,811</w:t>
            </w:r>
          </w:p>
        </w:tc>
        <w:tc>
          <w:tcPr>
            <w:tcW w:w="1576" w:type="dxa"/>
            <w:hideMark/>
          </w:tcPr>
          <w:p w:rsidR="0056373F" w:rsidRDefault="0056373F">
            <w:pPr>
              <w:jc w:val="right"/>
            </w:pPr>
            <w:r>
              <w:t>(11,328)</w:t>
            </w:r>
          </w:p>
        </w:tc>
      </w:tr>
      <w:tr w:rsidR="0056373F" w:rsidTr="0056373F">
        <w:tc>
          <w:tcPr>
            <w:tcW w:w="1098" w:type="dxa"/>
            <w:hideMark/>
          </w:tcPr>
          <w:p w:rsidR="0056373F" w:rsidRDefault="0056373F">
            <w:pPr>
              <w:jc w:val="center"/>
            </w:pPr>
            <w:r>
              <w:t>331</w:t>
            </w:r>
          </w:p>
        </w:tc>
        <w:tc>
          <w:tcPr>
            <w:tcW w:w="5287" w:type="dxa"/>
            <w:hideMark/>
          </w:tcPr>
          <w:p w:rsidR="0056373F" w:rsidRDefault="0056373F">
            <w:r>
              <w:t>Transmission &amp; Distribution Mains</w:t>
            </w:r>
          </w:p>
        </w:tc>
        <w:tc>
          <w:tcPr>
            <w:tcW w:w="1615" w:type="dxa"/>
            <w:hideMark/>
          </w:tcPr>
          <w:p w:rsidR="0056373F" w:rsidRDefault="0056373F">
            <w:pPr>
              <w:jc w:val="right"/>
            </w:pPr>
            <w:r>
              <w:t>22,468</w:t>
            </w:r>
          </w:p>
        </w:tc>
        <w:tc>
          <w:tcPr>
            <w:tcW w:w="1576" w:type="dxa"/>
            <w:hideMark/>
          </w:tcPr>
          <w:p w:rsidR="0056373F" w:rsidRDefault="0056373F">
            <w:pPr>
              <w:jc w:val="right"/>
            </w:pPr>
            <w:r>
              <w:t>(17,904)</w:t>
            </w:r>
          </w:p>
        </w:tc>
      </w:tr>
      <w:tr w:rsidR="0056373F" w:rsidTr="0056373F">
        <w:tc>
          <w:tcPr>
            <w:tcW w:w="1098" w:type="dxa"/>
            <w:hideMark/>
          </w:tcPr>
          <w:p w:rsidR="0056373F" w:rsidRDefault="0056373F">
            <w:pPr>
              <w:jc w:val="center"/>
            </w:pPr>
            <w:r>
              <w:t>333</w:t>
            </w:r>
          </w:p>
        </w:tc>
        <w:tc>
          <w:tcPr>
            <w:tcW w:w="5287" w:type="dxa"/>
            <w:hideMark/>
          </w:tcPr>
          <w:p w:rsidR="0056373F" w:rsidRDefault="0056373F">
            <w:r>
              <w:t>Services</w:t>
            </w:r>
          </w:p>
        </w:tc>
        <w:tc>
          <w:tcPr>
            <w:tcW w:w="1615" w:type="dxa"/>
            <w:hideMark/>
          </w:tcPr>
          <w:p w:rsidR="0056373F" w:rsidRDefault="0056373F">
            <w:pPr>
              <w:jc w:val="right"/>
            </w:pPr>
            <w:r>
              <w:t>5,692</w:t>
            </w:r>
          </w:p>
        </w:tc>
        <w:tc>
          <w:tcPr>
            <w:tcW w:w="1576" w:type="dxa"/>
            <w:hideMark/>
          </w:tcPr>
          <w:p w:rsidR="0056373F" w:rsidRDefault="0056373F">
            <w:pPr>
              <w:jc w:val="right"/>
            </w:pPr>
            <w:r>
              <w:t>(4,871)</w:t>
            </w:r>
          </w:p>
        </w:tc>
      </w:tr>
      <w:tr w:rsidR="0056373F" w:rsidTr="0056373F">
        <w:tc>
          <w:tcPr>
            <w:tcW w:w="1098" w:type="dxa"/>
            <w:hideMark/>
          </w:tcPr>
          <w:p w:rsidR="0056373F" w:rsidRDefault="0056373F">
            <w:pPr>
              <w:jc w:val="center"/>
            </w:pPr>
            <w:r>
              <w:t>334</w:t>
            </w:r>
          </w:p>
        </w:tc>
        <w:tc>
          <w:tcPr>
            <w:tcW w:w="5287" w:type="dxa"/>
            <w:hideMark/>
          </w:tcPr>
          <w:p w:rsidR="0056373F" w:rsidRDefault="0056373F">
            <w:r>
              <w:t>Meters &amp; Meter Installations</w:t>
            </w:r>
          </w:p>
        </w:tc>
        <w:tc>
          <w:tcPr>
            <w:tcW w:w="1615" w:type="dxa"/>
            <w:hideMark/>
          </w:tcPr>
          <w:p w:rsidR="0056373F" w:rsidRDefault="0056373F">
            <w:pPr>
              <w:jc w:val="right"/>
            </w:pPr>
            <w:r>
              <w:t>3,362</w:t>
            </w:r>
          </w:p>
        </w:tc>
        <w:tc>
          <w:tcPr>
            <w:tcW w:w="1576" w:type="dxa"/>
            <w:hideMark/>
          </w:tcPr>
          <w:p w:rsidR="0056373F" w:rsidRDefault="0056373F">
            <w:pPr>
              <w:jc w:val="right"/>
            </w:pPr>
            <w:r>
              <w:t>(3,362)</w:t>
            </w:r>
          </w:p>
        </w:tc>
      </w:tr>
      <w:tr w:rsidR="0056373F" w:rsidTr="0056373F">
        <w:tc>
          <w:tcPr>
            <w:tcW w:w="1098" w:type="dxa"/>
            <w:hideMark/>
          </w:tcPr>
          <w:p w:rsidR="0056373F" w:rsidRDefault="0056373F">
            <w:pPr>
              <w:jc w:val="center"/>
            </w:pPr>
            <w:r>
              <w:t>335</w:t>
            </w:r>
          </w:p>
        </w:tc>
        <w:tc>
          <w:tcPr>
            <w:tcW w:w="5287" w:type="dxa"/>
            <w:hideMark/>
          </w:tcPr>
          <w:p w:rsidR="0056373F" w:rsidRDefault="0056373F">
            <w:r>
              <w:t>Hydrants</w:t>
            </w:r>
          </w:p>
        </w:tc>
        <w:tc>
          <w:tcPr>
            <w:tcW w:w="1615" w:type="dxa"/>
            <w:hideMark/>
          </w:tcPr>
          <w:p w:rsidR="0056373F" w:rsidRDefault="0056373F">
            <w:pPr>
              <w:jc w:val="right"/>
              <w:rPr>
                <w:u w:val="single"/>
              </w:rPr>
            </w:pPr>
            <w:r>
              <w:rPr>
                <w:u w:val="single"/>
              </w:rPr>
              <w:t>4,547</w:t>
            </w:r>
          </w:p>
        </w:tc>
        <w:tc>
          <w:tcPr>
            <w:tcW w:w="1576" w:type="dxa"/>
            <w:hideMark/>
          </w:tcPr>
          <w:p w:rsidR="0056373F" w:rsidRDefault="0056373F">
            <w:pPr>
              <w:jc w:val="right"/>
              <w:rPr>
                <w:u w:val="single"/>
              </w:rPr>
            </w:pPr>
            <w:r>
              <w:rPr>
                <w:u w:val="single"/>
              </w:rPr>
              <w:t>(3,466)</w:t>
            </w:r>
          </w:p>
        </w:tc>
      </w:tr>
      <w:tr w:rsidR="0056373F" w:rsidTr="0056373F">
        <w:tc>
          <w:tcPr>
            <w:tcW w:w="1098" w:type="dxa"/>
          </w:tcPr>
          <w:p w:rsidR="0056373F" w:rsidRDefault="0056373F"/>
        </w:tc>
        <w:tc>
          <w:tcPr>
            <w:tcW w:w="5287" w:type="dxa"/>
            <w:hideMark/>
          </w:tcPr>
          <w:p w:rsidR="0056373F" w:rsidRDefault="0056373F">
            <w:r>
              <w:t>Total</w:t>
            </w:r>
          </w:p>
        </w:tc>
        <w:tc>
          <w:tcPr>
            <w:tcW w:w="1615" w:type="dxa"/>
            <w:hideMark/>
          </w:tcPr>
          <w:p w:rsidR="0056373F" w:rsidRDefault="0056373F">
            <w:pPr>
              <w:jc w:val="right"/>
              <w:rPr>
                <w:u w:val="double"/>
              </w:rPr>
            </w:pPr>
            <w:r>
              <w:rPr>
                <w:u w:val="double"/>
              </w:rPr>
              <w:t>$86,561</w:t>
            </w:r>
          </w:p>
        </w:tc>
        <w:tc>
          <w:tcPr>
            <w:tcW w:w="1576" w:type="dxa"/>
            <w:hideMark/>
          </w:tcPr>
          <w:p w:rsidR="0056373F" w:rsidRDefault="0056373F">
            <w:pPr>
              <w:jc w:val="right"/>
              <w:rPr>
                <w:u w:val="double"/>
              </w:rPr>
            </w:pPr>
            <w:r>
              <w:rPr>
                <w:u w:val="double"/>
              </w:rPr>
              <w:t>($67,863)</w:t>
            </w:r>
          </w:p>
        </w:tc>
      </w:tr>
    </w:tbl>
    <w:p w:rsidR="00E06484" w:rsidRDefault="00E06484" w:rsidP="00C5650A">
      <w:pPr>
        <w:pStyle w:val="BodyText"/>
      </w:pPr>
    </w:p>
    <w:sectPr w:rsidR="00E06484" w:rsidSect="0068481F">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12" w:rsidRDefault="00336412">
      <w:r>
        <w:separator/>
      </w:r>
    </w:p>
  </w:endnote>
  <w:endnote w:type="continuationSeparator" w:id="0">
    <w:p w:rsidR="00336412" w:rsidRDefault="0033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34A9">
      <w:rPr>
        <w:rStyle w:val="PageNumber"/>
        <w:noProof/>
      </w:rPr>
      <w:t>17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12" w:rsidRDefault="00336412">
      <w:r>
        <w:separator/>
      </w:r>
    </w:p>
  </w:footnote>
  <w:footnote w:type="continuationSeparator" w:id="0">
    <w:p w:rsidR="00336412" w:rsidRDefault="00336412">
      <w:r>
        <w:continuationSeparator/>
      </w:r>
    </w:p>
  </w:footnote>
  <w:footnote w:id="1">
    <w:p w:rsidR="00336412" w:rsidRPr="00C35EAA" w:rsidRDefault="00336412" w:rsidP="008B1364">
      <w:pPr>
        <w:pStyle w:val="FootnoteText"/>
        <w:rPr>
          <w:i/>
        </w:rPr>
      </w:pPr>
      <w:r>
        <w:rPr>
          <w:rStyle w:val="FootnoteReference"/>
        </w:rPr>
        <w:footnoteRef/>
      </w:r>
      <w:r w:rsidRPr="0014696A">
        <w:t xml:space="preserve">Water certificate issued pursuant to Order No. 15285, issued October 22, 1985, in Docket No. 850417-WU, </w:t>
      </w:r>
      <w:r w:rsidRPr="00C35EAA">
        <w:rPr>
          <w:i/>
        </w:rPr>
        <w:t xml:space="preserve">In </w:t>
      </w:r>
      <w:r>
        <w:rPr>
          <w:i/>
        </w:rPr>
        <w:t>r</w:t>
      </w:r>
      <w:r w:rsidRPr="00C35EAA">
        <w:rPr>
          <w:i/>
        </w:rPr>
        <w:t>e</w:t>
      </w:r>
      <w:r>
        <w:rPr>
          <w:i/>
        </w:rPr>
        <w:t>:</w:t>
      </w:r>
      <w:r w:rsidRPr="00C35EAA">
        <w:rPr>
          <w:i/>
        </w:rPr>
        <w:t xml:space="preserve"> Application of Earl W. Stockwell for a certificate to provide water service to the Pine Harbour Subdivision in Lake County, Florida pursuant to the provisions of Section 367.041, Florida Statutes.</w:t>
      </w:r>
    </w:p>
  </w:footnote>
  <w:footnote w:id="2">
    <w:p w:rsidR="00336412" w:rsidRDefault="00336412" w:rsidP="008B1364">
      <w:pPr>
        <w:pStyle w:val="FootnoteText"/>
      </w:pPr>
      <w:r>
        <w:rPr>
          <w:rStyle w:val="FootnoteReference"/>
        </w:rPr>
        <w:footnoteRef/>
      </w:r>
      <w:r w:rsidRPr="0014696A">
        <w:t xml:space="preserve">Order No. 24273, issued March 21, 1991, in Docket No. 900525-WU, </w:t>
      </w:r>
      <w:r w:rsidRPr="003178BC">
        <w:rPr>
          <w:i/>
        </w:rPr>
        <w:t>In Re: Application for transfer of Certificate No. 450-W from Mr. Earl W. Stockwell to Pine Harbour Water Utilities, Inc. in Lake County, Florida.</w:t>
      </w:r>
    </w:p>
  </w:footnote>
  <w:footnote w:id="3">
    <w:p w:rsidR="00336412" w:rsidRPr="00481AF0" w:rsidRDefault="00336412" w:rsidP="00FC1BFB">
      <w:pPr>
        <w:pStyle w:val="FootnoteText"/>
        <w:rPr>
          <w:i/>
        </w:rPr>
      </w:pPr>
      <w:r w:rsidRPr="00481AF0">
        <w:rPr>
          <w:rStyle w:val="FootnoteReference"/>
          <w:i/>
        </w:rPr>
        <w:footnoteRef/>
      </w:r>
      <w:r w:rsidRPr="00481AF0">
        <w:rPr>
          <w:i/>
        </w:rPr>
        <w:t xml:space="preserve">Order PSC-08-0645-FOF-WU, issued October 6, 2008, in Docket No. 080269-WU - In re: </w:t>
      </w:r>
      <w:bookmarkStart w:id="13" w:name="SSInRe"/>
      <w:bookmarkEnd w:id="13"/>
      <w:r w:rsidRPr="00481AF0">
        <w:rPr>
          <w:i/>
        </w:rPr>
        <w:t>Application for authority to transfer water Certificate No. 450-W, held by Pine Harbour Water Utilities, from Jim C. Branham to Pine Harbour Water Utilities, LLC, in Lake County.</w:t>
      </w:r>
    </w:p>
  </w:footnote>
  <w:footnote w:id="4">
    <w:p w:rsidR="00336412" w:rsidRPr="00481AF0" w:rsidRDefault="00336412" w:rsidP="00FC1BFB">
      <w:pPr>
        <w:pStyle w:val="FootnoteText"/>
        <w:rPr>
          <w:i/>
        </w:rPr>
      </w:pPr>
      <w:r>
        <w:rPr>
          <w:rStyle w:val="FootnoteReference"/>
        </w:rPr>
        <w:footnoteRef/>
      </w:r>
      <w:r>
        <w:t xml:space="preserve">Order  PSC-10-0328-CO-WU, issued May 21, 2010, in Docket No. 090429-WU - </w:t>
      </w:r>
      <w:r w:rsidRPr="003178BC">
        <w:rPr>
          <w:i/>
        </w:rPr>
        <w:t>In re:</w:t>
      </w:r>
      <w:r w:rsidRPr="00481AF0">
        <w:rPr>
          <w:i/>
        </w:rPr>
        <w:t xml:space="preserve"> Request for approval of imposition of miscellaneous service charges, delinquent payment charge and meter tampering charge in Lake County, by Pine Harbour Water Utilities, LLC.</w:t>
      </w:r>
    </w:p>
  </w:footnote>
  <w:footnote w:id="5">
    <w:p w:rsidR="00336412" w:rsidRDefault="00336412">
      <w:pPr>
        <w:pStyle w:val="FootnoteText"/>
      </w:pPr>
      <w:r>
        <w:rPr>
          <w:rStyle w:val="FootnoteReference"/>
        </w:rPr>
        <w:footnoteRef/>
      </w:r>
      <w:r>
        <w:t>See Document No. 06657-16 filed on August 15, 2016.</w:t>
      </w:r>
    </w:p>
  </w:footnote>
  <w:footnote w:id="6">
    <w:p w:rsidR="00336412" w:rsidRPr="003D67DB" w:rsidRDefault="00336412" w:rsidP="005248CD">
      <w:pPr>
        <w:pStyle w:val="FootnoteText"/>
        <w:rPr>
          <w:i/>
        </w:rPr>
      </w:pPr>
      <w:r>
        <w:rPr>
          <w:rStyle w:val="FootnoteReference"/>
        </w:rPr>
        <w:footnoteRef/>
      </w:r>
      <w:r w:rsidRPr="00207D99">
        <w:t>Order No. PSC-12-0587-PAA-WU</w:t>
      </w:r>
      <w:r>
        <w:t>, is</w:t>
      </w:r>
      <w:r w:rsidRPr="00207D99">
        <w:t xml:space="preserve">sued October 29, 2012, in Docket No. 120148-WU, </w:t>
      </w:r>
      <w:r w:rsidRPr="003D67DB">
        <w:rPr>
          <w:i/>
        </w:rPr>
        <w:t>In re: Application for approval of transfer of Harbor Hills Utility, L.P. water system and Certificate No. 522-W in Lake County to Harbor Waterworks, Inc.</w:t>
      </w:r>
    </w:p>
  </w:footnote>
  <w:footnote w:id="7">
    <w:p w:rsidR="00336412" w:rsidRPr="003D67DB" w:rsidRDefault="00336412" w:rsidP="005248CD">
      <w:pPr>
        <w:pStyle w:val="FootnoteText"/>
        <w:rPr>
          <w:i/>
          <w:highlight w:val="yellow"/>
        </w:rPr>
      </w:pPr>
      <w:r w:rsidRPr="00207D99">
        <w:rPr>
          <w:rStyle w:val="FootnoteReference"/>
        </w:rPr>
        <w:footnoteRef/>
      </w:r>
      <w:r w:rsidRPr="00207D99">
        <w:t xml:space="preserve">Order No. PSC-13-0425-PAA-WS, </w:t>
      </w:r>
      <w:r>
        <w:t>issued September 18, 2013, in Docket No. 120317-WS</w:t>
      </w:r>
      <w:r w:rsidRPr="00207D99">
        <w:t xml:space="preserve">, </w:t>
      </w:r>
      <w:r w:rsidRPr="003D67DB">
        <w:rPr>
          <w:i/>
        </w:rPr>
        <w:t>In re: Application for approval to transfer water and wastewater system Certificate Nos. 567-W and 494-S in Lake County from Shangri-La by the Lake Utilities, Inc. to Lakeside Waterworks, Inc.</w:t>
      </w:r>
    </w:p>
  </w:footnote>
  <w:footnote w:id="8">
    <w:p w:rsidR="00336412" w:rsidRPr="006855BC" w:rsidRDefault="00336412" w:rsidP="005248CD">
      <w:pPr>
        <w:pStyle w:val="FootnoteText"/>
      </w:pPr>
      <w:r>
        <w:rPr>
          <w:rStyle w:val="FootnoteReference"/>
        </w:rPr>
        <w:footnoteRef/>
      </w:r>
      <w:r w:rsidRPr="009C10B0">
        <w:t xml:space="preserve">Order No. PSC-14-0130-PAA-WS, issued March 17, 2014, in Docket No. 130055-WS, </w:t>
      </w:r>
      <w:r w:rsidRPr="003D67DB">
        <w:rPr>
          <w:i/>
        </w:rPr>
        <w:t>In re: Application for approval of transfer of LP Utilities Corporation's water and wastewater systems and Certificate Nos. 620-W and 533-S, to LP Waterworks, Inc., in Highlands County</w:t>
      </w:r>
      <w:r>
        <w:t>.</w:t>
      </w:r>
    </w:p>
  </w:footnote>
  <w:footnote w:id="9">
    <w:p w:rsidR="00336412" w:rsidRPr="006440BD" w:rsidRDefault="00336412" w:rsidP="005248CD">
      <w:pPr>
        <w:pStyle w:val="FootnoteText"/>
      </w:pPr>
      <w:r w:rsidRPr="006440BD">
        <w:rPr>
          <w:rStyle w:val="FootnoteReference"/>
        </w:rPr>
        <w:footnoteRef/>
      </w:r>
      <w:r w:rsidRPr="006440BD">
        <w:t xml:space="preserve">Order No. PSC-14-0692-PAA-WU, issued December 15, 2014, in Docket No. 140121-WU, </w:t>
      </w:r>
      <w:r w:rsidRPr="003D67DB">
        <w:rPr>
          <w:i/>
        </w:rPr>
        <w:t>In re: Application for approval of transfer of Certificate No. 539-W from Raintree Harbor Utilities, LLC to Raintree Waterworks, Inc. in Lake County</w:t>
      </w:r>
      <w:r w:rsidRPr="00FF0D1B">
        <w:t>.</w:t>
      </w:r>
    </w:p>
  </w:footnote>
  <w:footnote w:id="10">
    <w:p w:rsidR="00336412" w:rsidRPr="00FF0D1B" w:rsidRDefault="00336412" w:rsidP="005248CD">
      <w:pPr>
        <w:pStyle w:val="FootnoteText"/>
      </w:pPr>
      <w:r w:rsidRPr="006440BD">
        <w:rPr>
          <w:rStyle w:val="FootnoteReference"/>
        </w:rPr>
        <w:footnoteRef/>
      </w:r>
      <w:r w:rsidRPr="006440BD">
        <w:t xml:space="preserve">Order No. PSC-14-0691-PAA-WU, issued December 15, 2014, in Docket No. 140120-WU, </w:t>
      </w:r>
      <w:r w:rsidRPr="003D67DB">
        <w:rPr>
          <w:i/>
        </w:rPr>
        <w:t>In re: Application for approval of transfer of Certificate No. 339-W from Brendenwood Utilities, LLC. to Brendenwood Waterworks, Inc. in Lake County</w:t>
      </w:r>
      <w:r>
        <w:t>.</w:t>
      </w:r>
    </w:p>
  </w:footnote>
  <w:footnote w:id="11">
    <w:p w:rsidR="00336412" w:rsidRDefault="00336412" w:rsidP="005248CD">
      <w:pPr>
        <w:pStyle w:val="FootnoteText"/>
      </w:pPr>
      <w:r w:rsidRPr="00227A23">
        <w:rPr>
          <w:rStyle w:val="FootnoteReference"/>
        </w:rPr>
        <w:footnoteRef/>
      </w:r>
      <w:r w:rsidRPr="00227A23">
        <w:t xml:space="preserve">Order No. PSC-14-0495-PAA-WU, issued September 17, 2014, in Docket No. 130294-WU, </w:t>
      </w:r>
      <w:r w:rsidRPr="003D67DB">
        <w:rPr>
          <w:i/>
        </w:rPr>
        <w:t>In re: Application for transfer of water systems and Certificate No. 579-W in Highlands County from Holmes Utilities, Inc. to Country Walk Utilities, Inc.</w:t>
      </w:r>
    </w:p>
  </w:footnote>
  <w:footnote w:id="12">
    <w:p w:rsidR="00336412" w:rsidRPr="0003042A" w:rsidRDefault="00336412" w:rsidP="005248CD">
      <w:pPr>
        <w:pStyle w:val="FootnoteText"/>
        <w:rPr>
          <w:i/>
        </w:rPr>
      </w:pPr>
      <w:r>
        <w:rPr>
          <w:rStyle w:val="FootnoteReference"/>
        </w:rPr>
        <w:footnoteRef/>
      </w:r>
      <w:r>
        <w:t xml:space="preserve">Order No. PSC-15-0140-PAA-WU, issued March 23, 2015, in Docket No. 140170-WU, </w:t>
      </w:r>
      <w:r>
        <w:rPr>
          <w:i/>
        </w:rPr>
        <w:t xml:space="preserve">In re: </w:t>
      </w:r>
      <w:r w:rsidRPr="0003042A">
        <w:rPr>
          <w:i/>
        </w:rPr>
        <w:t>Application for approval of transfer of Certificate No. 531-W from W.B.B. Utilities, Inc. to Lake Idlewild Utility Company in Lake County.</w:t>
      </w:r>
    </w:p>
  </w:footnote>
  <w:footnote w:id="13">
    <w:p w:rsidR="00336412" w:rsidRPr="00B67B8C" w:rsidRDefault="00336412" w:rsidP="005248CD">
      <w:pPr>
        <w:pStyle w:val="FootnoteText"/>
        <w:rPr>
          <w:u w:val="single"/>
        </w:rPr>
      </w:pPr>
      <w:r>
        <w:rPr>
          <w:rStyle w:val="FootnoteReference"/>
        </w:rPr>
        <w:footnoteRef/>
      </w:r>
      <w:r>
        <w:t xml:space="preserve">Order No. PSC-16-0169-PAA-WU, issued April 28, 2016, in Docket No. 150166-WU, </w:t>
      </w:r>
      <w:r w:rsidRPr="002E010E">
        <w:rPr>
          <w:i/>
        </w:rPr>
        <w:t>In re: Application for transfer of water system and Certificate No. 654-W in Lake County from Black Bear Reserve Water Corporation to Black Bear Waterworks, Inc.</w:t>
      </w:r>
    </w:p>
  </w:footnote>
  <w:footnote w:id="14">
    <w:p w:rsidR="00336412" w:rsidRPr="003D67DB" w:rsidRDefault="00336412" w:rsidP="005248CD">
      <w:pPr>
        <w:pStyle w:val="FootnoteText"/>
      </w:pPr>
      <w:r w:rsidRPr="00B7118E">
        <w:rPr>
          <w:rStyle w:val="FootnoteReference"/>
        </w:rPr>
        <w:footnoteRef/>
      </w:r>
      <w:r>
        <w:t xml:space="preserve">Order Nos. PSC-14-0300-PAA-WS, issued June 11, 2014, in </w:t>
      </w:r>
      <w:r w:rsidRPr="00207D99">
        <w:t xml:space="preserve">Docket No. </w:t>
      </w:r>
      <w:r>
        <w:t xml:space="preserve">130171-WS, </w:t>
      </w:r>
      <w:r w:rsidRPr="003D67DB">
        <w:rPr>
          <w:i/>
        </w:rPr>
        <w:t>In re: Application for approval of transfer of certain water and wastewater facilities and Certificate Nos. 507-W and 441-S of Aqua Utilities Florida, Inc. to The Woods Utility Company in Sumter County</w:t>
      </w:r>
      <w:r>
        <w:t xml:space="preserve">; PSC-14-0315-PAA-WS, issued June 13, 2014, in Docket No. 130172-WS, </w:t>
      </w:r>
      <w:r w:rsidRPr="003D67DB">
        <w:rPr>
          <w:i/>
        </w:rPr>
        <w:t>In re: Application for approval of transfer of certain water and wastewater facilities and Certificate Nos. 501-W and 435-S of Aqua Utilities Florida, Inc. to Sunny Hills Utility Company in Washington County</w:t>
      </w:r>
      <w:r w:rsidRPr="003D67DB">
        <w:t xml:space="preserve">; PSC-14-0327-PAA-WU, issued June 25, 2014, in Docket No. 130173-WU, </w:t>
      </w:r>
      <w:r w:rsidRPr="003D67DB">
        <w:rPr>
          <w:i/>
        </w:rPr>
        <w:t>In re: Application for approval of transfer of certain water and wastewater facilities and Certificate No. 053-W of Aqua Utilities Florida, Inc.'s to Lake Osborne Waterworks, Inc. in Palm Beach County</w:t>
      </w:r>
      <w:r w:rsidRPr="003D67DB">
        <w:t xml:space="preserve">; PSC-14-0326-PAA-WU, issued June 25, 2014, in Docket No. 130174-WU, </w:t>
      </w:r>
      <w:r w:rsidRPr="003D67DB">
        <w:rPr>
          <w:i/>
        </w:rPr>
        <w:t xml:space="preserve">In re: Application for approval of transfer of </w:t>
      </w:r>
      <w:r>
        <w:rPr>
          <w:i/>
        </w:rPr>
        <w:t xml:space="preserve">certain water facilities and Certificate No. 002-W of </w:t>
      </w:r>
      <w:r w:rsidRPr="003D67DB">
        <w:rPr>
          <w:i/>
        </w:rPr>
        <w:t>Aqua Utilities Florida, Inc.</w:t>
      </w:r>
      <w:r>
        <w:rPr>
          <w:i/>
        </w:rPr>
        <w:t xml:space="preserve"> to Brevard Waterworks, Inc. </w:t>
      </w:r>
      <w:r w:rsidRPr="003D67DB">
        <w:rPr>
          <w:i/>
        </w:rPr>
        <w:t>in Brevard County</w:t>
      </w:r>
      <w:r w:rsidRPr="003D67DB">
        <w:t xml:space="preserve">; PSC-14-0314-PAA-WS, issued June 13, 2014, in Docket No. 130175-WS, </w:t>
      </w:r>
      <w:r w:rsidRPr="003D67DB">
        <w:rPr>
          <w:i/>
        </w:rPr>
        <w:t>In re: Application for approval of transfer of certain water and wastewater facilities and Certificate Nos. 422-W and 359-S of Aqua Utilities Florida, Inc. to HC Waterworks, Inc. in Highlands County</w:t>
      </w:r>
      <w:r w:rsidRPr="003D67DB">
        <w:t xml:space="preserve">; and PSC-14-0299-PAA-WS, issued June 11, 2014, in Docket No. 130176-WS, </w:t>
      </w:r>
      <w:r w:rsidRPr="003D67DB">
        <w:rPr>
          <w:i/>
        </w:rPr>
        <w:t xml:space="preserve">In re: Application for approval of </w:t>
      </w:r>
      <w:r>
        <w:rPr>
          <w:i/>
        </w:rPr>
        <w:t>t</w:t>
      </w:r>
      <w:r w:rsidRPr="003D67DB">
        <w:rPr>
          <w:i/>
        </w:rPr>
        <w:t>ransfer of certain water and wastewater facilities and Certificate Nos. 507-W and 441-S of Aqua Utilities Florida, Inc. to Jumper Creek Utility Company in Sumter County</w:t>
      </w:r>
      <w:r w:rsidRPr="003D67DB">
        <w:t>.</w:t>
      </w:r>
    </w:p>
  </w:footnote>
  <w:footnote w:id="15">
    <w:p w:rsidR="00336412" w:rsidRPr="00E86BB1" w:rsidRDefault="00336412" w:rsidP="005248CD">
      <w:pPr>
        <w:pStyle w:val="FootnoteText"/>
      </w:pPr>
      <w:r>
        <w:rPr>
          <w:rStyle w:val="FootnoteReference"/>
        </w:rPr>
        <w:footnoteRef/>
      </w:r>
      <w:r>
        <w:t xml:space="preserve">Document No. 04826-16 (Confidential), </w:t>
      </w:r>
      <w:r w:rsidRPr="00E86BB1">
        <w:t xml:space="preserve"> in D</w:t>
      </w:r>
      <w:r>
        <w:t>ocket No. 160169</w:t>
      </w:r>
      <w:r w:rsidRPr="00E86BB1">
        <w:t>-WU.</w:t>
      </w:r>
    </w:p>
  </w:footnote>
  <w:footnote w:id="16">
    <w:p w:rsidR="00336412" w:rsidRDefault="00336412" w:rsidP="007B373C">
      <w:pPr>
        <w:pStyle w:val="FootnoteText"/>
      </w:pPr>
      <w:r>
        <w:rPr>
          <w:rStyle w:val="FootnoteReference"/>
        </w:rPr>
        <w:footnoteRef/>
      </w:r>
      <w:r>
        <w:t>Order No</w:t>
      </w:r>
      <w:r w:rsidRPr="005E4A15">
        <w:t xml:space="preserve">. </w:t>
      </w:r>
      <w:r>
        <w:t>16936</w:t>
      </w:r>
      <w:r w:rsidRPr="005E4A15">
        <w:t xml:space="preserve">, issued </w:t>
      </w:r>
      <w:r>
        <w:t>December 6, 1986</w:t>
      </w:r>
      <w:r w:rsidRPr="005E4A15">
        <w:t xml:space="preserve">, in Docket No. </w:t>
      </w:r>
      <w:r>
        <w:t xml:space="preserve">850417-WU </w:t>
      </w:r>
      <w:r w:rsidRPr="005E4A15">
        <w:t xml:space="preserve"> </w:t>
      </w:r>
      <w:r w:rsidRPr="005E4A15">
        <w:rPr>
          <w:i/>
        </w:rPr>
        <w:t xml:space="preserve">In re: </w:t>
      </w:r>
      <w:r>
        <w:rPr>
          <w:i/>
        </w:rPr>
        <w:t>Application of Earl W. Stockwell for a certificate to provide water service to the Pine Harbour Subdivision in Lake County, Florida, pursuant to the provisions of Section 367.041, Florida Statues</w:t>
      </w:r>
    </w:p>
  </w:footnote>
  <w:footnote w:id="17">
    <w:p w:rsidR="00336412" w:rsidRDefault="00336412" w:rsidP="00B10C4A">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 w:id="18">
    <w:p w:rsidR="00336412" w:rsidRDefault="00336412" w:rsidP="00544C2C">
      <w:pPr>
        <w:pStyle w:val="FootnoteText"/>
      </w:pPr>
      <w:r>
        <w:rPr>
          <w:rStyle w:val="FootnoteReference"/>
        </w:rPr>
        <w:footnoteRef/>
      </w:r>
      <w:r>
        <w:t xml:space="preserve">Order Nos. PSC-15-0188-TRF-WU, issued May 6, 2015, in Docket No. 150065-WU, </w:t>
      </w:r>
      <w:r>
        <w:rPr>
          <w:i/>
        </w:rPr>
        <w:t>In re: Request for approval of amendment to tariff for miscellaneous service charges in Brevard County, by Brevard Waterworks, Inc.</w:t>
      </w:r>
      <w:r>
        <w:t xml:space="preserve">; PSC-15-0180-TRF-WS, issued May 6, 2015, in Docket No. 150063-WS, </w:t>
      </w:r>
      <w:r>
        <w:rPr>
          <w:i/>
        </w:rPr>
        <w:t>In re:  Request for approval of amendment to tariff for miscellaneous service charges in Highlands County by LP Waterworks, Inc.</w:t>
      </w:r>
      <w:r>
        <w:t xml:space="preserve">; PSC-15-0184-TRF-WS, issued May 6, 2015, in Docket No. 150061-WS, </w:t>
      </w:r>
      <w:r>
        <w:rPr>
          <w:i/>
        </w:rPr>
        <w:t>In re: Request for approval of amendment to tariff  for miscellaneous service charges in Lake County by Lakeside Waterworks, Inc.</w:t>
      </w:r>
    </w:p>
  </w:footnote>
  <w:footnote w:id="19">
    <w:p w:rsidR="00336412" w:rsidRDefault="00336412" w:rsidP="00CC584A">
      <w:pPr>
        <w:pStyle w:val="FootnoteText"/>
      </w:pPr>
      <w:r>
        <w:rPr>
          <w:rStyle w:val="FootnoteReference"/>
        </w:rPr>
        <w:footnoteRef/>
      </w:r>
      <w:r>
        <w:t xml:space="preserve">Order Nos. PSC-14-0198-TRF-SU, issued May 2, 2014, in Docket No. 140030-SU, </w:t>
      </w:r>
      <w:r>
        <w:rPr>
          <w:i/>
        </w:rPr>
        <w:t>In re: Request for approval to amend Miscellaneous Service charges to include all NSF charges by Environmental Protection Systems of Pine Island, Inc.;</w:t>
      </w:r>
      <w:r>
        <w:t xml:space="preserve"> and PSC-13-0646-PAA-WU, issued December 5, 2013, in Docket No. 130025-WU, </w:t>
      </w:r>
      <w:r>
        <w:rPr>
          <w:i/>
        </w:rPr>
        <w:t>In re: Application for increase in water rates in Highlands County by Placid Lakes Utilities, Inc.</w:t>
      </w:r>
    </w:p>
  </w:footnote>
  <w:footnote w:id="20">
    <w:p w:rsidR="00336412" w:rsidRDefault="00336412" w:rsidP="00847265">
      <w:pPr>
        <w:pStyle w:val="FootnoteText"/>
      </w:pPr>
      <w:r>
        <w:rPr>
          <w:rStyle w:val="FootnoteReference"/>
        </w:rPr>
        <w:footnoteRef/>
      </w:r>
      <w:r>
        <w:rPr>
          <w:rFonts w:cs="Calibri"/>
        </w:rPr>
        <w:t xml:space="preserve">Order No. 24273, issued March 21, 1991, in Docket No. 900525-WU, </w:t>
      </w:r>
      <w:r>
        <w:rPr>
          <w:rFonts w:cs="Calibri"/>
          <w:i/>
        </w:rPr>
        <w:t xml:space="preserve">In re: </w:t>
      </w:r>
      <w:r>
        <w:rPr>
          <w:bCs/>
          <w:i/>
        </w:rPr>
        <w:t>Application for a transfer of Certificate No. 450-W from Earl W. Stockwell (Pine Harbour) to Pine Harbour Water Utilities in Lake County</w:t>
      </w:r>
      <w:r>
        <w:rPr>
          <w:rFonts w:cs="Calibr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160169-WU</w:t>
    </w:r>
    <w:bookmarkEnd w:id="15"/>
  </w:p>
  <w:p w:rsidR="00336412" w:rsidRDefault="00336412">
    <w:pPr>
      <w:pStyle w:val="Header"/>
    </w:pPr>
    <w:r>
      <w:t xml:space="preserve">Date: </w:t>
    </w:r>
    <w:fldSimple w:instr=" REF FilingDate ">
      <w:r w:rsidR="00DD480F">
        <w:t>December 21, 2016</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Attachment A</w:t>
    </w:r>
  </w:p>
  <w:p w:rsidR="00336412" w:rsidRDefault="00336412" w:rsidP="00711A15">
    <w:pPr>
      <w:pStyle w:val="Header"/>
      <w:tabs>
        <w:tab w:val="clear" w:pos="8640"/>
        <w:tab w:val="left" w:pos="8205"/>
        <w:tab w:val="right" w:pos="9360"/>
      </w:tabs>
    </w:pPr>
    <w:r>
      <w:t xml:space="preserve">Date: </w:t>
    </w:r>
    <w:fldSimple w:instr=" REF FilingDate ">
      <w:r w:rsidR="00DD480F">
        <w:t>December 21, 2016</w:t>
      </w:r>
    </w:fldSimple>
    <w:r>
      <w:tab/>
      <w:t xml:space="preserve">                                                                                                Page 2 of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Attachment B</w:t>
    </w:r>
  </w:p>
  <w:p w:rsidR="00336412" w:rsidRDefault="00336412" w:rsidP="00711A15">
    <w:pPr>
      <w:pStyle w:val="Header"/>
      <w:tabs>
        <w:tab w:val="clear" w:pos="8640"/>
        <w:tab w:val="left" w:pos="8205"/>
        <w:tab w:val="right" w:pos="9360"/>
      </w:tabs>
    </w:pPr>
    <w:r>
      <w:t xml:space="preserve">Date: </w:t>
    </w:r>
    <w:fldSimple w:instr=" REF FilingDate ">
      <w:r w:rsidR="00DD480F">
        <w:t>December 21, 2016</w:t>
      </w:r>
    </w:fldSimple>
    <w:r>
      <w:tab/>
      <w:t xml:space="preserve">                                                                                                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716959">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Schedule 1</w:t>
    </w:r>
  </w:p>
  <w:p w:rsidR="00336412" w:rsidRDefault="00336412" w:rsidP="00940C87">
    <w:pPr>
      <w:pStyle w:val="Header"/>
      <w:tabs>
        <w:tab w:val="clear" w:pos="4320"/>
        <w:tab w:val="clear" w:pos="8640"/>
        <w:tab w:val="left" w:pos="7875"/>
        <w:tab w:val="right" w:pos="9360"/>
      </w:tabs>
    </w:pPr>
    <w:r>
      <w:t xml:space="preserve">Date: </w:t>
    </w:r>
    <w:fldSimple w:instr=" REF FilingDate ">
      <w:r w:rsidR="00DD480F">
        <w:t>December 21, 2016</w:t>
      </w:r>
    </w:fldSimple>
    <w:r>
      <w:tab/>
      <w:t xml:space="preserve">      Page 1 of 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716959">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Schedule 1</w:t>
    </w:r>
  </w:p>
  <w:p w:rsidR="00336412" w:rsidRDefault="00336412" w:rsidP="00940C87">
    <w:pPr>
      <w:pStyle w:val="Header"/>
      <w:tabs>
        <w:tab w:val="clear" w:pos="4320"/>
        <w:tab w:val="clear" w:pos="8640"/>
        <w:tab w:val="left" w:pos="7875"/>
        <w:tab w:val="right" w:pos="9360"/>
      </w:tabs>
    </w:pPr>
    <w:r>
      <w:t xml:space="preserve">Date: </w:t>
    </w:r>
    <w:fldSimple w:instr=" REF FilingDate ">
      <w:r w:rsidR="00DD480F">
        <w:t>December 21, 2016</w:t>
      </w:r>
    </w:fldSimple>
    <w:r>
      <w:tab/>
      <w:t xml:space="preserve">      Page 2 of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C5650A">
    <w:pPr>
      <w:pStyle w:val="Header"/>
      <w:tabs>
        <w:tab w:val="clear" w:pos="4320"/>
        <w:tab w:val="clear" w:pos="8640"/>
        <w:tab w:val="right" w:pos="9360"/>
      </w:tabs>
    </w:pPr>
    <w:r>
      <w:t>Docket No. 160169-WU</w:t>
    </w:r>
    <w:r>
      <w:tab/>
      <w:t>Schedule 1</w:t>
    </w:r>
  </w:p>
  <w:p w:rsidR="00336412" w:rsidRDefault="00336412" w:rsidP="00C5650A">
    <w:pPr>
      <w:pStyle w:val="Header"/>
      <w:tabs>
        <w:tab w:val="clear" w:pos="4320"/>
        <w:tab w:val="clear" w:pos="8640"/>
        <w:tab w:val="left" w:pos="7875"/>
        <w:tab w:val="right" w:pos="9360"/>
      </w:tabs>
    </w:pPr>
    <w:r>
      <w:t xml:space="preserve">Date: </w:t>
    </w:r>
    <w:fldSimple w:instr=" REF FilingDate ">
      <w:r w:rsidR="00DD480F">
        <w:t>December 21, 2016</w:t>
      </w:r>
    </w:fldSimple>
    <w:r>
      <w:tab/>
      <w:t xml:space="preserve">      Page 3 of 3</w:t>
    </w:r>
  </w:p>
  <w:p w:rsidR="00336412" w:rsidRPr="005B4DDD" w:rsidRDefault="00336412" w:rsidP="00C5650A">
    <w:pPr>
      <w:pStyle w:val="Header"/>
      <w:tabs>
        <w:tab w:val="clear" w:pos="4320"/>
        <w:tab w:val="clear" w:pos="8640"/>
        <w:tab w:val="left" w:pos="84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Issue 1</w:t>
    </w:r>
  </w:p>
  <w:p w:rsidR="00336412" w:rsidRDefault="00336412">
    <w:pPr>
      <w:pStyle w:val="Header"/>
    </w:pPr>
    <w:r>
      <w:t xml:space="preserve">Date: </w:t>
    </w:r>
    <w:fldSimple w:instr=" REF FilingDate ">
      <w:r w:rsidR="00DD480F">
        <w:t>December 21,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Issue 2</w:t>
    </w:r>
  </w:p>
  <w:p w:rsidR="00336412" w:rsidRDefault="00336412">
    <w:pPr>
      <w:pStyle w:val="Header"/>
    </w:pPr>
    <w:r>
      <w:t xml:space="preserve">Date: </w:t>
    </w:r>
    <w:fldSimple w:instr=" REF FilingDate ">
      <w:r w:rsidR="00DD480F">
        <w:t>December 21,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Issue 3</w:t>
    </w:r>
  </w:p>
  <w:p w:rsidR="00336412" w:rsidRDefault="00336412">
    <w:pPr>
      <w:pStyle w:val="Header"/>
    </w:pPr>
    <w:r>
      <w:t xml:space="preserve">Date: </w:t>
    </w:r>
    <w:fldSimple w:instr=" REF FilingDate ">
      <w:r w:rsidR="00DD480F">
        <w:t>December 21, 2016</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Issue 4</w:t>
    </w:r>
  </w:p>
  <w:p w:rsidR="00336412" w:rsidRDefault="00336412">
    <w:pPr>
      <w:pStyle w:val="Header"/>
    </w:pPr>
    <w:r>
      <w:t xml:space="preserve">Date: </w:t>
    </w:r>
    <w:fldSimple w:instr=" REF FilingDate ">
      <w:r w:rsidR="00DD480F">
        <w:t>December 21, 2016</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Issue 5</w:t>
    </w:r>
  </w:p>
  <w:p w:rsidR="00336412" w:rsidRDefault="00336412">
    <w:pPr>
      <w:pStyle w:val="Header"/>
    </w:pPr>
    <w:r>
      <w:t xml:space="preserve">Date: </w:t>
    </w:r>
    <w:fldSimple w:instr=" REF FilingDate ">
      <w:r w:rsidR="00DD480F">
        <w:t>December 21, 2016</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Issue 6</w:t>
    </w:r>
  </w:p>
  <w:p w:rsidR="00336412" w:rsidRDefault="00336412">
    <w:pPr>
      <w:pStyle w:val="Header"/>
    </w:pPr>
    <w:r>
      <w:t xml:space="preserve">Date: </w:t>
    </w:r>
    <w:fldSimple w:instr=" REF FilingDate ">
      <w:r w:rsidR="00DD480F">
        <w:t>December 21, 2016</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12" w:rsidRDefault="00336412" w:rsidP="00220732">
    <w:pPr>
      <w:pStyle w:val="Header"/>
      <w:tabs>
        <w:tab w:val="clear" w:pos="4320"/>
        <w:tab w:val="clear" w:pos="8640"/>
        <w:tab w:val="right" w:pos="9360"/>
      </w:tabs>
    </w:pPr>
    <w:r>
      <w:fldChar w:fldCharType="begin"/>
    </w:r>
    <w:r>
      <w:instrText xml:space="preserve"> REF DocketLabel</w:instrText>
    </w:r>
    <w:r>
      <w:fldChar w:fldCharType="separate"/>
    </w:r>
    <w:r w:rsidR="00DD480F">
      <w:t>Docket No.</w:t>
    </w:r>
    <w:r>
      <w:fldChar w:fldCharType="end"/>
    </w:r>
    <w:r>
      <w:t xml:space="preserve"> </w:t>
    </w:r>
    <w:r>
      <w:fldChar w:fldCharType="begin"/>
    </w:r>
    <w:r>
      <w:instrText xml:space="preserve"> REF DocketList</w:instrText>
    </w:r>
    <w:r>
      <w:fldChar w:fldCharType="separate"/>
    </w:r>
    <w:r w:rsidR="00DD480F">
      <w:t>160169-WU</w:t>
    </w:r>
    <w:r>
      <w:fldChar w:fldCharType="end"/>
    </w:r>
    <w:r>
      <w:tab/>
      <w:t>Attachment A</w:t>
    </w:r>
  </w:p>
  <w:p w:rsidR="00336412" w:rsidRDefault="00336412" w:rsidP="00711A15">
    <w:pPr>
      <w:pStyle w:val="Header"/>
      <w:tabs>
        <w:tab w:val="clear" w:pos="8640"/>
        <w:tab w:val="left" w:pos="8205"/>
        <w:tab w:val="right" w:pos="9360"/>
      </w:tabs>
    </w:pPr>
    <w:r>
      <w:t xml:space="preserve">Date: </w:t>
    </w:r>
    <w:fldSimple w:instr=" REF FilingDate ">
      <w:r w:rsidR="00DD480F">
        <w:t>December 21, 2016</w:t>
      </w:r>
    </w:fldSimple>
    <w:r>
      <w:tab/>
      <w:t xml:space="preserve">                                                                                                Page 1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16959"/>
    <w:rsid w:val="000073EF"/>
    <w:rsid w:val="00010E37"/>
    <w:rsid w:val="0001641B"/>
    <w:rsid w:val="000212D5"/>
    <w:rsid w:val="000247C5"/>
    <w:rsid w:val="000277C2"/>
    <w:rsid w:val="00035B48"/>
    <w:rsid w:val="00036CE2"/>
    <w:rsid w:val="000437FE"/>
    <w:rsid w:val="000513BE"/>
    <w:rsid w:val="00055C51"/>
    <w:rsid w:val="00061570"/>
    <w:rsid w:val="00063536"/>
    <w:rsid w:val="00065A06"/>
    <w:rsid w:val="000666F3"/>
    <w:rsid w:val="00070DCB"/>
    <w:rsid w:val="00073120"/>
    <w:rsid w:val="00075010"/>
    <w:rsid w:val="000764D0"/>
    <w:rsid w:val="000828D3"/>
    <w:rsid w:val="00091466"/>
    <w:rsid w:val="0009177D"/>
    <w:rsid w:val="00097B93"/>
    <w:rsid w:val="000A2B57"/>
    <w:rsid w:val="000A418B"/>
    <w:rsid w:val="000A53DB"/>
    <w:rsid w:val="000B538B"/>
    <w:rsid w:val="000C4431"/>
    <w:rsid w:val="000C711F"/>
    <w:rsid w:val="000D0B98"/>
    <w:rsid w:val="000D4319"/>
    <w:rsid w:val="000F2DDF"/>
    <w:rsid w:val="000F374A"/>
    <w:rsid w:val="000F5D56"/>
    <w:rsid w:val="0010752C"/>
    <w:rsid w:val="0011254B"/>
    <w:rsid w:val="001141BF"/>
    <w:rsid w:val="00117B76"/>
    <w:rsid w:val="00117C8C"/>
    <w:rsid w:val="00124E2E"/>
    <w:rsid w:val="00125ED4"/>
    <w:rsid w:val="001305E9"/>
    <w:rsid w:val="001307AF"/>
    <w:rsid w:val="00135687"/>
    <w:rsid w:val="00140A63"/>
    <w:rsid w:val="0014696A"/>
    <w:rsid w:val="0015506E"/>
    <w:rsid w:val="00163031"/>
    <w:rsid w:val="00171A90"/>
    <w:rsid w:val="001725DA"/>
    <w:rsid w:val="00177B37"/>
    <w:rsid w:val="00180254"/>
    <w:rsid w:val="00190D7A"/>
    <w:rsid w:val="00191E1F"/>
    <w:rsid w:val="00192943"/>
    <w:rsid w:val="00197C15"/>
    <w:rsid w:val="001A7406"/>
    <w:rsid w:val="001B38C2"/>
    <w:rsid w:val="001B4FEE"/>
    <w:rsid w:val="001B51C5"/>
    <w:rsid w:val="001B6F3F"/>
    <w:rsid w:val="001C254C"/>
    <w:rsid w:val="001C52B5"/>
    <w:rsid w:val="001D0D3E"/>
    <w:rsid w:val="001F2245"/>
    <w:rsid w:val="001F6DA1"/>
    <w:rsid w:val="002044E6"/>
    <w:rsid w:val="00205C82"/>
    <w:rsid w:val="00205DC2"/>
    <w:rsid w:val="00212B17"/>
    <w:rsid w:val="002163B6"/>
    <w:rsid w:val="00217B78"/>
    <w:rsid w:val="00220732"/>
    <w:rsid w:val="0022109C"/>
    <w:rsid w:val="00221D32"/>
    <w:rsid w:val="00225C3F"/>
    <w:rsid w:val="00245756"/>
    <w:rsid w:val="00254246"/>
    <w:rsid w:val="00254CB5"/>
    <w:rsid w:val="00263D44"/>
    <w:rsid w:val="00266D11"/>
    <w:rsid w:val="002702AD"/>
    <w:rsid w:val="00292D82"/>
    <w:rsid w:val="002963CB"/>
    <w:rsid w:val="002A08AB"/>
    <w:rsid w:val="002C1B90"/>
    <w:rsid w:val="002C427B"/>
    <w:rsid w:val="002C443F"/>
    <w:rsid w:val="002D03A1"/>
    <w:rsid w:val="002D226D"/>
    <w:rsid w:val="002E1612"/>
    <w:rsid w:val="002F5411"/>
    <w:rsid w:val="002F6030"/>
    <w:rsid w:val="003037E1"/>
    <w:rsid w:val="00307E51"/>
    <w:rsid w:val="003103EC"/>
    <w:rsid w:val="003144EF"/>
    <w:rsid w:val="00315AA6"/>
    <w:rsid w:val="003178BC"/>
    <w:rsid w:val="00322F74"/>
    <w:rsid w:val="00326261"/>
    <w:rsid w:val="003322BA"/>
    <w:rsid w:val="00333F8A"/>
    <w:rsid w:val="00336412"/>
    <w:rsid w:val="0033692D"/>
    <w:rsid w:val="00340073"/>
    <w:rsid w:val="0035113D"/>
    <w:rsid w:val="003664B8"/>
    <w:rsid w:val="00372784"/>
    <w:rsid w:val="00372805"/>
    <w:rsid w:val="00373180"/>
    <w:rsid w:val="003750F6"/>
    <w:rsid w:val="00375AB9"/>
    <w:rsid w:val="00380252"/>
    <w:rsid w:val="003821A0"/>
    <w:rsid w:val="00385B04"/>
    <w:rsid w:val="003864CF"/>
    <w:rsid w:val="00386F7E"/>
    <w:rsid w:val="003960BC"/>
    <w:rsid w:val="003A0880"/>
    <w:rsid w:val="003A22A6"/>
    <w:rsid w:val="003A4987"/>
    <w:rsid w:val="003A4996"/>
    <w:rsid w:val="003A5494"/>
    <w:rsid w:val="003B0078"/>
    <w:rsid w:val="003B2510"/>
    <w:rsid w:val="003B35A6"/>
    <w:rsid w:val="003C2CC4"/>
    <w:rsid w:val="003D45F1"/>
    <w:rsid w:val="003D78F2"/>
    <w:rsid w:val="003E0EFC"/>
    <w:rsid w:val="003E4A2B"/>
    <w:rsid w:val="003E76C2"/>
    <w:rsid w:val="003F1679"/>
    <w:rsid w:val="003F4A35"/>
    <w:rsid w:val="003F5561"/>
    <w:rsid w:val="003F7FDD"/>
    <w:rsid w:val="00402481"/>
    <w:rsid w:val="004042B4"/>
    <w:rsid w:val="00412DAE"/>
    <w:rsid w:val="0041756E"/>
    <w:rsid w:val="00417AC3"/>
    <w:rsid w:val="00431598"/>
    <w:rsid w:val="00440C14"/>
    <w:rsid w:val="004426B8"/>
    <w:rsid w:val="004442ED"/>
    <w:rsid w:val="00444432"/>
    <w:rsid w:val="004445CC"/>
    <w:rsid w:val="004508C3"/>
    <w:rsid w:val="00454A4D"/>
    <w:rsid w:val="00462C69"/>
    <w:rsid w:val="00471860"/>
    <w:rsid w:val="00481AF0"/>
    <w:rsid w:val="004A1D2F"/>
    <w:rsid w:val="004B60BD"/>
    <w:rsid w:val="004C3150"/>
    <w:rsid w:val="004C3641"/>
    <w:rsid w:val="004C4390"/>
    <w:rsid w:val="004C484E"/>
    <w:rsid w:val="004C4AF7"/>
    <w:rsid w:val="004C4D79"/>
    <w:rsid w:val="004D2881"/>
    <w:rsid w:val="004D385F"/>
    <w:rsid w:val="004D5B39"/>
    <w:rsid w:val="004D628E"/>
    <w:rsid w:val="004E330D"/>
    <w:rsid w:val="004E5147"/>
    <w:rsid w:val="00502C49"/>
    <w:rsid w:val="0050652D"/>
    <w:rsid w:val="00506C03"/>
    <w:rsid w:val="005072E5"/>
    <w:rsid w:val="00516496"/>
    <w:rsid w:val="005248CD"/>
    <w:rsid w:val="0052572A"/>
    <w:rsid w:val="0052714F"/>
    <w:rsid w:val="005333EF"/>
    <w:rsid w:val="00534EF8"/>
    <w:rsid w:val="00535DA5"/>
    <w:rsid w:val="00543CB3"/>
    <w:rsid w:val="00544C2C"/>
    <w:rsid w:val="00560FF0"/>
    <w:rsid w:val="005614BD"/>
    <w:rsid w:val="0056373F"/>
    <w:rsid w:val="0057154F"/>
    <w:rsid w:val="00581CA3"/>
    <w:rsid w:val="00587A44"/>
    <w:rsid w:val="00597730"/>
    <w:rsid w:val="005977EC"/>
    <w:rsid w:val="00597DE7"/>
    <w:rsid w:val="005A4AA2"/>
    <w:rsid w:val="005B34B6"/>
    <w:rsid w:val="005B4DDD"/>
    <w:rsid w:val="005B6C8F"/>
    <w:rsid w:val="005D0F74"/>
    <w:rsid w:val="005D2E7D"/>
    <w:rsid w:val="005D4A8F"/>
    <w:rsid w:val="005D52E0"/>
    <w:rsid w:val="005D561B"/>
    <w:rsid w:val="005F468D"/>
    <w:rsid w:val="005F69A3"/>
    <w:rsid w:val="00605B05"/>
    <w:rsid w:val="00605D04"/>
    <w:rsid w:val="00615423"/>
    <w:rsid w:val="006165B2"/>
    <w:rsid w:val="00617276"/>
    <w:rsid w:val="00617FAD"/>
    <w:rsid w:val="006228F1"/>
    <w:rsid w:val="00625D97"/>
    <w:rsid w:val="00625F1C"/>
    <w:rsid w:val="00630CEB"/>
    <w:rsid w:val="00632264"/>
    <w:rsid w:val="00640369"/>
    <w:rsid w:val="006470BC"/>
    <w:rsid w:val="006472DF"/>
    <w:rsid w:val="00662E3E"/>
    <w:rsid w:val="00667036"/>
    <w:rsid w:val="00673BDB"/>
    <w:rsid w:val="006771B8"/>
    <w:rsid w:val="0068063A"/>
    <w:rsid w:val="00681318"/>
    <w:rsid w:val="006843B6"/>
    <w:rsid w:val="0068481F"/>
    <w:rsid w:val="00696F5D"/>
    <w:rsid w:val="00697249"/>
    <w:rsid w:val="006A1616"/>
    <w:rsid w:val="006A23E1"/>
    <w:rsid w:val="006B3947"/>
    <w:rsid w:val="006B4293"/>
    <w:rsid w:val="006B624F"/>
    <w:rsid w:val="006C0D25"/>
    <w:rsid w:val="006C2465"/>
    <w:rsid w:val="006C31E3"/>
    <w:rsid w:val="006D0943"/>
    <w:rsid w:val="006D18D3"/>
    <w:rsid w:val="006D6719"/>
    <w:rsid w:val="006D6BDD"/>
    <w:rsid w:val="006E08CB"/>
    <w:rsid w:val="006E598D"/>
    <w:rsid w:val="006E62B3"/>
    <w:rsid w:val="006E7B66"/>
    <w:rsid w:val="006F29A1"/>
    <w:rsid w:val="006F3F2C"/>
    <w:rsid w:val="0070437D"/>
    <w:rsid w:val="00705B04"/>
    <w:rsid w:val="00711A15"/>
    <w:rsid w:val="007142F4"/>
    <w:rsid w:val="00716959"/>
    <w:rsid w:val="007170CA"/>
    <w:rsid w:val="007277AF"/>
    <w:rsid w:val="007277F6"/>
    <w:rsid w:val="00734820"/>
    <w:rsid w:val="007349DC"/>
    <w:rsid w:val="0074365E"/>
    <w:rsid w:val="00746327"/>
    <w:rsid w:val="007515FD"/>
    <w:rsid w:val="00760D80"/>
    <w:rsid w:val="007633C6"/>
    <w:rsid w:val="00772DFD"/>
    <w:rsid w:val="00780C09"/>
    <w:rsid w:val="00780DDF"/>
    <w:rsid w:val="007834E9"/>
    <w:rsid w:val="00787DBC"/>
    <w:rsid w:val="00792100"/>
    <w:rsid w:val="00792935"/>
    <w:rsid w:val="007A04A1"/>
    <w:rsid w:val="007A1840"/>
    <w:rsid w:val="007A1BF7"/>
    <w:rsid w:val="007A7DCF"/>
    <w:rsid w:val="007B13D6"/>
    <w:rsid w:val="007B373C"/>
    <w:rsid w:val="007B3C15"/>
    <w:rsid w:val="007C0528"/>
    <w:rsid w:val="007C1415"/>
    <w:rsid w:val="007C3D38"/>
    <w:rsid w:val="007D0F35"/>
    <w:rsid w:val="007D4B8B"/>
    <w:rsid w:val="007D4FEB"/>
    <w:rsid w:val="007D6146"/>
    <w:rsid w:val="007E0CE7"/>
    <w:rsid w:val="007E5540"/>
    <w:rsid w:val="007E792A"/>
    <w:rsid w:val="007F1193"/>
    <w:rsid w:val="007F417F"/>
    <w:rsid w:val="008042BD"/>
    <w:rsid w:val="008051F5"/>
    <w:rsid w:val="00816233"/>
    <w:rsid w:val="00816624"/>
    <w:rsid w:val="00822427"/>
    <w:rsid w:val="00822562"/>
    <w:rsid w:val="008230D2"/>
    <w:rsid w:val="00823663"/>
    <w:rsid w:val="00832DDC"/>
    <w:rsid w:val="0083559C"/>
    <w:rsid w:val="00847265"/>
    <w:rsid w:val="00850748"/>
    <w:rsid w:val="00850BAC"/>
    <w:rsid w:val="00854A3E"/>
    <w:rsid w:val="00855D08"/>
    <w:rsid w:val="00861749"/>
    <w:rsid w:val="008649FF"/>
    <w:rsid w:val="00874344"/>
    <w:rsid w:val="00875CB4"/>
    <w:rsid w:val="00882155"/>
    <w:rsid w:val="0088233B"/>
    <w:rsid w:val="00885879"/>
    <w:rsid w:val="0088599E"/>
    <w:rsid w:val="00886C37"/>
    <w:rsid w:val="00892D99"/>
    <w:rsid w:val="008A6889"/>
    <w:rsid w:val="008B1364"/>
    <w:rsid w:val="008B2E84"/>
    <w:rsid w:val="008B34A9"/>
    <w:rsid w:val="008B4215"/>
    <w:rsid w:val="008B62AE"/>
    <w:rsid w:val="008B656E"/>
    <w:rsid w:val="008C04B5"/>
    <w:rsid w:val="008C14FA"/>
    <w:rsid w:val="008C21EB"/>
    <w:rsid w:val="008D4057"/>
    <w:rsid w:val="008E1F19"/>
    <w:rsid w:val="008E4D58"/>
    <w:rsid w:val="008F2262"/>
    <w:rsid w:val="008F7736"/>
    <w:rsid w:val="0090019E"/>
    <w:rsid w:val="00901086"/>
    <w:rsid w:val="00901C8A"/>
    <w:rsid w:val="00905886"/>
    <w:rsid w:val="009070D6"/>
    <w:rsid w:val="009076C6"/>
    <w:rsid w:val="0091019E"/>
    <w:rsid w:val="009106F1"/>
    <w:rsid w:val="00911049"/>
    <w:rsid w:val="00912483"/>
    <w:rsid w:val="009145D6"/>
    <w:rsid w:val="00920E64"/>
    <w:rsid w:val="00922002"/>
    <w:rsid w:val="00924020"/>
    <w:rsid w:val="00924203"/>
    <w:rsid w:val="009271A7"/>
    <w:rsid w:val="0093656C"/>
    <w:rsid w:val="0093658B"/>
    <w:rsid w:val="00940C87"/>
    <w:rsid w:val="00941688"/>
    <w:rsid w:val="009429FF"/>
    <w:rsid w:val="00945BD6"/>
    <w:rsid w:val="009479FB"/>
    <w:rsid w:val="009502C5"/>
    <w:rsid w:val="00951C45"/>
    <w:rsid w:val="0095323C"/>
    <w:rsid w:val="009605B6"/>
    <w:rsid w:val="00961986"/>
    <w:rsid w:val="0096401C"/>
    <w:rsid w:val="009656F2"/>
    <w:rsid w:val="00966A08"/>
    <w:rsid w:val="00971207"/>
    <w:rsid w:val="0097400D"/>
    <w:rsid w:val="00975CB4"/>
    <w:rsid w:val="00980334"/>
    <w:rsid w:val="00981944"/>
    <w:rsid w:val="00981C4B"/>
    <w:rsid w:val="009863B0"/>
    <w:rsid w:val="00987DE1"/>
    <w:rsid w:val="00990571"/>
    <w:rsid w:val="009915BC"/>
    <w:rsid w:val="0099673A"/>
    <w:rsid w:val="00996F1A"/>
    <w:rsid w:val="009A3330"/>
    <w:rsid w:val="009A543E"/>
    <w:rsid w:val="009A7C96"/>
    <w:rsid w:val="009B074C"/>
    <w:rsid w:val="009B6AD6"/>
    <w:rsid w:val="009C1D7A"/>
    <w:rsid w:val="009C2BB0"/>
    <w:rsid w:val="009C3DB9"/>
    <w:rsid w:val="009C7FD2"/>
    <w:rsid w:val="009D0751"/>
    <w:rsid w:val="009D0E0F"/>
    <w:rsid w:val="009D2515"/>
    <w:rsid w:val="009D46E5"/>
    <w:rsid w:val="009D568A"/>
    <w:rsid w:val="009F04EC"/>
    <w:rsid w:val="009F1B30"/>
    <w:rsid w:val="009F3B36"/>
    <w:rsid w:val="00A019B9"/>
    <w:rsid w:val="00A0570B"/>
    <w:rsid w:val="00A12508"/>
    <w:rsid w:val="00A1282B"/>
    <w:rsid w:val="00A13A27"/>
    <w:rsid w:val="00A175B6"/>
    <w:rsid w:val="00A21835"/>
    <w:rsid w:val="00A26A5B"/>
    <w:rsid w:val="00A27D6E"/>
    <w:rsid w:val="00A328EC"/>
    <w:rsid w:val="00A33A51"/>
    <w:rsid w:val="00A3601C"/>
    <w:rsid w:val="00A41CA6"/>
    <w:rsid w:val="00A4561D"/>
    <w:rsid w:val="00A476E7"/>
    <w:rsid w:val="00A47927"/>
    <w:rsid w:val="00A47FFC"/>
    <w:rsid w:val="00A53030"/>
    <w:rsid w:val="00A5442F"/>
    <w:rsid w:val="00A54FF9"/>
    <w:rsid w:val="00A56765"/>
    <w:rsid w:val="00A675AC"/>
    <w:rsid w:val="00A7581F"/>
    <w:rsid w:val="00A91E16"/>
    <w:rsid w:val="00A92FB1"/>
    <w:rsid w:val="00A95A0C"/>
    <w:rsid w:val="00AA2765"/>
    <w:rsid w:val="00AA77B5"/>
    <w:rsid w:val="00AB0643"/>
    <w:rsid w:val="00AB37B4"/>
    <w:rsid w:val="00AB6C5D"/>
    <w:rsid w:val="00AC51A7"/>
    <w:rsid w:val="00AD444B"/>
    <w:rsid w:val="00AD6C78"/>
    <w:rsid w:val="00AE2EAB"/>
    <w:rsid w:val="00AF0116"/>
    <w:rsid w:val="00AF5F89"/>
    <w:rsid w:val="00AF693D"/>
    <w:rsid w:val="00AF73CB"/>
    <w:rsid w:val="00B002D6"/>
    <w:rsid w:val="00B0065D"/>
    <w:rsid w:val="00B05B51"/>
    <w:rsid w:val="00B10C4A"/>
    <w:rsid w:val="00B14E5A"/>
    <w:rsid w:val="00B15370"/>
    <w:rsid w:val="00B17BEB"/>
    <w:rsid w:val="00B21A3C"/>
    <w:rsid w:val="00B223C0"/>
    <w:rsid w:val="00B2304B"/>
    <w:rsid w:val="00B234ED"/>
    <w:rsid w:val="00B241AF"/>
    <w:rsid w:val="00B249B2"/>
    <w:rsid w:val="00B25CA3"/>
    <w:rsid w:val="00B272A3"/>
    <w:rsid w:val="00B349EB"/>
    <w:rsid w:val="00B40E6D"/>
    <w:rsid w:val="00B53415"/>
    <w:rsid w:val="00B57A6A"/>
    <w:rsid w:val="00B720F4"/>
    <w:rsid w:val="00B7263D"/>
    <w:rsid w:val="00B760F1"/>
    <w:rsid w:val="00B7669E"/>
    <w:rsid w:val="00B76769"/>
    <w:rsid w:val="00B77DA1"/>
    <w:rsid w:val="00B8132C"/>
    <w:rsid w:val="00BA0D55"/>
    <w:rsid w:val="00BA37B3"/>
    <w:rsid w:val="00BA4CC6"/>
    <w:rsid w:val="00BB3493"/>
    <w:rsid w:val="00BB38AE"/>
    <w:rsid w:val="00BB41B3"/>
    <w:rsid w:val="00BB7468"/>
    <w:rsid w:val="00BC0C90"/>
    <w:rsid w:val="00BC188A"/>
    <w:rsid w:val="00BE3C20"/>
    <w:rsid w:val="00BF5010"/>
    <w:rsid w:val="00C022C6"/>
    <w:rsid w:val="00C03C19"/>
    <w:rsid w:val="00C13791"/>
    <w:rsid w:val="00C15315"/>
    <w:rsid w:val="00C173D3"/>
    <w:rsid w:val="00C22939"/>
    <w:rsid w:val="00C31BB3"/>
    <w:rsid w:val="00C33F0A"/>
    <w:rsid w:val="00C34955"/>
    <w:rsid w:val="00C35EAA"/>
    <w:rsid w:val="00C36977"/>
    <w:rsid w:val="00C40E7C"/>
    <w:rsid w:val="00C4724F"/>
    <w:rsid w:val="00C477D9"/>
    <w:rsid w:val="00C5650A"/>
    <w:rsid w:val="00C56D22"/>
    <w:rsid w:val="00C60BA3"/>
    <w:rsid w:val="00C622B0"/>
    <w:rsid w:val="00C623F7"/>
    <w:rsid w:val="00C67590"/>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C584A"/>
    <w:rsid w:val="00CD6BFB"/>
    <w:rsid w:val="00CD7CF3"/>
    <w:rsid w:val="00CE2BF8"/>
    <w:rsid w:val="00CE484E"/>
    <w:rsid w:val="00CF0DA8"/>
    <w:rsid w:val="00CF2E25"/>
    <w:rsid w:val="00CF4453"/>
    <w:rsid w:val="00CF5D94"/>
    <w:rsid w:val="00CF7F66"/>
    <w:rsid w:val="00D034D7"/>
    <w:rsid w:val="00D04BE4"/>
    <w:rsid w:val="00D04DE3"/>
    <w:rsid w:val="00D12565"/>
    <w:rsid w:val="00D14127"/>
    <w:rsid w:val="00D42724"/>
    <w:rsid w:val="00D44307"/>
    <w:rsid w:val="00D60F02"/>
    <w:rsid w:val="00D66E49"/>
    <w:rsid w:val="00D72F74"/>
    <w:rsid w:val="00D751DF"/>
    <w:rsid w:val="00D81563"/>
    <w:rsid w:val="00D85907"/>
    <w:rsid w:val="00D90578"/>
    <w:rsid w:val="00D9073E"/>
    <w:rsid w:val="00D9221D"/>
    <w:rsid w:val="00D9553E"/>
    <w:rsid w:val="00D958DF"/>
    <w:rsid w:val="00D95E87"/>
    <w:rsid w:val="00D96DA1"/>
    <w:rsid w:val="00D9771A"/>
    <w:rsid w:val="00DA51E7"/>
    <w:rsid w:val="00DB1C78"/>
    <w:rsid w:val="00DB7D96"/>
    <w:rsid w:val="00DC063B"/>
    <w:rsid w:val="00DC23FE"/>
    <w:rsid w:val="00DC59E6"/>
    <w:rsid w:val="00DD150B"/>
    <w:rsid w:val="00DD480F"/>
    <w:rsid w:val="00DD5025"/>
    <w:rsid w:val="00DE0803"/>
    <w:rsid w:val="00DE6584"/>
    <w:rsid w:val="00DE65A3"/>
    <w:rsid w:val="00DF1510"/>
    <w:rsid w:val="00DF3C00"/>
    <w:rsid w:val="00DF71C2"/>
    <w:rsid w:val="00E06484"/>
    <w:rsid w:val="00E06B9F"/>
    <w:rsid w:val="00E107F1"/>
    <w:rsid w:val="00E12C7D"/>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97620"/>
    <w:rsid w:val="00EA2273"/>
    <w:rsid w:val="00EB2DB3"/>
    <w:rsid w:val="00EB3643"/>
    <w:rsid w:val="00EC3FBB"/>
    <w:rsid w:val="00EC696F"/>
    <w:rsid w:val="00EC6B7A"/>
    <w:rsid w:val="00ED3A87"/>
    <w:rsid w:val="00ED5B67"/>
    <w:rsid w:val="00EE0BE8"/>
    <w:rsid w:val="00EE3107"/>
    <w:rsid w:val="00EE5E91"/>
    <w:rsid w:val="00EF264C"/>
    <w:rsid w:val="00EF2C62"/>
    <w:rsid w:val="00EF3FEE"/>
    <w:rsid w:val="00F04B59"/>
    <w:rsid w:val="00F11741"/>
    <w:rsid w:val="00F117A7"/>
    <w:rsid w:val="00F12B1C"/>
    <w:rsid w:val="00F13CF8"/>
    <w:rsid w:val="00F15855"/>
    <w:rsid w:val="00F23DEA"/>
    <w:rsid w:val="00F300A8"/>
    <w:rsid w:val="00F32978"/>
    <w:rsid w:val="00F3318F"/>
    <w:rsid w:val="00F42B9D"/>
    <w:rsid w:val="00F45CB2"/>
    <w:rsid w:val="00F544C0"/>
    <w:rsid w:val="00F55332"/>
    <w:rsid w:val="00F63AB6"/>
    <w:rsid w:val="00F65519"/>
    <w:rsid w:val="00F65AD3"/>
    <w:rsid w:val="00F713C0"/>
    <w:rsid w:val="00F74B84"/>
    <w:rsid w:val="00F75DDC"/>
    <w:rsid w:val="00F768D7"/>
    <w:rsid w:val="00F7792F"/>
    <w:rsid w:val="00F842AA"/>
    <w:rsid w:val="00F8476F"/>
    <w:rsid w:val="00F853E1"/>
    <w:rsid w:val="00F94B7A"/>
    <w:rsid w:val="00F974C6"/>
    <w:rsid w:val="00FA17AC"/>
    <w:rsid w:val="00FA32DE"/>
    <w:rsid w:val="00FA3382"/>
    <w:rsid w:val="00FA59CD"/>
    <w:rsid w:val="00FB1740"/>
    <w:rsid w:val="00FB2AC8"/>
    <w:rsid w:val="00FC1BFB"/>
    <w:rsid w:val="00FC1F58"/>
    <w:rsid w:val="00FC5469"/>
    <w:rsid w:val="00FC6D7D"/>
    <w:rsid w:val="00FD16B0"/>
    <w:rsid w:val="00FD4FED"/>
    <w:rsid w:val="00FE0577"/>
    <w:rsid w:val="00FE2CC3"/>
    <w:rsid w:val="00FE2D93"/>
    <w:rsid w:val="00FE59EC"/>
    <w:rsid w:val="00FF1E01"/>
    <w:rsid w:val="00FF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02C49"/>
  </w:style>
  <w:style w:type="character" w:styleId="FootnoteReference">
    <w:name w:val="footnote reference"/>
    <w:basedOn w:val="DefaultParagraphFont"/>
    <w:unhideWhenUsed/>
    <w:rsid w:val="00502C49"/>
    <w:rPr>
      <w:vertAlign w:val="superscript"/>
    </w:rPr>
  </w:style>
  <w:style w:type="character" w:customStyle="1" w:styleId="BodyTextChar2">
    <w:name w:val="Body Text Char2"/>
    <w:uiPriority w:val="99"/>
    <w:rsid w:val="00847265"/>
    <w:rPr>
      <w:sz w:val="24"/>
      <w:szCs w:val="24"/>
    </w:rPr>
  </w:style>
  <w:style w:type="character" w:customStyle="1" w:styleId="BodyTextChar1">
    <w:name w:val="Body Text Char1"/>
    <w:locked/>
    <w:rsid w:val="00847265"/>
    <w:rPr>
      <w:rFonts w:ascii="Times New Roman" w:hAnsi="Times New Roman" w:cs="Times New Roman" w:hint="default"/>
      <w:sz w:val="24"/>
      <w:szCs w:val="24"/>
      <w:lang w:val="en-US" w:eastAsia="en-US" w:bidi="ar-SA"/>
    </w:rPr>
  </w:style>
  <w:style w:type="paragraph" w:styleId="ListParagraph">
    <w:name w:val="List Paragraph"/>
    <w:basedOn w:val="Normal"/>
    <w:uiPriority w:val="34"/>
    <w:qFormat/>
    <w:rsid w:val="00140A63"/>
    <w:pPr>
      <w:spacing w:after="200" w:line="276" w:lineRule="auto"/>
      <w:ind w:left="720"/>
      <w:contextualSpacing/>
    </w:pPr>
    <w:rPr>
      <w:rFonts w:asciiTheme="minorHAnsi" w:eastAsiaTheme="minorHAnsi" w:hAnsiTheme="minorHAnsi" w:cstheme="minorBidi"/>
      <w:sz w:val="22"/>
      <w:szCs w:val="22"/>
    </w:rPr>
  </w:style>
  <w:style w:type="character" w:customStyle="1" w:styleId="CharChar">
    <w:name w:val="Char Char"/>
    <w:locked/>
    <w:rsid w:val="005248C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02C49"/>
  </w:style>
  <w:style w:type="character" w:styleId="FootnoteReference">
    <w:name w:val="footnote reference"/>
    <w:basedOn w:val="DefaultParagraphFont"/>
    <w:unhideWhenUsed/>
    <w:rsid w:val="00502C49"/>
    <w:rPr>
      <w:vertAlign w:val="superscript"/>
    </w:rPr>
  </w:style>
  <w:style w:type="character" w:customStyle="1" w:styleId="BodyTextChar2">
    <w:name w:val="Body Text Char2"/>
    <w:uiPriority w:val="99"/>
    <w:rsid w:val="00847265"/>
    <w:rPr>
      <w:sz w:val="24"/>
      <w:szCs w:val="24"/>
    </w:rPr>
  </w:style>
  <w:style w:type="character" w:customStyle="1" w:styleId="BodyTextChar1">
    <w:name w:val="Body Text Char1"/>
    <w:locked/>
    <w:rsid w:val="00847265"/>
    <w:rPr>
      <w:rFonts w:ascii="Times New Roman" w:hAnsi="Times New Roman" w:cs="Times New Roman" w:hint="default"/>
      <w:sz w:val="24"/>
      <w:szCs w:val="24"/>
      <w:lang w:val="en-US" w:eastAsia="en-US" w:bidi="ar-SA"/>
    </w:rPr>
  </w:style>
  <w:style w:type="paragraph" w:styleId="ListParagraph">
    <w:name w:val="List Paragraph"/>
    <w:basedOn w:val="Normal"/>
    <w:uiPriority w:val="34"/>
    <w:qFormat/>
    <w:rsid w:val="00140A63"/>
    <w:pPr>
      <w:spacing w:after="200" w:line="276" w:lineRule="auto"/>
      <w:ind w:left="720"/>
      <w:contextualSpacing/>
    </w:pPr>
    <w:rPr>
      <w:rFonts w:asciiTheme="minorHAnsi" w:eastAsiaTheme="minorHAnsi" w:hAnsiTheme="minorHAnsi" w:cstheme="minorBidi"/>
      <w:sz w:val="22"/>
      <w:szCs w:val="22"/>
    </w:rPr>
  </w:style>
  <w:style w:type="character" w:customStyle="1" w:styleId="CharChar">
    <w:name w:val="Char Char"/>
    <w:locked/>
    <w:rsid w:val="005248C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338">
      <w:bodyDiv w:val="1"/>
      <w:marLeft w:val="0"/>
      <w:marRight w:val="0"/>
      <w:marTop w:val="0"/>
      <w:marBottom w:val="0"/>
      <w:divBdr>
        <w:top w:val="none" w:sz="0" w:space="0" w:color="auto"/>
        <w:left w:val="none" w:sz="0" w:space="0" w:color="auto"/>
        <w:bottom w:val="none" w:sz="0" w:space="0" w:color="auto"/>
        <w:right w:val="none" w:sz="0" w:space="0" w:color="auto"/>
      </w:divBdr>
    </w:div>
    <w:div w:id="115956549">
      <w:bodyDiv w:val="1"/>
      <w:marLeft w:val="0"/>
      <w:marRight w:val="0"/>
      <w:marTop w:val="0"/>
      <w:marBottom w:val="0"/>
      <w:divBdr>
        <w:top w:val="none" w:sz="0" w:space="0" w:color="auto"/>
        <w:left w:val="none" w:sz="0" w:space="0" w:color="auto"/>
        <w:bottom w:val="none" w:sz="0" w:space="0" w:color="auto"/>
        <w:right w:val="none" w:sz="0" w:space="0" w:color="auto"/>
      </w:divBdr>
    </w:div>
    <w:div w:id="550658503">
      <w:bodyDiv w:val="1"/>
      <w:marLeft w:val="0"/>
      <w:marRight w:val="0"/>
      <w:marTop w:val="0"/>
      <w:marBottom w:val="0"/>
      <w:divBdr>
        <w:top w:val="none" w:sz="0" w:space="0" w:color="auto"/>
        <w:left w:val="none" w:sz="0" w:space="0" w:color="auto"/>
        <w:bottom w:val="none" w:sz="0" w:space="0" w:color="auto"/>
        <w:right w:val="none" w:sz="0" w:space="0" w:color="auto"/>
      </w:divBdr>
    </w:div>
    <w:div w:id="557864074">
      <w:bodyDiv w:val="1"/>
      <w:marLeft w:val="0"/>
      <w:marRight w:val="0"/>
      <w:marTop w:val="0"/>
      <w:marBottom w:val="0"/>
      <w:divBdr>
        <w:top w:val="none" w:sz="0" w:space="0" w:color="auto"/>
        <w:left w:val="none" w:sz="0" w:space="0" w:color="auto"/>
        <w:bottom w:val="none" w:sz="0" w:space="0" w:color="auto"/>
        <w:right w:val="none" w:sz="0" w:space="0" w:color="auto"/>
      </w:divBdr>
    </w:div>
    <w:div w:id="563879410">
      <w:bodyDiv w:val="1"/>
      <w:marLeft w:val="0"/>
      <w:marRight w:val="0"/>
      <w:marTop w:val="0"/>
      <w:marBottom w:val="0"/>
      <w:divBdr>
        <w:top w:val="none" w:sz="0" w:space="0" w:color="auto"/>
        <w:left w:val="none" w:sz="0" w:space="0" w:color="auto"/>
        <w:bottom w:val="none" w:sz="0" w:space="0" w:color="auto"/>
        <w:right w:val="none" w:sz="0" w:space="0" w:color="auto"/>
      </w:divBdr>
    </w:div>
    <w:div w:id="568157489">
      <w:bodyDiv w:val="1"/>
      <w:marLeft w:val="0"/>
      <w:marRight w:val="0"/>
      <w:marTop w:val="0"/>
      <w:marBottom w:val="0"/>
      <w:divBdr>
        <w:top w:val="none" w:sz="0" w:space="0" w:color="auto"/>
        <w:left w:val="none" w:sz="0" w:space="0" w:color="auto"/>
        <w:bottom w:val="none" w:sz="0" w:space="0" w:color="auto"/>
        <w:right w:val="none" w:sz="0" w:space="0" w:color="auto"/>
      </w:divBdr>
    </w:div>
    <w:div w:id="591355756">
      <w:bodyDiv w:val="1"/>
      <w:marLeft w:val="0"/>
      <w:marRight w:val="0"/>
      <w:marTop w:val="0"/>
      <w:marBottom w:val="0"/>
      <w:divBdr>
        <w:top w:val="none" w:sz="0" w:space="0" w:color="auto"/>
        <w:left w:val="none" w:sz="0" w:space="0" w:color="auto"/>
        <w:bottom w:val="none" w:sz="0" w:space="0" w:color="auto"/>
        <w:right w:val="none" w:sz="0" w:space="0" w:color="auto"/>
      </w:divBdr>
    </w:div>
    <w:div w:id="719400992">
      <w:bodyDiv w:val="1"/>
      <w:marLeft w:val="0"/>
      <w:marRight w:val="0"/>
      <w:marTop w:val="0"/>
      <w:marBottom w:val="0"/>
      <w:divBdr>
        <w:top w:val="none" w:sz="0" w:space="0" w:color="auto"/>
        <w:left w:val="none" w:sz="0" w:space="0" w:color="auto"/>
        <w:bottom w:val="none" w:sz="0" w:space="0" w:color="auto"/>
        <w:right w:val="none" w:sz="0" w:space="0" w:color="auto"/>
      </w:divBdr>
    </w:div>
    <w:div w:id="1026637956">
      <w:bodyDiv w:val="1"/>
      <w:marLeft w:val="0"/>
      <w:marRight w:val="0"/>
      <w:marTop w:val="0"/>
      <w:marBottom w:val="0"/>
      <w:divBdr>
        <w:top w:val="none" w:sz="0" w:space="0" w:color="auto"/>
        <w:left w:val="none" w:sz="0" w:space="0" w:color="auto"/>
        <w:bottom w:val="none" w:sz="0" w:space="0" w:color="auto"/>
        <w:right w:val="none" w:sz="0" w:space="0" w:color="auto"/>
      </w:divBdr>
    </w:div>
    <w:div w:id="1332491953">
      <w:bodyDiv w:val="1"/>
      <w:marLeft w:val="0"/>
      <w:marRight w:val="0"/>
      <w:marTop w:val="0"/>
      <w:marBottom w:val="0"/>
      <w:divBdr>
        <w:top w:val="none" w:sz="0" w:space="0" w:color="auto"/>
        <w:left w:val="none" w:sz="0" w:space="0" w:color="auto"/>
        <w:bottom w:val="none" w:sz="0" w:space="0" w:color="auto"/>
        <w:right w:val="none" w:sz="0" w:space="0" w:color="auto"/>
      </w:divBdr>
    </w:div>
    <w:div w:id="1514950514">
      <w:bodyDiv w:val="1"/>
      <w:marLeft w:val="0"/>
      <w:marRight w:val="0"/>
      <w:marTop w:val="0"/>
      <w:marBottom w:val="0"/>
      <w:divBdr>
        <w:top w:val="none" w:sz="0" w:space="0" w:color="auto"/>
        <w:left w:val="none" w:sz="0" w:space="0" w:color="auto"/>
        <w:bottom w:val="none" w:sz="0" w:space="0" w:color="auto"/>
        <w:right w:val="none" w:sz="0" w:space="0" w:color="auto"/>
      </w:divBdr>
    </w:div>
    <w:div w:id="1595244291">
      <w:bodyDiv w:val="1"/>
      <w:marLeft w:val="0"/>
      <w:marRight w:val="0"/>
      <w:marTop w:val="0"/>
      <w:marBottom w:val="0"/>
      <w:divBdr>
        <w:top w:val="none" w:sz="0" w:space="0" w:color="auto"/>
        <w:left w:val="none" w:sz="0" w:space="0" w:color="auto"/>
        <w:bottom w:val="none" w:sz="0" w:space="0" w:color="auto"/>
        <w:right w:val="none" w:sz="0" w:space="0" w:color="auto"/>
      </w:divBdr>
    </w:div>
    <w:div w:id="1761565111">
      <w:bodyDiv w:val="1"/>
      <w:marLeft w:val="0"/>
      <w:marRight w:val="0"/>
      <w:marTop w:val="0"/>
      <w:marBottom w:val="0"/>
      <w:divBdr>
        <w:top w:val="none" w:sz="0" w:space="0" w:color="auto"/>
        <w:left w:val="none" w:sz="0" w:space="0" w:color="auto"/>
        <w:bottom w:val="none" w:sz="0" w:space="0" w:color="auto"/>
        <w:right w:val="none" w:sz="0" w:space="0" w:color="auto"/>
      </w:divBdr>
    </w:div>
    <w:div w:id="1800149945">
      <w:bodyDiv w:val="1"/>
      <w:marLeft w:val="0"/>
      <w:marRight w:val="0"/>
      <w:marTop w:val="0"/>
      <w:marBottom w:val="0"/>
      <w:divBdr>
        <w:top w:val="none" w:sz="0" w:space="0" w:color="auto"/>
        <w:left w:val="none" w:sz="0" w:space="0" w:color="auto"/>
        <w:bottom w:val="none" w:sz="0" w:space="0" w:color="auto"/>
        <w:right w:val="none" w:sz="0" w:space="0" w:color="auto"/>
      </w:divBdr>
    </w:div>
    <w:div w:id="1884058190">
      <w:bodyDiv w:val="1"/>
      <w:marLeft w:val="0"/>
      <w:marRight w:val="0"/>
      <w:marTop w:val="0"/>
      <w:marBottom w:val="0"/>
      <w:divBdr>
        <w:top w:val="none" w:sz="0" w:space="0" w:color="auto"/>
        <w:left w:val="none" w:sz="0" w:space="0" w:color="auto"/>
        <w:bottom w:val="none" w:sz="0" w:space="0" w:color="auto"/>
        <w:right w:val="none" w:sz="0" w:space="0" w:color="auto"/>
      </w:divBdr>
    </w:div>
    <w:div w:id="1963414142">
      <w:bodyDiv w:val="1"/>
      <w:marLeft w:val="0"/>
      <w:marRight w:val="0"/>
      <w:marTop w:val="0"/>
      <w:marBottom w:val="0"/>
      <w:divBdr>
        <w:top w:val="none" w:sz="0" w:space="0" w:color="auto"/>
        <w:left w:val="none" w:sz="0" w:space="0" w:color="auto"/>
        <w:bottom w:val="none" w:sz="0" w:space="0" w:color="auto"/>
        <w:right w:val="none" w:sz="0" w:space="0" w:color="auto"/>
      </w:divBdr>
    </w:div>
    <w:div w:id="2077894293">
      <w:bodyDiv w:val="1"/>
      <w:marLeft w:val="0"/>
      <w:marRight w:val="0"/>
      <w:marTop w:val="0"/>
      <w:marBottom w:val="0"/>
      <w:divBdr>
        <w:top w:val="none" w:sz="0" w:space="0" w:color="auto"/>
        <w:left w:val="none" w:sz="0" w:space="0" w:color="auto"/>
        <w:bottom w:val="none" w:sz="0" w:space="0" w:color="auto"/>
        <w:right w:val="none" w:sz="0" w:space="0" w:color="auto"/>
      </w:divBdr>
    </w:div>
    <w:div w:id="2096050723">
      <w:bodyDiv w:val="1"/>
      <w:marLeft w:val="0"/>
      <w:marRight w:val="0"/>
      <w:marTop w:val="0"/>
      <w:marBottom w:val="0"/>
      <w:divBdr>
        <w:top w:val="none" w:sz="0" w:space="0" w:color="auto"/>
        <w:left w:val="none" w:sz="0" w:space="0" w:color="auto"/>
        <w:bottom w:val="none" w:sz="0" w:space="0" w:color="auto"/>
        <w:right w:val="none" w:sz="0" w:space="0" w:color="auto"/>
      </w:divBdr>
    </w:div>
    <w:div w:id="2101442055">
      <w:bodyDiv w:val="1"/>
      <w:marLeft w:val="0"/>
      <w:marRight w:val="0"/>
      <w:marTop w:val="0"/>
      <w:marBottom w:val="0"/>
      <w:divBdr>
        <w:top w:val="none" w:sz="0" w:space="0" w:color="auto"/>
        <w:left w:val="none" w:sz="0" w:space="0" w:color="auto"/>
        <w:bottom w:val="none" w:sz="0" w:space="0" w:color="auto"/>
        <w:right w:val="none" w:sz="0" w:space="0" w:color="auto"/>
      </w:divBdr>
    </w:div>
    <w:div w:id="21214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0155-B5F9-47C1-8D58-001809D7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4064</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2016-12-21T15:14:00Z</cp:lastPrinted>
  <dcterms:created xsi:type="dcterms:W3CDTF">2016-12-21T15:16:00Z</dcterms:created>
  <dcterms:modified xsi:type="dcterms:W3CDTF">2016-12-21T15:16:00Z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160169-WU</vt:lpwstr>
  </property>
  <property fmtid="{D5CDD505-2E9C-101B-9397-08002B2CF9AE}" pid="3" name="MasterDocument">
    <vt:bool>false</vt:bool>
  </property>
</Properties>
</file>