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763CD" w:rsidP="003763CD">
      <w:pPr>
        <w:pStyle w:val="OrderHeading"/>
      </w:pPr>
      <w:r>
        <w:t>BEFORE THE FLORIDA PUBLIC SERVICE COMMISSION</w:t>
      </w:r>
    </w:p>
    <w:p w:rsidR="003763CD" w:rsidRDefault="003763CD" w:rsidP="003763CD">
      <w:pPr>
        <w:pStyle w:val="OrderHeading"/>
      </w:pPr>
    </w:p>
    <w:p w:rsidR="003763CD" w:rsidRDefault="003763CD" w:rsidP="003763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63CD" w:rsidRPr="00C63FCF" w:rsidTr="00C63FCF">
        <w:trPr>
          <w:trHeight w:val="828"/>
        </w:trPr>
        <w:tc>
          <w:tcPr>
            <w:tcW w:w="4788" w:type="dxa"/>
            <w:tcBorders>
              <w:bottom w:val="single" w:sz="8" w:space="0" w:color="auto"/>
              <w:right w:val="double" w:sz="6" w:space="0" w:color="auto"/>
            </w:tcBorders>
            <w:shd w:val="clear" w:color="auto" w:fill="auto"/>
          </w:tcPr>
          <w:p w:rsidR="003763CD" w:rsidRDefault="003763CD"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3763CD" w:rsidRDefault="003763CD" w:rsidP="003763CD">
            <w:pPr>
              <w:pStyle w:val="OrderBody"/>
            </w:pPr>
            <w:r>
              <w:t xml:space="preserve">DOCKET NO. </w:t>
            </w:r>
            <w:bookmarkStart w:id="1" w:name="SSDocketNo"/>
            <w:bookmarkEnd w:id="1"/>
            <w:r>
              <w:t>160101-WS</w:t>
            </w:r>
          </w:p>
          <w:p w:rsidR="003763CD" w:rsidRDefault="003763CD" w:rsidP="00C63FCF">
            <w:pPr>
              <w:pStyle w:val="OrderBody"/>
              <w:tabs>
                <w:tab w:val="center" w:pos="4320"/>
                <w:tab w:val="right" w:pos="8640"/>
              </w:tabs>
              <w:jc w:val="left"/>
            </w:pPr>
            <w:r>
              <w:t xml:space="preserve">ORDER NO. </w:t>
            </w:r>
            <w:bookmarkStart w:id="2" w:name="OrderNo0032"/>
            <w:r w:rsidR="00762843">
              <w:t>PSC-17-0032-PCO-WS</w:t>
            </w:r>
            <w:bookmarkEnd w:id="2"/>
          </w:p>
          <w:p w:rsidR="003763CD" w:rsidRDefault="003763CD" w:rsidP="00C63FCF">
            <w:pPr>
              <w:pStyle w:val="OrderBody"/>
              <w:tabs>
                <w:tab w:val="center" w:pos="4320"/>
                <w:tab w:val="right" w:pos="8640"/>
              </w:tabs>
              <w:jc w:val="left"/>
            </w:pPr>
            <w:r>
              <w:t xml:space="preserve">ISSUED: </w:t>
            </w:r>
            <w:r w:rsidR="00762843">
              <w:t>January 24, 2017</w:t>
            </w:r>
          </w:p>
        </w:tc>
      </w:tr>
    </w:tbl>
    <w:p w:rsidR="003763CD" w:rsidRDefault="003763CD" w:rsidP="003763CD"/>
    <w:p w:rsidR="003763CD" w:rsidRDefault="003763CD" w:rsidP="003763CD"/>
    <w:p w:rsidR="00CB5276" w:rsidRDefault="003763CD" w:rsidP="003763CD">
      <w:pPr>
        <w:pStyle w:val="CenterUnderline"/>
      </w:pPr>
      <w:bookmarkStart w:id="3" w:name="Commissioners"/>
      <w:bookmarkEnd w:id="3"/>
      <w:r>
        <w:t>SECOND ORDER</w:t>
      </w:r>
      <w:bookmarkStart w:id="4" w:name="OrderTitle"/>
      <w:r>
        <w:t xml:space="preserve"> REVISING ORDER ESTABLISHING PROCEDURE </w:t>
      </w:r>
      <w:bookmarkEnd w:id="4"/>
    </w:p>
    <w:p w:rsidR="003763CD" w:rsidRDefault="003763CD" w:rsidP="003763CD">
      <w:pPr>
        <w:pStyle w:val="CenterUnderline"/>
      </w:pPr>
    </w:p>
    <w:p w:rsidR="007E76FD" w:rsidRDefault="003763CD" w:rsidP="00765A57">
      <w:pPr>
        <w:jc w:val="both"/>
      </w:pPr>
      <w:r>
        <w:tab/>
        <w:t>On August 31, 2016, Utilities Inc. of Florida (Utility or UIF) filed an application for an increase in water and wastewater rates in Charlotte, Highlands, Lake, Lee</w:t>
      </w:r>
      <w:r w:rsidR="00692703">
        <w:t>,</w:t>
      </w:r>
      <w:r>
        <w:t xml:space="preserve"> Marion, Orange, Pasco, Pinellas, Polk, and Seminole Counties in Docket No. 160101-WS.  Florida Public Service Commission (Commission) staff reviewed the application and</w:t>
      </w:r>
      <w:r w:rsidR="00765A57">
        <w:t xml:space="preserve"> after all deficiencies were cured set</w:t>
      </w:r>
      <w:r>
        <w:t xml:space="preserve"> Nove</w:t>
      </w:r>
      <w:r w:rsidR="002167EF">
        <w:t>mber 22, 2016,</w:t>
      </w:r>
      <w:r>
        <w:t xml:space="preserve"> </w:t>
      </w:r>
      <w:r w:rsidR="002167EF">
        <w:t xml:space="preserve">as </w:t>
      </w:r>
      <w:r>
        <w:t>the official filing date.</w:t>
      </w:r>
      <w:r w:rsidR="002F6499">
        <w:t xml:space="preserve">  Order No. PSC-16-0558-PCO-WS, the Order Establishing Procedure (OEP)</w:t>
      </w:r>
      <w:r w:rsidR="007E1CD9">
        <w:t>,</w:t>
      </w:r>
      <w:r w:rsidR="002F6499">
        <w:t xml:space="preserve"> was issued on December 14, 2016, and was subsequently modified by Order No. PSC-16-0578-PCO-WS, issued December 20, 2016.  This docket is currently scheduled for a hearing on May 8-12, 2017.</w:t>
      </w:r>
      <w:r w:rsidR="00910FDE">
        <w:t xml:space="preserve"> </w:t>
      </w:r>
    </w:p>
    <w:p w:rsidR="007E76FD" w:rsidRDefault="007E76FD" w:rsidP="00765A57">
      <w:pPr>
        <w:jc w:val="both"/>
      </w:pPr>
    </w:p>
    <w:p w:rsidR="00CB5276" w:rsidRDefault="00910FDE" w:rsidP="007E6556">
      <w:pPr>
        <w:ind w:firstLine="720"/>
        <w:jc w:val="both"/>
      </w:pPr>
      <w:r>
        <w:t>On Monday</w:t>
      </w:r>
      <w:r w:rsidR="00692703">
        <w:t>,</w:t>
      </w:r>
      <w:r>
        <w:t xml:space="preserve"> January 9, 2017, the Office of Public Counsel (OPC) filed a Motion to Adjust Controlling Dates and Extend Testimony Filing Deadlines. In its Motion, OPC contends that due to the complexity and volume of information at issue in this case, additional time is needed for certain pre-hearing and post-hearing activities.  OPC is therefore requesting that a two-week extension be granted for filing testimony, completing discovery, and filing briefs.  In its Motion, OPC represents that counsel for UIF has no objection to the granting of the extension, provided the Commission renders its final decision on rates on or before July 22, 2017.  No response has been filed to OPC’s Motion, and the time for doing so has expired.</w:t>
      </w:r>
    </w:p>
    <w:p w:rsidR="00910FDE" w:rsidRDefault="00910FDE" w:rsidP="004876DC">
      <w:pPr>
        <w:jc w:val="both"/>
      </w:pPr>
    </w:p>
    <w:p w:rsidR="002F6499" w:rsidRDefault="00910FDE" w:rsidP="007E6556">
      <w:pPr>
        <w:ind w:firstLine="720"/>
        <w:jc w:val="both"/>
      </w:pPr>
      <w:r>
        <w:t>Having reviewed OPC’s Motion, it appears that the hearing schedule in this docket can be modified without causing undue prejudice to the parties, staff, or Commission.  However, as set forth below, I have granted in part and denied in part the specific dates requested by OPC</w:t>
      </w:r>
      <w:r w:rsidR="00FA7859">
        <w:t xml:space="preserve">, finding that the </w:t>
      </w:r>
      <w:r w:rsidR="007E1CD9">
        <w:t xml:space="preserve">revised </w:t>
      </w:r>
      <w:r w:rsidR="00FA7859">
        <w:t xml:space="preserve">dates </w:t>
      </w:r>
      <w:r w:rsidR="007E1CD9">
        <w:t>set</w:t>
      </w:r>
      <w:r w:rsidR="00FA7859">
        <w:t xml:space="preserve"> below should afford sufficient additional time for the parties without unfairly compressing the time needed to process this case. </w:t>
      </w:r>
      <w:r w:rsidR="007E478B">
        <w:t xml:space="preserve">To comply with the new dates, </w:t>
      </w:r>
      <w:r w:rsidR="00692703">
        <w:t xml:space="preserve">responses to </w:t>
      </w:r>
      <w:r w:rsidR="007E478B">
        <w:t xml:space="preserve">written </w:t>
      </w:r>
      <w:r w:rsidR="002F79A2">
        <w:t>d</w:t>
      </w:r>
      <w:r w:rsidR="007E478B">
        <w:t xml:space="preserve">iscovery that address matters raised in </w:t>
      </w:r>
      <w:r w:rsidR="002F79A2">
        <w:t>r</w:t>
      </w:r>
      <w:r w:rsidR="007E478B">
        <w:t xml:space="preserve">ebuttal shall be </w:t>
      </w:r>
      <w:r w:rsidR="007E1CD9">
        <w:t>served</w:t>
      </w:r>
      <w:r w:rsidR="007E478B">
        <w:t xml:space="preserve"> within 10 days </w:t>
      </w:r>
      <w:r w:rsidR="00692703">
        <w:t xml:space="preserve">of receipt, </w:t>
      </w:r>
      <w:r w:rsidR="007E478B">
        <w:t xml:space="preserve">and the </w:t>
      </w:r>
      <w:r w:rsidR="002F79A2">
        <w:t>h</w:t>
      </w:r>
      <w:r w:rsidR="007E478B">
        <w:t xml:space="preserve">earing transcripts will be expedited.  </w:t>
      </w:r>
      <w:r w:rsidR="00765A57">
        <w:t xml:space="preserve">The </w:t>
      </w:r>
      <w:r w:rsidR="000B5173">
        <w:t>controlling dates are</w:t>
      </w:r>
      <w:r w:rsidR="00765A57">
        <w:t xml:space="preserve"> hereby modified </w:t>
      </w:r>
      <w:r w:rsidR="00692703">
        <w:t>as</w:t>
      </w:r>
      <w:r w:rsidR="00765A57">
        <w:t xml:space="preserve"> </w:t>
      </w:r>
      <w:r w:rsidR="00A722DD">
        <w:t>follows</w:t>
      </w:r>
      <w:r w:rsidR="00765A57">
        <w:t>:</w:t>
      </w:r>
    </w:p>
    <w:p w:rsidR="00A722DD" w:rsidRDefault="00A722D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880"/>
        <w:gridCol w:w="2070"/>
        <w:gridCol w:w="1911"/>
        <w:gridCol w:w="2067"/>
      </w:tblGrid>
      <w:tr w:rsidR="00AA3EA0" w:rsidTr="00326D94">
        <w:trPr>
          <w:tblHeader/>
        </w:trPr>
        <w:tc>
          <w:tcPr>
            <w:tcW w:w="648" w:type="dxa"/>
          </w:tcPr>
          <w:p w:rsidR="00AA3EA0" w:rsidRPr="0004732F" w:rsidRDefault="00AA3EA0" w:rsidP="00AA69A2">
            <w:pPr>
              <w:rPr>
                <w:b/>
              </w:rPr>
            </w:pPr>
          </w:p>
        </w:tc>
        <w:tc>
          <w:tcPr>
            <w:tcW w:w="2880" w:type="dxa"/>
          </w:tcPr>
          <w:p w:rsidR="00AA3EA0" w:rsidRPr="0004732F" w:rsidRDefault="00AA3EA0" w:rsidP="00AA69A2">
            <w:pPr>
              <w:rPr>
                <w:b/>
              </w:rPr>
            </w:pPr>
          </w:p>
        </w:tc>
        <w:tc>
          <w:tcPr>
            <w:tcW w:w="2070" w:type="dxa"/>
            <w:hideMark/>
          </w:tcPr>
          <w:p w:rsidR="00AA3EA0" w:rsidRPr="0004732F" w:rsidRDefault="00AA3EA0" w:rsidP="00836DD2">
            <w:pPr>
              <w:spacing w:after="240"/>
              <w:rPr>
                <w:b/>
              </w:rPr>
            </w:pPr>
            <w:r w:rsidRPr="0004732F">
              <w:rPr>
                <w:b/>
              </w:rPr>
              <w:t>Current</w:t>
            </w:r>
            <w:r>
              <w:rPr>
                <w:b/>
              </w:rPr>
              <w:t xml:space="preserve"> </w:t>
            </w:r>
            <w:r w:rsidRPr="0004732F">
              <w:rPr>
                <w:b/>
              </w:rPr>
              <w:t>Date</w:t>
            </w:r>
          </w:p>
        </w:tc>
        <w:tc>
          <w:tcPr>
            <w:tcW w:w="1911" w:type="dxa"/>
            <w:hideMark/>
          </w:tcPr>
          <w:p w:rsidR="00AA3EA0" w:rsidRPr="00AA69A2" w:rsidRDefault="005A55F9" w:rsidP="00836DD2">
            <w:pPr>
              <w:spacing w:after="240"/>
              <w:rPr>
                <w:b/>
              </w:rPr>
            </w:pPr>
            <w:r>
              <w:rPr>
                <w:b/>
              </w:rPr>
              <w:t>Date</w:t>
            </w:r>
            <w:r w:rsidR="00AA3EA0" w:rsidRPr="00AA69A2">
              <w:rPr>
                <w:b/>
              </w:rPr>
              <w:t xml:space="preserve"> Requested </w:t>
            </w:r>
            <w:r w:rsidR="00AA3EA0">
              <w:rPr>
                <w:b/>
              </w:rPr>
              <w:t>in</w:t>
            </w:r>
            <w:r w:rsidR="00AA3EA0" w:rsidRPr="00AA69A2">
              <w:rPr>
                <w:b/>
              </w:rPr>
              <w:t xml:space="preserve"> OPC</w:t>
            </w:r>
            <w:r w:rsidR="00AA3EA0">
              <w:rPr>
                <w:b/>
              </w:rPr>
              <w:t>’s Motion</w:t>
            </w:r>
          </w:p>
        </w:tc>
        <w:tc>
          <w:tcPr>
            <w:tcW w:w="2067" w:type="dxa"/>
            <w:hideMark/>
          </w:tcPr>
          <w:p w:rsidR="00AA3EA0" w:rsidRPr="0004732F" w:rsidRDefault="00AA3EA0" w:rsidP="00836DD2">
            <w:pPr>
              <w:spacing w:after="240"/>
              <w:rPr>
                <w:b/>
              </w:rPr>
            </w:pPr>
            <w:r>
              <w:rPr>
                <w:b/>
              </w:rPr>
              <w:t>Modified Date</w:t>
            </w:r>
          </w:p>
        </w:tc>
      </w:tr>
      <w:tr w:rsidR="00AA3EA0" w:rsidTr="00326D94">
        <w:trPr>
          <w:cantSplit/>
        </w:trPr>
        <w:tc>
          <w:tcPr>
            <w:tcW w:w="648" w:type="dxa"/>
          </w:tcPr>
          <w:p w:rsidR="00AA3EA0" w:rsidRPr="00147DE7" w:rsidRDefault="00AA3EA0" w:rsidP="00A722DD">
            <w:pPr>
              <w:spacing w:after="240"/>
            </w:pPr>
            <w:r>
              <w:t>(4)</w:t>
            </w:r>
          </w:p>
        </w:tc>
        <w:tc>
          <w:tcPr>
            <w:tcW w:w="2880" w:type="dxa"/>
            <w:hideMark/>
          </w:tcPr>
          <w:p w:rsidR="00AA3EA0" w:rsidRPr="00147DE7" w:rsidRDefault="00AA3EA0" w:rsidP="00A722DD">
            <w:pPr>
              <w:spacing w:after="240"/>
            </w:pPr>
            <w:r w:rsidRPr="00147DE7">
              <w:t>Intervenors’ testimony and exhibits</w:t>
            </w:r>
          </w:p>
        </w:tc>
        <w:tc>
          <w:tcPr>
            <w:tcW w:w="2070" w:type="dxa"/>
            <w:hideMark/>
          </w:tcPr>
          <w:p w:rsidR="00AA3EA0" w:rsidRPr="00147DE7" w:rsidRDefault="00AA3EA0" w:rsidP="00A722DD">
            <w:pPr>
              <w:spacing w:after="240"/>
            </w:pPr>
            <w:r w:rsidRPr="00147DE7">
              <w:t>February 23, 2017</w:t>
            </w:r>
          </w:p>
        </w:tc>
        <w:tc>
          <w:tcPr>
            <w:tcW w:w="1911" w:type="dxa"/>
            <w:hideMark/>
          </w:tcPr>
          <w:p w:rsidR="00AA3EA0" w:rsidRPr="00147DE7" w:rsidRDefault="00AA3EA0" w:rsidP="00A722DD">
            <w:pPr>
              <w:spacing w:after="240"/>
            </w:pPr>
            <w:r w:rsidRPr="00147DE7">
              <w:t>March 9, 2017</w:t>
            </w:r>
          </w:p>
        </w:tc>
        <w:tc>
          <w:tcPr>
            <w:tcW w:w="2067" w:type="dxa"/>
            <w:hideMark/>
          </w:tcPr>
          <w:p w:rsidR="00AA3EA0" w:rsidRPr="00147DE7" w:rsidRDefault="00AA3EA0" w:rsidP="00A722DD">
            <w:pPr>
              <w:spacing w:after="240"/>
            </w:pPr>
            <w:r w:rsidRPr="00147DE7">
              <w:t>March 6, 2017</w:t>
            </w:r>
          </w:p>
        </w:tc>
      </w:tr>
      <w:tr w:rsidR="00AA3EA0" w:rsidTr="00326D94">
        <w:trPr>
          <w:cantSplit/>
        </w:trPr>
        <w:tc>
          <w:tcPr>
            <w:tcW w:w="648" w:type="dxa"/>
          </w:tcPr>
          <w:p w:rsidR="00AA3EA0" w:rsidRPr="00147DE7" w:rsidRDefault="00AA3EA0" w:rsidP="00A722DD">
            <w:pPr>
              <w:spacing w:after="240"/>
            </w:pPr>
            <w:r>
              <w:t>(5)</w:t>
            </w:r>
          </w:p>
        </w:tc>
        <w:tc>
          <w:tcPr>
            <w:tcW w:w="2880" w:type="dxa"/>
            <w:hideMark/>
          </w:tcPr>
          <w:p w:rsidR="00AA3EA0" w:rsidRPr="00147DE7" w:rsidRDefault="00AA3EA0" w:rsidP="00A722DD">
            <w:pPr>
              <w:spacing w:after="240"/>
            </w:pPr>
            <w:r w:rsidRPr="00147DE7">
              <w:t>Staff’s testimony and exhibits, if any</w:t>
            </w:r>
          </w:p>
        </w:tc>
        <w:tc>
          <w:tcPr>
            <w:tcW w:w="2070" w:type="dxa"/>
            <w:hideMark/>
          </w:tcPr>
          <w:p w:rsidR="00AA3EA0" w:rsidRPr="00147DE7" w:rsidRDefault="00AA3EA0" w:rsidP="00A722DD">
            <w:pPr>
              <w:spacing w:after="240"/>
            </w:pPr>
            <w:r w:rsidRPr="00147DE7">
              <w:t>March 9, 2017</w:t>
            </w:r>
          </w:p>
        </w:tc>
        <w:tc>
          <w:tcPr>
            <w:tcW w:w="1911" w:type="dxa"/>
            <w:hideMark/>
          </w:tcPr>
          <w:p w:rsidR="00AA3EA0" w:rsidRPr="00147DE7" w:rsidRDefault="00AA3EA0" w:rsidP="00A722DD">
            <w:pPr>
              <w:spacing w:after="240"/>
            </w:pPr>
            <w:r w:rsidRPr="00147DE7">
              <w:t>March 23, 2017</w:t>
            </w:r>
          </w:p>
        </w:tc>
        <w:tc>
          <w:tcPr>
            <w:tcW w:w="2067" w:type="dxa"/>
            <w:hideMark/>
          </w:tcPr>
          <w:p w:rsidR="00AA3EA0" w:rsidRPr="00147DE7" w:rsidRDefault="00AA3EA0" w:rsidP="00A722DD">
            <w:pPr>
              <w:spacing w:after="240"/>
            </w:pPr>
            <w:r w:rsidRPr="00147DE7">
              <w:t>March 20, 2017</w:t>
            </w:r>
          </w:p>
        </w:tc>
      </w:tr>
      <w:tr w:rsidR="00AA3EA0" w:rsidTr="00326D94">
        <w:trPr>
          <w:cantSplit/>
        </w:trPr>
        <w:tc>
          <w:tcPr>
            <w:tcW w:w="648" w:type="dxa"/>
          </w:tcPr>
          <w:p w:rsidR="00AA3EA0" w:rsidRPr="00147DE7" w:rsidRDefault="00AA3EA0" w:rsidP="00A722DD">
            <w:pPr>
              <w:spacing w:after="240"/>
            </w:pPr>
            <w:r>
              <w:t>(6)</w:t>
            </w:r>
          </w:p>
        </w:tc>
        <w:tc>
          <w:tcPr>
            <w:tcW w:w="2880" w:type="dxa"/>
            <w:hideMark/>
          </w:tcPr>
          <w:p w:rsidR="00AA3EA0" w:rsidRPr="00147DE7" w:rsidRDefault="00AA3EA0" w:rsidP="00A722DD">
            <w:pPr>
              <w:spacing w:after="240"/>
            </w:pPr>
            <w:r w:rsidRPr="00147DE7">
              <w:t>Rebuttal Testimony and Exhibits</w:t>
            </w:r>
          </w:p>
        </w:tc>
        <w:tc>
          <w:tcPr>
            <w:tcW w:w="2070" w:type="dxa"/>
            <w:hideMark/>
          </w:tcPr>
          <w:p w:rsidR="00AA3EA0" w:rsidRPr="00147DE7" w:rsidRDefault="00AA3EA0" w:rsidP="00A722DD">
            <w:pPr>
              <w:spacing w:after="240"/>
            </w:pPr>
            <w:r w:rsidRPr="00147DE7">
              <w:t>March 23, 2017</w:t>
            </w:r>
          </w:p>
        </w:tc>
        <w:tc>
          <w:tcPr>
            <w:tcW w:w="1911" w:type="dxa"/>
            <w:hideMark/>
          </w:tcPr>
          <w:p w:rsidR="00AA3EA0" w:rsidRPr="00147DE7" w:rsidRDefault="00AA3EA0" w:rsidP="00A722DD">
            <w:pPr>
              <w:spacing w:after="240"/>
            </w:pPr>
            <w:r w:rsidRPr="00147DE7">
              <w:t>April 6, 2017</w:t>
            </w:r>
          </w:p>
        </w:tc>
        <w:tc>
          <w:tcPr>
            <w:tcW w:w="2067" w:type="dxa"/>
            <w:hideMark/>
          </w:tcPr>
          <w:p w:rsidR="00AA3EA0" w:rsidRPr="00147DE7" w:rsidRDefault="00AA3EA0" w:rsidP="00A722DD">
            <w:pPr>
              <w:spacing w:after="240"/>
            </w:pPr>
            <w:r w:rsidRPr="00147DE7">
              <w:t>April 3, 2017</w:t>
            </w:r>
          </w:p>
        </w:tc>
      </w:tr>
      <w:tr w:rsidR="00AA3EA0" w:rsidTr="00326D94">
        <w:trPr>
          <w:cantSplit/>
        </w:trPr>
        <w:tc>
          <w:tcPr>
            <w:tcW w:w="648" w:type="dxa"/>
          </w:tcPr>
          <w:p w:rsidR="00AA3EA0" w:rsidRPr="00147DE7" w:rsidRDefault="00AA3EA0" w:rsidP="00A722DD">
            <w:pPr>
              <w:spacing w:after="240"/>
            </w:pPr>
            <w:r>
              <w:t>(7)</w:t>
            </w:r>
          </w:p>
        </w:tc>
        <w:tc>
          <w:tcPr>
            <w:tcW w:w="2880" w:type="dxa"/>
            <w:hideMark/>
          </w:tcPr>
          <w:p w:rsidR="00AA3EA0" w:rsidRPr="00147DE7" w:rsidRDefault="00AA3EA0" w:rsidP="00A722DD">
            <w:pPr>
              <w:spacing w:after="240"/>
            </w:pPr>
            <w:r w:rsidRPr="00147DE7">
              <w:t>Prehearing Statements</w:t>
            </w:r>
          </w:p>
        </w:tc>
        <w:tc>
          <w:tcPr>
            <w:tcW w:w="2070" w:type="dxa"/>
            <w:hideMark/>
          </w:tcPr>
          <w:p w:rsidR="00AA3EA0" w:rsidRPr="00147DE7" w:rsidRDefault="00AA3EA0" w:rsidP="00A722DD">
            <w:pPr>
              <w:spacing w:after="240"/>
            </w:pPr>
            <w:r w:rsidRPr="00147DE7">
              <w:t>April 6, 2017</w:t>
            </w:r>
          </w:p>
        </w:tc>
        <w:tc>
          <w:tcPr>
            <w:tcW w:w="1911" w:type="dxa"/>
            <w:hideMark/>
          </w:tcPr>
          <w:p w:rsidR="00AA3EA0" w:rsidRPr="00147DE7" w:rsidRDefault="00AA3EA0" w:rsidP="00A722DD">
            <w:pPr>
              <w:spacing w:after="240"/>
            </w:pPr>
            <w:r w:rsidRPr="00147DE7">
              <w:t>None</w:t>
            </w:r>
          </w:p>
        </w:tc>
        <w:tc>
          <w:tcPr>
            <w:tcW w:w="2067" w:type="dxa"/>
            <w:hideMark/>
          </w:tcPr>
          <w:p w:rsidR="00AA3EA0" w:rsidRPr="00147DE7" w:rsidRDefault="00AA3EA0" w:rsidP="00A722DD">
            <w:pPr>
              <w:spacing w:after="240"/>
            </w:pPr>
            <w:r w:rsidRPr="00147DE7">
              <w:t>April 10, 2017</w:t>
            </w:r>
          </w:p>
        </w:tc>
      </w:tr>
      <w:tr w:rsidR="00AA3EA0" w:rsidTr="00326D94">
        <w:trPr>
          <w:cantSplit/>
        </w:trPr>
        <w:tc>
          <w:tcPr>
            <w:tcW w:w="648" w:type="dxa"/>
          </w:tcPr>
          <w:p w:rsidR="00AA3EA0" w:rsidRPr="00147DE7" w:rsidRDefault="00AA3EA0" w:rsidP="00A722DD">
            <w:pPr>
              <w:spacing w:after="240"/>
            </w:pPr>
            <w:r>
              <w:t>(8)</w:t>
            </w:r>
          </w:p>
        </w:tc>
        <w:tc>
          <w:tcPr>
            <w:tcW w:w="2880" w:type="dxa"/>
            <w:hideMark/>
          </w:tcPr>
          <w:p w:rsidR="00AA3EA0" w:rsidRPr="00147DE7" w:rsidRDefault="00AA3EA0" w:rsidP="00A722DD">
            <w:pPr>
              <w:spacing w:after="240"/>
            </w:pPr>
            <w:r w:rsidRPr="00147DE7">
              <w:t>Discovery deadline</w:t>
            </w:r>
          </w:p>
        </w:tc>
        <w:tc>
          <w:tcPr>
            <w:tcW w:w="2070" w:type="dxa"/>
            <w:hideMark/>
          </w:tcPr>
          <w:p w:rsidR="00AA3EA0" w:rsidRPr="00147DE7" w:rsidRDefault="00AA3EA0" w:rsidP="00A722DD">
            <w:pPr>
              <w:spacing w:after="240"/>
            </w:pPr>
            <w:r w:rsidRPr="00147DE7">
              <w:t>April 14, 2017</w:t>
            </w:r>
          </w:p>
        </w:tc>
        <w:tc>
          <w:tcPr>
            <w:tcW w:w="1911" w:type="dxa"/>
            <w:hideMark/>
          </w:tcPr>
          <w:p w:rsidR="00AA3EA0" w:rsidRPr="00147DE7" w:rsidRDefault="00AA3EA0" w:rsidP="00A722DD">
            <w:pPr>
              <w:spacing w:after="240"/>
            </w:pPr>
            <w:r w:rsidRPr="00147DE7">
              <w:t>April 28, 2017</w:t>
            </w:r>
            <w:r w:rsidR="000B5173">
              <w:rPr>
                <w:rStyle w:val="FootnoteReference"/>
              </w:rPr>
              <w:footnoteReference w:id="1"/>
            </w:r>
            <w:r w:rsidRPr="00147DE7">
              <w:rPr>
                <w:vertAlign w:val="superscript"/>
              </w:rPr>
              <w:t xml:space="preserve"> </w:t>
            </w:r>
          </w:p>
        </w:tc>
        <w:tc>
          <w:tcPr>
            <w:tcW w:w="2067" w:type="dxa"/>
            <w:hideMark/>
          </w:tcPr>
          <w:p w:rsidR="00AA3EA0" w:rsidRPr="00147DE7" w:rsidRDefault="00AA3EA0" w:rsidP="00B02488">
            <w:pPr>
              <w:spacing w:after="240"/>
            </w:pPr>
            <w:r w:rsidRPr="00147DE7">
              <w:t>April 19, 2017 (all discovery)</w:t>
            </w:r>
          </w:p>
        </w:tc>
      </w:tr>
      <w:tr w:rsidR="000B5173" w:rsidTr="00326D94">
        <w:trPr>
          <w:cantSplit/>
        </w:trPr>
        <w:tc>
          <w:tcPr>
            <w:tcW w:w="648" w:type="dxa"/>
          </w:tcPr>
          <w:p w:rsidR="000B5173" w:rsidRDefault="000B5173" w:rsidP="00A722DD">
            <w:pPr>
              <w:spacing w:after="240"/>
            </w:pPr>
            <w:r>
              <w:t>(9)</w:t>
            </w:r>
          </w:p>
        </w:tc>
        <w:tc>
          <w:tcPr>
            <w:tcW w:w="2880" w:type="dxa"/>
          </w:tcPr>
          <w:p w:rsidR="000B5173" w:rsidRDefault="000B5173" w:rsidP="003A6120">
            <w:r>
              <w:t>Prehearing Conference</w:t>
            </w:r>
          </w:p>
        </w:tc>
        <w:tc>
          <w:tcPr>
            <w:tcW w:w="2070" w:type="dxa"/>
          </w:tcPr>
          <w:p w:rsidR="000B5173" w:rsidRDefault="000B5173" w:rsidP="003A6120">
            <w:r>
              <w:t>April 20, 2017</w:t>
            </w:r>
          </w:p>
        </w:tc>
        <w:tc>
          <w:tcPr>
            <w:tcW w:w="1911" w:type="dxa"/>
          </w:tcPr>
          <w:p w:rsidR="000B5173" w:rsidRDefault="000B5173" w:rsidP="003A6120">
            <w:r>
              <w:t>None</w:t>
            </w:r>
          </w:p>
        </w:tc>
        <w:tc>
          <w:tcPr>
            <w:tcW w:w="2067" w:type="dxa"/>
          </w:tcPr>
          <w:p w:rsidR="000B5173" w:rsidRDefault="000B5173" w:rsidP="003A6120">
            <w:r>
              <w:t>No change</w:t>
            </w:r>
          </w:p>
        </w:tc>
      </w:tr>
      <w:tr w:rsidR="000B5173" w:rsidTr="00326D94">
        <w:trPr>
          <w:cantSplit/>
        </w:trPr>
        <w:tc>
          <w:tcPr>
            <w:tcW w:w="648" w:type="dxa"/>
          </w:tcPr>
          <w:p w:rsidR="000B5173" w:rsidRDefault="000B5173" w:rsidP="00A722DD">
            <w:pPr>
              <w:spacing w:after="240"/>
            </w:pPr>
            <w:r>
              <w:t>(10)</w:t>
            </w:r>
          </w:p>
        </w:tc>
        <w:tc>
          <w:tcPr>
            <w:tcW w:w="2880" w:type="dxa"/>
          </w:tcPr>
          <w:p w:rsidR="000B5173" w:rsidRDefault="000B5173" w:rsidP="003A6120">
            <w:r>
              <w:t>Hearing</w:t>
            </w:r>
          </w:p>
        </w:tc>
        <w:tc>
          <w:tcPr>
            <w:tcW w:w="2070" w:type="dxa"/>
          </w:tcPr>
          <w:p w:rsidR="000B5173" w:rsidRDefault="000B5173" w:rsidP="003A6120">
            <w:r>
              <w:t>May 8-12, 2017</w:t>
            </w:r>
          </w:p>
        </w:tc>
        <w:tc>
          <w:tcPr>
            <w:tcW w:w="1911" w:type="dxa"/>
          </w:tcPr>
          <w:p w:rsidR="000B5173" w:rsidRDefault="000B5173" w:rsidP="003A6120">
            <w:r>
              <w:t>None</w:t>
            </w:r>
          </w:p>
        </w:tc>
        <w:tc>
          <w:tcPr>
            <w:tcW w:w="2067" w:type="dxa"/>
          </w:tcPr>
          <w:p w:rsidR="000B5173" w:rsidRDefault="000B5173" w:rsidP="003A6120">
            <w:r>
              <w:t>No change</w:t>
            </w:r>
          </w:p>
        </w:tc>
      </w:tr>
      <w:tr w:rsidR="00AA3EA0" w:rsidTr="00326D94">
        <w:trPr>
          <w:cantSplit/>
        </w:trPr>
        <w:tc>
          <w:tcPr>
            <w:tcW w:w="648" w:type="dxa"/>
          </w:tcPr>
          <w:p w:rsidR="00AA3EA0" w:rsidRPr="00147DE7" w:rsidRDefault="00AA3EA0" w:rsidP="00A722DD">
            <w:pPr>
              <w:spacing w:after="240"/>
            </w:pPr>
            <w:r>
              <w:t>(11)</w:t>
            </w:r>
          </w:p>
        </w:tc>
        <w:tc>
          <w:tcPr>
            <w:tcW w:w="2880" w:type="dxa"/>
            <w:hideMark/>
          </w:tcPr>
          <w:p w:rsidR="00AA3EA0" w:rsidRPr="00147DE7" w:rsidRDefault="00AA3EA0" w:rsidP="00A722DD">
            <w:pPr>
              <w:spacing w:after="240"/>
            </w:pPr>
            <w:r w:rsidRPr="00147DE7">
              <w:t>Briefs</w:t>
            </w:r>
          </w:p>
        </w:tc>
        <w:tc>
          <w:tcPr>
            <w:tcW w:w="2070" w:type="dxa"/>
            <w:hideMark/>
          </w:tcPr>
          <w:p w:rsidR="00AA3EA0" w:rsidRPr="00147DE7" w:rsidRDefault="00AA3EA0" w:rsidP="00A722DD">
            <w:pPr>
              <w:spacing w:after="240"/>
            </w:pPr>
            <w:r w:rsidRPr="00147DE7">
              <w:t>May 26, 2017</w:t>
            </w:r>
          </w:p>
        </w:tc>
        <w:tc>
          <w:tcPr>
            <w:tcW w:w="1911" w:type="dxa"/>
            <w:hideMark/>
          </w:tcPr>
          <w:p w:rsidR="00AA3EA0" w:rsidRPr="00147DE7" w:rsidRDefault="00AA3EA0" w:rsidP="00A722DD">
            <w:pPr>
              <w:spacing w:after="240"/>
            </w:pPr>
            <w:r w:rsidRPr="00147DE7">
              <w:t>June 9, 2017 OR June 2, 2017 (if hearing transcripts are expedited)</w:t>
            </w:r>
          </w:p>
        </w:tc>
        <w:tc>
          <w:tcPr>
            <w:tcW w:w="2067" w:type="dxa"/>
          </w:tcPr>
          <w:p w:rsidR="00AA3EA0" w:rsidRPr="00147DE7" w:rsidRDefault="00AA3EA0" w:rsidP="00A722DD">
            <w:pPr>
              <w:spacing w:after="240"/>
            </w:pPr>
            <w:r w:rsidRPr="00147DE7">
              <w:t>June 2, 2017 (with expedited hearing transcripts)</w:t>
            </w:r>
          </w:p>
          <w:p w:rsidR="00AA3EA0" w:rsidRPr="00147DE7" w:rsidRDefault="00AA3EA0" w:rsidP="00A722DD">
            <w:pPr>
              <w:spacing w:after="240"/>
            </w:pPr>
          </w:p>
        </w:tc>
      </w:tr>
    </w:tbl>
    <w:p w:rsidR="00147DE7" w:rsidRDefault="00147DE7" w:rsidP="00A57031">
      <w:pPr>
        <w:autoSpaceDE w:val="0"/>
        <w:autoSpaceDN w:val="0"/>
        <w:adjustRightInd w:val="0"/>
      </w:pPr>
    </w:p>
    <w:p w:rsidR="00A57031" w:rsidRDefault="00A57031" w:rsidP="00A57031">
      <w:pPr>
        <w:autoSpaceDE w:val="0"/>
        <w:autoSpaceDN w:val="0"/>
        <w:adjustRightInd w:val="0"/>
        <w:ind w:firstLine="720"/>
        <w:jc w:val="both"/>
      </w:pPr>
      <w:r>
        <w:t>This Revised Order is issued pursuant to the authority afforded to me by Rule 28- 106.211, Florida Administrative Code, which provides that the Presiding Officer before whom a case is pending may issue any orders necessary to effectuate discovery, prevent delay, and promote the just, speedy, and inexpensive determination of all aspects of the case. Order No. PSC-16-0558-PCO-WS is reaffirmed in all other respects.</w:t>
      </w:r>
    </w:p>
    <w:p w:rsidR="00A57031" w:rsidRDefault="00A57031" w:rsidP="004876DC">
      <w:pPr>
        <w:autoSpaceDE w:val="0"/>
        <w:autoSpaceDN w:val="0"/>
        <w:adjustRightInd w:val="0"/>
        <w:ind w:firstLine="720"/>
        <w:jc w:val="both"/>
      </w:pPr>
    </w:p>
    <w:p w:rsidR="00A57031" w:rsidRDefault="00A57031" w:rsidP="004876DC">
      <w:pPr>
        <w:autoSpaceDE w:val="0"/>
        <w:autoSpaceDN w:val="0"/>
        <w:adjustRightInd w:val="0"/>
        <w:ind w:firstLine="720"/>
        <w:jc w:val="both"/>
      </w:pPr>
      <w:r>
        <w:t>It is therefore,</w:t>
      </w:r>
    </w:p>
    <w:p w:rsidR="00A57031" w:rsidRDefault="00A57031" w:rsidP="004876DC">
      <w:pPr>
        <w:autoSpaceDE w:val="0"/>
        <w:autoSpaceDN w:val="0"/>
        <w:adjustRightInd w:val="0"/>
        <w:ind w:firstLine="720"/>
        <w:jc w:val="both"/>
      </w:pPr>
    </w:p>
    <w:p w:rsidR="001857DC" w:rsidRDefault="00A57031" w:rsidP="00FE4E69">
      <w:pPr>
        <w:autoSpaceDE w:val="0"/>
        <w:autoSpaceDN w:val="0"/>
        <w:adjustRightInd w:val="0"/>
        <w:ind w:firstLine="720"/>
        <w:jc w:val="both"/>
      </w:pPr>
      <w:r>
        <w:t>ORDERED by Commissioner Ronald A. Brisé, as Prehearing Officer, that Order No.</w:t>
      </w:r>
      <w:r w:rsidR="001857DC">
        <w:t xml:space="preserve"> PSC-</w:t>
      </w:r>
      <w:r>
        <w:t>16-0578-PCO-WS, issued on December 20, 2016, shall be modified as stated above. It is</w:t>
      </w:r>
      <w:r w:rsidR="001857DC">
        <w:t xml:space="preserve"> further</w:t>
      </w:r>
    </w:p>
    <w:p w:rsidR="001857DC" w:rsidRDefault="001857DC">
      <w:pPr>
        <w:autoSpaceDE w:val="0"/>
        <w:autoSpaceDN w:val="0"/>
        <w:adjustRightInd w:val="0"/>
        <w:jc w:val="both"/>
      </w:pPr>
    </w:p>
    <w:p w:rsidR="00A57031" w:rsidRDefault="00A57031" w:rsidP="004876DC">
      <w:pPr>
        <w:autoSpaceDE w:val="0"/>
        <w:autoSpaceDN w:val="0"/>
        <w:adjustRightInd w:val="0"/>
        <w:ind w:firstLine="720"/>
        <w:jc w:val="both"/>
      </w:pPr>
      <w:r>
        <w:t>ORDERED that Order No</w:t>
      </w:r>
      <w:r w:rsidR="007E1CD9">
        <w:t>s</w:t>
      </w:r>
      <w:r>
        <w:t xml:space="preserve">. PSC-16-0558-PCO-WS </w:t>
      </w:r>
      <w:r w:rsidR="007E1CD9">
        <w:t>and PSC-16-0578-PCO-WS are</w:t>
      </w:r>
      <w:r>
        <w:t xml:space="preserve"> hereby reaffirmed in all other respects.</w:t>
      </w:r>
    </w:p>
    <w:p w:rsidR="001857DC" w:rsidRDefault="001857DC" w:rsidP="004876DC">
      <w:pPr>
        <w:autoSpaceDE w:val="0"/>
        <w:autoSpaceDN w:val="0"/>
        <w:adjustRightInd w:val="0"/>
        <w:ind w:firstLine="720"/>
        <w:jc w:val="both"/>
      </w:pPr>
    </w:p>
    <w:p w:rsidR="00A57031" w:rsidRDefault="00A57031" w:rsidP="004876DC">
      <w:pPr>
        <w:keepNext/>
        <w:keepLines/>
        <w:autoSpaceDE w:val="0"/>
        <w:autoSpaceDN w:val="0"/>
        <w:adjustRightInd w:val="0"/>
        <w:ind w:firstLine="720"/>
        <w:jc w:val="both"/>
      </w:pPr>
      <w:r>
        <w:lastRenderedPageBreak/>
        <w:t xml:space="preserve">By ORDER of Commissioner Ronald A. Brisé, as Prehearing Officer, this </w:t>
      </w:r>
      <w:bookmarkStart w:id="5" w:name="replaceDate"/>
      <w:bookmarkEnd w:id="5"/>
      <w:r w:rsidR="00762843">
        <w:rPr>
          <w:u w:val="single"/>
        </w:rPr>
        <w:t>24th</w:t>
      </w:r>
      <w:r w:rsidR="00762843">
        <w:t xml:space="preserve"> day of </w:t>
      </w:r>
      <w:r w:rsidR="00762843">
        <w:rPr>
          <w:u w:val="single"/>
        </w:rPr>
        <w:t>January</w:t>
      </w:r>
      <w:r w:rsidR="00762843">
        <w:t xml:space="preserve">, </w:t>
      </w:r>
      <w:r w:rsidR="00762843">
        <w:rPr>
          <w:u w:val="single"/>
        </w:rPr>
        <w:t>2017</w:t>
      </w:r>
      <w:r w:rsidR="00762843">
        <w:t>.</w:t>
      </w:r>
    </w:p>
    <w:p w:rsidR="00762843" w:rsidRPr="00762843" w:rsidRDefault="00762843" w:rsidP="004876DC">
      <w:pPr>
        <w:keepNext/>
        <w:keepLines/>
        <w:autoSpaceDE w:val="0"/>
        <w:autoSpaceDN w:val="0"/>
        <w:adjustRightInd w:val="0"/>
        <w:ind w:firstLine="720"/>
        <w:jc w:val="both"/>
      </w:pPr>
    </w:p>
    <w:p w:rsidR="00A57031" w:rsidRDefault="00A57031" w:rsidP="00A57031">
      <w:pPr>
        <w:keepNext/>
        <w:keepLines/>
        <w:autoSpaceDE w:val="0"/>
        <w:autoSpaceDN w:val="0"/>
        <w:adjustRightInd w:val="0"/>
        <w:ind w:firstLine="720"/>
      </w:pPr>
    </w:p>
    <w:p w:rsidR="00A57031" w:rsidRDefault="00A57031" w:rsidP="00A57031">
      <w:pPr>
        <w:keepNext/>
        <w:keepLines/>
        <w:autoSpaceDE w:val="0"/>
        <w:autoSpaceDN w:val="0"/>
        <w:adjustRightInd w:val="0"/>
        <w:ind w:firstLine="720"/>
      </w:pPr>
      <w:bookmarkStart w:id="6" w:name="_GoBack"/>
      <w:bookmarkEnd w:id="6"/>
    </w:p>
    <w:tbl>
      <w:tblPr>
        <w:tblW w:w="4720" w:type="dxa"/>
        <w:tblInd w:w="3800" w:type="dxa"/>
        <w:tblLayout w:type="fixed"/>
        <w:tblLook w:val="0000" w:firstRow="0" w:lastRow="0" w:firstColumn="0" w:lastColumn="0" w:noHBand="0" w:noVBand="0"/>
      </w:tblPr>
      <w:tblGrid>
        <w:gridCol w:w="686"/>
        <w:gridCol w:w="4034"/>
      </w:tblGrid>
      <w:tr w:rsidR="00A57031" w:rsidTr="00A57031">
        <w:tc>
          <w:tcPr>
            <w:tcW w:w="720" w:type="dxa"/>
            <w:shd w:val="clear" w:color="auto" w:fill="auto"/>
          </w:tcPr>
          <w:p w:rsidR="00A57031" w:rsidRDefault="00A57031" w:rsidP="00A57031">
            <w:pPr>
              <w:keepNext/>
              <w:keepLines/>
              <w:autoSpaceDE w:val="0"/>
              <w:autoSpaceDN w:val="0"/>
              <w:adjustRightInd w:val="0"/>
            </w:pPr>
            <w:bookmarkStart w:id="7" w:name="bkmrkSignature" w:colFirst="0" w:colLast="0"/>
          </w:p>
        </w:tc>
        <w:tc>
          <w:tcPr>
            <w:tcW w:w="4320" w:type="dxa"/>
            <w:tcBorders>
              <w:bottom w:val="single" w:sz="4" w:space="0" w:color="auto"/>
            </w:tcBorders>
            <w:shd w:val="clear" w:color="auto" w:fill="auto"/>
          </w:tcPr>
          <w:p w:rsidR="00A57031" w:rsidRDefault="00762843" w:rsidP="00A57031">
            <w:pPr>
              <w:keepNext/>
              <w:keepLines/>
              <w:autoSpaceDE w:val="0"/>
              <w:autoSpaceDN w:val="0"/>
              <w:adjustRightInd w:val="0"/>
            </w:pPr>
            <w:r>
              <w:t>/s/ Ronald A. Brisé</w:t>
            </w:r>
          </w:p>
        </w:tc>
      </w:tr>
      <w:bookmarkEnd w:id="7"/>
      <w:tr w:rsidR="00A57031" w:rsidTr="00A57031">
        <w:tc>
          <w:tcPr>
            <w:tcW w:w="720" w:type="dxa"/>
            <w:shd w:val="clear" w:color="auto" w:fill="auto"/>
          </w:tcPr>
          <w:p w:rsidR="00A57031" w:rsidRDefault="00A57031" w:rsidP="00A57031">
            <w:pPr>
              <w:keepNext/>
              <w:keepLines/>
              <w:autoSpaceDE w:val="0"/>
              <w:autoSpaceDN w:val="0"/>
              <w:adjustRightInd w:val="0"/>
            </w:pPr>
          </w:p>
        </w:tc>
        <w:tc>
          <w:tcPr>
            <w:tcW w:w="4320" w:type="dxa"/>
            <w:tcBorders>
              <w:top w:val="single" w:sz="4" w:space="0" w:color="auto"/>
            </w:tcBorders>
            <w:shd w:val="clear" w:color="auto" w:fill="auto"/>
          </w:tcPr>
          <w:p w:rsidR="00A57031" w:rsidRDefault="00A57031" w:rsidP="00A57031">
            <w:pPr>
              <w:keepNext/>
              <w:keepLines/>
              <w:autoSpaceDE w:val="0"/>
              <w:autoSpaceDN w:val="0"/>
              <w:adjustRightInd w:val="0"/>
            </w:pPr>
            <w:r>
              <w:t>RONALD A. BRISÉ</w:t>
            </w:r>
          </w:p>
          <w:p w:rsidR="00A57031" w:rsidRDefault="00A57031" w:rsidP="00A57031">
            <w:pPr>
              <w:keepNext/>
              <w:keepLines/>
              <w:autoSpaceDE w:val="0"/>
              <w:autoSpaceDN w:val="0"/>
              <w:adjustRightInd w:val="0"/>
            </w:pPr>
            <w:r>
              <w:t>Commissioner and Prehearing Officer</w:t>
            </w:r>
          </w:p>
        </w:tc>
      </w:tr>
    </w:tbl>
    <w:p w:rsidR="00A57031" w:rsidRDefault="00A57031" w:rsidP="00A57031">
      <w:pPr>
        <w:pStyle w:val="OrderSigInfo"/>
        <w:keepNext/>
        <w:keepLines/>
      </w:pPr>
      <w:r>
        <w:t>Florida Public Service Commission</w:t>
      </w:r>
    </w:p>
    <w:p w:rsidR="00A57031" w:rsidRDefault="00A57031" w:rsidP="00A57031">
      <w:pPr>
        <w:pStyle w:val="OrderSigInfo"/>
        <w:keepNext/>
        <w:keepLines/>
      </w:pPr>
      <w:r>
        <w:t>2540 Shumard Oak Boulevard</w:t>
      </w:r>
    </w:p>
    <w:p w:rsidR="00A57031" w:rsidRDefault="00A57031" w:rsidP="00A57031">
      <w:pPr>
        <w:pStyle w:val="OrderSigInfo"/>
        <w:keepNext/>
        <w:keepLines/>
      </w:pPr>
      <w:r>
        <w:t>Tallahassee, Florida  32399</w:t>
      </w:r>
    </w:p>
    <w:p w:rsidR="00A57031" w:rsidRDefault="00A57031" w:rsidP="00A57031">
      <w:pPr>
        <w:pStyle w:val="OrderSigInfo"/>
        <w:keepNext/>
        <w:keepLines/>
      </w:pPr>
      <w:r>
        <w:t>(850) 413</w:t>
      </w:r>
      <w:r>
        <w:noBreakHyphen/>
        <w:t>6770</w:t>
      </w:r>
    </w:p>
    <w:p w:rsidR="00A57031" w:rsidRDefault="00A57031" w:rsidP="00A57031">
      <w:pPr>
        <w:pStyle w:val="OrderSigInfo"/>
        <w:keepNext/>
        <w:keepLines/>
      </w:pPr>
      <w:r>
        <w:t>www.floridapsc.com</w:t>
      </w:r>
    </w:p>
    <w:p w:rsidR="00A57031" w:rsidRDefault="00A57031" w:rsidP="00A57031">
      <w:pPr>
        <w:pStyle w:val="OrderSigInfo"/>
        <w:keepNext/>
        <w:keepLines/>
      </w:pPr>
    </w:p>
    <w:p w:rsidR="00A57031" w:rsidRDefault="00A57031" w:rsidP="00A57031">
      <w:pPr>
        <w:pStyle w:val="OrderSigInfo"/>
        <w:keepNext/>
        <w:keepLines/>
      </w:pPr>
      <w:r>
        <w:t>Copies furnished:  A copy of this document is provided to the parties of record at the time of issuance and, if applicable, interested persons.</w:t>
      </w:r>
    </w:p>
    <w:p w:rsidR="00A57031" w:rsidRDefault="00A57031" w:rsidP="00A57031">
      <w:pPr>
        <w:pStyle w:val="OrderBody"/>
        <w:keepNext/>
        <w:keepLines/>
      </w:pPr>
    </w:p>
    <w:p w:rsidR="00A57031" w:rsidRDefault="00A57031" w:rsidP="00A57031">
      <w:pPr>
        <w:keepNext/>
        <w:keepLines/>
        <w:autoSpaceDE w:val="0"/>
        <w:autoSpaceDN w:val="0"/>
        <w:adjustRightInd w:val="0"/>
        <w:ind w:firstLine="720"/>
      </w:pPr>
    </w:p>
    <w:p w:rsidR="00A57031" w:rsidRDefault="00A57031" w:rsidP="002F79A2">
      <w:pPr>
        <w:keepNext/>
        <w:keepLines/>
        <w:autoSpaceDE w:val="0"/>
        <w:autoSpaceDN w:val="0"/>
        <w:adjustRightInd w:val="0"/>
      </w:pPr>
      <w:r>
        <w:t>W</w:t>
      </w:r>
      <w:r w:rsidR="005F5038">
        <w:t>L</w:t>
      </w:r>
      <w:r>
        <w:t>T</w:t>
      </w:r>
    </w:p>
    <w:p w:rsidR="00A57031" w:rsidRDefault="00A57031" w:rsidP="00A57031">
      <w:pPr>
        <w:autoSpaceDE w:val="0"/>
        <w:autoSpaceDN w:val="0"/>
        <w:adjustRightInd w:val="0"/>
      </w:pPr>
    </w:p>
    <w:p w:rsidR="00A57031" w:rsidRDefault="00A57031" w:rsidP="00A57031">
      <w:pPr>
        <w:autoSpaceDE w:val="0"/>
        <w:autoSpaceDN w:val="0"/>
        <w:adjustRightInd w:val="0"/>
      </w:pPr>
    </w:p>
    <w:p w:rsidR="00A57031" w:rsidRDefault="00A57031" w:rsidP="00A57031">
      <w:pPr>
        <w:pStyle w:val="CenterUnderline"/>
      </w:pPr>
      <w:r>
        <w:t>NOTICE OF FURTHER PROCEEDINGS OR JUDICIAL REVIEW</w:t>
      </w:r>
    </w:p>
    <w:p w:rsidR="00A57031" w:rsidRDefault="00A57031" w:rsidP="00A57031">
      <w:pPr>
        <w:pStyle w:val="CenterUnderline"/>
        <w:rPr>
          <w:u w:val="none"/>
        </w:rPr>
      </w:pPr>
    </w:p>
    <w:p w:rsidR="00A57031" w:rsidRDefault="00A57031" w:rsidP="00A57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57031" w:rsidRDefault="00A57031" w:rsidP="00A57031">
      <w:pPr>
        <w:pStyle w:val="OrderBody"/>
      </w:pPr>
    </w:p>
    <w:p w:rsidR="00A57031" w:rsidRDefault="00A57031" w:rsidP="00A57031">
      <w:pPr>
        <w:pStyle w:val="OrderBody"/>
      </w:pPr>
      <w:r>
        <w:tab/>
        <w:t>Mediation may be available on a case-by-case basis.  If mediation is conducted, it does not affect a substantially interested person's right to a hearing.</w:t>
      </w:r>
    </w:p>
    <w:p w:rsidR="00A57031" w:rsidRDefault="00A57031" w:rsidP="00A57031">
      <w:pPr>
        <w:pStyle w:val="OrderBody"/>
      </w:pPr>
    </w:p>
    <w:p w:rsidR="00A57031" w:rsidRPr="00A57031" w:rsidRDefault="00A57031" w:rsidP="00A57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57031" w:rsidRPr="00A5703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C3" w:rsidRDefault="007616C3">
      <w:r>
        <w:separator/>
      </w:r>
    </w:p>
  </w:endnote>
  <w:endnote w:type="continuationSeparator" w:id="0">
    <w:p w:rsidR="007616C3" w:rsidRDefault="0076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C3" w:rsidRDefault="007616C3">
      <w:r>
        <w:separator/>
      </w:r>
    </w:p>
  </w:footnote>
  <w:footnote w:type="continuationSeparator" w:id="0">
    <w:p w:rsidR="007616C3" w:rsidRDefault="007616C3">
      <w:r>
        <w:continuationSeparator/>
      </w:r>
    </w:p>
  </w:footnote>
  <w:footnote w:id="1">
    <w:p w:rsidR="000B5173" w:rsidRDefault="000B5173">
      <w:pPr>
        <w:pStyle w:val="FootnoteText"/>
      </w:pPr>
      <w:r>
        <w:rPr>
          <w:rStyle w:val="FootnoteReference"/>
        </w:rPr>
        <w:footnoteRef/>
      </w:r>
      <w:r>
        <w:t xml:space="preserve"> Alternatively, OPC requested that the </w:t>
      </w:r>
      <w:r w:rsidR="006055AC">
        <w:t xml:space="preserve">discovery </w:t>
      </w:r>
      <w:r>
        <w:t>deadline be bifurcated moving the deadline for rebuttal testimony to April 28, 2017, and leaving the deadline for discovery regarding direct as scheduled.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2 ">
      <w:r w:rsidR="00762843">
        <w:t>PSC-17-0032-PCO-WS</w:t>
      </w:r>
    </w:fldSimple>
  </w:p>
  <w:p w:rsidR="00FA6EFD" w:rsidRDefault="003763CD">
    <w:pPr>
      <w:pStyle w:val="OrderHeader"/>
    </w:pPr>
    <w:bookmarkStart w:id="8" w:name="HeaderDocketNo"/>
    <w:bookmarkEnd w:id="8"/>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2843">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5096"/>
    <w:multiLevelType w:val="hybridMultilevel"/>
    <w:tmpl w:val="8054B254"/>
    <w:lvl w:ilvl="0" w:tplc="D748648A">
      <w:start w:val="1"/>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3763CD"/>
    <w:rsid w:val="000022B8"/>
    <w:rsid w:val="00021DD6"/>
    <w:rsid w:val="0004732F"/>
    <w:rsid w:val="00053AB9"/>
    <w:rsid w:val="00056229"/>
    <w:rsid w:val="00065FC2"/>
    <w:rsid w:val="00090AFC"/>
    <w:rsid w:val="000A0602"/>
    <w:rsid w:val="000B5173"/>
    <w:rsid w:val="000D02B8"/>
    <w:rsid w:val="000D06E8"/>
    <w:rsid w:val="000E20F0"/>
    <w:rsid w:val="000E344D"/>
    <w:rsid w:val="000F2445"/>
    <w:rsid w:val="000F3B2C"/>
    <w:rsid w:val="000F54A6"/>
    <w:rsid w:val="000F648A"/>
    <w:rsid w:val="000F7BE3"/>
    <w:rsid w:val="001107B3"/>
    <w:rsid w:val="001114B1"/>
    <w:rsid w:val="00116AD3"/>
    <w:rsid w:val="00121957"/>
    <w:rsid w:val="00126593"/>
    <w:rsid w:val="00142A96"/>
    <w:rsid w:val="00147DE7"/>
    <w:rsid w:val="001857DC"/>
    <w:rsid w:val="00187E32"/>
    <w:rsid w:val="00194E81"/>
    <w:rsid w:val="001A15E7"/>
    <w:rsid w:val="001A33C9"/>
    <w:rsid w:val="001A58F3"/>
    <w:rsid w:val="001D008A"/>
    <w:rsid w:val="001E0FF5"/>
    <w:rsid w:val="002002ED"/>
    <w:rsid w:val="002167EF"/>
    <w:rsid w:val="002170E5"/>
    <w:rsid w:val="0022721A"/>
    <w:rsid w:val="00230BB9"/>
    <w:rsid w:val="00241CEF"/>
    <w:rsid w:val="00252B30"/>
    <w:rsid w:val="002A11AC"/>
    <w:rsid w:val="002A6F30"/>
    <w:rsid w:val="002B3111"/>
    <w:rsid w:val="002D391B"/>
    <w:rsid w:val="002D7D15"/>
    <w:rsid w:val="002E1B2E"/>
    <w:rsid w:val="002E27EB"/>
    <w:rsid w:val="002E516A"/>
    <w:rsid w:val="002E6703"/>
    <w:rsid w:val="002F6499"/>
    <w:rsid w:val="002F79A2"/>
    <w:rsid w:val="00303FDE"/>
    <w:rsid w:val="003140E8"/>
    <w:rsid w:val="003231C7"/>
    <w:rsid w:val="00326D94"/>
    <w:rsid w:val="003270C4"/>
    <w:rsid w:val="00331D16"/>
    <w:rsid w:val="00331ED0"/>
    <w:rsid w:val="00332B0A"/>
    <w:rsid w:val="00353B93"/>
    <w:rsid w:val="0035495B"/>
    <w:rsid w:val="003744F5"/>
    <w:rsid w:val="003763CD"/>
    <w:rsid w:val="00390DD8"/>
    <w:rsid w:val="00394DC6"/>
    <w:rsid w:val="00397C3E"/>
    <w:rsid w:val="003D4CCA"/>
    <w:rsid w:val="003D52A6"/>
    <w:rsid w:val="003D6416"/>
    <w:rsid w:val="003E1D48"/>
    <w:rsid w:val="00411DF2"/>
    <w:rsid w:val="0042527B"/>
    <w:rsid w:val="00457DC7"/>
    <w:rsid w:val="00472BCC"/>
    <w:rsid w:val="004876DC"/>
    <w:rsid w:val="004A25CD"/>
    <w:rsid w:val="004A26CC"/>
    <w:rsid w:val="004B2108"/>
    <w:rsid w:val="004B3A2B"/>
    <w:rsid w:val="004B70D3"/>
    <w:rsid w:val="004D2D1B"/>
    <w:rsid w:val="004E469D"/>
    <w:rsid w:val="004F2DDE"/>
    <w:rsid w:val="0050097F"/>
    <w:rsid w:val="00512AD8"/>
    <w:rsid w:val="00514B1F"/>
    <w:rsid w:val="00525E93"/>
    <w:rsid w:val="00556A10"/>
    <w:rsid w:val="005672B3"/>
    <w:rsid w:val="005963C2"/>
    <w:rsid w:val="005A55F9"/>
    <w:rsid w:val="005A691E"/>
    <w:rsid w:val="005B45F7"/>
    <w:rsid w:val="005B63EA"/>
    <w:rsid w:val="005C1A88"/>
    <w:rsid w:val="005C5033"/>
    <w:rsid w:val="005F5038"/>
    <w:rsid w:val="006055AC"/>
    <w:rsid w:val="00610E73"/>
    <w:rsid w:val="00660774"/>
    <w:rsid w:val="0066389A"/>
    <w:rsid w:val="0066495C"/>
    <w:rsid w:val="00665CC7"/>
    <w:rsid w:val="00672612"/>
    <w:rsid w:val="00692703"/>
    <w:rsid w:val="006A0BF3"/>
    <w:rsid w:val="006B0DA6"/>
    <w:rsid w:val="006B2855"/>
    <w:rsid w:val="006C547E"/>
    <w:rsid w:val="00704C5D"/>
    <w:rsid w:val="007072BC"/>
    <w:rsid w:val="00715275"/>
    <w:rsid w:val="00733B6B"/>
    <w:rsid w:val="007467C4"/>
    <w:rsid w:val="007616C3"/>
    <w:rsid w:val="0076170F"/>
    <w:rsid w:val="00762843"/>
    <w:rsid w:val="00765A57"/>
    <w:rsid w:val="0076669C"/>
    <w:rsid w:val="007865E9"/>
    <w:rsid w:val="00792383"/>
    <w:rsid w:val="007A060F"/>
    <w:rsid w:val="007B562D"/>
    <w:rsid w:val="007D3D20"/>
    <w:rsid w:val="007E1CD9"/>
    <w:rsid w:val="007E3AFD"/>
    <w:rsid w:val="007E478B"/>
    <w:rsid w:val="007E6556"/>
    <w:rsid w:val="007E76FD"/>
    <w:rsid w:val="00801DAD"/>
    <w:rsid w:val="00803189"/>
    <w:rsid w:val="00804E7A"/>
    <w:rsid w:val="00805FBB"/>
    <w:rsid w:val="00811162"/>
    <w:rsid w:val="008169A4"/>
    <w:rsid w:val="008278FE"/>
    <w:rsid w:val="00832598"/>
    <w:rsid w:val="00832730"/>
    <w:rsid w:val="0083397E"/>
    <w:rsid w:val="0083534B"/>
    <w:rsid w:val="00836DD2"/>
    <w:rsid w:val="00842602"/>
    <w:rsid w:val="00863A66"/>
    <w:rsid w:val="00874429"/>
    <w:rsid w:val="00883AB1"/>
    <w:rsid w:val="00883D9A"/>
    <w:rsid w:val="008919EF"/>
    <w:rsid w:val="008A12EC"/>
    <w:rsid w:val="008C21C8"/>
    <w:rsid w:val="008C6375"/>
    <w:rsid w:val="008C6A5B"/>
    <w:rsid w:val="008E26A5"/>
    <w:rsid w:val="008E42D2"/>
    <w:rsid w:val="009040EE"/>
    <w:rsid w:val="009057FD"/>
    <w:rsid w:val="00906FBA"/>
    <w:rsid w:val="00910FDE"/>
    <w:rsid w:val="00922A7F"/>
    <w:rsid w:val="00923A5E"/>
    <w:rsid w:val="0094504B"/>
    <w:rsid w:val="00991384"/>
    <w:rsid w:val="009924CF"/>
    <w:rsid w:val="00994100"/>
    <w:rsid w:val="009D4C29"/>
    <w:rsid w:val="00A42E76"/>
    <w:rsid w:val="00A57031"/>
    <w:rsid w:val="00A62DAB"/>
    <w:rsid w:val="00A722DD"/>
    <w:rsid w:val="00A726A6"/>
    <w:rsid w:val="00A97535"/>
    <w:rsid w:val="00AA3EA0"/>
    <w:rsid w:val="00AA69A2"/>
    <w:rsid w:val="00AA73F1"/>
    <w:rsid w:val="00AB0E1A"/>
    <w:rsid w:val="00AB1A30"/>
    <w:rsid w:val="00AD1ED3"/>
    <w:rsid w:val="00B02488"/>
    <w:rsid w:val="00B0777D"/>
    <w:rsid w:val="00B4057A"/>
    <w:rsid w:val="00B40894"/>
    <w:rsid w:val="00B45E75"/>
    <w:rsid w:val="00B50876"/>
    <w:rsid w:val="00B537FD"/>
    <w:rsid w:val="00B55EE5"/>
    <w:rsid w:val="00B73DE6"/>
    <w:rsid w:val="00B86EF0"/>
    <w:rsid w:val="00B97900"/>
    <w:rsid w:val="00BA4371"/>
    <w:rsid w:val="00BA44A8"/>
    <w:rsid w:val="00BC6943"/>
    <w:rsid w:val="00BF6691"/>
    <w:rsid w:val="00C028FC"/>
    <w:rsid w:val="00C05833"/>
    <w:rsid w:val="00C151A6"/>
    <w:rsid w:val="00C24098"/>
    <w:rsid w:val="00C30A4E"/>
    <w:rsid w:val="00C411F3"/>
    <w:rsid w:val="00C66692"/>
    <w:rsid w:val="00C91123"/>
    <w:rsid w:val="00C92FC4"/>
    <w:rsid w:val="00CA71FF"/>
    <w:rsid w:val="00CB5276"/>
    <w:rsid w:val="00CB68D7"/>
    <w:rsid w:val="00CC7E68"/>
    <w:rsid w:val="00CD7132"/>
    <w:rsid w:val="00CE0E6F"/>
    <w:rsid w:val="00CE56FC"/>
    <w:rsid w:val="00CF33AE"/>
    <w:rsid w:val="00CF4CFE"/>
    <w:rsid w:val="00D02E0F"/>
    <w:rsid w:val="00D23FEA"/>
    <w:rsid w:val="00D269CA"/>
    <w:rsid w:val="00D30B48"/>
    <w:rsid w:val="00D46FAA"/>
    <w:rsid w:val="00D47A40"/>
    <w:rsid w:val="00D57BB2"/>
    <w:rsid w:val="00D66717"/>
    <w:rsid w:val="00D8560E"/>
    <w:rsid w:val="00D8758F"/>
    <w:rsid w:val="00DA3D4E"/>
    <w:rsid w:val="00DB5E15"/>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A7859"/>
    <w:rsid w:val="00FB1395"/>
    <w:rsid w:val="00FB74EA"/>
    <w:rsid w:val="00FD2C9E"/>
    <w:rsid w:val="00FD4786"/>
    <w:rsid w:val="00FD616C"/>
    <w:rsid w:val="00FE4E6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42E76"/>
    <w:pPr>
      <w:ind w:left="720"/>
      <w:contextualSpacing/>
    </w:pPr>
  </w:style>
  <w:style w:type="paragraph" w:styleId="BalloonText">
    <w:name w:val="Balloon Text"/>
    <w:basedOn w:val="Normal"/>
    <w:link w:val="BalloonTextChar"/>
    <w:rsid w:val="00DA3D4E"/>
    <w:rPr>
      <w:rFonts w:ascii="Tahoma" w:hAnsi="Tahoma" w:cs="Tahoma"/>
      <w:sz w:val="16"/>
      <w:szCs w:val="16"/>
    </w:rPr>
  </w:style>
  <w:style w:type="character" w:customStyle="1" w:styleId="BalloonTextChar">
    <w:name w:val="Balloon Text Char"/>
    <w:basedOn w:val="DefaultParagraphFont"/>
    <w:link w:val="BalloonText"/>
    <w:rsid w:val="00DA3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42E76"/>
    <w:pPr>
      <w:ind w:left="720"/>
      <w:contextualSpacing/>
    </w:pPr>
  </w:style>
  <w:style w:type="paragraph" w:styleId="BalloonText">
    <w:name w:val="Balloon Text"/>
    <w:basedOn w:val="Normal"/>
    <w:link w:val="BalloonTextChar"/>
    <w:rsid w:val="00DA3D4E"/>
    <w:rPr>
      <w:rFonts w:ascii="Tahoma" w:hAnsi="Tahoma" w:cs="Tahoma"/>
      <w:sz w:val="16"/>
      <w:szCs w:val="16"/>
    </w:rPr>
  </w:style>
  <w:style w:type="character" w:customStyle="1" w:styleId="BalloonTextChar">
    <w:name w:val="Balloon Text Char"/>
    <w:basedOn w:val="DefaultParagraphFont"/>
    <w:link w:val="BalloonText"/>
    <w:rsid w:val="00DA3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9BECF-2379-4A72-9BB8-6173A019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907</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2017-01-24T13:33:00Z</dcterms:created>
  <dcterms:modified xsi:type="dcterms:W3CDTF">2017-01-24T15:05:00Z</dcterms:modified>
</cp:coreProperties>
</file>