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EB70B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B70B9">
            <w:pPr>
              <w:pStyle w:val="MemoHeading"/>
            </w:pPr>
            <w:bookmarkStart w:id="0" w:name="FilingDate"/>
            <w:r>
              <w:t>February 23,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B70B9" w:rsidRDefault="00EB70B9">
            <w:pPr>
              <w:pStyle w:val="MemoHeading"/>
            </w:pPr>
            <w:bookmarkStart w:id="1" w:name="From"/>
            <w:r>
              <w:t>Office of the General Counsel (Taylor, Mapp, Crawford)</w:t>
            </w:r>
          </w:p>
          <w:p w:rsidR="007C0528" w:rsidRDefault="00EB70B9">
            <w:pPr>
              <w:pStyle w:val="MemoHeading"/>
            </w:pPr>
            <w:r>
              <w:t>Division of Economics (Daniel, Friedrich, Hudson, Johnson)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B70B9">
            <w:pPr>
              <w:pStyle w:val="MemoHeadingRe"/>
            </w:pPr>
            <w:bookmarkStart w:id="2" w:name="Re"/>
            <w:r>
              <w:t>Docket No. 150071-SU – Application for increase in wastewater rates in Monroe County by K W Resort Utilities Corp.</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B70B9" w:rsidP="000319A1">
            <w:pPr>
              <w:pStyle w:val="MemoHeading"/>
            </w:pPr>
            <w:bookmarkStart w:id="3" w:name="AgendaDate"/>
            <w:r>
              <w:t>03/07/17</w:t>
            </w:r>
            <w:bookmarkEnd w:id="3"/>
            <w:r w:rsidR="007C0528">
              <w:t xml:space="preserve"> – </w:t>
            </w:r>
            <w:bookmarkStart w:id="4" w:name="PermittedStatus"/>
            <w:r>
              <w:t xml:space="preserve">Regular Agenda – </w:t>
            </w:r>
            <w:r w:rsidR="00C675BE">
              <w:t>s</w:t>
            </w:r>
            <w:r w:rsidR="000319A1">
              <w:t>taff request for reconsideration prior to issuance of post-hearing order</w:t>
            </w:r>
            <w:r>
              <w:t xml:space="preserve"> – </w:t>
            </w:r>
            <w:bookmarkEnd w:id="4"/>
            <w:r w:rsidR="00BA472C">
              <w:t xml:space="preserve">Participation limited to Commission and Staff only </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B70B9">
            <w:pPr>
              <w:pStyle w:val="MemoHeading"/>
            </w:pPr>
            <w:bookmarkStart w:id="5" w:name="CommissionersAssigned"/>
            <w:r>
              <w:t>Brown, Graham, Patronis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B70B9">
            <w:pPr>
              <w:pStyle w:val="MemoHeading"/>
            </w:pPr>
            <w:bookmarkStart w:id="6" w:name="PrehearingOfficer"/>
            <w:r>
              <w:t>Patronis</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B70B9">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B70B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A472C" w:rsidRDefault="00BA472C" w:rsidP="00BA472C">
      <w:pPr>
        <w:autoSpaceDE w:val="0"/>
        <w:autoSpaceDN w:val="0"/>
        <w:adjustRightInd w:val="0"/>
        <w:ind w:firstLine="720"/>
        <w:jc w:val="both"/>
      </w:pPr>
      <w:r>
        <w:t>K W Resort Utilities Corporation (</w:t>
      </w:r>
      <w:proofErr w:type="spellStart"/>
      <w:r>
        <w:t>KWRU</w:t>
      </w:r>
      <w:proofErr w:type="spellEnd"/>
      <w:r>
        <w:t xml:space="preserve"> or Utility) is a Class </w:t>
      </w:r>
      <w:proofErr w:type="gramStart"/>
      <w:r>
        <w:t>A</w:t>
      </w:r>
      <w:proofErr w:type="gramEnd"/>
      <w:r>
        <w:t xml:space="preserve"> Utility providing wastewater service to approximately 2,061 customers in Monroe County. Water service is provided by the Florida Keys Aqueduct Authority (</w:t>
      </w:r>
      <w:proofErr w:type="spellStart"/>
      <w:r>
        <w:t>FKAA</w:t>
      </w:r>
      <w:proofErr w:type="spellEnd"/>
      <w:r>
        <w:t>). Rates were last established for this Utility in its 2007 rate case.</w:t>
      </w:r>
      <w:r>
        <w:rPr>
          <w:sz w:val="16"/>
          <w:szCs w:val="16"/>
        </w:rPr>
        <w:t xml:space="preserve"> </w:t>
      </w:r>
      <w:r>
        <w:t xml:space="preserve">According to the Utility’s 2014 Annual Report, </w:t>
      </w:r>
      <w:proofErr w:type="spellStart"/>
      <w:r>
        <w:t>KWRU</w:t>
      </w:r>
      <w:proofErr w:type="spellEnd"/>
      <w:r>
        <w:t xml:space="preserve"> had operating revenues of $1,479,307 and operating expenses of $1,199,672. On July 1, 2015, the Utility filed its application for the rate increase at issue. </w:t>
      </w:r>
      <w:proofErr w:type="spellStart"/>
      <w:r>
        <w:t>KWRU</w:t>
      </w:r>
      <w:proofErr w:type="spellEnd"/>
      <w:r>
        <w:t xml:space="preserve"> requested that the application be processed using the Proposed Agency Action (</w:t>
      </w:r>
      <w:proofErr w:type="spellStart"/>
      <w:r>
        <w:t>PAA</w:t>
      </w:r>
      <w:proofErr w:type="spellEnd"/>
      <w:r>
        <w:t>) procedure. The test year established for final rates was the 13-month average period ended December 31, 2014.</w:t>
      </w:r>
    </w:p>
    <w:p w:rsidR="000319A1" w:rsidRDefault="000319A1" w:rsidP="00BA472C">
      <w:pPr>
        <w:autoSpaceDE w:val="0"/>
        <w:autoSpaceDN w:val="0"/>
        <w:adjustRightInd w:val="0"/>
        <w:ind w:firstLine="720"/>
        <w:jc w:val="both"/>
      </w:pPr>
    </w:p>
    <w:p w:rsidR="00BA472C" w:rsidRPr="00BA472C" w:rsidRDefault="00BA472C" w:rsidP="00BA472C">
      <w:pPr>
        <w:autoSpaceDE w:val="0"/>
        <w:autoSpaceDN w:val="0"/>
        <w:adjustRightInd w:val="0"/>
        <w:ind w:firstLine="720"/>
        <w:jc w:val="both"/>
      </w:pPr>
      <w:r>
        <w:t xml:space="preserve">On February 24, 2016, the Office of Public Counsel (OPC) filed a Notice of Intervention in this docket, and Order No. PSC-16-0114-FOF-SU acknowledging intervention was issued on March 18, 2016. </w:t>
      </w:r>
      <w:proofErr w:type="gramStart"/>
      <w:r>
        <w:t>Subsequently, by Order No.</w:t>
      </w:r>
      <w:proofErr w:type="gramEnd"/>
      <w:r>
        <w:t xml:space="preserve"> PSC-16-0123-PAA-SU (</w:t>
      </w:r>
      <w:proofErr w:type="spellStart"/>
      <w:r>
        <w:t>PAA</w:t>
      </w:r>
      <w:proofErr w:type="spellEnd"/>
      <w:r>
        <w:t xml:space="preserve"> Order), issued </w:t>
      </w:r>
      <w:r>
        <w:lastRenderedPageBreak/>
        <w:t xml:space="preserve">March 23, 2016, the Commission approved a two-phased rate designed to recover a wastewater revenue requirement of $2,238,046 in Phase I and $2,485,904 in Phase II. On April 13, 2016, OPC and Monroe County (County) timely filed protests of the </w:t>
      </w:r>
      <w:proofErr w:type="spellStart"/>
      <w:r>
        <w:t>PAA</w:t>
      </w:r>
      <w:proofErr w:type="spellEnd"/>
      <w:r>
        <w:t xml:space="preserve"> Order. By letter dated April 18, 2016, </w:t>
      </w:r>
      <w:proofErr w:type="spellStart"/>
      <w:r>
        <w:t>KWRU</w:t>
      </w:r>
      <w:proofErr w:type="spellEnd"/>
      <w:r>
        <w:t xml:space="preserve"> gave notice that it elected to put the Phase I rates approved in the </w:t>
      </w:r>
      <w:proofErr w:type="spellStart"/>
      <w:r>
        <w:t>PAA</w:t>
      </w:r>
      <w:proofErr w:type="spellEnd"/>
      <w:r>
        <w:t xml:space="preserve"> Order into effect during the pendency of the administrative hearing pursuant to Section 367.081(8), Florida Statutes (F.S.).</w:t>
      </w:r>
      <w:r>
        <w:rPr>
          <w:rStyle w:val="FootnoteReference"/>
        </w:rPr>
        <w:footnoteReference w:id="2"/>
      </w:r>
    </w:p>
    <w:p w:rsidR="00BA472C" w:rsidRDefault="00BA472C" w:rsidP="00BA472C">
      <w:pPr>
        <w:autoSpaceDE w:val="0"/>
        <w:autoSpaceDN w:val="0"/>
        <w:adjustRightInd w:val="0"/>
        <w:rPr>
          <w:sz w:val="16"/>
          <w:szCs w:val="16"/>
        </w:rPr>
      </w:pPr>
    </w:p>
    <w:p w:rsidR="00BA472C" w:rsidRDefault="00BA472C" w:rsidP="00BA472C">
      <w:pPr>
        <w:autoSpaceDE w:val="0"/>
        <w:autoSpaceDN w:val="0"/>
        <w:adjustRightInd w:val="0"/>
        <w:ind w:firstLine="720"/>
        <w:jc w:val="both"/>
      </w:pPr>
      <w:r>
        <w:t xml:space="preserve">On April 18, 2016, Harbor Shores Condominium Unit Owners Association, Inc. (Harbor Shores) timely filed a cross-petition. On April 21, 2016, </w:t>
      </w:r>
      <w:proofErr w:type="spellStart"/>
      <w:r>
        <w:t>KWRU</w:t>
      </w:r>
      <w:proofErr w:type="spellEnd"/>
      <w:r>
        <w:t xml:space="preserve"> timely filed a cross-protest. On April 26, 2016, the Harbor Shores’ representative was granted qualified representative status. A formal evidentiary hearing and service hearing were held November 7-8, 2016, in Key West. The parties filed briefs on December 9, 2016.</w:t>
      </w:r>
    </w:p>
    <w:p w:rsidR="00BA472C" w:rsidRDefault="00BA472C" w:rsidP="00BA472C">
      <w:pPr>
        <w:autoSpaceDE w:val="0"/>
        <w:autoSpaceDN w:val="0"/>
        <w:adjustRightInd w:val="0"/>
      </w:pPr>
    </w:p>
    <w:p w:rsidR="00BA472C" w:rsidRDefault="00BA472C" w:rsidP="00BA472C">
      <w:pPr>
        <w:autoSpaceDE w:val="0"/>
        <w:autoSpaceDN w:val="0"/>
        <w:adjustRightInd w:val="0"/>
        <w:ind w:firstLine="720"/>
        <w:jc w:val="both"/>
      </w:pPr>
      <w:r>
        <w:t>On February 7, 2017, the Commission voted to approve new rates and charges for the Utility. Following the Commission’s vote, a computational error was discovered within Issue 34,</w:t>
      </w:r>
      <w:r w:rsidR="000319A1">
        <w:t xml:space="preserve"> regarding</w:t>
      </w:r>
      <w:r>
        <w:t xml:space="preserve"> the appropriate miscellaneous service charges that may be charged by the Utility. </w:t>
      </w:r>
    </w:p>
    <w:p w:rsidR="00BA472C" w:rsidRDefault="00BA472C" w:rsidP="00BA472C">
      <w:pPr>
        <w:autoSpaceDE w:val="0"/>
        <w:autoSpaceDN w:val="0"/>
        <w:adjustRightInd w:val="0"/>
        <w:ind w:firstLine="720"/>
        <w:jc w:val="both"/>
      </w:pPr>
    </w:p>
    <w:p w:rsidR="0068481F" w:rsidRDefault="00BA472C" w:rsidP="00BA472C">
      <w:pPr>
        <w:autoSpaceDE w:val="0"/>
        <w:autoSpaceDN w:val="0"/>
        <w:adjustRightInd w:val="0"/>
        <w:ind w:firstLine="720"/>
        <w:jc w:val="both"/>
      </w:pPr>
      <w:r>
        <w:t xml:space="preserve">This recommendation addresses the calculation of appropriate miscellaneous service charges. The Commission has jurisdiction pursuant to Sections 367.081, F.S. </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B70B9" w:rsidRDefault="00EB70B9">
      <w:pPr>
        <w:pStyle w:val="IssueHeading"/>
        <w:rPr>
          <w:vanish/>
          <w:specVanish/>
        </w:rPr>
      </w:pPr>
      <w:r w:rsidRPr="004C3641">
        <w:t xml:space="preserve">Issue </w:t>
      </w:r>
      <w:r w:rsidR="00C8665C">
        <w:fldChar w:fldCharType="begin"/>
      </w:r>
      <w:r w:rsidR="00C8665C">
        <w:instrText xml:space="preserve"> SEQ Issue \* MERGEFORMAT </w:instrText>
      </w:r>
      <w:r w:rsidR="00C8665C">
        <w:fldChar w:fldCharType="separate"/>
      </w:r>
      <w:r w:rsidR="000266A7">
        <w:rPr>
          <w:noProof/>
        </w:rPr>
        <w:t>1</w:t>
      </w:r>
      <w:r w:rsidR="00C8665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266A7">
        <w:rPr>
          <w:noProof/>
        </w:rPr>
        <w:instrText>1</w:instrText>
      </w:r>
      <w:r>
        <w:fldChar w:fldCharType="end"/>
      </w:r>
      <w:r>
        <w:tab/>
        <w:instrText xml:space="preserve">" \l 1 </w:instrText>
      </w:r>
      <w:r>
        <w:fldChar w:fldCharType="end"/>
      </w:r>
      <w:r>
        <w:t> </w:t>
      </w:r>
    </w:p>
    <w:p w:rsidR="00EB70B9" w:rsidRDefault="00EB70B9">
      <w:pPr>
        <w:pStyle w:val="BodyText"/>
      </w:pPr>
      <w:r>
        <w:t> </w:t>
      </w:r>
      <w:r w:rsidR="00BA472C">
        <w:t>Should t</w:t>
      </w:r>
      <w:r w:rsidR="000319A1">
        <w:t>he Commission reconsider, on it</w:t>
      </w:r>
      <w:r w:rsidR="00BA472C">
        <w:t xml:space="preserve">s own motion, </w:t>
      </w:r>
      <w:r w:rsidR="000319A1">
        <w:t>its</w:t>
      </w:r>
      <w:r w:rsidR="00BA472C">
        <w:t xml:space="preserve"> vote on Issue 34 regarding calculation of miscellaneous service charges? </w:t>
      </w:r>
    </w:p>
    <w:p w:rsidR="00EB70B9" w:rsidRPr="004C3641" w:rsidRDefault="00EB70B9">
      <w:pPr>
        <w:pStyle w:val="IssueSubsectionHeading"/>
        <w:rPr>
          <w:vanish/>
          <w:specVanish/>
        </w:rPr>
      </w:pPr>
      <w:r w:rsidRPr="004C3641">
        <w:t>Recommendation: </w:t>
      </w:r>
    </w:p>
    <w:p w:rsidR="00C675BE" w:rsidRDefault="00EB70B9" w:rsidP="00C675BE">
      <w:pPr>
        <w:ind w:firstLine="720"/>
        <w:jc w:val="both"/>
      </w:pPr>
      <w:r>
        <w:t> </w:t>
      </w:r>
      <w:r w:rsidR="00BA472C">
        <w:t>Yes, the Commission, on its own motion, should reconsider a limited portion of its vote on Issue 34 with respect to the calculation of mileage that factors into the Initial Connection Charge Calculation and the Premises Visit Charge Calculation.</w:t>
      </w:r>
      <w:r w:rsidR="00C675BE">
        <w:t xml:space="preserve"> If the Commission approves staff’s recommendation, staff will incorporate this correction into the final order. </w:t>
      </w:r>
      <w:r w:rsidR="0009266F">
        <w:t>Staff should be granted</w:t>
      </w:r>
      <w:r w:rsidR="0057379C">
        <w:t xml:space="preserve"> the administrative authority to make fall-out calculations. </w:t>
      </w:r>
    </w:p>
    <w:p w:rsidR="00BA472C" w:rsidRDefault="00BA472C" w:rsidP="00BA472C">
      <w:pPr>
        <w:ind w:firstLine="720"/>
        <w:jc w:val="both"/>
      </w:pPr>
    </w:p>
    <w:p w:rsidR="00EB70B9" w:rsidRPr="00BA472C" w:rsidRDefault="00EB70B9" w:rsidP="00BA472C">
      <w:pPr>
        <w:pStyle w:val="BodyText"/>
        <w:rPr>
          <w:rFonts w:ascii="Arial" w:hAnsi="Arial" w:cs="Arial"/>
          <w:b/>
          <w:vanish/>
          <w:specVanish/>
        </w:rPr>
      </w:pPr>
      <w:r w:rsidRPr="00BA472C">
        <w:rPr>
          <w:rFonts w:ascii="Arial" w:hAnsi="Arial" w:cs="Arial"/>
          <w:b/>
          <w:i/>
        </w:rPr>
        <w:t>Staff Analysis:</w:t>
      </w:r>
      <w:r w:rsidRPr="00BA472C">
        <w:rPr>
          <w:rFonts w:ascii="Arial" w:hAnsi="Arial" w:cs="Arial"/>
          <w:b/>
        </w:rPr>
        <w:t> </w:t>
      </w:r>
    </w:p>
    <w:p w:rsidR="00BA472C" w:rsidRPr="00BA472C" w:rsidRDefault="00EB70B9" w:rsidP="00BA472C">
      <w:pPr>
        <w:pStyle w:val="BodyText"/>
        <w:rPr>
          <w:rFonts w:ascii="Arial" w:hAnsi="Arial" w:cs="Arial"/>
          <w:b/>
        </w:rPr>
      </w:pPr>
      <w:r w:rsidRPr="00BA472C">
        <w:rPr>
          <w:rFonts w:ascii="Arial" w:hAnsi="Arial" w:cs="Arial"/>
          <w:b/>
        </w:rPr>
        <w:t> </w:t>
      </w:r>
    </w:p>
    <w:p w:rsidR="00BA472C" w:rsidRDefault="00BA472C" w:rsidP="00C675BE">
      <w:pPr>
        <w:pStyle w:val="BodyText"/>
      </w:pPr>
      <w:r>
        <w:tab/>
      </w:r>
      <w:r w:rsidR="00C675BE">
        <w:t xml:space="preserve">As a general rule, administrative agencies have inherent or implied power, comparable to that </w:t>
      </w:r>
      <w:r w:rsidR="002351B8">
        <w:t>possessed</w:t>
      </w:r>
      <w:r w:rsidR="00C675BE">
        <w:t xml:space="preserve"> by courts, to rehear or reopen a cause and reconsider its action or determination therein where the proceeding is in essence a judicial one.</w:t>
      </w:r>
      <w:r w:rsidR="00C675BE">
        <w:rPr>
          <w:rStyle w:val="FootnoteReference"/>
        </w:rPr>
        <w:footnoteReference w:id="3"/>
      </w:r>
      <w:r w:rsidR="0028278E">
        <w:t xml:space="preserve"> </w:t>
      </w:r>
      <w:r w:rsidR="00C675BE">
        <w:t>This power, however, must be exercised before an appeal from the original order is filed or before such an order has become final by the lapse of time to file a timely notice of appeal.</w:t>
      </w:r>
      <w:r w:rsidR="00C675BE">
        <w:rPr>
          <w:rStyle w:val="FootnoteReference"/>
        </w:rPr>
        <w:footnoteReference w:id="4"/>
      </w:r>
      <w:r w:rsidR="00C675BE">
        <w:t xml:space="preserve">  An administrative tribunal has the power, upon its own motio</w:t>
      </w:r>
      <w:r w:rsidR="004723E2">
        <w:t>n</w:t>
      </w:r>
      <w:r w:rsidR="00C675BE">
        <w:t xml:space="preserve"> or by request, to correct or amend any orders still under its control, provided the parties will not suffer by reason of the correction or amendment.</w:t>
      </w:r>
      <w:r w:rsidR="00C675BE">
        <w:rPr>
          <w:rStyle w:val="FootnoteReference"/>
        </w:rPr>
        <w:footnoteReference w:id="5"/>
      </w:r>
      <w:r w:rsidR="0029097C">
        <w:t xml:space="preserve">  Since the final order has not yet issued, staff believes the parties will not be prejudiced by this correction, since they will still have an opportun</w:t>
      </w:r>
      <w:bookmarkStart w:id="16" w:name="_GoBack"/>
      <w:bookmarkEnd w:id="16"/>
      <w:r w:rsidR="0029097C">
        <w:t>ity to request reconsideration or appeal once the final order is issued.</w:t>
      </w:r>
    </w:p>
    <w:p w:rsidR="00BA472C" w:rsidRDefault="00BA472C" w:rsidP="00BA472C">
      <w:pPr>
        <w:pStyle w:val="BodyText"/>
        <w:ind w:firstLine="720"/>
        <w:rPr>
          <w:u w:val="single"/>
        </w:rPr>
      </w:pPr>
      <w:r>
        <w:rPr>
          <w:u w:val="single"/>
        </w:rPr>
        <w:t>Calculation Error</w:t>
      </w:r>
    </w:p>
    <w:p w:rsidR="00BA472C" w:rsidRDefault="00BA472C" w:rsidP="00560B92">
      <w:pPr>
        <w:ind w:firstLine="720"/>
        <w:jc w:val="both"/>
      </w:pPr>
      <w:r>
        <w:t xml:space="preserve">On February 7, 2017, the Commission voted to approve Issue 34, which pertains to appropriate miscellaneous service charges. Contained within these miscellaneous charges is a charge for transportation expenses. There were inadvertent calculation errors </w:t>
      </w:r>
      <w:r w:rsidR="003916BA">
        <w:t xml:space="preserve">within staff’s breakdown of </w:t>
      </w:r>
      <w:r>
        <w:t>this charge. The transportation cost for the Initial Connection Charge Calculation (Table 1) and Premises Visit Charge Calculation (Table 2) was multiplied by two</w:t>
      </w:r>
      <w:r w:rsidR="00560B92">
        <w:t xml:space="preserve"> to represent two trips for each service, when in fact it should have been calculated for only one trip. </w:t>
      </w:r>
      <w:r>
        <w:t>This resulted in a doubling of this expense such that the original calculated cost of transportation was $3.36 for Normal Hours Cost and $6.72 for After Hours Costs, when the correct charges should have been $1.68 and $3.36, respectively. This</w:t>
      </w:r>
      <w:r w:rsidR="000319A1">
        <w:t xml:space="preserve"> correction</w:t>
      </w:r>
      <w:r>
        <w:t xml:space="preserve"> results in lower miscellaneous service charges for both initial connections and premise visits. The Normal Reconnection Charge Calculation is still correct, because the calculation properly reflects a round-trip expense on behalf of the Utility. </w:t>
      </w:r>
      <w:r w:rsidR="00B607BB">
        <w:t xml:space="preserve">This is because the Normal Reconnection Charge involves two trips. A first trip to the residence is needed to shut off the water, and a second trip is necessary for reconnection. In contrast, the Initial Connection and Premises Visit Charges both involve only a single trip to the residence, thus a one-way expense calculation is all that’s required. </w:t>
      </w:r>
    </w:p>
    <w:p w:rsidR="0057379C" w:rsidRDefault="0057379C" w:rsidP="0057379C">
      <w:pPr>
        <w:ind w:firstLine="720"/>
        <w:jc w:val="both"/>
      </w:pPr>
    </w:p>
    <w:p w:rsidR="00BA472C" w:rsidRDefault="00BA472C" w:rsidP="0028278E">
      <w:pPr>
        <w:pStyle w:val="BodyText"/>
        <w:ind w:firstLine="720"/>
      </w:pPr>
      <w:r>
        <w:t xml:space="preserve">The tables below show the new figures, with the corrected numbers highlighted. </w:t>
      </w:r>
    </w:p>
    <w:p w:rsidR="00BA472C" w:rsidRDefault="00BA472C" w:rsidP="00BA472C">
      <w:pPr>
        <w:pStyle w:val="TableNumber"/>
        <w:keepNext/>
      </w:pPr>
      <w:r>
        <w:t>Table 1</w:t>
      </w:r>
    </w:p>
    <w:p w:rsidR="00BA472C" w:rsidRDefault="00BA472C" w:rsidP="00BA472C">
      <w:pPr>
        <w:pStyle w:val="TableTitle"/>
        <w:keepNext/>
      </w:pPr>
      <w:r>
        <w:t>Initial Connection Charge Calculation</w:t>
      </w:r>
    </w:p>
    <w:tbl>
      <w:tblPr>
        <w:tblW w:w="0" w:type="auto"/>
        <w:jc w:val="center"/>
        <w:tblInd w:w="144" w:type="dxa"/>
        <w:tblCellMar>
          <w:left w:w="0" w:type="dxa"/>
          <w:right w:w="0" w:type="dxa"/>
        </w:tblCellMar>
        <w:tblLook w:val="04A0" w:firstRow="1" w:lastRow="0" w:firstColumn="1" w:lastColumn="0" w:noHBand="0" w:noVBand="1"/>
      </w:tblPr>
      <w:tblGrid>
        <w:gridCol w:w="3042"/>
        <w:gridCol w:w="1530"/>
        <w:gridCol w:w="3060"/>
        <w:gridCol w:w="1440"/>
      </w:tblGrid>
      <w:tr w:rsidR="00BA472C" w:rsidTr="00BA472C">
        <w:trPr>
          <w:jc w:val="center"/>
        </w:trPr>
        <w:tc>
          <w:tcPr>
            <w:tcW w:w="3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Activity</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Normal Hours Cost</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Activity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After Hours Cost</w:t>
            </w:r>
          </w:p>
        </w:tc>
      </w:tr>
      <w:tr w:rsidR="00BA472C" w:rsidTr="00BA472C">
        <w:trPr>
          <w:jc w:val="center"/>
        </w:trPr>
        <w:tc>
          <w:tcPr>
            <w:tcW w:w="3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(Administrative)</w:t>
            </w:r>
          </w:p>
          <w:p w:rsidR="00BA472C" w:rsidRDefault="00BA472C">
            <w:pPr>
              <w:rPr>
                <w:rFonts w:eastAsiaTheme="minorHAnsi"/>
              </w:rPr>
            </w:pPr>
            <w:r>
              <w:t>($22.50/</w:t>
            </w:r>
            <w:proofErr w:type="spellStart"/>
            <w:r>
              <w:t>hr</w:t>
            </w:r>
            <w:proofErr w:type="spellEnd"/>
            <w:r>
              <w:t xml:space="preserve"> x 1 </w:t>
            </w:r>
            <w:proofErr w:type="spellStart"/>
            <w:r>
              <w:t>hr</w:t>
            </w:r>
            <w:proofErr w:type="spellEnd"/>
            <w:r>
              <w: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$22.50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(Administrative)</w:t>
            </w:r>
          </w:p>
          <w:p w:rsidR="00BA472C" w:rsidRDefault="00BA472C">
            <w:pPr>
              <w:rPr>
                <w:rFonts w:eastAsiaTheme="minorHAnsi"/>
              </w:rPr>
            </w:pPr>
            <w:r>
              <w:t>($22.50/</w:t>
            </w:r>
            <w:proofErr w:type="spellStart"/>
            <w:r>
              <w:t>hr</w:t>
            </w:r>
            <w:proofErr w:type="spellEnd"/>
            <w:r>
              <w:t xml:space="preserve"> x 1 </w:t>
            </w:r>
            <w:proofErr w:type="spellStart"/>
            <w:r>
              <w:t>hr</w:t>
            </w:r>
            <w:proofErr w:type="spellEnd"/>
            <w:r>
              <w: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$22.50</w:t>
            </w:r>
          </w:p>
        </w:tc>
      </w:tr>
      <w:tr w:rsidR="00BA472C" w:rsidTr="00BA472C">
        <w:trPr>
          <w:jc w:val="center"/>
        </w:trPr>
        <w:tc>
          <w:tcPr>
            <w:tcW w:w="3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(Field)</w:t>
            </w:r>
          </w:p>
          <w:p w:rsidR="00BA472C" w:rsidRDefault="00BA472C">
            <w:pPr>
              <w:rPr>
                <w:rFonts w:eastAsiaTheme="minorHAnsi"/>
              </w:rPr>
            </w:pPr>
            <w:r>
              <w:t>($22.50/</w:t>
            </w:r>
            <w:proofErr w:type="spellStart"/>
            <w:r>
              <w:t>hr</w:t>
            </w:r>
            <w:proofErr w:type="spellEnd"/>
            <w:r>
              <w:t xml:space="preserve"> x 1/3 </w:t>
            </w:r>
            <w:proofErr w:type="spellStart"/>
            <w:r>
              <w:t>hr</w:t>
            </w:r>
            <w:proofErr w:type="spellEnd"/>
            <w:r>
              <w: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$7.50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(Field)</w:t>
            </w:r>
          </w:p>
          <w:p w:rsidR="00BA472C" w:rsidRDefault="00BA472C">
            <w:pPr>
              <w:rPr>
                <w:rFonts w:eastAsiaTheme="minorHAnsi"/>
              </w:rPr>
            </w:pPr>
            <w:r>
              <w:t>($33.75/</w:t>
            </w:r>
            <w:proofErr w:type="spellStart"/>
            <w:r>
              <w:t>hr</w:t>
            </w:r>
            <w:proofErr w:type="spellEnd"/>
            <w:r>
              <w:t xml:space="preserve"> x1/3hr)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$11.25</w:t>
            </w:r>
          </w:p>
        </w:tc>
      </w:tr>
      <w:tr w:rsidR="00BA472C" w:rsidTr="00BA472C">
        <w:trPr>
          <w:jc w:val="center"/>
        </w:trPr>
        <w:tc>
          <w:tcPr>
            <w:tcW w:w="3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(Supervisor)</w:t>
            </w:r>
          </w:p>
          <w:p w:rsidR="00BA472C" w:rsidRDefault="00BA472C">
            <w:pPr>
              <w:rPr>
                <w:rFonts w:eastAsiaTheme="minorHAnsi"/>
              </w:rPr>
            </w:pPr>
            <w:r>
              <w:t>($68.00/</w:t>
            </w:r>
            <w:proofErr w:type="spellStart"/>
            <w:r>
              <w:t>hr</w:t>
            </w:r>
            <w:proofErr w:type="spellEnd"/>
            <w:r>
              <w:t xml:space="preserve"> x ¼ </w:t>
            </w:r>
            <w:proofErr w:type="spellStart"/>
            <w:r>
              <w:t>hr</w:t>
            </w:r>
            <w:proofErr w:type="spellEnd"/>
            <w:r>
              <w: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$17.00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(Supervisor)</w:t>
            </w:r>
          </w:p>
          <w:p w:rsidR="00BA472C" w:rsidRDefault="00BA472C">
            <w:pPr>
              <w:rPr>
                <w:rFonts w:eastAsiaTheme="minorHAnsi"/>
              </w:rPr>
            </w:pPr>
            <w:r>
              <w:t>($68.00/</w:t>
            </w:r>
            <w:proofErr w:type="spellStart"/>
            <w:r>
              <w:t>hr</w:t>
            </w:r>
            <w:proofErr w:type="spellEnd"/>
            <w:r>
              <w:t xml:space="preserve"> x ¼ </w:t>
            </w:r>
            <w:proofErr w:type="spellStart"/>
            <w:r>
              <w:t>hr</w:t>
            </w:r>
            <w:proofErr w:type="spellEnd"/>
            <w:r>
              <w: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$17.00</w:t>
            </w:r>
          </w:p>
        </w:tc>
      </w:tr>
      <w:tr w:rsidR="00BA472C" w:rsidTr="00BA472C">
        <w:trPr>
          <w:jc w:val="center"/>
        </w:trPr>
        <w:tc>
          <w:tcPr>
            <w:tcW w:w="3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Benefits &amp; Insurance (23%)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$10.81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Benefits &amp; Insurance (23%)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rPr>
            </w:pPr>
            <w:r>
              <w:t>$11.67</w:t>
            </w:r>
          </w:p>
        </w:tc>
      </w:tr>
      <w:tr w:rsidR="00BA472C" w:rsidTr="00BA472C">
        <w:trPr>
          <w:jc w:val="center"/>
        </w:trPr>
        <w:tc>
          <w:tcPr>
            <w:tcW w:w="3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 xml:space="preserve">Transportation </w:t>
            </w:r>
          </w:p>
          <w:p w:rsidR="00BA472C" w:rsidRDefault="00BA472C">
            <w:pPr>
              <w:rPr>
                <w:rFonts w:eastAsiaTheme="minorHAnsi"/>
              </w:rPr>
            </w:pPr>
            <w:r>
              <w:t>($.56/mile x 3 miles-to/from)</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u w:val="single"/>
              </w:rPr>
            </w:pPr>
            <w:r>
              <w:rPr>
                <w:u w:val="single"/>
              </w:rPr>
              <w:t>$</w:t>
            </w:r>
            <w:r>
              <w:rPr>
                <w:highlight w:val="yellow"/>
                <w:u w:val="single"/>
              </w:rPr>
              <w:t>1.68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 xml:space="preserve">Transportation </w:t>
            </w:r>
          </w:p>
          <w:p w:rsidR="00BA472C" w:rsidRDefault="00BA472C">
            <w:pPr>
              <w:rPr>
                <w:rFonts w:eastAsiaTheme="minorHAnsi"/>
              </w:rPr>
            </w:pPr>
            <w:r>
              <w:t>($.56/mile x 6 miles-to/from)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u w:val="single"/>
              </w:rPr>
            </w:pPr>
            <w:r>
              <w:rPr>
                <w:u w:val="single"/>
              </w:rPr>
              <w:t>$</w:t>
            </w:r>
            <w:r>
              <w:rPr>
                <w:highlight w:val="yellow"/>
                <w:u w:val="single"/>
              </w:rPr>
              <w:t>3.36</w:t>
            </w:r>
          </w:p>
        </w:tc>
      </w:tr>
      <w:tr w:rsidR="00BA472C" w:rsidTr="00BA472C">
        <w:trPr>
          <w:jc w:val="center"/>
        </w:trPr>
        <w:tc>
          <w:tcPr>
            <w:tcW w:w="30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Total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u w:val="single"/>
              </w:rPr>
            </w:pPr>
            <w:r>
              <w:rPr>
                <w:u w:val="single"/>
              </w:rPr>
              <w:t>$</w:t>
            </w:r>
            <w:r>
              <w:rPr>
                <w:highlight w:val="yellow"/>
                <w:u w:val="single"/>
              </w:rPr>
              <w:t>59.49</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72C" w:rsidRDefault="00BA472C">
            <w:pPr>
              <w:jc w:val="right"/>
              <w:rPr>
                <w:rFonts w:eastAsiaTheme="minorHAnsi"/>
                <w:u w:val="single"/>
              </w:rPr>
            </w:pPr>
            <w:r>
              <w:rPr>
                <w:u w:val="single"/>
              </w:rPr>
              <w:t>$</w:t>
            </w:r>
            <w:r>
              <w:rPr>
                <w:highlight w:val="yellow"/>
                <w:u w:val="single"/>
              </w:rPr>
              <w:t>65.78</w:t>
            </w:r>
          </w:p>
        </w:tc>
      </w:tr>
    </w:tbl>
    <w:p w:rsidR="00BA472C" w:rsidRDefault="00BA472C" w:rsidP="00BA472C">
      <w:pPr>
        <w:pStyle w:val="TableSource"/>
        <w:rPr>
          <w:rFonts w:eastAsiaTheme="minorHAnsi"/>
        </w:rPr>
      </w:pPr>
    </w:p>
    <w:p w:rsidR="00BA472C" w:rsidRDefault="00BA472C" w:rsidP="00BA472C">
      <w:pPr>
        <w:pStyle w:val="TableNumber"/>
        <w:keepNext/>
      </w:pPr>
      <w:r>
        <w:t>Table 2</w:t>
      </w:r>
    </w:p>
    <w:p w:rsidR="00BA472C" w:rsidRDefault="00BA472C" w:rsidP="00BA472C">
      <w:pPr>
        <w:pStyle w:val="TableTitle"/>
        <w:keepNext/>
      </w:pPr>
      <w:r>
        <w:t>Premises Visit Charge Calculation</w:t>
      </w:r>
    </w:p>
    <w:tbl>
      <w:tblPr>
        <w:tblW w:w="0" w:type="auto"/>
        <w:jc w:val="center"/>
        <w:tblInd w:w="288" w:type="dxa"/>
        <w:tblCellMar>
          <w:left w:w="0" w:type="dxa"/>
          <w:right w:w="0" w:type="dxa"/>
        </w:tblCellMar>
        <w:tblLook w:val="04A0" w:firstRow="1" w:lastRow="0" w:firstColumn="1" w:lastColumn="0" w:noHBand="0" w:noVBand="1"/>
      </w:tblPr>
      <w:tblGrid>
        <w:gridCol w:w="3123"/>
        <w:gridCol w:w="1534"/>
        <w:gridCol w:w="3068"/>
        <w:gridCol w:w="1444"/>
      </w:tblGrid>
      <w:tr w:rsidR="00BA472C" w:rsidTr="00BA472C">
        <w:trPr>
          <w:trHeight w:val="82"/>
          <w:jc w:val="center"/>
        </w:trPr>
        <w:tc>
          <w:tcPr>
            <w:tcW w:w="31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Activity</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Normal Hours Cost</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Activity</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b/>
                <w:bCs/>
              </w:rPr>
            </w:pPr>
            <w:r>
              <w:rPr>
                <w:b/>
                <w:bCs/>
              </w:rPr>
              <w:t>After Hours Cost</w:t>
            </w:r>
          </w:p>
        </w:tc>
      </w:tr>
      <w:tr w:rsidR="00BA472C" w:rsidTr="00BA472C">
        <w:trPr>
          <w:trHeight w:val="82"/>
          <w:jc w:val="center"/>
        </w:trPr>
        <w:tc>
          <w:tcPr>
            <w:tcW w:w="3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(Administrative)</w:t>
            </w:r>
          </w:p>
          <w:p w:rsidR="00BA472C" w:rsidRDefault="00BA472C">
            <w:pPr>
              <w:rPr>
                <w:rFonts w:eastAsiaTheme="minorHAnsi"/>
              </w:rPr>
            </w:pPr>
            <w:r>
              <w:t>($22.50/</w:t>
            </w:r>
            <w:proofErr w:type="spellStart"/>
            <w:r>
              <w:t>hr</w:t>
            </w:r>
            <w:proofErr w:type="spellEnd"/>
            <w:r>
              <w:t xml:space="preserve"> x 1/2 </w:t>
            </w:r>
            <w:proofErr w:type="spellStart"/>
            <w:r>
              <w:t>hr</w:t>
            </w:r>
            <w:proofErr w:type="spellEnd"/>
            <w:r>
              <w:t>)</w:t>
            </w:r>
          </w:p>
        </w:tc>
        <w:tc>
          <w:tcPr>
            <w:tcW w:w="153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rPr>
            </w:pPr>
          </w:p>
          <w:p w:rsidR="00BA472C" w:rsidRDefault="00BA472C">
            <w:pPr>
              <w:jc w:val="right"/>
              <w:rPr>
                <w:rFonts w:eastAsiaTheme="minorHAnsi"/>
              </w:rPr>
            </w:pPr>
            <w:r>
              <w:t>$11.25</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(Administrative)</w:t>
            </w:r>
          </w:p>
          <w:p w:rsidR="00BA472C" w:rsidRDefault="00BA472C">
            <w:pPr>
              <w:rPr>
                <w:rFonts w:eastAsiaTheme="minorHAnsi"/>
              </w:rPr>
            </w:pPr>
            <w:r>
              <w:t>($22.50/</w:t>
            </w:r>
            <w:proofErr w:type="spellStart"/>
            <w:r>
              <w:t>hr</w:t>
            </w:r>
            <w:proofErr w:type="spellEnd"/>
            <w:r>
              <w:t xml:space="preserve"> x 1/2 </w:t>
            </w:r>
            <w:proofErr w:type="spellStart"/>
            <w:r>
              <w:t>hr</w:t>
            </w:r>
            <w:proofErr w:type="spellEnd"/>
            <w:r>
              <w:t>)</w:t>
            </w:r>
          </w:p>
        </w:tc>
        <w:tc>
          <w:tcPr>
            <w:tcW w:w="144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rPr>
            </w:pPr>
          </w:p>
          <w:p w:rsidR="00BA472C" w:rsidRDefault="00BA472C">
            <w:pPr>
              <w:jc w:val="right"/>
              <w:rPr>
                <w:rFonts w:eastAsiaTheme="minorHAnsi"/>
              </w:rPr>
            </w:pPr>
            <w:r>
              <w:t>$11.25</w:t>
            </w:r>
          </w:p>
        </w:tc>
      </w:tr>
      <w:tr w:rsidR="00BA472C" w:rsidTr="00BA472C">
        <w:trPr>
          <w:trHeight w:val="82"/>
          <w:jc w:val="center"/>
        </w:trPr>
        <w:tc>
          <w:tcPr>
            <w:tcW w:w="3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(Field)</w:t>
            </w:r>
          </w:p>
          <w:p w:rsidR="00BA472C" w:rsidRDefault="00BA472C">
            <w:pPr>
              <w:rPr>
                <w:rFonts w:eastAsiaTheme="minorHAnsi"/>
              </w:rPr>
            </w:pPr>
            <w:r>
              <w:t>($22.50/</w:t>
            </w:r>
            <w:proofErr w:type="spellStart"/>
            <w:r>
              <w:t>hr</w:t>
            </w:r>
            <w:proofErr w:type="spellEnd"/>
            <w:r>
              <w:t xml:space="preserve"> x 1/3 </w:t>
            </w:r>
            <w:proofErr w:type="spellStart"/>
            <w:r>
              <w:t>hr</w:t>
            </w:r>
            <w:proofErr w:type="spellEnd"/>
            <w:r>
              <w:t>)</w:t>
            </w:r>
          </w:p>
        </w:tc>
        <w:tc>
          <w:tcPr>
            <w:tcW w:w="153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rPr>
            </w:pPr>
          </w:p>
          <w:p w:rsidR="00BA472C" w:rsidRDefault="00BA472C">
            <w:pPr>
              <w:jc w:val="right"/>
              <w:rPr>
                <w:rFonts w:eastAsiaTheme="minorHAnsi"/>
              </w:rPr>
            </w:pPr>
            <w:r>
              <w:t>$7.50</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(Field)</w:t>
            </w:r>
          </w:p>
          <w:p w:rsidR="00BA472C" w:rsidRDefault="00BA472C">
            <w:pPr>
              <w:rPr>
                <w:rFonts w:eastAsiaTheme="minorHAnsi"/>
              </w:rPr>
            </w:pPr>
            <w:r>
              <w:t>($33.75/</w:t>
            </w:r>
            <w:proofErr w:type="spellStart"/>
            <w:r>
              <w:t>hr</w:t>
            </w:r>
            <w:proofErr w:type="spellEnd"/>
            <w:r>
              <w:t xml:space="preserve"> x1/3hr)</w:t>
            </w:r>
          </w:p>
        </w:tc>
        <w:tc>
          <w:tcPr>
            <w:tcW w:w="144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rPr>
            </w:pPr>
          </w:p>
          <w:p w:rsidR="00BA472C" w:rsidRDefault="00BA472C">
            <w:pPr>
              <w:jc w:val="right"/>
              <w:rPr>
                <w:rFonts w:eastAsiaTheme="minorHAnsi"/>
              </w:rPr>
            </w:pPr>
            <w:r>
              <w:t>$11.25</w:t>
            </w:r>
          </w:p>
        </w:tc>
      </w:tr>
      <w:tr w:rsidR="00BA472C" w:rsidTr="00BA472C">
        <w:trPr>
          <w:trHeight w:val="82"/>
          <w:jc w:val="center"/>
        </w:trPr>
        <w:tc>
          <w:tcPr>
            <w:tcW w:w="3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(Supervisor)</w:t>
            </w:r>
          </w:p>
          <w:p w:rsidR="00BA472C" w:rsidRDefault="00BA472C">
            <w:pPr>
              <w:rPr>
                <w:rFonts w:eastAsiaTheme="minorHAnsi"/>
              </w:rPr>
            </w:pPr>
            <w:r>
              <w:t>($68.00/</w:t>
            </w:r>
            <w:proofErr w:type="spellStart"/>
            <w:r>
              <w:t>hr</w:t>
            </w:r>
            <w:proofErr w:type="spellEnd"/>
            <w:r>
              <w:t xml:space="preserve"> x 1/4hr)</w:t>
            </w:r>
          </w:p>
        </w:tc>
        <w:tc>
          <w:tcPr>
            <w:tcW w:w="153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rPr>
            </w:pPr>
          </w:p>
          <w:p w:rsidR="00BA472C" w:rsidRDefault="00BA472C">
            <w:pPr>
              <w:jc w:val="right"/>
              <w:rPr>
                <w:rFonts w:eastAsiaTheme="minorHAnsi"/>
              </w:rPr>
            </w:pPr>
            <w:r>
              <w:t>$17.00</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Labor (Supervisor)</w:t>
            </w:r>
          </w:p>
          <w:p w:rsidR="00BA472C" w:rsidRDefault="00BA472C">
            <w:pPr>
              <w:rPr>
                <w:rFonts w:eastAsiaTheme="minorHAnsi"/>
              </w:rPr>
            </w:pPr>
            <w:r>
              <w:t>($68.00/</w:t>
            </w:r>
            <w:proofErr w:type="spellStart"/>
            <w:r>
              <w:t>hr</w:t>
            </w:r>
            <w:proofErr w:type="spellEnd"/>
            <w:r>
              <w:t xml:space="preserve"> x 1/4 </w:t>
            </w:r>
            <w:proofErr w:type="spellStart"/>
            <w:r>
              <w:t>hr</w:t>
            </w:r>
            <w:proofErr w:type="spellEnd"/>
            <w:r>
              <w:t>)</w:t>
            </w:r>
          </w:p>
        </w:tc>
        <w:tc>
          <w:tcPr>
            <w:tcW w:w="144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rPr>
            </w:pPr>
          </w:p>
          <w:p w:rsidR="00BA472C" w:rsidRDefault="00BA472C">
            <w:pPr>
              <w:jc w:val="right"/>
              <w:rPr>
                <w:rFonts w:eastAsiaTheme="minorHAnsi"/>
              </w:rPr>
            </w:pPr>
            <w:r>
              <w:t>$17.00</w:t>
            </w:r>
          </w:p>
        </w:tc>
      </w:tr>
      <w:tr w:rsidR="00BA472C" w:rsidTr="00BA472C">
        <w:trPr>
          <w:trHeight w:val="42"/>
          <w:jc w:val="center"/>
        </w:trPr>
        <w:tc>
          <w:tcPr>
            <w:tcW w:w="3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Benefits &amp; Insurance (23%)</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jc w:val="right"/>
              <w:rPr>
                <w:rFonts w:eastAsiaTheme="minorHAnsi"/>
              </w:rPr>
            </w:pPr>
            <w:r>
              <w:t>$8.22</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Benefits &amp; Insurance (23%)</w:t>
            </w:r>
          </w:p>
        </w:tc>
        <w:tc>
          <w:tcPr>
            <w:tcW w:w="1444"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jc w:val="right"/>
              <w:rPr>
                <w:rFonts w:eastAsiaTheme="minorHAnsi"/>
              </w:rPr>
            </w:pPr>
            <w:r>
              <w:t>$9.09</w:t>
            </w:r>
          </w:p>
        </w:tc>
      </w:tr>
      <w:tr w:rsidR="00BA472C" w:rsidTr="00BA472C">
        <w:trPr>
          <w:trHeight w:val="82"/>
          <w:jc w:val="center"/>
        </w:trPr>
        <w:tc>
          <w:tcPr>
            <w:tcW w:w="3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 xml:space="preserve">Transportation </w:t>
            </w:r>
          </w:p>
          <w:p w:rsidR="00BA472C" w:rsidRDefault="00BA472C">
            <w:pPr>
              <w:rPr>
                <w:rFonts w:eastAsiaTheme="minorHAnsi"/>
              </w:rPr>
            </w:pPr>
            <w:r>
              <w:t>($.56/mile x 3 miles-to/from)</w:t>
            </w:r>
          </w:p>
        </w:tc>
        <w:tc>
          <w:tcPr>
            <w:tcW w:w="153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u w:val="single"/>
              </w:rPr>
            </w:pPr>
          </w:p>
          <w:p w:rsidR="00BA472C" w:rsidRDefault="00BA472C">
            <w:pPr>
              <w:jc w:val="right"/>
              <w:rPr>
                <w:rFonts w:eastAsiaTheme="minorHAnsi"/>
                <w:u w:val="single"/>
              </w:rPr>
            </w:pPr>
            <w:r>
              <w:rPr>
                <w:u w:val="single"/>
              </w:rPr>
              <w:t>$</w:t>
            </w:r>
            <w:r>
              <w:rPr>
                <w:highlight w:val="yellow"/>
                <w:u w:val="single"/>
              </w:rPr>
              <w:t>1.68</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 xml:space="preserve">Transportation </w:t>
            </w:r>
          </w:p>
          <w:p w:rsidR="00BA472C" w:rsidRDefault="00BA472C">
            <w:pPr>
              <w:rPr>
                <w:rFonts w:eastAsiaTheme="minorHAnsi"/>
              </w:rPr>
            </w:pPr>
            <w:r>
              <w:t>($.56/mile x 6 miles-to/from)</w:t>
            </w:r>
          </w:p>
        </w:tc>
        <w:tc>
          <w:tcPr>
            <w:tcW w:w="1444" w:type="dxa"/>
            <w:tcBorders>
              <w:top w:val="nil"/>
              <w:left w:val="nil"/>
              <w:bottom w:val="single" w:sz="8" w:space="0" w:color="auto"/>
              <w:right w:val="single" w:sz="8" w:space="0" w:color="auto"/>
            </w:tcBorders>
            <w:tcMar>
              <w:top w:w="0" w:type="dxa"/>
              <w:left w:w="108" w:type="dxa"/>
              <w:bottom w:w="0" w:type="dxa"/>
              <w:right w:w="108" w:type="dxa"/>
            </w:tcMar>
          </w:tcPr>
          <w:p w:rsidR="00BA472C" w:rsidRDefault="00BA472C">
            <w:pPr>
              <w:jc w:val="right"/>
              <w:rPr>
                <w:rFonts w:eastAsiaTheme="minorHAnsi"/>
                <w:u w:val="single"/>
              </w:rPr>
            </w:pPr>
          </w:p>
          <w:p w:rsidR="00BA472C" w:rsidRDefault="00BA472C">
            <w:pPr>
              <w:jc w:val="right"/>
              <w:rPr>
                <w:rFonts w:eastAsiaTheme="minorHAnsi"/>
                <w:u w:val="single"/>
              </w:rPr>
            </w:pPr>
            <w:r>
              <w:rPr>
                <w:u w:val="single"/>
              </w:rPr>
              <w:t>$</w:t>
            </w:r>
            <w:r>
              <w:rPr>
                <w:highlight w:val="yellow"/>
                <w:u w:val="single"/>
              </w:rPr>
              <w:t>3.36</w:t>
            </w:r>
          </w:p>
        </w:tc>
      </w:tr>
      <w:tr w:rsidR="00BA472C" w:rsidTr="00BA472C">
        <w:trPr>
          <w:trHeight w:val="40"/>
          <w:jc w:val="center"/>
        </w:trPr>
        <w:tc>
          <w:tcPr>
            <w:tcW w:w="3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Total</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jc w:val="right"/>
              <w:rPr>
                <w:rFonts w:eastAsiaTheme="minorHAnsi"/>
                <w:u w:val="single"/>
              </w:rPr>
            </w:pPr>
            <w:r>
              <w:rPr>
                <w:u w:val="single"/>
              </w:rPr>
              <w:t>$</w:t>
            </w:r>
            <w:r>
              <w:rPr>
                <w:highlight w:val="yellow"/>
                <w:u w:val="single"/>
              </w:rPr>
              <w:t>45.65</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Total</w:t>
            </w:r>
          </w:p>
        </w:tc>
        <w:tc>
          <w:tcPr>
            <w:tcW w:w="1444" w:type="dxa"/>
            <w:tcBorders>
              <w:top w:val="nil"/>
              <w:left w:val="nil"/>
              <w:bottom w:val="single" w:sz="8" w:space="0" w:color="auto"/>
              <w:right w:val="single" w:sz="8" w:space="0" w:color="auto"/>
            </w:tcBorders>
            <w:tcMar>
              <w:top w:w="0" w:type="dxa"/>
              <w:left w:w="108" w:type="dxa"/>
              <w:bottom w:w="0" w:type="dxa"/>
              <w:right w:w="108" w:type="dxa"/>
            </w:tcMar>
            <w:hideMark/>
          </w:tcPr>
          <w:p w:rsidR="00BA472C" w:rsidRDefault="00BA472C">
            <w:pPr>
              <w:jc w:val="right"/>
              <w:rPr>
                <w:rFonts w:eastAsiaTheme="minorHAnsi"/>
                <w:u w:val="single"/>
              </w:rPr>
            </w:pPr>
            <w:r>
              <w:rPr>
                <w:u w:val="single"/>
              </w:rPr>
              <w:t xml:space="preserve">$ </w:t>
            </w:r>
            <w:r>
              <w:rPr>
                <w:highlight w:val="yellow"/>
                <w:u w:val="single"/>
              </w:rPr>
              <w:t>51.95</w:t>
            </w:r>
          </w:p>
        </w:tc>
      </w:tr>
    </w:tbl>
    <w:p w:rsidR="005D700C" w:rsidRDefault="005D700C" w:rsidP="005D700C">
      <w:pPr>
        <w:keepNext/>
        <w:spacing w:before="480"/>
        <w:rPr>
          <w:rFonts w:ascii="Arial" w:hAnsi="Arial" w:cs="Arial"/>
          <w:b/>
          <w:bCs/>
        </w:rPr>
      </w:pPr>
    </w:p>
    <w:p w:rsidR="005D700C" w:rsidRPr="005D700C" w:rsidRDefault="005D700C" w:rsidP="005D700C">
      <w:pPr>
        <w:jc w:val="center"/>
      </w:pPr>
      <w:r>
        <w:br w:type="page"/>
      </w:r>
    </w:p>
    <w:p w:rsidR="00BA472C" w:rsidRDefault="005D700C" w:rsidP="005D700C">
      <w:pPr>
        <w:keepNext/>
        <w:spacing w:before="480"/>
        <w:jc w:val="center"/>
        <w:rPr>
          <w:rFonts w:ascii="Arial" w:hAnsi="Arial" w:cs="Arial"/>
          <w:b/>
          <w:bCs/>
        </w:rPr>
      </w:pPr>
      <w:r>
        <w:rPr>
          <w:rFonts w:ascii="Arial" w:hAnsi="Arial" w:cs="Arial"/>
          <w:b/>
          <w:bCs/>
        </w:rPr>
        <w:lastRenderedPageBreak/>
        <w:t>Table 3</w:t>
      </w:r>
    </w:p>
    <w:p w:rsidR="00BA472C" w:rsidRDefault="00BA472C" w:rsidP="00BA472C">
      <w:pPr>
        <w:keepNext/>
        <w:jc w:val="center"/>
        <w:rPr>
          <w:rFonts w:ascii="Arial" w:hAnsi="Arial" w:cs="Arial"/>
          <w:b/>
          <w:bCs/>
        </w:rPr>
      </w:pPr>
      <w:r>
        <w:rPr>
          <w:rFonts w:ascii="Arial" w:hAnsi="Arial" w:cs="Arial"/>
          <w:b/>
          <w:bCs/>
        </w:rPr>
        <w:t>Miscellaneous Service Charges</w:t>
      </w:r>
    </w:p>
    <w:tbl>
      <w:tblPr>
        <w:tblW w:w="0" w:type="auto"/>
        <w:jc w:val="center"/>
        <w:tblLayout w:type="fixed"/>
        <w:tblCellMar>
          <w:left w:w="0" w:type="dxa"/>
          <w:right w:w="0" w:type="dxa"/>
        </w:tblCellMar>
        <w:tblLook w:val="04A0" w:firstRow="1" w:lastRow="0" w:firstColumn="1" w:lastColumn="0" w:noHBand="0" w:noVBand="1"/>
      </w:tblPr>
      <w:tblGrid>
        <w:gridCol w:w="1612"/>
        <w:gridCol w:w="1337"/>
        <w:gridCol w:w="1174"/>
        <w:gridCol w:w="1425"/>
        <w:gridCol w:w="1337"/>
        <w:gridCol w:w="1337"/>
        <w:gridCol w:w="20"/>
        <w:gridCol w:w="1339"/>
      </w:tblGrid>
      <w:tr w:rsidR="00BA472C" w:rsidTr="00AA4BB7">
        <w:trPr>
          <w:trHeight w:val="60"/>
          <w:jc w:val="center"/>
        </w:trPr>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Charge</w:t>
            </w:r>
          </w:p>
        </w:tc>
        <w:tc>
          <w:tcPr>
            <w:tcW w:w="25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Utility’s Existing Charges</w:t>
            </w:r>
          </w:p>
        </w:tc>
        <w:tc>
          <w:tcPr>
            <w:tcW w:w="27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Utility’s Proposed Charges</w:t>
            </w:r>
          </w:p>
        </w:tc>
        <w:tc>
          <w:tcPr>
            <w:tcW w:w="26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Staff’s Recommended Charges</w:t>
            </w:r>
          </w:p>
        </w:tc>
      </w:tr>
      <w:tr w:rsidR="00BA472C" w:rsidTr="00AA4BB7">
        <w:trPr>
          <w:trHeight w:val="501"/>
          <w:jc w:val="center"/>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472C" w:rsidRDefault="00BA472C">
            <w:pPr>
              <w:rPr>
                <w:rFonts w:eastAsiaTheme="minorHAnsi"/>
              </w:rPr>
            </w:pP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Normal Hours</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After Hours</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Normal</w:t>
            </w:r>
          </w:p>
          <w:p w:rsidR="00BA472C" w:rsidRDefault="00BA472C">
            <w:pPr>
              <w:rPr>
                <w:rFonts w:eastAsiaTheme="minorHAnsi"/>
              </w:rPr>
            </w:pPr>
            <w:r>
              <w:t>Hours</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After Hours</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Normal Hours</w:t>
            </w:r>
          </w:p>
        </w:tc>
        <w:tc>
          <w:tcPr>
            <w:tcW w:w="13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After</w:t>
            </w:r>
          </w:p>
          <w:p w:rsidR="00BA472C" w:rsidRDefault="00BA472C">
            <w:pPr>
              <w:rPr>
                <w:rFonts w:eastAsiaTheme="minorHAnsi"/>
              </w:rPr>
            </w:pPr>
            <w:r>
              <w:t>Hours</w:t>
            </w:r>
          </w:p>
        </w:tc>
      </w:tr>
      <w:tr w:rsidR="00BA472C" w:rsidTr="00AA4BB7">
        <w:trPr>
          <w:trHeight w:val="501"/>
          <w:jc w:val="center"/>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Initial Connection</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$15.00</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N/A</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$75.00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$125.00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w:t>
            </w:r>
            <w:r>
              <w:rPr>
                <w:highlight w:val="yellow"/>
              </w:rPr>
              <w:t>59.50</w:t>
            </w:r>
          </w:p>
        </w:tc>
        <w:tc>
          <w:tcPr>
            <w:tcW w:w="13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w:t>
            </w:r>
            <w:r>
              <w:rPr>
                <w:highlight w:val="yellow"/>
              </w:rPr>
              <w:t>65.80</w:t>
            </w:r>
          </w:p>
        </w:tc>
      </w:tr>
      <w:tr w:rsidR="00BA472C" w:rsidTr="00AA4BB7">
        <w:trPr>
          <w:trHeight w:val="514"/>
          <w:jc w:val="center"/>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Normal Reconnection</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$15.00</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N/A</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$75.00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$125.00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$65.80</w:t>
            </w:r>
          </w:p>
        </w:tc>
        <w:tc>
          <w:tcPr>
            <w:tcW w:w="13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$76.10</w:t>
            </w:r>
          </w:p>
        </w:tc>
      </w:tr>
      <w:tr w:rsidR="00BA472C" w:rsidTr="00AA4BB7">
        <w:trPr>
          <w:trHeight w:val="501"/>
          <w:jc w:val="center"/>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Violation Reconnection</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Actual Cost</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N/A</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$150.00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$225.00</w:t>
            </w:r>
          </w:p>
        </w:tc>
        <w:tc>
          <w:tcPr>
            <w:tcW w:w="269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rPr>
            </w:pPr>
            <w:r>
              <w:t>Actual Cost</w:t>
            </w:r>
          </w:p>
        </w:tc>
      </w:tr>
      <w:tr w:rsidR="00BA472C" w:rsidTr="00AA4BB7">
        <w:trPr>
          <w:trHeight w:val="501"/>
          <w:jc w:val="center"/>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472C" w:rsidRDefault="00BA472C">
            <w:pPr>
              <w:rPr>
                <w:rFonts w:eastAsiaTheme="minorHAnsi"/>
              </w:rPr>
            </w:pPr>
            <w:r>
              <w:t>Premises Visit</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$20.00</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$45.00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$65.00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$125.00</w:t>
            </w:r>
          </w:p>
        </w:tc>
        <w:tc>
          <w:tcPr>
            <w:tcW w:w="13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rPr>
                <w:rFonts w:eastAsiaTheme="minorHAnsi"/>
              </w:rPr>
            </w:pPr>
            <w:r>
              <w:t>$</w:t>
            </w:r>
            <w:r>
              <w:rPr>
                <w:highlight w:val="yellow"/>
              </w:rPr>
              <w:t>45.70</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472C" w:rsidRDefault="00BA472C">
            <w:pPr>
              <w:jc w:val="center"/>
              <w:rPr>
                <w:rFonts w:eastAsiaTheme="minorHAnsi"/>
              </w:rPr>
            </w:pPr>
            <w:r>
              <w:rPr>
                <w:highlight w:val="yellow"/>
              </w:rPr>
              <w:t>$52.00</w:t>
            </w:r>
          </w:p>
        </w:tc>
      </w:tr>
      <w:tr w:rsidR="00BA472C" w:rsidTr="00AA4BB7">
        <w:trPr>
          <w:jc w:val="center"/>
        </w:trPr>
        <w:tc>
          <w:tcPr>
            <w:tcW w:w="1612" w:type="dxa"/>
            <w:vAlign w:val="center"/>
            <w:hideMark/>
          </w:tcPr>
          <w:p w:rsidR="00BA472C" w:rsidRDefault="00BA472C">
            <w:pPr>
              <w:rPr>
                <w:sz w:val="20"/>
                <w:szCs w:val="20"/>
              </w:rPr>
            </w:pPr>
          </w:p>
        </w:tc>
        <w:tc>
          <w:tcPr>
            <w:tcW w:w="1337" w:type="dxa"/>
            <w:vAlign w:val="center"/>
            <w:hideMark/>
          </w:tcPr>
          <w:p w:rsidR="00BA472C" w:rsidRDefault="00BA472C">
            <w:pPr>
              <w:rPr>
                <w:sz w:val="20"/>
                <w:szCs w:val="20"/>
              </w:rPr>
            </w:pPr>
          </w:p>
        </w:tc>
        <w:tc>
          <w:tcPr>
            <w:tcW w:w="1174" w:type="dxa"/>
            <w:vAlign w:val="center"/>
            <w:hideMark/>
          </w:tcPr>
          <w:p w:rsidR="00BA472C" w:rsidRDefault="00BA472C">
            <w:pPr>
              <w:rPr>
                <w:sz w:val="20"/>
                <w:szCs w:val="20"/>
              </w:rPr>
            </w:pPr>
          </w:p>
        </w:tc>
        <w:tc>
          <w:tcPr>
            <w:tcW w:w="1425" w:type="dxa"/>
            <w:vAlign w:val="center"/>
            <w:hideMark/>
          </w:tcPr>
          <w:p w:rsidR="00BA472C" w:rsidRDefault="00BA472C">
            <w:pPr>
              <w:rPr>
                <w:sz w:val="20"/>
                <w:szCs w:val="20"/>
              </w:rPr>
            </w:pPr>
          </w:p>
        </w:tc>
        <w:tc>
          <w:tcPr>
            <w:tcW w:w="1337" w:type="dxa"/>
            <w:vAlign w:val="center"/>
            <w:hideMark/>
          </w:tcPr>
          <w:p w:rsidR="00BA472C" w:rsidRDefault="00BA472C">
            <w:pPr>
              <w:rPr>
                <w:sz w:val="20"/>
                <w:szCs w:val="20"/>
              </w:rPr>
            </w:pPr>
          </w:p>
        </w:tc>
        <w:tc>
          <w:tcPr>
            <w:tcW w:w="1337" w:type="dxa"/>
            <w:vAlign w:val="center"/>
            <w:hideMark/>
          </w:tcPr>
          <w:p w:rsidR="00BA472C" w:rsidRDefault="00BA472C">
            <w:pPr>
              <w:rPr>
                <w:sz w:val="20"/>
                <w:szCs w:val="20"/>
              </w:rPr>
            </w:pPr>
          </w:p>
        </w:tc>
        <w:tc>
          <w:tcPr>
            <w:tcW w:w="15" w:type="dxa"/>
            <w:vAlign w:val="center"/>
            <w:hideMark/>
          </w:tcPr>
          <w:p w:rsidR="00BA472C" w:rsidRDefault="00BA472C">
            <w:pPr>
              <w:rPr>
                <w:sz w:val="20"/>
                <w:szCs w:val="20"/>
              </w:rPr>
            </w:pPr>
          </w:p>
        </w:tc>
        <w:tc>
          <w:tcPr>
            <w:tcW w:w="1339" w:type="dxa"/>
            <w:vAlign w:val="center"/>
            <w:hideMark/>
          </w:tcPr>
          <w:p w:rsidR="00BA472C" w:rsidRDefault="00BA472C">
            <w:pPr>
              <w:rPr>
                <w:sz w:val="20"/>
                <w:szCs w:val="20"/>
              </w:rPr>
            </w:pPr>
          </w:p>
        </w:tc>
      </w:tr>
    </w:tbl>
    <w:p w:rsidR="00BA472C" w:rsidRPr="00BA472C" w:rsidRDefault="00BA472C">
      <w:pPr>
        <w:pStyle w:val="IssueHeading"/>
        <w:rPr>
          <w:rFonts w:ascii="Times New Roman" w:hAnsi="Times New Roman" w:cs="Times New Roman"/>
          <w:b w:val="0"/>
          <w:i w:val="0"/>
        </w:rPr>
      </w:pPr>
    </w:p>
    <w:p w:rsidR="00BA472C" w:rsidRPr="00BA472C" w:rsidRDefault="00BA472C" w:rsidP="00BA472C">
      <w:pPr>
        <w:pStyle w:val="IssueHeading"/>
        <w:ind w:left="720"/>
        <w:rPr>
          <w:rFonts w:ascii="Times New Roman" w:hAnsi="Times New Roman" w:cs="Times New Roman"/>
          <w:b w:val="0"/>
          <w:i w:val="0"/>
          <w:u w:val="single"/>
        </w:rPr>
      </w:pPr>
      <w:r w:rsidRPr="00BA472C">
        <w:rPr>
          <w:rFonts w:ascii="Times New Roman" w:hAnsi="Times New Roman" w:cs="Times New Roman"/>
          <w:b w:val="0"/>
          <w:i w:val="0"/>
          <w:u w:val="single"/>
        </w:rPr>
        <w:t>Conclusion</w:t>
      </w:r>
    </w:p>
    <w:p w:rsidR="00A25F21" w:rsidRDefault="003916BA" w:rsidP="00A25F21">
      <w:pPr>
        <w:ind w:firstLine="720"/>
        <w:jc w:val="both"/>
      </w:pPr>
      <w:r>
        <w:t>S</w:t>
      </w:r>
      <w:r w:rsidR="00BA472C">
        <w:t xml:space="preserve">taff recommends that the Commission, on its own motion, reconsider a limited portion of its vote in Issue 34 with respect to the calculation of mileage that factors into the Initial Connection Charge Calculation and the Premises Visit Charge Calculation, and approve the charges as shown in the tables above. </w:t>
      </w:r>
      <w:r w:rsidR="00C675BE">
        <w:t xml:space="preserve"> </w:t>
      </w:r>
      <w:r w:rsidR="00A25F21">
        <w:t xml:space="preserve">If the Commission approves staff’s recommendation, staff will incorporate this correction into the final order. Staff should be granted the administrative authority to make fall-out calculations. </w:t>
      </w:r>
    </w:p>
    <w:p w:rsidR="00EB70B9" w:rsidRDefault="00EB70B9" w:rsidP="005E12C2">
      <w:pPr>
        <w:jc w:val="both"/>
        <w:rPr>
          <w:vanish/>
          <w:specVanish/>
        </w:rPr>
      </w:pPr>
      <w:r w:rsidRPr="004C3641">
        <w:br w:type="page"/>
      </w:r>
      <w:r w:rsidRPr="005E12C2">
        <w:rPr>
          <w:rFonts w:ascii="Arial" w:hAnsi="Arial" w:cs="Arial"/>
          <w:b/>
          <w:bCs/>
          <w:i/>
          <w:iCs/>
          <w:szCs w:val="28"/>
        </w:rPr>
        <w:lastRenderedPageBreak/>
        <w:t xml:space="preserve">Issue </w:t>
      </w:r>
      <w:r w:rsidR="00C8665C" w:rsidRPr="005E12C2">
        <w:rPr>
          <w:rFonts w:ascii="Arial" w:hAnsi="Arial" w:cs="Arial"/>
          <w:b/>
          <w:bCs/>
          <w:i/>
          <w:iCs/>
          <w:szCs w:val="28"/>
        </w:rPr>
        <w:fldChar w:fldCharType="begin"/>
      </w:r>
      <w:r w:rsidR="00C8665C" w:rsidRPr="005E12C2">
        <w:rPr>
          <w:rFonts w:ascii="Arial" w:hAnsi="Arial" w:cs="Arial"/>
          <w:b/>
          <w:bCs/>
          <w:i/>
          <w:iCs/>
          <w:szCs w:val="28"/>
        </w:rPr>
        <w:instrText xml:space="preserve"> SEQ Issue \* MERGEFORMAT </w:instrText>
      </w:r>
      <w:r w:rsidR="00C8665C" w:rsidRPr="005E12C2">
        <w:rPr>
          <w:rFonts w:ascii="Arial" w:hAnsi="Arial" w:cs="Arial"/>
          <w:b/>
          <w:bCs/>
          <w:i/>
          <w:iCs/>
          <w:szCs w:val="28"/>
        </w:rPr>
        <w:fldChar w:fldCharType="separate"/>
      </w:r>
      <w:r w:rsidR="000266A7" w:rsidRPr="005E12C2">
        <w:rPr>
          <w:rFonts w:ascii="Arial" w:hAnsi="Arial" w:cs="Arial"/>
          <w:b/>
          <w:bCs/>
          <w:i/>
          <w:iCs/>
          <w:szCs w:val="28"/>
        </w:rPr>
        <w:t>2</w:t>
      </w:r>
      <w:r w:rsidR="00C8665C" w:rsidRPr="005E12C2">
        <w:rPr>
          <w:rFonts w:ascii="Arial" w:hAnsi="Arial" w:cs="Arial"/>
          <w:b/>
          <w:bCs/>
          <w:i/>
          <w:iCs/>
          <w:szCs w:val="28"/>
        </w:rPr>
        <w:fldChar w:fldCharType="end"/>
      </w:r>
      <w:r w:rsidRPr="005E12C2">
        <w:rPr>
          <w:rFonts w:ascii="Arial" w:hAnsi="Arial" w:cs="Arial"/>
          <w:b/>
          <w:bCs/>
          <w:i/>
          <w:iCs/>
          <w:szCs w:val="28"/>
        </w:rPr>
        <w:t>:</w:t>
      </w:r>
      <w:r>
        <w:fldChar w:fldCharType="begin"/>
      </w:r>
      <w:r>
        <w:instrText xml:space="preserve"> TC "</w:instrText>
      </w:r>
      <w:r>
        <w:fldChar w:fldCharType="begin"/>
      </w:r>
      <w:r>
        <w:instrText xml:space="preserve"> SEQ issue \c </w:instrText>
      </w:r>
      <w:r>
        <w:fldChar w:fldCharType="separate"/>
      </w:r>
      <w:r w:rsidR="000266A7">
        <w:rPr>
          <w:noProof/>
        </w:rPr>
        <w:instrText>2</w:instrText>
      </w:r>
      <w:r>
        <w:fldChar w:fldCharType="end"/>
      </w:r>
      <w:r>
        <w:tab/>
        <w:instrText xml:space="preserve">" \l 1 </w:instrText>
      </w:r>
      <w:r>
        <w:fldChar w:fldCharType="end"/>
      </w:r>
      <w:r>
        <w:t> </w:t>
      </w:r>
    </w:p>
    <w:p w:rsidR="00EB70B9" w:rsidRDefault="00EB70B9">
      <w:pPr>
        <w:pStyle w:val="BodyText"/>
      </w:pPr>
      <w:r>
        <w:t> Should this docket be closed?</w:t>
      </w:r>
    </w:p>
    <w:p w:rsidR="00EB70B9" w:rsidRPr="004C3641" w:rsidRDefault="00EB70B9">
      <w:pPr>
        <w:pStyle w:val="IssueSubsectionHeading"/>
        <w:rPr>
          <w:vanish/>
          <w:specVanish/>
        </w:rPr>
      </w:pPr>
      <w:r w:rsidRPr="004C3641">
        <w:t>Recommendation: </w:t>
      </w:r>
    </w:p>
    <w:p w:rsidR="000319A1" w:rsidRPr="000319A1" w:rsidRDefault="00EB70B9" w:rsidP="000319A1">
      <w:pPr>
        <w:jc w:val="both"/>
      </w:pPr>
      <w:r>
        <w:t> </w:t>
      </w:r>
      <w:r w:rsidR="00BA472C">
        <w:t xml:space="preserve">No, </w:t>
      </w:r>
      <w:r w:rsidR="000319A1">
        <w:t>p</w:t>
      </w:r>
      <w:r w:rsidR="000319A1" w:rsidRPr="000319A1">
        <w:t>ursuant to the Commission’s February 7, vote, this docket should remain open for staff’s verification that the Utility has completed the recommended refunds, the revised tariff sheets and customer notice have been filed by the Utility and approved by staff</w:t>
      </w:r>
      <w:r w:rsidR="003916BA">
        <w:t xml:space="preserve">, and </w:t>
      </w:r>
      <w:proofErr w:type="spellStart"/>
      <w:r w:rsidR="000319A1" w:rsidRPr="000319A1">
        <w:t>KWRU</w:t>
      </w:r>
      <w:proofErr w:type="spellEnd"/>
      <w:r w:rsidR="000319A1" w:rsidRPr="000319A1">
        <w:t xml:space="preserve"> has notified the Commission in writing that the adjustments for all applicable </w:t>
      </w:r>
      <w:proofErr w:type="spellStart"/>
      <w:r w:rsidR="000319A1" w:rsidRPr="000319A1">
        <w:t>NARUC</w:t>
      </w:r>
      <w:proofErr w:type="spellEnd"/>
      <w:r w:rsidR="000319A1" w:rsidRPr="000319A1">
        <w:t xml:space="preserve"> </w:t>
      </w:r>
      <w:proofErr w:type="spellStart"/>
      <w:r w:rsidR="000319A1" w:rsidRPr="000319A1">
        <w:t>USOA</w:t>
      </w:r>
      <w:proofErr w:type="spellEnd"/>
      <w:r w:rsidR="000319A1" w:rsidRPr="000319A1">
        <w:t xml:space="preserve"> primary accounts have been made. Once these actions are complete, this docket should be closed administratively</w:t>
      </w:r>
    </w:p>
    <w:p w:rsidR="00EB70B9" w:rsidRDefault="00EB70B9">
      <w:pPr>
        <w:pStyle w:val="BodyText"/>
      </w:pPr>
    </w:p>
    <w:p w:rsidR="00EB70B9" w:rsidRPr="004C3641" w:rsidRDefault="00EB70B9">
      <w:pPr>
        <w:pStyle w:val="IssueSubsectionHeading"/>
        <w:rPr>
          <w:vanish/>
          <w:specVanish/>
        </w:rPr>
      </w:pPr>
      <w:r w:rsidRPr="004C3641">
        <w:t>Staff Analysis: </w:t>
      </w:r>
    </w:p>
    <w:p w:rsidR="000319A1" w:rsidRDefault="00EB70B9">
      <w:pPr>
        <w:pStyle w:val="BodyText"/>
      </w:pPr>
      <w:r>
        <w:t> </w:t>
      </w:r>
      <w:r w:rsidR="000319A1">
        <w:t>P</w:t>
      </w:r>
      <w:r w:rsidR="000319A1" w:rsidRPr="000319A1">
        <w:t>ursuant to the Commission’s February 7, vote, this docket should remain open for staff’s verification that the Utility has completed the recommended refunds, the revised tariff sheets and customer notice have been filed by the Utility</w:t>
      </w:r>
      <w:r w:rsidR="003916BA">
        <w:t xml:space="preserve"> and approved by staff, and</w:t>
      </w:r>
      <w:r w:rsidR="000319A1" w:rsidRPr="000319A1">
        <w:t xml:space="preserve"> </w:t>
      </w:r>
      <w:proofErr w:type="spellStart"/>
      <w:r w:rsidR="000319A1" w:rsidRPr="000319A1">
        <w:t>KWRU</w:t>
      </w:r>
      <w:proofErr w:type="spellEnd"/>
      <w:r w:rsidR="000319A1" w:rsidRPr="000319A1">
        <w:t xml:space="preserve"> has notified the Commission in writing that the adjustments for all applicable </w:t>
      </w:r>
      <w:proofErr w:type="spellStart"/>
      <w:r w:rsidR="000319A1" w:rsidRPr="000319A1">
        <w:t>NARUC</w:t>
      </w:r>
      <w:proofErr w:type="spellEnd"/>
      <w:r w:rsidR="000319A1" w:rsidRPr="000319A1">
        <w:t xml:space="preserve"> </w:t>
      </w:r>
      <w:proofErr w:type="spellStart"/>
      <w:r w:rsidR="000319A1" w:rsidRPr="000319A1">
        <w:t>USOA</w:t>
      </w:r>
      <w:proofErr w:type="spellEnd"/>
      <w:r w:rsidR="000319A1" w:rsidRPr="000319A1">
        <w:t xml:space="preserve"> primary accounts have been made. Once these actions are complete, this docket should be closed administratively</w:t>
      </w:r>
    </w:p>
    <w:p w:rsidR="000319A1" w:rsidRDefault="000319A1">
      <w:pPr>
        <w:pStyle w:val="BodyText"/>
      </w:pPr>
    </w:p>
    <w:p w:rsidR="000319A1" w:rsidRDefault="000319A1">
      <w:pPr>
        <w:pStyle w:val="BodyText"/>
      </w:pPr>
    </w:p>
    <w:p w:rsidR="000319A1" w:rsidRDefault="000319A1" w:rsidP="000319A1">
      <w:pPr>
        <w:rPr>
          <w:rFonts w:ascii="Arial" w:hAnsi="Arial" w:cs="Arial"/>
        </w:rPr>
      </w:pPr>
    </w:p>
    <w:p w:rsidR="00EB70B9" w:rsidRDefault="00BA472C">
      <w:pPr>
        <w:pStyle w:val="BodyText"/>
      </w:pPr>
      <w:r>
        <w:t xml:space="preserve">  </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B9" w:rsidRDefault="00EB70B9">
      <w:r>
        <w:separator/>
      </w:r>
    </w:p>
  </w:endnote>
  <w:endnote w:type="continuationSeparator" w:id="0">
    <w:p w:rsidR="00EB70B9" w:rsidRDefault="00EB70B9">
      <w:r>
        <w:continuationSeparator/>
      </w:r>
    </w:p>
  </w:endnote>
  <w:endnote w:type="continuationNotice" w:id="1">
    <w:p w:rsidR="00BA472C" w:rsidRDefault="00BA4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F087D">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B9" w:rsidRDefault="00EB70B9">
      <w:r>
        <w:separator/>
      </w:r>
    </w:p>
  </w:footnote>
  <w:footnote w:type="continuationSeparator" w:id="0">
    <w:p w:rsidR="00EB70B9" w:rsidRDefault="00EB70B9">
      <w:r>
        <w:continuationSeparator/>
      </w:r>
    </w:p>
  </w:footnote>
  <w:footnote w:type="continuationNotice" w:id="1">
    <w:p w:rsidR="00BA472C" w:rsidRDefault="00BA472C"/>
  </w:footnote>
  <w:footnote w:id="2">
    <w:p w:rsidR="00BA472C" w:rsidRDefault="00BA472C">
      <w:pPr>
        <w:pStyle w:val="FootnoteText"/>
      </w:pPr>
      <w:r>
        <w:rPr>
          <w:rStyle w:val="FootnoteReference"/>
        </w:rPr>
        <w:footnoteRef/>
      </w:r>
      <w:r>
        <w:t xml:space="preserve"> Pursuant to Ch. 226-2016, Laws of Florida, Section 367.081(8), F.S., was renumbered as subsection (10). However, this statute was in effect when </w:t>
      </w:r>
      <w:proofErr w:type="spellStart"/>
      <w:r>
        <w:t>KWRU</w:t>
      </w:r>
      <w:proofErr w:type="spellEnd"/>
      <w:r>
        <w:t xml:space="preserve"> implemented the </w:t>
      </w:r>
      <w:proofErr w:type="spellStart"/>
      <w:r>
        <w:t>PAA</w:t>
      </w:r>
      <w:proofErr w:type="spellEnd"/>
      <w:r>
        <w:t xml:space="preserve"> rates. </w:t>
      </w:r>
    </w:p>
  </w:footnote>
  <w:footnote w:id="3">
    <w:p w:rsidR="00C675BE" w:rsidRPr="00C675BE" w:rsidRDefault="00C675BE">
      <w:pPr>
        <w:pStyle w:val="FootnoteText"/>
      </w:pPr>
      <w:r>
        <w:rPr>
          <w:rStyle w:val="FootnoteReference"/>
        </w:rPr>
        <w:footnoteRef/>
      </w:r>
      <w:r>
        <w:t xml:space="preserve"> </w:t>
      </w:r>
      <w:r>
        <w:rPr>
          <w:u w:val="single"/>
        </w:rPr>
        <w:t>Reich v. Dept. of Health</w:t>
      </w:r>
      <w:r>
        <w:t xml:space="preserve">, 868 So. </w:t>
      </w:r>
      <w:proofErr w:type="gramStart"/>
      <w:r>
        <w:t>2d 1275 (Fla. 1</w:t>
      </w:r>
      <w:r w:rsidRPr="00C675BE">
        <w:rPr>
          <w:vertAlign w:val="superscript"/>
        </w:rPr>
        <w:t>st</w:t>
      </w:r>
      <w:r>
        <w:t xml:space="preserve"> </w:t>
      </w:r>
      <w:proofErr w:type="spellStart"/>
      <w:r>
        <w:t>DCA</w:t>
      </w:r>
      <w:proofErr w:type="spellEnd"/>
      <w:r>
        <w:t xml:space="preserve"> 2004); </w:t>
      </w:r>
      <w:proofErr w:type="spellStart"/>
      <w:r>
        <w:rPr>
          <w:u w:val="single"/>
        </w:rPr>
        <w:t>Smull</w:t>
      </w:r>
      <w:proofErr w:type="spellEnd"/>
      <w:r>
        <w:rPr>
          <w:u w:val="single"/>
        </w:rPr>
        <w:t xml:space="preserve"> v. Town of Jupiter</w:t>
      </w:r>
      <w:r>
        <w:t>, 854 So.</w:t>
      </w:r>
      <w:proofErr w:type="gramEnd"/>
      <w:r>
        <w:t xml:space="preserve"> </w:t>
      </w:r>
      <w:proofErr w:type="gramStart"/>
      <w:r>
        <w:t>2d 780 (Fla. 4</w:t>
      </w:r>
      <w:r w:rsidRPr="00C675BE">
        <w:rPr>
          <w:vertAlign w:val="superscript"/>
        </w:rPr>
        <w:t>th</w:t>
      </w:r>
      <w:r w:rsidR="0028278E">
        <w:t xml:space="preserve"> </w:t>
      </w:r>
      <w:proofErr w:type="spellStart"/>
      <w:r w:rsidR="0028278E">
        <w:t>DCA</w:t>
      </w:r>
      <w:proofErr w:type="spellEnd"/>
      <w:r w:rsidR="0028278E">
        <w:t xml:space="preserve"> 2003</w:t>
      </w:r>
      <w:r>
        <w:t>).</w:t>
      </w:r>
      <w:proofErr w:type="gramEnd"/>
    </w:p>
  </w:footnote>
  <w:footnote w:id="4">
    <w:p w:rsidR="00C675BE" w:rsidRPr="00C675BE" w:rsidRDefault="00C675BE">
      <w:pPr>
        <w:pStyle w:val="FootnoteText"/>
        <w:rPr>
          <w:u w:val="single"/>
        </w:rPr>
      </w:pPr>
      <w:r>
        <w:rPr>
          <w:rStyle w:val="FootnoteReference"/>
        </w:rPr>
        <w:footnoteRef/>
      </w:r>
      <w:r>
        <w:t xml:space="preserve"> </w:t>
      </w:r>
      <w:r>
        <w:rPr>
          <w:u w:val="single"/>
        </w:rPr>
        <w:t>Id</w:t>
      </w:r>
      <w:r w:rsidRPr="0028278E">
        <w:t>.</w:t>
      </w:r>
    </w:p>
  </w:footnote>
  <w:footnote w:id="5">
    <w:p w:rsidR="00C675BE" w:rsidRPr="00C675BE" w:rsidRDefault="00C675BE">
      <w:pPr>
        <w:pStyle w:val="FootnoteText"/>
      </w:pPr>
      <w:r>
        <w:rPr>
          <w:rStyle w:val="FootnoteReference"/>
        </w:rPr>
        <w:footnoteRef/>
      </w:r>
      <w:r>
        <w:t xml:space="preserve"> </w:t>
      </w:r>
      <w:r>
        <w:rPr>
          <w:u w:val="single"/>
        </w:rPr>
        <w:t>Boyd v. Southeastern Tel. Co.</w:t>
      </w:r>
      <w:r>
        <w:t xml:space="preserve">, 105 So. </w:t>
      </w:r>
      <w:proofErr w:type="gramStart"/>
      <w:r>
        <w:t>2d 889 (Fla. 1958).</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EB70B9"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150071-SU</w:t>
    </w:r>
    <w:bookmarkEnd w:id="14"/>
  </w:p>
  <w:p w:rsidR="00212B17" w:rsidRDefault="00212B17">
    <w:pPr>
      <w:pStyle w:val="Header"/>
    </w:pPr>
    <w:r>
      <w:t xml:space="preserve">Date: </w:t>
    </w:r>
    <w:fldSimple w:instr=" REF FilingDate ">
      <w:r w:rsidR="000266A7">
        <w:t>February 23,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0266A7">
      <w:t>Docket No.</w:t>
    </w:r>
    <w:r>
      <w:fldChar w:fldCharType="end"/>
    </w:r>
    <w:r>
      <w:t xml:space="preserve"> </w:t>
    </w:r>
    <w:r>
      <w:fldChar w:fldCharType="begin"/>
    </w:r>
    <w:r>
      <w:instrText xml:space="preserve"> REF DocketList</w:instrText>
    </w:r>
    <w:r>
      <w:fldChar w:fldCharType="separate"/>
    </w:r>
    <w:r w:rsidR="000266A7">
      <w:t>150071-SU</w:t>
    </w:r>
    <w:r>
      <w:fldChar w:fldCharType="end"/>
    </w:r>
    <w:r>
      <w:tab/>
      <w:t xml:space="preserve">Issue </w:t>
    </w:r>
    <w:fldSimple w:instr=" Seq Issue \c \* Arabic ">
      <w:r w:rsidR="001F087D">
        <w:rPr>
          <w:noProof/>
        </w:rPr>
        <w:t>2</w:t>
      </w:r>
    </w:fldSimple>
  </w:p>
  <w:p w:rsidR="00212B17" w:rsidRDefault="00212B17">
    <w:pPr>
      <w:pStyle w:val="Header"/>
    </w:pPr>
    <w:r>
      <w:t xml:space="preserve">Date: </w:t>
    </w:r>
    <w:fldSimple w:instr=" REF FilingDate ">
      <w:r w:rsidR="000266A7">
        <w:t>February 23,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B70B9"/>
    <w:rsid w:val="000043D5"/>
    <w:rsid w:val="00010E37"/>
    <w:rsid w:val="000172DA"/>
    <w:rsid w:val="000247C5"/>
    <w:rsid w:val="0002568B"/>
    <w:rsid w:val="000266A7"/>
    <w:rsid w:val="000277C2"/>
    <w:rsid w:val="000319A1"/>
    <w:rsid w:val="00035B48"/>
    <w:rsid w:val="00036CE2"/>
    <w:rsid w:val="000437FE"/>
    <w:rsid w:val="000513BE"/>
    <w:rsid w:val="00065A06"/>
    <w:rsid w:val="000666F3"/>
    <w:rsid w:val="00070DCB"/>
    <w:rsid w:val="00073120"/>
    <w:rsid w:val="000764D0"/>
    <w:rsid w:val="000828D3"/>
    <w:rsid w:val="0009266F"/>
    <w:rsid w:val="000A2B57"/>
    <w:rsid w:val="000A418B"/>
    <w:rsid w:val="000C4431"/>
    <w:rsid w:val="000D1C06"/>
    <w:rsid w:val="000D4319"/>
    <w:rsid w:val="000F374A"/>
    <w:rsid w:val="00117C8C"/>
    <w:rsid w:val="00124E2E"/>
    <w:rsid w:val="00125ED4"/>
    <w:rsid w:val="001305E9"/>
    <w:rsid w:val="001307AF"/>
    <w:rsid w:val="00135687"/>
    <w:rsid w:val="0015506E"/>
    <w:rsid w:val="00163031"/>
    <w:rsid w:val="00171A90"/>
    <w:rsid w:val="00180254"/>
    <w:rsid w:val="0018071D"/>
    <w:rsid w:val="001915C6"/>
    <w:rsid w:val="00191E1F"/>
    <w:rsid w:val="00192943"/>
    <w:rsid w:val="001A7406"/>
    <w:rsid w:val="001B4FEE"/>
    <w:rsid w:val="001B51C5"/>
    <w:rsid w:val="001B6F3F"/>
    <w:rsid w:val="001C52B5"/>
    <w:rsid w:val="001D0D3E"/>
    <w:rsid w:val="001F087D"/>
    <w:rsid w:val="001F2245"/>
    <w:rsid w:val="001F6DA1"/>
    <w:rsid w:val="002044E6"/>
    <w:rsid w:val="00205C82"/>
    <w:rsid w:val="00205DC2"/>
    <w:rsid w:val="00212B17"/>
    <w:rsid w:val="002163B6"/>
    <w:rsid w:val="00220732"/>
    <w:rsid w:val="00221D32"/>
    <w:rsid w:val="00225C3F"/>
    <w:rsid w:val="002351B8"/>
    <w:rsid w:val="00263D44"/>
    <w:rsid w:val="002702AD"/>
    <w:rsid w:val="0028278E"/>
    <w:rsid w:val="0029097C"/>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916BA"/>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71860"/>
    <w:rsid w:val="004723E2"/>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1695B"/>
    <w:rsid w:val="0052572A"/>
    <w:rsid w:val="00543CB3"/>
    <w:rsid w:val="00560B92"/>
    <w:rsid w:val="00560FF0"/>
    <w:rsid w:val="005614BD"/>
    <w:rsid w:val="0057154F"/>
    <w:rsid w:val="0057379C"/>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D700C"/>
    <w:rsid w:val="005E12C2"/>
    <w:rsid w:val="005F468D"/>
    <w:rsid w:val="005F69A3"/>
    <w:rsid w:val="00604CC7"/>
    <w:rsid w:val="006056F0"/>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C6511"/>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2830"/>
    <w:rsid w:val="00975CB4"/>
    <w:rsid w:val="0098639D"/>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5F21"/>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4BB7"/>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607BB"/>
    <w:rsid w:val="00B760F1"/>
    <w:rsid w:val="00B7669E"/>
    <w:rsid w:val="00B77DA1"/>
    <w:rsid w:val="00B858AE"/>
    <w:rsid w:val="00B85964"/>
    <w:rsid w:val="00B96250"/>
    <w:rsid w:val="00BA0D55"/>
    <w:rsid w:val="00BA37B3"/>
    <w:rsid w:val="00BA472C"/>
    <w:rsid w:val="00BA4CC6"/>
    <w:rsid w:val="00BB3493"/>
    <w:rsid w:val="00BB7468"/>
    <w:rsid w:val="00BC188A"/>
    <w:rsid w:val="00BD0F48"/>
    <w:rsid w:val="00BF5010"/>
    <w:rsid w:val="00C03D5F"/>
    <w:rsid w:val="00C13791"/>
    <w:rsid w:val="00C31BB3"/>
    <w:rsid w:val="00C36977"/>
    <w:rsid w:val="00C467DA"/>
    <w:rsid w:val="00C477D9"/>
    <w:rsid w:val="00C60BA3"/>
    <w:rsid w:val="00C623F7"/>
    <w:rsid w:val="00C675BE"/>
    <w:rsid w:val="00C75BC5"/>
    <w:rsid w:val="00C81670"/>
    <w:rsid w:val="00C81773"/>
    <w:rsid w:val="00C82861"/>
    <w:rsid w:val="00C86896"/>
    <w:rsid w:val="00C907A8"/>
    <w:rsid w:val="00C93211"/>
    <w:rsid w:val="00C942EC"/>
    <w:rsid w:val="00C95118"/>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B70B9"/>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BA472C"/>
    <w:rPr>
      <w:vertAlign w:val="superscript"/>
    </w:rPr>
  </w:style>
  <w:style w:type="character" w:styleId="EndnoteReference">
    <w:name w:val="endnote reference"/>
    <w:basedOn w:val="DefaultParagraphFont"/>
    <w:rsid w:val="00C675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BA472C"/>
    <w:rPr>
      <w:vertAlign w:val="superscript"/>
    </w:rPr>
  </w:style>
  <w:style w:type="character" w:styleId="EndnoteReference">
    <w:name w:val="endnote reference"/>
    <w:basedOn w:val="DefaultParagraphFont"/>
    <w:rsid w:val="00C675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5427">
      <w:bodyDiv w:val="1"/>
      <w:marLeft w:val="0"/>
      <w:marRight w:val="0"/>
      <w:marTop w:val="0"/>
      <w:marBottom w:val="0"/>
      <w:divBdr>
        <w:top w:val="none" w:sz="0" w:space="0" w:color="auto"/>
        <w:left w:val="none" w:sz="0" w:space="0" w:color="auto"/>
        <w:bottom w:val="none" w:sz="0" w:space="0" w:color="auto"/>
        <w:right w:val="none" w:sz="0" w:space="0" w:color="auto"/>
      </w:divBdr>
    </w:div>
    <w:div w:id="1460493835">
      <w:bodyDiv w:val="1"/>
      <w:marLeft w:val="0"/>
      <w:marRight w:val="0"/>
      <w:marTop w:val="0"/>
      <w:marBottom w:val="0"/>
      <w:divBdr>
        <w:top w:val="none" w:sz="0" w:space="0" w:color="auto"/>
        <w:left w:val="none" w:sz="0" w:space="0" w:color="auto"/>
        <w:bottom w:val="none" w:sz="0" w:space="0" w:color="auto"/>
        <w:right w:val="none" w:sz="0" w:space="0" w:color="auto"/>
      </w:divBdr>
    </w:div>
    <w:div w:id="20931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2B9C-09DD-4D0B-BF02-1BDEAB42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1370</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Ashley Soete</dc:creator>
  <cp:lastModifiedBy>Ashley Soete</cp:lastModifiedBy>
  <cp:revision>2</cp:revision>
  <cp:lastPrinted>2017-02-23T15:29:00Z</cp:lastPrinted>
  <dcterms:created xsi:type="dcterms:W3CDTF">2017-02-23T16:08:00Z</dcterms:created>
  <dcterms:modified xsi:type="dcterms:W3CDTF">2017-02-23T16:08:00Z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150071-SU</vt:lpwstr>
  </property>
  <property fmtid="{D5CDD505-2E9C-101B-9397-08002B2CF9AE}" pid="3" name="MasterDocument">
    <vt:bool>false</vt:bool>
  </property>
</Properties>
</file>