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2FB7" w:rsidP="00372FB7">
      <w:pPr>
        <w:pStyle w:val="OrderHeading"/>
      </w:pPr>
      <w:r>
        <w:t>BEFORE THE FLORIDA PUBLIC SERVICE COMMISSION</w:t>
      </w:r>
    </w:p>
    <w:p w:rsidR="00372FB7" w:rsidRDefault="00372FB7" w:rsidP="00372FB7">
      <w:pPr>
        <w:pStyle w:val="OrderHeading"/>
      </w:pPr>
    </w:p>
    <w:p w:rsidR="00372FB7" w:rsidRDefault="00372FB7" w:rsidP="00372F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2FB7" w:rsidRPr="00C63FCF" w:rsidTr="00C63FCF">
        <w:trPr>
          <w:trHeight w:val="828"/>
        </w:trPr>
        <w:tc>
          <w:tcPr>
            <w:tcW w:w="4788" w:type="dxa"/>
            <w:tcBorders>
              <w:bottom w:val="nil"/>
              <w:right w:val="double" w:sz="6" w:space="0" w:color="auto"/>
            </w:tcBorders>
            <w:shd w:val="clear" w:color="auto" w:fill="auto"/>
          </w:tcPr>
          <w:p w:rsidR="00372FB7" w:rsidRDefault="00372FB7" w:rsidP="00C63FCF">
            <w:pPr>
              <w:pStyle w:val="OrderBody"/>
              <w:tabs>
                <w:tab w:val="center" w:pos="4320"/>
                <w:tab w:val="right" w:pos="8640"/>
              </w:tabs>
              <w:jc w:val="left"/>
            </w:pPr>
            <w:r>
              <w:t xml:space="preserve">In re: </w:t>
            </w:r>
            <w:bookmarkStart w:id="0" w:name="SMInRe"/>
            <w:bookmarkEnd w:id="0"/>
            <w:r>
              <w:t>Petition for rate increase by Gulf Power Company.</w:t>
            </w:r>
          </w:p>
          <w:p w:rsidR="00372FB7" w:rsidRDefault="00372FB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72FB7" w:rsidRDefault="00372FB7" w:rsidP="00C63FCF">
            <w:pPr>
              <w:pStyle w:val="OrderBody"/>
              <w:tabs>
                <w:tab w:val="center" w:pos="4320"/>
                <w:tab w:val="right" w:pos="8640"/>
              </w:tabs>
              <w:jc w:val="left"/>
            </w:pPr>
            <w:r>
              <w:t xml:space="preserve">DOCKET NO. </w:t>
            </w:r>
            <w:bookmarkStart w:id="1" w:name="SMDocketNo"/>
            <w:bookmarkEnd w:id="1"/>
            <w:r>
              <w:t>160186-EI</w:t>
            </w:r>
          </w:p>
        </w:tc>
      </w:tr>
      <w:tr w:rsidR="00372FB7" w:rsidRPr="00C63FCF" w:rsidTr="00C63FCF">
        <w:trPr>
          <w:trHeight w:val="828"/>
        </w:trPr>
        <w:tc>
          <w:tcPr>
            <w:tcW w:w="4788" w:type="dxa"/>
            <w:tcBorders>
              <w:top w:val="nil"/>
              <w:bottom w:val="single" w:sz="8" w:space="0" w:color="auto"/>
              <w:right w:val="double" w:sz="6" w:space="0" w:color="auto"/>
            </w:tcBorders>
            <w:shd w:val="clear" w:color="auto" w:fill="auto"/>
          </w:tcPr>
          <w:p w:rsidR="00372FB7" w:rsidRDefault="00372FB7"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372FB7" w:rsidRDefault="00372FB7" w:rsidP="00372FB7">
            <w:pPr>
              <w:pStyle w:val="OrderBody"/>
            </w:pPr>
            <w:r>
              <w:t xml:space="preserve">DOCKET NO. </w:t>
            </w:r>
            <w:bookmarkStart w:id="2" w:name="SMDocketNo2"/>
            <w:bookmarkEnd w:id="2"/>
            <w:r>
              <w:t>160170-EI</w:t>
            </w:r>
          </w:p>
          <w:p w:rsidR="00372FB7" w:rsidRDefault="00372FB7" w:rsidP="00C63FCF">
            <w:pPr>
              <w:pStyle w:val="OrderBody"/>
              <w:tabs>
                <w:tab w:val="center" w:pos="4320"/>
                <w:tab w:val="right" w:pos="8640"/>
              </w:tabs>
              <w:jc w:val="left"/>
            </w:pPr>
            <w:r>
              <w:t xml:space="preserve">ORDER NO. </w:t>
            </w:r>
            <w:bookmarkStart w:id="3" w:name="OrderNo0096"/>
            <w:r w:rsidR="00072C5F">
              <w:t>PSC-17-0096-PCO-EI</w:t>
            </w:r>
            <w:bookmarkEnd w:id="3"/>
          </w:p>
          <w:p w:rsidR="00372FB7" w:rsidRDefault="00372FB7" w:rsidP="00C63FCF">
            <w:pPr>
              <w:pStyle w:val="OrderBody"/>
              <w:tabs>
                <w:tab w:val="center" w:pos="4320"/>
                <w:tab w:val="right" w:pos="8640"/>
              </w:tabs>
              <w:jc w:val="left"/>
            </w:pPr>
            <w:r>
              <w:t xml:space="preserve">ISSUED: </w:t>
            </w:r>
            <w:r w:rsidR="00072C5F">
              <w:t>March 14, 2017</w:t>
            </w:r>
          </w:p>
          <w:p w:rsidR="00372FB7" w:rsidRDefault="00372FB7" w:rsidP="00C63FCF">
            <w:pPr>
              <w:pStyle w:val="OrderBody"/>
              <w:tabs>
                <w:tab w:val="center" w:pos="4320"/>
                <w:tab w:val="right" w:pos="8640"/>
              </w:tabs>
              <w:jc w:val="left"/>
            </w:pPr>
          </w:p>
        </w:tc>
      </w:tr>
    </w:tbl>
    <w:p w:rsidR="00372FB7" w:rsidRDefault="00372FB7" w:rsidP="00372FB7"/>
    <w:p w:rsidR="00372FB7" w:rsidRDefault="00372FB7" w:rsidP="00372FB7"/>
    <w:p w:rsidR="00A96239" w:rsidRDefault="00372FB7" w:rsidP="00372FB7">
      <w:pPr>
        <w:pStyle w:val="CenterUnderline"/>
      </w:pPr>
      <w:bookmarkStart w:id="4" w:name="Commissioners"/>
      <w:bookmarkEnd w:id="4"/>
      <w:r>
        <w:t>ORDER</w:t>
      </w:r>
      <w:bookmarkStart w:id="5" w:name="OrderTitle"/>
      <w:r>
        <w:t xml:space="preserve"> DENYING THE OFFICE OF PUBLIC COUNSEL’S</w:t>
      </w:r>
      <w:r w:rsidR="00A96239">
        <w:t xml:space="preserve"> </w:t>
      </w:r>
      <w:r>
        <w:t>MOTION TO STRIKE</w:t>
      </w:r>
    </w:p>
    <w:p w:rsidR="00CB5276" w:rsidRDefault="00372FB7" w:rsidP="00372FB7">
      <w:pPr>
        <w:pStyle w:val="CenterUnderline"/>
      </w:pPr>
      <w:r>
        <w:t xml:space="preserve">A PORTION OF REBUTTAL TESTIMONY FILED BY JEFFREY A. BURLESON </w:t>
      </w:r>
      <w:bookmarkEnd w:id="5"/>
    </w:p>
    <w:p w:rsidR="00372FB7" w:rsidRDefault="00372FB7" w:rsidP="00372FB7">
      <w:pPr>
        <w:pStyle w:val="OrderBody"/>
      </w:pPr>
    </w:p>
    <w:p w:rsidR="00A96239" w:rsidRDefault="00A96239" w:rsidP="00372FB7">
      <w:pPr>
        <w:pStyle w:val="OrderBody"/>
      </w:pPr>
    </w:p>
    <w:p w:rsidR="00374253" w:rsidRDefault="00374253" w:rsidP="001B5845">
      <w:pPr>
        <w:ind w:firstLine="720"/>
        <w:jc w:val="both"/>
      </w:pPr>
      <w:bookmarkStart w:id="6" w:name="OrderText"/>
      <w:bookmarkEnd w:id="6"/>
      <w:r>
        <w:t xml:space="preserve">On August 12, 2016, Gulf Power Company (Gulf) filed a test year letter, as required by Rule 25-6.140, F.A.C., notifying this Commission of its intent to file a petition between October 11 and October 28, 2016, for an increase in rates effective </w:t>
      </w:r>
      <w:r w:rsidRPr="00FC79D5">
        <w:t>2017.  P</w:t>
      </w:r>
      <w:r>
        <w:t>ursuant to the provisions of Chapter 366, Florida Statutes (F.S.), and Rules 25-6.0425 and 25-6.043, F.A.C., Gulf filed its Minimum Filing Requirements and testimony on October 12, 2016.  On November 9, 2016, Docket No. 160170-EI (2016 Depreciation and Dismantlement Studies) was consolidated into the rate case docket, Docket No. 160186-EI.</w:t>
      </w:r>
      <w:r>
        <w:rPr>
          <w:rStyle w:val="FootnoteReference"/>
        </w:rPr>
        <w:footnoteReference w:id="1"/>
      </w:r>
      <w:r>
        <w:t xml:space="preserve">  The Office of Public Counsel</w:t>
      </w:r>
      <w:r w:rsidR="00C341FE">
        <w:t xml:space="preserve"> (OPC)</w:t>
      </w:r>
      <w:r>
        <w:t>, Federal Executive Agencies, Southern Alliance for Clean Energy, Florida Industrial Power Users Group, League of Women Voters of Florida, Wal-Mart Stores East, LP and Sam’s East, Inc., and Sierra Club are parties to this proceeding.</w:t>
      </w:r>
      <w:r>
        <w:rPr>
          <w:rStyle w:val="FootnoteReference"/>
        </w:rPr>
        <w:footnoteReference w:id="2"/>
      </w:r>
      <w:r>
        <w:t xml:space="preserve">  </w:t>
      </w:r>
      <w:bookmarkStart w:id="9" w:name="_GoBack"/>
      <w:bookmarkEnd w:id="9"/>
    </w:p>
    <w:p w:rsidR="00374253" w:rsidRDefault="00374253" w:rsidP="00166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5845" w:rsidRDefault="001B5845" w:rsidP="00166682">
      <w:pPr>
        <w:ind w:firstLine="720"/>
        <w:jc w:val="both"/>
      </w:pPr>
      <w:r>
        <w:t xml:space="preserve">On </w:t>
      </w:r>
      <w:r w:rsidR="0089559E">
        <w:t>October 12, 2016, Gulf filed the direct testimony of its witnesses</w:t>
      </w:r>
      <w:r w:rsidR="002B0315">
        <w:t>,</w:t>
      </w:r>
      <w:r w:rsidR="0089559E">
        <w:t xml:space="preserve"> which included </w:t>
      </w:r>
      <w:r w:rsidR="00A96239">
        <w:t>Witness</w:t>
      </w:r>
      <w:r w:rsidR="0089559E">
        <w:t xml:space="preserve"> Burleson.  </w:t>
      </w:r>
      <w:r w:rsidR="00A96239" w:rsidRPr="00BB05A0">
        <w:t>On</w:t>
      </w:r>
      <w:r w:rsidR="00A96239">
        <w:t xml:space="preserve"> October 20, 2016,</w:t>
      </w:r>
      <w:r w:rsidR="00A96239" w:rsidRPr="00BB05A0">
        <w:t xml:space="preserve"> </w:t>
      </w:r>
      <w:r w:rsidR="00A96239">
        <w:t xml:space="preserve">Order No. PSC-16-0473-PCO-EI </w:t>
      </w:r>
      <w:r w:rsidR="00A96239" w:rsidRPr="00BB05A0">
        <w:t>(Order Establishing Procedure)</w:t>
      </w:r>
      <w:r w:rsidR="00A96239">
        <w:t>, was issued, setting out the controlling dates and scheduling this</w:t>
      </w:r>
      <w:r w:rsidR="00A96239" w:rsidRPr="00BB05A0">
        <w:t xml:space="preserve"> matter for an admin</w:t>
      </w:r>
      <w:r w:rsidR="00A96239">
        <w:t>istrative hearing on March 20</w:t>
      </w:r>
      <w:r w:rsidR="00A96239" w:rsidRPr="00BB05A0">
        <w:t>–2</w:t>
      </w:r>
      <w:r w:rsidR="00A96239">
        <w:t>4</w:t>
      </w:r>
      <w:r w:rsidR="00A96239" w:rsidRPr="00BB05A0">
        <w:t>, 201</w:t>
      </w:r>
      <w:r w:rsidR="00DD2C82">
        <w:t>7</w:t>
      </w:r>
      <w:r w:rsidR="00A96239" w:rsidRPr="00BB05A0">
        <w:t>.</w:t>
      </w:r>
      <w:r w:rsidR="00A96239">
        <w:t xml:space="preserve">  </w:t>
      </w:r>
      <w:r w:rsidR="0089559E">
        <w:t xml:space="preserve">On January 13, 2017, the Intervenors, including OPC, and Commission staff filed direct testimony.  On February 8, 2017, Gulf filed rebuttal testimony </w:t>
      </w:r>
      <w:r w:rsidR="00C341FE">
        <w:t xml:space="preserve">on behalf </w:t>
      </w:r>
      <w:r w:rsidR="0089559E">
        <w:t>of its witnesses, which included</w:t>
      </w:r>
      <w:r w:rsidR="00A96239">
        <w:t xml:space="preserve"> Witness</w:t>
      </w:r>
      <w:r w:rsidR="0089559E">
        <w:t xml:space="preserve"> Burleson.</w:t>
      </w:r>
      <w:r w:rsidR="006225E0">
        <w:t xml:space="preserve">  </w:t>
      </w:r>
    </w:p>
    <w:p w:rsidR="00EB329F" w:rsidRDefault="00EB329F">
      <w:r>
        <w:br w:type="page"/>
      </w:r>
    </w:p>
    <w:p w:rsidR="00C341FE" w:rsidRDefault="00C341FE"/>
    <w:p w:rsidR="001B5845" w:rsidRDefault="00C341FE" w:rsidP="00166682">
      <w:pPr>
        <w:ind w:firstLine="720"/>
        <w:jc w:val="both"/>
      </w:pPr>
      <w:r>
        <w:t xml:space="preserve">The Order Establishing Procedure provides that motions to strike </w:t>
      </w:r>
      <w:proofErr w:type="spellStart"/>
      <w:r>
        <w:t>prefiled</w:t>
      </w:r>
      <w:proofErr w:type="spellEnd"/>
      <w:r>
        <w:t xml:space="preserve"> testimony and exhibits of a witness “shall be made in writing no later th</w:t>
      </w:r>
      <w:r w:rsidR="00B70128">
        <w:t>an the Prehearing Conference.” At</w:t>
      </w:r>
      <w:r w:rsidR="001B5845">
        <w:t xml:space="preserve"> the Prehearing Conference </w:t>
      </w:r>
      <w:r w:rsidR="0089559E">
        <w:t xml:space="preserve">held </w:t>
      </w:r>
      <w:r w:rsidR="001B5845">
        <w:t xml:space="preserve">on March 6, 2017, OPC informed the Prehearing Officer and the Parties of its </w:t>
      </w:r>
      <w:r w:rsidR="0089559E">
        <w:t xml:space="preserve">intent to file </w:t>
      </w:r>
      <w:r w:rsidR="001B5845">
        <w:t>a Motion to Strike a Portion of the Rebuttal Testimony of Gulf Witness Jeffery A. Burleson.</w:t>
      </w:r>
      <w:r w:rsidR="0089559E">
        <w:t xml:space="preserve">  OPC’s motion was filed with the Commission Clerk during the course of the Prehearing Conference.</w:t>
      </w:r>
      <w:r w:rsidR="006225E0">
        <w:t xml:space="preserve">  On March 10, 2017, Gulf filed a Response in Opposition.  Neither OPC, nor Gulf requested oral argument on the motion.  </w:t>
      </w:r>
    </w:p>
    <w:p w:rsidR="00CB5276" w:rsidRDefault="00CB5276">
      <w:pPr>
        <w:pStyle w:val="OrderBody"/>
      </w:pPr>
    </w:p>
    <w:p w:rsidR="00166682" w:rsidRDefault="00C341FE" w:rsidP="00166682">
      <w:pPr>
        <w:pStyle w:val="OrderBody"/>
        <w:rPr>
          <w:u w:val="single"/>
        </w:rPr>
      </w:pPr>
      <w:r>
        <w:rPr>
          <w:u w:val="single"/>
        </w:rPr>
        <w:t>OPC</w:t>
      </w:r>
      <w:r w:rsidR="00166682">
        <w:rPr>
          <w:u w:val="single"/>
        </w:rPr>
        <w:t>’s Motion to Strike</w:t>
      </w:r>
      <w:r w:rsidR="002A32BB">
        <w:rPr>
          <w:rStyle w:val="FootnoteReference"/>
          <w:u w:val="single"/>
        </w:rPr>
        <w:footnoteReference w:id="3"/>
      </w:r>
      <w:r w:rsidR="00166682">
        <w:rPr>
          <w:u w:val="single"/>
        </w:rPr>
        <w:t xml:space="preserve"> </w:t>
      </w:r>
    </w:p>
    <w:p w:rsidR="00166682" w:rsidRDefault="00166682" w:rsidP="00166682">
      <w:pPr>
        <w:pStyle w:val="OrderBody"/>
      </w:pPr>
    </w:p>
    <w:p w:rsidR="00166682" w:rsidRDefault="00166682" w:rsidP="00A96239">
      <w:pPr>
        <w:pStyle w:val="OrderBody"/>
      </w:pPr>
      <w:r>
        <w:tab/>
        <w:t>In its motion,</w:t>
      </w:r>
      <w:r w:rsidR="000051C1">
        <w:t xml:space="preserve"> OPC </w:t>
      </w:r>
      <w:r>
        <w:t xml:space="preserve">seeks to strike or exclude from inclusion in the record page </w:t>
      </w:r>
      <w:r w:rsidR="000051C1">
        <w:t>14</w:t>
      </w:r>
      <w:r>
        <w:t xml:space="preserve">, line </w:t>
      </w:r>
      <w:r w:rsidR="000051C1">
        <w:t>7</w:t>
      </w:r>
      <w:r w:rsidR="00EB329F">
        <w:t>,</w:t>
      </w:r>
      <w:r>
        <w:t xml:space="preserve"> through page </w:t>
      </w:r>
      <w:r w:rsidR="000051C1">
        <w:t>20</w:t>
      </w:r>
      <w:r>
        <w:t>, line 1</w:t>
      </w:r>
      <w:r w:rsidR="000051C1">
        <w:t>4</w:t>
      </w:r>
      <w:r w:rsidR="00EB329F">
        <w:t>, and Exhibit JAB-3 Schedule 2</w:t>
      </w:r>
      <w:r w:rsidR="000051C1">
        <w:t xml:space="preserve"> </w:t>
      </w:r>
      <w:r w:rsidR="00EB329F">
        <w:t>(</w:t>
      </w:r>
      <w:r w:rsidR="000051C1">
        <w:t>Excerpt from response to Staff ROG 376</w:t>
      </w:r>
      <w:r w:rsidR="00EB329F">
        <w:t xml:space="preserve"> – comparative analysis between Scherer 3 and replacement CT)</w:t>
      </w:r>
      <w:r w:rsidR="000051C1">
        <w:t>,</w:t>
      </w:r>
      <w:r>
        <w:t xml:space="preserve"> of </w:t>
      </w:r>
      <w:r w:rsidR="00EB329F">
        <w:t xml:space="preserve">Gulf </w:t>
      </w:r>
      <w:r w:rsidR="000051C1">
        <w:t>Witness Burleson’s Rebuttal</w:t>
      </w:r>
      <w:r>
        <w:t xml:space="preserve"> Testimony.  </w:t>
      </w:r>
      <w:r w:rsidR="000051C1">
        <w:t>OPC</w:t>
      </w:r>
      <w:r>
        <w:t xml:space="preserve"> asserts the</w:t>
      </w:r>
      <w:r w:rsidR="000051C1">
        <w:t xml:space="preserve"> </w:t>
      </w:r>
      <w:r w:rsidR="001971C1">
        <w:t xml:space="preserve">information contained in the contested </w:t>
      </w:r>
      <w:r>
        <w:t xml:space="preserve">portion of </w:t>
      </w:r>
      <w:r w:rsidR="000051C1">
        <w:t xml:space="preserve">Witness Burleson’s rebuttal testimony and related exhibit </w:t>
      </w:r>
      <w:r w:rsidR="001971C1">
        <w:t>are not “newly discovery facts” that were unknown at the time Gulf filed its direct testimony. Rather, OPC cont</w:t>
      </w:r>
      <w:r w:rsidR="00AC3016">
        <w:t>ends that the contested portion</w:t>
      </w:r>
      <w:r w:rsidR="001971C1">
        <w:t xml:space="preserve"> of Witness Burleson’s rebuttal testimony is “actually testimony that</w:t>
      </w:r>
      <w:r w:rsidR="000051C1">
        <w:t xml:space="preserve"> </w:t>
      </w:r>
      <w:r w:rsidR="001971C1">
        <w:t xml:space="preserve">could have </w:t>
      </w:r>
      <w:r w:rsidR="002B0315">
        <w:t xml:space="preserve">and </w:t>
      </w:r>
      <w:r w:rsidR="000051C1">
        <w:t>should have been addressed</w:t>
      </w:r>
      <w:r w:rsidR="001971C1">
        <w:t>”</w:t>
      </w:r>
      <w:r w:rsidR="000051C1">
        <w:t xml:space="preserve"> in Witness Burleson’s direct testimony.</w:t>
      </w:r>
      <w:r w:rsidR="001971C1">
        <w:t xml:space="preserve"> OPC </w:t>
      </w:r>
      <w:r w:rsidR="00A96239">
        <w:t xml:space="preserve">argues </w:t>
      </w:r>
      <w:r w:rsidR="00AC3016">
        <w:t>the contested portion</w:t>
      </w:r>
      <w:r w:rsidR="00A96239">
        <w:t xml:space="preserve"> of testimony is an </w:t>
      </w:r>
      <w:r w:rsidR="001971C1">
        <w:t>attempt</w:t>
      </w:r>
      <w:r w:rsidR="00A96239">
        <w:t xml:space="preserve"> by Gulf </w:t>
      </w:r>
      <w:r w:rsidR="00B70128">
        <w:t>“</w:t>
      </w:r>
      <w:r w:rsidR="001971C1">
        <w:t>to bolster its</w:t>
      </w:r>
      <w:r w:rsidR="00A96239">
        <w:t xml:space="preserve"> direct case on rebuttal,</w:t>
      </w:r>
      <w:r w:rsidR="00B70128">
        <w:t>”</w:t>
      </w:r>
      <w:r w:rsidR="00A96239">
        <w:t xml:space="preserve"> which is an </w:t>
      </w:r>
      <w:r w:rsidR="00B45FF7">
        <w:t>evasion</w:t>
      </w:r>
      <w:r w:rsidR="00A96239">
        <w:t xml:space="preserve"> of the </w:t>
      </w:r>
      <w:r w:rsidR="00B45FF7">
        <w:t>Commission’s</w:t>
      </w:r>
      <w:r w:rsidR="002A42D1">
        <w:t xml:space="preserve"> procedures and </w:t>
      </w:r>
      <w:r w:rsidR="00A96239">
        <w:t>the parties</w:t>
      </w:r>
      <w:r w:rsidR="002B0315">
        <w:t>’</w:t>
      </w:r>
      <w:r w:rsidR="00A96239">
        <w:t xml:space="preserve"> due process rights, and</w:t>
      </w:r>
      <w:r w:rsidR="00EB329F">
        <w:t xml:space="preserve"> unduly </w:t>
      </w:r>
      <w:r w:rsidR="00B45FF7">
        <w:t>prejudicial</w:t>
      </w:r>
      <w:r w:rsidR="00EB329F">
        <w:t xml:space="preserve"> to </w:t>
      </w:r>
      <w:r w:rsidR="00A96239">
        <w:t xml:space="preserve">OPC. </w:t>
      </w:r>
      <w:r w:rsidR="00EB329F">
        <w:t xml:space="preserve"> </w:t>
      </w:r>
      <w:r w:rsidR="00A96239">
        <w:t xml:space="preserve">For those reasons, OPC requests that </w:t>
      </w:r>
      <w:r w:rsidR="00AC3016">
        <w:t xml:space="preserve">the </w:t>
      </w:r>
      <w:r w:rsidR="00B45FF7">
        <w:t>identified</w:t>
      </w:r>
      <w:r w:rsidR="00AC3016">
        <w:t xml:space="preserve"> portion</w:t>
      </w:r>
      <w:r w:rsidR="00A96239">
        <w:t xml:space="preserve"> of Witness Burleson’s Rebuttal Testimony</w:t>
      </w:r>
      <w:r w:rsidR="00AC3016">
        <w:t xml:space="preserve"> and related exhibit</w:t>
      </w:r>
      <w:r w:rsidR="00A96239">
        <w:t xml:space="preserve"> be </w:t>
      </w:r>
      <w:r w:rsidR="00B45FF7">
        <w:t>stricken</w:t>
      </w:r>
      <w:r w:rsidR="00A96239">
        <w:t>.</w:t>
      </w:r>
    </w:p>
    <w:p w:rsidR="00063FB8" w:rsidRDefault="00063FB8" w:rsidP="00166682">
      <w:pPr>
        <w:ind w:firstLine="720"/>
        <w:jc w:val="both"/>
      </w:pPr>
    </w:p>
    <w:p w:rsidR="00166682" w:rsidRDefault="00B52E39" w:rsidP="00166682">
      <w:pPr>
        <w:pStyle w:val="OrderBody"/>
        <w:rPr>
          <w:u w:val="single"/>
        </w:rPr>
      </w:pPr>
      <w:r>
        <w:rPr>
          <w:u w:val="single"/>
        </w:rPr>
        <w:t>Gulf</w:t>
      </w:r>
      <w:r w:rsidR="00166682">
        <w:rPr>
          <w:u w:val="single"/>
        </w:rPr>
        <w:t xml:space="preserve">s </w:t>
      </w:r>
      <w:r w:rsidR="00166682" w:rsidRPr="00A229F0">
        <w:rPr>
          <w:u w:val="single"/>
        </w:rPr>
        <w:t>Response in Opposition</w:t>
      </w:r>
      <w:r>
        <w:rPr>
          <w:rStyle w:val="FootnoteReference"/>
          <w:u w:val="single"/>
        </w:rPr>
        <w:footnoteReference w:id="4"/>
      </w:r>
    </w:p>
    <w:p w:rsidR="00166682" w:rsidRDefault="00166682" w:rsidP="00166682">
      <w:pPr>
        <w:pStyle w:val="OrderBody"/>
        <w:rPr>
          <w:u w:val="single"/>
        </w:rPr>
      </w:pPr>
    </w:p>
    <w:p w:rsidR="00166682" w:rsidRPr="006F3795" w:rsidRDefault="00166682" w:rsidP="005F62B3">
      <w:pPr>
        <w:ind w:firstLine="720"/>
        <w:jc w:val="both"/>
      </w:pPr>
      <w:r>
        <w:t>In its response</w:t>
      </w:r>
      <w:r w:rsidR="00AC3016">
        <w:t xml:space="preserve"> to OPC’s motion</w:t>
      </w:r>
      <w:r>
        <w:t xml:space="preserve">, </w:t>
      </w:r>
      <w:r w:rsidR="00B52E39">
        <w:t>Gulf argue</w:t>
      </w:r>
      <w:r>
        <w:t xml:space="preserve">s that </w:t>
      </w:r>
      <w:r w:rsidR="00B52E39">
        <w:t xml:space="preserve">OPC’s motion is untimely and that </w:t>
      </w:r>
      <w:r w:rsidR="00136A9B">
        <w:t xml:space="preserve">the contested portion of </w:t>
      </w:r>
      <w:r w:rsidR="00B52E39">
        <w:t xml:space="preserve">Witnesses Burleson’s rebuttal testimony is proper.  Gulf contends that, because OPC’s motion was filed during the course of the Prehearing Conference and not prior to the conference, the motion is untimely.  In addition, Gulf argues that the portions </w:t>
      </w:r>
      <w:r w:rsidR="002A32BB">
        <w:t xml:space="preserve">of Witness Burleson’s rebuttal testimony </w:t>
      </w:r>
      <w:r w:rsidR="009808C4">
        <w:t xml:space="preserve">that </w:t>
      </w:r>
      <w:r w:rsidR="002A32BB">
        <w:t xml:space="preserve">OPC seeks to exclude </w:t>
      </w:r>
      <w:r w:rsidR="00EB329F">
        <w:t xml:space="preserve">directly </w:t>
      </w:r>
      <w:r w:rsidR="002A32BB">
        <w:t xml:space="preserve">responds to </w:t>
      </w:r>
      <w:r w:rsidR="00136A9B">
        <w:t>claims made in</w:t>
      </w:r>
      <w:r w:rsidR="002A32BB">
        <w:t xml:space="preserve"> the testimonies of OPC Witness </w:t>
      </w:r>
      <w:proofErr w:type="spellStart"/>
      <w:r w:rsidR="002A32BB">
        <w:t>Dauphinais</w:t>
      </w:r>
      <w:proofErr w:type="spellEnd"/>
      <w:r w:rsidR="002A32BB">
        <w:t xml:space="preserve"> and Sierra Club Witness </w:t>
      </w:r>
      <w:proofErr w:type="spellStart"/>
      <w:r w:rsidR="002A32BB">
        <w:t>Mosenthal</w:t>
      </w:r>
      <w:proofErr w:type="spellEnd"/>
      <w:r w:rsidR="00136A9B">
        <w:t xml:space="preserve"> and</w:t>
      </w:r>
      <w:r w:rsidR="009808C4">
        <w:t xml:space="preserve"> is proper rebuttal under the standards applied by this Commission and </w:t>
      </w:r>
      <w:r w:rsidR="00977AA4">
        <w:t>the</w:t>
      </w:r>
      <w:r w:rsidR="009808C4">
        <w:t xml:space="preserve"> </w:t>
      </w:r>
      <w:r w:rsidR="00136A9B">
        <w:t>c</w:t>
      </w:r>
      <w:r w:rsidR="009808C4">
        <w:t>ourts.</w:t>
      </w:r>
      <w:r w:rsidR="00BD209D">
        <w:t xml:space="preserve"> </w:t>
      </w:r>
      <w:r w:rsidR="00EB329F">
        <w:t xml:space="preserve">Furthermore, </w:t>
      </w:r>
      <w:r w:rsidR="005F62B3">
        <w:t xml:space="preserve">Gulf argues that the existence of an </w:t>
      </w:r>
      <w:r w:rsidR="00B45FF7">
        <w:t>analysis</w:t>
      </w:r>
      <w:r w:rsidR="005F62B3">
        <w:t xml:space="preserve"> or study prior to</w:t>
      </w:r>
      <w:r w:rsidR="002B0315">
        <w:t xml:space="preserve"> the filing of direct testimony</w:t>
      </w:r>
      <w:r w:rsidR="005F62B3">
        <w:t xml:space="preserve"> does not preclude the introduction of the analysis in rebuttal testimony, </w:t>
      </w:r>
      <w:r w:rsidR="00B70128">
        <w:t>“</w:t>
      </w:r>
      <w:r w:rsidR="005F62B3">
        <w:t>so long as it properly responds to matters raised in intervenors’ testimony.</w:t>
      </w:r>
      <w:r w:rsidR="00B70128">
        <w:t>”</w:t>
      </w:r>
      <w:r w:rsidR="005F62B3">
        <w:rPr>
          <w:rStyle w:val="FootnoteReference"/>
        </w:rPr>
        <w:footnoteReference w:id="5"/>
      </w:r>
      <w:r w:rsidR="005F62B3">
        <w:t xml:space="preserve">  In th</w:t>
      </w:r>
      <w:r w:rsidR="002B0315">
        <w:t>is</w:t>
      </w:r>
      <w:r w:rsidR="005F62B3">
        <w:t xml:space="preserve"> case, however, Gulf asserts that </w:t>
      </w:r>
      <w:r w:rsidR="00BD209D">
        <w:t>the contested testimony and analysis</w:t>
      </w:r>
      <w:r w:rsidR="005F62B3">
        <w:t xml:space="preserve"> </w:t>
      </w:r>
      <w:r w:rsidR="00BD209D">
        <w:t>did not exist at the time Witness Burleson’s direct testimony was filed because the</w:t>
      </w:r>
      <w:r w:rsidR="002B0315">
        <w:t xml:space="preserve"> underlying findings of the </w:t>
      </w:r>
      <w:r w:rsidR="00CB498E">
        <w:t xml:space="preserve">testimony subject </w:t>
      </w:r>
      <w:r w:rsidR="00BD209D">
        <w:t>matter (i.e., findings of need, cost-</w:t>
      </w:r>
      <w:r w:rsidR="00B45FF7">
        <w:t>effectiveness</w:t>
      </w:r>
      <w:r w:rsidR="00BD209D">
        <w:t>, and prudence of Scherer Unit 3) w</w:t>
      </w:r>
      <w:r w:rsidR="002B0315">
        <w:t>ere</w:t>
      </w:r>
      <w:r w:rsidR="00BD209D">
        <w:t xml:space="preserve"> determined by the Commission 30 years ago.  </w:t>
      </w:r>
      <w:r w:rsidR="00AC3016">
        <w:t xml:space="preserve">Rather, Gulf states </w:t>
      </w:r>
      <w:r w:rsidR="00B70128">
        <w:t>“</w:t>
      </w:r>
      <w:r w:rsidR="00AC3016">
        <w:t xml:space="preserve">the analysis was performed </w:t>
      </w:r>
      <w:r w:rsidR="00136A9B">
        <w:t>in</w:t>
      </w:r>
      <w:r w:rsidR="00AC3016">
        <w:t xml:space="preserve"> January 2017,</w:t>
      </w:r>
      <w:r w:rsidR="00B70128">
        <w:t>”</w:t>
      </w:r>
      <w:r w:rsidR="00AC3016">
        <w:t xml:space="preserve"> in response to a </w:t>
      </w:r>
      <w:r w:rsidR="00AC3016">
        <w:lastRenderedPageBreak/>
        <w:t>discovery request propounded by Commission staff.</w:t>
      </w:r>
      <w:r w:rsidR="00AC3016">
        <w:rPr>
          <w:rStyle w:val="FootnoteReference"/>
        </w:rPr>
        <w:footnoteReference w:id="6"/>
      </w:r>
      <w:r w:rsidR="00AC3016">
        <w:t xml:space="preserve">  </w:t>
      </w:r>
      <w:r w:rsidR="005F62B3">
        <w:t>Finally, Gulf argues that</w:t>
      </w:r>
      <w:r w:rsidR="003E503B">
        <w:t xml:space="preserve"> </w:t>
      </w:r>
      <w:r w:rsidR="005F62B3">
        <w:t>OPC’s prejudice argument is without merit</w:t>
      </w:r>
      <w:r w:rsidR="003E503B">
        <w:t>.</w:t>
      </w:r>
      <w:r w:rsidR="005F62B3">
        <w:t xml:space="preserve"> </w:t>
      </w:r>
      <w:r w:rsidR="003E503B">
        <w:t>Gulf asserts that no due process rights are violated by the</w:t>
      </w:r>
      <w:r w:rsidR="00136A9B">
        <w:t xml:space="preserve"> proper</w:t>
      </w:r>
      <w:r w:rsidR="003E503B">
        <w:t xml:space="preserve"> </w:t>
      </w:r>
      <w:r w:rsidR="00136A9B">
        <w:t xml:space="preserve">rebuttal testimony of </w:t>
      </w:r>
      <w:r w:rsidR="003E503B">
        <w:t xml:space="preserve">Witness Burleson. Gulf </w:t>
      </w:r>
      <w:r w:rsidR="00B45FF7">
        <w:t>asserts</w:t>
      </w:r>
      <w:r w:rsidR="003E503B">
        <w:t xml:space="preserve"> that</w:t>
      </w:r>
      <w:r w:rsidR="005F62B3">
        <w:t xml:space="preserve"> OPC had ample opportunity to </w:t>
      </w:r>
      <w:r w:rsidR="003E503B">
        <w:t xml:space="preserve">challenge the contested testimony when it propounded discovery on the </w:t>
      </w:r>
      <w:r w:rsidR="00136A9B">
        <w:t>rebuttal</w:t>
      </w:r>
      <w:r w:rsidR="003E503B">
        <w:t xml:space="preserve"> testimony and deposed Witness Burleson </w:t>
      </w:r>
      <w:r w:rsidR="00EB329F">
        <w:t>on</w:t>
      </w:r>
      <w:r w:rsidR="003E503B">
        <w:t xml:space="preserve"> the testimony.</w:t>
      </w:r>
    </w:p>
    <w:p w:rsidR="00166682" w:rsidRDefault="00166682" w:rsidP="00166682">
      <w:pPr>
        <w:pStyle w:val="OrderBody"/>
        <w:rPr>
          <w:u w:val="single"/>
        </w:rPr>
      </w:pPr>
    </w:p>
    <w:p w:rsidR="00166682" w:rsidRDefault="00166682" w:rsidP="00166682">
      <w:pPr>
        <w:pStyle w:val="OrderBody"/>
        <w:rPr>
          <w:u w:val="single"/>
        </w:rPr>
      </w:pPr>
      <w:r>
        <w:rPr>
          <w:u w:val="single"/>
        </w:rPr>
        <w:t>Ruling</w:t>
      </w:r>
    </w:p>
    <w:p w:rsidR="00450273" w:rsidRDefault="00450273" w:rsidP="00450273">
      <w:pPr>
        <w:ind w:firstLine="720"/>
        <w:jc w:val="both"/>
      </w:pPr>
    </w:p>
    <w:p w:rsidR="00F940BC" w:rsidRDefault="00F940BC" w:rsidP="00F940BC">
      <w:pPr>
        <w:ind w:firstLine="720"/>
        <w:jc w:val="both"/>
      </w:pPr>
      <w:r w:rsidRPr="00DC4122">
        <w:t xml:space="preserve">Pursuant to Rule 28-106.211, F.A.C., as Prehearing Officer in this proceeding, I am </w:t>
      </w:r>
      <w:r>
        <w:t xml:space="preserve">tasked </w:t>
      </w:r>
      <w:r w:rsidRPr="00DC4122">
        <w:t>with the dut</w:t>
      </w:r>
      <w:r>
        <w:t xml:space="preserve">y </w:t>
      </w:r>
      <w:r w:rsidRPr="00DC4122">
        <w:t xml:space="preserve">of issuing </w:t>
      </w:r>
      <w:r w:rsidR="00136A9B">
        <w:t xml:space="preserve">rulings on prehearing motions. </w:t>
      </w:r>
      <w:r>
        <w:t xml:space="preserve">I have carefully considered OPC’s motion and Gulf’s response, and reviewed the rebuttal testimony and exhibits of Gulf Witness Jeffrey A. Burleson, and my findings are set forth below.    </w:t>
      </w:r>
    </w:p>
    <w:p w:rsidR="00F940BC" w:rsidRDefault="00F940BC" w:rsidP="00450273">
      <w:pPr>
        <w:ind w:firstLine="720"/>
        <w:jc w:val="both"/>
      </w:pPr>
    </w:p>
    <w:p w:rsidR="00EB329F" w:rsidRDefault="006B5DAB" w:rsidP="000714BB">
      <w:pPr>
        <w:ind w:firstLine="720"/>
        <w:jc w:val="both"/>
      </w:pPr>
      <w:r>
        <w:t>Pursuant to Section 120.57 (1)(b), Florida Statutes, Gulf has the right to submit rebuttal testimony and evidence in this proceeding. T</w:t>
      </w:r>
      <w:r w:rsidR="00340848">
        <w:t>he defin</w:t>
      </w:r>
      <w:r w:rsidR="00EB329F">
        <w:t>i</w:t>
      </w:r>
      <w:r w:rsidR="00340848">
        <w:t>tion of rebuttal testi</w:t>
      </w:r>
      <w:r w:rsidR="008C6730">
        <w:t>mony as described by the</w:t>
      </w:r>
      <w:r w:rsidR="00EB329F">
        <w:t xml:space="preserve"> c</w:t>
      </w:r>
      <w:r w:rsidR="00340848">
        <w:t>ourts</w:t>
      </w:r>
      <w:r w:rsidR="008C6730">
        <w:t>, and adopted by this Commission</w:t>
      </w:r>
      <w:r>
        <w:t>, provides that</w:t>
      </w:r>
      <w:r w:rsidR="00EB329F">
        <w:t>:</w:t>
      </w:r>
    </w:p>
    <w:p w:rsidR="00EB329F" w:rsidRDefault="00EB329F" w:rsidP="000714BB">
      <w:pPr>
        <w:ind w:firstLine="720"/>
        <w:jc w:val="both"/>
      </w:pPr>
    </w:p>
    <w:p w:rsidR="00EB329F" w:rsidRDefault="00EB329F" w:rsidP="00EB329F">
      <w:pPr>
        <w:ind w:left="720" w:right="720"/>
        <w:jc w:val="both"/>
      </w:pPr>
      <w:r>
        <w:t>[T]he purpose of rebuttal testimon</w:t>
      </w:r>
      <w:r w:rsidR="008C6730">
        <w:t xml:space="preserve">y is </w:t>
      </w:r>
      <w:r>
        <w:t>“</w:t>
      </w:r>
      <w:r w:rsidR="008C6730">
        <w:t>to explain, repel, counteract, or disprove the evidence of the adverse party</w:t>
      </w:r>
      <w:r>
        <w:t>”</w:t>
      </w:r>
      <w:r w:rsidR="008C6730">
        <w:t xml:space="preserve"> and if the defendant opens the door to the line of testimony, he cannot successfully object to the prosecution </w:t>
      </w:r>
      <w:r w:rsidR="00174301">
        <w:t>‘</w:t>
      </w:r>
      <w:r w:rsidR="008C6730">
        <w:t xml:space="preserve">accepting the challenge and attempting to rebut the </w:t>
      </w:r>
      <w:r w:rsidR="00B45FF7">
        <w:t>presumption</w:t>
      </w:r>
      <w:r w:rsidR="008C6730">
        <w:t xml:space="preserve"> asserted.”</w:t>
      </w:r>
      <w:r w:rsidR="00174301">
        <w:t xml:space="preserve"> </w:t>
      </w:r>
    </w:p>
    <w:p w:rsidR="00EB329F" w:rsidRDefault="00EB329F" w:rsidP="000714BB">
      <w:pPr>
        <w:ind w:firstLine="720"/>
        <w:jc w:val="both"/>
      </w:pPr>
    </w:p>
    <w:p w:rsidR="00766FD1" w:rsidRDefault="008C6730" w:rsidP="00EB329F">
      <w:pPr>
        <w:jc w:val="both"/>
      </w:pPr>
      <w:r w:rsidRPr="008C6730">
        <w:rPr>
          <w:u w:val="single"/>
        </w:rPr>
        <w:t xml:space="preserve">United States v. </w:t>
      </w:r>
      <w:proofErr w:type="spellStart"/>
      <w:r w:rsidRPr="008C6730">
        <w:rPr>
          <w:u w:val="single"/>
        </w:rPr>
        <w:t>Delk</w:t>
      </w:r>
      <w:proofErr w:type="spellEnd"/>
      <w:r>
        <w:t xml:space="preserve">, 586 F.2d 513, 516 (5th Cir. 1978), quoting, </w:t>
      </w:r>
      <w:r w:rsidRPr="008C6730">
        <w:rPr>
          <w:u w:val="single"/>
        </w:rPr>
        <w:t>Luttrell v. United States</w:t>
      </w:r>
      <w:r>
        <w:t xml:space="preserve">, 320 F.2d 462, 464 (5th Cir. 1963);  Order No. PSC-11-0563-PCO-EI, issued December 8, 2011, in Docket No. 110138-EI, </w:t>
      </w:r>
      <w:r w:rsidRPr="00DF2B84">
        <w:rPr>
          <w:u w:val="single"/>
        </w:rPr>
        <w:t>In Re: Petition for increase in rates by Gulf Power Company</w:t>
      </w:r>
      <w:r>
        <w:t xml:space="preserve">; Order No. PSC-10-0426-PCO-WS, issued July 2, 2010, in Docket No. 090478-WS, </w:t>
      </w:r>
      <w:r w:rsidRPr="00DF2B84">
        <w:rPr>
          <w:u w:val="single"/>
        </w:rPr>
        <w:t>In Re: Application for original certificates for proposed water and wastewater systems, in Hernando and Pasco Counties, and request for initial rates and charges, by Skyland Utilities, L.L.C.</w:t>
      </w:r>
      <w:r>
        <w:t xml:space="preserve">; and Order No. PSC-04-0928-PCO-EI, issued September 22, 2004, in Docket No. 030623-EI, </w:t>
      </w:r>
      <w:r w:rsidRPr="008C6730">
        <w:rPr>
          <w:u w:val="single"/>
        </w:rPr>
        <w:t>In Re: Complaints by Ocean Properties, Ltd., J.C. Penney Corp., Target Stores, Inc., and Dillard’s Department Stores, Inc. against Florida Power &amp; Light Company concerning thermal demand meter error</w:t>
      </w:r>
      <w:r>
        <w:t>.</w:t>
      </w:r>
      <w:r w:rsidR="000714BB">
        <w:t xml:space="preserve">  </w:t>
      </w:r>
      <w:r w:rsidR="00766FD1">
        <w:t xml:space="preserve">In addition, </w:t>
      </w:r>
      <w:r w:rsidR="000714BB">
        <w:t xml:space="preserve">while “a trial court has broad discretion to admit rebuttal testimony,” the court “abuses that discretion when it limits non-cumulative rebuttal that goes to the heart of the principal defense.” </w:t>
      </w:r>
      <w:r w:rsidR="000714BB" w:rsidRPr="000714BB">
        <w:rPr>
          <w:u w:val="single"/>
        </w:rPr>
        <w:t xml:space="preserve">Mendez v. </w:t>
      </w:r>
      <w:proofErr w:type="spellStart"/>
      <w:r w:rsidR="000714BB" w:rsidRPr="000714BB">
        <w:rPr>
          <w:u w:val="single"/>
        </w:rPr>
        <w:t>Caddell</w:t>
      </w:r>
      <w:proofErr w:type="spellEnd"/>
      <w:r w:rsidR="000714BB" w:rsidRPr="000714BB">
        <w:rPr>
          <w:u w:val="single"/>
        </w:rPr>
        <w:t xml:space="preserve"> Construction Co.</w:t>
      </w:r>
      <w:r w:rsidR="000714BB">
        <w:t>, 700 So. 2d 439, 440-41 (3rd DCA 1997) (internal citations omitted)</w:t>
      </w:r>
      <w:r w:rsidR="00136A9B">
        <w:t>.</w:t>
      </w:r>
    </w:p>
    <w:p w:rsidR="00766FD1" w:rsidRDefault="00766FD1" w:rsidP="006B5DAB">
      <w:pPr>
        <w:tabs>
          <w:tab w:val="left" w:pos="720"/>
          <w:tab w:val="left" w:pos="9360"/>
        </w:tabs>
        <w:jc w:val="both"/>
      </w:pPr>
    </w:p>
    <w:p w:rsidR="006B5DAB" w:rsidRDefault="006B5DAB" w:rsidP="00E52E28">
      <w:pPr>
        <w:tabs>
          <w:tab w:val="left" w:pos="720"/>
        </w:tabs>
        <w:ind w:firstLine="720"/>
        <w:jc w:val="both"/>
      </w:pPr>
      <w:r>
        <w:t>Upon review of the pleadings filed by OPC and Gulf, and the rebuttal testimony and related exhibits of Gulf Witness Burleson,</w:t>
      </w:r>
      <w:r w:rsidR="00766FD1">
        <w:t xml:space="preserve"> I find that</w:t>
      </w:r>
      <w:r>
        <w:t xml:space="preserve"> the contested </w:t>
      </w:r>
      <w:r w:rsidR="00136A9B">
        <w:t xml:space="preserve">portion of the </w:t>
      </w:r>
      <w:r>
        <w:t xml:space="preserve">rebuttal testimony and related exhibit </w:t>
      </w:r>
      <w:r w:rsidR="00174301">
        <w:t>fit within the definition of rebuttal testimony</w:t>
      </w:r>
      <w:r w:rsidR="00136A9B">
        <w:t xml:space="preserve"> applied by the Commission</w:t>
      </w:r>
      <w:r w:rsidR="00766FD1">
        <w:t>.</w:t>
      </w:r>
      <w:r>
        <w:t xml:space="preserve"> </w:t>
      </w:r>
      <w:r w:rsidR="00136A9B">
        <w:t>The contested portion</w:t>
      </w:r>
      <w:r w:rsidR="00E52E28">
        <w:t xml:space="preserve"> of </w:t>
      </w:r>
      <w:r w:rsidR="00766FD1">
        <w:t xml:space="preserve">Witness Burleson’s rebuttal testimony and </w:t>
      </w:r>
      <w:r w:rsidR="00E52E28">
        <w:t xml:space="preserve">related </w:t>
      </w:r>
      <w:r w:rsidR="00136A9B">
        <w:t>exhibit</w:t>
      </w:r>
      <w:r w:rsidR="00766FD1">
        <w:t xml:space="preserve"> present </w:t>
      </w:r>
      <w:r w:rsidR="003C1F12">
        <w:t xml:space="preserve">a comparative </w:t>
      </w:r>
      <w:r w:rsidR="00766FD1">
        <w:t xml:space="preserve">economic analysis of the incremental cost of continuing to own and operate Scherer Unit 3 as an asset serving retail customers versus the incremental costs of </w:t>
      </w:r>
      <w:r w:rsidR="00766FD1">
        <w:lastRenderedPageBreak/>
        <w:t xml:space="preserve">constructing and operating replacement capacity. </w:t>
      </w:r>
      <w:r w:rsidR="00B45FF7">
        <w:t xml:space="preserve">The rebuttal testimony and related exhibit were offered to directly rebut assertions made by OPC Witness </w:t>
      </w:r>
      <w:proofErr w:type="spellStart"/>
      <w:r w:rsidR="00B45FF7">
        <w:t>Dauphinais</w:t>
      </w:r>
      <w:proofErr w:type="spellEnd"/>
      <w:r w:rsidR="00B45FF7">
        <w:t xml:space="preserve"> and Sierra Club Witness </w:t>
      </w:r>
      <w:proofErr w:type="spellStart"/>
      <w:r w:rsidR="00B45FF7">
        <w:t>Mosenthal</w:t>
      </w:r>
      <w:proofErr w:type="spellEnd"/>
      <w:r w:rsidR="00B45FF7">
        <w:t xml:space="preserve"> in their respective testimonies.  </w:t>
      </w:r>
      <w:r>
        <w:t xml:space="preserve">Therefore, I find that </w:t>
      </w:r>
      <w:r w:rsidR="00136A9B">
        <w:t xml:space="preserve">the contested portion of </w:t>
      </w:r>
      <w:r>
        <w:t>Gulf Witness Burleson’s rebuttal testimony and related exhibit do not constitute improper rebuttal.</w:t>
      </w:r>
    </w:p>
    <w:p w:rsidR="005C2D2E" w:rsidRDefault="005C2D2E" w:rsidP="00DF2B84">
      <w:pPr>
        <w:tabs>
          <w:tab w:val="left" w:pos="720"/>
          <w:tab w:val="left" w:pos="9360"/>
        </w:tabs>
        <w:jc w:val="both"/>
      </w:pPr>
    </w:p>
    <w:p w:rsidR="005C2D2E" w:rsidRDefault="005C2D2E" w:rsidP="00DF2B84">
      <w:pPr>
        <w:tabs>
          <w:tab w:val="left" w:pos="720"/>
          <w:tab w:val="left" w:pos="9360"/>
        </w:tabs>
        <w:jc w:val="both"/>
      </w:pPr>
      <w:r>
        <w:tab/>
        <w:t>As to OPC’</w:t>
      </w:r>
      <w:r w:rsidR="00136A9B">
        <w:t>s argument of p</w:t>
      </w:r>
      <w:r>
        <w:t xml:space="preserve">rejudice, I note that the public policy of this state favors traditional due process rights in rate hearings. </w:t>
      </w:r>
      <w:r w:rsidRPr="005C2D2E">
        <w:rPr>
          <w:u w:val="single"/>
        </w:rPr>
        <w:t>Citizens of Florida v. May</w:t>
      </w:r>
      <w:r>
        <w:t xml:space="preserve">, 333 So. 2d 1, 6 (Fla. 1976). When a regulatory commission considers factual matters affecting the fairness of utility rates, the principles of fair play and due process require that parties to </w:t>
      </w:r>
      <w:r w:rsidR="00CB498E">
        <w:t xml:space="preserve">a </w:t>
      </w:r>
      <w:r>
        <w:t xml:space="preserve">rate proceeding be afforded a fair hearing, which includes an opportunity to explain or rebut those matters.  </w:t>
      </w:r>
      <w:r w:rsidRPr="005C2D2E">
        <w:rPr>
          <w:u w:val="single"/>
        </w:rPr>
        <w:t>Florida Gas Company v. Hawkins</w:t>
      </w:r>
      <w:r>
        <w:t>, 372 So. 2d 1118 (Fla. 1979)</w:t>
      </w:r>
      <w:r w:rsidR="00E52E28">
        <w:t>; Order No. PSC-11-0563-PCO-EI</w:t>
      </w:r>
      <w:r>
        <w:t xml:space="preserve">.  </w:t>
      </w:r>
      <w:r w:rsidR="000051C1">
        <w:t xml:space="preserve">The </w:t>
      </w:r>
      <w:r>
        <w:t>OPC p</w:t>
      </w:r>
      <w:r w:rsidR="000051C1">
        <w:t>ropounded</w:t>
      </w:r>
      <w:r>
        <w:t xml:space="preserve"> discovery on </w:t>
      </w:r>
      <w:r w:rsidR="000051C1">
        <w:t xml:space="preserve">both </w:t>
      </w:r>
      <w:r>
        <w:t xml:space="preserve">Witness Burleson’s </w:t>
      </w:r>
      <w:r w:rsidR="000051C1">
        <w:t xml:space="preserve">direct and </w:t>
      </w:r>
      <w:r>
        <w:t>rebuttal testimon</w:t>
      </w:r>
      <w:r w:rsidR="000051C1">
        <w:t>ies  and deposed</w:t>
      </w:r>
      <w:r w:rsidR="00964991">
        <w:t xml:space="preserve"> the witness</w:t>
      </w:r>
      <w:r w:rsidR="000051C1">
        <w:t xml:space="preserve">. </w:t>
      </w:r>
      <w:r w:rsidR="00964991">
        <w:t>In addition</w:t>
      </w:r>
      <w:r w:rsidR="000051C1">
        <w:t>, OPC will have</w:t>
      </w:r>
      <w:r w:rsidR="00B70128">
        <w:t xml:space="preserve"> the opportunity</w:t>
      </w:r>
      <w:r>
        <w:t xml:space="preserve"> </w:t>
      </w:r>
      <w:r w:rsidR="00A95035">
        <w:t>to conduct cross-examination of the witness at the hearing in this proceeding.</w:t>
      </w:r>
      <w:r w:rsidR="000051C1">
        <w:t xml:space="preserve"> Therefore, I find no prejudice to </w:t>
      </w:r>
      <w:r w:rsidR="00964991">
        <w:t xml:space="preserve">OPC or </w:t>
      </w:r>
      <w:r w:rsidR="000051C1">
        <w:t>the parties by</w:t>
      </w:r>
      <w:r w:rsidR="00964991">
        <w:t xml:space="preserve"> allowing the contested portion</w:t>
      </w:r>
      <w:r w:rsidR="000051C1">
        <w:t xml:space="preserve"> of Witness Burleson’s rebuttal testimony</w:t>
      </w:r>
      <w:r w:rsidR="00B70128">
        <w:t xml:space="preserve"> and related exhibit</w:t>
      </w:r>
      <w:r w:rsidR="000051C1">
        <w:t>.</w:t>
      </w:r>
    </w:p>
    <w:p w:rsidR="00166682" w:rsidRDefault="00166682" w:rsidP="00166682">
      <w:pPr>
        <w:ind w:firstLine="720"/>
        <w:jc w:val="both"/>
      </w:pPr>
      <w:r>
        <w:t xml:space="preserve"> </w:t>
      </w:r>
    </w:p>
    <w:p w:rsidR="00166682" w:rsidRDefault="00166682" w:rsidP="00166682">
      <w:pPr>
        <w:pStyle w:val="OrderBody"/>
        <w:ind w:firstLine="720"/>
      </w:pPr>
      <w:r>
        <w:t>Based on the foregoing, it is</w:t>
      </w:r>
    </w:p>
    <w:p w:rsidR="00166682" w:rsidRDefault="00166682" w:rsidP="00166682">
      <w:pPr>
        <w:pStyle w:val="OrderBody"/>
      </w:pPr>
    </w:p>
    <w:p w:rsidR="00166682" w:rsidRDefault="00166682" w:rsidP="00166682">
      <w:pPr>
        <w:pStyle w:val="OrderBody"/>
      </w:pPr>
      <w:r>
        <w:tab/>
        <w:t xml:space="preserve">ORDERED by </w:t>
      </w:r>
      <w:r w:rsidR="00B70128">
        <w:t xml:space="preserve">Prehearing Officer </w:t>
      </w:r>
      <w:r>
        <w:t>Commission</w:t>
      </w:r>
      <w:r w:rsidR="00B70128">
        <w:t xml:space="preserve">er Jimmy </w:t>
      </w:r>
      <w:proofErr w:type="spellStart"/>
      <w:r w:rsidR="00B70128">
        <w:t>Patronis</w:t>
      </w:r>
      <w:proofErr w:type="spellEnd"/>
      <w:r>
        <w:t xml:space="preserve"> that </w:t>
      </w:r>
      <w:r w:rsidR="00B70128">
        <w:t xml:space="preserve">the </w:t>
      </w:r>
      <w:r>
        <w:t>Office of Public Counsel’s Motion to Strike a Portion of the Rebuttal Testimony of Jeffrey A. Burleson, filed on beha</w:t>
      </w:r>
      <w:r w:rsidR="00B70128">
        <w:t>lf Gulf Power Company is denied</w:t>
      </w:r>
      <w:r>
        <w:t xml:space="preserve"> for the reasons described herein. </w:t>
      </w:r>
    </w:p>
    <w:p w:rsidR="00964991" w:rsidRDefault="00964991" w:rsidP="00166682">
      <w:pPr>
        <w:pStyle w:val="OrderBody"/>
      </w:pPr>
    </w:p>
    <w:p w:rsidR="004633DD" w:rsidRDefault="004633DD" w:rsidP="004633DD">
      <w:pPr>
        <w:pStyle w:val="OrderBody"/>
        <w:keepNext/>
        <w:keepLines/>
      </w:pPr>
      <w:r>
        <w:tab/>
        <w:t xml:space="preserve">By ORDER of Commissioner Jimmy </w:t>
      </w:r>
      <w:proofErr w:type="spellStart"/>
      <w:r>
        <w:t>Patronis</w:t>
      </w:r>
      <w:proofErr w:type="spellEnd"/>
      <w:r>
        <w:t xml:space="preserve">, as Prehearing Officer, this </w:t>
      </w:r>
      <w:bookmarkStart w:id="10" w:name="replaceDate"/>
      <w:bookmarkEnd w:id="10"/>
      <w:r w:rsidR="00072C5F">
        <w:rPr>
          <w:u w:val="single"/>
        </w:rPr>
        <w:t>14th</w:t>
      </w:r>
      <w:r w:rsidR="00072C5F">
        <w:t xml:space="preserve"> day of </w:t>
      </w:r>
      <w:r w:rsidR="00072C5F">
        <w:rPr>
          <w:u w:val="single"/>
        </w:rPr>
        <w:t>March</w:t>
      </w:r>
      <w:r w:rsidR="00072C5F">
        <w:t xml:space="preserve">, </w:t>
      </w:r>
      <w:r w:rsidR="00072C5F">
        <w:rPr>
          <w:u w:val="single"/>
        </w:rPr>
        <w:t>2017</w:t>
      </w:r>
      <w:r w:rsidR="00072C5F">
        <w:t>.</w:t>
      </w:r>
    </w:p>
    <w:p w:rsidR="00072C5F" w:rsidRPr="00072C5F" w:rsidRDefault="00072C5F" w:rsidP="004633D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633DD" w:rsidTr="004633DD">
        <w:tc>
          <w:tcPr>
            <w:tcW w:w="720" w:type="dxa"/>
            <w:shd w:val="clear" w:color="auto" w:fill="auto"/>
          </w:tcPr>
          <w:p w:rsidR="004633DD" w:rsidRDefault="004633DD" w:rsidP="004633DD">
            <w:pPr>
              <w:pStyle w:val="OrderBody"/>
              <w:keepNext/>
              <w:keepLines/>
            </w:pPr>
            <w:bookmarkStart w:id="11" w:name="bkmrkSignature" w:colFirst="0" w:colLast="0"/>
          </w:p>
        </w:tc>
        <w:tc>
          <w:tcPr>
            <w:tcW w:w="4320" w:type="dxa"/>
            <w:tcBorders>
              <w:bottom w:val="single" w:sz="4" w:space="0" w:color="auto"/>
            </w:tcBorders>
            <w:shd w:val="clear" w:color="auto" w:fill="auto"/>
          </w:tcPr>
          <w:p w:rsidR="004633DD" w:rsidRDefault="00072C5F" w:rsidP="004633DD">
            <w:pPr>
              <w:pStyle w:val="OrderBody"/>
              <w:keepNext/>
              <w:keepLines/>
            </w:pPr>
            <w:r>
              <w:t xml:space="preserve">/s/ Jimmy </w:t>
            </w:r>
            <w:proofErr w:type="spellStart"/>
            <w:r>
              <w:t>Patronis</w:t>
            </w:r>
            <w:proofErr w:type="spellEnd"/>
          </w:p>
        </w:tc>
      </w:tr>
      <w:bookmarkEnd w:id="11"/>
      <w:tr w:rsidR="004633DD" w:rsidTr="004633DD">
        <w:tc>
          <w:tcPr>
            <w:tcW w:w="720" w:type="dxa"/>
            <w:shd w:val="clear" w:color="auto" w:fill="auto"/>
          </w:tcPr>
          <w:p w:rsidR="004633DD" w:rsidRDefault="004633DD" w:rsidP="004633DD">
            <w:pPr>
              <w:pStyle w:val="OrderBody"/>
              <w:keepNext/>
              <w:keepLines/>
            </w:pPr>
          </w:p>
        </w:tc>
        <w:tc>
          <w:tcPr>
            <w:tcW w:w="4320" w:type="dxa"/>
            <w:tcBorders>
              <w:top w:val="single" w:sz="4" w:space="0" w:color="auto"/>
            </w:tcBorders>
            <w:shd w:val="clear" w:color="auto" w:fill="auto"/>
          </w:tcPr>
          <w:p w:rsidR="004633DD" w:rsidRDefault="004633DD" w:rsidP="004633DD">
            <w:pPr>
              <w:pStyle w:val="OrderBody"/>
              <w:keepNext/>
              <w:keepLines/>
            </w:pPr>
            <w:r>
              <w:t>JIMMY PATRONIS</w:t>
            </w:r>
          </w:p>
          <w:p w:rsidR="004633DD" w:rsidRDefault="004633DD" w:rsidP="004633DD">
            <w:pPr>
              <w:pStyle w:val="OrderBody"/>
              <w:keepNext/>
              <w:keepLines/>
            </w:pPr>
            <w:r>
              <w:t>Commissioner and Prehearing Officer</w:t>
            </w:r>
          </w:p>
        </w:tc>
      </w:tr>
    </w:tbl>
    <w:p w:rsidR="004633DD" w:rsidRDefault="004633DD" w:rsidP="004633DD">
      <w:pPr>
        <w:pStyle w:val="OrderSigInfo"/>
        <w:keepNext/>
        <w:keepLines/>
      </w:pPr>
      <w:r>
        <w:t>Florida Public Service Commission</w:t>
      </w:r>
    </w:p>
    <w:p w:rsidR="004633DD" w:rsidRDefault="004633DD" w:rsidP="004633DD">
      <w:pPr>
        <w:pStyle w:val="OrderSigInfo"/>
        <w:keepNext/>
        <w:keepLines/>
      </w:pPr>
      <w:r>
        <w:t>2540 Shumard Oak Boulevard</w:t>
      </w:r>
    </w:p>
    <w:p w:rsidR="004633DD" w:rsidRDefault="004633DD" w:rsidP="004633DD">
      <w:pPr>
        <w:pStyle w:val="OrderSigInfo"/>
        <w:keepNext/>
        <w:keepLines/>
      </w:pPr>
      <w:r>
        <w:t>Tallahassee, Florida  32399</w:t>
      </w:r>
    </w:p>
    <w:p w:rsidR="004633DD" w:rsidRDefault="004633DD" w:rsidP="004633DD">
      <w:pPr>
        <w:pStyle w:val="OrderSigInfo"/>
        <w:keepNext/>
        <w:keepLines/>
      </w:pPr>
      <w:r>
        <w:t>(850) 413</w:t>
      </w:r>
      <w:r>
        <w:noBreakHyphen/>
        <w:t>6770</w:t>
      </w:r>
    </w:p>
    <w:p w:rsidR="004633DD" w:rsidRDefault="004633DD" w:rsidP="004633DD">
      <w:pPr>
        <w:pStyle w:val="OrderSigInfo"/>
        <w:keepNext/>
        <w:keepLines/>
      </w:pPr>
      <w:r>
        <w:t>www.floridapsc.com</w:t>
      </w:r>
    </w:p>
    <w:p w:rsidR="004633DD" w:rsidRDefault="004633DD" w:rsidP="004633DD">
      <w:pPr>
        <w:pStyle w:val="OrderSigInfo"/>
        <w:keepNext/>
        <w:keepLines/>
      </w:pPr>
    </w:p>
    <w:p w:rsidR="004633DD" w:rsidRDefault="004633DD" w:rsidP="004633DD">
      <w:pPr>
        <w:pStyle w:val="OrderSigInfo"/>
        <w:keepNext/>
        <w:keepLines/>
      </w:pPr>
      <w:r>
        <w:t>Copies furnished:  A copy of this document is provided to the parties of record at the time of issuance and, if applicable, interested persons.</w:t>
      </w:r>
    </w:p>
    <w:p w:rsidR="004633DD" w:rsidRDefault="004633DD" w:rsidP="004633DD">
      <w:pPr>
        <w:pStyle w:val="OrderBody"/>
        <w:keepNext/>
        <w:keepLines/>
      </w:pPr>
    </w:p>
    <w:p w:rsidR="004633DD" w:rsidRDefault="004633DD" w:rsidP="004633DD">
      <w:pPr>
        <w:pStyle w:val="OrderBody"/>
        <w:keepNext/>
        <w:keepLines/>
      </w:pPr>
    </w:p>
    <w:p w:rsidR="004633DD" w:rsidRDefault="004633DD" w:rsidP="004633DD">
      <w:pPr>
        <w:pStyle w:val="OrderBody"/>
        <w:keepNext/>
        <w:keepLines/>
      </w:pPr>
      <w:r>
        <w:t>KFC</w:t>
      </w:r>
    </w:p>
    <w:p w:rsidR="00A27CFD" w:rsidRDefault="00A27CFD">
      <w:r>
        <w:br w:type="page"/>
      </w:r>
    </w:p>
    <w:p w:rsidR="00964991" w:rsidRDefault="00964991"/>
    <w:p w:rsidR="00A27CFD" w:rsidRDefault="00A27CFD" w:rsidP="00A27CFD">
      <w:pPr>
        <w:pStyle w:val="CenterUnderline"/>
      </w:pPr>
      <w:r>
        <w:t>NOTICE OF FURTHER PROCEEDINGS OR JUDICIAL REVIEW</w:t>
      </w:r>
    </w:p>
    <w:p w:rsidR="00A27CFD" w:rsidRDefault="00A27CFD" w:rsidP="00A27CFD">
      <w:pPr>
        <w:pStyle w:val="CenterUnderline"/>
        <w:jc w:val="both"/>
        <w:rPr>
          <w:u w:val="none"/>
        </w:rPr>
      </w:pPr>
    </w:p>
    <w:p w:rsidR="00A27CFD" w:rsidRDefault="00A27CFD" w:rsidP="00A27CF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7CFD" w:rsidRDefault="00A27CFD" w:rsidP="00A27CFD">
      <w:pPr>
        <w:pStyle w:val="OrderBody"/>
      </w:pPr>
    </w:p>
    <w:p w:rsidR="00A27CFD" w:rsidRDefault="00A27CFD" w:rsidP="00A27CFD">
      <w:pPr>
        <w:pStyle w:val="OrderBody"/>
      </w:pPr>
      <w:r>
        <w:tab/>
        <w:t>Mediation may be available on a case-by-case basis.  If mediation is conducted, it does not affect a substantially interested person's right to a hearing.</w:t>
      </w:r>
    </w:p>
    <w:p w:rsidR="00A27CFD" w:rsidRDefault="00A27CFD" w:rsidP="00A27CFD">
      <w:pPr>
        <w:pStyle w:val="OrderBody"/>
      </w:pPr>
    </w:p>
    <w:p w:rsidR="00A27CFD" w:rsidRDefault="00A27CFD" w:rsidP="00A27CF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27CFD" w:rsidRDefault="00A27CFD" w:rsidP="00A27CFD">
      <w:pPr>
        <w:pStyle w:val="OrderBody"/>
      </w:pPr>
    </w:p>
    <w:p w:rsidR="004633DD" w:rsidRDefault="004633DD" w:rsidP="004633DD">
      <w:pPr>
        <w:pStyle w:val="OrderBody"/>
      </w:pPr>
    </w:p>
    <w:p w:rsidR="004633DD" w:rsidRPr="004633DD" w:rsidRDefault="004633DD" w:rsidP="004633DD">
      <w:pPr>
        <w:pStyle w:val="OrderBody"/>
      </w:pPr>
    </w:p>
    <w:sectPr w:rsidR="004633DD" w:rsidRPr="004633D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B01" w:rsidRDefault="00D37B01">
      <w:r>
        <w:separator/>
      </w:r>
    </w:p>
  </w:endnote>
  <w:endnote w:type="continuationSeparator" w:id="0">
    <w:p w:rsidR="00D37B01" w:rsidRDefault="00D3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B01" w:rsidRDefault="00D37B01">
      <w:r>
        <w:separator/>
      </w:r>
    </w:p>
  </w:footnote>
  <w:footnote w:type="continuationSeparator" w:id="0">
    <w:p w:rsidR="00D37B01" w:rsidRDefault="00D37B01">
      <w:r>
        <w:continuationSeparator/>
      </w:r>
    </w:p>
  </w:footnote>
  <w:footnote w:id="1">
    <w:p w:rsidR="00374253" w:rsidRPr="002F5726" w:rsidRDefault="00374253" w:rsidP="00374253">
      <w:pPr>
        <w:pStyle w:val="FootnoteText"/>
        <w:rPr>
          <w:u w:val="single"/>
        </w:rPr>
      </w:pPr>
      <w:r>
        <w:rPr>
          <w:rStyle w:val="FootnoteReference"/>
        </w:rPr>
        <w:footnoteRef/>
      </w:r>
      <w:r>
        <w:t xml:space="preserve"> Order No. </w:t>
      </w:r>
      <w:bookmarkStart w:id="7" w:name="OrderNo0511"/>
      <w:r>
        <w:t>PSC-16-0511-PCO-EI</w:t>
      </w:r>
      <w:bookmarkEnd w:id="7"/>
      <w:r>
        <w:t xml:space="preserve">, issued on November 9, 2016, in Docket No. 160186-EI, </w:t>
      </w:r>
      <w:r w:rsidRPr="007053D3">
        <w:rPr>
          <w:u w:val="single"/>
        </w:rPr>
        <w:t xml:space="preserve">In re: </w:t>
      </w:r>
      <w:bookmarkStart w:id="8" w:name="SSInRe"/>
      <w:bookmarkEnd w:id="8"/>
      <w:r w:rsidRPr="007053D3">
        <w:rPr>
          <w:u w:val="single"/>
        </w:rPr>
        <w:t>Petition for rate increase by Gulf Power Company</w:t>
      </w:r>
      <w:r>
        <w:t>; and</w:t>
      </w:r>
      <w:r w:rsidRPr="002F5726">
        <w:t xml:space="preserve"> Docket No. 160</w:t>
      </w:r>
      <w:r>
        <w:t>170</w:t>
      </w:r>
      <w:r w:rsidRPr="002F5726">
        <w:t xml:space="preserve">-EI, </w:t>
      </w:r>
      <w:r w:rsidRPr="007053D3">
        <w:rPr>
          <w:u w:val="single"/>
        </w:rPr>
        <w:t>In re: Petition for approval of 2016 depreciation and dismantlement studies, approval of proposed depreciation rates and annual dismantlement accruals and Plant Smith Units 1 and 2 regulatory asset amortization, by Gulf Power Company</w:t>
      </w:r>
      <w:r w:rsidRPr="00E1022E">
        <w:t>.</w:t>
      </w:r>
      <w:r>
        <w:rPr>
          <w:u w:val="single"/>
        </w:rPr>
        <w:t xml:space="preserve"> </w:t>
      </w:r>
    </w:p>
  </w:footnote>
  <w:footnote w:id="2">
    <w:p w:rsidR="00374253" w:rsidRPr="00C11BAA" w:rsidRDefault="00374253" w:rsidP="00374253">
      <w:pPr>
        <w:pStyle w:val="FootnoteText"/>
        <w:rPr>
          <w:i/>
        </w:rPr>
      </w:pPr>
      <w:r>
        <w:rPr>
          <w:rStyle w:val="FootnoteReference"/>
        </w:rPr>
        <w:footnoteRef/>
      </w:r>
      <w:r>
        <w:t xml:space="preserve"> “Order Acknowledging Intervention,” Order No. PSC-16-0466-PCO-EI, issued on October 14, 2016; and “Orders Granting Intervention,” Order No. PSC-16-0546-PCO-EI, issued on December 2, 2016; Order No. PSC-16-0550-PCO-EI, issued on December 8, 2016; Order No. PSC-16-0568-EI, issued on December 19, 2016; Order No. PSC-16-0585-PCO-EI, issued on December 30, 2016, Order No. PSC-17-0013-PCO-EI, issued on January 4, 2017, and Order No. PSC-17-0035-PCO-EI, issued on January 26, 2017, in Docket Nos. 160186-EI and 160170-EI</w:t>
      </w:r>
      <w:r w:rsidRPr="00E1022E">
        <w:t>.</w:t>
      </w:r>
    </w:p>
  </w:footnote>
  <w:footnote w:id="3">
    <w:p w:rsidR="002A32BB" w:rsidRDefault="002A32BB" w:rsidP="002A32BB">
      <w:pPr>
        <w:pStyle w:val="FootnoteText"/>
        <w:tabs>
          <w:tab w:val="left" w:pos="180"/>
        </w:tabs>
      </w:pPr>
      <w:r>
        <w:rPr>
          <w:rStyle w:val="FootnoteReference"/>
        </w:rPr>
        <w:footnoteRef/>
      </w:r>
      <w:r>
        <w:t xml:space="preserve"> </w:t>
      </w:r>
      <w:r>
        <w:tab/>
        <w:t>Document No. 03141-17.</w:t>
      </w:r>
    </w:p>
  </w:footnote>
  <w:footnote w:id="4">
    <w:p w:rsidR="00B52E39" w:rsidRDefault="00B52E39" w:rsidP="002A32BB">
      <w:pPr>
        <w:pStyle w:val="FootnoteText"/>
        <w:tabs>
          <w:tab w:val="left" w:pos="180"/>
        </w:tabs>
      </w:pPr>
      <w:r>
        <w:rPr>
          <w:rStyle w:val="FootnoteReference"/>
        </w:rPr>
        <w:footnoteRef/>
      </w:r>
      <w:r>
        <w:t xml:space="preserve"> </w:t>
      </w:r>
      <w:r w:rsidR="002A32BB">
        <w:tab/>
        <w:t>Document No. 03472-17.</w:t>
      </w:r>
    </w:p>
  </w:footnote>
  <w:footnote w:id="5">
    <w:p w:rsidR="005F62B3" w:rsidRPr="00A8798B" w:rsidRDefault="005F62B3" w:rsidP="005F62B3">
      <w:pPr>
        <w:pStyle w:val="FootnoteText"/>
        <w:tabs>
          <w:tab w:val="left" w:pos="180"/>
        </w:tabs>
      </w:pPr>
      <w:r>
        <w:rPr>
          <w:rStyle w:val="FootnoteReference"/>
        </w:rPr>
        <w:footnoteRef/>
      </w:r>
      <w:r>
        <w:t xml:space="preserve"> </w:t>
      </w:r>
      <w:r>
        <w:tab/>
      </w:r>
      <w:r>
        <w:rPr>
          <w:u w:val="single"/>
        </w:rPr>
        <w:t>Citing</w:t>
      </w:r>
      <w:r>
        <w:t xml:space="preserve">, Order No. PSC-11-0563-PCO-EI, issued December 8, 2011, in Docket No. 110138-EI, </w:t>
      </w:r>
      <w:r>
        <w:rPr>
          <w:u w:val="single"/>
        </w:rPr>
        <w:t>In Re: Petition for increase in rates by Gulf Power Company</w:t>
      </w:r>
      <w:r>
        <w:t>.</w:t>
      </w:r>
    </w:p>
  </w:footnote>
  <w:footnote w:id="6">
    <w:p w:rsidR="00AC3016" w:rsidRDefault="00AC3016" w:rsidP="00AC3016">
      <w:pPr>
        <w:pStyle w:val="FootnoteText"/>
        <w:tabs>
          <w:tab w:val="left" w:pos="180"/>
        </w:tabs>
      </w:pPr>
      <w:r>
        <w:rPr>
          <w:rStyle w:val="FootnoteReference"/>
        </w:rPr>
        <w:footnoteRef/>
      </w:r>
      <w:r>
        <w:t xml:space="preserve"> </w:t>
      </w:r>
      <w:r>
        <w:tab/>
        <w:t>Gulf Response to Staff Interrogatory No. 376. (Staff’s Eleventh Set of Interrogatories to Gulf Power Company (Nos. 361-381), served on December 23, 2016;  Gulf Responses to Staff’s Eleventh Set of Interrogatories (Nos. 361-381), served on January 23,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D2C82">
      <w:fldChar w:fldCharType="begin"/>
    </w:r>
    <w:r w:rsidR="00DD2C82">
      <w:instrText xml:space="preserve"> REF OrderNo0096 </w:instrText>
    </w:r>
    <w:r w:rsidR="00DD2C82">
      <w:fldChar w:fldCharType="separate"/>
    </w:r>
    <w:r w:rsidR="00072C5F">
      <w:t>PSC-17-0096-PCO-EI</w:t>
    </w:r>
    <w:r w:rsidR="00DD2C82">
      <w:fldChar w:fldCharType="end"/>
    </w:r>
  </w:p>
  <w:p w:rsidR="00FA6EFD" w:rsidRDefault="00372FB7">
    <w:pPr>
      <w:pStyle w:val="OrderHeader"/>
    </w:pPr>
    <w:bookmarkStart w:id="12" w:name="HeaderDocketNo"/>
    <w:bookmarkEnd w:id="12"/>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2C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372FB7"/>
    <w:rsid w:val="000022B8"/>
    <w:rsid w:val="000051C1"/>
    <w:rsid w:val="00053AB9"/>
    <w:rsid w:val="00056229"/>
    <w:rsid w:val="00063FB8"/>
    <w:rsid w:val="00065FC2"/>
    <w:rsid w:val="000714BB"/>
    <w:rsid w:val="00072C5F"/>
    <w:rsid w:val="00090AFC"/>
    <w:rsid w:val="000D02B8"/>
    <w:rsid w:val="000D06E8"/>
    <w:rsid w:val="000E20F0"/>
    <w:rsid w:val="000E344D"/>
    <w:rsid w:val="000F3B2C"/>
    <w:rsid w:val="000F648A"/>
    <w:rsid w:val="000F7BE3"/>
    <w:rsid w:val="001107B3"/>
    <w:rsid w:val="001114B1"/>
    <w:rsid w:val="00116AD3"/>
    <w:rsid w:val="00121957"/>
    <w:rsid w:val="00126593"/>
    <w:rsid w:val="00136A9B"/>
    <w:rsid w:val="00142A96"/>
    <w:rsid w:val="00166682"/>
    <w:rsid w:val="00174301"/>
    <w:rsid w:val="00187E32"/>
    <w:rsid w:val="00194E81"/>
    <w:rsid w:val="001971C1"/>
    <w:rsid w:val="001A15E7"/>
    <w:rsid w:val="001A33C9"/>
    <w:rsid w:val="001A58F3"/>
    <w:rsid w:val="001B5845"/>
    <w:rsid w:val="001D008A"/>
    <w:rsid w:val="001E0FF5"/>
    <w:rsid w:val="002002ED"/>
    <w:rsid w:val="002170E5"/>
    <w:rsid w:val="0022721A"/>
    <w:rsid w:val="00230BB9"/>
    <w:rsid w:val="00241CEF"/>
    <w:rsid w:val="00252B30"/>
    <w:rsid w:val="0026544B"/>
    <w:rsid w:val="0028584D"/>
    <w:rsid w:val="002A11AC"/>
    <w:rsid w:val="002A32BB"/>
    <w:rsid w:val="002A42D1"/>
    <w:rsid w:val="002A6F30"/>
    <w:rsid w:val="002B0315"/>
    <w:rsid w:val="002B3111"/>
    <w:rsid w:val="002C7908"/>
    <w:rsid w:val="002D391B"/>
    <w:rsid w:val="002D7D15"/>
    <w:rsid w:val="002E1B2E"/>
    <w:rsid w:val="002E27EB"/>
    <w:rsid w:val="00303FDE"/>
    <w:rsid w:val="003140E8"/>
    <w:rsid w:val="003231C7"/>
    <w:rsid w:val="003270C4"/>
    <w:rsid w:val="00331ED0"/>
    <w:rsid w:val="00332B0A"/>
    <w:rsid w:val="00333A41"/>
    <w:rsid w:val="00340848"/>
    <w:rsid w:val="0035495B"/>
    <w:rsid w:val="00372FB7"/>
    <w:rsid w:val="00374253"/>
    <w:rsid w:val="003744F5"/>
    <w:rsid w:val="00390DD8"/>
    <w:rsid w:val="00394DC6"/>
    <w:rsid w:val="00397C3E"/>
    <w:rsid w:val="003C1F12"/>
    <w:rsid w:val="003D4CCA"/>
    <w:rsid w:val="003D52A6"/>
    <w:rsid w:val="003D6416"/>
    <w:rsid w:val="003E1D48"/>
    <w:rsid w:val="003E503B"/>
    <w:rsid w:val="00411DF2"/>
    <w:rsid w:val="0042527B"/>
    <w:rsid w:val="00450273"/>
    <w:rsid w:val="00457DC7"/>
    <w:rsid w:val="004633DD"/>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2D2E"/>
    <w:rsid w:val="005C5033"/>
    <w:rsid w:val="005F62B3"/>
    <w:rsid w:val="00610E73"/>
    <w:rsid w:val="006225E0"/>
    <w:rsid w:val="00660774"/>
    <w:rsid w:val="0066389A"/>
    <w:rsid w:val="0066495C"/>
    <w:rsid w:val="00665CC7"/>
    <w:rsid w:val="00672612"/>
    <w:rsid w:val="006A0BF3"/>
    <w:rsid w:val="006B0DA6"/>
    <w:rsid w:val="006B5DAB"/>
    <w:rsid w:val="006C1D86"/>
    <w:rsid w:val="006C547E"/>
    <w:rsid w:val="006E77C1"/>
    <w:rsid w:val="006F3795"/>
    <w:rsid w:val="00704C5D"/>
    <w:rsid w:val="007072BC"/>
    <w:rsid w:val="00715275"/>
    <w:rsid w:val="00733B6B"/>
    <w:rsid w:val="007467C4"/>
    <w:rsid w:val="0076170F"/>
    <w:rsid w:val="0076669C"/>
    <w:rsid w:val="00766FD1"/>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34DA"/>
    <w:rsid w:val="0089559E"/>
    <w:rsid w:val="008A12EC"/>
    <w:rsid w:val="008C21C8"/>
    <w:rsid w:val="008C6375"/>
    <w:rsid w:val="008C6730"/>
    <w:rsid w:val="008C6A5B"/>
    <w:rsid w:val="008E1CEF"/>
    <w:rsid w:val="008E26A5"/>
    <w:rsid w:val="008E42D2"/>
    <w:rsid w:val="009040EE"/>
    <w:rsid w:val="009057FD"/>
    <w:rsid w:val="00906FBA"/>
    <w:rsid w:val="00922A7F"/>
    <w:rsid w:val="00923A5E"/>
    <w:rsid w:val="00931C8C"/>
    <w:rsid w:val="00935471"/>
    <w:rsid w:val="0094504B"/>
    <w:rsid w:val="00964991"/>
    <w:rsid w:val="00977AA4"/>
    <w:rsid w:val="009808C4"/>
    <w:rsid w:val="009924CF"/>
    <w:rsid w:val="00994100"/>
    <w:rsid w:val="009D4C29"/>
    <w:rsid w:val="00A27CFD"/>
    <w:rsid w:val="00A62DAB"/>
    <w:rsid w:val="00A726A6"/>
    <w:rsid w:val="00A8798B"/>
    <w:rsid w:val="00A95035"/>
    <w:rsid w:val="00A96239"/>
    <w:rsid w:val="00A97535"/>
    <w:rsid w:val="00AA73F1"/>
    <w:rsid w:val="00AB0E1A"/>
    <w:rsid w:val="00AB1A30"/>
    <w:rsid w:val="00AC3016"/>
    <w:rsid w:val="00AD1ED3"/>
    <w:rsid w:val="00B0777D"/>
    <w:rsid w:val="00B4057A"/>
    <w:rsid w:val="00B40894"/>
    <w:rsid w:val="00B45E75"/>
    <w:rsid w:val="00B45FF7"/>
    <w:rsid w:val="00B50876"/>
    <w:rsid w:val="00B52E39"/>
    <w:rsid w:val="00B55EE5"/>
    <w:rsid w:val="00B70128"/>
    <w:rsid w:val="00B73DE6"/>
    <w:rsid w:val="00B86EF0"/>
    <w:rsid w:val="00B96969"/>
    <w:rsid w:val="00B97900"/>
    <w:rsid w:val="00BA1229"/>
    <w:rsid w:val="00BA44A8"/>
    <w:rsid w:val="00BD209D"/>
    <w:rsid w:val="00BF6691"/>
    <w:rsid w:val="00C028FC"/>
    <w:rsid w:val="00C151A6"/>
    <w:rsid w:val="00C24098"/>
    <w:rsid w:val="00C30A4E"/>
    <w:rsid w:val="00C341FE"/>
    <w:rsid w:val="00C411F3"/>
    <w:rsid w:val="00C66692"/>
    <w:rsid w:val="00C91123"/>
    <w:rsid w:val="00CA71FF"/>
    <w:rsid w:val="00CB498E"/>
    <w:rsid w:val="00CB5276"/>
    <w:rsid w:val="00CB68D7"/>
    <w:rsid w:val="00CC7E68"/>
    <w:rsid w:val="00CD7132"/>
    <w:rsid w:val="00CE0E6F"/>
    <w:rsid w:val="00CE56FC"/>
    <w:rsid w:val="00CF4CFE"/>
    <w:rsid w:val="00D02E0F"/>
    <w:rsid w:val="00D23FEA"/>
    <w:rsid w:val="00D269CA"/>
    <w:rsid w:val="00D30B48"/>
    <w:rsid w:val="00D37B01"/>
    <w:rsid w:val="00D46FAA"/>
    <w:rsid w:val="00D47A40"/>
    <w:rsid w:val="00D57BB2"/>
    <w:rsid w:val="00D57E57"/>
    <w:rsid w:val="00D8560E"/>
    <w:rsid w:val="00D8758F"/>
    <w:rsid w:val="00DC1D94"/>
    <w:rsid w:val="00DD2C82"/>
    <w:rsid w:val="00DD3EEE"/>
    <w:rsid w:val="00DE057F"/>
    <w:rsid w:val="00DE2082"/>
    <w:rsid w:val="00DE2289"/>
    <w:rsid w:val="00DF2B84"/>
    <w:rsid w:val="00E03A76"/>
    <w:rsid w:val="00E04410"/>
    <w:rsid w:val="00E11351"/>
    <w:rsid w:val="00E52E28"/>
    <w:rsid w:val="00E860E5"/>
    <w:rsid w:val="00EA172C"/>
    <w:rsid w:val="00EA259B"/>
    <w:rsid w:val="00EA35A3"/>
    <w:rsid w:val="00EA3E6A"/>
    <w:rsid w:val="00EB18EF"/>
    <w:rsid w:val="00EB329F"/>
    <w:rsid w:val="00EE17DF"/>
    <w:rsid w:val="00EF4621"/>
    <w:rsid w:val="00F234A7"/>
    <w:rsid w:val="00F277B6"/>
    <w:rsid w:val="00F34FDE"/>
    <w:rsid w:val="00F54380"/>
    <w:rsid w:val="00F54B47"/>
    <w:rsid w:val="00F6702E"/>
    <w:rsid w:val="00F70E84"/>
    <w:rsid w:val="00F940BC"/>
    <w:rsid w:val="00F964DB"/>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74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7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F908-AC0F-4F62-8B75-0D624AC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1774</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2017-03-14T13:15:00Z</dcterms:created>
  <dcterms:modified xsi:type="dcterms:W3CDTF">2017-03-15T14:32:00Z</dcterms:modified>
</cp:coreProperties>
</file>