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2086C" w:rsidP="0052086C">
      <w:pPr>
        <w:pStyle w:val="OrderHeading"/>
      </w:pPr>
      <w:r>
        <w:t>BEFORE THE FLORIDA PUBLIC SERVICE COMMISSION</w:t>
      </w:r>
    </w:p>
    <w:p w:rsidR="0052086C" w:rsidRDefault="0052086C" w:rsidP="0052086C">
      <w:pPr>
        <w:pStyle w:val="OrderHeading"/>
      </w:pPr>
    </w:p>
    <w:p w:rsidR="0052086C" w:rsidRDefault="0052086C" w:rsidP="005208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086C" w:rsidRPr="00C63FCF" w:rsidTr="003414D4">
        <w:trPr>
          <w:trHeight w:val="828"/>
        </w:trPr>
        <w:tc>
          <w:tcPr>
            <w:tcW w:w="4788" w:type="dxa"/>
            <w:tcBorders>
              <w:bottom w:val="single" w:sz="8" w:space="0" w:color="auto"/>
              <w:right w:val="double" w:sz="6" w:space="0" w:color="auto"/>
            </w:tcBorders>
            <w:shd w:val="clear" w:color="auto" w:fill="auto"/>
          </w:tcPr>
          <w:p w:rsidR="0052086C" w:rsidRDefault="0052086C" w:rsidP="003414D4">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52086C" w:rsidRDefault="0052086C" w:rsidP="0052086C">
            <w:pPr>
              <w:pStyle w:val="OrderBody"/>
            </w:pPr>
            <w:r>
              <w:t xml:space="preserve">DOCKET NO. </w:t>
            </w:r>
            <w:bookmarkStart w:id="1" w:name="SSDocketNo"/>
            <w:bookmarkEnd w:id="1"/>
            <w:r>
              <w:t>160101-WS</w:t>
            </w:r>
          </w:p>
          <w:p w:rsidR="0052086C" w:rsidRDefault="0052086C" w:rsidP="003414D4">
            <w:pPr>
              <w:pStyle w:val="OrderBody"/>
              <w:tabs>
                <w:tab w:val="center" w:pos="4320"/>
                <w:tab w:val="right" w:pos="8640"/>
              </w:tabs>
              <w:jc w:val="left"/>
            </w:pPr>
            <w:r>
              <w:t xml:space="preserve">ORDER NO. </w:t>
            </w:r>
            <w:bookmarkStart w:id="2" w:name="OrderNo0148"/>
            <w:r w:rsidR="00B5392A">
              <w:t>PSC-17-0148-PHO-WS</w:t>
            </w:r>
            <w:bookmarkEnd w:id="2"/>
          </w:p>
          <w:p w:rsidR="0052086C" w:rsidRDefault="0052086C" w:rsidP="003414D4">
            <w:pPr>
              <w:pStyle w:val="OrderBody"/>
              <w:tabs>
                <w:tab w:val="center" w:pos="4320"/>
                <w:tab w:val="right" w:pos="8640"/>
              </w:tabs>
              <w:jc w:val="left"/>
            </w:pPr>
            <w:r>
              <w:t xml:space="preserve">ISSUED: </w:t>
            </w:r>
            <w:r w:rsidR="00B5392A">
              <w:t>May 2, 2017</w:t>
            </w:r>
          </w:p>
        </w:tc>
      </w:tr>
    </w:tbl>
    <w:p w:rsidR="0052086C" w:rsidRDefault="0052086C" w:rsidP="0052086C"/>
    <w:p w:rsidR="0052086C" w:rsidRDefault="0052086C" w:rsidP="0052086C"/>
    <w:p w:rsidR="0052086C" w:rsidRPr="00701945" w:rsidRDefault="0052086C" w:rsidP="0052086C">
      <w:pPr>
        <w:ind w:firstLine="720"/>
        <w:jc w:val="both"/>
      </w:pPr>
      <w:bookmarkStart w:id="3" w:name="Commissioners"/>
      <w:bookmarkEnd w:id="3"/>
      <w:r w:rsidRPr="00701945">
        <w:t xml:space="preserve">Pursuant to Notice and in accordance with Rule 28-106.209, </w:t>
      </w:r>
      <w:r>
        <w:t>Florida Administrative Code (F.A.C.)</w:t>
      </w:r>
      <w:r w:rsidRPr="00701945">
        <w:t xml:space="preserve">, a Prehearing Conference was held on </w:t>
      </w:r>
      <w:r w:rsidRPr="00572F0E">
        <w:t>April 20, 2017</w:t>
      </w:r>
      <w:r w:rsidRPr="00701945">
        <w:t xml:space="preserve">, in Tallahassee, Florida, before Commissioner </w:t>
      </w:r>
      <w:r>
        <w:t>Ronald A. Brisé</w:t>
      </w:r>
      <w:r w:rsidRPr="00701945">
        <w:t>, as Prehearing Officer.</w:t>
      </w:r>
    </w:p>
    <w:p w:rsidR="0052086C" w:rsidRPr="00701945" w:rsidRDefault="0052086C" w:rsidP="0052086C">
      <w:pPr>
        <w:jc w:val="both"/>
      </w:pPr>
    </w:p>
    <w:p w:rsidR="0052086C" w:rsidRPr="00701945" w:rsidRDefault="0052086C" w:rsidP="0052086C">
      <w:pPr>
        <w:jc w:val="both"/>
      </w:pPr>
      <w:r w:rsidRPr="00701945">
        <w:t>APPEARANCES:</w:t>
      </w:r>
    </w:p>
    <w:p w:rsidR="0052086C" w:rsidRPr="00701945" w:rsidRDefault="0052086C" w:rsidP="0052086C">
      <w:pPr>
        <w:jc w:val="both"/>
      </w:pPr>
    </w:p>
    <w:p w:rsidR="0052086C" w:rsidRDefault="0052086C" w:rsidP="0052086C">
      <w:pPr>
        <w:ind w:left="1440"/>
        <w:jc w:val="both"/>
      </w:pPr>
      <w:r>
        <w:t>MARTIN S. FRIEDMAN</w:t>
      </w:r>
      <w:r w:rsidRPr="00701945">
        <w:t>, ESQUIRE,</w:t>
      </w:r>
      <w:r>
        <w:t xml:space="preserve"> </w:t>
      </w:r>
      <w:r w:rsidR="00C94848">
        <w:t>Friedman &amp; Friedman, P.A.</w:t>
      </w:r>
      <w:r>
        <w:t>, 766 North Sun Drive, Suite 4030, Lake Mary, FL 32746</w:t>
      </w:r>
    </w:p>
    <w:p w:rsidR="0052086C" w:rsidRPr="00701945" w:rsidRDefault="0052086C" w:rsidP="0052086C">
      <w:pPr>
        <w:ind w:left="720" w:firstLine="720"/>
        <w:jc w:val="both"/>
      </w:pPr>
      <w:r>
        <w:rPr>
          <w:u w:val="single"/>
        </w:rPr>
        <w:t>On behalf of Utilities, Inc. of Florida (U</w:t>
      </w:r>
      <w:r w:rsidR="00046EC1">
        <w:rPr>
          <w:u w:val="single"/>
        </w:rPr>
        <w:t>IF</w:t>
      </w:r>
      <w:r>
        <w:rPr>
          <w:u w:val="single"/>
        </w:rPr>
        <w:t>)</w:t>
      </w:r>
      <w:r w:rsidRPr="00701945">
        <w:t>.</w:t>
      </w:r>
    </w:p>
    <w:p w:rsidR="0052086C" w:rsidRPr="00701945" w:rsidRDefault="0052086C" w:rsidP="0052086C">
      <w:pPr>
        <w:jc w:val="both"/>
      </w:pPr>
    </w:p>
    <w:p w:rsidR="0052086C" w:rsidRPr="0052086C" w:rsidRDefault="0052086C" w:rsidP="0052086C">
      <w:pPr>
        <w:ind w:left="1440"/>
        <w:jc w:val="both"/>
      </w:pPr>
      <w:r>
        <w:t>J. R. KELLY, ERIK L. SAYLER, PAT</w:t>
      </w:r>
      <w:r w:rsidR="007B7CC4">
        <w:t>RICIA A.</w:t>
      </w:r>
      <w:r>
        <w:t xml:space="preserve"> CHRISTENSEN, and VIRGINIA PONDER</w:t>
      </w:r>
      <w:r w:rsidRPr="00701945">
        <w:t>, ESQUIRE</w:t>
      </w:r>
      <w:r>
        <w:t>S</w:t>
      </w:r>
      <w:r w:rsidRPr="00701945">
        <w:t>,</w:t>
      </w:r>
      <w:r>
        <w:t xml:space="preserve"> </w:t>
      </w:r>
      <w:r w:rsidRPr="0052086C">
        <w:t>111 West Madison Street, Room 812</w:t>
      </w:r>
      <w:r>
        <w:t xml:space="preserve">, </w:t>
      </w:r>
      <w:r w:rsidRPr="0052086C">
        <w:t>Tallahassee, FL 32399-1400</w:t>
      </w:r>
    </w:p>
    <w:p w:rsidR="0052086C" w:rsidRPr="00701945" w:rsidRDefault="0052086C" w:rsidP="0052086C">
      <w:pPr>
        <w:ind w:left="720" w:firstLine="720"/>
        <w:jc w:val="both"/>
      </w:pPr>
      <w:r w:rsidRPr="00701945">
        <w:rPr>
          <w:u w:val="single"/>
        </w:rPr>
        <w:t xml:space="preserve">On behalf of </w:t>
      </w:r>
      <w:r>
        <w:rPr>
          <w:u w:val="single"/>
        </w:rPr>
        <w:t>Office of Public Counsel (OPC)</w:t>
      </w:r>
      <w:r w:rsidRPr="00701945">
        <w:t xml:space="preserve">. </w:t>
      </w:r>
    </w:p>
    <w:p w:rsidR="0052086C" w:rsidRPr="00701945" w:rsidRDefault="0052086C" w:rsidP="0052086C">
      <w:pPr>
        <w:jc w:val="both"/>
      </w:pPr>
    </w:p>
    <w:p w:rsidR="00A30B1C" w:rsidRDefault="00A30B1C" w:rsidP="00A30B1C">
      <w:pPr>
        <w:ind w:left="1440"/>
        <w:jc w:val="both"/>
      </w:pPr>
      <w:r w:rsidRPr="00A30B1C">
        <w:t>BRIAN ARMSTRONG, ESQUIRE, Law Office of Brian</w:t>
      </w:r>
      <w:r>
        <w:t xml:space="preserve"> </w:t>
      </w:r>
      <w:r w:rsidRPr="00A30B1C">
        <w:t>Armstrong, PPLC, P.O. Box 5055, Tallahassee, Florida</w:t>
      </w:r>
      <w:r>
        <w:t xml:space="preserve"> </w:t>
      </w:r>
      <w:r w:rsidRPr="00A30B1C">
        <w:t xml:space="preserve">32314-2055 </w:t>
      </w:r>
    </w:p>
    <w:p w:rsidR="00A30B1C" w:rsidRPr="00C5000C" w:rsidRDefault="00A30B1C" w:rsidP="00A30B1C">
      <w:pPr>
        <w:ind w:left="1440"/>
        <w:jc w:val="both"/>
        <w:rPr>
          <w:u w:val="single"/>
        </w:rPr>
      </w:pPr>
      <w:r w:rsidRPr="00C5000C">
        <w:rPr>
          <w:u w:val="single"/>
        </w:rPr>
        <w:t>On behalf of Summertree Water Alliance</w:t>
      </w:r>
      <w:r w:rsidR="00C5000C" w:rsidRPr="00C5000C">
        <w:rPr>
          <w:u w:val="single"/>
        </w:rPr>
        <w:t xml:space="preserve"> (Summertree).</w:t>
      </w:r>
    </w:p>
    <w:p w:rsidR="00A30B1C" w:rsidRDefault="00A30B1C" w:rsidP="00A30B1C">
      <w:pPr>
        <w:ind w:left="1440"/>
        <w:jc w:val="both"/>
      </w:pPr>
    </w:p>
    <w:p w:rsidR="0052086C" w:rsidRPr="00701945" w:rsidRDefault="0052086C" w:rsidP="00A30B1C">
      <w:pPr>
        <w:ind w:left="1440"/>
        <w:jc w:val="both"/>
      </w:pPr>
      <w:r>
        <w:t xml:space="preserve">WALT TRIERWEILER, </w:t>
      </w:r>
      <w:r w:rsidR="00C5000C">
        <w:t xml:space="preserve">JENNIFER CRAWFORD, </w:t>
      </w:r>
      <w:r>
        <w:t>DANIJELA JANJIC, KYESHA MAPP, and WESLEY TAYLOR</w:t>
      </w:r>
      <w:r w:rsidRPr="00701945">
        <w:t>, ESQUIRE</w:t>
      </w:r>
      <w:r>
        <w:t>S</w:t>
      </w:r>
      <w:r w:rsidRPr="00701945">
        <w:t>, Florida Public Service Commission, 2540 Shumard Oak Boulevard, Tallahassee, Florida 32399-0850</w:t>
      </w:r>
    </w:p>
    <w:p w:rsidR="0052086C" w:rsidRPr="00701945" w:rsidRDefault="0052086C" w:rsidP="0052086C">
      <w:pPr>
        <w:ind w:left="720" w:firstLine="720"/>
        <w:jc w:val="both"/>
      </w:pPr>
      <w:r w:rsidRPr="00701945">
        <w:rPr>
          <w:u w:val="single"/>
        </w:rPr>
        <w:t>On behalf of the Florida Public Service Commission</w:t>
      </w:r>
      <w:r>
        <w:rPr>
          <w:u w:val="single"/>
        </w:rPr>
        <w:t xml:space="preserve"> (Staff)</w:t>
      </w:r>
      <w:r w:rsidRPr="00701945">
        <w:t>.</w:t>
      </w:r>
    </w:p>
    <w:p w:rsidR="0052086C" w:rsidRPr="00701945" w:rsidRDefault="0052086C" w:rsidP="0052086C">
      <w:pPr>
        <w:jc w:val="both"/>
      </w:pPr>
    </w:p>
    <w:p w:rsidR="0052086C" w:rsidRPr="00701945" w:rsidRDefault="00C5000C" w:rsidP="0052086C">
      <w:pPr>
        <w:ind w:left="1440"/>
        <w:jc w:val="both"/>
      </w:pPr>
      <w:r>
        <w:rPr>
          <w:caps/>
        </w:rPr>
        <w:t>SAMANTHA CIBULA</w:t>
      </w:r>
      <w:r w:rsidR="0052086C" w:rsidRPr="0052086C">
        <w:rPr>
          <w:caps/>
        </w:rPr>
        <w:t>, Esquire</w:t>
      </w:r>
      <w:r w:rsidR="0052086C">
        <w:t xml:space="preserve">, </w:t>
      </w:r>
      <w:r w:rsidR="002A1477">
        <w:t>Attorney Supervisor</w:t>
      </w:r>
      <w:r w:rsidR="0052086C">
        <w:t>,</w:t>
      </w:r>
      <w:r w:rsidR="0052086C" w:rsidRPr="00701945">
        <w:t xml:space="preserve"> Florida Public Service Commission, 2540 Shumard Oak Boulevard, Tallahassee, Florida 32399-0850</w:t>
      </w:r>
    </w:p>
    <w:p w:rsidR="0052086C" w:rsidRDefault="0052086C" w:rsidP="0052086C">
      <w:pPr>
        <w:ind w:left="720" w:firstLine="720"/>
        <w:jc w:val="both"/>
      </w:pPr>
      <w:r>
        <w:rPr>
          <w:u w:val="single"/>
        </w:rPr>
        <w:t>Advisor to the</w:t>
      </w:r>
      <w:r w:rsidRPr="00701945">
        <w:rPr>
          <w:u w:val="single"/>
        </w:rPr>
        <w:t xml:space="preserve"> Florida Public Service Commission</w:t>
      </w:r>
      <w:r w:rsidRPr="00701945">
        <w:t>.</w:t>
      </w:r>
    </w:p>
    <w:p w:rsidR="00C5000C" w:rsidRDefault="00C5000C" w:rsidP="0052086C">
      <w:pPr>
        <w:ind w:left="720" w:firstLine="720"/>
        <w:jc w:val="both"/>
      </w:pPr>
    </w:p>
    <w:p w:rsidR="00C5000C" w:rsidRPr="00701945" w:rsidRDefault="00C5000C" w:rsidP="00C5000C">
      <w:pPr>
        <w:ind w:left="1440"/>
        <w:jc w:val="both"/>
      </w:pPr>
      <w:r>
        <w:rPr>
          <w:caps/>
        </w:rPr>
        <w:t>KEITH HETRICK</w:t>
      </w:r>
      <w:r w:rsidRPr="0052086C">
        <w:rPr>
          <w:caps/>
        </w:rPr>
        <w:t>, Esquire</w:t>
      </w:r>
      <w:r>
        <w:t>, General Counsel,</w:t>
      </w:r>
      <w:r w:rsidRPr="00701945">
        <w:t xml:space="preserve"> Florida Public Service Commission, 2540 Shumard Oak Boulevard, Tallahassee, Florida 32399-0850</w:t>
      </w:r>
    </w:p>
    <w:p w:rsidR="00C5000C" w:rsidRPr="00701945" w:rsidRDefault="00C5000C" w:rsidP="00C5000C">
      <w:pPr>
        <w:ind w:left="720" w:firstLine="720"/>
        <w:jc w:val="both"/>
      </w:pPr>
      <w:r>
        <w:rPr>
          <w:u w:val="single"/>
        </w:rPr>
        <w:t>Advisor to the</w:t>
      </w:r>
      <w:r w:rsidRPr="00701945">
        <w:rPr>
          <w:u w:val="single"/>
        </w:rPr>
        <w:t xml:space="preserve"> Florida Public Service Commission</w:t>
      </w:r>
      <w:r w:rsidRPr="00701945">
        <w:t>.</w:t>
      </w:r>
    </w:p>
    <w:p w:rsidR="0052086C" w:rsidRDefault="0052086C" w:rsidP="0052086C">
      <w:pPr>
        <w:jc w:val="center"/>
        <w:rPr>
          <w:b/>
          <w:bCs/>
          <w:u w:val="single"/>
        </w:rPr>
      </w:pPr>
    </w:p>
    <w:p w:rsidR="00004925" w:rsidRDefault="00004925" w:rsidP="0052086C">
      <w:pPr>
        <w:jc w:val="center"/>
        <w:rPr>
          <w:b/>
          <w:bCs/>
          <w:u w:val="single"/>
        </w:rPr>
      </w:pPr>
    </w:p>
    <w:p w:rsidR="00004925" w:rsidRDefault="00004925" w:rsidP="0052086C">
      <w:pPr>
        <w:jc w:val="center"/>
        <w:rPr>
          <w:b/>
          <w:bCs/>
          <w:u w:val="single"/>
        </w:rPr>
      </w:pPr>
    </w:p>
    <w:p w:rsidR="008C73E4" w:rsidRPr="00701945" w:rsidRDefault="008C73E4" w:rsidP="0052086C">
      <w:pPr>
        <w:jc w:val="center"/>
        <w:rPr>
          <w:b/>
          <w:bCs/>
          <w:u w:val="single"/>
        </w:rPr>
      </w:pPr>
    </w:p>
    <w:p w:rsidR="0052086C" w:rsidRPr="00701945" w:rsidRDefault="0052086C" w:rsidP="0052086C">
      <w:pPr>
        <w:jc w:val="center"/>
        <w:rPr>
          <w:b/>
          <w:bCs/>
          <w:u w:val="single"/>
        </w:rPr>
      </w:pPr>
    </w:p>
    <w:p w:rsidR="0052086C" w:rsidRPr="00701945" w:rsidRDefault="0052086C" w:rsidP="0052086C">
      <w:pPr>
        <w:jc w:val="center"/>
      </w:pPr>
      <w:r w:rsidRPr="00701945">
        <w:rPr>
          <w:b/>
          <w:bCs/>
          <w:u w:val="single"/>
        </w:rPr>
        <w:lastRenderedPageBreak/>
        <w:t>PREHEARING ORDER</w:t>
      </w:r>
    </w:p>
    <w:p w:rsidR="0052086C" w:rsidRDefault="0052086C" w:rsidP="0052086C">
      <w:pPr>
        <w:jc w:val="both"/>
      </w:pPr>
    </w:p>
    <w:p w:rsidR="00B63BBA" w:rsidRPr="00701945" w:rsidRDefault="00B63BBA" w:rsidP="0052086C">
      <w:pPr>
        <w:jc w:val="both"/>
      </w:pPr>
    </w:p>
    <w:p w:rsidR="0052086C" w:rsidRPr="00373F17" w:rsidRDefault="0052086C" w:rsidP="0052086C">
      <w:pPr>
        <w:jc w:val="both"/>
        <w:rPr>
          <w:b/>
        </w:rPr>
      </w:pPr>
      <w:r w:rsidRPr="00373F17">
        <w:rPr>
          <w:b/>
        </w:rPr>
        <w:t>I.</w:t>
      </w:r>
      <w:r w:rsidRPr="00373F17">
        <w:rPr>
          <w:b/>
        </w:rPr>
        <w:tab/>
      </w:r>
      <w:r w:rsidRPr="00373F17">
        <w:rPr>
          <w:b/>
          <w:u w:val="single"/>
        </w:rPr>
        <w:t>CASE BACKGROUND</w:t>
      </w:r>
    </w:p>
    <w:p w:rsidR="0052086C" w:rsidRPr="00701945" w:rsidRDefault="0052086C" w:rsidP="0052086C">
      <w:pPr>
        <w:jc w:val="both"/>
      </w:pPr>
    </w:p>
    <w:p w:rsidR="00C31458" w:rsidRPr="00572F0E" w:rsidRDefault="00C31458" w:rsidP="00C31458">
      <w:pPr>
        <w:jc w:val="both"/>
      </w:pPr>
      <w:r w:rsidRPr="00572F0E">
        <w:tab/>
        <w:t xml:space="preserve">On August 31, 2016, Utilities Inc. of Florida (Utility or UIF) filed an application for an increase in water and wastewater rates in Charlotte, Highlands, Lake, Lee, Marion, Orange, Pasco, Pinellas, Polk, and Seminole Counties in Docket No. 160101-WS. </w:t>
      </w:r>
      <w:r w:rsidR="00767A1C">
        <w:t>By Order No. PSC-16-0189-PCO-WS, issued May 10, 2017, OPC</w:t>
      </w:r>
      <w:r w:rsidR="008C73E4">
        <w:t>’s intervention was acknowledged.</w:t>
      </w:r>
      <w:r w:rsidRPr="00572F0E">
        <w:t xml:space="preserve"> Florida Public Service Commission (Commission) staff reviewed the application, and after all deficiencies were cured</w:t>
      </w:r>
      <w:r w:rsidR="00767A1C">
        <w:t>,</w:t>
      </w:r>
      <w:r w:rsidRPr="00572F0E">
        <w:t xml:space="preserve"> set November 22, 2016, as the official filing date.  Order No. PSC-16-0558-PCO-WS, the Order Establishing Procedure (OEP), was issued on December 14, 2016, and was subsequently modified by Order Nos. PSC-16-0578-PCO-WS, issued December 20, 2016</w:t>
      </w:r>
      <w:r w:rsidR="008C73E4">
        <w:t>;</w:t>
      </w:r>
      <w:r w:rsidRPr="00572F0E">
        <w:t xml:space="preserve"> PSC-17-0032-PCO-WS, issued January 24, 2017</w:t>
      </w:r>
      <w:r w:rsidR="008C73E4">
        <w:t>;</w:t>
      </w:r>
      <w:r w:rsidR="002A2CFE">
        <w:t xml:space="preserve"> and PSC-17-0118-PCO-WS, issued April 4, 2017</w:t>
      </w:r>
      <w:r w:rsidRPr="00572F0E">
        <w:t xml:space="preserve">. </w:t>
      </w:r>
      <w:r w:rsidR="009C6A62">
        <w:t>On April 19, 2017, the Summertree Water Alliance petitioned to intervene in this docket.</w:t>
      </w:r>
      <w:r w:rsidRPr="00572F0E">
        <w:t xml:space="preserve"> This docket is currently scheduled for hearing on May 8-12, 2017. </w:t>
      </w:r>
    </w:p>
    <w:p w:rsidR="0052086C" w:rsidRDefault="0052086C" w:rsidP="0052086C">
      <w:pPr>
        <w:jc w:val="both"/>
      </w:pPr>
    </w:p>
    <w:p w:rsidR="00B63BBA" w:rsidRPr="00572F0E" w:rsidRDefault="00B63BBA" w:rsidP="0052086C">
      <w:pPr>
        <w:jc w:val="both"/>
      </w:pPr>
    </w:p>
    <w:p w:rsidR="0052086C" w:rsidRPr="00373F17" w:rsidRDefault="0052086C" w:rsidP="0052086C">
      <w:pPr>
        <w:jc w:val="both"/>
        <w:rPr>
          <w:b/>
        </w:rPr>
      </w:pPr>
      <w:r w:rsidRPr="00373F17">
        <w:rPr>
          <w:b/>
        </w:rPr>
        <w:t>II.</w:t>
      </w:r>
      <w:r w:rsidRPr="00373F17">
        <w:rPr>
          <w:b/>
        </w:rPr>
        <w:tab/>
      </w:r>
      <w:r w:rsidRPr="00373F17">
        <w:rPr>
          <w:b/>
          <w:u w:val="single"/>
        </w:rPr>
        <w:t>CONDUCT OF PROCEEDINGS</w:t>
      </w:r>
    </w:p>
    <w:p w:rsidR="0052086C" w:rsidRPr="00701945" w:rsidRDefault="0052086C" w:rsidP="0052086C">
      <w:pPr>
        <w:jc w:val="both"/>
      </w:pPr>
    </w:p>
    <w:p w:rsidR="0052086C" w:rsidRPr="00701945" w:rsidRDefault="0052086C" w:rsidP="0052086C">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52086C" w:rsidRDefault="0052086C" w:rsidP="0052086C">
      <w:pPr>
        <w:jc w:val="both"/>
      </w:pPr>
    </w:p>
    <w:p w:rsidR="00B63BBA" w:rsidRPr="00701945" w:rsidRDefault="00B63BBA" w:rsidP="0052086C">
      <w:pPr>
        <w:jc w:val="both"/>
      </w:pPr>
    </w:p>
    <w:p w:rsidR="00CE4021" w:rsidRPr="00CE4021" w:rsidRDefault="00CE4021" w:rsidP="00CE4021">
      <w:pPr>
        <w:jc w:val="both"/>
        <w:rPr>
          <w:b/>
        </w:rPr>
      </w:pPr>
      <w:r w:rsidRPr="00CE4021">
        <w:rPr>
          <w:b/>
        </w:rPr>
        <w:t>III.</w:t>
      </w:r>
      <w:r w:rsidRPr="00CE4021">
        <w:rPr>
          <w:b/>
        </w:rPr>
        <w:tab/>
      </w:r>
      <w:r w:rsidRPr="00CE4021">
        <w:rPr>
          <w:b/>
          <w:u w:val="single"/>
        </w:rPr>
        <w:t>JURISDICTION</w:t>
      </w:r>
    </w:p>
    <w:p w:rsidR="00CE4021" w:rsidRPr="00701945" w:rsidRDefault="00CE4021" w:rsidP="00CE4021">
      <w:pPr>
        <w:jc w:val="both"/>
      </w:pPr>
    </w:p>
    <w:p w:rsidR="00CE4021" w:rsidRPr="00701945" w:rsidRDefault="00CE4021" w:rsidP="00CE4021">
      <w:pPr>
        <w:jc w:val="both"/>
      </w:pPr>
      <w:r w:rsidRPr="00701945">
        <w:tab/>
        <w:t>This Commission is vested with jurisdiction over the subject matter by the provisions of Chapter</w:t>
      </w:r>
      <w:r>
        <w:t xml:space="preserve"> </w:t>
      </w:r>
      <w:r w:rsidRPr="00330580">
        <w:t xml:space="preserve">367, Florida Statutes (F.S.).  This hearing will be governed by said Chapter and Chapters 25-9, </w:t>
      </w:r>
      <w:r>
        <w:t>25-30</w:t>
      </w:r>
      <w:r w:rsidRPr="00701945">
        <w:t xml:space="preserve">, 25-22, and 28-106, </w:t>
      </w:r>
      <w:r>
        <w:t>F.A.C., as well as any other applicable provisions of law</w:t>
      </w:r>
      <w:r w:rsidRPr="00701945">
        <w:t>.</w:t>
      </w:r>
    </w:p>
    <w:p w:rsidR="00CE4021" w:rsidRDefault="00CE4021" w:rsidP="00CE4021">
      <w:pPr>
        <w:jc w:val="both"/>
      </w:pPr>
    </w:p>
    <w:p w:rsidR="00B63BBA" w:rsidRPr="00701945" w:rsidRDefault="00B63BBA" w:rsidP="00CE4021">
      <w:pPr>
        <w:jc w:val="both"/>
      </w:pPr>
    </w:p>
    <w:p w:rsidR="00CE4021" w:rsidRPr="00CE4021" w:rsidRDefault="00CE4021" w:rsidP="00CE4021">
      <w:pPr>
        <w:jc w:val="both"/>
        <w:rPr>
          <w:b/>
        </w:rPr>
      </w:pPr>
      <w:r w:rsidRPr="00CE4021">
        <w:rPr>
          <w:b/>
        </w:rPr>
        <w:t>IV.</w:t>
      </w:r>
      <w:r w:rsidRPr="00CE4021">
        <w:rPr>
          <w:b/>
        </w:rPr>
        <w:tab/>
      </w:r>
      <w:r w:rsidRPr="00CE4021">
        <w:rPr>
          <w:b/>
          <w:u w:val="single"/>
        </w:rPr>
        <w:t>PROCEDURE FOR HANDLING CONFIDENTIAL INFORMATION</w:t>
      </w:r>
    </w:p>
    <w:p w:rsidR="00CE4021" w:rsidRPr="00701945" w:rsidRDefault="00CE4021" w:rsidP="00CE4021">
      <w:pPr>
        <w:jc w:val="both"/>
      </w:pPr>
    </w:p>
    <w:p w:rsidR="00CE4021" w:rsidRPr="00E15788" w:rsidRDefault="00CE4021" w:rsidP="00CE4021">
      <w:pPr>
        <w:jc w:val="both"/>
      </w:pPr>
      <w:r w:rsidRPr="00701945">
        <w:tab/>
      </w:r>
      <w:r>
        <w:t>Information for which proprietary confidential business information status is requested</w:t>
      </w:r>
      <w:r w:rsidRPr="00A72918">
        <w:t xml:space="preserve"> pursuant to</w:t>
      </w:r>
      <w:r>
        <w:t xml:space="preserve"> Section </w:t>
      </w:r>
      <w:r w:rsidRPr="00330580">
        <w:t>367.156</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w:t>
      </w:r>
      <w:r w:rsidRPr="00E15788">
        <w:t>returned to the person providing the information within the time period set forth in Section 367.156, F.S.  The Commission may determine that continued possession of the information is necessary for the Commission to conduct its business.</w:t>
      </w:r>
    </w:p>
    <w:p w:rsidR="00CE4021" w:rsidRPr="00DE3452" w:rsidRDefault="00CE4021" w:rsidP="00CE4021">
      <w:pPr>
        <w:jc w:val="both"/>
      </w:pPr>
    </w:p>
    <w:p w:rsidR="00CE4021" w:rsidRDefault="00CE4021" w:rsidP="00CE40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E3452">
        <w:tab/>
        <w:t>It is the policy of this Commission that all Commission hearings be open to the public at all times.  The Commission also recognizes its obligation pursuant to Section 367.156, F.S., to protect proprietary confidential business information from disclosure outside the proceeding.  Therefore, any party wishing to use any proprietary confidential business information, as that term is defined in Section 367.156, F.S., at the hearing shall adhere to the following:</w:t>
      </w:r>
    </w:p>
    <w:p w:rsidR="00CE4021" w:rsidRDefault="00CE4021" w:rsidP="00CE40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4021" w:rsidRDefault="00CE4021" w:rsidP="00CE402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E4021" w:rsidRDefault="00CE4021" w:rsidP="00CE40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4021" w:rsidRDefault="00CE4021" w:rsidP="00CE402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E4021" w:rsidRDefault="00CE4021" w:rsidP="00CE40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E4021" w:rsidRDefault="00CE4021" w:rsidP="00CE40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CE4021" w:rsidRDefault="00CE4021">
      <w:pPr>
        <w:jc w:val="both"/>
        <w:rPr>
          <w:b/>
        </w:rPr>
      </w:pPr>
    </w:p>
    <w:p w:rsidR="00B63BBA" w:rsidRPr="00373F17" w:rsidRDefault="00B63BBA">
      <w:pPr>
        <w:jc w:val="both"/>
        <w:rPr>
          <w:b/>
        </w:rPr>
      </w:pPr>
    </w:p>
    <w:p w:rsidR="0052086C" w:rsidRPr="00373F17" w:rsidRDefault="0052086C" w:rsidP="0052086C">
      <w:pPr>
        <w:jc w:val="both"/>
        <w:rPr>
          <w:b/>
        </w:rPr>
      </w:pPr>
      <w:r w:rsidRPr="00373F17">
        <w:rPr>
          <w:b/>
        </w:rPr>
        <w:t>V.</w:t>
      </w:r>
      <w:r w:rsidRPr="00373F17">
        <w:rPr>
          <w:b/>
        </w:rPr>
        <w:tab/>
      </w:r>
      <w:r w:rsidRPr="00373F17">
        <w:rPr>
          <w:b/>
          <w:u w:val="single"/>
        </w:rPr>
        <w:t xml:space="preserve">PREFILED TESTIMONY </w:t>
      </w:r>
      <w:smartTag w:uri="urn:schemas-microsoft-com:office:smarttags" w:element="stockticker">
        <w:r w:rsidRPr="00373F17">
          <w:rPr>
            <w:b/>
            <w:u w:val="single"/>
          </w:rPr>
          <w:t>AND</w:t>
        </w:r>
      </w:smartTag>
      <w:r w:rsidRPr="00373F17">
        <w:rPr>
          <w:b/>
          <w:u w:val="single"/>
        </w:rPr>
        <w:t xml:space="preserve"> EXHIBITS</w:t>
      </w:r>
      <w:r w:rsidR="00520A1E">
        <w:rPr>
          <w:b/>
          <w:u w:val="single"/>
        </w:rPr>
        <w:t>:</w:t>
      </w:r>
      <w:r w:rsidRPr="00373F17">
        <w:rPr>
          <w:b/>
          <w:u w:val="single"/>
        </w:rPr>
        <w:t xml:space="preserve"> WITNESSES</w:t>
      </w:r>
    </w:p>
    <w:p w:rsidR="0052086C" w:rsidRPr="00701945" w:rsidRDefault="0052086C" w:rsidP="0052086C">
      <w:pPr>
        <w:jc w:val="both"/>
      </w:pPr>
    </w:p>
    <w:p w:rsidR="0052086C" w:rsidRDefault="0052086C" w:rsidP="0052086C">
      <w:pPr>
        <w:jc w:val="both"/>
      </w:pPr>
      <w:r w:rsidRPr="00701945">
        <w:tab/>
        <w:t>Testimony of all witnesses to be sponsored by the parties</w:t>
      </w:r>
      <w:r w:rsidR="00767A1C">
        <w:t>,</w:t>
      </w:r>
      <w:r w:rsidRPr="00701945">
        <w:t xml:space="preserve"> and </w:t>
      </w:r>
      <w:r w:rsidR="00FE241F">
        <w:t>s</w:t>
      </w:r>
      <w:r w:rsidRPr="00701945">
        <w:t>taff</w:t>
      </w:r>
      <w:r w:rsidR="00767A1C">
        <w:t>,</w:t>
      </w:r>
      <w:r w:rsidRPr="00701945">
        <w:t xml:space="preserve">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r w:rsidR="00C02C62">
        <w:t xml:space="preserve"> for direct and five minutes for rebuttal, if applicable</w:t>
      </w:r>
      <w:r w:rsidRPr="00701945">
        <w:t>.</w:t>
      </w:r>
    </w:p>
    <w:p w:rsidR="0052086C" w:rsidRDefault="0052086C" w:rsidP="0052086C">
      <w:pPr>
        <w:jc w:val="both"/>
      </w:pPr>
    </w:p>
    <w:p w:rsidR="0052086C" w:rsidRPr="00701945" w:rsidRDefault="0052086C" w:rsidP="0052086C">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 xml:space="preserve">After all parties and </w:t>
      </w:r>
      <w:r w:rsidR="004C4729">
        <w:t>s</w:t>
      </w:r>
      <w:r w:rsidRPr="00701945">
        <w:t>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52086C" w:rsidRPr="00701945" w:rsidRDefault="0052086C" w:rsidP="0052086C">
      <w:pPr>
        <w:jc w:val="both"/>
      </w:pPr>
    </w:p>
    <w:p w:rsidR="0052086C" w:rsidRPr="00701945" w:rsidRDefault="0052086C" w:rsidP="0052086C">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2086C" w:rsidRPr="00B75F84" w:rsidRDefault="0052086C" w:rsidP="0052086C">
      <w:pPr>
        <w:jc w:val="both"/>
        <w:rPr>
          <w:color w:val="000000"/>
        </w:rPr>
      </w:pPr>
    </w:p>
    <w:p w:rsidR="0052086C" w:rsidRPr="00B75F84" w:rsidRDefault="0052086C" w:rsidP="0052086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2086C" w:rsidRPr="00701945" w:rsidRDefault="0052086C" w:rsidP="0052086C">
      <w:pPr>
        <w:jc w:val="both"/>
      </w:pPr>
    </w:p>
    <w:p w:rsidR="00244E06" w:rsidRDefault="00244E06">
      <w:pPr>
        <w:rPr>
          <w:b/>
        </w:rPr>
      </w:pPr>
    </w:p>
    <w:p w:rsidR="0052086C" w:rsidRPr="00373F17" w:rsidRDefault="0052086C" w:rsidP="00BD7252">
      <w:pPr>
        <w:spacing w:after="120"/>
        <w:jc w:val="both"/>
        <w:rPr>
          <w:b/>
        </w:rPr>
      </w:pPr>
      <w:r w:rsidRPr="00373F17">
        <w:rPr>
          <w:b/>
        </w:rPr>
        <w:t>VI.</w:t>
      </w:r>
      <w:r w:rsidRPr="00373F17">
        <w:rPr>
          <w:b/>
        </w:rPr>
        <w:tab/>
      </w:r>
      <w:r w:rsidRPr="00373F17">
        <w:rPr>
          <w:b/>
          <w:u w:val="single"/>
        </w:rPr>
        <w:t>ORDER OF WITNESSES</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240"/>
        <w:gridCol w:w="1890"/>
        <w:gridCol w:w="4434"/>
      </w:tblGrid>
      <w:tr w:rsidR="0052086C" w:rsidRPr="00701945" w:rsidTr="00BD7252">
        <w:trPr>
          <w:cantSplit/>
          <w:trHeight w:val="362"/>
          <w:tblHeader/>
        </w:trPr>
        <w:tc>
          <w:tcPr>
            <w:tcW w:w="3240" w:type="dxa"/>
            <w:tcBorders>
              <w:top w:val="nil"/>
              <w:left w:val="nil"/>
              <w:bottom w:val="nil"/>
              <w:right w:val="nil"/>
            </w:tcBorders>
          </w:tcPr>
          <w:p w:rsidR="0052086C" w:rsidRPr="00701945" w:rsidRDefault="0052086C" w:rsidP="003414D4">
            <w:pPr>
              <w:jc w:val="both"/>
            </w:pPr>
            <w:r w:rsidRPr="00701945">
              <w:rPr>
                <w:u w:val="single"/>
              </w:rPr>
              <w:t>Witness</w:t>
            </w:r>
          </w:p>
        </w:tc>
        <w:tc>
          <w:tcPr>
            <w:tcW w:w="1890" w:type="dxa"/>
            <w:tcBorders>
              <w:top w:val="nil"/>
              <w:left w:val="nil"/>
              <w:bottom w:val="nil"/>
              <w:right w:val="nil"/>
            </w:tcBorders>
          </w:tcPr>
          <w:p w:rsidR="0052086C" w:rsidRPr="00701945" w:rsidRDefault="0052086C" w:rsidP="003414D4">
            <w:pPr>
              <w:jc w:val="center"/>
            </w:pPr>
            <w:r w:rsidRPr="00701945">
              <w:rPr>
                <w:u w:val="single"/>
              </w:rPr>
              <w:t>Proffered By</w:t>
            </w:r>
          </w:p>
        </w:tc>
        <w:tc>
          <w:tcPr>
            <w:tcW w:w="4434" w:type="dxa"/>
            <w:tcBorders>
              <w:top w:val="nil"/>
              <w:left w:val="nil"/>
              <w:bottom w:val="nil"/>
              <w:right w:val="nil"/>
            </w:tcBorders>
          </w:tcPr>
          <w:p w:rsidR="0052086C" w:rsidRPr="00701945" w:rsidRDefault="0052086C" w:rsidP="003414D4">
            <w:pPr>
              <w:jc w:val="both"/>
            </w:pPr>
            <w:r w:rsidRPr="00701945">
              <w:rPr>
                <w:u w:val="single"/>
              </w:rPr>
              <w:t>Issues #</w:t>
            </w:r>
          </w:p>
        </w:tc>
      </w:tr>
      <w:tr w:rsidR="0052086C" w:rsidRPr="00701945" w:rsidTr="00BD7252">
        <w:trPr>
          <w:cantSplit/>
          <w:trHeight w:val="362"/>
        </w:trPr>
        <w:tc>
          <w:tcPr>
            <w:tcW w:w="3240" w:type="dxa"/>
            <w:tcBorders>
              <w:top w:val="nil"/>
              <w:left w:val="nil"/>
              <w:bottom w:val="nil"/>
              <w:right w:val="nil"/>
            </w:tcBorders>
          </w:tcPr>
          <w:p w:rsidR="0052086C" w:rsidRPr="00AC105C" w:rsidRDefault="0052086C" w:rsidP="003414D4">
            <w:pPr>
              <w:jc w:val="both"/>
              <w:rPr>
                <w:u w:val="single"/>
              </w:rPr>
            </w:pPr>
            <w:r w:rsidRPr="00AC105C">
              <w:tab/>
            </w:r>
            <w:r w:rsidRPr="00AC105C">
              <w:rPr>
                <w:u w:val="single"/>
              </w:rPr>
              <w:t>Direct</w:t>
            </w:r>
          </w:p>
        </w:tc>
        <w:tc>
          <w:tcPr>
            <w:tcW w:w="1890" w:type="dxa"/>
            <w:tcBorders>
              <w:top w:val="nil"/>
              <w:left w:val="nil"/>
              <w:bottom w:val="nil"/>
              <w:right w:val="nil"/>
            </w:tcBorders>
          </w:tcPr>
          <w:p w:rsidR="0052086C" w:rsidRPr="00701945" w:rsidRDefault="0052086C" w:rsidP="003414D4">
            <w:pPr>
              <w:jc w:val="center"/>
            </w:pPr>
          </w:p>
        </w:tc>
        <w:tc>
          <w:tcPr>
            <w:tcW w:w="4434" w:type="dxa"/>
            <w:tcBorders>
              <w:top w:val="nil"/>
              <w:left w:val="nil"/>
              <w:bottom w:val="nil"/>
              <w:right w:val="nil"/>
            </w:tcBorders>
          </w:tcPr>
          <w:p w:rsidR="0052086C" w:rsidRPr="00701945" w:rsidRDefault="0052086C" w:rsidP="003414D4"/>
        </w:tc>
      </w:tr>
      <w:tr w:rsidR="0057516A" w:rsidRPr="00701945" w:rsidTr="00BD7252">
        <w:trPr>
          <w:cantSplit/>
          <w:trHeight w:val="382"/>
        </w:trPr>
        <w:tc>
          <w:tcPr>
            <w:tcW w:w="3240" w:type="dxa"/>
            <w:tcBorders>
              <w:top w:val="nil"/>
              <w:left w:val="nil"/>
              <w:bottom w:val="nil"/>
              <w:right w:val="nil"/>
            </w:tcBorders>
          </w:tcPr>
          <w:p w:rsidR="0057516A" w:rsidRDefault="0057516A" w:rsidP="000F7ECB">
            <w:pPr>
              <w:spacing w:after="120"/>
            </w:pPr>
            <w:r>
              <w:t>John P. Hoy</w:t>
            </w:r>
          </w:p>
        </w:tc>
        <w:tc>
          <w:tcPr>
            <w:tcW w:w="1890" w:type="dxa"/>
            <w:tcBorders>
              <w:top w:val="nil"/>
              <w:left w:val="nil"/>
              <w:bottom w:val="nil"/>
              <w:right w:val="nil"/>
            </w:tcBorders>
          </w:tcPr>
          <w:p w:rsidR="0057516A" w:rsidRDefault="0057516A" w:rsidP="000F7ECB">
            <w:pPr>
              <w:jc w:val="center"/>
            </w:pPr>
            <w:r w:rsidRPr="004C29CD">
              <w:t>UIF</w:t>
            </w:r>
          </w:p>
        </w:tc>
        <w:tc>
          <w:tcPr>
            <w:tcW w:w="4434" w:type="dxa"/>
            <w:tcBorders>
              <w:top w:val="nil"/>
              <w:left w:val="nil"/>
              <w:bottom w:val="nil"/>
              <w:right w:val="nil"/>
            </w:tcBorders>
          </w:tcPr>
          <w:p w:rsidR="0057516A" w:rsidRPr="001F7758" w:rsidRDefault="0057516A" w:rsidP="000F7ECB">
            <w:pPr>
              <w:spacing w:after="120"/>
            </w:pPr>
            <w:r>
              <w:t>3, 27, 28</w:t>
            </w:r>
          </w:p>
        </w:tc>
      </w:tr>
      <w:tr w:rsidR="0057516A" w:rsidRPr="00701945" w:rsidTr="00BD7252">
        <w:trPr>
          <w:cantSplit/>
          <w:trHeight w:val="382"/>
        </w:trPr>
        <w:tc>
          <w:tcPr>
            <w:tcW w:w="3240" w:type="dxa"/>
            <w:tcBorders>
              <w:top w:val="nil"/>
              <w:left w:val="nil"/>
              <w:bottom w:val="nil"/>
              <w:right w:val="nil"/>
            </w:tcBorders>
          </w:tcPr>
          <w:p w:rsidR="0057516A" w:rsidRDefault="0057516A" w:rsidP="00480263">
            <w:pPr>
              <w:spacing w:after="120"/>
            </w:pPr>
            <w:r>
              <w:t>John F. Guastella</w:t>
            </w:r>
          </w:p>
        </w:tc>
        <w:tc>
          <w:tcPr>
            <w:tcW w:w="1890" w:type="dxa"/>
            <w:tcBorders>
              <w:top w:val="nil"/>
              <w:left w:val="nil"/>
              <w:bottom w:val="nil"/>
              <w:right w:val="nil"/>
            </w:tcBorders>
          </w:tcPr>
          <w:p w:rsidR="0057516A" w:rsidRPr="00701945" w:rsidRDefault="0057516A" w:rsidP="003414D4">
            <w:pPr>
              <w:jc w:val="center"/>
            </w:pPr>
            <w:r>
              <w:t>UIF</w:t>
            </w:r>
          </w:p>
        </w:tc>
        <w:tc>
          <w:tcPr>
            <w:tcW w:w="4434" w:type="dxa"/>
            <w:tcBorders>
              <w:top w:val="nil"/>
              <w:left w:val="nil"/>
              <w:bottom w:val="nil"/>
              <w:right w:val="nil"/>
            </w:tcBorders>
          </w:tcPr>
          <w:p w:rsidR="0057516A" w:rsidRPr="001F7758" w:rsidRDefault="0057516A" w:rsidP="00F0011E">
            <w:pPr>
              <w:spacing w:after="120"/>
            </w:pPr>
            <w:r>
              <w:t>61 – 65, 68</w:t>
            </w:r>
          </w:p>
        </w:tc>
      </w:tr>
      <w:tr w:rsidR="0057516A" w:rsidRPr="00701945" w:rsidTr="00BD7252">
        <w:trPr>
          <w:cantSplit/>
          <w:trHeight w:val="362"/>
        </w:trPr>
        <w:tc>
          <w:tcPr>
            <w:tcW w:w="3240" w:type="dxa"/>
            <w:tcBorders>
              <w:top w:val="nil"/>
              <w:left w:val="nil"/>
              <w:bottom w:val="nil"/>
              <w:right w:val="nil"/>
            </w:tcBorders>
          </w:tcPr>
          <w:p w:rsidR="0057516A" w:rsidRDefault="0057516A" w:rsidP="00480263">
            <w:pPr>
              <w:spacing w:after="120"/>
            </w:pPr>
            <w:r>
              <w:t>Jared Deason</w:t>
            </w:r>
          </w:p>
        </w:tc>
        <w:tc>
          <w:tcPr>
            <w:tcW w:w="1890" w:type="dxa"/>
            <w:tcBorders>
              <w:top w:val="nil"/>
              <w:left w:val="nil"/>
              <w:bottom w:val="nil"/>
              <w:right w:val="nil"/>
            </w:tcBorders>
          </w:tcPr>
          <w:p w:rsidR="0057516A" w:rsidRDefault="0057516A" w:rsidP="00632544">
            <w:pPr>
              <w:jc w:val="center"/>
            </w:pPr>
            <w:r w:rsidRPr="004C29CD">
              <w:t>UIF</w:t>
            </w:r>
          </w:p>
        </w:tc>
        <w:tc>
          <w:tcPr>
            <w:tcW w:w="4434" w:type="dxa"/>
            <w:tcBorders>
              <w:top w:val="nil"/>
              <w:left w:val="nil"/>
              <w:bottom w:val="nil"/>
              <w:right w:val="nil"/>
            </w:tcBorders>
          </w:tcPr>
          <w:p w:rsidR="0057516A" w:rsidRPr="001F7758" w:rsidRDefault="0057516A" w:rsidP="000F7ECB">
            <w:pPr>
              <w:spacing w:after="120"/>
            </w:pPr>
            <w:r>
              <w:t>3, 5, 33, 36, 49, 66, 69</w:t>
            </w:r>
          </w:p>
        </w:tc>
      </w:tr>
      <w:tr w:rsidR="0057516A" w:rsidRPr="00701945" w:rsidTr="00BD7252">
        <w:trPr>
          <w:cantSplit/>
          <w:trHeight w:val="362"/>
        </w:trPr>
        <w:tc>
          <w:tcPr>
            <w:tcW w:w="3240" w:type="dxa"/>
            <w:tcBorders>
              <w:top w:val="nil"/>
              <w:left w:val="nil"/>
              <w:bottom w:val="nil"/>
              <w:right w:val="nil"/>
            </w:tcBorders>
          </w:tcPr>
          <w:p w:rsidR="0057516A" w:rsidRPr="001F7758" w:rsidRDefault="0057516A" w:rsidP="00480263">
            <w:pPr>
              <w:spacing w:after="120"/>
            </w:pPr>
            <w:r>
              <w:t>Frank Seidman</w:t>
            </w:r>
          </w:p>
        </w:tc>
        <w:tc>
          <w:tcPr>
            <w:tcW w:w="1890" w:type="dxa"/>
            <w:tcBorders>
              <w:top w:val="nil"/>
              <w:left w:val="nil"/>
              <w:bottom w:val="nil"/>
              <w:right w:val="nil"/>
            </w:tcBorders>
          </w:tcPr>
          <w:p w:rsidR="0057516A" w:rsidRDefault="0057516A" w:rsidP="00632544">
            <w:pPr>
              <w:jc w:val="center"/>
            </w:pPr>
            <w:r w:rsidRPr="004C29CD">
              <w:t>UIF</w:t>
            </w:r>
          </w:p>
        </w:tc>
        <w:tc>
          <w:tcPr>
            <w:tcW w:w="4434" w:type="dxa"/>
            <w:tcBorders>
              <w:top w:val="nil"/>
              <w:left w:val="nil"/>
              <w:bottom w:val="nil"/>
              <w:right w:val="nil"/>
            </w:tcBorders>
          </w:tcPr>
          <w:p w:rsidR="0057516A" w:rsidRPr="001F7758" w:rsidRDefault="0057516A" w:rsidP="00F0011E">
            <w:pPr>
              <w:spacing w:after="120"/>
            </w:pPr>
            <w:r>
              <w:t>11-17</w:t>
            </w:r>
          </w:p>
        </w:tc>
      </w:tr>
      <w:tr w:rsidR="0057516A" w:rsidRPr="00701945" w:rsidTr="00BD7252">
        <w:trPr>
          <w:cantSplit/>
          <w:trHeight w:val="362"/>
        </w:trPr>
        <w:tc>
          <w:tcPr>
            <w:tcW w:w="3240" w:type="dxa"/>
            <w:tcBorders>
              <w:top w:val="nil"/>
              <w:left w:val="nil"/>
              <w:bottom w:val="nil"/>
              <w:right w:val="nil"/>
            </w:tcBorders>
          </w:tcPr>
          <w:p w:rsidR="0057516A" w:rsidRPr="001F7758" w:rsidRDefault="0057516A" w:rsidP="00480263">
            <w:pPr>
              <w:spacing w:after="120"/>
            </w:pPr>
            <w:r>
              <w:t>Patrick C. Flynn</w:t>
            </w:r>
          </w:p>
        </w:tc>
        <w:tc>
          <w:tcPr>
            <w:tcW w:w="1890" w:type="dxa"/>
            <w:tcBorders>
              <w:top w:val="nil"/>
              <w:left w:val="nil"/>
              <w:bottom w:val="nil"/>
              <w:right w:val="nil"/>
            </w:tcBorders>
          </w:tcPr>
          <w:p w:rsidR="0057516A" w:rsidRDefault="0057516A" w:rsidP="00632544">
            <w:pPr>
              <w:jc w:val="center"/>
            </w:pPr>
            <w:r w:rsidRPr="004C29CD">
              <w:t>UIF</w:t>
            </w:r>
          </w:p>
        </w:tc>
        <w:tc>
          <w:tcPr>
            <w:tcW w:w="4434" w:type="dxa"/>
            <w:tcBorders>
              <w:top w:val="nil"/>
              <w:left w:val="nil"/>
              <w:bottom w:val="nil"/>
              <w:right w:val="nil"/>
            </w:tcBorders>
          </w:tcPr>
          <w:p w:rsidR="0057516A" w:rsidRPr="001F7758" w:rsidRDefault="0057516A" w:rsidP="00767A1C">
            <w:pPr>
              <w:spacing w:after="120"/>
            </w:pPr>
            <w:r>
              <w:t>3, 9, 12, 37 – 48, 51, 57, 70-73</w:t>
            </w:r>
          </w:p>
        </w:tc>
      </w:tr>
      <w:tr w:rsidR="0057516A" w:rsidRPr="00701945" w:rsidTr="00BD7252">
        <w:trPr>
          <w:cantSplit/>
          <w:trHeight w:val="362"/>
        </w:trPr>
        <w:tc>
          <w:tcPr>
            <w:tcW w:w="3240" w:type="dxa"/>
            <w:tcBorders>
              <w:top w:val="nil"/>
              <w:left w:val="nil"/>
              <w:bottom w:val="nil"/>
              <w:right w:val="nil"/>
            </w:tcBorders>
          </w:tcPr>
          <w:p w:rsidR="0057516A" w:rsidRDefault="0057516A" w:rsidP="000F7ECB">
            <w:pPr>
              <w:spacing w:after="120"/>
            </w:pPr>
            <w:r>
              <w:t>Deborah D. Swain</w:t>
            </w:r>
          </w:p>
        </w:tc>
        <w:tc>
          <w:tcPr>
            <w:tcW w:w="1890" w:type="dxa"/>
            <w:tcBorders>
              <w:top w:val="nil"/>
              <w:left w:val="nil"/>
              <w:bottom w:val="nil"/>
              <w:right w:val="nil"/>
            </w:tcBorders>
          </w:tcPr>
          <w:p w:rsidR="0057516A" w:rsidRPr="004C29CD" w:rsidRDefault="0057516A" w:rsidP="000F7ECB">
            <w:pPr>
              <w:jc w:val="center"/>
            </w:pPr>
            <w:r w:rsidRPr="004C29CD">
              <w:t>UIF</w:t>
            </w:r>
          </w:p>
        </w:tc>
        <w:tc>
          <w:tcPr>
            <w:tcW w:w="4434" w:type="dxa"/>
            <w:tcBorders>
              <w:top w:val="nil"/>
              <w:left w:val="nil"/>
              <w:bottom w:val="nil"/>
              <w:right w:val="nil"/>
            </w:tcBorders>
          </w:tcPr>
          <w:p w:rsidR="0057516A" w:rsidRDefault="0057516A" w:rsidP="000F7ECB">
            <w:pPr>
              <w:spacing w:after="120"/>
            </w:pPr>
            <w:r>
              <w:t xml:space="preserve">4, 6, </w:t>
            </w:r>
            <w:r w:rsidRPr="00285A5A">
              <w:t xml:space="preserve">7, 8, </w:t>
            </w:r>
            <w:r>
              <w:t xml:space="preserve">10, </w:t>
            </w:r>
            <w:r w:rsidRPr="00285A5A">
              <w:t>18</w:t>
            </w:r>
            <w:r>
              <w:t xml:space="preserve"> – </w:t>
            </w:r>
            <w:r w:rsidRPr="00285A5A">
              <w:t>25, 29</w:t>
            </w:r>
            <w:r>
              <w:t xml:space="preserve"> –</w:t>
            </w:r>
            <w:r w:rsidRPr="00285A5A">
              <w:t xml:space="preserve"> 32, 49, 54, 55, 56, 58, 59</w:t>
            </w:r>
          </w:p>
        </w:tc>
      </w:tr>
      <w:tr w:rsidR="0057516A" w:rsidRPr="00701945" w:rsidTr="00BD7252">
        <w:trPr>
          <w:cantSplit/>
          <w:trHeight w:val="362"/>
        </w:trPr>
        <w:tc>
          <w:tcPr>
            <w:tcW w:w="3240" w:type="dxa"/>
            <w:tcBorders>
              <w:top w:val="nil"/>
              <w:left w:val="nil"/>
              <w:bottom w:val="nil"/>
              <w:right w:val="nil"/>
            </w:tcBorders>
            <w:vAlign w:val="center"/>
          </w:tcPr>
          <w:p w:rsidR="0057516A" w:rsidRPr="00B463BF" w:rsidRDefault="0057516A" w:rsidP="00F1515C">
            <w:pPr>
              <w:jc w:val="both"/>
            </w:pPr>
            <w:r w:rsidRPr="00B463BF">
              <w:rPr>
                <w:bCs/>
              </w:rPr>
              <w:t>Denise N. Vandiver, CPA</w:t>
            </w:r>
          </w:p>
        </w:tc>
        <w:tc>
          <w:tcPr>
            <w:tcW w:w="1890" w:type="dxa"/>
            <w:tcBorders>
              <w:top w:val="nil"/>
              <w:left w:val="nil"/>
              <w:bottom w:val="nil"/>
              <w:right w:val="nil"/>
            </w:tcBorders>
          </w:tcPr>
          <w:p w:rsidR="0057516A" w:rsidRPr="00701945" w:rsidRDefault="0057516A" w:rsidP="003414D4">
            <w:pPr>
              <w:jc w:val="center"/>
            </w:pPr>
            <w:r>
              <w:t>OPC</w:t>
            </w:r>
          </w:p>
        </w:tc>
        <w:tc>
          <w:tcPr>
            <w:tcW w:w="4434" w:type="dxa"/>
            <w:tcBorders>
              <w:top w:val="nil"/>
              <w:left w:val="nil"/>
              <w:bottom w:val="nil"/>
              <w:right w:val="nil"/>
            </w:tcBorders>
            <w:vAlign w:val="center"/>
          </w:tcPr>
          <w:p w:rsidR="0057516A" w:rsidRPr="00B463BF" w:rsidRDefault="0057516A" w:rsidP="00F1515C">
            <w:r w:rsidRPr="00B463BF">
              <w:t>3</w:t>
            </w:r>
          </w:p>
        </w:tc>
      </w:tr>
      <w:tr w:rsidR="0057516A" w:rsidRPr="00701945" w:rsidTr="00BD7252">
        <w:trPr>
          <w:cantSplit/>
          <w:trHeight w:val="362"/>
        </w:trPr>
        <w:tc>
          <w:tcPr>
            <w:tcW w:w="3240" w:type="dxa"/>
            <w:tcBorders>
              <w:top w:val="nil"/>
              <w:left w:val="nil"/>
              <w:bottom w:val="nil"/>
              <w:right w:val="nil"/>
            </w:tcBorders>
            <w:vAlign w:val="center"/>
          </w:tcPr>
          <w:p w:rsidR="0057516A" w:rsidRPr="00B463BF" w:rsidRDefault="0057516A" w:rsidP="00F1515C">
            <w:pPr>
              <w:jc w:val="both"/>
              <w:rPr>
                <w:bCs/>
              </w:rPr>
            </w:pPr>
            <w:r w:rsidRPr="00B463BF">
              <w:rPr>
                <w:bCs/>
              </w:rPr>
              <w:t>Andrew T. Woodcock</w:t>
            </w:r>
          </w:p>
        </w:tc>
        <w:tc>
          <w:tcPr>
            <w:tcW w:w="1890" w:type="dxa"/>
            <w:tcBorders>
              <w:top w:val="nil"/>
              <w:left w:val="nil"/>
              <w:bottom w:val="nil"/>
              <w:right w:val="nil"/>
            </w:tcBorders>
          </w:tcPr>
          <w:p w:rsidR="0057516A" w:rsidRDefault="0057516A" w:rsidP="00CD3FB3">
            <w:pPr>
              <w:jc w:val="center"/>
            </w:pPr>
            <w:r w:rsidRPr="00F336C6">
              <w:t>OPC</w:t>
            </w:r>
          </w:p>
        </w:tc>
        <w:tc>
          <w:tcPr>
            <w:tcW w:w="4434" w:type="dxa"/>
            <w:tcBorders>
              <w:top w:val="nil"/>
              <w:left w:val="nil"/>
              <w:bottom w:val="nil"/>
              <w:right w:val="nil"/>
            </w:tcBorders>
            <w:vAlign w:val="center"/>
          </w:tcPr>
          <w:p w:rsidR="0057516A" w:rsidRPr="00B463BF" w:rsidRDefault="0057516A" w:rsidP="00767A1C">
            <w:r w:rsidRPr="00B463BF">
              <w:t>9, 11</w:t>
            </w:r>
            <w:r>
              <w:t xml:space="preserve"> – </w:t>
            </w:r>
            <w:r w:rsidRPr="00B463BF">
              <w:t>17</w:t>
            </w:r>
          </w:p>
        </w:tc>
      </w:tr>
      <w:tr w:rsidR="0057516A" w:rsidRPr="00701945" w:rsidTr="00BD7252">
        <w:trPr>
          <w:cantSplit/>
          <w:trHeight w:val="362"/>
        </w:trPr>
        <w:tc>
          <w:tcPr>
            <w:tcW w:w="3240" w:type="dxa"/>
            <w:tcBorders>
              <w:top w:val="nil"/>
              <w:left w:val="nil"/>
              <w:bottom w:val="nil"/>
              <w:right w:val="nil"/>
            </w:tcBorders>
          </w:tcPr>
          <w:p w:rsidR="0057516A" w:rsidRPr="00B463BF" w:rsidRDefault="0057516A" w:rsidP="00403CC8">
            <w:pPr>
              <w:rPr>
                <w:bCs/>
              </w:rPr>
            </w:pPr>
            <w:r w:rsidRPr="00B463BF">
              <w:rPr>
                <w:bCs/>
              </w:rPr>
              <w:t>Donna Ramas</w:t>
            </w:r>
          </w:p>
        </w:tc>
        <w:tc>
          <w:tcPr>
            <w:tcW w:w="1890" w:type="dxa"/>
            <w:tcBorders>
              <w:top w:val="nil"/>
              <w:left w:val="nil"/>
              <w:bottom w:val="nil"/>
              <w:right w:val="nil"/>
            </w:tcBorders>
          </w:tcPr>
          <w:p w:rsidR="0057516A" w:rsidRDefault="0057516A" w:rsidP="00CD3FB3">
            <w:pPr>
              <w:jc w:val="center"/>
            </w:pPr>
            <w:r w:rsidRPr="00F336C6">
              <w:t>OPC</w:t>
            </w:r>
          </w:p>
        </w:tc>
        <w:tc>
          <w:tcPr>
            <w:tcW w:w="4434" w:type="dxa"/>
            <w:tcBorders>
              <w:top w:val="nil"/>
              <w:left w:val="nil"/>
              <w:bottom w:val="nil"/>
              <w:right w:val="nil"/>
            </w:tcBorders>
            <w:vAlign w:val="center"/>
          </w:tcPr>
          <w:p w:rsidR="0057516A" w:rsidRPr="00B463BF" w:rsidRDefault="0057516A" w:rsidP="00767A1C">
            <w:r w:rsidRPr="00B463BF">
              <w:t>1, 5, 7, 8, 9, 10A, 10B, 11, 12, 18</w:t>
            </w:r>
            <w:r>
              <w:t xml:space="preserve"> – </w:t>
            </w:r>
            <w:r w:rsidRPr="00B463BF">
              <w:t>23, 31, 32, 34</w:t>
            </w:r>
            <w:r>
              <w:t xml:space="preserve"> – </w:t>
            </w:r>
            <w:r w:rsidRPr="00B463BF">
              <w:t>51, 54</w:t>
            </w:r>
            <w:r>
              <w:t xml:space="preserve"> – </w:t>
            </w:r>
            <w:r w:rsidRPr="00B463BF">
              <w:t>59, 76</w:t>
            </w:r>
          </w:p>
        </w:tc>
      </w:tr>
      <w:tr w:rsidR="0057516A" w:rsidRPr="00701945" w:rsidTr="00BD7252">
        <w:trPr>
          <w:cantSplit/>
          <w:trHeight w:val="362"/>
        </w:trPr>
        <w:tc>
          <w:tcPr>
            <w:tcW w:w="3240" w:type="dxa"/>
            <w:tcBorders>
              <w:top w:val="nil"/>
              <w:left w:val="nil"/>
              <w:bottom w:val="nil"/>
              <w:right w:val="nil"/>
            </w:tcBorders>
          </w:tcPr>
          <w:p w:rsidR="0057516A" w:rsidRDefault="0057516A" w:rsidP="0062455A">
            <w:r w:rsidRPr="00F8428C">
              <w:rPr>
                <w:bCs/>
              </w:rPr>
              <w:t>Jessica Kleinfelter</w:t>
            </w:r>
          </w:p>
        </w:tc>
        <w:tc>
          <w:tcPr>
            <w:tcW w:w="1890" w:type="dxa"/>
            <w:tcBorders>
              <w:top w:val="nil"/>
              <w:left w:val="nil"/>
              <w:bottom w:val="nil"/>
              <w:right w:val="nil"/>
            </w:tcBorders>
          </w:tcPr>
          <w:p w:rsidR="0057516A" w:rsidRPr="00F336C6" w:rsidRDefault="0057516A" w:rsidP="00CD3FB3">
            <w:pPr>
              <w:jc w:val="center"/>
            </w:pPr>
            <w:r>
              <w:t>Staff</w:t>
            </w:r>
          </w:p>
        </w:tc>
        <w:tc>
          <w:tcPr>
            <w:tcW w:w="4434" w:type="dxa"/>
            <w:tcBorders>
              <w:top w:val="nil"/>
              <w:left w:val="nil"/>
              <w:bottom w:val="nil"/>
              <w:right w:val="nil"/>
            </w:tcBorders>
          </w:tcPr>
          <w:p w:rsidR="0057516A" w:rsidRPr="009F56CE" w:rsidRDefault="0057516A"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3</w:t>
            </w:r>
          </w:p>
        </w:tc>
      </w:tr>
      <w:tr w:rsidR="0057516A" w:rsidRPr="00701945" w:rsidTr="00BD7252">
        <w:trPr>
          <w:cantSplit/>
          <w:trHeight w:val="362"/>
        </w:trPr>
        <w:tc>
          <w:tcPr>
            <w:tcW w:w="3240" w:type="dxa"/>
            <w:tcBorders>
              <w:top w:val="nil"/>
              <w:left w:val="nil"/>
              <w:bottom w:val="nil"/>
              <w:right w:val="nil"/>
            </w:tcBorders>
          </w:tcPr>
          <w:p w:rsidR="0057516A" w:rsidRPr="009F56CE" w:rsidRDefault="0057516A"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Rhonda L. Hicks</w:t>
            </w:r>
          </w:p>
        </w:tc>
        <w:tc>
          <w:tcPr>
            <w:tcW w:w="1890" w:type="dxa"/>
            <w:tcBorders>
              <w:top w:val="nil"/>
              <w:left w:val="nil"/>
              <w:bottom w:val="nil"/>
              <w:right w:val="nil"/>
            </w:tcBorders>
          </w:tcPr>
          <w:p w:rsidR="0057516A" w:rsidRPr="00F336C6" w:rsidRDefault="0057516A" w:rsidP="00CD3FB3">
            <w:pPr>
              <w:jc w:val="center"/>
            </w:pPr>
            <w:r>
              <w:t>Staff</w:t>
            </w:r>
          </w:p>
        </w:tc>
        <w:tc>
          <w:tcPr>
            <w:tcW w:w="4434" w:type="dxa"/>
            <w:tcBorders>
              <w:top w:val="nil"/>
              <w:left w:val="nil"/>
              <w:bottom w:val="nil"/>
              <w:right w:val="nil"/>
            </w:tcBorders>
          </w:tcPr>
          <w:p w:rsidR="0057516A" w:rsidRPr="009F56CE" w:rsidRDefault="0057516A"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3</w:t>
            </w:r>
          </w:p>
        </w:tc>
      </w:tr>
      <w:tr w:rsidR="0057516A" w:rsidRPr="00701945" w:rsidTr="00BD7252">
        <w:trPr>
          <w:cantSplit/>
          <w:trHeight w:val="362"/>
        </w:trPr>
        <w:tc>
          <w:tcPr>
            <w:tcW w:w="3240" w:type="dxa"/>
            <w:tcBorders>
              <w:top w:val="nil"/>
              <w:left w:val="nil"/>
              <w:bottom w:val="nil"/>
              <w:right w:val="nil"/>
            </w:tcBorders>
          </w:tcPr>
          <w:p w:rsidR="0057516A" w:rsidRPr="00F8428C" w:rsidRDefault="0057516A" w:rsidP="0062455A">
            <w:pPr>
              <w:rPr>
                <w:bCs/>
              </w:rPr>
            </w:pPr>
            <w:r>
              <w:t>Debra M. Dobiac</w:t>
            </w:r>
          </w:p>
        </w:tc>
        <w:tc>
          <w:tcPr>
            <w:tcW w:w="1890" w:type="dxa"/>
            <w:tcBorders>
              <w:top w:val="nil"/>
              <w:left w:val="nil"/>
              <w:bottom w:val="nil"/>
              <w:right w:val="nil"/>
            </w:tcBorders>
          </w:tcPr>
          <w:p w:rsidR="0057516A" w:rsidRPr="00F336C6" w:rsidRDefault="0057516A" w:rsidP="00CD3FB3">
            <w:pPr>
              <w:jc w:val="center"/>
            </w:pPr>
            <w:r>
              <w:t>Staff</w:t>
            </w:r>
          </w:p>
        </w:tc>
        <w:tc>
          <w:tcPr>
            <w:tcW w:w="4434" w:type="dxa"/>
            <w:tcBorders>
              <w:top w:val="nil"/>
              <w:left w:val="nil"/>
              <w:bottom w:val="nil"/>
              <w:right w:val="nil"/>
            </w:tcBorders>
          </w:tcPr>
          <w:p w:rsidR="0057516A" w:rsidRPr="009F56CE" w:rsidRDefault="0057516A"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4, 5, 10, 23, 33, 36, 42, 79, 80</w:t>
            </w:r>
          </w:p>
        </w:tc>
      </w:tr>
      <w:tr w:rsidR="0057516A" w:rsidRPr="00701945" w:rsidTr="00BD7252">
        <w:trPr>
          <w:cantSplit/>
          <w:trHeight w:val="362"/>
        </w:trPr>
        <w:tc>
          <w:tcPr>
            <w:tcW w:w="3240" w:type="dxa"/>
            <w:tcBorders>
              <w:top w:val="nil"/>
              <w:left w:val="nil"/>
              <w:bottom w:val="nil"/>
              <w:right w:val="nil"/>
            </w:tcBorders>
          </w:tcPr>
          <w:p w:rsidR="0057516A" w:rsidRDefault="0057516A" w:rsidP="0062455A">
            <w:r w:rsidRPr="00F11ACE">
              <w:rPr>
                <w:bCs/>
              </w:rPr>
              <w:t>Patti B. Daniel</w:t>
            </w:r>
          </w:p>
        </w:tc>
        <w:tc>
          <w:tcPr>
            <w:tcW w:w="1890" w:type="dxa"/>
            <w:tcBorders>
              <w:top w:val="nil"/>
              <w:left w:val="nil"/>
              <w:bottom w:val="nil"/>
              <w:right w:val="nil"/>
            </w:tcBorders>
          </w:tcPr>
          <w:p w:rsidR="0057516A" w:rsidRPr="00F336C6" w:rsidRDefault="0057516A" w:rsidP="00CD3FB3">
            <w:pPr>
              <w:jc w:val="center"/>
            </w:pPr>
            <w:r>
              <w:t>Staff</w:t>
            </w:r>
          </w:p>
        </w:tc>
        <w:tc>
          <w:tcPr>
            <w:tcW w:w="4434" w:type="dxa"/>
            <w:tcBorders>
              <w:top w:val="nil"/>
              <w:left w:val="nil"/>
              <w:bottom w:val="nil"/>
              <w:right w:val="nil"/>
            </w:tcBorders>
          </w:tcPr>
          <w:p w:rsidR="0057516A" w:rsidRDefault="0057516A"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60-62, 64, 65, 68, 71-73</w:t>
            </w:r>
          </w:p>
        </w:tc>
      </w:tr>
      <w:tr w:rsidR="0057516A" w:rsidRPr="00701945" w:rsidTr="00BD7252">
        <w:trPr>
          <w:cantSplit/>
          <w:trHeight w:val="382"/>
        </w:trPr>
        <w:tc>
          <w:tcPr>
            <w:tcW w:w="3240" w:type="dxa"/>
            <w:tcBorders>
              <w:top w:val="nil"/>
              <w:left w:val="nil"/>
              <w:bottom w:val="nil"/>
              <w:right w:val="nil"/>
            </w:tcBorders>
          </w:tcPr>
          <w:p w:rsidR="0057516A" w:rsidRPr="00526265" w:rsidRDefault="0057516A" w:rsidP="003414D4">
            <w:pPr>
              <w:jc w:val="both"/>
              <w:rPr>
                <w:b/>
              </w:rPr>
            </w:pPr>
            <w:r w:rsidRPr="00701945">
              <w:lastRenderedPageBreak/>
              <w:tab/>
            </w:r>
            <w:r w:rsidRPr="00526265">
              <w:rPr>
                <w:b/>
                <w:u w:val="single"/>
              </w:rPr>
              <w:t>Rebuttal</w:t>
            </w:r>
          </w:p>
        </w:tc>
        <w:tc>
          <w:tcPr>
            <w:tcW w:w="1890" w:type="dxa"/>
            <w:tcBorders>
              <w:top w:val="nil"/>
              <w:left w:val="nil"/>
              <w:bottom w:val="nil"/>
              <w:right w:val="nil"/>
            </w:tcBorders>
          </w:tcPr>
          <w:p w:rsidR="0057516A" w:rsidRPr="00701945" w:rsidRDefault="0057516A" w:rsidP="003414D4">
            <w:pPr>
              <w:jc w:val="center"/>
            </w:pPr>
          </w:p>
        </w:tc>
        <w:tc>
          <w:tcPr>
            <w:tcW w:w="4434" w:type="dxa"/>
            <w:tcBorders>
              <w:top w:val="nil"/>
              <w:left w:val="nil"/>
              <w:bottom w:val="nil"/>
              <w:right w:val="nil"/>
            </w:tcBorders>
          </w:tcPr>
          <w:p w:rsidR="0057516A" w:rsidRPr="00701945" w:rsidRDefault="0057516A" w:rsidP="003414D4"/>
        </w:tc>
      </w:tr>
      <w:tr w:rsidR="0057516A" w:rsidRPr="00701945" w:rsidTr="00BD7252">
        <w:trPr>
          <w:cantSplit/>
          <w:trHeight w:val="362"/>
        </w:trPr>
        <w:tc>
          <w:tcPr>
            <w:tcW w:w="3240" w:type="dxa"/>
            <w:tcBorders>
              <w:top w:val="nil"/>
              <w:left w:val="nil"/>
              <w:bottom w:val="nil"/>
              <w:right w:val="nil"/>
            </w:tcBorders>
          </w:tcPr>
          <w:p w:rsidR="0057516A" w:rsidRDefault="0057516A" w:rsidP="00F0011E">
            <w:pPr>
              <w:spacing w:after="120"/>
            </w:pPr>
            <w:r>
              <w:t>Jared Deason</w:t>
            </w:r>
          </w:p>
        </w:tc>
        <w:tc>
          <w:tcPr>
            <w:tcW w:w="1890" w:type="dxa"/>
            <w:tcBorders>
              <w:top w:val="nil"/>
              <w:left w:val="nil"/>
              <w:bottom w:val="nil"/>
              <w:right w:val="nil"/>
            </w:tcBorders>
          </w:tcPr>
          <w:p w:rsidR="0057516A" w:rsidRDefault="0057516A" w:rsidP="00632544">
            <w:pPr>
              <w:jc w:val="center"/>
            </w:pPr>
            <w:r w:rsidRPr="001D745F">
              <w:t>UIF</w:t>
            </w:r>
          </w:p>
        </w:tc>
        <w:tc>
          <w:tcPr>
            <w:tcW w:w="4434" w:type="dxa"/>
            <w:tcBorders>
              <w:top w:val="nil"/>
              <w:left w:val="nil"/>
              <w:bottom w:val="nil"/>
              <w:right w:val="nil"/>
            </w:tcBorders>
          </w:tcPr>
          <w:p w:rsidR="0057516A" w:rsidRPr="001F7758" w:rsidRDefault="0057516A" w:rsidP="00F0011E">
            <w:pPr>
              <w:spacing w:after="120"/>
            </w:pPr>
            <w:r w:rsidRPr="00CC1AFD">
              <w:t>3, 5, 33, 66, 69</w:t>
            </w:r>
          </w:p>
        </w:tc>
      </w:tr>
      <w:tr w:rsidR="0057516A" w:rsidRPr="00701945" w:rsidTr="00BD7252">
        <w:trPr>
          <w:cantSplit/>
          <w:trHeight w:val="382"/>
        </w:trPr>
        <w:tc>
          <w:tcPr>
            <w:tcW w:w="3240" w:type="dxa"/>
            <w:tcBorders>
              <w:top w:val="nil"/>
              <w:left w:val="nil"/>
              <w:bottom w:val="nil"/>
              <w:right w:val="nil"/>
            </w:tcBorders>
          </w:tcPr>
          <w:p w:rsidR="0057516A" w:rsidRDefault="0057516A" w:rsidP="00F0011E">
            <w:pPr>
              <w:spacing w:after="120"/>
            </w:pPr>
            <w:r w:rsidRPr="00E00F2A">
              <w:t>Frank Seidman</w:t>
            </w:r>
          </w:p>
        </w:tc>
        <w:tc>
          <w:tcPr>
            <w:tcW w:w="1890" w:type="dxa"/>
            <w:tcBorders>
              <w:top w:val="nil"/>
              <w:left w:val="nil"/>
              <w:bottom w:val="nil"/>
              <w:right w:val="nil"/>
            </w:tcBorders>
          </w:tcPr>
          <w:p w:rsidR="0057516A" w:rsidRDefault="0057516A" w:rsidP="00632544">
            <w:pPr>
              <w:jc w:val="center"/>
            </w:pPr>
            <w:r w:rsidRPr="001D745F">
              <w:t>UIF</w:t>
            </w:r>
          </w:p>
        </w:tc>
        <w:tc>
          <w:tcPr>
            <w:tcW w:w="4434" w:type="dxa"/>
            <w:tcBorders>
              <w:top w:val="nil"/>
              <w:left w:val="nil"/>
              <w:bottom w:val="nil"/>
              <w:right w:val="nil"/>
            </w:tcBorders>
          </w:tcPr>
          <w:p w:rsidR="0057516A" w:rsidRPr="001F7758" w:rsidRDefault="0057516A" w:rsidP="00767A1C">
            <w:pPr>
              <w:spacing w:after="120"/>
            </w:pPr>
            <w:r>
              <w:t>11 – 17</w:t>
            </w:r>
          </w:p>
        </w:tc>
      </w:tr>
      <w:tr w:rsidR="0057516A" w:rsidRPr="00701945" w:rsidTr="00BD7252">
        <w:trPr>
          <w:cantSplit/>
          <w:trHeight w:val="382"/>
        </w:trPr>
        <w:tc>
          <w:tcPr>
            <w:tcW w:w="3240" w:type="dxa"/>
            <w:tcBorders>
              <w:top w:val="nil"/>
              <w:left w:val="nil"/>
              <w:bottom w:val="nil"/>
              <w:right w:val="nil"/>
            </w:tcBorders>
          </w:tcPr>
          <w:p w:rsidR="0057516A" w:rsidRDefault="0057516A" w:rsidP="00F0011E">
            <w:pPr>
              <w:spacing w:after="120"/>
            </w:pPr>
            <w:r>
              <w:t>Patrick C. Flynn</w:t>
            </w:r>
          </w:p>
        </w:tc>
        <w:tc>
          <w:tcPr>
            <w:tcW w:w="1890" w:type="dxa"/>
            <w:tcBorders>
              <w:top w:val="nil"/>
              <w:left w:val="nil"/>
              <w:bottom w:val="nil"/>
              <w:right w:val="nil"/>
            </w:tcBorders>
          </w:tcPr>
          <w:p w:rsidR="0057516A" w:rsidRDefault="0057516A" w:rsidP="00632544">
            <w:pPr>
              <w:jc w:val="center"/>
            </w:pPr>
            <w:r w:rsidRPr="001D745F">
              <w:t>UIF</w:t>
            </w:r>
          </w:p>
        </w:tc>
        <w:tc>
          <w:tcPr>
            <w:tcW w:w="4434" w:type="dxa"/>
            <w:tcBorders>
              <w:top w:val="nil"/>
              <w:left w:val="nil"/>
              <w:bottom w:val="nil"/>
              <w:right w:val="nil"/>
            </w:tcBorders>
          </w:tcPr>
          <w:p w:rsidR="0057516A" w:rsidRPr="001F7758" w:rsidRDefault="0057516A" w:rsidP="00767A1C">
            <w:pPr>
              <w:spacing w:after="120"/>
            </w:pPr>
            <w:r w:rsidRPr="000C1CC5">
              <w:t>3, 9, 12, 37</w:t>
            </w:r>
            <w:r>
              <w:t xml:space="preserve"> – </w:t>
            </w:r>
            <w:r w:rsidRPr="000C1CC5">
              <w:t>49, 51, 57</w:t>
            </w:r>
          </w:p>
        </w:tc>
      </w:tr>
      <w:tr w:rsidR="00F31866" w:rsidRPr="00701945" w:rsidTr="00BD7252">
        <w:trPr>
          <w:cantSplit/>
          <w:trHeight w:val="382"/>
        </w:trPr>
        <w:tc>
          <w:tcPr>
            <w:tcW w:w="3240" w:type="dxa"/>
            <w:tcBorders>
              <w:top w:val="nil"/>
              <w:left w:val="nil"/>
              <w:bottom w:val="nil"/>
              <w:right w:val="nil"/>
            </w:tcBorders>
          </w:tcPr>
          <w:p w:rsidR="00F31866" w:rsidRDefault="00F31866" w:rsidP="000F7ECB">
            <w:pPr>
              <w:spacing w:after="120"/>
            </w:pPr>
            <w:r>
              <w:t>Deborah D. Swain</w:t>
            </w:r>
          </w:p>
        </w:tc>
        <w:tc>
          <w:tcPr>
            <w:tcW w:w="1890" w:type="dxa"/>
            <w:tcBorders>
              <w:top w:val="nil"/>
              <w:left w:val="nil"/>
              <w:bottom w:val="nil"/>
              <w:right w:val="nil"/>
            </w:tcBorders>
          </w:tcPr>
          <w:p w:rsidR="00F31866" w:rsidRPr="001D745F" w:rsidRDefault="00F31866" w:rsidP="000F7ECB">
            <w:pPr>
              <w:jc w:val="center"/>
            </w:pPr>
            <w:r w:rsidRPr="001D745F">
              <w:t>UIF</w:t>
            </w:r>
          </w:p>
        </w:tc>
        <w:tc>
          <w:tcPr>
            <w:tcW w:w="4434" w:type="dxa"/>
            <w:tcBorders>
              <w:top w:val="nil"/>
              <w:left w:val="nil"/>
              <w:bottom w:val="nil"/>
              <w:right w:val="nil"/>
            </w:tcBorders>
          </w:tcPr>
          <w:p w:rsidR="00F31866" w:rsidRPr="000C1CC5" w:rsidRDefault="00F31866" w:rsidP="000F7ECB">
            <w:pPr>
              <w:spacing w:after="120"/>
            </w:pPr>
            <w:r>
              <w:t xml:space="preserve">4, 6, </w:t>
            </w:r>
            <w:r w:rsidRPr="00285A5A">
              <w:t>7, 8, 18</w:t>
            </w:r>
            <w:r>
              <w:t xml:space="preserve"> – </w:t>
            </w:r>
            <w:r w:rsidRPr="00285A5A">
              <w:t>25, 29</w:t>
            </w:r>
            <w:r>
              <w:t xml:space="preserve"> –</w:t>
            </w:r>
            <w:r w:rsidRPr="00285A5A">
              <w:t xml:space="preserve"> 32, 49, 54, 55, 56, 58, 59</w:t>
            </w:r>
          </w:p>
        </w:tc>
      </w:tr>
      <w:tr w:rsidR="0057516A" w:rsidRPr="00701945" w:rsidTr="00BD7252">
        <w:trPr>
          <w:cantSplit/>
          <w:trHeight w:val="382"/>
        </w:trPr>
        <w:tc>
          <w:tcPr>
            <w:tcW w:w="3240" w:type="dxa"/>
            <w:tcBorders>
              <w:top w:val="nil"/>
              <w:left w:val="nil"/>
              <w:bottom w:val="nil"/>
              <w:right w:val="nil"/>
            </w:tcBorders>
          </w:tcPr>
          <w:p w:rsidR="0057516A" w:rsidRDefault="0057516A" w:rsidP="00F0011E">
            <w:pPr>
              <w:spacing w:after="120"/>
            </w:pPr>
            <w:r>
              <w:t>John P. Hoy</w:t>
            </w:r>
          </w:p>
        </w:tc>
        <w:tc>
          <w:tcPr>
            <w:tcW w:w="1890" w:type="dxa"/>
            <w:tcBorders>
              <w:top w:val="nil"/>
              <w:left w:val="nil"/>
              <w:bottom w:val="nil"/>
              <w:right w:val="nil"/>
            </w:tcBorders>
          </w:tcPr>
          <w:p w:rsidR="0057516A" w:rsidRDefault="0057516A" w:rsidP="00632544">
            <w:pPr>
              <w:jc w:val="center"/>
            </w:pPr>
            <w:r w:rsidRPr="001D745F">
              <w:t>UIF</w:t>
            </w:r>
          </w:p>
        </w:tc>
        <w:tc>
          <w:tcPr>
            <w:tcW w:w="4434" w:type="dxa"/>
            <w:tcBorders>
              <w:top w:val="nil"/>
              <w:left w:val="nil"/>
              <w:bottom w:val="nil"/>
              <w:right w:val="nil"/>
            </w:tcBorders>
          </w:tcPr>
          <w:p w:rsidR="0057516A" w:rsidRPr="001F7758" w:rsidRDefault="0057516A" w:rsidP="00F0011E">
            <w:pPr>
              <w:spacing w:after="120"/>
            </w:pPr>
            <w:r w:rsidRPr="00AD2FD5">
              <w:t>3, 27, 28</w:t>
            </w:r>
          </w:p>
        </w:tc>
      </w:tr>
    </w:tbl>
    <w:p w:rsidR="00CB2FF0" w:rsidRDefault="00CB2FF0" w:rsidP="0052086C">
      <w:pPr>
        <w:jc w:val="both"/>
        <w:rPr>
          <w:b/>
        </w:rPr>
      </w:pPr>
    </w:p>
    <w:p w:rsidR="00B63BBA" w:rsidRDefault="00B63BBA" w:rsidP="0052086C">
      <w:pPr>
        <w:jc w:val="both"/>
        <w:rPr>
          <w:b/>
        </w:rPr>
      </w:pPr>
    </w:p>
    <w:p w:rsidR="0052086C" w:rsidRPr="00373F17" w:rsidRDefault="0052086C" w:rsidP="0052086C">
      <w:pPr>
        <w:jc w:val="both"/>
        <w:rPr>
          <w:b/>
        </w:rPr>
      </w:pPr>
      <w:r w:rsidRPr="00373F17">
        <w:rPr>
          <w:b/>
        </w:rPr>
        <w:t>VII.</w:t>
      </w:r>
      <w:r w:rsidRPr="00373F17">
        <w:rPr>
          <w:b/>
        </w:rPr>
        <w:tab/>
      </w:r>
      <w:r w:rsidRPr="00373F17">
        <w:rPr>
          <w:b/>
          <w:u w:val="single"/>
        </w:rPr>
        <w:t>BASIC</w:t>
      </w:r>
      <w:r w:rsidRPr="00720197">
        <w:rPr>
          <w:b/>
          <w:u w:val="single"/>
        </w:rPr>
        <w:t xml:space="preserve"> </w:t>
      </w:r>
      <w:r w:rsidR="002A39DC" w:rsidRPr="00720197">
        <w:rPr>
          <w:b/>
          <w:u w:val="single"/>
        </w:rPr>
        <w:t>POSITIONS</w:t>
      </w:r>
    </w:p>
    <w:p w:rsidR="0052086C" w:rsidRPr="00701945" w:rsidRDefault="0052086C" w:rsidP="0052086C">
      <w:pPr>
        <w:jc w:val="both"/>
      </w:pPr>
    </w:p>
    <w:p w:rsidR="0052086C" w:rsidRPr="00701945" w:rsidRDefault="00046EC1" w:rsidP="0052086C">
      <w:pPr>
        <w:ind w:left="1440" w:hanging="1440"/>
        <w:jc w:val="both"/>
      </w:pPr>
      <w:r w:rsidRPr="008613C3">
        <w:rPr>
          <w:b/>
          <w:bCs/>
        </w:rPr>
        <w:t>UIF</w:t>
      </w:r>
      <w:r w:rsidR="0052086C" w:rsidRPr="008613C3">
        <w:rPr>
          <w:b/>
          <w:bCs/>
        </w:rPr>
        <w:t>:</w:t>
      </w:r>
      <w:r w:rsidR="0052086C" w:rsidRPr="00701945">
        <w:tab/>
      </w:r>
      <w:r w:rsidR="00AE01E6">
        <w:t>In order to allow UIF</w:t>
      </w:r>
      <w:r w:rsidR="00AE01E6" w:rsidRPr="001F7758">
        <w:t xml:space="preserve"> </w:t>
      </w:r>
      <w:r w:rsidR="00AE01E6">
        <w:t xml:space="preserve">recover its reasonable and prudent expenses, including proforma expenses, and to have an opportunity to earn a reasonable return on its property used and useful in the public service, including proforma projects, it </w:t>
      </w:r>
      <w:r w:rsidR="00AE01E6" w:rsidRPr="001F7758">
        <w:t xml:space="preserve">is entitled to annual revenues </w:t>
      </w:r>
      <w:r w:rsidR="00AE01E6">
        <w:t>in the amount of $</w:t>
      </w:r>
      <w:r w:rsidR="00AE01E6" w:rsidRPr="000119E3">
        <w:t xml:space="preserve"> </w:t>
      </w:r>
      <w:r w:rsidR="00AE01E6" w:rsidRPr="00E73EDE">
        <w:t>36,916,618</w:t>
      </w:r>
      <w:r w:rsidR="00AE01E6">
        <w:t>. UIF’s positions below are subject to change based upon discovery responses, depositions and evidence presented at the final hearing.</w:t>
      </w:r>
    </w:p>
    <w:p w:rsidR="0052086C" w:rsidRPr="00701945" w:rsidRDefault="0052086C" w:rsidP="0052086C">
      <w:pPr>
        <w:jc w:val="both"/>
      </w:pPr>
    </w:p>
    <w:p w:rsidR="003D1AD6" w:rsidRPr="00CD3FB3" w:rsidRDefault="00046EC1" w:rsidP="003D1AD6">
      <w:pPr>
        <w:ind w:left="1440" w:hanging="1440"/>
        <w:jc w:val="both"/>
      </w:pPr>
      <w:r w:rsidRPr="008613C3">
        <w:rPr>
          <w:b/>
          <w:bCs/>
        </w:rPr>
        <w:t>OPC</w:t>
      </w:r>
      <w:r w:rsidR="0052086C" w:rsidRPr="008613C3">
        <w:rPr>
          <w:b/>
          <w:bCs/>
        </w:rPr>
        <w:t>:</w:t>
      </w:r>
      <w:r w:rsidR="0052086C" w:rsidRPr="00701945">
        <w:tab/>
      </w:r>
      <w:r w:rsidR="003D1AD6" w:rsidRPr="00CD3FB3">
        <w:t xml:space="preserve">This is the first consolidated rate filing from Utilities, Inc. of Florida (UIF, Utility, or Company), Florida’s largest privately owned water and wastewater provider, for all of its systems under the jurisdiction of the Commission.  </w:t>
      </w:r>
    </w:p>
    <w:p w:rsidR="003D1AD6" w:rsidRPr="00CD3FB3" w:rsidRDefault="003D1AD6" w:rsidP="003D1AD6">
      <w:pPr>
        <w:ind w:left="1440" w:hanging="1440"/>
        <w:jc w:val="both"/>
      </w:pPr>
    </w:p>
    <w:p w:rsidR="003D1AD6" w:rsidRPr="00CD3FB3" w:rsidRDefault="003D1AD6" w:rsidP="003D1AD6">
      <w:pPr>
        <w:ind w:left="1440"/>
        <w:jc w:val="both"/>
        <w:rPr>
          <w:i/>
          <w:u w:val="single"/>
        </w:rPr>
      </w:pPr>
      <w:r w:rsidRPr="00CD3FB3">
        <w:rPr>
          <w:i/>
          <w:u w:val="single"/>
        </w:rPr>
        <w:t>Burden of Proof</w:t>
      </w:r>
    </w:p>
    <w:p w:rsidR="003D1AD6" w:rsidRPr="00CD3FB3" w:rsidRDefault="003D1AD6" w:rsidP="003D1AD6">
      <w:pPr>
        <w:ind w:left="1440"/>
        <w:jc w:val="both"/>
      </w:pPr>
      <w:r w:rsidRPr="00CD3FB3">
        <w:t xml:space="preserve">As required by Florida Statutes and reiterated by the Commission, the burden of proof is upon UIF to show that its present rates are unreasonable, fail to compensate it for its prudently incurred expenses, and fail to produce a reasonable return on its investment.  Pursuant to Section 367.081, Florida Statutes (“F.S.”), “Except as provided in subsection (4) or subsection (6), a utility may only charge rates and charges that have been approved by the commission” and “the commission shall, either upon request or upon its own motion, fix rates which are just, reasonable, compensatory, and not unfairly discriminatory.  In every such proceeding, the commission shall consider the value and quality of the service and the cost of providing the service. . . . ”  When there are material issues in dispute, such as the case here, a person whose material interests will be effected may request a Section 120.57, F.S., hearing.  </w:t>
      </w:r>
    </w:p>
    <w:p w:rsidR="003D1AD6" w:rsidRPr="00CD3FB3" w:rsidRDefault="003D1AD6" w:rsidP="003D1AD6">
      <w:pPr>
        <w:ind w:left="1440" w:hanging="1440"/>
        <w:jc w:val="both"/>
      </w:pPr>
    </w:p>
    <w:p w:rsidR="003D1AD6" w:rsidRDefault="003D1AD6" w:rsidP="003D1AD6">
      <w:pPr>
        <w:ind w:left="1440"/>
        <w:jc w:val="both"/>
      </w:pPr>
      <w:r w:rsidRPr="00CD3FB3">
        <w:lastRenderedPageBreak/>
        <w:t xml:space="preserve">These hearings are governed by Section 120.57, F.S., which sets forth the procedures for the Commission’s proceedings.  Pursuant to Section 120.57, the findings of fact shall be based upon a preponderance of evidence and shall be based exclusively on the evidence of record and on matters officially recognized.  See, Section 120.57(j), F.S.  The Commission observed in a water case that: </w:t>
      </w:r>
    </w:p>
    <w:p w:rsidR="003D1AD6" w:rsidRPr="00CD3FB3" w:rsidRDefault="003D1AD6" w:rsidP="003D1AD6">
      <w:pPr>
        <w:ind w:left="1440"/>
        <w:jc w:val="both"/>
      </w:pPr>
    </w:p>
    <w:p w:rsidR="003D1AD6" w:rsidRDefault="003D1AD6" w:rsidP="003D1AD6">
      <w:pPr>
        <w:ind w:left="2250" w:right="540"/>
        <w:jc w:val="both"/>
      </w:pPr>
      <w:r w:rsidRPr="00CD3FB3">
        <w:t xml:space="preserve">we are charged with the statutory responsibility of setting rates which are fair and reasonable.  It is neither our nor our staff’s responsibility to make the utility’s case.  The burden of proof is upon the utility to show that its present rates are unreasonable, fail to compensate the utility for its prudently incurred expenses, and fail to produce a reasonable return on its investment. </w:t>
      </w:r>
    </w:p>
    <w:p w:rsidR="003D1AD6" w:rsidRPr="00CD3FB3" w:rsidRDefault="003D1AD6" w:rsidP="003D1AD6">
      <w:pPr>
        <w:ind w:left="2250" w:right="540"/>
        <w:jc w:val="both"/>
      </w:pPr>
    </w:p>
    <w:p w:rsidR="003D1AD6" w:rsidRPr="00CD3FB3" w:rsidRDefault="003D1AD6" w:rsidP="003D1AD6">
      <w:pPr>
        <w:ind w:left="1440"/>
        <w:jc w:val="both"/>
      </w:pPr>
      <w:r w:rsidRPr="00CD3FB3">
        <w:t xml:space="preserve">Order No. PSC-07-0129-SC-WS, issued February 14, 2007, in Docket No. 060262-WS.  The Florida Supreme Court stated in </w:t>
      </w:r>
      <w:r w:rsidRPr="00CD3FB3">
        <w:rPr>
          <w:u w:val="single"/>
        </w:rPr>
        <w:t>Florida Power Corp. v. Cresse</w:t>
      </w:r>
      <w:r w:rsidRPr="00CD3FB3">
        <w:t>, 413 So. 2d 1187, 1191 (1982) that the “burden of proof in a commission proceeding is always on a utility seeking a rate change, and upon other parties seeking to change established rates.”  Thus, it is UIF’s burden to demonstrate by a preponderance of evidence in the record in this proceeding that current rates are unjust, unreasonable or insufficient and that the changes UIF has requested are necessary and will result in rates that are just, reasonable, compensatory, and not unfairly discriminatory.  It is neither the Commission’s nor its staff’s responsibility to make UIF’s case, or fill any holes or gaps in UIF’s requested rate increase.  The Commission should carefully scrutinize UIF’s requested rate increase and allow only the costs and pro forma projects deemed prudent and reasonable that UIF requested in its direct case as filed on August 30, 2016, and deficiencies cured as of November 22, 2016.</w:t>
      </w:r>
    </w:p>
    <w:p w:rsidR="003D1AD6" w:rsidRDefault="003D1AD6" w:rsidP="003D1AD6">
      <w:pPr>
        <w:ind w:left="1440" w:hanging="1440"/>
        <w:jc w:val="both"/>
        <w:rPr>
          <w:i/>
          <w:u w:val="single"/>
        </w:rPr>
      </w:pPr>
    </w:p>
    <w:p w:rsidR="003D1AD6" w:rsidRPr="00CD3FB3" w:rsidRDefault="003D1AD6" w:rsidP="003D1AD6">
      <w:pPr>
        <w:ind w:left="1440"/>
        <w:jc w:val="both"/>
        <w:rPr>
          <w:i/>
          <w:u w:val="single"/>
        </w:rPr>
      </w:pPr>
      <w:r w:rsidRPr="00CD3FB3">
        <w:rPr>
          <w:i/>
          <w:u w:val="single"/>
        </w:rPr>
        <w:t>Quality of Service</w:t>
      </w:r>
    </w:p>
    <w:p w:rsidR="003D1AD6" w:rsidRPr="00CD3FB3" w:rsidRDefault="003D1AD6" w:rsidP="003D1AD6">
      <w:pPr>
        <w:ind w:left="1440" w:hanging="1440"/>
        <w:jc w:val="both"/>
      </w:pPr>
      <w:r w:rsidRPr="00CD3FB3">
        <w:tab/>
        <w:t xml:space="preserve">OPC witness Denise Vandiver provides a summary of the various letters, testimony, exhibits and discovery that addresses issues regarding the quality of service that occurred during and after the test year. Sections 367.081(2)(a)1 and 367.0812, Florida Statutes (F.S.), require the Commission to consider the quality of the service when setting rates.  Customers in various UIF systems raised numerous quality of service issues which are summarized in Ms. Vandiver’s testimony and exhibits, and the Commission should give great weight to Ms. Vandiver’s testimony.  </w:t>
      </w:r>
    </w:p>
    <w:p w:rsidR="003D1AD6" w:rsidRPr="00CD3FB3" w:rsidRDefault="003D1AD6" w:rsidP="003D1AD6">
      <w:pPr>
        <w:ind w:left="1440" w:hanging="1440"/>
        <w:jc w:val="both"/>
      </w:pPr>
    </w:p>
    <w:p w:rsidR="003D1AD6" w:rsidRDefault="003D1AD6" w:rsidP="003D1AD6">
      <w:pPr>
        <w:ind w:left="1440"/>
        <w:jc w:val="both"/>
      </w:pPr>
      <w:r w:rsidRPr="00CD3FB3">
        <w:t xml:space="preserve">In addition, Ms. Vandiver’s Exhibit DNV-2 identified a number of Florida Department of Environmental Protection (DEP) quality of service compliance issues, including consent orders, compliance inspection issues, sewage spills, main breaks/loss of pressure, sanitary survey, exceedances, and customer complaints, that occurred during and after UIF’s test year.  Taken together as a whole, these DEP issues do not support a finding of satisfactory quality of service for the affected systems.  </w:t>
      </w:r>
    </w:p>
    <w:p w:rsidR="003D1AD6" w:rsidRPr="00CD3FB3" w:rsidRDefault="003D1AD6" w:rsidP="003D1AD6">
      <w:pPr>
        <w:ind w:left="1440"/>
        <w:jc w:val="both"/>
      </w:pPr>
    </w:p>
    <w:p w:rsidR="003D1AD6" w:rsidRPr="00CD3FB3" w:rsidRDefault="003D1AD6" w:rsidP="003D1AD6">
      <w:pPr>
        <w:ind w:left="1440"/>
        <w:jc w:val="both"/>
      </w:pPr>
      <w:r w:rsidRPr="00CD3FB3">
        <w:t>Last, Ms. Vandiver’s Exhibit DNV-7, provides a summary of the PSC’s findings on quality of service for various UIF systems. In this case, the Commission’s quality of service determination should be based on UIF’s actions or lack thereof during and after the Test Year.  Simple promises to improve past poor quality of service should not be excused.  UIF should be held accountable for these adverse quality of service issues, and should not be given a “pass” simply because they cured or plan to cure some past deficiencies.   Based upon the evidence that will be produced at the hearing, OPC recommends a finding of either marginal or unsatisfactory for the specifically identified systems.</w:t>
      </w:r>
      <w:r>
        <w:t xml:space="preserve">  </w:t>
      </w:r>
    </w:p>
    <w:p w:rsidR="003D1AD6" w:rsidRDefault="003D1AD6" w:rsidP="003D1AD6">
      <w:pPr>
        <w:ind w:left="1440"/>
        <w:jc w:val="both"/>
        <w:rPr>
          <w:i/>
          <w:u w:val="single"/>
        </w:rPr>
      </w:pPr>
    </w:p>
    <w:p w:rsidR="003D1AD6" w:rsidRPr="00CD3FB3" w:rsidRDefault="003D1AD6" w:rsidP="003D1AD6">
      <w:pPr>
        <w:ind w:left="1440"/>
        <w:jc w:val="both"/>
        <w:rPr>
          <w:i/>
          <w:u w:val="single"/>
        </w:rPr>
      </w:pPr>
      <w:r w:rsidRPr="00CD3FB3">
        <w:rPr>
          <w:i/>
          <w:u w:val="single"/>
        </w:rPr>
        <w:t>Engineering</w:t>
      </w:r>
    </w:p>
    <w:p w:rsidR="003D1AD6" w:rsidRPr="00CD3FB3" w:rsidRDefault="003D1AD6" w:rsidP="003D1AD6">
      <w:pPr>
        <w:ind w:left="1440" w:hanging="1440"/>
        <w:jc w:val="both"/>
      </w:pPr>
      <w:r w:rsidRPr="00CD3FB3">
        <w:tab/>
        <w:t xml:space="preserve">OPC witness Andrew Woodcock provides testimony supporting several adjustments to excessive unaccounted for water in various water systems, excessive inflow and infiltration in various wastewater systems, and used and useful adjustments to various water and wastewater systems.  He found excessive unaccounted for water in ten systems, excessive inflow and infiltration in three systems, and made used and useful adjustments to seven wastewater plants and two wastewater collection systems. </w:t>
      </w:r>
    </w:p>
    <w:p w:rsidR="003D1AD6" w:rsidRPr="00CD3FB3" w:rsidRDefault="003D1AD6" w:rsidP="003D1AD6">
      <w:pPr>
        <w:ind w:left="1440" w:hanging="1440"/>
        <w:jc w:val="both"/>
      </w:pPr>
    </w:p>
    <w:p w:rsidR="003D1AD6" w:rsidRPr="00CD3FB3" w:rsidRDefault="003D1AD6" w:rsidP="003D1AD6">
      <w:pPr>
        <w:ind w:left="1440"/>
        <w:jc w:val="both"/>
      </w:pPr>
      <w:r w:rsidRPr="00CD3FB3">
        <w:t>In addition, Mr. Woodcock reviewed UIF’s requested pro forma plant additions for both prudence of the project and reasonableness of the costs provided to him by UIF in either its MFR’s or in response to discovery requests received a reasonable time prior to the filing of his testimony.  Of the total $30,835,444 requested for approval in the original UIF filing, Mr. Woodcock determined that $21,256,538 was reasonable and supported by UIF’s direct testimony and exhibits and should be allowed in the rate case.  Interestingly, since it filed its original petition, UIF has increased its requested pro forma amount in this case to over $</w:t>
      </w:r>
      <w:r>
        <w:t>36</w:t>
      </w:r>
      <w:r w:rsidRPr="00CD3FB3">
        <w:t xml:space="preserve"> million, or by more than $4 million dollars.  OPC asserts the Commission should not allow UIF to amend its initial original petition to increase its initial proposed rate increase with rebuttal testimony or discovery responses.  No additional amounts should be considered after UIF filed its direct case, and any requested amounts not supported by reliable documentation and evidence should be disallowed in this rate case and considered in subsequent proceedings that UIF may elect to file. </w:t>
      </w:r>
    </w:p>
    <w:p w:rsidR="003D1AD6" w:rsidRPr="00CD3FB3" w:rsidRDefault="003D1AD6" w:rsidP="003D1AD6">
      <w:pPr>
        <w:ind w:left="1440" w:hanging="1440"/>
        <w:jc w:val="both"/>
      </w:pPr>
    </w:p>
    <w:p w:rsidR="003D1AD6" w:rsidRPr="00CD3FB3" w:rsidRDefault="003D1AD6" w:rsidP="003D1AD6">
      <w:pPr>
        <w:ind w:left="1440"/>
        <w:jc w:val="both"/>
        <w:rPr>
          <w:i/>
          <w:u w:val="single"/>
        </w:rPr>
      </w:pPr>
      <w:r w:rsidRPr="00CD3FB3">
        <w:rPr>
          <w:i/>
          <w:u w:val="single"/>
        </w:rPr>
        <w:t>Revenue Requirement</w:t>
      </w:r>
    </w:p>
    <w:p w:rsidR="003D1AD6" w:rsidRPr="00CD3FB3" w:rsidRDefault="003D1AD6" w:rsidP="003D1AD6">
      <w:pPr>
        <w:ind w:left="1440" w:hanging="1440"/>
        <w:jc w:val="both"/>
      </w:pPr>
      <w:r w:rsidRPr="00CD3FB3">
        <w:tab/>
        <w:t xml:space="preserve">OPC witness Donna Ramas provides the recommended revenue requirement for each of UIF’s system, incorporating her recommended adjustments and Mr. Woodcock’s recommended adjustments.  Her Exhibit DMR-2 presents the revenue requirement per Company and per OPC for each of the UIF systems at issue in this proceeding.  According to UIF’s MFRs, direct testimony, and exhibits, UIF requested a $6,915,454 rate increase.   Based upon OPC’s adjustments incorporated by Ms. Ramas, UIF’s initial requested increase of $6.9 </w:t>
      </w:r>
      <w:r w:rsidRPr="00CD3FB3">
        <w:lastRenderedPageBreak/>
        <w:t>million should be reduced by at least $4.4 million.  This leaves UIF a fair and reasonable rate increase of $</w:t>
      </w:r>
      <w:r w:rsidRPr="006A7884">
        <w:t>2,487,577</w:t>
      </w:r>
      <w:r>
        <w:t xml:space="preserve">.  </w:t>
      </w:r>
    </w:p>
    <w:p w:rsidR="003D1AD6" w:rsidRPr="00CD3FB3" w:rsidRDefault="003D1AD6" w:rsidP="003D1AD6">
      <w:pPr>
        <w:ind w:left="1440" w:hanging="1440"/>
        <w:jc w:val="both"/>
      </w:pPr>
    </w:p>
    <w:p w:rsidR="003D1AD6" w:rsidRPr="00CD3FB3" w:rsidRDefault="003D1AD6" w:rsidP="003D1AD6">
      <w:pPr>
        <w:ind w:left="1440"/>
        <w:jc w:val="both"/>
      </w:pPr>
      <w:r w:rsidRPr="00CD3FB3">
        <w:t>In recent responses to discovery, UIF indicates that bonus depreciation will be applied to the pro forma wastewater plant additions, the impact of which is not yet factored into Ms. Ramas’ recommended $</w:t>
      </w:r>
      <w:r w:rsidRPr="006A7884">
        <w:t>2,487,577</w:t>
      </w:r>
      <w:r>
        <w:t xml:space="preserve"> </w:t>
      </w:r>
      <w:r w:rsidRPr="00CD3FB3">
        <w:t xml:space="preserve">reduction from UIF’s requested increase and will further reduce the increase in rates.  Based on recent discovery responses, additional adjustments beyond the application of bonus depreciation on the pro forma wastewater plant additions are appropriate and will further reduce the revenue requirements presented by UIF in its initial filing.   </w:t>
      </w:r>
    </w:p>
    <w:p w:rsidR="003D1AD6" w:rsidRDefault="003D1AD6" w:rsidP="003D1AD6">
      <w:pPr>
        <w:ind w:left="1440"/>
        <w:jc w:val="both"/>
        <w:rPr>
          <w:i/>
          <w:u w:val="single"/>
        </w:rPr>
      </w:pPr>
    </w:p>
    <w:p w:rsidR="003D1AD6" w:rsidRPr="00CD3FB3" w:rsidRDefault="003D1AD6" w:rsidP="003D1AD6">
      <w:pPr>
        <w:ind w:left="1440"/>
        <w:jc w:val="both"/>
        <w:rPr>
          <w:i/>
          <w:u w:val="single"/>
        </w:rPr>
      </w:pPr>
      <w:r w:rsidRPr="00CD3FB3">
        <w:rPr>
          <w:i/>
          <w:u w:val="single"/>
        </w:rPr>
        <w:t xml:space="preserve">UIF’s increasing rate request  </w:t>
      </w:r>
    </w:p>
    <w:p w:rsidR="003D1AD6" w:rsidRPr="00CD3FB3" w:rsidRDefault="003D1AD6" w:rsidP="003D1AD6">
      <w:pPr>
        <w:ind w:left="1440"/>
        <w:jc w:val="both"/>
      </w:pPr>
      <w:r w:rsidRPr="00CD3FB3">
        <w:t xml:space="preserve">As a result of filing its rebuttal testimony and exhibits, UIF’s requested rate increase has ballooned upwards with numerous amendments, updates, changes, and revisions to the documents supporting its originally requested rate increase.  UIF should not be allowed to include incremental accretion of new cost information to layer on more to its original rate request.   </w:t>
      </w:r>
    </w:p>
    <w:p w:rsidR="003D1AD6" w:rsidRPr="00CD3FB3" w:rsidRDefault="003D1AD6" w:rsidP="003D1AD6">
      <w:pPr>
        <w:ind w:left="1440" w:hanging="1440"/>
        <w:jc w:val="both"/>
      </w:pPr>
    </w:p>
    <w:p w:rsidR="003D1AD6" w:rsidRPr="00CD3FB3" w:rsidRDefault="003D1AD6" w:rsidP="003D1AD6">
      <w:pPr>
        <w:ind w:left="1440"/>
        <w:jc w:val="both"/>
      </w:pPr>
      <w:r w:rsidRPr="00CD3FB3">
        <w:t xml:space="preserve">To allow additional information </w:t>
      </w:r>
      <w:r w:rsidRPr="00CD3FB3">
        <w:rPr>
          <w:u w:val="single"/>
        </w:rPr>
        <w:t>after</w:t>
      </w:r>
      <w:r w:rsidRPr="00CD3FB3">
        <w:t xml:space="preserve"> UIF filed its completed set of MFR’s and </w:t>
      </w:r>
      <w:r w:rsidRPr="00CD3FB3">
        <w:rPr>
          <w:u w:val="single"/>
        </w:rPr>
        <w:t>after</w:t>
      </w:r>
      <w:r w:rsidRPr="00CD3FB3">
        <w:t xml:space="preserve"> OPC and Commission staff filed testimony violates the Citizen’s due process.  In almost every response to discovery propounded by Staff and OPC, as well as in its rebuttal testimony and exhibits, UIF continued to supplement, update, or amend its original filing. The net effect of which would increase its originally requested revenue requirement.  UIF may argue that it is administratively efficient to allow them to capture the latest and greatest costs and avoid a subsequent rate case; however, it adversely affects both Staff’s and OPC’s ability to review the rate case information and to conduct a fair and impartial hearing for the UIF ratepayers.</w:t>
      </w:r>
    </w:p>
    <w:p w:rsidR="003D1AD6" w:rsidRPr="00CD3FB3" w:rsidRDefault="003D1AD6" w:rsidP="003D1AD6">
      <w:pPr>
        <w:ind w:left="1440" w:hanging="1440"/>
        <w:jc w:val="both"/>
      </w:pPr>
    </w:p>
    <w:p w:rsidR="0052086C" w:rsidRPr="00701945" w:rsidRDefault="003D1AD6" w:rsidP="003D1AD6">
      <w:pPr>
        <w:ind w:left="1440"/>
        <w:jc w:val="both"/>
      </w:pPr>
      <w:r w:rsidRPr="00CD3FB3">
        <w:t>UIF often touts it is the largest privately owned water and wastewater provider in the State of Florida; thus, it is not like a Class C utility that needs assistance in meeting its burden of proof.  The various revisions and changes may be due to UIF filing a premature rate case or due to its sloppy initial petition and deficient MFRs or to the discovery served in this case requesting information that was missing from its initial filing.  Regardless of the cause, UIF’s customers should not be subject to any potential rate increases for issues or costs that were not part of UIF’s original petition filed on August 30, 2016 or its MFRs deemed complete as of November 22, 2016.</w:t>
      </w:r>
    </w:p>
    <w:p w:rsidR="0052086C" w:rsidRPr="00701945" w:rsidRDefault="0052086C" w:rsidP="0052086C">
      <w:pPr>
        <w:jc w:val="both"/>
      </w:pPr>
    </w:p>
    <w:p w:rsidR="00987836" w:rsidRPr="00987836" w:rsidRDefault="00357433" w:rsidP="00987836">
      <w:pPr>
        <w:spacing w:after="240"/>
        <w:ind w:left="1440" w:hanging="1440"/>
        <w:jc w:val="both"/>
        <w:rPr>
          <w:bCs/>
        </w:rPr>
      </w:pPr>
      <w:r>
        <w:rPr>
          <w:b/>
          <w:bCs/>
        </w:rPr>
        <w:t>Summertree:</w:t>
      </w:r>
      <w:r>
        <w:rPr>
          <w:b/>
          <w:bCs/>
        </w:rPr>
        <w:tab/>
      </w:r>
      <w:r w:rsidR="00987836" w:rsidRPr="00987836">
        <w:rPr>
          <w:bCs/>
          <w:u w:val="single"/>
        </w:rPr>
        <w:t>Quality of Service is Unsatisfactory</w:t>
      </w:r>
      <w:r w:rsidR="00987836" w:rsidRPr="00987836">
        <w:rPr>
          <w:bCs/>
        </w:rPr>
        <w:t xml:space="preserve">. Utilities, Inc.’s quality of service is unsatisfactory as relates to each of the quality of the utility’s management, quality of utility’s product and services, and quality of utility’s public relations. The utility should be penalized with a 100 basis point reduction to its return on equity for these quality deficiencies or whatever maximum penalty is permitted. UIF management has made it clear that throughout this proceeding it has attempted to </w:t>
      </w:r>
      <w:r w:rsidR="00987836" w:rsidRPr="00987836">
        <w:rPr>
          <w:bCs/>
        </w:rPr>
        <w:lastRenderedPageBreak/>
        <w:t>present only evidence to support an increase in its rates while effectively concealing by not “voluntarily” presenting to the Commission or the parties any evidence that would establish reduced costs or any matter tending to reduce rates. UIF also has taken extraordinary steps and expenditure of funds on legal counsel to oppose entry into this docket of more than a thousand UIF customers affiliated in opposition to this rate increase as the Summertree Water Alliance despite knowing that any one of the customer members of the Alliance can gain entry into this docket as a party intervenor or all 1,200 Summertree residents could do so individually. UIF’s opposition to the Alliance is indicative of its hostility to its customers and a further exhibition of its poor customer relations as condoned and participated in by its management. UIF should not be rewarded for its horrible customer service.</w:t>
      </w:r>
    </w:p>
    <w:p w:rsidR="00987836" w:rsidRPr="00987836" w:rsidRDefault="00987836" w:rsidP="00987836">
      <w:pPr>
        <w:spacing w:after="240"/>
        <w:ind w:left="1440"/>
        <w:jc w:val="both"/>
        <w:rPr>
          <w:bCs/>
        </w:rPr>
      </w:pPr>
      <w:r w:rsidRPr="00987836">
        <w:rPr>
          <w:bCs/>
          <w:u w:val="single"/>
        </w:rPr>
        <w:t>Reduced authorized return on equity due to low risk of utility investment in utility</w:t>
      </w:r>
      <w:r w:rsidRPr="00987836">
        <w:rPr>
          <w:bCs/>
        </w:rPr>
        <w:t>. The utility’s authorized return on equity should be reduced by an additional 300 basis points to reflect the reduced risk faced by the owners of the utility due to risk reducing provisions of Florida law, Commission rules and general differences in the operations and financing practices of UIF as compared to the higher risks of investments in the natural gas utilities which comprise the leverage graph index; as well as a penalty for gross utility mismanagement. Utility has established that it is more than diligent in pursuing available rate recovery and risk reducing mechanisms (indexing, pass-throughs, new pass through law, collection of service availability charges, prepaid CIAC, AFPI, guaranteed revenue charges, use of staff assisted rate proceedings and limited proceedings, but as discussed below, it also has established that it is severely deficient in implementing policies, practices and programs long available in the utility industry designed to reduce costs, both capital and operating, achieve efficiencies, and to result in lower rates for its customers.</w:t>
      </w:r>
    </w:p>
    <w:p w:rsidR="00357433" w:rsidRPr="00987836" w:rsidRDefault="00987836" w:rsidP="00987836">
      <w:pPr>
        <w:spacing w:after="240"/>
        <w:ind w:left="1440"/>
        <w:jc w:val="both"/>
        <w:rPr>
          <w:bCs/>
        </w:rPr>
      </w:pPr>
      <w:r w:rsidRPr="00987836">
        <w:rPr>
          <w:bCs/>
          <w:u w:val="single"/>
        </w:rPr>
        <w:t>Revenue requirement reductions due to utility mismanagement</w:t>
      </w:r>
      <w:r w:rsidRPr="00987836">
        <w:rPr>
          <w:bCs/>
        </w:rPr>
        <w:t xml:space="preserve">. The Commission must reduce utility’s revenue requirement or disallow rate base recovery of, at minimum, all pro forma plant additions and operating costs associated with prior expenditures to fix the plant, lines and other facilities replaced during the pro forma period. Utilities, Inc.’s management has admitted that while utility attempts to increase rates by increasing rate base for pro forma investments in significant plant and line replacements, the utility has failed to remove from expenses any reduced expenses which it expects due to reduced investments in plant and line repairs due to the existence of the new plant, lines and other facilities. Utilities, Inc.’s management has further admitted that it refuses to expend funds which could improve service to customers and reduce its revenue requirement unless the Commission first authorizes higher rates. UIF’s management philosophy is that customers should not receive benefits in the form of improved service, lower costs and lower rates unless Utilities, Inc. has first received 100% remuneration from the Commission in the form of higher customer rates. This is a novel idea of prudent utility management which should not be condoned by the Commission. </w:t>
      </w:r>
      <w:r w:rsidRPr="00987836">
        <w:rPr>
          <w:bCs/>
        </w:rPr>
        <w:lastRenderedPageBreak/>
        <w:t>Unfortunately, this novel and unsupportable form of utility management has resulted in Utilities, Inc. being years, even decades, behind in implementing practices, procedures and programs typical of any well-run utility such as predictive maintenance, preventive maintenance, sewer system overflow programs (SORPs), computerized maintenance and management programs, CMOMs, a fixed asset system, geographic information system, proper accounting and record keeping of utility assets (original cost, depreciation, abandonment or retirement), proper booking of Commission orders and other instances of mismanagement. While Utilities, Inc. suggests that it is now prepared to make an investment in an “asset management program” and “geographic information system”, in the second quarter of 2017 if the Commission approves its rate increase, UIF should not be rewarded for affirmatively refusing to implement these programs and those just listed long before 2017. As UIF’s management and other witnesses establish, had these programs, policies and practices been implemented long ago, as well-managed utilities have already done, Utilities, Inc.’s costs and capital investments would be lower than that presented in the utility’s minimum filing requirements, testimony and exhibits presented in this proceeding. Rate base should be reduced and operating costs reduced to avoid rewarding utility for such poor management decision-making.</w:t>
      </w:r>
    </w:p>
    <w:p w:rsidR="0052086C" w:rsidRDefault="0052086C" w:rsidP="0052086C">
      <w:pPr>
        <w:ind w:left="1440" w:hanging="1440"/>
        <w:jc w:val="both"/>
      </w:pPr>
      <w:r w:rsidRPr="008613C3">
        <w:rPr>
          <w:b/>
          <w:bCs/>
        </w:rPr>
        <w:t>S</w:t>
      </w:r>
      <w:r w:rsidR="00046EC1" w:rsidRPr="008613C3">
        <w:rPr>
          <w:b/>
          <w:bCs/>
        </w:rPr>
        <w:t>taff</w:t>
      </w:r>
      <w:r w:rsidRPr="008613C3">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52086C" w:rsidRDefault="0052086C" w:rsidP="0052086C">
      <w:pPr>
        <w:ind w:left="1440" w:hanging="1440"/>
        <w:jc w:val="both"/>
      </w:pPr>
    </w:p>
    <w:p w:rsidR="00F73A23" w:rsidRPr="00701945" w:rsidRDefault="00F73A23" w:rsidP="0052086C">
      <w:pPr>
        <w:ind w:left="1440" w:hanging="1440"/>
        <w:jc w:val="both"/>
      </w:pPr>
    </w:p>
    <w:p w:rsidR="0052086C" w:rsidRPr="00373F17" w:rsidRDefault="0052086C" w:rsidP="0052086C">
      <w:pPr>
        <w:jc w:val="both"/>
        <w:rPr>
          <w:b/>
        </w:rPr>
      </w:pPr>
      <w:r w:rsidRPr="00373F17">
        <w:rPr>
          <w:b/>
        </w:rPr>
        <w:t>VIII.</w:t>
      </w:r>
      <w:r w:rsidRPr="00373F17">
        <w:rPr>
          <w:b/>
        </w:rPr>
        <w:tab/>
      </w:r>
      <w:r w:rsidRPr="00373F17">
        <w:rPr>
          <w:b/>
          <w:u w:val="single"/>
        </w:rPr>
        <w:t xml:space="preserve">ISSUES </w:t>
      </w:r>
      <w:smartTag w:uri="urn:schemas-microsoft-com:office:smarttags" w:element="stockticker">
        <w:r w:rsidRPr="00373F17">
          <w:rPr>
            <w:b/>
            <w:u w:val="single"/>
          </w:rPr>
          <w:t>AND</w:t>
        </w:r>
      </w:smartTag>
      <w:r w:rsidRPr="00373F17">
        <w:rPr>
          <w:b/>
          <w:u w:val="single"/>
        </w:rPr>
        <w:t xml:space="preserve"> </w:t>
      </w:r>
      <w:r w:rsidR="002A39DC" w:rsidRPr="00C43044">
        <w:rPr>
          <w:b/>
          <w:u w:val="single"/>
        </w:rPr>
        <w:t>POSITIONS</w:t>
      </w:r>
    </w:p>
    <w:p w:rsidR="0052086C" w:rsidRDefault="0052086C" w:rsidP="0052086C">
      <w:pPr>
        <w:jc w:val="both"/>
      </w:pPr>
    </w:p>
    <w:p w:rsidR="00373F17" w:rsidRDefault="00373F17" w:rsidP="00373F17">
      <w:pPr>
        <w:tabs>
          <w:tab w:val="left" w:pos="-1440"/>
        </w:tabs>
        <w:jc w:val="center"/>
        <w:rPr>
          <w:b/>
          <w:u w:val="single"/>
        </w:rPr>
      </w:pPr>
      <w:r w:rsidRPr="00832CD5">
        <w:rPr>
          <w:b/>
          <w:u w:val="single"/>
        </w:rPr>
        <w:t>Policy Issues</w:t>
      </w:r>
    </w:p>
    <w:p w:rsidR="0052086C" w:rsidRPr="004C228B" w:rsidRDefault="0052086C" w:rsidP="00E950C7">
      <w:pPr>
        <w:ind w:left="1440" w:hanging="1440"/>
        <w:jc w:val="both"/>
        <w:rPr>
          <w:bCs/>
        </w:rPr>
      </w:pPr>
      <w:r w:rsidRPr="00701945">
        <w:rPr>
          <w:b/>
          <w:bCs/>
          <w:u w:val="single"/>
        </w:rPr>
        <w:t>ISSUE 1</w:t>
      </w:r>
      <w:r w:rsidRPr="00701945">
        <w:rPr>
          <w:b/>
          <w:bCs/>
        </w:rPr>
        <w:t>:</w:t>
      </w:r>
      <w:r w:rsidRPr="00701945">
        <w:tab/>
      </w:r>
      <w:r w:rsidR="00E950C7">
        <w:rPr>
          <w:b/>
        </w:rPr>
        <w:t>DROPPED.</w:t>
      </w:r>
    </w:p>
    <w:p w:rsidR="00F73A23" w:rsidRDefault="00F73A23" w:rsidP="00373F17">
      <w:pPr>
        <w:jc w:val="both"/>
        <w:rPr>
          <w:b/>
          <w:bCs/>
          <w:u w:val="single"/>
        </w:rPr>
      </w:pPr>
    </w:p>
    <w:p w:rsidR="00CA7D65" w:rsidRDefault="00CA7D65" w:rsidP="00373F17">
      <w:pPr>
        <w:jc w:val="both"/>
        <w:rPr>
          <w:b/>
          <w:bCs/>
          <w:u w:val="single"/>
        </w:rPr>
      </w:pPr>
    </w:p>
    <w:p w:rsidR="00373F17" w:rsidRDefault="00373F17" w:rsidP="00373F17">
      <w:pPr>
        <w:jc w:val="both"/>
      </w:pPr>
      <w:r>
        <w:rPr>
          <w:b/>
          <w:bCs/>
          <w:u w:val="single"/>
        </w:rPr>
        <w:t>ISSUE 2</w:t>
      </w:r>
      <w:r>
        <w:rPr>
          <w:b/>
          <w:bCs/>
        </w:rPr>
        <w:t>:</w:t>
      </w:r>
      <w:r>
        <w:tab/>
      </w:r>
      <w:r w:rsidRPr="00373F17">
        <w:rPr>
          <w:b/>
        </w:rPr>
        <w:t>DROPPED.</w:t>
      </w:r>
    </w:p>
    <w:p w:rsidR="00373F17" w:rsidRDefault="00373F17" w:rsidP="00373F17">
      <w:pPr>
        <w:jc w:val="both"/>
      </w:pPr>
    </w:p>
    <w:p w:rsidR="00373F17" w:rsidRPr="00832CD5" w:rsidRDefault="00373F17" w:rsidP="00373F17">
      <w:pPr>
        <w:spacing w:after="240"/>
        <w:jc w:val="center"/>
        <w:rPr>
          <w:b/>
          <w:u w:val="single"/>
        </w:rPr>
      </w:pPr>
      <w:r w:rsidRPr="00832CD5">
        <w:rPr>
          <w:b/>
          <w:u w:val="single"/>
        </w:rPr>
        <w:t>Quality of Service</w:t>
      </w:r>
    </w:p>
    <w:p w:rsidR="00373F17" w:rsidRDefault="00373F17" w:rsidP="00373F17">
      <w:pPr>
        <w:ind w:left="1440" w:hanging="1440"/>
        <w:jc w:val="both"/>
      </w:pPr>
      <w:r>
        <w:rPr>
          <w:b/>
          <w:bCs/>
          <w:u w:val="single"/>
        </w:rPr>
        <w:t>ISSUE 3</w:t>
      </w:r>
      <w:r>
        <w:rPr>
          <w:b/>
          <w:bCs/>
        </w:rPr>
        <w:t>:</w:t>
      </w:r>
      <w:r>
        <w:tab/>
      </w:r>
      <w:r w:rsidRPr="009176FC">
        <w:rPr>
          <w:b/>
        </w:rPr>
        <w:t>Is the overall quality of service provided by the Utility satisfactory, and, if not, what systems have quality of service issues and what action should be taken by the Commission?</w:t>
      </w:r>
    </w:p>
    <w:p w:rsidR="00373F17" w:rsidRDefault="00373F17" w:rsidP="00373F17">
      <w:pPr>
        <w:jc w:val="both"/>
      </w:pPr>
    </w:p>
    <w:p w:rsidR="00373F17" w:rsidRDefault="002A39DC" w:rsidP="00373F17">
      <w:pPr>
        <w:jc w:val="both"/>
      </w:pPr>
      <w:r w:rsidRPr="002A39DC">
        <w:rPr>
          <w:b/>
          <w:bCs/>
        </w:rPr>
        <w:t>POSITIONS</w:t>
      </w:r>
    </w:p>
    <w:p w:rsidR="00373F17" w:rsidRDefault="00373F17" w:rsidP="00373F17">
      <w:pPr>
        <w:jc w:val="both"/>
      </w:pPr>
    </w:p>
    <w:p w:rsidR="00373F17" w:rsidRDefault="00373F17" w:rsidP="00373F17">
      <w:pPr>
        <w:ind w:left="1440" w:hanging="1440"/>
        <w:jc w:val="both"/>
      </w:pPr>
      <w:r w:rsidRPr="008613C3">
        <w:rPr>
          <w:b/>
          <w:bCs/>
        </w:rPr>
        <w:t>UIF</w:t>
      </w:r>
      <w:r>
        <w:rPr>
          <w:b/>
          <w:bCs/>
        </w:rPr>
        <w:t>:</w:t>
      </w:r>
      <w:r>
        <w:tab/>
      </w:r>
      <w:r w:rsidR="00AE01E6">
        <w:t>The quality of service is satisfactory for all systems. (Hoy, Flynn and Deason)</w:t>
      </w:r>
    </w:p>
    <w:p w:rsidR="00373F17" w:rsidRDefault="00373F17" w:rsidP="00373F17">
      <w:pPr>
        <w:ind w:left="720" w:hanging="720"/>
        <w:jc w:val="both"/>
      </w:pPr>
    </w:p>
    <w:p w:rsidR="00666445" w:rsidRDefault="00373F17" w:rsidP="00666445">
      <w:pPr>
        <w:ind w:left="1440" w:hanging="1440"/>
        <w:jc w:val="both"/>
      </w:pPr>
      <w:r w:rsidRPr="008613C3">
        <w:rPr>
          <w:b/>
          <w:bCs/>
        </w:rPr>
        <w:lastRenderedPageBreak/>
        <w:t>OPC</w:t>
      </w:r>
      <w:r>
        <w:rPr>
          <w:b/>
          <w:bCs/>
        </w:rPr>
        <w:t>:</w:t>
      </w:r>
      <w:r>
        <w:tab/>
      </w:r>
      <w:r w:rsidR="00666445" w:rsidRPr="00666445">
        <w:t>Of UIF’s 12 systems, the Commission should find marginal or unsatisfactory quality of service for the following 8 systems:  Cypress Lakes (DEP Deficiencies, &gt;1% average customer complaints, past history of customer complaints), Labrador (prior Commission orders, &gt;1% average customer complaints), LUSI (Consent Order), Mid-County (prior Commission Orders, customer complaints at DEP), Pennbrooke (Current and past history of customer complaints), Sandalhaven (Consent Order), Sanlando (Consent Order, customer complaints at service hearing), UIF-Pasco/Summertree (prior Commission Orders, &gt;1% average customer complaints), and UIF-Seminole ( &gt;1% average customer complaints).  The Commission should reduce the ROE for unsatisfactory systems by 25 basis points up to 50 basis points (systems with history of issues).  (Vandiver)</w:t>
      </w:r>
    </w:p>
    <w:p w:rsidR="00666445" w:rsidRPr="00666445" w:rsidRDefault="00666445" w:rsidP="00666445">
      <w:pPr>
        <w:ind w:left="1440" w:hanging="1440"/>
        <w:jc w:val="both"/>
      </w:pPr>
    </w:p>
    <w:p w:rsidR="00666445" w:rsidRDefault="00666445" w:rsidP="00666445">
      <w:pPr>
        <w:ind w:left="1440" w:hanging="1440"/>
        <w:jc w:val="both"/>
      </w:pPr>
      <w:r w:rsidRPr="00666445">
        <w:tab/>
        <w:t>In response to recent discovery, UIF has revealed it lacked any systematic preventative or prescriptive maintenance system for maintaining its numerous water and wastewater systems.  According to UIF, it completed necessary maintenance tasks “in a sporadic way across various water and wastewater systems.” See UIF response to OPC 13</w:t>
      </w:r>
      <w:r w:rsidRPr="00666445">
        <w:rPr>
          <w:vertAlign w:val="superscript"/>
        </w:rPr>
        <w:t>th</w:t>
      </w:r>
      <w:r w:rsidRPr="00666445">
        <w:t xml:space="preserve"> Interrogatories No. 299(a) and (b).  While UIF is </w:t>
      </w:r>
      <w:r w:rsidRPr="00666445">
        <w:rPr>
          <w:i/>
          <w:u w:val="single"/>
        </w:rPr>
        <w:t>currently</w:t>
      </w:r>
      <w:r w:rsidRPr="00666445">
        <w:t xml:space="preserve"> attempting to implement UI’s new Operations Management System (OMS) and Computerized Maintenance Management System (CMMS) combined with the GIS project to enable UIF to properly maintain its systems (Flynn Rebuttal at 3), the evidence clearly demonstrates that UIF has </w:t>
      </w:r>
      <w:r w:rsidRPr="00666445">
        <w:rPr>
          <w:i/>
          <w:u w:val="single"/>
        </w:rPr>
        <w:t>not</w:t>
      </w:r>
      <w:r w:rsidRPr="00666445">
        <w:t xml:space="preserve"> been providing the level of maintenance expected of the largest privately owned water and wastewater provider in the State.  Because UIF imprudently lacked any comprehensive maintenance plan(s) during and prior to the test year, UIF’s systems and customers have suffered as a result.  It is axiomatic that reactive maintenance activities are more costly than planned maintenance activities.  Since a quality of service determination is largely based upon the past actions or inactions of a utility during the test year, and not mere promises of better future behavior, and because of UIF’s failure to implement similar type systems in the past, the Commission should find UIF’s maintenance practices to be unsatisfactory and reduce ROE by a minimum of 100 basis points.   </w:t>
      </w:r>
    </w:p>
    <w:p w:rsidR="00666445" w:rsidRPr="00666445" w:rsidRDefault="00666445" w:rsidP="00666445">
      <w:pPr>
        <w:ind w:left="1440" w:hanging="1440"/>
        <w:jc w:val="both"/>
      </w:pPr>
    </w:p>
    <w:p w:rsidR="00A30B1C" w:rsidRPr="00987836" w:rsidRDefault="00A30B1C" w:rsidP="00373F17">
      <w:pPr>
        <w:spacing w:after="240"/>
        <w:ind w:left="1440" w:hanging="1440"/>
        <w:jc w:val="both"/>
        <w:rPr>
          <w:bCs/>
        </w:rPr>
      </w:pPr>
      <w:r>
        <w:rPr>
          <w:b/>
          <w:bCs/>
        </w:rPr>
        <w:t>Summertree:</w:t>
      </w:r>
      <w:r>
        <w:rPr>
          <w:b/>
          <w:bCs/>
        </w:rPr>
        <w:tab/>
      </w:r>
      <w:r w:rsidR="00987836" w:rsidRPr="00987836">
        <w:rPr>
          <w:bCs/>
        </w:rPr>
        <w:t>See basic position. A minimum of 400 basis point reduction is required to reflect poor quality of service when combined with deficient management, accounting and other practices.</w:t>
      </w:r>
    </w:p>
    <w:p w:rsidR="00373F17" w:rsidRDefault="00373F17" w:rsidP="00373F17">
      <w:pPr>
        <w:spacing w:after="240"/>
        <w:ind w:left="1440" w:hanging="1440"/>
        <w:jc w:val="both"/>
        <w:rPr>
          <w:bCs/>
        </w:rPr>
      </w:pPr>
      <w:r w:rsidRPr="008613C3">
        <w:rPr>
          <w:b/>
          <w:bCs/>
        </w:rPr>
        <w:t>Staff</w:t>
      </w:r>
      <w:r>
        <w:rPr>
          <w:b/>
          <w:bCs/>
        </w:rPr>
        <w:t>:</w:t>
      </w:r>
      <w:r>
        <w:rPr>
          <w:b/>
          <w:bCs/>
        </w:rPr>
        <w:tab/>
      </w:r>
      <w:r>
        <w:t>Staff takes no position pending evidence adduced at hearing.</w:t>
      </w:r>
    </w:p>
    <w:p w:rsidR="00E16FCB" w:rsidRDefault="00E16FCB">
      <w:pPr>
        <w:rPr>
          <w:b/>
          <w:u w:val="single"/>
        </w:rPr>
      </w:pPr>
      <w:r>
        <w:rPr>
          <w:b/>
          <w:u w:val="single"/>
        </w:rPr>
        <w:br w:type="page"/>
      </w:r>
    </w:p>
    <w:p w:rsidR="00373F17" w:rsidRPr="00832CD5" w:rsidRDefault="00373F17" w:rsidP="00373F17">
      <w:pPr>
        <w:spacing w:after="240"/>
        <w:jc w:val="center"/>
        <w:rPr>
          <w:b/>
          <w:u w:val="single"/>
        </w:rPr>
      </w:pPr>
      <w:r w:rsidRPr="00832CD5">
        <w:rPr>
          <w:b/>
          <w:u w:val="single"/>
        </w:rPr>
        <w:lastRenderedPageBreak/>
        <w:t>Allocation Threshold Issue</w:t>
      </w:r>
    </w:p>
    <w:p w:rsidR="00373F17" w:rsidRPr="00373F17" w:rsidRDefault="00373F17" w:rsidP="00373F17">
      <w:pPr>
        <w:ind w:left="1440" w:hanging="1440"/>
        <w:jc w:val="both"/>
        <w:rPr>
          <w:b/>
        </w:rPr>
      </w:pPr>
      <w:r>
        <w:rPr>
          <w:b/>
          <w:bCs/>
          <w:u w:val="single"/>
        </w:rPr>
        <w:t>ISSUE 4</w:t>
      </w:r>
      <w:r>
        <w:rPr>
          <w:b/>
          <w:bCs/>
        </w:rPr>
        <w:t>:</w:t>
      </w:r>
      <w:r>
        <w:tab/>
      </w:r>
      <w:r w:rsidRPr="009176FC">
        <w:rPr>
          <w:b/>
        </w:rPr>
        <w:t>What is the total ERCs applicable to Florida, by county, and by system as of December 31, 2015, for allocation purposes?</w:t>
      </w:r>
    </w:p>
    <w:p w:rsidR="00373F17" w:rsidRDefault="00373F17" w:rsidP="00373F17">
      <w:pPr>
        <w:ind w:left="1440" w:hanging="1440"/>
        <w:jc w:val="both"/>
      </w:pPr>
    </w:p>
    <w:p w:rsidR="00373F17" w:rsidRPr="008613C3" w:rsidRDefault="00373F17" w:rsidP="00373F17">
      <w:pPr>
        <w:ind w:left="1440" w:hanging="1440"/>
        <w:jc w:val="both"/>
      </w:pPr>
      <w:r w:rsidRPr="008613C3">
        <w:rPr>
          <w:b/>
          <w:bCs/>
        </w:rPr>
        <w:t>POSITIONS</w:t>
      </w:r>
    </w:p>
    <w:p w:rsidR="00373F17" w:rsidRDefault="00373F17" w:rsidP="00373F17">
      <w:pPr>
        <w:ind w:left="1440" w:hanging="1440"/>
        <w:jc w:val="both"/>
      </w:pPr>
    </w:p>
    <w:p w:rsidR="00AE01E6" w:rsidRDefault="00373F17" w:rsidP="00373F17">
      <w:pPr>
        <w:ind w:left="1440" w:hanging="1440"/>
        <w:jc w:val="both"/>
      </w:pPr>
      <w:r w:rsidRPr="008613C3">
        <w:rPr>
          <w:b/>
          <w:bCs/>
        </w:rPr>
        <w:t>UIF</w:t>
      </w:r>
      <w:r>
        <w:rPr>
          <w:b/>
          <w:bCs/>
        </w:rPr>
        <w:t>:</w:t>
      </w:r>
      <w:r>
        <w:tab/>
      </w:r>
    </w:p>
    <w:tbl>
      <w:tblPr>
        <w:tblW w:w="8835" w:type="dxa"/>
        <w:jc w:val="center"/>
        <w:tblLook w:val="04A0" w:firstRow="1" w:lastRow="0" w:firstColumn="1" w:lastColumn="0" w:noHBand="0" w:noVBand="1"/>
      </w:tblPr>
      <w:tblGrid>
        <w:gridCol w:w="2640"/>
        <w:gridCol w:w="1875"/>
        <w:gridCol w:w="1980"/>
        <w:gridCol w:w="2340"/>
      </w:tblGrid>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ALLOCATION</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Water</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Sewer</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Total</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Tierra Verde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2,095.2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2,095.2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Lake Placid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141.1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143.1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284.2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Longwood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1,695.5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1,695.5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Cypress Lakes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1,266.3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1,204.5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2,470.8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Eagle Ridge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2,527.6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2,527.6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Mid-County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5,622.2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5,622.2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LUSI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11,739.9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3,630.8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15,370.7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UIF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6,870.4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2,796.1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9,666.5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Sanlando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13,853.9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11,145.7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24,999.6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Sandalhaven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1,229.0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1,229.0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Labrador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762.7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756.7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1,519.4 </w:t>
            </w:r>
          </w:p>
        </w:tc>
      </w:tr>
      <w:tr w:rsidR="00AE01E6" w:rsidRPr="002F44B2" w:rsidTr="00934A93">
        <w:trPr>
          <w:trHeight w:val="240"/>
          <w:jc w:val="center"/>
        </w:trPr>
        <w:tc>
          <w:tcPr>
            <w:tcW w:w="2640" w:type="dxa"/>
            <w:tcBorders>
              <w:top w:val="nil"/>
              <w:left w:val="nil"/>
              <w:bottom w:val="nil"/>
              <w:right w:val="nil"/>
            </w:tcBorders>
            <w:shd w:val="clear" w:color="auto" w:fill="auto"/>
            <w:noWrap/>
            <w:vAlign w:val="bottom"/>
            <w:hideMark/>
          </w:tcPr>
          <w:p w:rsidR="00AE01E6" w:rsidRPr="002F44B2" w:rsidRDefault="00AE01E6" w:rsidP="00F0011E">
            <w:pPr>
              <w:rPr>
                <w:rFonts w:ascii="Calibri" w:hAnsi="Calibri"/>
                <w:color w:val="000000"/>
                <w:sz w:val="18"/>
                <w:szCs w:val="18"/>
              </w:rPr>
            </w:pPr>
            <w:r w:rsidRPr="002F44B2">
              <w:rPr>
                <w:rFonts w:ascii="Calibri" w:hAnsi="Calibri"/>
                <w:color w:val="000000"/>
                <w:sz w:val="18"/>
                <w:szCs w:val="18"/>
              </w:rPr>
              <w:t xml:space="preserve"> Pennbrooke </w:t>
            </w:r>
          </w:p>
        </w:tc>
        <w:tc>
          <w:tcPr>
            <w:tcW w:w="1875"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1,488.0 </w:t>
            </w:r>
          </w:p>
        </w:tc>
        <w:tc>
          <w:tcPr>
            <w:tcW w:w="198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1,240.0 </w:t>
            </w:r>
          </w:p>
        </w:tc>
        <w:tc>
          <w:tcPr>
            <w:tcW w:w="2340" w:type="dxa"/>
            <w:tcBorders>
              <w:top w:val="nil"/>
              <w:left w:val="nil"/>
              <w:bottom w:val="nil"/>
              <w:right w:val="nil"/>
            </w:tcBorders>
            <w:shd w:val="clear" w:color="auto" w:fill="auto"/>
            <w:noWrap/>
            <w:vAlign w:val="bottom"/>
            <w:hideMark/>
          </w:tcPr>
          <w:p w:rsidR="00AE01E6" w:rsidRPr="002F44B2" w:rsidRDefault="00AE01E6" w:rsidP="00F0011E">
            <w:pPr>
              <w:jc w:val="right"/>
              <w:rPr>
                <w:rFonts w:ascii="Calibri" w:hAnsi="Calibri"/>
                <w:color w:val="000000"/>
                <w:sz w:val="18"/>
                <w:szCs w:val="18"/>
              </w:rPr>
            </w:pPr>
            <w:r w:rsidRPr="002F44B2">
              <w:rPr>
                <w:rFonts w:ascii="Calibri" w:hAnsi="Calibri"/>
                <w:color w:val="000000"/>
                <w:sz w:val="18"/>
                <w:szCs w:val="18"/>
              </w:rPr>
              <w:t xml:space="preserve">               2,728.0 </w:t>
            </w:r>
          </w:p>
        </w:tc>
      </w:tr>
      <w:tr w:rsidR="00AE01E6" w:rsidRPr="002F44B2" w:rsidTr="00934A93">
        <w:trPr>
          <w:trHeight w:val="240"/>
          <w:jc w:val="center"/>
        </w:trPr>
        <w:tc>
          <w:tcPr>
            <w:tcW w:w="2640" w:type="dxa"/>
            <w:tcBorders>
              <w:top w:val="nil"/>
              <w:left w:val="nil"/>
              <w:bottom w:val="nil"/>
              <w:right w:val="nil"/>
            </w:tcBorders>
            <w:shd w:val="clear" w:color="000000" w:fill="DBE5F1"/>
            <w:noWrap/>
            <w:vAlign w:val="bottom"/>
            <w:hideMark/>
          </w:tcPr>
          <w:p w:rsidR="00AE01E6" w:rsidRPr="002F44B2" w:rsidRDefault="00AE01E6" w:rsidP="00F0011E">
            <w:pPr>
              <w:rPr>
                <w:rFonts w:ascii="Calibri" w:hAnsi="Calibri"/>
                <w:b/>
                <w:bCs/>
                <w:color w:val="000000"/>
                <w:sz w:val="18"/>
                <w:szCs w:val="18"/>
              </w:rPr>
            </w:pPr>
            <w:r w:rsidRPr="002F44B2">
              <w:rPr>
                <w:rFonts w:ascii="Calibri" w:hAnsi="Calibri"/>
                <w:b/>
                <w:bCs/>
                <w:color w:val="000000"/>
                <w:sz w:val="18"/>
                <w:szCs w:val="18"/>
              </w:rPr>
              <w:t> </w:t>
            </w:r>
          </w:p>
        </w:tc>
        <w:tc>
          <w:tcPr>
            <w:tcW w:w="1875" w:type="dxa"/>
            <w:tcBorders>
              <w:top w:val="nil"/>
              <w:left w:val="nil"/>
              <w:bottom w:val="nil"/>
              <w:right w:val="nil"/>
            </w:tcBorders>
            <w:shd w:val="clear" w:color="000000" w:fill="DBE5F1"/>
            <w:noWrap/>
            <w:vAlign w:val="bottom"/>
            <w:hideMark/>
          </w:tcPr>
          <w:p w:rsidR="00AE01E6" w:rsidRPr="002F44B2" w:rsidRDefault="00AE01E6" w:rsidP="00F0011E">
            <w:pPr>
              <w:jc w:val="right"/>
              <w:rPr>
                <w:rFonts w:ascii="Calibri" w:hAnsi="Calibri"/>
                <w:b/>
                <w:bCs/>
                <w:color w:val="000000"/>
                <w:sz w:val="18"/>
                <w:szCs w:val="18"/>
              </w:rPr>
            </w:pPr>
            <w:r w:rsidRPr="002F44B2">
              <w:rPr>
                <w:rFonts w:ascii="Calibri" w:hAnsi="Calibri"/>
                <w:b/>
                <w:bCs/>
                <w:color w:val="000000"/>
                <w:sz w:val="18"/>
                <w:szCs w:val="18"/>
              </w:rPr>
              <w:t xml:space="preserve">                     36,122.3 </w:t>
            </w:r>
          </w:p>
        </w:tc>
        <w:tc>
          <w:tcPr>
            <w:tcW w:w="1980" w:type="dxa"/>
            <w:tcBorders>
              <w:top w:val="nil"/>
              <w:left w:val="nil"/>
              <w:bottom w:val="nil"/>
              <w:right w:val="nil"/>
            </w:tcBorders>
            <w:shd w:val="clear" w:color="000000" w:fill="DBE5F1"/>
            <w:noWrap/>
            <w:vAlign w:val="bottom"/>
            <w:hideMark/>
          </w:tcPr>
          <w:p w:rsidR="00AE01E6" w:rsidRPr="002F44B2" w:rsidRDefault="00AE01E6" w:rsidP="00F0011E">
            <w:pPr>
              <w:jc w:val="right"/>
              <w:rPr>
                <w:rFonts w:ascii="Calibri" w:hAnsi="Calibri"/>
                <w:b/>
                <w:bCs/>
                <w:color w:val="000000"/>
                <w:sz w:val="18"/>
                <w:szCs w:val="18"/>
              </w:rPr>
            </w:pPr>
            <w:r w:rsidRPr="002F44B2">
              <w:rPr>
                <w:rFonts w:ascii="Calibri" w:hAnsi="Calibri"/>
                <w:b/>
                <w:bCs/>
                <w:color w:val="000000"/>
                <w:sz w:val="18"/>
                <w:szCs w:val="18"/>
              </w:rPr>
              <w:t xml:space="preserve">             34,086.4 </w:t>
            </w:r>
          </w:p>
        </w:tc>
        <w:tc>
          <w:tcPr>
            <w:tcW w:w="2340" w:type="dxa"/>
            <w:tcBorders>
              <w:top w:val="nil"/>
              <w:left w:val="nil"/>
              <w:bottom w:val="nil"/>
              <w:right w:val="nil"/>
            </w:tcBorders>
            <w:shd w:val="clear" w:color="000000" w:fill="DBE5F1"/>
            <w:noWrap/>
            <w:vAlign w:val="bottom"/>
            <w:hideMark/>
          </w:tcPr>
          <w:p w:rsidR="00AE01E6" w:rsidRPr="002F44B2" w:rsidRDefault="00AE01E6" w:rsidP="00F0011E">
            <w:pPr>
              <w:jc w:val="right"/>
              <w:rPr>
                <w:rFonts w:ascii="Calibri" w:hAnsi="Calibri"/>
                <w:b/>
                <w:bCs/>
                <w:color w:val="000000"/>
                <w:sz w:val="18"/>
                <w:szCs w:val="18"/>
              </w:rPr>
            </w:pPr>
            <w:r w:rsidRPr="002F44B2">
              <w:rPr>
                <w:rFonts w:ascii="Calibri" w:hAnsi="Calibri"/>
                <w:b/>
                <w:bCs/>
                <w:color w:val="000000"/>
                <w:sz w:val="18"/>
                <w:szCs w:val="18"/>
              </w:rPr>
              <w:t xml:space="preserve">             70,208.7 </w:t>
            </w:r>
          </w:p>
        </w:tc>
      </w:tr>
    </w:tbl>
    <w:p w:rsidR="00373F17" w:rsidRDefault="009C68F4" w:rsidP="00373F17">
      <w:pPr>
        <w:ind w:left="1440" w:hanging="1440"/>
        <w:jc w:val="both"/>
      </w:pPr>
      <w:r>
        <w:tab/>
        <w:t>(Swain)</w:t>
      </w:r>
    </w:p>
    <w:p w:rsidR="009C68F4" w:rsidRDefault="009C68F4" w:rsidP="00373F17">
      <w:pPr>
        <w:ind w:left="1440" w:hanging="1440"/>
        <w:jc w:val="both"/>
      </w:pPr>
    </w:p>
    <w:p w:rsidR="00BC06E0" w:rsidRPr="00B463BF" w:rsidRDefault="00373F17" w:rsidP="00BC06E0">
      <w:pPr>
        <w:spacing w:line="276" w:lineRule="auto"/>
        <w:ind w:left="1440" w:hanging="1440"/>
        <w:jc w:val="both"/>
      </w:pPr>
      <w:r w:rsidRPr="008613C3">
        <w:rPr>
          <w:b/>
          <w:bCs/>
        </w:rPr>
        <w:t>OPC</w:t>
      </w:r>
      <w:r>
        <w:rPr>
          <w:b/>
          <w:bCs/>
        </w:rPr>
        <w:t>:</w:t>
      </w:r>
      <w:r>
        <w:tab/>
      </w:r>
      <w:r w:rsidR="00BC06E0" w:rsidRPr="00B463BF">
        <w:t xml:space="preserve">Pending further discovery and evidence adduced at the hearing, the following chart indicates the ERCs for each system at the end of the year. </w:t>
      </w:r>
    </w:p>
    <w:p w:rsidR="00BC06E0" w:rsidRPr="00B463BF" w:rsidRDefault="00BC06E0" w:rsidP="00BC06E0">
      <w:pPr>
        <w:spacing w:line="276" w:lineRule="auto"/>
        <w:jc w:val="both"/>
      </w:pPr>
    </w:p>
    <w:p w:rsidR="00BC06E0" w:rsidRPr="00B463BF" w:rsidRDefault="00BC06E0" w:rsidP="00BC06E0">
      <w:pPr>
        <w:spacing w:line="276" w:lineRule="auto"/>
        <w:jc w:val="center"/>
      </w:pPr>
      <w:r w:rsidRPr="00B463BF">
        <w:rPr>
          <w:noProof/>
        </w:rPr>
        <w:drawing>
          <wp:inline distT="0" distB="0" distL="0" distR="0" wp14:anchorId="3B1F40F3" wp14:editId="390B870A">
            <wp:extent cx="3588385" cy="34848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8385" cy="3484880"/>
                    </a:xfrm>
                    <a:prstGeom prst="rect">
                      <a:avLst/>
                    </a:prstGeom>
                    <a:noFill/>
                    <a:ln>
                      <a:noFill/>
                    </a:ln>
                  </pic:spPr>
                </pic:pic>
              </a:graphicData>
            </a:graphic>
          </wp:inline>
        </w:drawing>
      </w:r>
    </w:p>
    <w:p w:rsidR="00373F17" w:rsidRDefault="00373F17" w:rsidP="00373F17">
      <w:pPr>
        <w:ind w:left="1440" w:hanging="1440"/>
        <w:jc w:val="both"/>
      </w:pPr>
    </w:p>
    <w:p w:rsidR="00A30B1C" w:rsidRPr="00987836" w:rsidRDefault="00A30B1C" w:rsidP="00A30B1C">
      <w:pPr>
        <w:spacing w:after="240"/>
        <w:ind w:left="1440" w:hanging="1440"/>
        <w:jc w:val="both"/>
        <w:rPr>
          <w:bCs/>
        </w:rPr>
      </w:pPr>
      <w:r>
        <w:rPr>
          <w:b/>
          <w:bCs/>
        </w:rPr>
        <w:t>Summertree:</w:t>
      </w:r>
      <w:r>
        <w:rPr>
          <w:b/>
          <w:bCs/>
        </w:rPr>
        <w:tab/>
      </w:r>
      <w:r w:rsidR="00E161D7">
        <w:rPr>
          <w:bCs/>
        </w:rPr>
        <w:t>No position.</w:t>
      </w:r>
    </w:p>
    <w:p w:rsidR="00373F17" w:rsidRDefault="00373F17" w:rsidP="00373F17">
      <w:pPr>
        <w:spacing w:after="240"/>
        <w:ind w:left="1440" w:hanging="1440"/>
        <w:jc w:val="both"/>
      </w:pPr>
      <w:r w:rsidRPr="008613C3">
        <w:rPr>
          <w:b/>
          <w:bCs/>
        </w:rPr>
        <w:t>Staff</w:t>
      </w:r>
      <w:r>
        <w:rPr>
          <w:b/>
          <w:bCs/>
        </w:rPr>
        <w:t>:</w:t>
      </w:r>
      <w:r>
        <w:rPr>
          <w:b/>
          <w:bCs/>
        </w:rPr>
        <w:tab/>
      </w:r>
      <w:r>
        <w:t>Staff takes no position pending evidence adduced at hearing.</w:t>
      </w:r>
    </w:p>
    <w:p w:rsidR="006169E7" w:rsidRDefault="006169E7">
      <w:pPr>
        <w:rPr>
          <w:b/>
          <w:u w:val="single"/>
        </w:rPr>
      </w:pPr>
    </w:p>
    <w:p w:rsidR="000A65B8" w:rsidRPr="00832CD5" w:rsidRDefault="000A65B8" w:rsidP="000A65B8">
      <w:pPr>
        <w:spacing w:after="240"/>
        <w:jc w:val="center"/>
        <w:rPr>
          <w:b/>
          <w:u w:val="single"/>
        </w:rPr>
      </w:pPr>
      <w:r w:rsidRPr="00832CD5">
        <w:rPr>
          <w:b/>
          <w:u w:val="single"/>
        </w:rPr>
        <w:t>Rate Base</w:t>
      </w:r>
    </w:p>
    <w:p w:rsidR="00373F17" w:rsidRDefault="00373F17" w:rsidP="00373F17">
      <w:pPr>
        <w:ind w:left="1440" w:hanging="1440"/>
        <w:jc w:val="both"/>
      </w:pPr>
      <w:r>
        <w:rPr>
          <w:b/>
          <w:bCs/>
          <w:u w:val="single"/>
        </w:rPr>
        <w:t xml:space="preserve">ISSUE </w:t>
      </w:r>
      <w:r w:rsidR="000A65B8">
        <w:rPr>
          <w:b/>
          <w:bCs/>
          <w:u w:val="single"/>
        </w:rPr>
        <w:t>5</w:t>
      </w:r>
      <w:r>
        <w:rPr>
          <w:b/>
          <w:bCs/>
        </w:rPr>
        <w:t>:</w:t>
      </w:r>
      <w:r>
        <w:tab/>
      </w:r>
      <w:r w:rsidR="000A65B8" w:rsidRPr="009176FC">
        <w:rPr>
          <w:b/>
        </w:rPr>
        <w:t>What adjustments, if any, should be made to account for the audit adjustments related to rate base?</w:t>
      </w:r>
    </w:p>
    <w:p w:rsidR="00373F17" w:rsidRDefault="00373F17" w:rsidP="00373F17">
      <w:pPr>
        <w:ind w:left="1440" w:hanging="1440"/>
        <w:jc w:val="both"/>
      </w:pPr>
    </w:p>
    <w:p w:rsidR="00373F17" w:rsidRPr="008613C3" w:rsidRDefault="00373F17" w:rsidP="00373F17">
      <w:pPr>
        <w:ind w:left="1440" w:hanging="1440"/>
        <w:jc w:val="both"/>
      </w:pPr>
      <w:r w:rsidRPr="008613C3">
        <w:rPr>
          <w:b/>
          <w:bCs/>
        </w:rPr>
        <w:t>POSITIONS</w:t>
      </w:r>
    </w:p>
    <w:p w:rsidR="00373F17" w:rsidRDefault="00373F17" w:rsidP="00373F17">
      <w:pPr>
        <w:ind w:left="1440" w:hanging="1440"/>
        <w:jc w:val="both"/>
      </w:pPr>
    </w:p>
    <w:p w:rsidR="000F4DD9" w:rsidRDefault="00373F17" w:rsidP="000F4DD9">
      <w:pPr>
        <w:ind w:left="1440" w:hanging="1440"/>
        <w:jc w:val="both"/>
      </w:pPr>
      <w:r w:rsidRPr="008613C3">
        <w:rPr>
          <w:b/>
          <w:bCs/>
        </w:rPr>
        <w:t>UIF</w:t>
      </w:r>
      <w:r>
        <w:rPr>
          <w:b/>
          <w:bCs/>
        </w:rPr>
        <w:t>:</w:t>
      </w:r>
      <w:r>
        <w:tab/>
      </w:r>
      <w:r w:rsidR="000F4DD9" w:rsidRPr="003D4DF6">
        <w:t>Adjustments should be</w:t>
      </w:r>
      <w:r w:rsidR="000F4DD9">
        <w:t xml:space="preserve"> made for Audit Findings 1, 2, </w:t>
      </w:r>
      <w:r w:rsidR="000F4DD9" w:rsidRPr="003D4DF6">
        <w:t>4, 5, 9, 10</w:t>
      </w:r>
      <w:r w:rsidR="000F4DD9">
        <w:t>, however AF#1 needs to be corrected as follows:</w:t>
      </w:r>
    </w:p>
    <w:p w:rsidR="000F4DD9" w:rsidRPr="000F4DD9" w:rsidRDefault="000F4DD9" w:rsidP="000F4DD9">
      <w:pPr>
        <w:ind w:left="1440" w:hanging="1440"/>
        <w:jc w:val="both"/>
      </w:pPr>
      <w:r w:rsidRPr="000F4DD9">
        <w:rPr>
          <w:bCs/>
        </w:rPr>
        <w:tab/>
      </w:r>
    </w:p>
    <w:tbl>
      <w:tblPr>
        <w:tblW w:w="4896" w:type="dxa"/>
        <w:jc w:val="center"/>
        <w:tblCellMar>
          <w:left w:w="0" w:type="dxa"/>
          <w:right w:w="0" w:type="dxa"/>
        </w:tblCellMar>
        <w:tblLook w:val="04A0" w:firstRow="1" w:lastRow="0" w:firstColumn="1" w:lastColumn="0" w:noHBand="0" w:noVBand="1"/>
      </w:tblPr>
      <w:tblGrid>
        <w:gridCol w:w="4886"/>
        <w:gridCol w:w="222"/>
      </w:tblGrid>
      <w:tr w:rsidR="000F4DD9" w:rsidRPr="000F4DD9" w:rsidTr="000F4DD9">
        <w:trPr>
          <w:trHeight w:val="300"/>
          <w:jc w:val="center"/>
        </w:trPr>
        <w:tc>
          <w:tcPr>
            <w:tcW w:w="4896" w:type="dxa"/>
            <w:gridSpan w:val="2"/>
            <w:noWrap/>
            <w:tcMar>
              <w:top w:w="0" w:type="dxa"/>
              <w:left w:w="108" w:type="dxa"/>
              <w:bottom w:w="0" w:type="dxa"/>
              <w:right w:w="108" w:type="dxa"/>
            </w:tcMar>
            <w:vAlign w:val="bottom"/>
            <w:hideMark/>
          </w:tcPr>
          <w:p w:rsidR="000F4DD9" w:rsidRPr="000F4DD9" w:rsidRDefault="000F4DD9" w:rsidP="00D670A3">
            <w:pPr>
              <w:rPr>
                <w:rFonts w:ascii="Calibri" w:eastAsia="Calibri" w:hAnsi="Calibri"/>
                <w:sz w:val="22"/>
                <w:szCs w:val="22"/>
              </w:rPr>
            </w:pPr>
            <w:r w:rsidRPr="000F4DD9">
              <w:rPr>
                <w:rFonts w:ascii="Calibri" w:eastAsia="Calibri" w:hAnsi="Calibri"/>
                <w:sz w:val="22"/>
                <w:szCs w:val="22"/>
              </w:rPr>
              <w:t>Struct Imp Wtr Treat                                       37,500</w:t>
            </w:r>
          </w:p>
        </w:tc>
      </w:tr>
      <w:tr w:rsidR="000F4DD9" w:rsidRPr="000F4DD9" w:rsidTr="000F4DD9">
        <w:trPr>
          <w:trHeight w:val="300"/>
          <w:jc w:val="center"/>
        </w:trPr>
        <w:tc>
          <w:tcPr>
            <w:tcW w:w="4886" w:type="dxa"/>
            <w:noWrap/>
            <w:tcMar>
              <w:top w:w="0" w:type="dxa"/>
              <w:left w:w="108" w:type="dxa"/>
              <w:bottom w:w="0" w:type="dxa"/>
              <w:right w:w="108" w:type="dxa"/>
            </w:tcMar>
            <w:vAlign w:val="bottom"/>
            <w:hideMark/>
          </w:tcPr>
          <w:p w:rsidR="000F4DD9" w:rsidRPr="000F4DD9" w:rsidRDefault="000F4DD9" w:rsidP="00D670A3">
            <w:pPr>
              <w:rPr>
                <w:rFonts w:ascii="Calibri" w:eastAsia="Calibri" w:hAnsi="Calibri"/>
                <w:sz w:val="22"/>
                <w:szCs w:val="22"/>
              </w:rPr>
            </w:pPr>
            <w:r w:rsidRPr="000F4DD9">
              <w:rPr>
                <w:rFonts w:ascii="Calibri" w:eastAsia="Calibri" w:hAnsi="Calibri"/>
                <w:sz w:val="22"/>
                <w:szCs w:val="22"/>
              </w:rPr>
              <w:t>A/D Strct Imp Wtr            39,791</w:t>
            </w:r>
          </w:p>
        </w:tc>
        <w:tc>
          <w:tcPr>
            <w:tcW w:w="10" w:type="dxa"/>
            <w:noWrap/>
            <w:tcMar>
              <w:top w:w="0" w:type="dxa"/>
              <w:left w:w="108" w:type="dxa"/>
              <w:bottom w:w="0" w:type="dxa"/>
              <w:right w:w="108" w:type="dxa"/>
            </w:tcMar>
            <w:vAlign w:val="bottom"/>
            <w:hideMark/>
          </w:tcPr>
          <w:p w:rsidR="000F4DD9" w:rsidRPr="000F4DD9" w:rsidRDefault="000F4DD9" w:rsidP="00D670A3">
            <w:pPr>
              <w:rPr>
                <w:rFonts w:ascii="Calibri" w:eastAsia="Calibri" w:hAnsi="Calibri"/>
                <w:sz w:val="22"/>
                <w:szCs w:val="22"/>
              </w:rPr>
            </w:pPr>
          </w:p>
        </w:tc>
      </w:tr>
      <w:tr w:rsidR="000F4DD9" w:rsidRPr="000F4DD9" w:rsidTr="000F4DD9">
        <w:trPr>
          <w:trHeight w:val="300"/>
          <w:jc w:val="center"/>
        </w:trPr>
        <w:tc>
          <w:tcPr>
            <w:tcW w:w="4886" w:type="dxa"/>
            <w:noWrap/>
            <w:tcMar>
              <w:top w:w="0" w:type="dxa"/>
              <w:left w:w="108" w:type="dxa"/>
              <w:bottom w:w="0" w:type="dxa"/>
              <w:right w:w="108" w:type="dxa"/>
            </w:tcMar>
            <w:vAlign w:val="bottom"/>
            <w:hideMark/>
          </w:tcPr>
          <w:p w:rsidR="000F4DD9" w:rsidRPr="000F4DD9" w:rsidRDefault="000F4DD9" w:rsidP="00D670A3">
            <w:pPr>
              <w:rPr>
                <w:rFonts w:ascii="Calibri" w:eastAsia="Calibri" w:hAnsi="Calibri"/>
                <w:sz w:val="22"/>
                <w:szCs w:val="22"/>
              </w:rPr>
            </w:pPr>
            <w:r w:rsidRPr="000F4DD9">
              <w:rPr>
                <w:rFonts w:ascii="Calibri" w:eastAsia="Calibri" w:hAnsi="Calibri"/>
                <w:sz w:val="22"/>
                <w:szCs w:val="22"/>
              </w:rPr>
              <w:t>A/D Struct/Imprv C               797</w:t>
            </w:r>
          </w:p>
        </w:tc>
        <w:tc>
          <w:tcPr>
            <w:tcW w:w="10" w:type="dxa"/>
            <w:noWrap/>
            <w:tcMar>
              <w:top w:w="0" w:type="dxa"/>
              <w:left w:w="108" w:type="dxa"/>
              <w:bottom w:w="0" w:type="dxa"/>
              <w:right w:w="108" w:type="dxa"/>
            </w:tcMar>
            <w:vAlign w:val="bottom"/>
            <w:hideMark/>
          </w:tcPr>
          <w:p w:rsidR="000F4DD9" w:rsidRPr="000F4DD9" w:rsidRDefault="000F4DD9" w:rsidP="00D670A3">
            <w:pPr>
              <w:rPr>
                <w:rFonts w:ascii="Calibri" w:eastAsia="Calibri" w:hAnsi="Calibri"/>
                <w:sz w:val="22"/>
                <w:szCs w:val="22"/>
              </w:rPr>
            </w:pPr>
          </w:p>
        </w:tc>
      </w:tr>
    </w:tbl>
    <w:p w:rsidR="000F4DD9" w:rsidRDefault="000F4DD9" w:rsidP="000F4DD9">
      <w:pPr>
        <w:ind w:left="1440" w:hanging="1440"/>
        <w:jc w:val="both"/>
      </w:pPr>
      <w:r>
        <w:t xml:space="preserve"> </w:t>
      </w:r>
      <w:r>
        <w:tab/>
      </w:r>
      <w:r>
        <w:tab/>
        <w:t>(Deason)</w:t>
      </w:r>
    </w:p>
    <w:p w:rsidR="00373F17" w:rsidRDefault="00373F17" w:rsidP="00373F17">
      <w:pPr>
        <w:ind w:left="1440" w:hanging="1440"/>
        <w:jc w:val="both"/>
      </w:pPr>
    </w:p>
    <w:p w:rsidR="00373F17" w:rsidRDefault="00373F17" w:rsidP="00373F17">
      <w:pPr>
        <w:ind w:left="1440" w:hanging="1440"/>
        <w:jc w:val="both"/>
      </w:pPr>
    </w:p>
    <w:p w:rsidR="00934A93" w:rsidRDefault="00373F17" w:rsidP="00934A93">
      <w:pPr>
        <w:ind w:left="1440" w:hanging="1440"/>
        <w:jc w:val="both"/>
      </w:pPr>
      <w:r w:rsidRPr="008613C3">
        <w:rPr>
          <w:b/>
          <w:bCs/>
        </w:rPr>
        <w:t>OPC</w:t>
      </w:r>
      <w:r>
        <w:rPr>
          <w:b/>
          <w:bCs/>
        </w:rPr>
        <w:t>:</w:t>
      </w:r>
      <w:r>
        <w:tab/>
      </w:r>
      <w:r w:rsidR="00666445" w:rsidRPr="00666445">
        <w:t xml:space="preserve">OPC can stipulate to Audit Finding 1 and 2 below.  OPC’s position on Audit Finding 3 is preliminary, pending further discovery and evidence adduced at the hearing, the following charts indicate the audit adjustments that should be made to rate base.  </w:t>
      </w:r>
      <w:r w:rsidR="00934A93" w:rsidRPr="00934A93">
        <w:t xml:space="preserve">  </w:t>
      </w:r>
    </w:p>
    <w:p w:rsidR="00934A93" w:rsidRPr="00934A93" w:rsidRDefault="00934A93" w:rsidP="00934A93">
      <w:pPr>
        <w:ind w:left="1440" w:hanging="1440"/>
        <w:jc w:val="both"/>
        <w:rPr>
          <w:b/>
          <w:u w:val="single"/>
        </w:rPr>
      </w:pPr>
    </w:p>
    <w:tbl>
      <w:tblPr>
        <w:tblW w:w="4820" w:type="dxa"/>
        <w:jc w:val="center"/>
        <w:tblLook w:val="04A0" w:firstRow="1" w:lastRow="0" w:firstColumn="1" w:lastColumn="0" w:noHBand="0" w:noVBand="1"/>
      </w:tblPr>
      <w:tblGrid>
        <w:gridCol w:w="1462"/>
        <w:gridCol w:w="1632"/>
        <w:gridCol w:w="1726"/>
      </w:tblGrid>
      <w:tr w:rsidR="00934A93" w:rsidRPr="00934A93" w:rsidTr="00F1515C">
        <w:trPr>
          <w:trHeight w:val="288"/>
          <w:jc w:val="center"/>
        </w:trPr>
        <w:tc>
          <w:tcPr>
            <w:tcW w:w="4820" w:type="dxa"/>
            <w:gridSpan w:val="3"/>
            <w:tcBorders>
              <w:top w:val="nil"/>
              <w:left w:val="nil"/>
              <w:bottom w:val="single" w:sz="4" w:space="0" w:color="auto"/>
              <w:right w:val="nil"/>
            </w:tcBorders>
            <w:shd w:val="clear" w:color="auto" w:fill="auto"/>
            <w:noWrap/>
            <w:vAlign w:val="center"/>
            <w:hideMark/>
          </w:tcPr>
          <w:p w:rsidR="00934A93" w:rsidRPr="00934A93" w:rsidRDefault="00934A93" w:rsidP="00934A93">
            <w:pPr>
              <w:ind w:left="1440" w:hanging="1440"/>
              <w:jc w:val="both"/>
            </w:pPr>
            <w:r w:rsidRPr="00934A93">
              <w:t xml:space="preserve">AF #1 </w:t>
            </w:r>
          </w:p>
        </w:tc>
      </w:tr>
      <w:tr w:rsidR="00934A93" w:rsidRPr="00934A93" w:rsidTr="00F1515C">
        <w:trPr>
          <w:trHeight w:val="288"/>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Cypress Lakes </w:t>
            </w:r>
          </w:p>
        </w:tc>
      </w:tr>
      <w:tr w:rsidR="00934A93" w:rsidRPr="00934A93" w:rsidTr="00F1515C">
        <w:trPr>
          <w:trHeight w:val="288"/>
          <w:jc w:val="center"/>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Water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Sewer </w:t>
            </w:r>
          </w:p>
        </w:tc>
      </w:tr>
      <w:tr w:rsidR="00934A93" w:rsidRPr="00934A93" w:rsidTr="00F1515C">
        <w:trPr>
          <w:trHeight w:val="288"/>
          <w:jc w:val="center"/>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UPIS </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26,206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197,346 </w:t>
            </w:r>
          </w:p>
        </w:tc>
      </w:tr>
      <w:tr w:rsidR="00934A93" w:rsidRPr="00934A93" w:rsidTr="00F1515C">
        <w:trPr>
          <w:trHeight w:val="288"/>
          <w:jc w:val="center"/>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Acc Dep</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(16,663)</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(356,041)</w:t>
            </w:r>
          </w:p>
        </w:tc>
      </w:tr>
      <w:tr w:rsidR="00934A93" w:rsidRPr="00934A93" w:rsidTr="00F1515C">
        <w:trPr>
          <w:trHeight w:val="288"/>
          <w:jc w:val="center"/>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CIAC</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(3,625)</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   </w:t>
            </w:r>
          </w:p>
        </w:tc>
      </w:tr>
      <w:tr w:rsidR="00934A93" w:rsidRPr="00934A93" w:rsidTr="00F1515C">
        <w:trPr>
          <w:trHeight w:val="288"/>
          <w:jc w:val="center"/>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Acc Amort</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9,735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23,683 </w:t>
            </w:r>
          </w:p>
        </w:tc>
      </w:tr>
    </w:tbl>
    <w:p w:rsidR="00934A93" w:rsidRPr="00934A93" w:rsidRDefault="00934A93" w:rsidP="00934A93">
      <w:pPr>
        <w:ind w:left="1440" w:hanging="1440"/>
        <w:jc w:val="both"/>
        <w:rPr>
          <w:b/>
          <w:u w:val="single"/>
        </w:rPr>
      </w:pPr>
    </w:p>
    <w:tbl>
      <w:tblPr>
        <w:tblW w:w="4821" w:type="dxa"/>
        <w:jc w:val="center"/>
        <w:tblLook w:val="04A0" w:firstRow="1" w:lastRow="0" w:firstColumn="1" w:lastColumn="0" w:noHBand="0" w:noVBand="1"/>
      </w:tblPr>
      <w:tblGrid>
        <w:gridCol w:w="1474"/>
        <w:gridCol w:w="1645"/>
        <w:gridCol w:w="1702"/>
      </w:tblGrid>
      <w:tr w:rsidR="00934A93" w:rsidRPr="00934A93" w:rsidTr="00F1515C">
        <w:trPr>
          <w:trHeight w:val="288"/>
          <w:jc w:val="center"/>
        </w:trPr>
        <w:tc>
          <w:tcPr>
            <w:tcW w:w="4821" w:type="dxa"/>
            <w:gridSpan w:val="3"/>
            <w:tcBorders>
              <w:top w:val="nil"/>
              <w:left w:val="nil"/>
              <w:bottom w:val="single" w:sz="4" w:space="0" w:color="auto"/>
              <w:right w:val="nil"/>
            </w:tcBorders>
            <w:shd w:val="clear" w:color="auto" w:fill="auto"/>
            <w:noWrap/>
            <w:vAlign w:val="center"/>
            <w:hideMark/>
          </w:tcPr>
          <w:p w:rsidR="00934A93" w:rsidRPr="00934A93" w:rsidRDefault="00934A93" w:rsidP="00934A93">
            <w:pPr>
              <w:ind w:left="1440" w:hanging="1440"/>
              <w:jc w:val="both"/>
            </w:pPr>
            <w:r w:rsidRPr="00934A93">
              <w:t xml:space="preserve">AF #2 </w:t>
            </w:r>
          </w:p>
        </w:tc>
      </w:tr>
      <w:tr w:rsidR="00934A93" w:rsidRPr="00934A93" w:rsidTr="00F1515C">
        <w:trPr>
          <w:trHeight w:val="288"/>
          <w:jc w:val="center"/>
        </w:trPr>
        <w:tc>
          <w:tcPr>
            <w:tcW w:w="48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Lake Utility Services, Inc. </w:t>
            </w:r>
          </w:p>
        </w:tc>
      </w:tr>
      <w:tr w:rsidR="00934A93" w:rsidRPr="00934A93" w:rsidTr="00F1515C">
        <w:trPr>
          <w:trHeight w:val="288"/>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Water </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Sewer </w:t>
            </w:r>
          </w:p>
        </w:tc>
      </w:tr>
      <w:tr w:rsidR="00934A93" w:rsidRPr="00934A93" w:rsidTr="00F1515C">
        <w:trPr>
          <w:trHeight w:val="288"/>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UPIS </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24,235 </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2,579 </w:t>
            </w:r>
          </w:p>
        </w:tc>
      </w:tr>
      <w:tr w:rsidR="00934A93" w:rsidRPr="00934A93" w:rsidTr="00F1515C">
        <w:trPr>
          <w:trHeight w:val="288"/>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Acc Dep</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146,639 </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8,499 </w:t>
            </w:r>
          </w:p>
        </w:tc>
      </w:tr>
      <w:tr w:rsidR="00934A93" w:rsidRPr="00934A93" w:rsidTr="00F1515C">
        <w:trPr>
          <w:trHeight w:val="288"/>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CIAC</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(20,200)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32,579 </w:t>
            </w:r>
          </w:p>
        </w:tc>
      </w:tr>
      <w:tr w:rsidR="00934A93" w:rsidRPr="00934A93" w:rsidTr="00F1515C">
        <w:trPr>
          <w:trHeight w:val="288"/>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Acc Amort</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(108,597)</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93" w:rsidRPr="00934A93" w:rsidRDefault="00934A93" w:rsidP="00934A93">
            <w:pPr>
              <w:ind w:left="1440" w:hanging="1440"/>
              <w:jc w:val="both"/>
            </w:pPr>
            <w:r w:rsidRPr="00934A93">
              <w:t xml:space="preserve">         (8,642)</w:t>
            </w:r>
          </w:p>
        </w:tc>
      </w:tr>
    </w:tbl>
    <w:p w:rsidR="00934A93" w:rsidRPr="00934A93" w:rsidRDefault="00934A93" w:rsidP="00934A93">
      <w:pPr>
        <w:ind w:left="1440" w:hanging="1440"/>
        <w:jc w:val="both"/>
        <w:rPr>
          <w:b/>
          <w:u w:val="single"/>
        </w:rPr>
      </w:pPr>
    </w:p>
    <w:bookmarkStart w:id="4" w:name="_MON_1553253215"/>
    <w:bookmarkEnd w:id="4"/>
    <w:p w:rsidR="00666445" w:rsidRDefault="00934A93" w:rsidP="00666445">
      <w:pPr>
        <w:ind w:left="1440" w:hanging="1440"/>
        <w:jc w:val="both"/>
      </w:pPr>
      <w:r w:rsidRPr="00934A93">
        <w:rPr>
          <w:b/>
        </w:rPr>
        <w:object w:dxaOrig="11898" w:dyaOrig="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110pt" o:ole="" o:bordertopcolor="this">
            <v:imagedata r:id="rId10" o:title=""/>
            <w10:bordertop type="single" width="4"/>
          </v:shape>
          <o:OLEObject Type="Embed" ProgID="Excel.Sheet.12" ShapeID="_x0000_i1025" DrawAspect="Content" ObjectID="_1555246803" r:id="rId11"/>
        </w:object>
      </w:r>
      <w:r w:rsidRPr="00934A93">
        <w:rPr>
          <w:b/>
        </w:rPr>
        <w:tab/>
      </w:r>
      <w:r w:rsidR="009674D6" w:rsidRPr="00666445">
        <w:t>(Ramas)</w:t>
      </w:r>
    </w:p>
    <w:p w:rsidR="009674D6" w:rsidRPr="00666445" w:rsidRDefault="009674D6" w:rsidP="00666445">
      <w:pPr>
        <w:ind w:left="1440" w:hanging="1440"/>
        <w:jc w:val="both"/>
      </w:pPr>
    </w:p>
    <w:p w:rsidR="00666445" w:rsidRPr="00666445" w:rsidRDefault="00666445" w:rsidP="00666445">
      <w:pPr>
        <w:ind w:left="1440"/>
        <w:jc w:val="both"/>
      </w:pPr>
      <w:r w:rsidRPr="00666445">
        <w:t xml:space="preserve">If the Commission addresses Issue 10B under this issue, instead of keeping it separate, what should be done on a case-by-case basis in situations in which there is a substantial negative accumulated depreciation balance?  Consistent with the testimony of Donna Ramas (pages 10-12, 87-89), the Commission should determine what to do with current negative accumulated depreciation.   </w:t>
      </w:r>
    </w:p>
    <w:p w:rsidR="00666445" w:rsidRPr="00666445" w:rsidRDefault="00666445" w:rsidP="00666445">
      <w:pPr>
        <w:ind w:left="1440"/>
        <w:jc w:val="both"/>
      </w:pPr>
      <w:r w:rsidRPr="00666445">
        <w:tab/>
      </w:r>
    </w:p>
    <w:p w:rsidR="00666445" w:rsidRPr="00666445" w:rsidRDefault="00666445" w:rsidP="00666445">
      <w:pPr>
        <w:ind w:left="1440"/>
        <w:jc w:val="both"/>
      </w:pPr>
      <w:r w:rsidRPr="00666445">
        <w:t xml:space="preserve">In certain circumstances, UIF uses a method to retire plant assets that estimates the original costs of those assets which  leads to an excessive amount of plant retirement and a negative balance in accumulated depreciation.  A negative accumulated depreciation balance causes an increase in rate base and is not a just or reasonable result.  This is especially true when there is no procedure in place to remove or correct these negative balances, thus allowing UIF to have an inflated rate base.  If not prevented from occurring when the retirements are made, UIF will benefit from these phantom increases to its rate base that will never amortize, meaning customers will continue to pay a return on these balances in perpetuity.  </w:t>
      </w:r>
    </w:p>
    <w:p w:rsidR="00666445" w:rsidRPr="00666445" w:rsidRDefault="00666445" w:rsidP="00666445">
      <w:pPr>
        <w:ind w:left="1440"/>
        <w:jc w:val="both"/>
      </w:pPr>
      <w:r w:rsidRPr="00666445">
        <w:tab/>
      </w:r>
      <w:r w:rsidRPr="00666445">
        <w:tab/>
      </w:r>
    </w:p>
    <w:p w:rsidR="00666445" w:rsidRPr="00666445" w:rsidRDefault="00666445" w:rsidP="00666445">
      <w:pPr>
        <w:ind w:left="1440"/>
        <w:jc w:val="both"/>
      </w:pPr>
      <w:r w:rsidRPr="00666445">
        <w:t>The NARUC Uniform System of Accounts recognizes that the early retirement of a major unit of property, which would eliminate or seriously deplete the existing depreciation reserve, may require accounting treatment which differs from the standard retirement accounting procedure. See NARUC USOA Accounting Instruction 27(H).  Commission Rule 25-30.140(8) also recognizes that retirements of major installations may not be fully recovered at the time of retirement.  Both of these rules recommend solutions to avoid significant negative balances in the accumulated depreciation account.  The utility plant in service amount to be retired should be carefully reviewed, and any negative accumulated balance should be evaluated on a case-by-case basis to determine if the retirement results in an extraordinary loss or if there is some error that needs to be corrected.  The utility should not be allowed to carry significant balances of negative accumulated depreciation on its books without a means to write these amounts off over time through an amortization of the loss on retirement or a pre-approved capital recovery schedule.  (Ramas)</w:t>
      </w:r>
    </w:p>
    <w:p w:rsidR="00373F17" w:rsidRDefault="00373F17" w:rsidP="00373F17">
      <w:pPr>
        <w:ind w:left="1440" w:hanging="1440"/>
        <w:jc w:val="both"/>
      </w:pPr>
    </w:p>
    <w:p w:rsidR="00A30B1C" w:rsidRPr="00357433" w:rsidRDefault="00A30B1C" w:rsidP="00A30B1C">
      <w:pPr>
        <w:spacing w:after="240"/>
        <w:ind w:left="1440" w:hanging="1440"/>
        <w:jc w:val="both"/>
        <w:rPr>
          <w:bCs/>
        </w:rPr>
      </w:pPr>
      <w:r>
        <w:rPr>
          <w:b/>
          <w:bCs/>
        </w:rPr>
        <w:t>Summertree:</w:t>
      </w:r>
      <w:r>
        <w:rPr>
          <w:b/>
          <w:bCs/>
        </w:rPr>
        <w:tab/>
      </w:r>
      <w:r w:rsidR="00987836" w:rsidRPr="00987836">
        <w:rPr>
          <w:bCs/>
        </w:rPr>
        <w:t xml:space="preserve">UIF’s longstanding deficiencies in accounting for plant investments, depreciation, abandonments and retirements should not be ignored by performing UIF’s work for it. Failure to conduct proper asset management and asset management record </w:t>
      </w:r>
      <w:r w:rsidR="00987836" w:rsidRPr="00987836">
        <w:rPr>
          <w:bCs/>
        </w:rPr>
        <w:lastRenderedPageBreak/>
        <w:t>keeping through an appropriate fixed asset system reflects poor management and poor utility practices.</w:t>
      </w:r>
    </w:p>
    <w:p w:rsidR="00373F17" w:rsidRDefault="002A39DC" w:rsidP="00373F17">
      <w:pPr>
        <w:spacing w:after="240"/>
        <w:ind w:left="1440" w:hanging="1440"/>
        <w:jc w:val="both"/>
        <w:rPr>
          <w:bCs/>
        </w:rPr>
      </w:pPr>
      <w:r w:rsidRPr="002A39DC">
        <w:rPr>
          <w:b/>
          <w:bCs/>
        </w:rPr>
        <w:t>Staff</w:t>
      </w:r>
      <w:r w:rsidR="00373F17">
        <w:rPr>
          <w:b/>
          <w:bCs/>
        </w:rPr>
        <w:t>:</w:t>
      </w:r>
      <w:r w:rsidR="00373F17">
        <w:rPr>
          <w:b/>
          <w:bCs/>
        </w:rPr>
        <w:tab/>
      </w:r>
      <w:r w:rsidR="004C4729">
        <w:t>Staff takes no position pending evidence adduced at hearing</w:t>
      </w:r>
      <w:r w:rsidR="004B01BF">
        <w:t>.</w:t>
      </w:r>
    </w:p>
    <w:p w:rsidR="00F73A23" w:rsidRDefault="00F73A23" w:rsidP="000A65B8">
      <w:pPr>
        <w:ind w:left="1440" w:hanging="1440"/>
        <w:jc w:val="both"/>
        <w:rPr>
          <w:b/>
          <w:bCs/>
          <w:u w:val="single"/>
        </w:rPr>
      </w:pPr>
    </w:p>
    <w:p w:rsidR="000A65B8" w:rsidRDefault="000A65B8" w:rsidP="000A65B8">
      <w:pPr>
        <w:ind w:left="1440" w:hanging="1440"/>
        <w:jc w:val="both"/>
      </w:pPr>
      <w:r>
        <w:rPr>
          <w:b/>
          <w:bCs/>
          <w:u w:val="single"/>
        </w:rPr>
        <w:t>ISSUE 6</w:t>
      </w:r>
      <w:r>
        <w:rPr>
          <w:b/>
          <w:bCs/>
        </w:rPr>
        <w:t>:</w:t>
      </w:r>
      <w:r>
        <w:tab/>
      </w:r>
      <w:r w:rsidRPr="009176FC">
        <w:rPr>
          <w:b/>
        </w:rPr>
        <w:t>What are the appropriate amounts of regulatory assets for each system that is associated with the Utility’s Project Phoenix Financial/Customer Care Billing System?</w:t>
      </w:r>
    </w:p>
    <w:p w:rsidR="000A65B8" w:rsidRDefault="000A65B8" w:rsidP="000A65B8">
      <w:pPr>
        <w:ind w:left="1440" w:hanging="1440"/>
        <w:jc w:val="both"/>
      </w:pPr>
    </w:p>
    <w:p w:rsidR="000A65B8" w:rsidRDefault="002A39DC" w:rsidP="000A65B8">
      <w:pPr>
        <w:ind w:left="1440" w:hanging="1440"/>
        <w:jc w:val="both"/>
      </w:pPr>
      <w:r w:rsidRPr="002A39DC">
        <w:rPr>
          <w:b/>
          <w:bCs/>
        </w:rPr>
        <w:t>POSITIONS</w:t>
      </w:r>
    </w:p>
    <w:p w:rsidR="000A65B8" w:rsidRDefault="000A65B8" w:rsidP="000A65B8">
      <w:pPr>
        <w:ind w:left="1440" w:hanging="1440"/>
        <w:jc w:val="both"/>
      </w:pPr>
    </w:p>
    <w:p w:rsidR="00AE01E6" w:rsidRDefault="002A39DC" w:rsidP="000A65B8">
      <w:pPr>
        <w:ind w:left="1440" w:hanging="1440"/>
        <w:jc w:val="both"/>
      </w:pPr>
      <w:r w:rsidRPr="002A39DC">
        <w:rPr>
          <w:b/>
          <w:bCs/>
        </w:rPr>
        <w:t>UIF</w:t>
      </w:r>
      <w:r w:rsidR="000A65B8">
        <w:rPr>
          <w:b/>
          <w:bCs/>
        </w:rPr>
        <w:t>:</w:t>
      </w:r>
      <w:r w:rsidR="000A65B8">
        <w:tab/>
      </w:r>
    </w:p>
    <w:tbl>
      <w:tblPr>
        <w:tblW w:w="4785" w:type="dxa"/>
        <w:jc w:val="center"/>
        <w:tblInd w:w="93" w:type="dxa"/>
        <w:tblCellMar>
          <w:left w:w="0" w:type="dxa"/>
          <w:right w:w="0" w:type="dxa"/>
        </w:tblCellMar>
        <w:tblLook w:val="04A0" w:firstRow="1" w:lastRow="0" w:firstColumn="1" w:lastColumn="0" w:noHBand="0" w:noVBand="1"/>
      </w:tblPr>
      <w:tblGrid>
        <w:gridCol w:w="2805"/>
        <w:gridCol w:w="2016"/>
      </w:tblGrid>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Tierre Verde</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34,335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Lake Placid</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4,374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Longwood</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28,159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Cypress Lakes</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39,845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Eagle Ridege</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41,269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Mid County</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55,006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LUSI</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242,689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UIF</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155,749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Sanlando</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348,869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Sandalhaven</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19,946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Labrador</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24,921 </w:t>
            </w:r>
          </w:p>
        </w:tc>
      </w:tr>
      <w:tr w:rsidR="00AE01E6" w:rsidTr="00AE01E6">
        <w:trPr>
          <w:trHeight w:val="300"/>
          <w:jc w:val="center"/>
        </w:trPr>
        <w:tc>
          <w:tcPr>
            <w:tcW w:w="2805" w:type="dxa"/>
            <w:noWrap/>
            <w:tcMar>
              <w:top w:w="0" w:type="dxa"/>
              <w:left w:w="108" w:type="dxa"/>
              <w:bottom w:w="0" w:type="dxa"/>
              <w:right w:w="108" w:type="dxa"/>
            </w:tcMar>
            <w:vAlign w:val="bottom"/>
            <w:hideMark/>
          </w:tcPr>
          <w:p w:rsidR="00AE01E6" w:rsidRDefault="00AE01E6" w:rsidP="00F0011E">
            <w:r>
              <w:rPr>
                <w:color w:val="000000"/>
              </w:rPr>
              <w:t>Pennbooke</w:t>
            </w:r>
          </w:p>
        </w:tc>
        <w:tc>
          <w:tcPr>
            <w:tcW w:w="1980" w:type="dxa"/>
            <w:noWrap/>
            <w:tcMar>
              <w:top w:w="0" w:type="dxa"/>
              <w:left w:w="108" w:type="dxa"/>
              <w:bottom w:w="0" w:type="dxa"/>
              <w:right w:w="108" w:type="dxa"/>
            </w:tcMar>
            <w:vAlign w:val="bottom"/>
            <w:hideMark/>
          </w:tcPr>
          <w:p w:rsidR="00AE01E6" w:rsidRDefault="00AE01E6" w:rsidP="00F0011E">
            <w:r>
              <w:rPr>
                <w:color w:val="000000"/>
              </w:rPr>
              <w:t xml:space="preserve">                  44,480 </w:t>
            </w:r>
          </w:p>
        </w:tc>
      </w:tr>
    </w:tbl>
    <w:p w:rsidR="000A65B8" w:rsidRDefault="005608C4" w:rsidP="000A65B8">
      <w:pPr>
        <w:ind w:left="1440" w:hanging="1440"/>
        <w:jc w:val="both"/>
      </w:pPr>
      <w:r>
        <w:tab/>
      </w:r>
      <w:r>
        <w:tab/>
        <w:t>(</w:t>
      </w:r>
      <w:r w:rsidR="00685D1C">
        <w:t>Deason</w:t>
      </w:r>
      <w:r>
        <w:t>)</w:t>
      </w:r>
    </w:p>
    <w:p w:rsidR="005608C4" w:rsidRDefault="005608C4" w:rsidP="000A65B8">
      <w:pPr>
        <w:ind w:left="1440" w:hanging="1440"/>
        <w:jc w:val="both"/>
      </w:pPr>
    </w:p>
    <w:p w:rsidR="000A65B8" w:rsidRDefault="002A39DC" w:rsidP="000A65B8">
      <w:pPr>
        <w:ind w:left="1440" w:hanging="1440"/>
        <w:jc w:val="both"/>
      </w:pPr>
      <w:r w:rsidRPr="002A39DC">
        <w:rPr>
          <w:b/>
          <w:bCs/>
        </w:rPr>
        <w:t>OPC</w:t>
      </w:r>
      <w:r w:rsidR="000A65B8">
        <w:rPr>
          <w:b/>
          <w:bCs/>
        </w:rPr>
        <w:t>:</w:t>
      </w:r>
      <w:r w:rsidR="000A65B8">
        <w:tab/>
      </w:r>
      <w:r w:rsidR="00666445" w:rsidRPr="00666445">
        <w:t xml:space="preserve">None.  The utility has not satisfied its burden to demonstrate that it has appropriately included costs associated with the Utility’s Project Phoenix Financial/Customer Care Billing System.   </w:t>
      </w:r>
    </w:p>
    <w:p w:rsidR="00A30B1C" w:rsidRPr="00357433" w:rsidRDefault="00A30B1C" w:rsidP="00CB2FF0">
      <w:pPr>
        <w:spacing w:before="240" w:after="240"/>
        <w:ind w:left="1440" w:hanging="1440"/>
        <w:jc w:val="both"/>
        <w:rPr>
          <w:bCs/>
        </w:rPr>
      </w:pPr>
      <w:r>
        <w:rPr>
          <w:b/>
          <w:bCs/>
        </w:rPr>
        <w:t>Summertree:</w:t>
      </w:r>
      <w:r>
        <w:rPr>
          <w:b/>
          <w:bCs/>
        </w:rPr>
        <w:tab/>
      </w:r>
      <w:r w:rsidR="00987836" w:rsidRPr="00987836">
        <w:t>Agree with Public Counsel. Deficiencies in booking Commission orders, deficiencies in keeping accurate and proper asset accounting records, etc., should not be rewarded with acceptance of allocation to UIF of affiliate costs. The Commission must discourage such poor management and accounting practice by denial of associated costs and reduction of authorized return on equity, and such other actions as the Commission deems appropriate.</w:t>
      </w:r>
    </w:p>
    <w:p w:rsidR="000A65B8" w:rsidRDefault="002A39DC" w:rsidP="000A65B8">
      <w:pPr>
        <w:spacing w:after="240"/>
        <w:ind w:left="1440" w:hanging="1440"/>
        <w:jc w:val="both"/>
        <w:rPr>
          <w:bCs/>
        </w:rPr>
      </w:pPr>
      <w:r w:rsidRPr="002A39DC">
        <w:rPr>
          <w:b/>
          <w:bCs/>
        </w:rPr>
        <w:t>Staff</w:t>
      </w:r>
      <w:r w:rsidR="000A65B8">
        <w:rPr>
          <w:b/>
          <w:bCs/>
        </w:rPr>
        <w:t>:</w:t>
      </w:r>
      <w:r w:rsidR="000A65B8">
        <w:rPr>
          <w:b/>
          <w:bCs/>
        </w:rPr>
        <w:tab/>
      </w:r>
      <w:r w:rsidR="000A65B8">
        <w:t>Staff takes no position pending evidence adduced at hearing.</w:t>
      </w:r>
    </w:p>
    <w:p w:rsidR="00F73A23" w:rsidRDefault="00F73A23" w:rsidP="000A65B8">
      <w:pPr>
        <w:ind w:left="1440" w:hanging="1440"/>
        <w:jc w:val="both"/>
        <w:rPr>
          <w:b/>
          <w:bCs/>
          <w:u w:val="single"/>
        </w:rPr>
      </w:pPr>
    </w:p>
    <w:p w:rsidR="00E950C7" w:rsidRDefault="00E950C7">
      <w:pPr>
        <w:rPr>
          <w:b/>
          <w:bCs/>
          <w:u w:val="single"/>
        </w:rPr>
      </w:pPr>
      <w:r>
        <w:rPr>
          <w:b/>
          <w:bCs/>
          <w:u w:val="single"/>
        </w:rPr>
        <w:br w:type="page"/>
      </w:r>
    </w:p>
    <w:p w:rsidR="000A65B8" w:rsidRDefault="000A65B8" w:rsidP="000A65B8">
      <w:pPr>
        <w:ind w:left="1440" w:hanging="1440"/>
        <w:jc w:val="both"/>
      </w:pPr>
      <w:r>
        <w:rPr>
          <w:b/>
          <w:bCs/>
          <w:u w:val="single"/>
        </w:rPr>
        <w:lastRenderedPageBreak/>
        <w:t>ISSUE 7</w:t>
      </w:r>
      <w:r>
        <w:rPr>
          <w:b/>
          <w:bCs/>
        </w:rPr>
        <w:t>:</w:t>
      </w:r>
      <w:r>
        <w:tab/>
      </w:r>
      <w:r w:rsidRPr="000A65B8">
        <w:rPr>
          <w:b/>
        </w:rPr>
        <w:t>Should any adjustments be made to test year plant-in-service balances?</w:t>
      </w:r>
    </w:p>
    <w:p w:rsidR="000A65B8" w:rsidRDefault="000A65B8" w:rsidP="000A65B8">
      <w:pPr>
        <w:ind w:left="1440" w:hanging="1440"/>
        <w:jc w:val="both"/>
      </w:pPr>
    </w:p>
    <w:p w:rsidR="000A65B8" w:rsidRDefault="002A39DC" w:rsidP="000A65B8">
      <w:pPr>
        <w:ind w:left="1440" w:hanging="1440"/>
        <w:jc w:val="both"/>
      </w:pPr>
      <w:r w:rsidRPr="002A39DC">
        <w:rPr>
          <w:b/>
          <w:bCs/>
        </w:rPr>
        <w:t>POSITIONS</w:t>
      </w:r>
    </w:p>
    <w:p w:rsidR="000A65B8" w:rsidRDefault="000A65B8" w:rsidP="000A65B8">
      <w:pPr>
        <w:ind w:left="1440" w:hanging="1440"/>
        <w:jc w:val="both"/>
      </w:pPr>
    </w:p>
    <w:p w:rsidR="000A65B8" w:rsidRDefault="002A39DC" w:rsidP="000A65B8">
      <w:pPr>
        <w:ind w:left="1440" w:hanging="1440"/>
        <w:jc w:val="both"/>
      </w:pPr>
      <w:r w:rsidRPr="002A39DC">
        <w:rPr>
          <w:b/>
          <w:bCs/>
        </w:rPr>
        <w:t>UIF</w:t>
      </w:r>
      <w:r w:rsidR="000A65B8">
        <w:rPr>
          <w:b/>
          <w:bCs/>
        </w:rPr>
        <w:t>:</w:t>
      </w:r>
      <w:r w:rsidR="000A65B8">
        <w:tab/>
      </w:r>
      <w:r w:rsidR="005608C4" w:rsidRPr="009438E8">
        <w:t>Pasco Decommissioning:</w:t>
      </w:r>
      <w:r w:rsidR="005608C4">
        <w:t xml:space="preserve"> </w:t>
      </w:r>
      <w:r w:rsidR="005608C4" w:rsidRPr="009438E8">
        <w:t>$1,071,092</w:t>
      </w:r>
      <w:r w:rsidR="005608C4">
        <w:t>.</w:t>
      </w:r>
      <w:r w:rsidR="005608C4" w:rsidRPr="009438E8" w:rsidDel="009438E8">
        <w:t xml:space="preserve"> </w:t>
      </w:r>
      <w:r w:rsidR="00AE01E6" w:rsidRPr="00AE01E6">
        <w:t>(Swain)</w:t>
      </w:r>
    </w:p>
    <w:p w:rsidR="000A65B8" w:rsidRDefault="000A65B8" w:rsidP="000A65B8">
      <w:pPr>
        <w:ind w:left="1440" w:hanging="1440"/>
        <w:jc w:val="both"/>
      </w:pPr>
    </w:p>
    <w:p w:rsidR="000A65B8" w:rsidRDefault="002A39DC" w:rsidP="000A65B8">
      <w:pPr>
        <w:ind w:left="1440" w:hanging="1440"/>
        <w:jc w:val="both"/>
      </w:pPr>
      <w:r w:rsidRPr="002A39DC">
        <w:rPr>
          <w:b/>
          <w:bCs/>
        </w:rPr>
        <w:t>OPC</w:t>
      </w:r>
      <w:r w:rsidR="000A65B8">
        <w:rPr>
          <w:b/>
          <w:bCs/>
        </w:rPr>
        <w:t>:</w:t>
      </w:r>
      <w:r w:rsidR="000A65B8">
        <w:tab/>
      </w:r>
      <w:r w:rsidR="00934A93" w:rsidRPr="00B463BF">
        <w:t>Yes, the following adjustments should be made for assets that are fully depreciated.  In addition, adjustments should be made to adjust the utility’s adjusted test year for Pasco County and Longwood.</w:t>
      </w:r>
    </w:p>
    <w:p w:rsidR="00934A93" w:rsidRDefault="00934A93" w:rsidP="000A65B8">
      <w:pPr>
        <w:ind w:left="1440" w:hanging="1440"/>
        <w:jc w:val="both"/>
      </w:pPr>
    </w:p>
    <w:bookmarkStart w:id="5" w:name="_MON_1553336587"/>
    <w:bookmarkEnd w:id="5"/>
    <w:p w:rsidR="00934A93" w:rsidRPr="00B463BF" w:rsidRDefault="00934A93" w:rsidP="00934A93">
      <w:pPr>
        <w:spacing w:line="276" w:lineRule="auto"/>
        <w:jc w:val="center"/>
      </w:pPr>
      <w:r w:rsidRPr="00B463BF">
        <w:object w:dxaOrig="8048" w:dyaOrig="2101">
          <v:shape id="_x0000_i1026" type="#_x0000_t75" style="width:402pt;height:106pt" o:ole="">
            <v:imagedata r:id="rId12" o:title=""/>
          </v:shape>
          <o:OLEObject Type="Embed" ProgID="Excel.Sheet.12" ShapeID="_x0000_i1026" DrawAspect="Content" ObjectID="_1555246804" r:id="rId13"/>
        </w:object>
      </w:r>
    </w:p>
    <w:p w:rsidR="00934A93" w:rsidRPr="00B463BF" w:rsidRDefault="00934A93" w:rsidP="00934A93">
      <w:pPr>
        <w:spacing w:line="276" w:lineRule="auto"/>
        <w:jc w:val="both"/>
      </w:pPr>
      <w:r w:rsidRPr="00B463BF">
        <w:tab/>
      </w:r>
      <w:r>
        <w:tab/>
      </w:r>
      <w:r w:rsidRPr="00B463BF">
        <w:t>(Ramas)</w:t>
      </w:r>
    </w:p>
    <w:p w:rsidR="000A65B8" w:rsidRDefault="000A65B8" w:rsidP="000A65B8">
      <w:pPr>
        <w:ind w:left="1440" w:hanging="1440"/>
        <w:jc w:val="both"/>
      </w:pPr>
    </w:p>
    <w:p w:rsidR="00A30B1C" w:rsidRPr="00357433" w:rsidRDefault="00A30B1C" w:rsidP="00A30B1C">
      <w:pPr>
        <w:spacing w:after="240"/>
        <w:ind w:left="1440" w:hanging="1440"/>
        <w:jc w:val="both"/>
        <w:rPr>
          <w:bCs/>
        </w:rPr>
      </w:pPr>
      <w:r>
        <w:rPr>
          <w:b/>
          <w:bCs/>
        </w:rPr>
        <w:t>Summertree:</w:t>
      </w:r>
      <w:r>
        <w:rPr>
          <w:b/>
          <w:bCs/>
        </w:rPr>
        <w:tab/>
      </w:r>
      <w:r w:rsidR="00987836" w:rsidRPr="00987836">
        <w:rPr>
          <w:bCs/>
        </w:rPr>
        <w:t>UIF only now is installing a management system, geographical information system, predictive and preventive maintenance programs; UIF has no sewer system overflow program or CMOM program standard in the industry and used by any water and wastewater utility seeking to act professionally and responsibly. The failure of UIF management to have instituted these and other programs (proper operator and field personnel training in these areas, for instance), based upon management’s affirmative choice not to do so, has resulted in higher operations costs, poor management capital planning, higher capital costs, earlier asset retirements, wasteful short term fixes and bandaids and higher capital expenditures. UIF’s historical failure to implement these standard programs should not now be rewarded by the Commission.</w:t>
      </w:r>
    </w:p>
    <w:p w:rsidR="000A65B8" w:rsidRDefault="002A39DC" w:rsidP="000A65B8">
      <w:pPr>
        <w:spacing w:after="240"/>
        <w:ind w:left="1440" w:hanging="1440"/>
        <w:jc w:val="both"/>
        <w:rPr>
          <w:bCs/>
        </w:rPr>
      </w:pPr>
      <w:r w:rsidRPr="002A39DC">
        <w:rPr>
          <w:b/>
          <w:bCs/>
        </w:rPr>
        <w:t>Staff</w:t>
      </w:r>
      <w:r w:rsidR="000A65B8">
        <w:rPr>
          <w:b/>
          <w:bCs/>
        </w:rPr>
        <w:t>:</w:t>
      </w:r>
      <w:r w:rsidR="000A65B8">
        <w:rPr>
          <w:b/>
          <w:bCs/>
        </w:rPr>
        <w:tab/>
      </w:r>
      <w:r w:rsidR="000A65B8">
        <w:t>Staff takes no position pending evidence adduced at hearing.</w:t>
      </w:r>
    </w:p>
    <w:p w:rsidR="00F73A23" w:rsidRDefault="00F73A23" w:rsidP="000A65B8">
      <w:pPr>
        <w:ind w:left="1440" w:hanging="1440"/>
        <w:jc w:val="both"/>
        <w:rPr>
          <w:b/>
          <w:bCs/>
          <w:u w:val="single"/>
        </w:rPr>
      </w:pPr>
    </w:p>
    <w:p w:rsidR="009C58F5" w:rsidRDefault="009C58F5">
      <w:pPr>
        <w:rPr>
          <w:b/>
          <w:bCs/>
          <w:u w:val="single"/>
        </w:rPr>
      </w:pPr>
      <w:r>
        <w:rPr>
          <w:b/>
          <w:bCs/>
          <w:u w:val="single"/>
        </w:rPr>
        <w:br w:type="page"/>
      </w:r>
    </w:p>
    <w:p w:rsidR="000A65B8" w:rsidRDefault="000A65B8" w:rsidP="000A65B8">
      <w:pPr>
        <w:ind w:left="1440" w:hanging="1440"/>
        <w:jc w:val="both"/>
      </w:pPr>
      <w:r>
        <w:rPr>
          <w:b/>
          <w:bCs/>
          <w:u w:val="single"/>
        </w:rPr>
        <w:lastRenderedPageBreak/>
        <w:t>ISSUE 8</w:t>
      </w:r>
      <w:r>
        <w:rPr>
          <w:b/>
          <w:bCs/>
        </w:rPr>
        <w:t>:</w:t>
      </w:r>
      <w:r>
        <w:tab/>
      </w:r>
      <w:r w:rsidRPr="000A65B8">
        <w:rPr>
          <w:b/>
        </w:rPr>
        <w:t>What adjustments, if any, need to be made to rate base to appropriately reflect the impacts of the abandonment and decommissioning of the Summertree water supply assets?</w:t>
      </w:r>
    </w:p>
    <w:p w:rsidR="000A65B8" w:rsidRDefault="000A65B8" w:rsidP="000A65B8">
      <w:pPr>
        <w:ind w:left="1440" w:hanging="1440"/>
        <w:jc w:val="both"/>
      </w:pPr>
    </w:p>
    <w:p w:rsidR="000A65B8" w:rsidRDefault="002A39DC" w:rsidP="000A65B8">
      <w:pPr>
        <w:ind w:left="1440" w:hanging="1440"/>
        <w:jc w:val="both"/>
      </w:pPr>
      <w:r w:rsidRPr="002A39DC">
        <w:rPr>
          <w:b/>
          <w:bCs/>
        </w:rPr>
        <w:t>POSITIONS</w:t>
      </w:r>
    </w:p>
    <w:p w:rsidR="000A65B8" w:rsidRDefault="000A65B8" w:rsidP="000A65B8">
      <w:pPr>
        <w:ind w:left="1440" w:hanging="1440"/>
        <w:jc w:val="both"/>
      </w:pPr>
    </w:p>
    <w:p w:rsidR="005608C4" w:rsidRPr="00E950C7" w:rsidRDefault="002A39DC" w:rsidP="005608C4">
      <w:pPr>
        <w:ind w:left="1440" w:hanging="1440"/>
        <w:jc w:val="both"/>
        <w:rPr>
          <w:sz w:val="8"/>
          <w:szCs w:val="8"/>
        </w:rPr>
      </w:pPr>
      <w:r w:rsidRPr="002A39DC">
        <w:rPr>
          <w:b/>
          <w:bCs/>
        </w:rPr>
        <w:t>UIF</w:t>
      </w:r>
      <w:r w:rsidR="000A65B8">
        <w:rPr>
          <w:b/>
          <w:bCs/>
        </w:rPr>
        <w:t>:</w:t>
      </w:r>
      <w:r w:rsidR="000A65B8">
        <w:tab/>
      </w:r>
    </w:p>
    <w:tbl>
      <w:tblPr>
        <w:tblW w:w="6384" w:type="dxa"/>
        <w:jc w:val="center"/>
        <w:tblInd w:w="-27" w:type="dxa"/>
        <w:tblLook w:val="04A0" w:firstRow="1" w:lastRow="0" w:firstColumn="1" w:lastColumn="0" w:noHBand="0" w:noVBand="1"/>
      </w:tblPr>
      <w:tblGrid>
        <w:gridCol w:w="4095"/>
        <w:gridCol w:w="2289"/>
      </w:tblGrid>
      <w:tr w:rsidR="005608C4" w:rsidRPr="005E4D6A" w:rsidTr="005608C4">
        <w:trPr>
          <w:trHeight w:val="300"/>
          <w:jc w:val="center"/>
        </w:trPr>
        <w:tc>
          <w:tcPr>
            <w:tcW w:w="4095"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Plant Accounts correction</w:t>
            </w:r>
          </w:p>
        </w:tc>
        <w:tc>
          <w:tcPr>
            <w:tcW w:w="2289"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 xml:space="preserve">        1,071,092 </w:t>
            </w:r>
          </w:p>
        </w:tc>
      </w:tr>
      <w:tr w:rsidR="005608C4" w:rsidRPr="005E4D6A" w:rsidTr="005608C4">
        <w:trPr>
          <w:trHeight w:val="300"/>
          <w:jc w:val="center"/>
        </w:trPr>
        <w:tc>
          <w:tcPr>
            <w:tcW w:w="4095"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AD Correction</w:t>
            </w:r>
          </w:p>
        </w:tc>
        <w:tc>
          <w:tcPr>
            <w:tcW w:w="2289"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 xml:space="preserve">        1,511,577 </w:t>
            </w:r>
          </w:p>
        </w:tc>
      </w:tr>
      <w:tr w:rsidR="005608C4" w:rsidRPr="005E4D6A" w:rsidTr="005608C4">
        <w:trPr>
          <w:trHeight w:val="300"/>
          <w:jc w:val="center"/>
        </w:trPr>
        <w:tc>
          <w:tcPr>
            <w:tcW w:w="4095"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CIAC Correction</w:t>
            </w:r>
          </w:p>
        </w:tc>
        <w:tc>
          <w:tcPr>
            <w:tcW w:w="2289"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 xml:space="preserve">              (3,633)</w:t>
            </w:r>
          </w:p>
        </w:tc>
      </w:tr>
      <w:tr w:rsidR="005608C4" w:rsidRPr="005E4D6A" w:rsidTr="005608C4">
        <w:trPr>
          <w:trHeight w:val="300"/>
          <w:jc w:val="center"/>
        </w:trPr>
        <w:tc>
          <w:tcPr>
            <w:tcW w:w="4095"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AA Correction</w:t>
            </w:r>
          </w:p>
        </w:tc>
        <w:tc>
          <w:tcPr>
            <w:tcW w:w="2289" w:type="dxa"/>
            <w:tcBorders>
              <w:top w:val="nil"/>
              <w:left w:val="nil"/>
              <w:bottom w:val="nil"/>
              <w:right w:val="nil"/>
            </w:tcBorders>
            <w:shd w:val="clear" w:color="auto" w:fill="auto"/>
            <w:noWrap/>
            <w:vAlign w:val="bottom"/>
            <w:hideMark/>
          </w:tcPr>
          <w:p w:rsidR="005608C4" w:rsidRPr="005E4D6A" w:rsidRDefault="005608C4" w:rsidP="000F7ECB">
            <w:pPr>
              <w:ind w:left="1440" w:hanging="1440"/>
              <w:jc w:val="both"/>
            </w:pPr>
            <w:r w:rsidRPr="005E4D6A">
              <w:t xml:space="preserve">            (73,154)</w:t>
            </w:r>
          </w:p>
        </w:tc>
      </w:tr>
    </w:tbl>
    <w:p w:rsidR="000A65B8" w:rsidRDefault="005608C4" w:rsidP="000A65B8">
      <w:pPr>
        <w:ind w:left="1440" w:hanging="1440"/>
        <w:jc w:val="both"/>
      </w:pPr>
      <w:r>
        <w:t xml:space="preserve">      </w:t>
      </w:r>
      <w:r w:rsidR="00AE01E6" w:rsidRPr="00AE01E6">
        <w:t xml:space="preserve"> </w:t>
      </w:r>
      <w:r>
        <w:tab/>
      </w:r>
      <w:r w:rsidR="00AE01E6" w:rsidRPr="00AE01E6">
        <w:t>(Swain)</w:t>
      </w:r>
    </w:p>
    <w:p w:rsidR="000A65B8" w:rsidRDefault="000A65B8" w:rsidP="000A65B8">
      <w:pPr>
        <w:ind w:left="1440" w:hanging="1440"/>
        <w:jc w:val="both"/>
      </w:pPr>
    </w:p>
    <w:p w:rsidR="00CC42AA" w:rsidRPr="00B463BF" w:rsidRDefault="002A39DC" w:rsidP="00CC42AA">
      <w:pPr>
        <w:spacing w:line="276" w:lineRule="auto"/>
        <w:ind w:left="1440" w:hanging="1440"/>
        <w:jc w:val="both"/>
      </w:pPr>
      <w:r w:rsidRPr="002A39DC">
        <w:rPr>
          <w:b/>
          <w:bCs/>
        </w:rPr>
        <w:t>OPC</w:t>
      </w:r>
      <w:r w:rsidR="000A65B8">
        <w:rPr>
          <w:b/>
          <w:bCs/>
        </w:rPr>
        <w:t>:</w:t>
      </w:r>
      <w:r w:rsidR="000A65B8">
        <w:tab/>
      </w:r>
      <w:r w:rsidR="00CC42AA" w:rsidRPr="00B463BF">
        <w:t xml:space="preserve">The following adjustments should be made for the Pasco County water system to properly adjust the test year and utility adjustments such that the retirement of the Summertree assets is properly reflected. </w:t>
      </w:r>
    </w:p>
    <w:p w:rsidR="00CC42AA" w:rsidRPr="00B463BF" w:rsidRDefault="00CC42AA" w:rsidP="00CC42AA">
      <w:pPr>
        <w:spacing w:line="276" w:lineRule="auto"/>
        <w:jc w:val="both"/>
      </w:pPr>
    </w:p>
    <w:bookmarkStart w:id="6" w:name="_MON_1553254632"/>
    <w:bookmarkEnd w:id="6"/>
    <w:p w:rsidR="00CC42AA" w:rsidRPr="00B463BF" w:rsidRDefault="00CC42AA" w:rsidP="00CC42AA">
      <w:pPr>
        <w:spacing w:line="276" w:lineRule="auto"/>
        <w:jc w:val="center"/>
      </w:pPr>
      <w:r w:rsidRPr="00B463BF">
        <w:rPr>
          <w:b/>
        </w:rPr>
        <w:object w:dxaOrig="7923" w:dyaOrig="3505">
          <v:shape id="_x0000_i1027" type="#_x0000_t75" style="width:312.5pt;height:138.5pt" o:ole="">
            <v:imagedata r:id="rId14" o:title=""/>
          </v:shape>
          <o:OLEObject Type="Embed" ProgID="Excel.Sheet.12" ShapeID="_x0000_i1027" DrawAspect="Content" ObjectID="_1555246805" r:id="rId15"/>
        </w:object>
      </w:r>
    </w:p>
    <w:p w:rsidR="00CC42AA" w:rsidRPr="00B463BF" w:rsidRDefault="00CC42AA" w:rsidP="00CC42AA">
      <w:pPr>
        <w:spacing w:line="276" w:lineRule="auto"/>
        <w:jc w:val="both"/>
      </w:pPr>
      <w:r w:rsidRPr="00B463BF">
        <w:tab/>
      </w:r>
      <w:r>
        <w:tab/>
      </w:r>
      <w:r w:rsidRPr="00B463BF">
        <w:t>(Ramas)</w:t>
      </w:r>
    </w:p>
    <w:p w:rsidR="000A65B8" w:rsidRDefault="000A65B8" w:rsidP="000A65B8">
      <w:pPr>
        <w:ind w:left="1440" w:hanging="1440"/>
        <w:jc w:val="both"/>
      </w:pPr>
    </w:p>
    <w:p w:rsidR="00357433" w:rsidRDefault="00357433" w:rsidP="00357433">
      <w:pPr>
        <w:spacing w:after="240"/>
        <w:ind w:left="1440" w:hanging="1440"/>
        <w:jc w:val="both"/>
        <w:rPr>
          <w:bCs/>
        </w:rPr>
      </w:pPr>
      <w:r>
        <w:rPr>
          <w:b/>
          <w:bCs/>
        </w:rPr>
        <w:t>Summertree:</w:t>
      </w:r>
      <w:r>
        <w:rPr>
          <w:b/>
          <w:bCs/>
        </w:rPr>
        <w:tab/>
      </w:r>
      <w:r w:rsidR="00814C65" w:rsidRPr="00814C65">
        <w:rPr>
          <w:bCs/>
        </w:rPr>
        <w:t>UIF should not be rewarded for its poor management, customer service and utility operations. UIF actions in Summertree have resulted in even worse water quality and pressure today than before the interconnect with Pasco County Utilities. UIF removal of the assets addressed in this issue has resulted in UIF’s ability to promptly and properly address the recent primary water quality violations currently being experienced. UIF should not be rewarded for these significant deficiencies.</w:t>
      </w:r>
    </w:p>
    <w:p w:rsidR="000A65B8" w:rsidRDefault="002A39DC" w:rsidP="000A65B8">
      <w:pPr>
        <w:spacing w:after="240"/>
        <w:ind w:left="1440" w:hanging="1440"/>
        <w:jc w:val="both"/>
        <w:rPr>
          <w:bCs/>
        </w:rPr>
      </w:pPr>
      <w:r w:rsidRPr="002A39DC">
        <w:rPr>
          <w:b/>
          <w:bCs/>
        </w:rPr>
        <w:t>Staff</w:t>
      </w:r>
      <w:r w:rsidR="000A65B8">
        <w:rPr>
          <w:b/>
          <w:bCs/>
        </w:rPr>
        <w:t>:</w:t>
      </w:r>
      <w:r w:rsidR="000A65B8">
        <w:rPr>
          <w:b/>
          <w:bCs/>
        </w:rPr>
        <w:tab/>
      </w:r>
      <w:r w:rsidR="000A65B8">
        <w:t>Staff takes no position pending evidence adduced at hearing.</w:t>
      </w:r>
    </w:p>
    <w:p w:rsidR="00F73A23" w:rsidRDefault="00F73A23" w:rsidP="000A65B8">
      <w:pPr>
        <w:ind w:left="1440" w:hanging="1440"/>
        <w:jc w:val="both"/>
        <w:rPr>
          <w:b/>
          <w:bCs/>
          <w:u w:val="single"/>
        </w:rPr>
      </w:pPr>
    </w:p>
    <w:p w:rsidR="00E16FCB" w:rsidRDefault="00E16FCB">
      <w:pPr>
        <w:rPr>
          <w:b/>
          <w:bCs/>
          <w:u w:val="single"/>
        </w:rPr>
      </w:pPr>
      <w:r>
        <w:rPr>
          <w:b/>
          <w:bCs/>
          <w:u w:val="single"/>
        </w:rPr>
        <w:br w:type="page"/>
      </w:r>
    </w:p>
    <w:p w:rsidR="000A65B8" w:rsidRDefault="000A65B8" w:rsidP="000A65B8">
      <w:pPr>
        <w:ind w:left="1440" w:hanging="1440"/>
        <w:jc w:val="both"/>
      </w:pPr>
      <w:r>
        <w:rPr>
          <w:b/>
          <w:bCs/>
          <w:u w:val="single"/>
        </w:rPr>
        <w:lastRenderedPageBreak/>
        <w:t>ISSUE 9</w:t>
      </w:r>
      <w:r>
        <w:rPr>
          <w:b/>
          <w:bCs/>
        </w:rPr>
        <w:t>:</w:t>
      </w:r>
      <w:r>
        <w:tab/>
      </w:r>
      <w:r w:rsidRPr="000A65B8">
        <w:rPr>
          <w:b/>
        </w:rPr>
        <w:t>Should adjustments be made to the Utility's pro forma plant additions?</w:t>
      </w:r>
    </w:p>
    <w:p w:rsidR="000A65B8" w:rsidRDefault="000A65B8" w:rsidP="000A65B8">
      <w:pPr>
        <w:ind w:left="1440" w:hanging="1440"/>
        <w:jc w:val="both"/>
      </w:pPr>
    </w:p>
    <w:p w:rsidR="000A65B8" w:rsidRDefault="002A39DC" w:rsidP="000A65B8">
      <w:pPr>
        <w:ind w:left="1440" w:hanging="1440"/>
        <w:jc w:val="both"/>
      </w:pPr>
      <w:r w:rsidRPr="002A39DC">
        <w:rPr>
          <w:b/>
          <w:bCs/>
        </w:rPr>
        <w:t>POSITIONS</w:t>
      </w:r>
    </w:p>
    <w:p w:rsidR="000A65B8" w:rsidRDefault="000A65B8" w:rsidP="000A65B8">
      <w:pPr>
        <w:ind w:left="1440" w:hanging="1440"/>
        <w:jc w:val="both"/>
      </w:pPr>
    </w:p>
    <w:p w:rsidR="000A65B8" w:rsidRDefault="002A39DC" w:rsidP="000A65B8">
      <w:pPr>
        <w:ind w:left="1440" w:hanging="1440"/>
        <w:jc w:val="both"/>
      </w:pPr>
      <w:r w:rsidRPr="002A39DC">
        <w:rPr>
          <w:b/>
          <w:bCs/>
        </w:rPr>
        <w:t>UIF</w:t>
      </w:r>
      <w:r w:rsidR="000A65B8">
        <w:rPr>
          <w:b/>
          <w:bCs/>
        </w:rPr>
        <w:t>:</w:t>
      </w:r>
      <w:r w:rsidR="000A65B8">
        <w:tab/>
      </w:r>
      <w:r w:rsidR="00AE01E6" w:rsidRPr="00FF4E2E">
        <w:t>Yes, adjustments should be made to each pro forma plant addition where the expenditures differ from the amounts identified in the MFR’s.</w:t>
      </w:r>
      <w:r w:rsidR="00AE01E6">
        <w:t xml:space="preserve"> The final amount is $36,850,000. (Flynn)</w:t>
      </w:r>
    </w:p>
    <w:p w:rsidR="000A65B8" w:rsidRDefault="000A65B8" w:rsidP="000A65B8">
      <w:pPr>
        <w:ind w:left="1440" w:hanging="1440"/>
        <w:jc w:val="both"/>
      </w:pPr>
    </w:p>
    <w:p w:rsidR="000A65B8" w:rsidRDefault="002A39DC" w:rsidP="000A65B8">
      <w:pPr>
        <w:ind w:left="1440" w:hanging="1440"/>
        <w:jc w:val="both"/>
      </w:pPr>
      <w:r w:rsidRPr="002A39DC">
        <w:rPr>
          <w:b/>
          <w:bCs/>
        </w:rPr>
        <w:t>OPC</w:t>
      </w:r>
      <w:r w:rsidR="000A65B8">
        <w:rPr>
          <w:b/>
          <w:bCs/>
        </w:rPr>
        <w:t>:</w:t>
      </w:r>
      <w:r w:rsidR="000A65B8">
        <w:tab/>
      </w:r>
      <w:r w:rsidR="00CC42AA" w:rsidRPr="00B463BF">
        <w:t>Yes, the following adjustments should be made to each system for the pro forma projects included in UIF’s initial filing, as discussed in testimony and exhibits of OPC witnesses Woodcock and Ramas.</w:t>
      </w:r>
    </w:p>
    <w:p w:rsidR="00E80799" w:rsidRDefault="00E80799" w:rsidP="000A65B8">
      <w:pPr>
        <w:ind w:left="1440" w:hanging="1440"/>
        <w:jc w:val="both"/>
      </w:pPr>
    </w:p>
    <w:p w:rsidR="00124757" w:rsidRPr="00B463BF" w:rsidRDefault="00512881" w:rsidP="00124757">
      <w:pPr>
        <w:spacing w:line="276" w:lineRule="auto"/>
        <w:jc w:val="center"/>
      </w:pPr>
      <w:r w:rsidRPr="00B463BF">
        <w:object w:dxaOrig="8048" w:dyaOrig="4679">
          <v:shape id="_x0000_i1028" type="#_x0000_t75" style="width:337.5pt;height:195.5pt" o:ole="">
            <v:imagedata r:id="rId16" o:title=""/>
          </v:shape>
          <o:OLEObject Type="Embed" ProgID="Excel.Sheet.12" ShapeID="_x0000_i1028" DrawAspect="Content" ObjectID="_1555246806" r:id="rId17"/>
        </w:object>
      </w:r>
    </w:p>
    <w:p w:rsidR="00124757" w:rsidRPr="00B463BF" w:rsidRDefault="00124757" w:rsidP="00512881">
      <w:pPr>
        <w:spacing w:line="276" w:lineRule="auto"/>
        <w:ind w:left="720" w:firstLine="720"/>
      </w:pPr>
      <w:r w:rsidRPr="00B463BF">
        <w:t>(Woodcock/Ramas)</w:t>
      </w:r>
    </w:p>
    <w:p w:rsidR="000A65B8" w:rsidRDefault="000A65B8" w:rsidP="000A65B8">
      <w:pPr>
        <w:ind w:left="1440" w:hanging="1440"/>
        <w:jc w:val="both"/>
      </w:pPr>
    </w:p>
    <w:p w:rsidR="00357433" w:rsidRDefault="00357433" w:rsidP="00357433">
      <w:pPr>
        <w:spacing w:after="240"/>
        <w:ind w:left="1440" w:hanging="1440"/>
        <w:jc w:val="both"/>
        <w:rPr>
          <w:bCs/>
        </w:rPr>
      </w:pPr>
      <w:r>
        <w:rPr>
          <w:b/>
          <w:bCs/>
        </w:rPr>
        <w:t>Summertree:</w:t>
      </w:r>
      <w:r>
        <w:rPr>
          <w:b/>
          <w:bCs/>
        </w:rPr>
        <w:tab/>
      </w:r>
      <w:r w:rsidR="00814C65" w:rsidRPr="00814C65">
        <w:rPr>
          <w:bCs/>
        </w:rPr>
        <w:t xml:space="preserve">UIF testimony, discovery and evidence to be adduced at trial establishes that UIF’s poor management reflected by its failure to implement standard utility mechanisms and programs available and used throughout the industry for as much as decades has led to higher costs and poor service, including capital costs. Had programs such as preventive maintenance, predictive maintenance, geographic information systems, sewer system overflow programs, CMOM programs been in place the level of pro forma investment sought by UIF would be reduced. UIF has failed to provide evidence of its prior capital and renewal and repair expense associated with lines which UIF has suggested were to be replaced as part of the pro forma adjustments such that those prior capital and expenses can be removed from rate base as unnecessarily incurred due to the absence of all of these standard programs and practices which would have impacted their necessity. UIF management has admitted that such prior repairs were expensed in the test year and prior years yet UIF refused to remove such prior expenses from its requested revenue requirement despite them being non-recurring and eliminated by UIF’s alleged pro forma plant and line replacements reflected in proposed Exhibit 51 of UIF Vice President Patrick Flynn. UIF also has failed to demonstrate the </w:t>
      </w:r>
      <w:r w:rsidR="00814C65" w:rsidRPr="00814C65">
        <w:rPr>
          <w:bCs/>
        </w:rPr>
        <w:lastRenderedPageBreak/>
        <w:t>prudence of its pro forma investments by admitting to its deficient management practices throughout the period up to and including the alleged time for implementation of an asset management system and geographic information system suggested to occur in the second half of 2017.</w:t>
      </w:r>
    </w:p>
    <w:p w:rsidR="000A65B8" w:rsidRDefault="002A39DC" w:rsidP="000A65B8">
      <w:pPr>
        <w:spacing w:after="240"/>
        <w:ind w:left="1440" w:hanging="1440"/>
        <w:jc w:val="both"/>
        <w:rPr>
          <w:bCs/>
        </w:rPr>
      </w:pPr>
      <w:r w:rsidRPr="002A39DC">
        <w:rPr>
          <w:b/>
          <w:bCs/>
        </w:rPr>
        <w:t>Staff</w:t>
      </w:r>
      <w:r w:rsidR="000A65B8">
        <w:rPr>
          <w:b/>
          <w:bCs/>
        </w:rPr>
        <w:t>:</w:t>
      </w:r>
      <w:r w:rsidR="000A65B8">
        <w:rPr>
          <w:b/>
          <w:bCs/>
        </w:rPr>
        <w:tab/>
      </w:r>
      <w:r w:rsidR="004C4729">
        <w:t>Staff takes no position pending evidence adduced at hearing</w:t>
      </w:r>
      <w:r w:rsidR="004B01BF">
        <w:t>.</w:t>
      </w:r>
    </w:p>
    <w:p w:rsidR="00F73A23" w:rsidRDefault="00F73A23" w:rsidP="000A65B8">
      <w:pPr>
        <w:ind w:left="1440" w:hanging="1440"/>
        <w:jc w:val="both"/>
        <w:rPr>
          <w:b/>
          <w:bCs/>
          <w:u w:val="single"/>
        </w:rPr>
      </w:pPr>
    </w:p>
    <w:p w:rsidR="000A65B8" w:rsidRDefault="000A65B8" w:rsidP="000A65B8">
      <w:pPr>
        <w:ind w:left="1440" w:hanging="1440"/>
        <w:jc w:val="both"/>
      </w:pPr>
      <w:r>
        <w:rPr>
          <w:b/>
          <w:bCs/>
          <w:u w:val="single"/>
        </w:rPr>
        <w:t>ISSUE 10</w:t>
      </w:r>
      <w:r>
        <w:rPr>
          <w:b/>
          <w:bCs/>
        </w:rPr>
        <w:t>:</w:t>
      </w:r>
      <w:r>
        <w:tab/>
      </w:r>
      <w:r w:rsidR="00D6602D" w:rsidRPr="009176FC">
        <w:rPr>
          <w:b/>
        </w:rPr>
        <w:t>What are the appropriate plant retirements to be made in this docket?</w:t>
      </w:r>
    </w:p>
    <w:p w:rsidR="000A65B8" w:rsidRDefault="000A65B8" w:rsidP="000A65B8">
      <w:pPr>
        <w:ind w:left="1440" w:hanging="1440"/>
        <w:jc w:val="both"/>
      </w:pPr>
    </w:p>
    <w:p w:rsidR="000A65B8" w:rsidRDefault="002A39DC" w:rsidP="000A65B8">
      <w:pPr>
        <w:ind w:left="1440" w:hanging="1440"/>
        <w:jc w:val="both"/>
      </w:pPr>
      <w:r w:rsidRPr="002A39DC">
        <w:rPr>
          <w:b/>
          <w:bCs/>
        </w:rPr>
        <w:t>POSITIONS</w:t>
      </w:r>
    </w:p>
    <w:p w:rsidR="000A65B8" w:rsidRDefault="000A65B8" w:rsidP="000A65B8">
      <w:pPr>
        <w:ind w:left="1440" w:hanging="1440"/>
        <w:jc w:val="both"/>
      </w:pPr>
    </w:p>
    <w:p w:rsidR="003B6CE5" w:rsidRPr="005E4D6A" w:rsidRDefault="002A39DC" w:rsidP="003B6CE5">
      <w:pPr>
        <w:ind w:left="1440" w:hanging="1440"/>
        <w:jc w:val="both"/>
      </w:pPr>
      <w:r w:rsidRPr="002A39DC">
        <w:rPr>
          <w:b/>
          <w:bCs/>
        </w:rPr>
        <w:t>UIF</w:t>
      </w:r>
      <w:r w:rsidR="000A65B8">
        <w:rPr>
          <w:b/>
          <w:bCs/>
        </w:rPr>
        <w:t>:</w:t>
      </w:r>
      <w:r w:rsidR="000A65B8">
        <w:tab/>
      </w:r>
      <w:r w:rsidR="003B6CE5" w:rsidRPr="005E4D6A">
        <w:rPr>
          <w:u w:val="single"/>
        </w:rPr>
        <w:t>Decommissioning</w:t>
      </w:r>
      <w:r w:rsidR="003B6CE5" w:rsidRPr="005E4D6A">
        <w:t xml:space="preserve"> of plants at Longwood, Sandalhaven and Pasco County. </w:t>
      </w:r>
    </w:p>
    <w:p w:rsidR="003B6CE5" w:rsidRDefault="003B6CE5" w:rsidP="003B6CE5">
      <w:pPr>
        <w:ind w:left="1440" w:hanging="1440"/>
        <w:jc w:val="both"/>
      </w:pPr>
    </w:p>
    <w:p w:rsidR="003B6CE5" w:rsidRPr="005E4D6A" w:rsidRDefault="003B6CE5" w:rsidP="003B6CE5">
      <w:pPr>
        <w:ind w:left="1440" w:hanging="1440"/>
        <w:jc w:val="both"/>
      </w:pPr>
      <w:r>
        <w:tab/>
      </w:r>
      <w:r w:rsidRPr="005E4D6A">
        <w:t>In the event of facility decommissioning which would result in a substantial debit balance in accumulated depreciation, that debit balance should be deferred and amortized, with the unamortized portion included in working capital.</w:t>
      </w:r>
    </w:p>
    <w:p w:rsidR="003B6CE5" w:rsidRDefault="003B6CE5" w:rsidP="003B6CE5">
      <w:pPr>
        <w:ind w:left="1440" w:hanging="1440"/>
        <w:jc w:val="both"/>
        <w:rPr>
          <w:u w:val="single"/>
        </w:rPr>
      </w:pPr>
    </w:p>
    <w:p w:rsidR="000A65B8" w:rsidRDefault="003B6CE5" w:rsidP="003B6CE5">
      <w:pPr>
        <w:ind w:left="1440" w:hanging="1440"/>
        <w:jc w:val="both"/>
      </w:pPr>
      <w:r w:rsidRPr="00E80799">
        <w:tab/>
        <w:t>For proforma replacements</w:t>
      </w:r>
      <w:r w:rsidRPr="005E4D6A">
        <w:t xml:space="preserve"> should be made at a level of 75% of the replacement cost, not to exceed the amount in the fixed asset account. In specific cases where it has been determined that the cost on the books of the retired assets is negligible, that should be taken into consideration.</w:t>
      </w:r>
      <w:r>
        <w:t xml:space="preserve"> (Swain)</w:t>
      </w:r>
    </w:p>
    <w:p w:rsidR="00AE01E6" w:rsidRDefault="00AE01E6" w:rsidP="000A65B8">
      <w:pPr>
        <w:ind w:left="1440" w:hanging="1440"/>
        <w:jc w:val="both"/>
      </w:pPr>
    </w:p>
    <w:p w:rsidR="00CD0045" w:rsidRPr="00CD0045" w:rsidRDefault="002A39DC" w:rsidP="00CD0045">
      <w:pPr>
        <w:ind w:left="1440" w:hanging="1440"/>
        <w:jc w:val="both"/>
      </w:pPr>
      <w:r w:rsidRPr="002A39DC">
        <w:rPr>
          <w:b/>
          <w:bCs/>
        </w:rPr>
        <w:t>OPC</w:t>
      </w:r>
      <w:r w:rsidR="000A65B8">
        <w:rPr>
          <w:b/>
          <w:bCs/>
        </w:rPr>
        <w:t>:</w:t>
      </w:r>
      <w:r w:rsidR="000A65B8">
        <w:tab/>
      </w:r>
      <w:r w:rsidR="00CD0045" w:rsidRPr="00CD0045">
        <w:t xml:space="preserve">Retirements associated with plant additions should be recorded consistent with the testimony of OPC witness Ramas (pages 5-12) and should not result in negative accumulated depreciation that remains on UIF’s books indefinitely.  </w:t>
      </w:r>
    </w:p>
    <w:p w:rsidR="00CD0045" w:rsidRPr="00CD0045" w:rsidRDefault="00CD0045" w:rsidP="00CD0045">
      <w:pPr>
        <w:ind w:left="1440" w:hanging="1440"/>
        <w:jc w:val="both"/>
      </w:pPr>
    </w:p>
    <w:p w:rsidR="00CD0045" w:rsidRPr="00CD0045" w:rsidRDefault="00CD0045" w:rsidP="00CD0045">
      <w:pPr>
        <w:ind w:left="1440"/>
        <w:jc w:val="both"/>
      </w:pPr>
      <w:r w:rsidRPr="00CD0045">
        <w:t>The utility’s current fixed asset system does not allow for the specific identification of plant balances when the plant is retired from service.  In its filing, UIF uses a simplified retirement method, primarily utilized by small staff-assisted utilities, to estimate its retired plant as 75% of the new plant addition.  The utility should evaluate each retirement to determine if the estimated retirement exceeds the total amount previously recorded in the account.  (Ramas)</w:t>
      </w:r>
    </w:p>
    <w:p w:rsidR="000A65B8" w:rsidRDefault="000A65B8" w:rsidP="00CD0045">
      <w:pPr>
        <w:ind w:left="1440" w:hanging="1440"/>
        <w:jc w:val="both"/>
      </w:pPr>
    </w:p>
    <w:p w:rsidR="00357433" w:rsidRPr="001138E8" w:rsidRDefault="00357433" w:rsidP="00357433">
      <w:pPr>
        <w:spacing w:after="240"/>
        <w:ind w:left="1440" w:hanging="1440"/>
        <w:jc w:val="both"/>
        <w:rPr>
          <w:bCs/>
        </w:rPr>
      </w:pPr>
      <w:r>
        <w:rPr>
          <w:b/>
          <w:bCs/>
        </w:rPr>
        <w:t>Summertree:</w:t>
      </w:r>
      <w:r>
        <w:rPr>
          <w:b/>
          <w:bCs/>
        </w:rPr>
        <w:tab/>
      </w:r>
      <w:r w:rsidR="001138E8" w:rsidRPr="001138E8">
        <w:rPr>
          <w:bCs/>
        </w:rPr>
        <w:t xml:space="preserve">UIF should not be rewarded for poor accounting and fixed asset system management by allowing it to recognize plant retirements in “pro forma” replacements. UIF touts its credentials as Florida’s largest investor owned utility and claims superior management. However, its testimony, discovery and evidence to be adduced at hearing confirm poor utility management, including the absence of an appropriate fixed asset system which Florida’s largest utility, in operation for these past many decades, should have implemented long ago as any professionally run utility would possess one. As to ordinary retirements which may be indicated, UIF’s failure to have implemented the proper programs and procedures for predictive maintenance, preventive maintenance, geographic information systems, CMOMs, SSO programs all combine to create serious doubt </w:t>
      </w:r>
      <w:r w:rsidR="001138E8" w:rsidRPr="001138E8">
        <w:rPr>
          <w:bCs/>
        </w:rPr>
        <w:lastRenderedPageBreak/>
        <w:t>as to whether the UIF retirements were prudent and whether they were early or otherwise caused by deficient management and utility practices. UIF’s deficiencies should not be rewarded by higher rates and high equity returns.</w:t>
      </w:r>
    </w:p>
    <w:p w:rsidR="000A65B8" w:rsidRDefault="002A39DC" w:rsidP="000A65B8">
      <w:pPr>
        <w:spacing w:after="240"/>
        <w:ind w:left="1440" w:hanging="1440"/>
        <w:jc w:val="both"/>
      </w:pPr>
      <w:r w:rsidRPr="002A39DC">
        <w:rPr>
          <w:b/>
          <w:bCs/>
        </w:rPr>
        <w:t>Staff</w:t>
      </w:r>
      <w:r w:rsidR="000A65B8">
        <w:rPr>
          <w:b/>
          <w:bCs/>
        </w:rPr>
        <w:t>:</w:t>
      </w:r>
      <w:r w:rsidR="000A65B8">
        <w:rPr>
          <w:b/>
          <w:bCs/>
        </w:rPr>
        <w:tab/>
      </w:r>
      <w:r w:rsidR="000A65B8">
        <w:t>Staff takes no position pending evidence adduced at hearing.</w:t>
      </w:r>
    </w:p>
    <w:p w:rsidR="00F73A23" w:rsidRDefault="00F73A23" w:rsidP="000A65B8">
      <w:pPr>
        <w:ind w:left="1440" w:hanging="1440"/>
        <w:jc w:val="both"/>
        <w:rPr>
          <w:b/>
          <w:bCs/>
          <w:u w:val="single"/>
        </w:rPr>
      </w:pPr>
    </w:p>
    <w:p w:rsidR="000A65B8" w:rsidRDefault="000A65B8" w:rsidP="000A65B8">
      <w:pPr>
        <w:ind w:left="1440" w:hanging="1440"/>
        <w:jc w:val="both"/>
      </w:pPr>
      <w:r>
        <w:rPr>
          <w:b/>
          <w:bCs/>
          <w:u w:val="single"/>
        </w:rPr>
        <w:t>ISSUE 10A</w:t>
      </w:r>
      <w:r>
        <w:rPr>
          <w:b/>
          <w:bCs/>
        </w:rPr>
        <w:t>:</w:t>
      </w:r>
      <w:r>
        <w:tab/>
      </w:r>
      <w:r w:rsidR="00861BBF">
        <w:rPr>
          <w:b/>
        </w:rPr>
        <w:t>DROPPED</w:t>
      </w:r>
      <w:r w:rsidR="00E950C7">
        <w:rPr>
          <w:b/>
        </w:rPr>
        <w:t>.</w:t>
      </w:r>
    </w:p>
    <w:p w:rsidR="000A65B8" w:rsidRDefault="00E950C7" w:rsidP="00E950C7">
      <w:pPr>
        <w:tabs>
          <w:tab w:val="left" w:pos="2104"/>
        </w:tabs>
        <w:ind w:left="1440" w:hanging="1440"/>
        <w:jc w:val="both"/>
      </w:pPr>
      <w:r>
        <w:tab/>
      </w:r>
      <w:r>
        <w:tab/>
      </w:r>
    </w:p>
    <w:p w:rsidR="00F73A23" w:rsidRDefault="00F73A23" w:rsidP="000A65B8">
      <w:pPr>
        <w:ind w:left="1440" w:hanging="1440"/>
        <w:jc w:val="both"/>
        <w:rPr>
          <w:b/>
          <w:bCs/>
          <w:u w:val="single"/>
        </w:rPr>
      </w:pPr>
    </w:p>
    <w:p w:rsidR="00F73A23" w:rsidRDefault="000A65B8" w:rsidP="00E950C7">
      <w:pPr>
        <w:ind w:left="1440" w:hanging="1440"/>
        <w:jc w:val="both"/>
        <w:rPr>
          <w:b/>
        </w:rPr>
      </w:pPr>
      <w:r>
        <w:rPr>
          <w:b/>
          <w:bCs/>
          <w:u w:val="single"/>
        </w:rPr>
        <w:t>ISSUE 10B</w:t>
      </w:r>
      <w:r>
        <w:rPr>
          <w:b/>
          <w:bCs/>
        </w:rPr>
        <w:t>:</w:t>
      </w:r>
      <w:r>
        <w:tab/>
      </w:r>
      <w:r w:rsidR="00E950C7">
        <w:rPr>
          <w:b/>
        </w:rPr>
        <w:t>DROPPED.</w:t>
      </w:r>
    </w:p>
    <w:p w:rsidR="00E950C7" w:rsidRDefault="00E950C7" w:rsidP="00E950C7">
      <w:pPr>
        <w:ind w:left="1440" w:hanging="1440"/>
        <w:jc w:val="both"/>
        <w:rPr>
          <w:b/>
        </w:rPr>
      </w:pPr>
    </w:p>
    <w:p w:rsidR="00E950C7" w:rsidRDefault="00E950C7" w:rsidP="00E950C7">
      <w:pPr>
        <w:ind w:left="1440" w:hanging="1440"/>
        <w:jc w:val="both"/>
        <w:rPr>
          <w:b/>
          <w:bCs/>
          <w:u w:val="single"/>
        </w:rPr>
      </w:pPr>
    </w:p>
    <w:p w:rsidR="00A9706A" w:rsidRDefault="00A9706A" w:rsidP="00A9706A">
      <w:pPr>
        <w:ind w:left="1440" w:hanging="1440"/>
        <w:jc w:val="both"/>
      </w:pPr>
      <w:r>
        <w:rPr>
          <w:b/>
          <w:bCs/>
          <w:u w:val="single"/>
        </w:rPr>
        <w:t>ISSUE 11</w:t>
      </w:r>
      <w:r>
        <w:rPr>
          <w:b/>
          <w:bCs/>
        </w:rPr>
        <w:t>:</w:t>
      </w:r>
      <w:r>
        <w:tab/>
      </w:r>
      <w:r w:rsidRPr="009176FC">
        <w:rPr>
          <w:b/>
        </w:rPr>
        <w:t>Do any water systems have excessive unaccounted for water and, if so, what systems and what adjustments are necessary, if any?</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8C2A31" w:rsidRPr="00990BA3">
        <w:t xml:space="preserve">With the exception of the UIF Seminole – Ravenna Park et al, the adjustments </w:t>
      </w:r>
      <w:r w:rsidR="008C2A31">
        <w:t>the positions set forth in OPC’s position on this issue</w:t>
      </w:r>
      <w:r w:rsidR="008C2A31" w:rsidRPr="00990BA3">
        <w:t xml:space="preserve"> are agreed to. No adjustment is warranted in Ravenna Park.</w:t>
      </w:r>
      <w:r w:rsidR="008C2A31">
        <w:t xml:space="preserve"> (Seidman)</w:t>
      </w:r>
    </w:p>
    <w:p w:rsidR="00A9706A" w:rsidRDefault="00A9706A" w:rsidP="00A9706A">
      <w:pPr>
        <w:ind w:left="1440" w:hanging="1440"/>
        <w:jc w:val="both"/>
      </w:pPr>
    </w:p>
    <w:p w:rsidR="008D2019" w:rsidRDefault="002A39DC" w:rsidP="00E354D0">
      <w:pPr>
        <w:ind w:left="1440" w:hanging="1440"/>
        <w:jc w:val="both"/>
      </w:pPr>
      <w:r w:rsidRPr="002A39DC">
        <w:rPr>
          <w:b/>
          <w:bCs/>
        </w:rPr>
        <w:t>OPC</w:t>
      </w:r>
      <w:r w:rsidR="00A9706A">
        <w:rPr>
          <w:b/>
          <w:bCs/>
        </w:rPr>
        <w:t>:</w:t>
      </w:r>
      <w:r w:rsidR="00A9706A">
        <w:tab/>
      </w:r>
      <w:r w:rsidR="00E354D0" w:rsidRPr="00E354D0">
        <w:t>Yes.  OPC witness Woodcock calculated the excessive unaccounted for water (EUW) percentages for each UIF water system.  The table below reflects the ten systems with excessive unaccounted for water, percentages, and recommended adjustments as calculated by OPC witness Ramas. With the exception of UIF Seminole – Ravenna Park which UIF contests, OPC can stipulate to using OPC’s recommended adjustments below.</w:t>
      </w:r>
      <w:r w:rsidR="008D2019" w:rsidRPr="00B463BF">
        <w:tab/>
      </w:r>
      <w:r w:rsidR="008D2019" w:rsidRPr="00B463BF">
        <w:tab/>
      </w:r>
      <w:r w:rsidR="008D2019" w:rsidRPr="00B463BF">
        <w:tab/>
      </w:r>
    </w:p>
    <w:p w:rsidR="004B6739" w:rsidRDefault="004B6739"/>
    <w:tbl>
      <w:tblPr>
        <w:tblStyle w:val="TableGrid"/>
        <w:tblW w:w="9350" w:type="dxa"/>
        <w:tblLook w:val="04A0" w:firstRow="1" w:lastRow="0" w:firstColumn="1" w:lastColumn="0" w:noHBand="0" w:noVBand="1"/>
      </w:tblPr>
      <w:tblGrid>
        <w:gridCol w:w="3312"/>
        <w:gridCol w:w="2725"/>
        <w:gridCol w:w="3313"/>
      </w:tblGrid>
      <w:tr w:rsidR="008D2019" w:rsidRPr="00B463BF" w:rsidTr="00ED0F0A">
        <w:trPr>
          <w:tblHeader/>
        </w:trPr>
        <w:tc>
          <w:tcPr>
            <w:tcW w:w="3312" w:type="dxa"/>
            <w:vAlign w:val="center"/>
          </w:tcPr>
          <w:p w:rsidR="008D2019" w:rsidRPr="00B463BF" w:rsidRDefault="008D2019" w:rsidP="00F1515C">
            <w:pPr>
              <w:spacing w:line="276" w:lineRule="auto"/>
              <w:jc w:val="center"/>
              <w:rPr>
                <w:b/>
                <w:u w:val="single"/>
              </w:rPr>
            </w:pPr>
            <w:r w:rsidRPr="00B463BF">
              <w:rPr>
                <w:b/>
                <w:u w:val="single"/>
              </w:rPr>
              <w:t>System</w:t>
            </w:r>
          </w:p>
        </w:tc>
        <w:tc>
          <w:tcPr>
            <w:tcW w:w="2725" w:type="dxa"/>
            <w:vAlign w:val="center"/>
          </w:tcPr>
          <w:p w:rsidR="008D2019" w:rsidRPr="00B463BF" w:rsidRDefault="008D2019" w:rsidP="00F1515C">
            <w:pPr>
              <w:spacing w:line="276" w:lineRule="auto"/>
              <w:jc w:val="center"/>
              <w:rPr>
                <w:b/>
                <w:u w:val="single"/>
              </w:rPr>
            </w:pPr>
            <w:r w:rsidRPr="00B463BF">
              <w:rPr>
                <w:b/>
                <w:spacing w:val="-2"/>
              </w:rPr>
              <w:t xml:space="preserve">Excessive unaccounted for water (expressed as a percent of total </w:t>
            </w:r>
            <w:r w:rsidRPr="00B463BF">
              <w:rPr>
                <w:b/>
                <w:spacing w:val="-2"/>
                <w:u w:val="single"/>
              </w:rPr>
              <w:t>water pumped or purchased)</w:t>
            </w:r>
          </w:p>
        </w:tc>
        <w:tc>
          <w:tcPr>
            <w:tcW w:w="3313" w:type="dxa"/>
            <w:vAlign w:val="center"/>
          </w:tcPr>
          <w:p w:rsidR="008D2019" w:rsidRPr="00B463BF" w:rsidRDefault="008D2019" w:rsidP="00F1515C">
            <w:pPr>
              <w:spacing w:line="276" w:lineRule="auto"/>
              <w:jc w:val="center"/>
              <w:rPr>
                <w:b/>
              </w:rPr>
            </w:pPr>
            <w:r w:rsidRPr="00B463BF">
              <w:rPr>
                <w:b/>
              </w:rPr>
              <w:t>Expenses related to excessive unaccounted for water</w:t>
            </w:r>
          </w:p>
          <w:p w:rsidR="008D2019" w:rsidRPr="00B463BF" w:rsidRDefault="008D2019" w:rsidP="00F1515C">
            <w:pPr>
              <w:spacing w:line="276" w:lineRule="auto"/>
              <w:jc w:val="center"/>
              <w:rPr>
                <w:b/>
              </w:rPr>
            </w:pPr>
            <w:r w:rsidRPr="00B463BF">
              <w:rPr>
                <w:b/>
              </w:rPr>
              <w:t>(in dollars)</w:t>
            </w:r>
          </w:p>
        </w:tc>
      </w:tr>
      <w:tr w:rsidR="008D2019" w:rsidRPr="00B463BF" w:rsidTr="00F1515C">
        <w:tc>
          <w:tcPr>
            <w:tcW w:w="3312" w:type="dxa"/>
            <w:vAlign w:val="center"/>
          </w:tcPr>
          <w:p w:rsidR="008D2019" w:rsidRPr="00B463BF" w:rsidRDefault="008D2019" w:rsidP="00F1515C">
            <w:pPr>
              <w:spacing w:line="276" w:lineRule="auto"/>
              <w:jc w:val="both"/>
            </w:pPr>
            <w:r w:rsidRPr="00B463BF">
              <w:t>Labrador</w:t>
            </w:r>
          </w:p>
        </w:tc>
        <w:tc>
          <w:tcPr>
            <w:tcW w:w="2725" w:type="dxa"/>
            <w:vAlign w:val="center"/>
          </w:tcPr>
          <w:p w:rsidR="008D2019" w:rsidRPr="00B463BF" w:rsidRDefault="008D2019" w:rsidP="00F1515C">
            <w:pPr>
              <w:spacing w:line="276" w:lineRule="auto"/>
              <w:jc w:val="center"/>
            </w:pPr>
            <w:r w:rsidRPr="00B463BF">
              <w:rPr>
                <w:spacing w:val="-2"/>
              </w:rPr>
              <w:t>4.60%</w:t>
            </w:r>
          </w:p>
        </w:tc>
        <w:tc>
          <w:tcPr>
            <w:tcW w:w="3313" w:type="dxa"/>
            <w:vAlign w:val="center"/>
          </w:tcPr>
          <w:p w:rsidR="008D2019" w:rsidRPr="00B463BF" w:rsidRDefault="008D2019" w:rsidP="00F1515C">
            <w:pPr>
              <w:spacing w:line="276" w:lineRule="auto"/>
              <w:jc w:val="center"/>
            </w:pPr>
            <w:r w:rsidRPr="00B463BF">
              <w:t>(460)</w:t>
            </w:r>
          </w:p>
        </w:tc>
      </w:tr>
      <w:tr w:rsidR="008D2019" w:rsidRPr="00B463BF" w:rsidTr="00F1515C">
        <w:tc>
          <w:tcPr>
            <w:tcW w:w="3312" w:type="dxa"/>
            <w:vAlign w:val="center"/>
          </w:tcPr>
          <w:p w:rsidR="008D2019" w:rsidRPr="00B463BF" w:rsidRDefault="008D2019" w:rsidP="00F1515C">
            <w:pPr>
              <w:spacing w:line="276" w:lineRule="auto"/>
              <w:jc w:val="both"/>
            </w:pPr>
            <w:r w:rsidRPr="00B463BF">
              <w:t>Lake Placid</w:t>
            </w:r>
          </w:p>
        </w:tc>
        <w:tc>
          <w:tcPr>
            <w:tcW w:w="2725" w:type="dxa"/>
            <w:vAlign w:val="center"/>
          </w:tcPr>
          <w:p w:rsidR="008D2019" w:rsidRPr="00B463BF" w:rsidRDefault="008D2019" w:rsidP="00F1515C">
            <w:pPr>
              <w:spacing w:line="276" w:lineRule="auto"/>
              <w:jc w:val="center"/>
            </w:pPr>
            <w:r w:rsidRPr="00B463BF">
              <w:rPr>
                <w:spacing w:val="-2"/>
              </w:rPr>
              <w:t>3.06%</w:t>
            </w:r>
          </w:p>
        </w:tc>
        <w:tc>
          <w:tcPr>
            <w:tcW w:w="3313" w:type="dxa"/>
            <w:vAlign w:val="center"/>
          </w:tcPr>
          <w:p w:rsidR="008D2019" w:rsidRPr="00B463BF" w:rsidRDefault="008D2019" w:rsidP="00F1515C">
            <w:pPr>
              <w:spacing w:line="276" w:lineRule="auto"/>
              <w:jc w:val="center"/>
            </w:pPr>
            <w:r w:rsidRPr="00B463BF">
              <w:t>(108)</w:t>
            </w:r>
          </w:p>
        </w:tc>
      </w:tr>
      <w:tr w:rsidR="008D2019" w:rsidRPr="00B463BF" w:rsidTr="00F1515C">
        <w:tc>
          <w:tcPr>
            <w:tcW w:w="3312" w:type="dxa"/>
            <w:vAlign w:val="center"/>
          </w:tcPr>
          <w:p w:rsidR="008D2019" w:rsidRPr="00B463BF" w:rsidRDefault="008D2019" w:rsidP="00F1515C">
            <w:pPr>
              <w:spacing w:line="276" w:lineRule="auto"/>
              <w:jc w:val="both"/>
            </w:pPr>
            <w:r w:rsidRPr="00B463BF">
              <w:t>Pasco – Orangewood et. al.</w:t>
            </w:r>
          </w:p>
        </w:tc>
        <w:tc>
          <w:tcPr>
            <w:tcW w:w="2725" w:type="dxa"/>
            <w:vAlign w:val="center"/>
          </w:tcPr>
          <w:p w:rsidR="008D2019" w:rsidRPr="00B463BF" w:rsidRDefault="008D2019" w:rsidP="00F1515C">
            <w:pPr>
              <w:spacing w:line="276" w:lineRule="auto"/>
              <w:jc w:val="center"/>
            </w:pPr>
            <w:r w:rsidRPr="00B463BF">
              <w:rPr>
                <w:spacing w:val="-2"/>
              </w:rPr>
              <w:t>7.66%</w:t>
            </w:r>
          </w:p>
        </w:tc>
        <w:tc>
          <w:tcPr>
            <w:tcW w:w="3313" w:type="dxa"/>
            <w:vAlign w:val="center"/>
          </w:tcPr>
          <w:p w:rsidR="008D2019" w:rsidRPr="00B463BF" w:rsidRDefault="008D2019" w:rsidP="00F1515C">
            <w:pPr>
              <w:spacing w:line="276" w:lineRule="auto"/>
              <w:jc w:val="center"/>
            </w:pPr>
            <w:r w:rsidRPr="00B463BF">
              <w:t>(1,234)</w:t>
            </w:r>
          </w:p>
        </w:tc>
      </w:tr>
      <w:tr w:rsidR="008D2019" w:rsidRPr="00B463BF" w:rsidTr="00F1515C">
        <w:tc>
          <w:tcPr>
            <w:tcW w:w="3312" w:type="dxa"/>
            <w:vAlign w:val="center"/>
          </w:tcPr>
          <w:p w:rsidR="008D2019" w:rsidRPr="00B463BF" w:rsidRDefault="008D2019" w:rsidP="00F1515C">
            <w:pPr>
              <w:spacing w:line="276" w:lineRule="auto"/>
              <w:jc w:val="both"/>
            </w:pPr>
            <w:r w:rsidRPr="00B463BF">
              <w:t>UIF Marion</w:t>
            </w:r>
          </w:p>
        </w:tc>
        <w:tc>
          <w:tcPr>
            <w:tcW w:w="2725" w:type="dxa"/>
            <w:vAlign w:val="center"/>
          </w:tcPr>
          <w:p w:rsidR="008D2019" w:rsidRPr="00B463BF" w:rsidRDefault="008D2019" w:rsidP="00F1515C">
            <w:pPr>
              <w:spacing w:line="276" w:lineRule="auto"/>
              <w:jc w:val="center"/>
            </w:pPr>
            <w:r w:rsidRPr="00B463BF">
              <w:rPr>
                <w:spacing w:val="-2"/>
              </w:rPr>
              <w:t>1.35%</w:t>
            </w:r>
          </w:p>
        </w:tc>
        <w:tc>
          <w:tcPr>
            <w:tcW w:w="3313" w:type="dxa"/>
            <w:vAlign w:val="center"/>
          </w:tcPr>
          <w:p w:rsidR="008D2019" w:rsidRPr="00B463BF" w:rsidRDefault="008D2019" w:rsidP="00F1515C">
            <w:pPr>
              <w:spacing w:line="276" w:lineRule="auto"/>
              <w:jc w:val="center"/>
            </w:pPr>
            <w:r w:rsidRPr="00B463BF">
              <w:t>(203)</w:t>
            </w:r>
          </w:p>
        </w:tc>
      </w:tr>
      <w:tr w:rsidR="008D2019" w:rsidRPr="00B463BF" w:rsidTr="00F1515C">
        <w:tc>
          <w:tcPr>
            <w:tcW w:w="3312" w:type="dxa"/>
            <w:vAlign w:val="center"/>
          </w:tcPr>
          <w:p w:rsidR="008D2019" w:rsidRPr="00B463BF" w:rsidRDefault="008D2019" w:rsidP="00F1515C">
            <w:pPr>
              <w:spacing w:line="276" w:lineRule="auto"/>
              <w:jc w:val="both"/>
            </w:pPr>
            <w:r w:rsidRPr="00B463BF">
              <w:t>UIF Pinellas – Lake Tarpon</w:t>
            </w:r>
          </w:p>
        </w:tc>
        <w:tc>
          <w:tcPr>
            <w:tcW w:w="2725" w:type="dxa"/>
            <w:vAlign w:val="center"/>
          </w:tcPr>
          <w:p w:rsidR="008D2019" w:rsidRPr="00B463BF" w:rsidRDefault="008D2019" w:rsidP="00F1515C">
            <w:pPr>
              <w:spacing w:line="276" w:lineRule="auto"/>
              <w:jc w:val="center"/>
            </w:pPr>
            <w:r w:rsidRPr="00B463BF">
              <w:rPr>
                <w:spacing w:val="-2"/>
              </w:rPr>
              <w:t>10.20%</w:t>
            </w:r>
          </w:p>
        </w:tc>
        <w:tc>
          <w:tcPr>
            <w:tcW w:w="3313" w:type="dxa"/>
            <w:vAlign w:val="center"/>
          </w:tcPr>
          <w:p w:rsidR="008D2019" w:rsidRPr="00B463BF" w:rsidRDefault="008D2019" w:rsidP="00F1515C">
            <w:pPr>
              <w:spacing w:line="276" w:lineRule="auto"/>
              <w:jc w:val="center"/>
            </w:pPr>
            <w:r w:rsidRPr="00B463BF">
              <w:t>(415)</w:t>
            </w:r>
          </w:p>
        </w:tc>
      </w:tr>
      <w:tr w:rsidR="008D2019" w:rsidRPr="00B463BF" w:rsidTr="00F1515C">
        <w:tc>
          <w:tcPr>
            <w:tcW w:w="3312" w:type="dxa"/>
            <w:vAlign w:val="center"/>
          </w:tcPr>
          <w:p w:rsidR="008D2019" w:rsidRPr="00B463BF" w:rsidRDefault="008D2019" w:rsidP="00F1515C">
            <w:pPr>
              <w:spacing w:line="276" w:lineRule="auto"/>
              <w:jc w:val="both"/>
            </w:pPr>
            <w:r w:rsidRPr="00B463BF">
              <w:t>UIF Seminole – Ravenna Park et. al.</w:t>
            </w:r>
          </w:p>
        </w:tc>
        <w:tc>
          <w:tcPr>
            <w:tcW w:w="2725" w:type="dxa"/>
            <w:vAlign w:val="center"/>
          </w:tcPr>
          <w:p w:rsidR="008D2019" w:rsidRPr="00B463BF" w:rsidRDefault="008D2019" w:rsidP="00F1515C">
            <w:pPr>
              <w:spacing w:line="276" w:lineRule="auto"/>
              <w:jc w:val="center"/>
            </w:pPr>
            <w:r w:rsidRPr="00B463BF">
              <w:rPr>
                <w:spacing w:val="-2"/>
              </w:rPr>
              <w:t>0.95%</w:t>
            </w:r>
          </w:p>
        </w:tc>
        <w:tc>
          <w:tcPr>
            <w:tcW w:w="3313" w:type="dxa"/>
            <w:vAlign w:val="center"/>
          </w:tcPr>
          <w:p w:rsidR="008D2019" w:rsidRPr="00B463BF" w:rsidRDefault="008D2019" w:rsidP="00F1515C">
            <w:pPr>
              <w:spacing w:line="276" w:lineRule="auto"/>
              <w:jc w:val="center"/>
              <w:rPr>
                <w:spacing w:val="-2"/>
              </w:rPr>
            </w:pPr>
            <w:r w:rsidRPr="00B463BF">
              <w:rPr>
                <w:spacing w:val="-2"/>
              </w:rPr>
              <w:t>(76)</w:t>
            </w:r>
          </w:p>
        </w:tc>
      </w:tr>
      <w:tr w:rsidR="008D2019" w:rsidRPr="00B463BF" w:rsidTr="00F1515C">
        <w:tc>
          <w:tcPr>
            <w:tcW w:w="3312" w:type="dxa"/>
            <w:vAlign w:val="center"/>
          </w:tcPr>
          <w:p w:rsidR="008D2019" w:rsidRPr="00B463BF" w:rsidRDefault="008D2019" w:rsidP="00F1515C">
            <w:pPr>
              <w:spacing w:line="276" w:lineRule="auto"/>
              <w:jc w:val="both"/>
            </w:pPr>
            <w:r w:rsidRPr="00B463BF">
              <w:t>UIF Seminole – Little Wekiva</w:t>
            </w:r>
          </w:p>
        </w:tc>
        <w:tc>
          <w:tcPr>
            <w:tcW w:w="2725" w:type="dxa"/>
            <w:vAlign w:val="center"/>
          </w:tcPr>
          <w:p w:rsidR="008D2019" w:rsidRPr="00B463BF" w:rsidRDefault="008D2019" w:rsidP="00F1515C">
            <w:pPr>
              <w:spacing w:line="276" w:lineRule="auto"/>
              <w:jc w:val="center"/>
            </w:pPr>
            <w:r w:rsidRPr="00B463BF">
              <w:rPr>
                <w:spacing w:val="-2"/>
              </w:rPr>
              <w:t>4.81%</w:t>
            </w:r>
          </w:p>
        </w:tc>
        <w:tc>
          <w:tcPr>
            <w:tcW w:w="3313" w:type="dxa"/>
            <w:vAlign w:val="center"/>
          </w:tcPr>
          <w:p w:rsidR="008D2019" w:rsidRPr="00B463BF" w:rsidRDefault="008D2019" w:rsidP="00F1515C">
            <w:pPr>
              <w:spacing w:line="276" w:lineRule="auto"/>
              <w:jc w:val="center"/>
            </w:pPr>
            <w:r w:rsidRPr="00B463BF">
              <w:t>(66)</w:t>
            </w:r>
          </w:p>
        </w:tc>
      </w:tr>
      <w:tr w:rsidR="008D2019" w:rsidRPr="00B463BF" w:rsidTr="00ED0F0A">
        <w:trPr>
          <w:cantSplit/>
        </w:trPr>
        <w:tc>
          <w:tcPr>
            <w:tcW w:w="3312" w:type="dxa"/>
            <w:vAlign w:val="center"/>
          </w:tcPr>
          <w:p w:rsidR="008D2019" w:rsidRPr="00B463BF" w:rsidRDefault="008D2019" w:rsidP="00F1515C">
            <w:pPr>
              <w:spacing w:line="276" w:lineRule="auto"/>
              <w:jc w:val="both"/>
            </w:pPr>
            <w:r w:rsidRPr="00B463BF">
              <w:t>UIF Seminole – Oakland Shores</w:t>
            </w:r>
          </w:p>
        </w:tc>
        <w:tc>
          <w:tcPr>
            <w:tcW w:w="2725" w:type="dxa"/>
            <w:vAlign w:val="center"/>
          </w:tcPr>
          <w:p w:rsidR="008D2019" w:rsidRPr="00B463BF" w:rsidRDefault="008D2019" w:rsidP="00F1515C">
            <w:pPr>
              <w:spacing w:line="276" w:lineRule="auto"/>
              <w:jc w:val="center"/>
            </w:pPr>
            <w:r w:rsidRPr="00B463BF">
              <w:rPr>
                <w:spacing w:val="-2"/>
              </w:rPr>
              <w:t>2.23%</w:t>
            </w:r>
          </w:p>
        </w:tc>
        <w:tc>
          <w:tcPr>
            <w:tcW w:w="3313" w:type="dxa"/>
            <w:vAlign w:val="center"/>
          </w:tcPr>
          <w:p w:rsidR="008D2019" w:rsidRPr="00B463BF" w:rsidRDefault="008D2019" w:rsidP="00F1515C">
            <w:pPr>
              <w:spacing w:line="276" w:lineRule="auto"/>
              <w:jc w:val="center"/>
            </w:pPr>
            <w:r w:rsidRPr="00B463BF">
              <w:t>(282)</w:t>
            </w:r>
          </w:p>
        </w:tc>
      </w:tr>
      <w:tr w:rsidR="008D2019" w:rsidRPr="00B463BF" w:rsidTr="00F1515C">
        <w:tc>
          <w:tcPr>
            <w:tcW w:w="3312" w:type="dxa"/>
            <w:vAlign w:val="center"/>
          </w:tcPr>
          <w:p w:rsidR="008D2019" w:rsidRPr="00B463BF" w:rsidRDefault="008D2019" w:rsidP="00F1515C">
            <w:pPr>
              <w:spacing w:line="276" w:lineRule="auto"/>
              <w:jc w:val="both"/>
            </w:pPr>
            <w:r w:rsidRPr="00B463BF">
              <w:lastRenderedPageBreak/>
              <w:t>UIF Seminole – Phillips</w:t>
            </w:r>
          </w:p>
        </w:tc>
        <w:tc>
          <w:tcPr>
            <w:tcW w:w="2725" w:type="dxa"/>
            <w:vAlign w:val="center"/>
          </w:tcPr>
          <w:p w:rsidR="008D2019" w:rsidRPr="00B463BF" w:rsidRDefault="008D2019" w:rsidP="00F1515C">
            <w:pPr>
              <w:spacing w:line="276" w:lineRule="auto"/>
              <w:jc w:val="center"/>
            </w:pPr>
            <w:r w:rsidRPr="00B463BF">
              <w:rPr>
                <w:spacing w:val="-2"/>
              </w:rPr>
              <w:t>1.56%</w:t>
            </w:r>
          </w:p>
        </w:tc>
        <w:tc>
          <w:tcPr>
            <w:tcW w:w="3313" w:type="dxa"/>
            <w:vAlign w:val="center"/>
          </w:tcPr>
          <w:p w:rsidR="008D2019" w:rsidRPr="00B463BF" w:rsidRDefault="008D2019" w:rsidP="00F1515C">
            <w:pPr>
              <w:spacing w:line="276" w:lineRule="auto"/>
              <w:jc w:val="center"/>
            </w:pPr>
            <w:r w:rsidRPr="00B463BF">
              <w:t>(28)</w:t>
            </w:r>
          </w:p>
        </w:tc>
      </w:tr>
      <w:tr w:rsidR="008D2019" w:rsidRPr="00B463BF" w:rsidTr="00F1515C">
        <w:tc>
          <w:tcPr>
            <w:tcW w:w="3312" w:type="dxa"/>
            <w:vAlign w:val="center"/>
          </w:tcPr>
          <w:p w:rsidR="008D2019" w:rsidRPr="00B463BF" w:rsidRDefault="008D2019" w:rsidP="00F1515C">
            <w:pPr>
              <w:spacing w:line="276" w:lineRule="auto"/>
              <w:jc w:val="both"/>
            </w:pPr>
            <w:r w:rsidRPr="00B463BF">
              <w:t xml:space="preserve">UIF Seminole – Weathersfield </w:t>
            </w:r>
          </w:p>
        </w:tc>
        <w:tc>
          <w:tcPr>
            <w:tcW w:w="2725" w:type="dxa"/>
            <w:vAlign w:val="center"/>
          </w:tcPr>
          <w:p w:rsidR="008D2019" w:rsidRPr="00B463BF" w:rsidRDefault="008D2019" w:rsidP="00F1515C">
            <w:pPr>
              <w:spacing w:line="276" w:lineRule="auto"/>
              <w:jc w:val="center"/>
            </w:pPr>
            <w:r w:rsidRPr="00B463BF">
              <w:rPr>
                <w:spacing w:val="-2"/>
              </w:rPr>
              <w:t>1.31%</w:t>
            </w:r>
          </w:p>
        </w:tc>
        <w:tc>
          <w:tcPr>
            <w:tcW w:w="3313" w:type="dxa"/>
            <w:vAlign w:val="center"/>
          </w:tcPr>
          <w:p w:rsidR="008D2019" w:rsidRPr="00B463BF" w:rsidRDefault="008D2019" w:rsidP="00F1515C">
            <w:pPr>
              <w:spacing w:line="276" w:lineRule="auto"/>
              <w:jc w:val="center"/>
            </w:pPr>
            <w:r w:rsidRPr="00B463BF">
              <w:t>(338)</w:t>
            </w:r>
          </w:p>
        </w:tc>
      </w:tr>
    </w:tbl>
    <w:p w:rsidR="008D2019" w:rsidRPr="00B463BF" w:rsidRDefault="008D2019" w:rsidP="008D2019">
      <w:pPr>
        <w:spacing w:after="240" w:line="276" w:lineRule="auto"/>
        <w:ind w:firstLine="720"/>
        <w:jc w:val="both"/>
      </w:pPr>
      <w:r w:rsidRPr="00B463BF">
        <w:t>(Ramas/Woodcock)</w:t>
      </w:r>
    </w:p>
    <w:p w:rsidR="00A9706A" w:rsidRDefault="00A9706A" w:rsidP="00A9706A">
      <w:pPr>
        <w:ind w:left="1440" w:hanging="1440"/>
        <w:jc w:val="both"/>
      </w:pPr>
    </w:p>
    <w:p w:rsidR="00D966A6" w:rsidRPr="00D966A6" w:rsidRDefault="00D966A6" w:rsidP="00D966A6">
      <w:pPr>
        <w:spacing w:after="240"/>
        <w:ind w:left="1440" w:hanging="1440"/>
        <w:jc w:val="both"/>
        <w:rPr>
          <w:bCs/>
        </w:rPr>
      </w:pPr>
      <w:r>
        <w:rPr>
          <w:b/>
          <w:bCs/>
        </w:rPr>
        <w:t>Summertree:</w:t>
      </w:r>
      <w:r>
        <w:rPr>
          <w:b/>
          <w:bCs/>
        </w:rPr>
        <w:tab/>
      </w:r>
      <w:r w:rsidRPr="00D966A6">
        <w:rPr>
          <w:bCs/>
        </w:rPr>
        <w:t>UIF has been conducting a high level of flushing on the Summertree system for a long time. Currently, UIF has been flushing inordinately due to its discovery of even poorer water quality and lower water pressure being experienced after interconnect with Pasco County Utilities. Representatives of Pasco County Utilities had requested on numerous occasions that it be allowed to conduct tests on the Summertree distribution system or that UIF conduct such tests itself. UIF actions have resulted in a degraded water quality.</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4C4729">
        <w:t>Staff takes no position pending evidence adduced at hearing</w:t>
      </w:r>
      <w:r w:rsidR="004B01BF">
        <w:t>.</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t>ISSUE 12</w:t>
      </w:r>
      <w:r>
        <w:rPr>
          <w:b/>
          <w:bCs/>
        </w:rPr>
        <w:t>:</w:t>
      </w:r>
      <w:r>
        <w:tab/>
      </w:r>
      <w:r w:rsidRPr="009176FC">
        <w:rPr>
          <w:b/>
        </w:rPr>
        <w:t>Do any wastewater systems have excessive infiltration and/or inflow and, if so, what systems and what adjustments are necessary, if any?</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AE01E6" w:rsidRPr="00990BA3">
        <w:t>The UIF Pasco – Wis Bar system warrants an adjustment of 8.37%. The adjustment in Sandalhaven should be 1.76%. The adjustment in UIF Seminole Lincoln Heights should be 32.62%.</w:t>
      </w:r>
      <w:r w:rsidR="00AE01E6">
        <w:t xml:space="preserve"> </w:t>
      </w:r>
      <w:r w:rsidR="00AE01E6" w:rsidRPr="00D10093">
        <w:t>(Seidman)</w:t>
      </w:r>
    </w:p>
    <w:p w:rsidR="00A9706A" w:rsidRDefault="00A9706A" w:rsidP="00A9706A">
      <w:pPr>
        <w:ind w:left="1440" w:hanging="1440"/>
        <w:jc w:val="both"/>
      </w:pPr>
    </w:p>
    <w:p w:rsidR="00E12D6D" w:rsidRDefault="002A39DC" w:rsidP="00E12D6D">
      <w:pPr>
        <w:ind w:left="1440" w:hanging="1440"/>
        <w:jc w:val="both"/>
      </w:pPr>
      <w:r w:rsidRPr="002A39DC">
        <w:rPr>
          <w:b/>
          <w:bCs/>
        </w:rPr>
        <w:t>OPC</w:t>
      </w:r>
      <w:r w:rsidR="00A9706A">
        <w:rPr>
          <w:b/>
          <w:bCs/>
        </w:rPr>
        <w:t>:</w:t>
      </w:r>
      <w:r w:rsidR="00A9706A">
        <w:tab/>
      </w:r>
      <w:r w:rsidR="00E12D6D" w:rsidRPr="00B463BF">
        <w:t xml:space="preserve">Yes.  OPC witness Woodcock calculated the infiltration and/or inflow (I&amp;I) percentages for each UIF wastewater system.  The table below reflects the systems with excessive infiltration and/or inflow, percentages, and recommended adjustments as calculated by OPC witness Ramas.  </w:t>
      </w:r>
    </w:p>
    <w:p w:rsidR="00E16FCB" w:rsidRDefault="00E16FCB">
      <w:pPr>
        <w:rPr>
          <w:b/>
          <w:u w:val="single"/>
        </w:rPr>
      </w:pPr>
      <w:r>
        <w:rPr>
          <w:b/>
          <w:u w:val="single"/>
        </w:rPr>
        <w:br w:type="page"/>
      </w:r>
    </w:p>
    <w:p w:rsidR="00E16FCB" w:rsidRPr="00B463BF" w:rsidRDefault="00E16FCB" w:rsidP="00E12D6D">
      <w:pPr>
        <w:ind w:left="1440" w:hanging="1440"/>
        <w:jc w:val="both"/>
        <w:rPr>
          <w:b/>
          <w:u w:val="single"/>
        </w:rPr>
      </w:pPr>
    </w:p>
    <w:tbl>
      <w:tblPr>
        <w:tblStyle w:val="TableGrid"/>
        <w:tblW w:w="9042" w:type="dxa"/>
        <w:jc w:val="center"/>
        <w:tblLook w:val="04A0" w:firstRow="1" w:lastRow="0" w:firstColumn="1" w:lastColumn="0" w:noHBand="0" w:noVBand="1"/>
      </w:tblPr>
      <w:tblGrid>
        <w:gridCol w:w="2260"/>
        <w:gridCol w:w="2261"/>
        <w:gridCol w:w="2260"/>
        <w:gridCol w:w="2261"/>
      </w:tblGrid>
      <w:tr w:rsidR="00E12D6D" w:rsidRPr="00E16FCB" w:rsidTr="00F1515C">
        <w:trPr>
          <w:trHeight w:val="1320"/>
          <w:jc w:val="center"/>
        </w:trPr>
        <w:tc>
          <w:tcPr>
            <w:tcW w:w="2260" w:type="dxa"/>
            <w:vAlign w:val="center"/>
          </w:tcPr>
          <w:p w:rsidR="00E12D6D" w:rsidRPr="00E16FCB" w:rsidRDefault="00E12D6D" w:rsidP="00F1515C">
            <w:pPr>
              <w:spacing w:line="276" w:lineRule="auto"/>
              <w:jc w:val="center"/>
            </w:pPr>
            <w:r w:rsidRPr="00E16FCB">
              <w:rPr>
                <w:b/>
                <w:u w:val="single"/>
              </w:rPr>
              <w:t>System</w:t>
            </w:r>
          </w:p>
        </w:tc>
        <w:tc>
          <w:tcPr>
            <w:tcW w:w="2261" w:type="dxa"/>
            <w:vAlign w:val="center"/>
          </w:tcPr>
          <w:p w:rsidR="00E12D6D" w:rsidRPr="00E16FCB" w:rsidRDefault="00E12D6D" w:rsidP="00F1515C">
            <w:pPr>
              <w:spacing w:line="276" w:lineRule="auto"/>
              <w:jc w:val="center"/>
              <w:rPr>
                <w:b/>
                <w:spacing w:val="-2"/>
              </w:rPr>
            </w:pPr>
            <w:r w:rsidRPr="00E16FCB">
              <w:rPr>
                <w:b/>
                <w:spacing w:val="-2"/>
              </w:rPr>
              <w:t>Test Year Excessive I&amp;I</w:t>
            </w:r>
          </w:p>
          <w:p w:rsidR="00E12D6D" w:rsidRPr="00E16FCB" w:rsidRDefault="00E12D6D" w:rsidP="00F1515C">
            <w:pPr>
              <w:spacing w:line="276" w:lineRule="auto"/>
              <w:jc w:val="center"/>
              <w:rPr>
                <w:b/>
                <w:u w:val="single"/>
              </w:rPr>
            </w:pPr>
            <w:r w:rsidRPr="00E16FCB">
              <w:rPr>
                <w:b/>
                <w:spacing w:val="-2"/>
              </w:rPr>
              <w:t>(gallons)</w:t>
            </w:r>
          </w:p>
        </w:tc>
        <w:tc>
          <w:tcPr>
            <w:tcW w:w="2260" w:type="dxa"/>
            <w:vAlign w:val="center"/>
          </w:tcPr>
          <w:p w:rsidR="00E12D6D" w:rsidRPr="00E16FCB" w:rsidRDefault="00E12D6D" w:rsidP="00F1515C">
            <w:pPr>
              <w:spacing w:line="276" w:lineRule="auto"/>
              <w:jc w:val="center"/>
              <w:rPr>
                <w:b/>
                <w:spacing w:val="-2"/>
              </w:rPr>
            </w:pPr>
            <w:r w:rsidRPr="00E16FCB">
              <w:rPr>
                <w:b/>
                <w:spacing w:val="-2"/>
              </w:rPr>
              <w:t xml:space="preserve">Test Year </w:t>
            </w:r>
          </w:p>
          <w:p w:rsidR="00E12D6D" w:rsidRPr="00E16FCB" w:rsidRDefault="00E12D6D" w:rsidP="00F1515C">
            <w:pPr>
              <w:spacing w:line="276" w:lineRule="auto"/>
              <w:jc w:val="center"/>
              <w:rPr>
                <w:b/>
                <w:spacing w:val="-2"/>
              </w:rPr>
            </w:pPr>
            <w:r w:rsidRPr="00E16FCB">
              <w:rPr>
                <w:b/>
                <w:spacing w:val="-2"/>
              </w:rPr>
              <w:t>Excessive I&amp;I</w:t>
            </w:r>
          </w:p>
          <w:p w:rsidR="00E12D6D" w:rsidRPr="00E16FCB" w:rsidRDefault="00E12D6D" w:rsidP="00F1515C">
            <w:pPr>
              <w:spacing w:line="276" w:lineRule="auto"/>
              <w:jc w:val="center"/>
              <w:rPr>
                <w:b/>
                <w:u w:val="single"/>
              </w:rPr>
            </w:pPr>
            <w:r w:rsidRPr="00E16FCB">
              <w:rPr>
                <w:b/>
                <w:u w:val="single"/>
              </w:rPr>
              <w:t>(</w:t>
            </w:r>
            <w:r w:rsidRPr="00E16FCB">
              <w:rPr>
                <w:b/>
                <w:spacing w:val="-2"/>
                <w:u w:val="single"/>
              </w:rPr>
              <w:t>as a percent of WWTP flow</w:t>
            </w:r>
            <w:r w:rsidRPr="00E16FCB">
              <w:rPr>
                <w:b/>
                <w:u w:val="single"/>
              </w:rPr>
              <w:t>)</w:t>
            </w:r>
          </w:p>
        </w:tc>
        <w:tc>
          <w:tcPr>
            <w:tcW w:w="2261" w:type="dxa"/>
            <w:vAlign w:val="center"/>
          </w:tcPr>
          <w:p w:rsidR="00E12D6D" w:rsidRPr="00E16FCB" w:rsidRDefault="00E12D6D" w:rsidP="00F1515C">
            <w:pPr>
              <w:spacing w:line="276" w:lineRule="auto"/>
              <w:jc w:val="center"/>
              <w:rPr>
                <w:b/>
                <w:u w:val="single"/>
              </w:rPr>
            </w:pPr>
            <w:r w:rsidRPr="00E16FCB">
              <w:rPr>
                <w:b/>
                <w:u w:val="single"/>
              </w:rPr>
              <w:t>Expenses related to excessive inflow and infiltration</w:t>
            </w:r>
          </w:p>
          <w:p w:rsidR="00E12D6D" w:rsidRPr="00E16FCB" w:rsidRDefault="00E12D6D" w:rsidP="00F1515C">
            <w:pPr>
              <w:spacing w:line="276" w:lineRule="auto"/>
              <w:jc w:val="center"/>
              <w:rPr>
                <w:b/>
              </w:rPr>
            </w:pPr>
            <w:r w:rsidRPr="00E16FCB">
              <w:rPr>
                <w:b/>
                <w:u w:val="single"/>
              </w:rPr>
              <w:t>(in dollars)</w:t>
            </w:r>
          </w:p>
        </w:tc>
      </w:tr>
      <w:tr w:rsidR="00E12D6D" w:rsidRPr="00E16FCB" w:rsidTr="00F1515C">
        <w:trPr>
          <w:trHeight w:val="295"/>
          <w:jc w:val="center"/>
        </w:trPr>
        <w:tc>
          <w:tcPr>
            <w:tcW w:w="2260" w:type="dxa"/>
            <w:vAlign w:val="center"/>
          </w:tcPr>
          <w:p w:rsidR="00E12D6D" w:rsidRPr="00E16FCB" w:rsidRDefault="00E12D6D" w:rsidP="00F1515C">
            <w:pPr>
              <w:spacing w:line="276" w:lineRule="auto"/>
              <w:jc w:val="both"/>
            </w:pPr>
            <w:r w:rsidRPr="00E16FCB">
              <w:t>Sandalhaven</w:t>
            </w:r>
          </w:p>
        </w:tc>
        <w:tc>
          <w:tcPr>
            <w:tcW w:w="2261" w:type="dxa"/>
            <w:vAlign w:val="center"/>
          </w:tcPr>
          <w:p w:rsidR="00E12D6D" w:rsidRPr="00E16FCB" w:rsidRDefault="00E12D6D" w:rsidP="00F1515C">
            <w:pPr>
              <w:spacing w:line="276" w:lineRule="auto"/>
              <w:jc w:val="center"/>
            </w:pPr>
            <w:r w:rsidRPr="00E16FCB">
              <w:rPr>
                <w:spacing w:val="-2"/>
              </w:rPr>
              <w:t>4,225,819</w:t>
            </w:r>
          </w:p>
        </w:tc>
        <w:tc>
          <w:tcPr>
            <w:tcW w:w="2260" w:type="dxa"/>
            <w:vAlign w:val="center"/>
          </w:tcPr>
          <w:p w:rsidR="00E12D6D" w:rsidRPr="00E16FCB" w:rsidRDefault="00E12D6D" w:rsidP="00F1515C">
            <w:pPr>
              <w:spacing w:line="276" w:lineRule="auto"/>
              <w:jc w:val="center"/>
            </w:pPr>
            <w:r w:rsidRPr="00E16FCB">
              <w:rPr>
                <w:spacing w:val="-2"/>
              </w:rPr>
              <w:t>8.37%</w:t>
            </w:r>
          </w:p>
        </w:tc>
        <w:tc>
          <w:tcPr>
            <w:tcW w:w="2261" w:type="dxa"/>
            <w:vAlign w:val="center"/>
          </w:tcPr>
          <w:p w:rsidR="00E12D6D" w:rsidRPr="00E16FCB" w:rsidRDefault="00E12D6D" w:rsidP="00F1515C">
            <w:pPr>
              <w:spacing w:line="276" w:lineRule="auto"/>
              <w:jc w:val="center"/>
            </w:pPr>
            <w:r w:rsidRPr="00E16FCB">
              <w:t>(28,486)</w:t>
            </w:r>
          </w:p>
        </w:tc>
      </w:tr>
      <w:tr w:rsidR="00E12D6D" w:rsidRPr="00E16FCB" w:rsidTr="00F1515C">
        <w:trPr>
          <w:trHeight w:val="295"/>
          <w:jc w:val="center"/>
        </w:trPr>
        <w:tc>
          <w:tcPr>
            <w:tcW w:w="2260" w:type="dxa"/>
            <w:vAlign w:val="center"/>
          </w:tcPr>
          <w:p w:rsidR="00E12D6D" w:rsidRPr="00E16FCB" w:rsidRDefault="00E12D6D" w:rsidP="00F1515C">
            <w:pPr>
              <w:spacing w:line="276" w:lineRule="auto"/>
              <w:jc w:val="both"/>
            </w:pPr>
            <w:r w:rsidRPr="00E16FCB">
              <w:t>UIF Pasco – Wis Bar</w:t>
            </w:r>
          </w:p>
        </w:tc>
        <w:tc>
          <w:tcPr>
            <w:tcW w:w="2261" w:type="dxa"/>
            <w:vAlign w:val="center"/>
          </w:tcPr>
          <w:p w:rsidR="00E12D6D" w:rsidRPr="00E16FCB" w:rsidRDefault="00E12D6D" w:rsidP="00F1515C">
            <w:pPr>
              <w:spacing w:line="276" w:lineRule="auto"/>
              <w:jc w:val="center"/>
            </w:pPr>
            <w:r w:rsidRPr="00E16FCB">
              <w:rPr>
                <w:spacing w:val="-2"/>
              </w:rPr>
              <w:t>951,518</w:t>
            </w:r>
          </w:p>
        </w:tc>
        <w:tc>
          <w:tcPr>
            <w:tcW w:w="2260" w:type="dxa"/>
            <w:vAlign w:val="center"/>
          </w:tcPr>
          <w:p w:rsidR="00E12D6D" w:rsidRPr="00E16FCB" w:rsidRDefault="00E12D6D" w:rsidP="00F1515C">
            <w:pPr>
              <w:spacing w:line="276" w:lineRule="auto"/>
              <w:jc w:val="center"/>
            </w:pPr>
            <w:r w:rsidRPr="00E16FCB">
              <w:rPr>
                <w:spacing w:val="-2"/>
              </w:rPr>
              <w:t>17.22%</w:t>
            </w:r>
          </w:p>
        </w:tc>
        <w:tc>
          <w:tcPr>
            <w:tcW w:w="2261" w:type="dxa"/>
            <w:vAlign w:val="center"/>
          </w:tcPr>
          <w:p w:rsidR="00E12D6D" w:rsidRPr="00E16FCB" w:rsidRDefault="00E12D6D" w:rsidP="00F1515C">
            <w:pPr>
              <w:spacing w:line="276" w:lineRule="auto"/>
              <w:jc w:val="center"/>
            </w:pPr>
            <w:r w:rsidRPr="00E16FCB">
              <w:t>(33,025)</w:t>
            </w:r>
          </w:p>
        </w:tc>
      </w:tr>
      <w:tr w:rsidR="00E12D6D" w:rsidRPr="00E16FCB" w:rsidTr="00F1515C">
        <w:trPr>
          <w:trHeight w:val="591"/>
          <w:jc w:val="center"/>
        </w:trPr>
        <w:tc>
          <w:tcPr>
            <w:tcW w:w="2260" w:type="dxa"/>
            <w:vAlign w:val="center"/>
          </w:tcPr>
          <w:p w:rsidR="00E12D6D" w:rsidRPr="00E16FCB" w:rsidRDefault="00E12D6D" w:rsidP="00F1515C">
            <w:pPr>
              <w:spacing w:line="276" w:lineRule="auto"/>
              <w:jc w:val="both"/>
            </w:pPr>
            <w:r w:rsidRPr="00E16FCB">
              <w:t>UIF Seminole – Lincoln Heights</w:t>
            </w:r>
          </w:p>
        </w:tc>
        <w:tc>
          <w:tcPr>
            <w:tcW w:w="2261" w:type="dxa"/>
            <w:vAlign w:val="center"/>
          </w:tcPr>
          <w:p w:rsidR="00E12D6D" w:rsidRPr="00E16FCB" w:rsidRDefault="00E12D6D" w:rsidP="00F1515C">
            <w:pPr>
              <w:spacing w:line="276" w:lineRule="auto"/>
              <w:jc w:val="center"/>
            </w:pPr>
            <w:r w:rsidRPr="00E16FCB">
              <w:rPr>
                <w:spacing w:val="-2"/>
              </w:rPr>
              <w:t>8,717,900</w:t>
            </w:r>
          </w:p>
        </w:tc>
        <w:tc>
          <w:tcPr>
            <w:tcW w:w="2260" w:type="dxa"/>
            <w:vAlign w:val="center"/>
          </w:tcPr>
          <w:p w:rsidR="00E12D6D" w:rsidRPr="00E16FCB" w:rsidRDefault="00E12D6D" w:rsidP="00F1515C">
            <w:pPr>
              <w:spacing w:line="276" w:lineRule="auto"/>
              <w:jc w:val="center"/>
            </w:pPr>
            <w:r w:rsidRPr="00E16FCB">
              <w:rPr>
                <w:spacing w:val="-2"/>
              </w:rPr>
              <w:t>37.41%</w:t>
            </w:r>
          </w:p>
        </w:tc>
        <w:tc>
          <w:tcPr>
            <w:tcW w:w="2261" w:type="dxa"/>
            <w:vAlign w:val="center"/>
          </w:tcPr>
          <w:p w:rsidR="00E12D6D" w:rsidRPr="00E16FCB" w:rsidRDefault="00E12D6D" w:rsidP="00F1515C">
            <w:pPr>
              <w:spacing w:line="276" w:lineRule="auto"/>
              <w:jc w:val="center"/>
            </w:pPr>
            <w:r w:rsidRPr="00E16FCB">
              <w:t>(69,439)</w:t>
            </w:r>
          </w:p>
        </w:tc>
      </w:tr>
    </w:tbl>
    <w:p w:rsidR="00E12D6D" w:rsidRPr="00B463BF" w:rsidRDefault="00E12D6D" w:rsidP="00E12D6D">
      <w:pPr>
        <w:spacing w:after="240" w:line="276" w:lineRule="auto"/>
        <w:ind w:firstLine="720"/>
        <w:jc w:val="both"/>
      </w:pPr>
      <w:r w:rsidRPr="00B463BF">
        <w:t>(Ramas/Woodcock)</w:t>
      </w:r>
    </w:p>
    <w:p w:rsidR="00357433" w:rsidRPr="00357433" w:rsidRDefault="00357433" w:rsidP="00357433">
      <w:pPr>
        <w:spacing w:after="240"/>
        <w:ind w:left="1440" w:hanging="1440"/>
        <w:jc w:val="both"/>
        <w:rPr>
          <w:bCs/>
        </w:rPr>
      </w:pPr>
      <w:r>
        <w:rPr>
          <w:b/>
          <w:bCs/>
        </w:rPr>
        <w:t>Summertree:</w:t>
      </w:r>
      <w:r>
        <w:rPr>
          <w:b/>
          <w:bCs/>
        </w:rPr>
        <w:tab/>
      </w:r>
      <w:r w:rsidR="00D966A6" w:rsidRPr="00D966A6">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4B01BF">
        <w:t>Staff takes no position pending evidence adduced at hearing.</w:t>
      </w:r>
    </w:p>
    <w:p w:rsidR="00E950C7" w:rsidRDefault="00E950C7">
      <w:pPr>
        <w:rPr>
          <w:b/>
          <w:bCs/>
          <w:u w:val="single"/>
        </w:rPr>
      </w:pPr>
    </w:p>
    <w:p w:rsidR="00A9706A" w:rsidRDefault="00A9706A" w:rsidP="00A9706A">
      <w:pPr>
        <w:ind w:left="1440" w:hanging="1440"/>
        <w:jc w:val="both"/>
      </w:pPr>
      <w:r>
        <w:rPr>
          <w:b/>
          <w:bCs/>
          <w:u w:val="single"/>
        </w:rPr>
        <w:t>ISSUE 13</w:t>
      </w:r>
      <w:r>
        <w:rPr>
          <w:b/>
          <w:bCs/>
        </w:rPr>
        <w:t>:</w:t>
      </w:r>
      <w:r>
        <w:tab/>
      </w:r>
      <w:r w:rsidRPr="009176FC">
        <w:rPr>
          <w:b/>
        </w:rPr>
        <w:t>What are the appropriate used and useful percentages for the water treatment and related facilities of each water system?</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A54027" w:rsidRPr="00990BA3">
        <w:t>All water treatment and related facilities are 100% used and useful.</w:t>
      </w:r>
      <w:r w:rsidR="00A54027">
        <w:t xml:space="preserve"> </w:t>
      </w:r>
      <w:r w:rsidR="00A54027" w:rsidRPr="00D10093">
        <w:t>(Seidman)</w:t>
      </w:r>
    </w:p>
    <w:p w:rsidR="00A9706A" w:rsidRDefault="00A9706A" w:rsidP="00A9706A">
      <w:pPr>
        <w:ind w:left="1440" w:hanging="1440"/>
        <w:jc w:val="both"/>
      </w:pPr>
    </w:p>
    <w:p w:rsidR="00A9706A" w:rsidRDefault="002A39DC" w:rsidP="00A9706A">
      <w:pPr>
        <w:ind w:left="1440" w:hanging="1440"/>
        <w:jc w:val="both"/>
      </w:pPr>
      <w:r w:rsidRPr="002A39DC">
        <w:rPr>
          <w:b/>
          <w:bCs/>
        </w:rPr>
        <w:t>OPC</w:t>
      </w:r>
      <w:r w:rsidR="00A9706A">
        <w:rPr>
          <w:b/>
          <w:bCs/>
        </w:rPr>
        <w:t>:</w:t>
      </w:r>
      <w:r w:rsidR="00A9706A">
        <w:tab/>
      </w:r>
      <w:r w:rsidR="00BA407B">
        <w:t>No position.</w:t>
      </w:r>
    </w:p>
    <w:p w:rsidR="00A9706A" w:rsidRDefault="00A9706A" w:rsidP="00A9706A">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D966A6" w:rsidRPr="00D966A6">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4B01BF">
        <w:t>Staff takes no position pending evidence adduced at hearing.</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t>ISSUE 14</w:t>
      </w:r>
      <w:r>
        <w:rPr>
          <w:b/>
          <w:bCs/>
        </w:rPr>
        <w:t>:</w:t>
      </w:r>
      <w:r>
        <w:tab/>
      </w:r>
      <w:r w:rsidRPr="009176FC">
        <w:rPr>
          <w:b/>
        </w:rPr>
        <w:t>What are the appropriate used and useful percentages for the water storage and related facilities of each water system?</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195AB9">
        <w:t xml:space="preserve">All </w:t>
      </w:r>
      <w:r w:rsidR="00195AB9" w:rsidRPr="00F9011C">
        <w:t xml:space="preserve">water storage and related facilities </w:t>
      </w:r>
      <w:r w:rsidR="00195AB9">
        <w:t xml:space="preserve">are 100% used and useful. </w:t>
      </w:r>
      <w:r w:rsidR="00195AB9" w:rsidRPr="00D10093">
        <w:t>(Seidman)</w:t>
      </w:r>
    </w:p>
    <w:p w:rsidR="00A9706A" w:rsidRDefault="00A9706A" w:rsidP="00A9706A">
      <w:pPr>
        <w:ind w:left="1440" w:hanging="1440"/>
        <w:jc w:val="both"/>
      </w:pPr>
    </w:p>
    <w:p w:rsidR="00A9706A" w:rsidRDefault="002A39DC" w:rsidP="00A9706A">
      <w:pPr>
        <w:ind w:left="1440" w:hanging="1440"/>
        <w:jc w:val="both"/>
      </w:pPr>
      <w:r w:rsidRPr="002A39DC">
        <w:rPr>
          <w:b/>
          <w:bCs/>
        </w:rPr>
        <w:t>OPC</w:t>
      </w:r>
      <w:r w:rsidR="00A9706A">
        <w:rPr>
          <w:b/>
          <w:bCs/>
        </w:rPr>
        <w:t>:</w:t>
      </w:r>
      <w:r w:rsidR="00A9706A">
        <w:tab/>
      </w:r>
      <w:r w:rsidR="00BA407B">
        <w:t>No position.</w:t>
      </w:r>
    </w:p>
    <w:p w:rsidR="00A9706A" w:rsidRDefault="00A9706A" w:rsidP="00A9706A">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960EE" w:rsidRPr="00E354D0">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4B01BF">
        <w:t>Staff takes no position pending evidence adduced at hearing.</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lastRenderedPageBreak/>
        <w:t>ISSUE 15</w:t>
      </w:r>
      <w:r>
        <w:rPr>
          <w:b/>
          <w:bCs/>
        </w:rPr>
        <w:t>:</w:t>
      </w:r>
      <w:r>
        <w:tab/>
      </w:r>
      <w:r w:rsidRPr="009176FC">
        <w:rPr>
          <w:b/>
        </w:rPr>
        <w:t>What are the appropriate used and useful percentages for the water distribution and related facilities of each water system?</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BE715B" w:rsidRPr="00F9011C">
        <w:t xml:space="preserve">All water </w:t>
      </w:r>
      <w:r w:rsidR="00BE715B">
        <w:t>distribution and related facilities</w:t>
      </w:r>
      <w:r w:rsidR="00BE715B" w:rsidRPr="00F9011C">
        <w:t xml:space="preserve"> are 100% used and useful.</w:t>
      </w:r>
      <w:r w:rsidR="00BE715B">
        <w:t xml:space="preserve"> </w:t>
      </w:r>
      <w:r w:rsidR="00BE715B" w:rsidRPr="00D10093">
        <w:t>(Seidman)</w:t>
      </w:r>
    </w:p>
    <w:p w:rsidR="00A9706A" w:rsidRDefault="00A9706A" w:rsidP="00A9706A">
      <w:pPr>
        <w:ind w:left="1440" w:hanging="1440"/>
        <w:jc w:val="both"/>
      </w:pPr>
    </w:p>
    <w:p w:rsidR="00A9706A" w:rsidRDefault="002A39DC" w:rsidP="00A9706A">
      <w:pPr>
        <w:ind w:left="1440" w:hanging="1440"/>
        <w:jc w:val="both"/>
      </w:pPr>
      <w:r w:rsidRPr="002A39DC">
        <w:rPr>
          <w:b/>
          <w:bCs/>
        </w:rPr>
        <w:t>OPC</w:t>
      </w:r>
      <w:r w:rsidR="00A9706A">
        <w:rPr>
          <w:b/>
          <w:bCs/>
        </w:rPr>
        <w:t>:</w:t>
      </w:r>
      <w:r w:rsidR="00A9706A">
        <w:tab/>
      </w:r>
      <w:r w:rsidR="00BA407B">
        <w:t>No position.</w:t>
      </w:r>
    </w:p>
    <w:p w:rsidR="00A9706A" w:rsidRDefault="00A9706A" w:rsidP="00A9706A">
      <w:pPr>
        <w:ind w:left="1440" w:hanging="1440"/>
        <w:jc w:val="both"/>
      </w:pPr>
    </w:p>
    <w:p w:rsidR="00357433" w:rsidRPr="000960EE" w:rsidRDefault="00357433" w:rsidP="00357433">
      <w:pPr>
        <w:spacing w:after="240"/>
        <w:ind w:left="1440" w:hanging="1440"/>
        <w:jc w:val="both"/>
        <w:rPr>
          <w:bCs/>
        </w:rPr>
      </w:pPr>
      <w:r>
        <w:rPr>
          <w:b/>
          <w:bCs/>
        </w:rPr>
        <w:t>Summertree:</w:t>
      </w:r>
      <w:r>
        <w:rPr>
          <w:b/>
          <w:bCs/>
        </w:rPr>
        <w:tab/>
      </w:r>
      <w:r w:rsidR="000960EE" w:rsidRPr="00E354D0">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4B01BF">
        <w:t>Staff takes no position pending evidence adduced at hearing.</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t>ISSUE 16</w:t>
      </w:r>
      <w:r>
        <w:rPr>
          <w:b/>
          <w:bCs/>
        </w:rPr>
        <w:t>:</w:t>
      </w:r>
      <w:r>
        <w:tab/>
      </w:r>
      <w:r w:rsidRPr="009176FC">
        <w:rPr>
          <w:b/>
        </w:rPr>
        <w:t>What are the appropriate used and useful percentages for the wastewater treatment and related facilities of each wastewater system?</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8C2A31" w:rsidRPr="00D103B2">
        <w:t xml:space="preserve">The </w:t>
      </w:r>
      <w:r w:rsidR="008C2A31">
        <w:t xml:space="preserve">used and </w:t>
      </w:r>
      <w:r w:rsidR="008C2A31" w:rsidRPr="00D103B2">
        <w:t xml:space="preserve">useful </w:t>
      </w:r>
      <w:r w:rsidR="008C2A31">
        <w:t>percentage</w:t>
      </w:r>
      <w:r w:rsidR="008C2A31" w:rsidRPr="00D103B2">
        <w:t xml:space="preserve"> in LUSI should be 59%. No adjustment is appropriate with regard to Mid-County, Lake Placid, Labrador, Eagle Ridge, or Crownwood treatment plants. In Sandalhaven, the used and useful percentage of purchased capacity should be 99%, the force main, master lift station structure, and the pumping equipment should be 100%.</w:t>
      </w:r>
      <w:r w:rsidR="008C2A31">
        <w:t xml:space="preserve"> </w:t>
      </w:r>
      <w:r w:rsidR="008C2A31" w:rsidRPr="00D10093">
        <w:t>(Seidman)</w:t>
      </w:r>
    </w:p>
    <w:p w:rsidR="00A9706A" w:rsidRDefault="00A9706A" w:rsidP="00A9706A">
      <w:pPr>
        <w:ind w:left="1440" w:hanging="1440"/>
        <w:jc w:val="both"/>
      </w:pPr>
    </w:p>
    <w:p w:rsidR="00CA6405" w:rsidRPr="00B463BF" w:rsidRDefault="002A39DC" w:rsidP="004B01BF">
      <w:pPr>
        <w:spacing w:after="120"/>
        <w:ind w:left="1440" w:hanging="1440"/>
        <w:jc w:val="both"/>
      </w:pPr>
      <w:r w:rsidRPr="002A39DC">
        <w:rPr>
          <w:b/>
          <w:bCs/>
        </w:rPr>
        <w:t>OPC</w:t>
      </w:r>
      <w:r w:rsidR="00A9706A">
        <w:rPr>
          <w:b/>
          <w:bCs/>
        </w:rPr>
        <w:t>:</w:t>
      </w:r>
      <w:r w:rsidR="00A9706A">
        <w:tab/>
      </w:r>
      <w:r w:rsidR="00CA6405" w:rsidRPr="00B463BF">
        <w:t xml:space="preserve">The appropriate used and useful percentage for the wastewater treatment and related facilities of each system should be determined by the Commission using Rule 25-30.4325, F.A.C.  The used and useful methodology and calculated used and useful percentages suggested by UIF should be rejected.  Consistent with the testimony, methodology, and calculation of used and useful by OPC witness Woodcock, the appropriate used and useful in the public service percentages should be as follows: </w:t>
      </w:r>
    </w:p>
    <w:p w:rsidR="00CA6405" w:rsidRPr="00B463BF" w:rsidRDefault="00CA6405" w:rsidP="00101A92">
      <w:pPr>
        <w:numPr>
          <w:ilvl w:val="1"/>
          <w:numId w:val="2"/>
        </w:numPr>
        <w:spacing w:before="120"/>
        <w:ind w:left="2160" w:hanging="446"/>
        <w:contextualSpacing/>
        <w:jc w:val="both"/>
      </w:pPr>
      <w:r w:rsidRPr="00B463BF">
        <w:t>LUSI should be considered 53.55% used and useful.  Exhibit ATW-5</w:t>
      </w:r>
    </w:p>
    <w:p w:rsidR="00CA6405" w:rsidRPr="00B463BF" w:rsidRDefault="00CA6405" w:rsidP="00101A92">
      <w:pPr>
        <w:numPr>
          <w:ilvl w:val="1"/>
          <w:numId w:val="2"/>
        </w:numPr>
        <w:ind w:left="2160" w:hanging="450"/>
        <w:contextualSpacing/>
        <w:jc w:val="both"/>
      </w:pPr>
      <w:r w:rsidRPr="00B463BF">
        <w:t>Mid County should be considered 93.67% used and useful.  Exhibit ATW-6</w:t>
      </w:r>
    </w:p>
    <w:p w:rsidR="00CA6405" w:rsidRPr="00B463BF" w:rsidRDefault="00CA6405" w:rsidP="00101A92">
      <w:pPr>
        <w:numPr>
          <w:ilvl w:val="1"/>
          <w:numId w:val="2"/>
        </w:numPr>
        <w:ind w:left="2160" w:hanging="450"/>
        <w:contextualSpacing/>
        <w:jc w:val="both"/>
      </w:pPr>
      <w:r w:rsidRPr="00B463BF">
        <w:t>Lake Placid should be considered 29.79% used and useful.  Exhibit ATW-7</w:t>
      </w:r>
    </w:p>
    <w:p w:rsidR="00CA6405" w:rsidRPr="00B463BF" w:rsidRDefault="00CA6405" w:rsidP="00101A92">
      <w:pPr>
        <w:numPr>
          <w:ilvl w:val="1"/>
          <w:numId w:val="2"/>
        </w:numPr>
        <w:ind w:left="2160" w:hanging="450"/>
        <w:contextualSpacing/>
        <w:jc w:val="both"/>
      </w:pPr>
      <w:r w:rsidRPr="00B463BF">
        <w:t>Labrador should be considered 40.59% used and useful.  Exhibit ATW-9 &amp; 10</w:t>
      </w:r>
    </w:p>
    <w:p w:rsidR="00CA6405" w:rsidRPr="00B463BF" w:rsidRDefault="00CA6405" w:rsidP="00101A92">
      <w:pPr>
        <w:numPr>
          <w:ilvl w:val="1"/>
          <w:numId w:val="2"/>
        </w:numPr>
        <w:ind w:left="2160" w:hanging="450"/>
        <w:contextualSpacing/>
        <w:jc w:val="both"/>
      </w:pPr>
      <w:r w:rsidRPr="00B463BF">
        <w:t xml:space="preserve">Eagle Ridge may be considered 100% used and useful despite the calculation showing that Eagle Ridge is 84.49% used and useful.  Exhibit ATW-11  </w:t>
      </w:r>
    </w:p>
    <w:p w:rsidR="00CA6405" w:rsidRPr="00B463BF" w:rsidRDefault="00CA6405" w:rsidP="00101A92">
      <w:pPr>
        <w:numPr>
          <w:ilvl w:val="1"/>
          <w:numId w:val="2"/>
        </w:numPr>
        <w:ind w:left="2160" w:hanging="450"/>
        <w:contextualSpacing/>
        <w:jc w:val="both"/>
      </w:pPr>
      <w:r w:rsidRPr="00B463BF">
        <w:t>Crownwood should be considered 53.20% used and useful. Exhibit ATW-12 &amp; 13</w:t>
      </w:r>
    </w:p>
    <w:p w:rsidR="00CA6405" w:rsidRPr="00B463BF" w:rsidRDefault="00CA6405" w:rsidP="00101A92">
      <w:pPr>
        <w:numPr>
          <w:ilvl w:val="1"/>
          <w:numId w:val="2"/>
        </w:numPr>
        <w:ind w:left="2160" w:hanging="450"/>
        <w:contextualSpacing/>
        <w:jc w:val="both"/>
      </w:pPr>
      <w:r w:rsidRPr="00B463BF">
        <w:lastRenderedPageBreak/>
        <w:t>Sandalhaven Englewood Water District Capacity Fees should be considered 42.24% used and useful; Master Lift Station should be considered 11.27% used and useful; Pumping Plant should be 27.25% used and useful; and the Force Main 13.55% used and useful.  Exhibit ATW-15.</w:t>
      </w:r>
    </w:p>
    <w:p w:rsidR="00CA6405" w:rsidRPr="00B463BF" w:rsidRDefault="00CA6405" w:rsidP="00CA6405">
      <w:pPr>
        <w:spacing w:line="276" w:lineRule="auto"/>
        <w:ind w:left="1440"/>
        <w:jc w:val="both"/>
      </w:pPr>
      <w:r w:rsidRPr="00B463BF">
        <w:t>(Woodcock)</w:t>
      </w:r>
    </w:p>
    <w:p w:rsidR="00A9706A" w:rsidRDefault="00A9706A" w:rsidP="00A9706A">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4B01BF">
        <w:t>Staff takes no position pending evidence adduced at hearing.</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t>ISSUE 17</w:t>
      </w:r>
      <w:r>
        <w:rPr>
          <w:b/>
          <w:bCs/>
        </w:rPr>
        <w:t>:</w:t>
      </w:r>
      <w:r>
        <w:tab/>
      </w:r>
      <w:r w:rsidRPr="009176FC">
        <w:rPr>
          <w:b/>
        </w:rPr>
        <w:t>What are the appropriate used and useful percentages for the collection lines and related facilities of each wastewater system?</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936A9E">
        <w:t xml:space="preserve">All collection lines are 100% used and useful. </w:t>
      </w:r>
      <w:r w:rsidR="00936A9E" w:rsidRPr="00D10093">
        <w:t>(Seidman)</w:t>
      </w:r>
    </w:p>
    <w:p w:rsidR="00A9706A" w:rsidRDefault="00A9706A" w:rsidP="00A9706A">
      <w:pPr>
        <w:ind w:left="1440" w:hanging="1440"/>
        <w:jc w:val="both"/>
      </w:pPr>
    </w:p>
    <w:p w:rsidR="00A9706A" w:rsidRDefault="002A39DC" w:rsidP="00A9706A">
      <w:pPr>
        <w:ind w:left="1440" w:hanging="1440"/>
        <w:jc w:val="both"/>
      </w:pPr>
      <w:r w:rsidRPr="002A39DC">
        <w:rPr>
          <w:b/>
          <w:bCs/>
        </w:rPr>
        <w:t>OPC</w:t>
      </w:r>
      <w:r w:rsidR="00A9706A">
        <w:rPr>
          <w:b/>
          <w:bCs/>
        </w:rPr>
        <w:t>:</w:t>
      </w:r>
      <w:r w:rsidR="00A9706A">
        <w:tab/>
      </w:r>
      <w:r w:rsidR="00E354D0">
        <w:t xml:space="preserve">No </w:t>
      </w:r>
      <w:r w:rsidR="0029055D">
        <w:t>p</w:t>
      </w:r>
      <w:r w:rsidR="00E354D0">
        <w:t>osition.</w:t>
      </w:r>
    </w:p>
    <w:p w:rsidR="00A9706A" w:rsidRDefault="00A9706A" w:rsidP="00A9706A">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4B01BF">
        <w:t>Staff takes no position pending evidence adduced at hearing.</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t>ISSUE 18</w:t>
      </w:r>
      <w:r>
        <w:rPr>
          <w:b/>
          <w:bCs/>
        </w:rPr>
        <w:t>:</w:t>
      </w:r>
      <w:r>
        <w:tab/>
      </w:r>
      <w:r w:rsidRPr="009176FC">
        <w:rPr>
          <w:b/>
        </w:rPr>
        <w:t>Should any adjustments be made to test year accumulated depreciation?</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223370" w:rsidRPr="002330B1">
        <w:t>An increase of $</w:t>
      </w:r>
      <w:r w:rsidR="00223370" w:rsidRPr="002051C3">
        <w:t xml:space="preserve">16,628,346 </w:t>
      </w:r>
      <w:r w:rsidR="00223370" w:rsidRPr="002330B1">
        <w:t>should be made</w:t>
      </w:r>
      <w:r w:rsidR="00223370">
        <w:t xml:space="preserve"> to adjusted test year</w:t>
      </w:r>
      <w:r w:rsidR="00223370" w:rsidRPr="002330B1">
        <w:t>.</w:t>
      </w:r>
      <w:r w:rsidR="00223370">
        <w:t xml:space="preserve">   (Swain)</w:t>
      </w:r>
    </w:p>
    <w:p w:rsidR="00A9706A" w:rsidRDefault="00A9706A" w:rsidP="00A9706A">
      <w:pPr>
        <w:ind w:left="1440" w:hanging="1440"/>
        <w:jc w:val="both"/>
      </w:pPr>
    </w:p>
    <w:p w:rsidR="0030748F" w:rsidRPr="00B463BF" w:rsidRDefault="002A39DC" w:rsidP="0029055D">
      <w:pPr>
        <w:ind w:left="1440" w:hanging="1440"/>
        <w:jc w:val="both"/>
      </w:pPr>
      <w:r w:rsidRPr="002A39DC">
        <w:rPr>
          <w:b/>
          <w:bCs/>
        </w:rPr>
        <w:t>OPC</w:t>
      </w:r>
      <w:r w:rsidR="00A9706A">
        <w:rPr>
          <w:b/>
          <w:bCs/>
        </w:rPr>
        <w:t>:</w:t>
      </w:r>
      <w:r w:rsidR="00A9706A">
        <w:tab/>
      </w:r>
      <w:r w:rsidR="0030748F" w:rsidRPr="00B463BF">
        <w:t xml:space="preserve">Yes, the following adjustments should be made for assets that are fully depreciated and to adjust the utility’s adjusted test year for Pasco County and Longwood. </w:t>
      </w:r>
    </w:p>
    <w:p w:rsidR="0030748F" w:rsidRPr="00B463BF" w:rsidRDefault="0030748F" w:rsidP="0030748F">
      <w:pPr>
        <w:spacing w:line="276" w:lineRule="auto"/>
        <w:jc w:val="both"/>
      </w:pPr>
    </w:p>
    <w:p w:rsidR="0030748F" w:rsidRPr="00B463BF" w:rsidRDefault="00C03301" w:rsidP="0030748F">
      <w:pPr>
        <w:tabs>
          <w:tab w:val="left" w:pos="1019"/>
        </w:tabs>
        <w:spacing w:line="276" w:lineRule="auto"/>
        <w:jc w:val="center"/>
      </w:pPr>
      <w:r w:rsidRPr="00B463BF">
        <w:object w:dxaOrig="8067" w:dyaOrig="2066">
          <v:shape id="_x0000_i1029" type="#_x0000_t75" style="width:332.5pt;height:8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12" ShapeID="_x0000_i1029" DrawAspect="Content" ObjectID="_1555246807" r:id="rId19"/>
        </w:object>
      </w:r>
    </w:p>
    <w:p w:rsidR="0030748F" w:rsidRDefault="0030748F" w:rsidP="0030748F">
      <w:pPr>
        <w:tabs>
          <w:tab w:val="left" w:pos="1019"/>
        </w:tabs>
        <w:spacing w:after="240" w:line="276" w:lineRule="auto"/>
        <w:jc w:val="both"/>
      </w:pPr>
      <w:r w:rsidRPr="00B463BF">
        <w:tab/>
      </w:r>
      <w:r>
        <w:tab/>
      </w:r>
      <w:r w:rsidRPr="00B463BF">
        <w:t>(Ramas)</w:t>
      </w:r>
    </w:p>
    <w:p w:rsidR="0029055D" w:rsidRPr="0029055D" w:rsidRDefault="0029055D" w:rsidP="0029055D">
      <w:pPr>
        <w:tabs>
          <w:tab w:val="left" w:pos="1019"/>
        </w:tabs>
        <w:spacing w:after="240"/>
        <w:ind w:left="1440"/>
        <w:jc w:val="both"/>
      </w:pPr>
      <w:r w:rsidRPr="0029055D">
        <w:lastRenderedPageBreak/>
        <w:t>If the Commission addresses Issue 10B under this issue,</w:t>
      </w:r>
      <w:r w:rsidRPr="0029055D" w:rsidDel="00063E1D">
        <w:t xml:space="preserve"> </w:t>
      </w:r>
      <w:r w:rsidRPr="0029055D">
        <w:t xml:space="preserve">consistent with the testimony of OPC witness Ramas (pages 10-12, 87-89), the Commission should determine what to do with current negative accumulated depreciation balances.   </w:t>
      </w:r>
    </w:p>
    <w:p w:rsidR="0029055D" w:rsidRPr="0029055D" w:rsidRDefault="0029055D" w:rsidP="0029055D">
      <w:pPr>
        <w:tabs>
          <w:tab w:val="left" w:pos="1019"/>
        </w:tabs>
        <w:spacing w:after="240"/>
        <w:ind w:left="1440"/>
        <w:jc w:val="both"/>
      </w:pPr>
      <w:r w:rsidRPr="0029055D">
        <w:t xml:space="preserve">In certain circumstances, UIF uses a method to retire its plant assets that estimates the original costs of those assets which  leads to an excessive amount of plant retirement and a negative balance in accumulated depreciation.  A negative accumulated depreciation balance causes an increase in rate base and is not a just or reasonable result.  This is especially true when there is no procedure in place to remove or correct these negative balances, thus allowing UIF to have an inflated rate base.  If not prevented from occurring when the retirements are made, UIF will benefit from these phantom increases to its rate base that will never amortize, meaning customers will continue to pay a return on these balances in perpetuity.  </w:t>
      </w:r>
    </w:p>
    <w:p w:rsidR="0029055D" w:rsidRPr="00B463BF" w:rsidRDefault="0029055D" w:rsidP="0029055D">
      <w:pPr>
        <w:tabs>
          <w:tab w:val="left" w:pos="1019"/>
        </w:tabs>
        <w:spacing w:after="240"/>
        <w:ind w:left="1440"/>
        <w:jc w:val="both"/>
      </w:pPr>
      <w:r w:rsidRPr="0029055D">
        <w:t>The NARUC Uniform System of Accounts recognizes that the early retirement of a major unit of property, which would eliminate or seriously deplete the existing depreciation reserve, may require accounting treatment which differs from the standard retirement accounting procedure. See NARUC USOA Accounting Instruction 27(H).  Commission Rule 25-30.140(8) also recognizes that retirements of major installations may not be fully recovered at the time of retirement.  Both of these rules recommend solutions to avoid significant negative balances in the accumulated depreciation account.  The utility plant in service amount to be retired should be carefully reviewed, and any negative accumulated balance should be evaluated on a case-by-case basis to determine if the retirement results in an extraordinary loss or if there is some error that needs to be corrected.  The utility should not be allowed to carry significant balances of negative accumulated depreciation without a means to write these off over time through an amortization of the loss on retirement or a pre-approved capital recovery schedule.  (Ramas)</w:t>
      </w: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Levels of accumulated depreciation should be properly and accurately reflected in a well-managed utility’s books and records. The Commission should make no adjustment which would reward UIF for its deficiencies in maintaining its books and making proper accounting entries.</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A9706A">
        <w:t>Staff takes no position pending evidence adduced at hearing.</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t>ISSUE 19</w:t>
      </w:r>
      <w:r>
        <w:rPr>
          <w:b/>
          <w:bCs/>
        </w:rPr>
        <w:t>:</w:t>
      </w:r>
      <w:r>
        <w:tab/>
      </w:r>
      <w:r w:rsidRPr="009176FC">
        <w:rPr>
          <w:b/>
        </w:rPr>
        <w:t>Should any adjustments be made to test year CIAC balances?</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223370" w:rsidRPr="002330B1">
        <w:t>An increase of $</w:t>
      </w:r>
      <w:r w:rsidR="00223370">
        <w:t>329,169</w:t>
      </w:r>
      <w:r w:rsidR="00223370" w:rsidRPr="002330B1">
        <w:t xml:space="preserve"> should be made</w:t>
      </w:r>
      <w:r w:rsidR="00223370">
        <w:t xml:space="preserve"> to adjusted test year</w:t>
      </w:r>
      <w:r w:rsidR="00223370" w:rsidRPr="002330B1">
        <w:t>.</w:t>
      </w:r>
      <w:r w:rsidR="00223370">
        <w:t xml:space="preserve"> </w:t>
      </w:r>
      <w:r w:rsidR="00223370" w:rsidRPr="00B23760">
        <w:t>(Swain)</w:t>
      </w:r>
    </w:p>
    <w:p w:rsidR="00A9706A" w:rsidRDefault="00A9706A" w:rsidP="00A9706A">
      <w:pPr>
        <w:ind w:left="1440" w:hanging="1440"/>
        <w:jc w:val="both"/>
      </w:pPr>
    </w:p>
    <w:p w:rsidR="009C58F5" w:rsidRDefault="009C58F5">
      <w:pPr>
        <w:rPr>
          <w:b/>
          <w:bCs/>
        </w:rPr>
      </w:pPr>
      <w:r>
        <w:rPr>
          <w:b/>
          <w:bCs/>
        </w:rPr>
        <w:br w:type="page"/>
      </w:r>
    </w:p>
    <w:p w:rsidR="0029055D" w:rsidRDefault="002A39DC" w:rsidP="0029055D">
      <w:pPr>
        <w:ind w:left="1440" w:hanging="1440"/>
        <w:jc w:val="both"/>
      </w:pPr>
      <w:r w:rsidRPr="002A39DC">
        <w:rPr>
          <w:b/>
          <w:bCs/>
        </w:rPr>
        <w:lastRenderedPageBreak/>
        <w:t>OPC</w:t>
      </w:r>
      <w:r w:rsidR="00A9706A">
        <w:rPr>
          <w:b/>
          <w:bCs/>
        </w:rPr>
        <w:t>:</w:t>
      </w:r>
      <w:r w:rsidR="00A9706A">
        <w:tab/>
      </w:r>
      <w:r w:rsidR="0029055D" w:rsidRPr="0029055D">
        <w:t>Yes.  The LUSI wastewater CIAC balance should not be reduced through the application of a non-used and useful percentage as proposed in UIF’s initial filing.  Removal of the Company’s application of non-used and useful percentage to the LUSI wastewater CIAC increases CIAC by $1,656,177.</w:t>
      </w:r>
    </w:p>
    <w:p w:rsidR="0029055D" w:rsidRPr="0029055D" w:rsidRDefault="0029055D" w:rsidP="0029055D">
      <w:pPr>
        <w:ind w:left="1440" w:hanging="1440"/>
        <w:jc w:val="both"/>
      </w:pPr>
    </w:p>
    <w:p w:rsidR="0029055D" w:rsidRPr="0029055D" w:rsidRDefault="0029055D" w:rsidP="0029055D">
      <w:pPr>
        <w:ind w:left="1440"/>
        <w:jc w:val="both"/>
      </w:pPr>
      <w:r w:rsidRPr="0029055D">
        <w:t>UIF has not met its burden to demonstrate that it has appropriately included CIAC.     (Ramas)</w:t>
      </w:r>
    </w:p>
    <w:p w:rsidR="0029055D" w:rsidRDefault="0029055D" w:rsidP="0029055D">
      <w:pPr>
        <w:ind w:left="1440" w:hanging="1440"/>
        <w:jc w:val="both"/>
        <w:rPr>
          <w:b/>
          <w:bCs/>
        </w:rPr>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A9706A">
        <w:t>Staff takes no position pending evidence adduced at hearing.</w:t>
      </w:r>
    </w:p>
    <w:p w:rsidR="00F73A23" w:rsidRDefault="00F73A23" w:rsidP="00A9706A">
      <w:pPr>
        <w:ind w:left="1440" w:hanging="1440"/>
        <w:jc w:val="both"/>
        <w:rPr>
          <w:b/>
          <w:bCs/>
          <w:u w:val="single"/>
        </w:rPr>
      </w:pPr>
    </w:p>
    <w:p w:rsidR="00A9706A" w:rsidRDefault="00A9706A" w:rsidP="00A9706A">
      <w:pPr>
        <w:ind w:left="1440" w:hanging="1440"/>
        <w:jc w:val="both"/>
      </w:pPr>
      <w:r>
        <w:rPr>
          <w:b/>
          <w:bCs/>
          <w:u w:val="single"/>
        </w:rPr>
        <w:t>ISSUE 20</w:t>
      </w:r>
      <w:r>
        <w:rPr>
          <w:b/>
          <w:bCs/>
        </w:rPr>
        <w:t>:</w:t>
      </w:r>
      <w:r>
        <w:tab/>
      </w:r>
      <w:r w:rsidRPr="009176FC">
        <w:rPr>
          <w:b/>
        </w:rPr>
        <w:t>Should any adjustments be made to test year accumulated amortization of CIAC?</w:t>
      </w:r>
    </w:p>
    <w:p w:rsidR="00A9706A" w:rsidRDefault="00A9706A" w:rsidP="00A9706A">
      <w:pPr>
        <w:ind w:left="1440" w:hanging="1440"/>
        <w:jc w:val="both"/>
      </w:pPr>
    </w:p>
    <w:p w:rsidR="00A9706A" w:rsidRDefault="002A39DC" w:rsidP="00A9706A">
      <w:pPr>
        <w:ind w:left="1440" w:hanging="1440"/>
        <w:jc w:val="both"/>
      </w:pPr>
      <w:r w:rsidRPr="002A39DC">
        <w:rPr>
          <w:b/>
          <w:bCs/>
        </w:rPr>
        <w:t>POSITIONS</w:t>
      </w:r>
    </w:p>
    <w:p w:rsidR="00A9706A" w:rsidRDefault="00A9706A" w:rsidP="00A9706A">
      <w:pPr>
        <w:ind w:left="1440" w:hanging="1440"/>
        <w:jc w:val="both"/>
      </w:pPr>
    </w:p>
    <w:p w:rsidR="00A9706A" w:rsidRDefault="002A39DC" w:rsidP="00A9706A">
      <w:pPr>
        <w:ind w:left="1440" w:hanging="1440"/>
        <w:jc w:val="both"/>
      </w:pPr>
      <w:r w:rsidRPr="002A39DC">
        <w:rPr>
          <w:b/>
          <w:bCs/>
        </w:rPr>
        <w:t>UIF</w:t>
      </w:r>
      <w:r w:rsidR="00A9706A">
        <w:rPr>
          <w:b/>
          <w:bCs/>
        </w:rPr>
        <w:t>:</w:t>
      </w:r>
      <w:r w:rsidR="00A9706A">
        <w:tab/>
      </w:r>
      <w:r w:rsidR="00223370" w:rsidRPr="00F325FA">
        <w:t xml:space="preserve">A </w:t>
      </w:r>
      <w:r w:rsidR="00223370">
        <w:t>decrease</w:t>
      </w:r>
      <w:r w:rsidR="00223370" w:rsidRPr="00F325FA">
        <w:t xml:space="preserve"> of $</w:t>
      </w:r>
      <w:r w:rsidR="00223370">
        <w:t>782,061</w:t>
      </w:r>
      <w:r w:rsidR="00223370" w:rsidRPr="00F325FA">
        <w:t xml:space="preserve"> should be made</w:t>
      </w:r>
      <w:r w:rsidR="00223370">
        <w:t xml:space="preserve"> to adjusted test year</w:t>
      </w:r>
      <w:r w:rsidR="00223370" w:rsidRPr="00F325FA">
        <w:t xml:space="preserve">. </w:t>
      </w:r>
      <w:r w:rsidR="00223370" w:rsidRPr="00B23760">
        <w:t>(Swain)</w:t>
      </w:r>
    </w:p>
    <w:p w:rsidR="00A9706A" w:rsidRDefault="001F09BC" w:rsidP="001F09BC">
      <w:pPr>
        <w:tabs>
          <w:tab w:val="left" w:pos="2266"/>
        </w:tabs>
        <w:ind w:left="1440" w:hanging="1440"/>
        <w:jc w:val="both"/>
      </w:pPr>
      <w:r>
        <w:tab/>
      </w:r>
      <w:r>
        <w:tab/>
      </w:r>
    </w:p>
    <w:p w:rsidR="00D91102" w:rsidRPr="00D91102" w:rsidRDefault="002A39DC" w:rsidP="00D91102">
      <w:pPr>
        <w:ind w:left="1440" w:hanging="1440"/>
        <w:jc w:val="both"/>
      </w:pPr>
      <w:r w:rsidRPr="002A39DC">
        <w:rPr>
          <w:b/>
          <w:bCs/>
        </w:rPr>
        <w:t>OPC</w:t>
      </w:r>
      <w:r w:rsidR="00A9706A">
        <w:rPr>
          <w:b/>
          <w:bCs/>
        </w:rPr>
        <w:t>:</w:t>
      </w:r>
      <w:r w:rsidR="00A9706A">
        <w:tab/>
      </w:r>
      <w:r w:rsidR="00D91102" w:rsidRPr="00D91102">
        <w:t>Yes.  The LUSI wastewater accumulated amortization of CIAC balance should not be reduced through the application of a non-used and useful percentage as proposed in UIF’s initial filing.  Removal of the Company’s application of non-used and useful percentage to the LUSI wastewater accumulated amortization of CIAC increases the accumulated amortization of CIAC by $573,138.</w:t>
      </w:r>
    </w:p>
    <w:p w:rsidR="00D91102" w:rsidRPr="00D91102" w:rsidRDefault="00D91102" w:rsidP="00D91102">
      <w:pPr>
        <w:ind w:left="1440" w:hanging="1440"/>
        <w:jc w:val="both"/>
      </w:pPr>
    </w:p>
    <w:p w:rsidR="00A9706A" w:rsidRDefault="00D91102" w:rsidP="00D91102">
      <w:pPr>
        <w:ind w:left="1440"/>
        <w:jc w:val="both"/>
      </w:pPr>
      <w:r w:rsidRPr="00D91102">
        <w:t>The utility has the burden to demonstrate that it has appropriately included Accumulated Amortization of CIAC.  At this point, it is OPC’s position that UIF has not met its burden on this issue.  (Ramas)</w:t>
      </w:r>
    </w:p>
    <w:p w:rsidR="00A9706A" w:rsidRDefault="00A9706A" w:rsidP="00A9706A">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A9706A" w:rsidRDefault="002A39DC" w:rsidP="00A9706A">
      <w:pPr>
        <w:spacing w:after="240"/>
        <w:ind w:left="1440" w:hanging="1440"/>
        <w:jc w:val="both"/>
        <w:rPr>
          <w:bCs/>
        </w:rPr>
      </w:pPr>
      <w:r w:rsidRPr="002A39DC">
        <w:rPr>
          <w:b/>
          <w:bCs/>
        </w:rPr>
        <w:t>Staff</w:t>
      </w:r>
      <w:r w:rsidR="00A9706A">
        <w:rPr>
          <w:b/>
          <w:bCs/>
        </w:rPr>
        <w:t>:</w:t>
      </w:r>
      <w:r w:rsidR="00A9706A">
        <w:rPr>
          <w:b/>
          <w:bCs/>
        </w:rPr>
        <w:tab/>
      </w:r>
      <w:r w:rsidR="00B15AAD">
        <w:t>Staff takes no position pending evidence adduced at hearing.</w:t>
      </w:r>
    </w:p>
    <w:p w:rsidR="00F73A23" w:rsidRDefault="00F73A23" w:rsidP="00B15AAD">
      <w:pPr>
        <w:ind w:left="1440" w:hanging="1440"/>
        <w:jc w:val="both"/>
        <w:rPr>
          <w:b/>
          <w:bCs/>
          <w:u w:val="single"/>
        </w:rPr>
      </w:pPr>
    </w:p>
    <w:p w:rsidR="00B15AAD" w:rsidRDefault="00B15AAD" w:rsidP="00B15AAD">
      <w:pPr>
        <w:ind w:left="1440" w:hanging="1440"/>
        <w:jc w:val="both"/>
      </w:pPr>
      <w:r>
        <w:rPr>
          <w:b/>
          <w:bCs/>
          <w:u w:val="single"/>
        </w:rPr>
        <w:t>ISSUE 21</w:t>
      </w:r>
      <w:r>
        <w:rPr>
          <w:b/>
          <w:bCs/>
        </w:rPr>
        <w:t>:</w:t>
      </w:r>
      <w:r>
        <w:tab/>
      </w:r>
      <w:r w:rsidRPr="009176FC">
        <w:rPr>
          <w:b/>
        </w:rPr>
        <w:t>What is the appropriate working capital allowance?</w:t>
      </w:r>
    </w:p>
    <w:p w:rsidR="00B15AAD" w:rsidRDefault="00B15AAD" w:rsidP="00B15AAD">
      <w:pPr>
        <w:ind w:left="1440" w:hanging="1440"/>
        <w:jc w:val="both"/>
      </w:pPr>
    </w:p>
    <w:p w:rsidR="00B15AAD" w:rsidRDefault="002A39DC" w:rsidP="00B15AAD">
      <w:pPr>
        <w:ind w:left="1440" w:hanging="1440"/>
        <w:jc w:val="both"/>
      </w:pPr>
      <w:r w:rsidRPr="002A39DC">
        <w:rPr>
          <w:b/>
          <w:bCs/>
        </w:rPr>
        <w:t>POSITIONS</w:t>
      </w:r>
    </w:p>
    <w:p w:rsidR="00B15AAD" w:rsidRDefault="00B15AAD" w:rsidP="00B15AAD">
      <w:pPr>
        <w:ind w:left="1440" w:hanging="1440"/>
        <w:jc w:val="both"/>
      </w:pPr>
    </w:p>
    <w:p w:rsidR="00B15AAD" w:rsidRDefault="002A39DC" w:rsidP="00B15AAD">
      <w:pPr>
        <w:ind w:left="1440" w:hanging="1440"/>
        <w:jc w:val="both"/>
      </w:pPr>
      <w:r w:rsidRPr="002A39DC">
        <w:rPr>
          <w:b/>
          <w:bCs/>
        </w:rPr>
        <w:t>UIF</w:t>
      </w:r>
      <w:r w:rsidR="00B15AAD">
        <w:rPr>
          <w:b/>
          <w:bCs/>
        </w:rPr>
        <w:t>:</w:t>
      </w:r>
      <w:r w:rsidR="00B15AAD">
        <w:tab/>
      </w:r>
      <w:r w:rsidR="00223370" w:rsidRPr="00FE7032">
        <w:t>$5,500,06</w:t>
      </w:r>
      <w:r w:rsidR="00223370">
        <w:t xml:space="preserve">9. </w:t>
      </w:r>
      <w:r w:rsidR="00223370" w:rsidRPr="00B23760">
        <w:t>(Swain)</w:t>
      </w:r>
    </w:p>
    <w:p w:rsidR="00B15AAD" w:rsidRDefault="00B15AAD" w:rsidP="00B15AAD">
      <w:pPr>
        <w:ind w:left="1440" w:hanging="1440"/>
        <w:jc w:val="both"/>
      </w:pPr>
    </w:p>
    <w:p w:rsidR="00D66888" w:rsidRPr="00B463BF" w:rsidRDefault="002A39DC" w:rsidP="00D66888">
      <w:pPr>
        <w:tabs>
          <w:tab w:val="left" w:pos="1440"/>
        </w:tabs>
        <w:ind w:left="1440" w:hanging="1440"/>
        <w:jc w:val="both"/>
        <w:rPr>
          <w:b/>
        </w:rPr>
      </w:pPr>
      <w:r w:rsidRPr="002A39DC">
        <w:rPr>
          <w:b/>
          <w:bCs/>
        </w:rPr>
        <w:t>OPC</w:t>
      </w:r>
      <w:r w:rsidR="00B15AAD">
        <w:rPr>
          <w:b/>
          <w:bCs/>
        </w:rPr>
        <w:t>:</w:t>
      </w:r>
      <w:r w:rsidR="00B15AAD">
        <w:tab/>
      </w:r>
      <w:r w:rsidR="00406FE9" w:rsidRPr="00406FE9">
        <w:t xml:space="preserve">UIF has not met its burden to support its working capital allowance.  The following adjustments should be made to the working capital allowance to reflect adjustments for accrued federal income taxes and deferred debits subject to revision based on evidence adduced at hearing. </w:t>
      </w:r>
      <w:r w:rsidR="00D66888" w:rsidRPr="00B463BF">
        <w:t xml:space="preserve">  </w:t>
      </w:r>
    </w:p>
    <w:p w:rsidR="00D66888" w:rsidRPr="00B463BF" w:rsidRDefault="00D66888" w:rsidP="00D66888">
      <w:pPr>
        <w:spacing w:line="276" w:lineRule="auto"/>
        <w:jc w:val="both"/>
        <w:rPr>
          <w:b/>
        </w:rPr>
      </w:pPr>
    </w:p>
    <w:p w:rsidR="00D66888" w:rsidRPr="00B463BF" w:rsidRDefault="00D66888" w:rsidP="00D66888">
      <w:pPr>
        <w:spacing w:line="276" w:lineRule="auto"/>
        <w:jc w:val="center"/>
        <w:rPr>
          <w:b/>
        </w:rPr>
      </w:pPr>
      <w:r w:rsidRPr="00B463BF">
        <w:rPr>
          <w:b/>
        </w:rPr>
        <w:object w:dxaOrig="6635" w:dyaOrig="2937">
          <v:shape id="_x0000_i1030" type="#_x0000_t75" style="width:330.5pt;height:147pt" o:ole="">
            <v:imagedata r:id="rId20" o:title=""/>
          </v:shape>
          <o:OLEObject Type="Embed" ProgID="Excel.Sheet.12" ShapeID="_x0000_i1030" DrawAspect="Content" ObjectID="_1555246808" r:id="rId21"/>
        </w:object>
      </w:r>
    </w:p>
    <w:p w:rsidR="00D66888" w:rsidRPr="00B463BF" w:rsidRDefault="00D66888" w:rsidP="00D66888">
      <w:pPr>
        <w:spacing w:after="240" w:line="276" w:lineRule="auto"/>
        <w:ind w:left="720" w:firstLine="720"/>
        <w:jc w:val="both"/>
        <w:rPr>
          <w:b/>
        </w:rPr>
      </w:pPr>
      <w:r w:rsidRPr="00B463BF">
        <w:t>(Ramas)</w:t>
      </w: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B15AAD" w:rsidRDefault="002A39DC" w:rsidP="00B15AAD">
      <w:pPr>
        <w:spacing w:after="240"/>
        <w:ind w:left="1440" w:hanging="1440"/>
        <w:jc w:val="both"/>
        <w:rPr>
          <w:bCs/>
        </w:rPr>
      </w:pPr>
      <w:r w:rsidRPr="002A39DC">
        <w:rPr>
          <w:b/>
          <w:bCs/>
        </w:rPr>
        <w:t>Staff</w:t>
      </w:r>
      <w:r w:rsidR="00B15AAD">
        <w:rPr>
          <w:b/>
          <w:bCs/>
        </w:rPr>
        <w:t>:</w:t>
      </w:r>
      <w:r w:rsidR="00B15AAD">
        <w:rPr>
          <w:b/>
          <w:bCs/>
        </w:rPr>
        <w:tab/>
      </w:r>
      <w:r w:rsidR="004B01BF">
        <w:t>Staff takes no position pending evidence adduced at hearing.</w:t>
      </w:r>
    </w:p>
    <w:p w:rsidR="00F73A23" w:rsidRDefault="00F73A23" w:rsidP="00D079EA">
      <w:pPr>
        <w:ind w:left="1440" w:hanging="1440"/>
        <w:jc w:val="both"/>
        <w:rPr>
          <w:b/>
          <w:bCs/>
          <w:u w:val="single"/>
        </w:rPr>
      </w:pPr>
    </w:p>
    <w:p w:rsidR="00D079EA" w:rsidRDefault="00D079EA" w:rsidP="00D079EA">
      <w:pPr>
        <w:ind w:left="1440" w:hanging="1440"/>
        <w:jc w:val="both"/>
      </w:pPr>
      <w:r>
        <w:rPr>
          <w:b/>
          <w:bCs/>
          <w:u w:val="single"/>
        </w:rPr>
        <w:t>ISSUE 22</w:t>
      </w:r>
      <w:r>
        <w:rPr>
          <w:b/>
          <w:bCs/>
        </w:rPr>
        <w:t>:</w:t>
      </w:r>
      <w:r>
        <w:tab/>
      </w:r>
      <w:r w:rsidRPr="009176FC">
        <w:rPr>
          <w:b/>
        </w:rPr>
        <w:t>What is the appropriate rate base for the adjusted December 31, 2015, test year?</w:t>
      </w:r>
    </w:p>
    <w:p w:rsidR="00D079EA" w:rsidRDefault="00D079EA" w:rsidP="00D079EA">
      <w:pPr>
        <w:ind w:left="1440" w:hanging="1440"/>
        <w:jc w:val="both"/>
      </w:pPr>
    </w:p>
    <w:p w:rsidR="00D079EA" w:rsidRDefault="002A39DC" w:rsidP="00D079EA">
      <w:pPr>
        <w:ind w:left="1440" w:hanging="1440"/>
        <w:jc w:val="both"/>
      </w:pPr>
      <w:r w:rsidRPr="002A39DC">
        <w:rPr>
          <w:b/>
          <w:bCs/>
        </w:rPr>
        <w:t>POSITIONS</w:t>
      </w:r>
    </w:p>
    <w:p w:rsidR="00D079EA" w:rsidRDefault="00D079EA" w:rsidP="00D079EA">
      <w:pPr>
        <w:ind w:left="1440" w:hanging="1440"/>
        <w:jc w:val="both"/>
      </w:pPr>
    </w:p>
    <w:p w:rsidR="00D079EA" w:rsidRDefault="002A39DC" w:rsidP="00D079EA">
      <w:pPr>
        <w:ind w:left="1440" w:hanging="1440"/>
        <w:jc w:val="both"/>
      </w:pPr>
      <w:r w:rsidRPr="002A39DC">
        <w:rPr>
          <w:b/>
          <w:bCs/>
        </w:rPr>
        <w:t>UIF</w:t>
      </w:r>
      <w:r w:rsidR="00D079EA">
        <w:rPr>
          <w:b/>
          <w:bCs/>
        </w:rPr>
        <w:t>:</w:t>
      </w:r>
      <w:r w:rsidR="00D079EA">
        <w:tab/>
      </w:r>
      <w:r w:rsidR="00223370" w:rsidRPr="00FE7032">
        <w:t>$</w:t>
      </w:r>
      <w:r w:rsidR="00223370">
        <w:t xml:space="preserve">114,815,110. </w:t>
      </w:r>
      <w:r w:rsidR="00223370" w:rsidRPr="00B23760">
        <w:t>(Swain)</w:t>
      </w:r>
    </w:p>
    <w:p w:rsidR="00D079EA" w:rsidRDefault="00D079EA" w:rsidP="00D079EA">
      <w:pPr>
        <w:ind w:left="1440" w:hanging="1440"/>
        <w:jc w:val="both"/>
      </w:pPr>
    </w:p>
    <w:p w:rsidR="009F326F" w:rsidRPr="00B463BF" w:rsidRDefault="002A39DC" w:rsidP="005F0BAF">
      <w:pPr>
        <w:ind w:left="1440" w:hanging="1440"/>
        <w:jc w:val="both"/>
      </w:pPr>
      <w:r w:rsidRPr="002A39DC">
        <w:rPr>
          <w:b/>
          <w:bCs/>
        </w:rPr>
        <w:t>OPC</w:t>
      </w:r>
      <w:r w:rsidR="00D079EA">
        <w:rPr>
          <w:b/>
          <w:bCs/>
        </w:rPr>
        <w:t>:</w:t>
      </w:r>
      <w:r w:rsidR="00D079EA">
        <w:tab/>
      </w:r>
      <w:r w:rsidR="005F0BAF" w:rsidRPr="005F0BAF">
        <w:t xml:space="preserve">The amount should be no greater than $90,946,598 as indicated in the chart below subject to revision based on evidence adduced at hearing. </w:t>
      </w:r>
      <w:r w:rsidR="009F326F" w:rsidRPr="00B463BF">
        <w:t xml:space="preserve">  </w:t>
      </w:r>
    </w:p>
    <w:p w:rsidR="009F326F" w:rsidRPr="00B463BF" w:rsidRDefault="00ED0F0A" w:rsidP="009F326F">
      <w:pPr>
        <w:spacing w:line="276" w:lineRule="auto"/>
        <w:jc w:val="center"/>
      </w:pPr>
      <w:r w:rsidRPr="00B463BF">
        <w:object w:dxaOrig="4534" w:dyaOrig="7875">
          <v:shape id="_x0000_i1031" type="#_x0000_t75" style="width:139pt;height:242pt" o:ole="">
            <v:imagedata r:id="rId22" o:title=""/>
          </v:shape>
          <o:OLEObject Type="Embed" ProgID="Excel.Sheet.12" ShapeID="_x0000_i1031" DrawAspect="Content" ObjectID="_1555246809" r:id="rId23"/>
        </w:object>
      </w:r>
    </w:p>
    <w:p w:rsidR="009F326F" w:rsidRPr="00B463BF" w:rsidRDefault="009F326F" w:rsidP="00CA756D">
      <w:pPr>
        <w:spacing w:after="240" w:line="276" w:lineRule="auto"/>
        <w:ind w:left="720" w:firstLine="720"/>
      </w:pPr>
      <w:r w:rsidRPr="00B463BF">
        <w:t>(Ramas)</w:t>
      </w:r>
    </w:p>
    <w:p w:rsidR="00D079EA" w:rsidRDefault="00D079EA" w:rsidP="00D079EA">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 xml:space="preserve">UIF should be denied recovery in rate base of any of the pro forma plant additions requested due to its poor management practices. UIF has not established that it acted prudently in making the pro forma additions and other investments in utility facilities nor that the cost of such investments was reasonable nor could UIF meet this burden when the record reflects that UIF failed to have in place long standing utility practices and programs used for </w:t>
      </w:r>
      <w:r w:rsidR="00065A94">
        <w:rPr>
          <w:bCs/>
        </w:rPr>
        <w:t xml:space="preserve">a long time by well </w:t>
      </w:r>
      <w:r w:rsidR="00065A94" w:rsidRPr="00065A94">
        <w:rPr>
          <w:bCs/>
        </w:rPr>
        <w:t>managed utilities throughout Florida and in the nation. Such programs include predictive maintenance, preventive maintenance, geographic information systems, fixed asset management systems, CMOMs, sewer system overflow programs, employee training programs in predictive and preventive maintenance; all of which programs serve to minimize operating cost, minimize capital investment and result in prudent decision-making at the most reasonable cost possible if implemented.</w:t>
      </w:r>
    </w:p>
    <w:p w:rsidR="00D079EA" w:rsidRDefault="002A39DC" w:rsidP="00D079EA">
      <w:pPr>
        <w:spacing w:after="240"/>
        <w:ind w:left="1440" w:hanging="1440"/>
        <w:jc w:val="both"/>
        <w:rPr>
          <w:bCs/>
        </w:rPr>
      </w:pPr>
      <w:r w:rsidRPr="002A39DC">
        <w:rPr>
          <w:b/>
          <w:bCs/>
        </w:rPr>
        <w:t>Staff</w:t>
      </w:r>
      <w:r w:rsidR="00D079EA">
        <w:rPr>
          <w:b/>
          <w:bCs/>
        </w:rPr>
        <w:t>:</w:t>
      </w:r>
      <w:r w:rsidR="00D079EA">
        <w:rPr>
          <w:b/>
          <w:bCs/>
        </w:rPr>
        <w:tab/>
      </w:r>
      <w:r w:rsidR="004B01BF">
        <w:t>Staff takes no position pending evidence adduced at hearing.</w:t>
      </w:r>
    </w:p>
    <w:p w:rsidR="00D079EA" w:rsidRPr="00832CD5" w:rsidRDefault="00D079EA" w:rsidP="00D079EA">
      <w:pPr>
        <w:spacing w:after="240"/>
        <w:jc w:val="center"/>
        <w:rPr>
          <w:b/>
          <w:u w:val="single"/>
        </w:rPr>
      </w:pPr>
      <w:r w:rsidRPr="00832CD5">
        <w:rPr>
          <w:b/>
          <w:u w:val="single"/>
        </w:rPr>
        <w:t>Cost of Capital</w:t>
      </w:r>
    </w:p>
    <w:p w:rsidR="00D079EA" w:rsidRDefault="00D079EA" w:rsidP="00D079EA">
      <w:pPr>
        <w:ind w:left="1440" w:hanging="1440"/>
        <w:jc w:val="both"/>
      </w:pPr>
      <w:r>
        <w:rPr>
          <w:b/>
          <w:bCs/>
          <w:u w:val="single"/>
        </w:rPr>
        <w:t>ISSUE 23</w:t>
      </w:r>
      <w:r>
        <w:rPr>
          <w:b/>
          <w:bCs/>
        </w:rPr>
        <w:t>:</w:t>
      </w:r>
      <w:r>
        <w:tab/>
      </w:r>
      <w:r w:rsidRPr="009176FC">
        <w:rPr>
          <w:b/>
        </w:rPr>
        <w:t>Should any adjustments be made to Deferred Tax Debits – Tap Fees Post 2000 included in the Accumulated Deferred Income Tax balance?</w:t>
      </w:r>
    </w:p>
    <w:p w:rsidR="00D079EA" w:rsidRDefault="00D079EA" w:rsidP="00D079EA">
      <w:pPr>
        <w:ind w:left="1440" w:hanging="1440"/>
        <w:jc w:val="both"/>
      </w:pPr>
    </w:p>
    <w:p w:rsidR="00D079EA" w:rsidRDefault="002A39DC" w:rsidP="00D079EA">
      <w:pPr>
        <w:ind w:left="1440" w:hanging="1440"/>
        <w:jc w:val="both"/>
      </w:pPr>
      <w:r w:rsidRPr="002A39DC">
        <w:rPr>
          <w:b/>
          <w:bCs/>
        </w:rPr>
        <w:t>POSITIONS</w:t>
      </w:r>
    </w:p>
    <w:p w:rsidR="00D079EA" w:rsidRDefault="00D079EA" w:rsidP="00D079EA">
      <w:pPr>
        <w:ind w:left="1440" w:hanging="1440"/>
        <w:jc w:val="both"/>
      </w:pPr>
    </w:p>
    <w:p w:rsidR="00D079EA" w:rsidRDefault="002A39DC" w:rsidP="00D079EA">
      <w:pPr>
        <w:ind w:left="1440" w:hanging="1440"/>
        <w:jc w:val="both"/>
      </w:pPr>
      <w:r w:rsidRPr="002A39DC">
        <w:rPr>
          <w:b/>
          <w:bCs/>
        </w:rPr>
        <w:t>UIF</w:t>
      </w:r>
      <w:r w:rsidR="00D079EA">
        <w:rPr>
          <w:b/>
          <w:bCs/>
        </w:rPr>
        <w:t>:</w:t>
      </w:r>
      <w:r w:rsidR="00D079EA">
        <w:tab/>
      </w:r>
      <w:r w:rsidR="002713B7">
        <w:t xml:space="preserve">Yes, the unamortized balance of Accumulated deferred income taxes (ADIT) for Post 2000 Tap Fees should be amortized, and the unamortized balance be removed from the MFR balance. The adjustment is $2,056,207 minus $618,138 already removed in the MFRs (Sandalhaven), or a total adjustment of $1,438,069. </w:t>
      </w:r>
      <w:r w:rsidR="002713B7" w:rsidRPr="00B23760">
        <w:t>(Swain)</w:t>
      </w:r>
    </w:p>
    <w:p w:rsidR="00D079EA" w:rsidRDefault="00D079EA" w:rsidP="00D079EA">
      <w:pPr>
        <w:ind w:left="1440" w:hanging="1440"/>
        <w:jc w:val="both"/>
      </w:pPr>
    </w:p>
    <w:p w:rsidR="00CA756D" w:rsidRPr="00CA756D" w:rsidRDefault="002A39DC" w:rsidP="00CA756D">
      <w:pPr>
        <w:ind w:left="1440" w:hanging="1440"/>
        <w:jc w:val="both"/>
      </w:pPr>
      <w:r w:rsidRPr="002A39DC">
        <w:rPr>
          <w:b/>
          <w:bCs/>
        </w:rPr>
        <w:t>OPC</w:t>
      </w:r>
      <w:r w:rsidR="00D079EA">
        <w:rPr>
          <w:b/>
          <w:bCs/>
        </w:rPr>
        <w:t>:</w:t>
      </w:r>
      <w:r w:rsidR="00D079EA">
        <w:tab/>
      </w:r>
      <w:r w:rsidR="00CA756D" w:rsidRPr="00CA756D">
        <w:t xml:space="preserve">Yes.  Working capital for Sandalhaven should be reduced by $432,700 to remove the Deferred Tax Debits – Tap Fees Post 2000 included by UIF in the accrued tax component of working capital in the Company’s MFRs.  (See Issue 21)  </w:t>
      </w:r>
    </w:p>
    <w:p w:rsidR="00CA756D" w:rsidRPr="00CA756D" w:rsidRDefault="00CA756D" w:rsidP="00CA756D">
      <w:pPr>
        <w:ind w:left="1440" w:hanging="1440"/>
        <w:jc w:val="both"/>
      </w:pPr>
    </w:p>
    <w:p w:rsidR="00D079EA" w:rsidRDefault="00CA756D" w:rsidP="00CA756D">
      <w:pPr>
        <w:ind w:left="1440"/>
        <w:jc w:val="both"/>
      </w:pPr>
      <w:r w:rsidRPr="00CA756D">
        <w:t>Regarding the Deferred Tax Debits – Tap Fees Post 2000 included in the accumulated deferred income tax component of the capital structure, if any, the utility has the burden to demonstrate that it has appropriately included costs associated with it Accumulated Deferred Income taxes. At this point, it is OPC’s position that UIF has not met its burden on this issue.  (Ramas)</w:t>
      </w:r>
    </w:p>
    <w:p w:rsidR="00D079EA" w:rsidRDefault="00D079EA" w:rsidP="00D079EA">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D079EA" w:rsidRDefault="002A39DC" w:rsidP="00D079EA">
      <w:pPr>
        <w:spacing w:after="240"/>
        <w:ind w:left="1440" w:hanging="1440"/>
        <w:jc w:val="both"/>
        <w:rPr>
          <w:bCs/>
        </w:rPr>
      </w:pPr>
      <w:r w:rsidRPr="002A39DC">
        <w:rPr>
          <w:b/>
          <w:bCs/>
        </w:rPr>
        <w:t>Staff</w:t>
      </w:r>
      <w:r w:rsidR="00D079EA">
        <w:rPr>
          <w:b/>
          <w:bCs/>
        </w:rPr>
        <w:t>:</w:t>
      </w:r>
      <w:r w:rsidR="00D079EA">
        <w:rPr>
          <w:b/>
          <w:bCs/>
        </w:rPr>
        <w:tab/>
      </w:r>
      <w:r w:rsidR="004B01BF">
        <w:t>Staff takes no position pending evidence adduced at hearing.</w:t>
      </w:r>
    </w:p>
    <w:p w:rsidR="00F73A23" w:rsidRDefault="00F73A23" w:rsidP="003414D4">
      <w:pPr>
        <w:ind w:left="1440" w:hanging="1440"/>
        <w:jc w:val="both"/>
        <w:rPr>
          <w:b/>
          <w:bCs/>
          <w:u w:val="single"/>
        </w:rPr>
      </w:pPr>
    </w:p>
    <w:p w:rsidR="006A1BD3" w:rsidRDefault="006A1BD3">
      <w:pPr>
        <w:rPr>
          <w:b/>
          <w:bCs/>
          <w:u w:val="single"/>
        </w:rPr>
      </w:pPr>
    </w:p>
    <w:p w:rsidR="003414D4" w:rsidRDefault="003414D4" w:rsidP="003414D4">
      <w:pPr>
        <w:ind w:left="1440" w:hanging="1440"/>
        <w:jc w:val="both"/>
      </w:pPr>
      <w:r>
        <w:rPr>
          <w:b/>
          <w:bCs/>
          <w:u w:val="single"/>
        </w:rPr>
        <w:lastRenderedPageBreak/>
        <w:t>ISSUE 24</w:t>
      </w:r>
      <w:r>
        <w:rPr>
          <w:b/>
          <w:bCs/>
        </w:rPr>
        <w:t>:</w:t>
      </w:r>
      <w:r>
        <w:tab/>
      </w:r>
      <w:r w:rsidRPr="009176FC">
        <w:rPr>
          <w:b/>
        </w:rPr>
        <w:t>What is the appropriate amount of accumulated deferred taxes to include in the capital structure?</w:t>
      </w:r>
    </w:p>
    <w:p w:rsidR="003414D4" w:rsidRDefault="003414D4" w:rsidP="003414D4">
      <w:pPr>
        <w:ind w:left="1440" w:hanging="1440"/>
        <w:jc w:val="both"/>
      </w:pP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D670A3" w:rsidRPr="007515A6">
        <w:t>$</w:t>
      </w:r>
      <w:r w:rsidR="00D670A3">
        <w:t xml:space="preserve">15,462,763. </w:t>
      </w:r>
      <w:r w:rsidR="00D670A3" w:rsidRPr="00B23760">
        <w:t>(Swain)</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F169F8" w:rsidRPr="00F169F8">
        <w:t>The impacts of the 50% bonus depreciation allowance on the OPC adjusted pro forma plant additions should be included in the ADIT balance included in the capital structure.  This includes both the water and wastewater pro forma plant additions.  (Ramas)</w:t>
      </w:r>
    </w:p>
    <w:p w:rsidR="003414D4" w:rsidRDefault="003414D4"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3414D4" w:rsidRDefault="002A39DC" w:rsidP="003414D4">
      <w:pPr>
        <w:spacing w:after="240"/>
        <w:ind w:left="1440" w:hanging="1440"/>
        <w:jc w:val="both"/>
        <w:rPr>
          <w:bCs/>
        </w:rPr>
      </w:pPr>
      <w:r w:rsidRPr="002A39DC">
        <w:rPr>
          <w:b/>
          <w:bCs/>
        </w:rPr>
        <w:t>Staff</w:t>
      </w:r>
      <w:r w:rsidR="003414D4">
        <w:rPr>
          <w:b/>
          <w:bCs/>
        </w:rPr>
        <w:t>:</w:t>
      </w:r>
      <w:r w:rsidR="003414D4">
        <w:rPr>
          <w:b/>
          <w:bCs/>
        </w:rPr>
        <w:tab/>
      </w:r>
      <w:r w:rsidR="003414D4">
        <w:t>Staff takes no position pending evidence adduced at hearing.</w:t>
      </w:r>
    </w:p>
    <w:p w:rsidR="00F73A23" w:rsidRDefault="00F73A23" w:rsidP="003414D4">
      <w:pPr>
        <w:ind w:left="1440" w:hanging="1440"/>
        <w:jc w:val="both"/>
        <w:rPr>
          <w:b/>
          <w:bCs/>
          <w:u w:val="single"/>
        </w:rPr>
      </w:pPr>
    </w:p>
    <w:p w:rsidR="003414D4" w:rsidRDefault="003414D4" w:rsidP="003414D4">
      <w:pPr>
        <w:ind w:left="1440" w:hanging="1440"/>
        <w:jc w:val="both"/>
      </w:pPr>
      <w:r>
        <w:rPr>
          <w:b/>
          <w:bCs/>
          <w:u w:val="single"/>
        </w:rPr>
        <w:t>ISSUE 25</w:t>
      </w:r>
      <w:r>
        <w:rPr>
          <w:b/>
          <w:bCs/>
        </w:rPr>
        <w:t>:</w:t>
      </w:r>
      <w:r>
        <w:tab/>
      </w:r>
      <w:r w:rsidRPr="009176FC">
        <w:rPr>
          <w:b/>
        </w:rPr>
        <w:t>What is the appropriate amount of customer deposits to include in the capital structure?</w:t>
      </w:r>
    </w:p>
    <w:p w:rsidR="003414D4" w:rsidRDefault="003414D4" w:rsidP="003414D4">
      <w:pPr>
        <w:ind w:left="1440" w:hanging="1440"/>
        <w:jc w:val="both"/>
      </w:pP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4B3B72" w:rsidRPr="007515A6">
        <w:t>$232,022</w:t>
      </w:r>
      <w:r w:rsidR="004B3B72">
        <w:t xml:space="preserve">. </w:t>
      </w:r>
      <w:r w:rsidR="004B3B72" w:rsidRPr="00B23760">
        <w:t>(Swain)</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842414">
        <w:t>No position.</w:t>
      </w:r>
    </w:p>
    <w:p w:rsidR="003414D4" w:rsidRDefault="003414D4"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5F0BAF">
        <w:rPr>
          <w:bCs/>
        </w:rPr>
        <w:t>Agree with Public Counsel.</w:t>
      </w:r>
    </w:p>
    <w:p w:rsidR="003414D4" w:rsidRDefault="002A39DC" w:rsidP="003414D4">
      <w:pPr>
        <w:spacing w:after="240"/>
        <w:ind w:left="1440" w:hanging="1440"/>
        <w:jc w:val="both"/>
      </w:pPr>
      <w:r w:rsidRPr="002A39DC">
        <w:rPr>
          <w:b/>
          <w:bCs/>
        </w:rPr>
        <w:t>Staff</w:t>
      </w:r>
      <w:r w:rsidR="003414D4">
        <w:rPr>
          <w:b/>
          <w:bCs/>
        </w:rPr>
        <w:t>:</w:t>
      </w:r>
      <w:r w:rsidR="003414D4">
        <w:rPr>
          <w:b/>
          <w:bCs/>
        </w:rPr>
        <w:tab/>
      </w:r>
      <w:r w:rsidR="003414D4">
        <w:t>Staff takes no position pending evidence adduced at hearing.</w:t>
      </w:r>
    </w:p>
    <w:p w:rsidR="00F73A23" w:rsidRDefault="00F73A23" w:rsidP="003414D4">
      <w:pPr>
        <w:ind w:left="1440" w:hanging="1440"/>
        <w:jc w:val="both"/>
        <w:rPr>
          <w:b/>
          <w:bCs/>
          <w:u w:val="single"/>
        </w:rPr>
      </w:pPr>
    </w:p>
    <w:p w:rsidR="003414D4" w:rsidRDefault="003414D4" w:rsidP="003414D4">
      <w:pPr>
        <w:ind w:left="1440" w:hanging="1440"/>
        <w:jc w:val="both"/>
      </w:pPr>
      <w:r>
        <w:rPr>
          <w:b/>
          <w:bCs/>
          <w:u w:val="single"/>
        </w:rPr>
        <w:t>ISSUE 26</w:t>
      </w:r>
      <w:r>
        <w:rPr>
          <w:b/>
          <w:bCs/>
        </w:rPr>
        <w:t>:</w:t>
      </w:r>
      <w:r>
        <w:tab/>
      </w:r>
      <w:r w:rsidRPr="009176FC">
        <w:rPr>
          <w:b/>
        </w:rPr>
        <w:t>What is the appropriate cost rate for customer deposits for the test year?</w:t>
      </w:r>
    </w:p>
    <w:p w:rsidR="003414D4" w:rsidRDefault="003414D4" w:rsidP="003414D4">
      <w:pPr>
        <w:ind w:left="1440" w:hanging="1440"/>
        <w:jc w:val="both"/>
      </w:pP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AC142E">
        <w:t>The appropriate cost rate for customer deposits is 2% for residential deposits and 3% for nonresidential deposits.</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5F0BAF" w:rsidRPr="005F0BAF">
        <w:t>As provided by Rule 25-30.311, F.A.C., the customer deposit cost rate should be 2.0%.  The customer deposit cost rate contained in the capital structure for the Lake Placid system should be reduced to 2.0%.  (Ramas)</w:t>
      </w:r>
    </w:p>
    <w:p w:rsidR="003414D4" w:rsidRDefault="003414D4"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4B01BF" w:rsidRDefault="002A39DC" w:rsidP="004B01BF">
      <w:pPr>
        <w:spacing w:after="240"/>
        <w:ind w:left="1440" w:hanging="1440"/>
        <w:jc w:val="both"/>
      </w:pPr>
      <w:r w:rsidRPr="002A39DC">
        <w:rPr>
          <w:b/>
          <w:bCs/>
        </w:rPr>
        <w:t>Staff</w:t>
      </w:r>
      <w:r w:rsidR="003414D4">
        <w:rPr>
          <w:b/>
          <w:bCs/>
        </w:rPr>
        <w:t>:</w:t>
      </w:r>
      <w:r w:rsidR="003414D4">
        <w:rPr>
          <w:b/>
          <w:bCs/>
        </w:rPr>
        <w:tab/>
      </w:r>
      <w:r w:rsidR="004B01BF">
        <w:t>Staff takes no position pending evidence adduced at hearing.</w:t>
      </w:r>
    </w:p>
    <w:p w:rsidR="00F73A23" w:rsidRDefault="00F73A23" w:rsidP="00F73A23">
      <w:pPr>
        <w:ind w:left="1440" w:hanging="1440"/>
        <w:jc w:val="both"/>
        <w:rPr>
          <w:b/>
          <w:bCs/>
          <w:u w:val="single"/>
        </w:rPr>
      </w:pPr>
    </w:p>
    <w:p w:rsidR="003414D4" w:rsidRDefault="003414D4" w:rsidP="004B01BF">
      <w:pPr>
        <w:spacing w:after="240"/>
        <w:ind w:left="1440" w:hanging="1440"/>
        <w:jc w:val="both"/>
      </w:pPr>
      <w:r>
        <w:rPr>
          <w:b/>
          <w:bCs/>
          <w:u w:val="single"/>
        </w:rPr>
        <w:t>ISSUE 27</w:t>
      </w:r>
      <w:r>
        <w:rPr>
          <w:b/>
          <w:bCs/>
        </w:rPr>
        <w:t>:</w:t>
      </w:r>
      <w:r>
        <w:tab/>
      </w:r>
      <w:r w:rsidRPr="009176FC">
        <w:rPr>
          <w:b/>
        </w:rPr>
        <w:t>What is the appropriate cost rate for short-term debt for the test year?</w:t>
      </w: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F0011E">
        <w:t>2.32% (Hoy)</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8734B0" w:rsidRPr="008734B0">
        <w:t>The appropriate cost rate for short-term debt for the test year should be 2.32%.  (Ramas)</w:t>
      </w:r>
    </w:p>
    <w:p w:rsidR="003414D4" w:rsidRDefault="003414D4"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3414D4" w:rsidRDefault="002A39DC" w:rsidP="003414D4">
      <w:pPr>
        <w:spacing w:after="240"/>
        <w:ind w:left="1440" w:hanging="1440"/>
        <w:jc w:val="both"/>
        <w:rPr>
          <w:bCs/>
        </w:rPr>
      </w:pPr>
      <w:r w:rsidRPr="002A39DC">
        <w:rPr>
          <w:b/>
          <w:bCs/>
        </w:rPr>
        <w:t>Staff</w:t>
      </w:r>
      <w:r w:rsidR="003414D4">
        <w:rPr>
          <w:b/>
          <w:bCs/>
        </w:rPr>
        <w:t>:</w:t>
      </w:r>
      <w:r w:rsidR="003414D4">
        <w:rPr>
          <w:b/>
          <w:bCs/>
        </w:rPr>
        <w:tab/>
      </w:r>
      <w:r w:rsidR="00A40595">
        <w:t>Staff takes no position pending evidence adduced at hearing.</w:t>
      </w:r>
    </w:p>
    <w:p w:rsidR="00F73A23" w:rsidRDefault="00F73A23" w:rsidP="003414D4">
      <w:pPr>
        <w:ind w:left="1440" w:hanging="1440"/>
        <w:jc w:val="both"/>
        <w:rPr>
          <w:b/>
          <w:bCs/>
          <w:u w:val="single"/>
        </w:rPr>
      </w:pPr>
    </w:p>
    <w:p w:rsidR="003414D4" w:rsidRDefault="003414D4" w:rsidP="003414D4">
      <w:pPr>
        <w:ind w:left="1440" w:hanging="1440"/>
        <w:jc w:val="both"/>
      </w:pPr>
      <w:r>
        <w:rPr>
          <w:b/>
          <w:bCs/>
          <w:u w:val="single"/>
        </w:rPr>
        <w:t>ISSUE 28</w:t>
      </w:r>
      <w:r>
        <w:rPr>
          <w:b/>
          <w:bCs/>
        </w:rPr>
        <w:t>:</w:t>
      </w:r>
      <w:r>
        <w:tab/>
      </w:r>
      <w:r w:rsidRPr="00832CD5">
        <w:rPr>
          <w:b/>
        </w:rPr>
        <w:t>What is the appropriate cost rate for long-term debt for the test year?</w:t>
      </w:r>
    </w:p>
    <w:p w:rsidR="003414D4" w:rsidRDefault="003414D4" w:rsidP="003414D4">
      <w:pPr>
        <w:ind w:left="1440" w:hanging="1440"/>
        <w:jc w:val="both"/>
      </w:pP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F0011E">
        <w:t>6.7% (Hoy)</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B66E80" w:rsidRPr="00B66E80">
        <w:t>The appropriate cost rate for long-term debt for the test year should be 6.70%.  (Ramas)</w:t>
      </w:r>
    </w:p>
    <w:p w:rsidR="003414D4" w:rsidRDefault="003414D4"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UIF has presented no or insufficient evidence to establish that UIF was diligent in pursuing low cost and no cost loans available from federal, state or local authorities or funding sources. UIF similarly failed to exercise diligence in securing funding from the Legislature to minimize the equity and debt required to make plant improvements. Instead UIF activity before the Legislature has largely been confined to efforts to obtain additional laws to make it easier for UIF to increase customer rates. Long term debt rate should be reduced accordingly to provide UIF incentive to exercise more diligence in seeking no and low cost funding from all sources in the future.</w:t>
      </w:r>
    </w:p>
    <w:p w:rsidR="003414D4" w:rsidRDefault="002A39DC" w:rsidP="003414D4">
      <w:pPr>
        <w:spacing w:after="240"/>
        <w:ind w:left="1440" w:hanging="1440"/>
        <w:jc w:val="both"/>
        <w:rPr>
          <w:bCs/>
        </w:rPr>
      </w:pPr>
      <w:r w:rsidRPr="002A39DC">
        <w:rPr>
          <w:b/>
          <w:bCs/>
        </w:rPr>
        <w:t>Staff</w:t>
      </w:r>
      <w:r w:rsidR="003414D4">
        <w:rPr>
          <w:b/>
          <w:bCs/>
        </w:rPr>
        <w:t>:</w:t>
      </w:r>
      <w:r w:rsidR="003414D4">
        <w:rPr>
          <w:b/>
          <w:bCs/>
        </w:rPr>
        <w:tab/>
      </w:r>
      <w:r w:rsidR="00A40595">
        <w:t>Staff takes no position pending evidence adduced at hearing.</w:t>
      </w:r>
    </w:p>
    <w:p w:rsidR="00F73A23" w:rsidRDefault="00F73A23" w:rsidP="003414D4">
      <w:pPr>
        <w:ind w:left="1440" w:hanging="1440"/>
        <w:jc w:val="both"/>
        <w:rPr>
          <w:b/>
          <w:bCs/>
          <w:u w:val="single"/>
        </w:rPr>
      </w:pPr>
    </w:p>
    <w:p w:rsidR="003414D4" w:rsidRDefault="003414D4" w:rsidP="003414D4">
      <w:pPr>
        <w:ind w:left="1440" w:hanging="1440"/>
        <w:jc w:val="both"/>
      </w:pPr>
      <w:r>
        <w:rPr>
          <w:b/>
          <w:bCs/>
          <w:u w:val="single"/>
        </w:rPr>
        <w:t>ISSUE 29</w:t>
      </w:r>
      <w:r>
        <w:rPr>
          <w:b/>
          <w:bCs/>
        </w:rPr>
        <w:t>:</w:t>
      </w:r>
      <w:r>
        <w:tab/>
      </w:r>
      <w:r w:rsidRPr="009176FC">
        <w:rPr>
          <w:b/>
        </w:rPr>
        <w:t>What is the appropriate capital structure to use for rate setting purposes?</w:t>
      </w:r>
    </w:p>
    <w:p w:rsidR="003414D4" w:rsidRDefault="003414D4" w:rsidP="003414D4">
      <w:pPr>
        <w:ind w:left="1440" w:hanging="1440"/>
        <w:jc w:val="both"/>
      </w:pPr>
    </w:p>
    <w:p w:rsidR="003414D4" w:rsidRDefault="002A39DC" w:rsidP="00ED0F0A">
      <w:pPr>
        <w:ind w:left="1440" w:hanging="1440"/>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F0011E">
        <w:t xml:space="preserve">The consolidated capital structure. </w:t>
      </w:r>
      <w:r w:rsidR="00F0011E" w:rsidRPr="00B23760">
        <w:t>(Swain)</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EA4367" w:rsidRPr="00B463BF">
        <w:t>The impacts of the 50% bonus depreciation allowance on the OPC adjusted pro forma water and wastewater plant additions should be included in determining the amount of ADIT to include in the capital structure at zero cost.  (Ramas)</w:t>
      </w:r>
    </w:p>
    <w:p w:rsidR="003414D4" w:rsidRDefault="003414D4"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065A94" w:rsidRPr="00065A94">
        <w:rPr>
          <w:bCs/>
        </w:rPr>
        <w:t>Agree with Public Counsel.</w:t>
      </w:r>
    </w:p>
    <w:p w:rsidR="003414D4" w:rsidRDefault="002A39DC" w:rsidP="003414D4">
      <w:pPr>
        <w:spacing w:after="240"/>
        <w:ind w:left="1440" w:hanging="1440"/>
        <w:jc w:val="both"/>
        <w:rPr>
          <w:bCs/>
        </w:rPr>
      </w:pPr>
      <w:r w:rsidRPr="002A39DC">
        <w:rPr>
          <w:b/>
          <w:bCs/>
        </w:rPr>
        <w:t>Staff</w:t>
      </w:r>
      <w:r w:rsidR="003414D4">
        <w:rPr>
          <w:b/>
          <w:bCs/>
        </w:rPr>
        <w:t>:</w:t>
      </w:r>
      <w:r w:rsidR="003414D4">
        <w:rPr>
          <w:b/>
          <w:bCs/>
        </w:rPr>
        <w:tab/>
      </w:r>
      <w:r w:rsidR="003414D4">
        <w:t>Staff takes no position pending evidence adduced at hearing.</w:t>
      </w:r>
    </w:p>
    <w:p w:rsidR="00F73A23" w:rsidRDefault="00F73A23" w:rsidP="003414D4">
      <w:pPr>
        <w:ind w:left="1440" w:hanging="1440"/>
        <w:jc w:val="both"/>
        <w:rPr>
          <w:b/>
          <w:bCs/>
          <w:u w:val="single"/>
        </w:rPr>
      </w:pPr>
    </w:p>
    <w:p w:rsidR="003414D4" w:rsidRDefault="003414D4" w:rsidP="003414D4">
      <w:pPr>
        <w:ind w:left="1440" w:hanging="1440"/>
        <w:jc w:val="both"/>
      </w:pPr>
      <w:r>
        <w:rPr>
          <w:b/>
          <w:bCs/>
          <w:u w:val="single"/>
        </w:rPr>
        <w:t>ISSUE 30</w:t>
      </w:r>
      <w:r>
        <w:rPr>
          <w:b/>
          <w:bCs/>
        </w:rPr>
        <w:t>:</w:t>
      </w:r>
      <w:r>
        <w:tab/>
      </w:r>
      <w:r w:rsidRPr="009176FC">
        <w:rPr>
          <w:b/>
        </w:rPr>
        <w:t>What is the appropriate return on equity (ROE) for rate setting purposes?</w:t>
      </w:r>
    </w:p>
    <w:p w:rsidR="003414D4" w:rsidRDefault="003414D4" w:rsidP="003414D4">
      <w:pPr>
        <w:ind w:left="1440" w:hanging="1440"/>
        <w:jc w:val="both"/>
      </w:pP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F0011E">
        <w:t xml:space="preserve">10.40% </w:t>
      </w:r>
      <w:r w:rsidR="00F0011E" w:rsidRPr="00B23760">
        <w:t>(Swain)</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5F0BAF" w:rsidRPr="005F0BAF">
        <w:t>The Commission should utilize the leverage formula in effect at the time of the Commission’s vote to calculate the ROE and then apply a minimum 100 basis point ROE reduction based on the Commission’s determination of UIF’s quality of service; other factors may require an additional ROE reduction based upon evidence adduced at the hearing.    (Ramas)</w:t>
      </w:r>
    </w:p>
    <w:p w:rsidR="003414D4" w:rsidRDefault="003414D4"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D13A34">
        <w:t xml:space="preserve">Material differences exist between and among the natural gas utilities indicated in the ROE graph and Utilities, Inc. The authorized return on equity should reflect the level of investor risk associated with investment in a water and wastewater utility in Florida. UIF enjoys many risk reducing benefits pursuant to Florida law, Commission rules and utility industry practice. UIF long has enjoyed annual indexing of rates, pass-through of expenses and now has provided testimony indicating its intent to further utilize an expanded pass-through law thus removing revenue requirement recovery risk. UIF collects contributions in aid of construction in the form of plant and cash contributions. Where developers do not pre-pay contributions in aid of construction, UIF collects guaranteed revenue charges. UIF is permitted to collect AFPI payments from developers and customers at the time of connection to compensate it for capital and operations carrying cost. Many of these risk reducing recovery mechanisms are not available to natural gas utilities. In addition, UIF has access to environmental cost pass-through recovery and seeks to place more of its revenue requirement in its base facility charges in this rate proceeding for the purpose of further reducing its risk of not achieving revenue requirement recovery. UIF is allowed to collect significant levels of customer deposits to insure payment of customer bills and has taken full advantage of the Commission’s staff assisted rate case process to secure the Commission’s assistance in obtaining its revenue requirements from customers in the past. Furthermore, UIF has not produced evidence to establish that it has aggressively pursued no cost or low cost funding from the federal, state or local governments to which it may be entitled, nor that UIF sought funding from the Florida Legislature for investments required to protect the environment or the public health. Summertree alone succeeded in securing such assistance. Each of these facts and factors should be considered by the Commission when establishing UIF’s authorized return on equity. The authorized return on equity, </w:t>
      </w:r>
      <w:r w:rsidR="00D13A34">
        <w:lastRenderedPageBreak/>
        <w:t xml:space="preserve">from which further adjustments should be made to reflect poor quality of service and management deficiencies; should be 7.4%; </w:t>
      </w:r>
      <w:r w:rsidR="00D13A34" w:rsidRPr="00D13A34">
        <w:t>resulting in a final authorized return on equity of 6.4%.</w:t>
      </w:r>
    </w:p>
    <w:p w:rsidR="003414D4" w:rsidRDefault="002A39DC" w:rsidP="003414D4">
      <w:pPr>
        <w:spacing w:after="240"/>
        <w:ind w:left="1440" w:hanging="1440"/>
        <w:jc w:val="both"/>
        <w:rPr>
          <w:bCs/>
        </w:rPr>
      </w:pPr>
      <w:r w:rsidRPr="002A39DC">
        <w:rPr>
          <w:b/>
          <w:bCs/>
        </w:rPr>
        <w:t>Staff</w:t>
      </w:r>
      <w:r w:rsidR="003414D4">
        <w:rPr>
          <w:b/>
          <w:bCs/>
        </w:rPr>
        <w:t>:</w:t>
      </w:r>
      <w:r w:rsidR="003414D4">
        <w:rPr>
          <w:b/>
          <w:bCs/>
        </w:rPr>
        <w:tab/>
      </w:r>
      <w:r w:rsidR="003414D4">
        <w:t>Staff takes no position pending evidence adduced at hearing.</w:t>
      </w:r>
    </w:p>
    <w:p w:rsidR="00F73A23" w:rsidRDefault="00F73A23" w:rsidP="003414D4">
      <w:pPr>
        <w:ind w:left="1440" w:hanging="1440"/>
        <w:jc w:val="both"/>
        <w:rPr>
          <w:b/>
          <w:bCs/>
          <w:u w:val="single"/>
        </w:rPr>
      </w:pPr>
    </w:p>
    <w:p w:rsidR="003414D4" w:rsidRDefault="003414D4" w:rsidP="003414D4">
      <w:pPr>
        <w:ind w:left="1440" w:hanging="1440"/>
        <w:jc w:val="both"/>
      </w:pPr>
      <w:r>
        <w:rPr>
          <w:b/>
          <w:bCs/>
          <w:u w:val="single"/>
        </w:rPr>
        <w:t>ISSUE 31</w:t>
      </w:r>
      <w:r>
        <w:rPr>
          <w:b/>
          <w:bCs/>
        </w:rPr>
        <w:t>:</w:t>
      </w:r>
      <w:r>
        <w:tab/>
      </w:r>
      <w:r w:rsidRPr="009176FC">
        <w:rPr>
          <w:b/>
        </w:rPr>
        <w:t>What is the appropriate weighted average cost of capital including the proper components, amounts and cost rates associated with the capital structure?</w:t>
      </w:r>
    </w:p>
    <w:p w:rsidR="003414D4" w:rsidRDefault="003414D4" w:rsidP="003414D4">
      <w:pPr>
        <w:ind w:left="1440" w:hanging="1440"/>
        <w:jc w:val="both"/>
      </w:pP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F0011E">
        <w:t xml:space="preserve">7.56% </w:t>
      </w:r>
      <w:r w:rsidR="00F0011E" w:rsidRPr="00B23760">
        <w:t>(Swain)</w:t>
      </w:r>
    </w:p>
    <w:p w:rsidR="003414D4" w:rsidRDefault="003414D4" w:rsidP="003414D4">
      <w:pPr>
        <w:ind w:left="1440" w:hanging="1440"/>
        <w:jc w:val="both"/>
      </w:pPr>
    </w:p>
    <w:p w:rsidR="003414D4" w:rsidRDefault="002A39DC" w:rsidP="003414D4">
      <w:pPr>
        <w:ind w:left="1440" w:hanging="1440"/>
        <w:jc w:val="both"/>
      </w:pPr>
      <w:r w:rsidRPr="002A39DC">
        <w:rPr>
          <w:b/>
          <w:bCs/>
        </w:rPr>
        <w:t>OPC</w:t>
      </w:r>
      <w:r w:rsidR="003414D4">
        <w:rPr>
          <w:b/>
          <w:bCs/>
        </w:rPr>
        <w:t>:</w:t>
      </w:r>
      <w:r w:rsidR="003414D4">
        <w:tab/>
      </w:r>
      <w:r w:rsidR="005F0BAF" w:rsidRPr="005F0BAF">
        <w:t>The appropriate cost rates are as follows: long-term debt – 6.70%; short-term debt – 2.32%; Common Equity – 10.40% (or the cost rate based on result of the most current leverage formula); and customer deposits – 2.0%.  (Ramas)</w:t>
      </w:r>
    </w:p>
    <w:p w:rsidR="005F0BAF" w:rsidRDefault="005F0BAF" w:rsidP="003414D4">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C67953" w:rsidRPr="00C67953">
        <w:rPr>
          <w:bCs/>
        </w:rPr>
        <w:t>Long term debt should be lower thatn 6.7%; ROE should be 7.4%.</w:t>
      </w:r>
    </w:p>
    <w:p w:rsidR="003414D4" w:rsidRDefault="002A39DC" w:rsidP="003414D4">
      <w:pPr>
        <w:spacing w:after="240"/>
        <w:ind w:left="1440" w:hanging="1440"/>
        <w:jc w:val="both"/>
        <w:rPr>
          <w:bCs/>
        </w:rPr>
      </w:pPr>
      <w:r w:rsidRPr="002A39DC">
        <w:rPr>
          <w:b/>
          <w:bCs/>
        </w:rPr>
        <w:t>Staff</w:t>
      </w:r>
      <w:r w:rsidR="003414D4">
        <w:rPr>
          <w:b/>
          <w:bCs/>
        </w:rPr>
        <w:t>:</w:t>
      </w:r>
      <w:r w:rsidR="003414D4">
        <w:rPr>
          <w:b/>
          <w:bCs/>
        </w:rPr>
        <w:tab/>
      </w:r>
      <w:r w:rsidR="003414D4">
        <w:t>Staff takes no position pending evidence adduced at hearing.</w:t>
      </w:r>
    </w:p>
    <w:p w:rsidR="003414D4" w:rsidRDefault="003414D4" w:rsidP="003414D4">
      <w:pPr>
        <w:ind w:left="1440" w:hanging="1440"/>
        <w:jc w:val="center"/>
        <w:rPr>
          <w:b/>
          <w:u w:val="single"/>
        </w:rPr>
      </w:pPr>
      <w:r>
        <w:rPr>
          <w:b/>
          <w:u w:val="single"/>
        </w:rPr>
        <w:t>Net Operating Income</w:t>
      </w:r>
    </w:p>
    <w:p w:rsidR="003414D4" w:rsidRDefault="003414D4" w:rsidP="003414D4">
      <w:pPr>
        <w:ind w:left="1440" w:hanging="1440"/>
        <w:jc w:val="both"/>
        <w:rPr>
          <w:b/>
          <w:u w:val="single"/>
        </w:rPr>
      </w:pPr>
    </w:p>
    <w:p w:rsidR="003414D4" w:rsidRDefault="003414D4" w:rsidP="003414D4">
      <w:pPr>
        <w:ind w:left="1440" w:hanging="1440"/>
        <w:jc w:val="both"/>
      </w:pPr>
      <w:r>
        <w:rPr>
          <w:b/>
          <w:bCs/>
          <w:u w:val="single"/>
        </w:rPr>
        <w:t>ISSUE 32</w:t>
      </w:r>
      <w:r>
        <w:rPr>
          <w:b/>
          <w:bCs/>
        </w:rPr>
        <w:t>:</w:t>
      </w:r>
      <w:r>
        <w:tab/>
      </w:r>
      <w:r>
        <w:rPr>
          <w:b/>
        </w:rPr>
        <w:t>What are the appropriate test year revenues?</w:t>
      </w:r>
    </w:p>
    <w:p w:rsidR="003414D4" w:rsidRDefault="003414D4" w:rsidP="003414D4">
      <w:pPr>
        <w:ind w:left="1440" w:hanging="1440"/>
        <w:jc w:val="both"/>
      </w:pPr>
    </w:p>
    <w:p w:rsidR="003414D4" w:rsidRDefault="002A39DC" w:rsidP="003414D4">
      <w:pPr>
        <w:ind w:left="1440" w:hanging="1440"/>
        <w:jc w:val="both"/>
      </w:pPr>
      <w:r w:rsidRPr="002A39DC">
        <w:rPr>
          <w:b/>
          <w:bCs/>
        </w:rPr>
        <w:t>POSITIONS</w:t>
      </w:r>
    </w:p>
    <w:p w:rsidR="003414D4" w:rsidRDefault="003414D4" w:rsidP="003414D4">
      <w:pPr>
        <w:ind w:left="1440" w:hanging="1440"/>
        <w:jc w:val="both"/>
      </w:pPr>
    </w:p>
    <w:p w:rsidR="003414D4" w:rsidRDefault="002A39DC" w:rsidP="003414D4">
      <w:pPr>
        <w:ind w:left="1440" w:hanging="1440"/>
        <w:jc w:val="both"/>
      </w:pPr>
      <w:r w:rsidRPr="002A39DC">
        <w:rPr>
          <w:b/>
          <w:bCs/>
        </w:rPr>
        <w:t>UIF</w:t>
      </w:r>
      <w:r w:rsidR="003414D4">
        <w:rPr>
          <w:b/>
          <w:bCs/>
        </w:rPr>
        <w:t>:</w:t>
      </w:r>
      <w:r w:rsidR="003414D4">
        <w:tab/>
      </w:r>
      <w:r w:rsidR="00F0011E" w:rsidRPr="007515A6">
        <w:t>$28,430,668</w:t>
      </w:r>
      <w:r w:rsidR="00F0011E">
        <w:t xml:space="preserve">. </w:t>
      </w:r>
      <w:r w:rsidR="00F0011E" w:rsidRPr="00B23760">
        <w:t>(Swain)</w:t>
      </w:r>
    </w:p>
    <w:p w:rsidR="003414D4" w:rsidRDefault="003414D4" w:rsidP="003414D4">
      <w:pPr>
        <w:ind w:left="1440" w:hanging="1440"/>
        <w:jc w:val="both"/>
      </w:pPr>
    </w:p>
    <w:p w:rsidR="007D5CAC" w:rsidRDefault="002A39DC" w:rsidP="007D5CAC">
      <w:pPr>
        <w:ind w:left="1440" w:hanging="1440"/>
        <w:jc w:val="both"/>
      </w:pPr>
      <w:r w:rsidRPr="002A39DC">
        <w:rPr>
          <w:b/>
          <w:bCs/>
        </w:rPr>
        <w:t>OPC</w:t>
      </w:r>
      <w:r w:rsidR="003414D4">
        <w:rPr>
          <w:b/>
          <w:bCs/>
        </w:rPr>
        <w:t>:</w:t>
      </w:r>
      <w:r w:rsidR="003414D4">
        <w:tab/>
      </w:r>
      <w:r w:rsidR="0086533F" w:rsidRPr="0086533F">
        <w:t>The test year revenues should be as indicated in the chart below; subject to revision based on the evidence adduced at hearing.  (Ramas)</w:t>
      </w:r>
    </w:p>
    <w:p w:rsidR="00213B92" w:rsidRPr="00213B92" w:rsidRDefault="00E16FCB" w:rsidP="007D5CAC">
      <w:pPr>
        <w:ind w:left="1440" w:hanging="1440"/>
        <w:jc w:val="center"/>
      </w:pPr>
      <w:r w:rsidRPr="00213B92">
        <w:object w:dxaOrig="4771" w:dyaOrig="8114">
          <v:shape id="_x0000_i1032" type="#_x0000_t75" style="width:172pt;height:293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Excel.Sheet.12" ShapeID="_x0000_i1032" DrawAspect="Content" ObjectID="_1555246810" r:id="rId25"/>
        </w:object>
      </w:r>
    </w:p>
    <w:p w:rsidR="003414D4" w:rsidRDefault="003414D4" w:rsidP="00213B92">
      <w:pPr>
        <w:ind w:left="1440" w:hanging="1440"/>
        <w:jc w:val="center"/>
      </w:pPr>
    </w:p>
    <w:p w:rsidR="00357433" w:rsidRPr="00357433" w:rsidRDefault="00357433" w:rsidP="00357433">
      <w:pPr>
        <w:spacing w:after="240"/>
        <w:ind w:left="1440" w:hanging="1440"/>
        <w:jc w:val="both"/>
        <w:rPr>
          <w:bCs/>
        </w:rPr>
      </w:pPr>
      <w:r>
        <w:rPr>
          <w:b/>
          <w:bCs/>
        </w:rPr>
        <w:t>Summertree:</w:t>
      </w:r>
      <w:r>
        <w:rPr>
          <w:b/>
          <w:bCs/>
        </w:rPr>
        <w:tab/>
      </w:r>
      <w:r w:rsidR="00BD28A3" w:rsidRPr="00BD28A3">
        <w:rPr>
          <w:bCs/>
        </w:rPr>
        <w:t>Agree with Public Counsel except revenue should be further reduced by adjustments to return on equity to reflect lower risk and poor management practices (300 basis points) and unsatisfactory quality of service (100 basis points).</w:t>
      </w:r>
    </w:p>
    <w:p w:rsidR="003414D4" w:rsidRDefault="002A39DC" w:rsidP="003414D4">
      <w:pPr>
        <w:spacing w:after="240"/>
        <w:ind w:left="1440" w:hanging="1440"/>
        <w:jc w:val="both"/>
        <w:rPr>
          <w:bCs/>
        </w:rPr>
      </w:pPr>
      <w:r w:rsidRPr="002A39DC">
        <w:rPr>
          <w:b/>
          <w:bCs/>
        </w:rPr>
        <w:t>Staff</w:t>
      </w:r>
      <w:r w:rsidR="003414D4">
        <w:rPr>
          <w:b/>
          <w:bCs/>
        </w:rPr>
        <w:t>:</w:t>
      </w:r>
      <w:r w:rsidR="003414D4">
        <w:rPr>
          <w:b/>
          <w:bCs/>
        </w:rPr>
        <w:tab/>
      </w:r>
      <w:r w:rsidR="00732C67">
        <w:t>Staff takes no position pending evidence adduced at hearing.</w:t>
      </w:r>
    </w:p>
    <w:p w:rsidR="00F73A23" w:rsidRDefault="00F73A23" w:rsidP="00DA3AAB">
      <w:pPr>
        <w:ind w:left="1440" w:hanging="1440"/>
        <w:jc w:val="both"/>
        <w:rPr>
          <w:b/>
          <w:bCs/>
          <w:u w:val="single"/>
        </w:rPr>
      </w:pPr>
    </w:p>
    <w:p w:rsidR="00DA3AAB" w:rsidRDefault="00DA3AAB" w:rsidP="00DA3AAB">
      <w:pPr>
        <w:ind w:left="1440" w:hanging="1440"/>
        <w:jc w:val="both"/>
      </w:pPr>
      <w:r>
        <w:rPr>
          <w:b/>
          <w:bCs/>
          <w:u w:val="single"/>
        </w:rPr>
        <w:t>ISSUE 33</w:t>
      </w:r>
      <w:r>
        <w:rPr>
          <w:b/>
          <w:bCs/>
        </w:rPr>
        <w:t>:</w:t>
      </w:r>
      <w:r>
        <w:tab/>
      </w:r>
      <w:r w:rsidRPr="00832CD5">
        <w:rPr>
          <w:b/>
        </w:rPr>
        <w:t>What adjustments, if any, should be made to account for the audit adjustments related to net operating income?</w:t>
      </w:r>
    </w:p>
    <w:p w:rsidR="00DA3AAB" w:rsidRDefault="00DA3AAB" w:rsidP="00DA3AAB">
      <w:pPr>
        <w:ind w:left="1440" w:hanging="1440"/>
        <w:jc w:val="both"/>
      </w:pPr>
    </w:p>
    <w:p w:rsidR="00DA3AAB" w:rsidRDefault="002A39DC" w:rsidP="00DA3AAB">
      <w:pPr>
        <w:ind w:left="1440" w:hanging="1440"/>
        <w:jc w:val="both"/>
      </w:pPr>
      <w:r w:rsidRPr="002A39DC">
        <w:rPr>
          <w:b/>
          <w:bCs/>
        </w:rPr>
        <w:t>POSITIONS</w:t>
      </w:r>
    </w:p>
    <w:p w:rsidR="00DA3AAB" w:rsidRDefault="00DA3AAB" w:rsidP="00DA3AAB">
      <w:pPr>
        <w:ind w:left="1440" w:hanging="1440"/>
        <w:jc w:val="both"/>
      </w:pPr>
    </w:p>
    <w:p w:rsidR="00DA3AAB" w:rsidRDefault="002A39DC" w:rsidP="00DA3AAB">
      <w:pPr>
        <w:ind w:left="1440" w:hanging="1440"/>
        <w:jc w:val="both"/>
      </w:pPr>
      <w:r w:rsidRPr="002A39DC">
        <w:rPr>
          <w:b/>
          <w:bCs/>
        </w:rPr>
        <w:t>UIF</w:t>
      </w:r>
      <w:r w:rsidR="00DA3AAB">
        <w:rPr>
          <w:b/>
          <w:bCs/>
        </w:rPr>
        <w:t>:</w:t>
      </w:r>
      <w:r w:rsidR="00DA3AAB">
        <w:tab/>
      </w:r>
      <w:r w:rsidR="00D670A3">
        <w:t>Depreciation Exp: $117,486;</w:t>
      </w:r>
      <w:r w:rsidR="00D670A3" w:rsidRPr="00904DB9">
        <w:t xml:space="preserve"> O&amp;M</w:t>
      </w:r>
      <w:r w:rsidR="00D670A3">
        <w:t xml:space="preserve"> expense</w:t>
      </w:r>
      <w:r w:rsidR="00D670A3" w:rsidRPr="00904DB9">
        <w:t>: $</w:t>
      </w:r>
      <w:r w:rsidR="00D670A3">
        <w:t>21,277. (Deason)</w:t>
      </w:r>
    </w:p>
    <w:p w:rsidR="00DA3AAB" w:rsidRDefault="00DA3AAB" w:rsidP="00DA3AAB">
      <w:pPr>
        <w:ind w:left="1440" w:hanging="1440"/>
        <w:jc w:val="both"/>
      </w:pPr>
    </w:p>
    <w:p w:rsidR="00DA3AAB" w:rsidRDefault="002A39DC" w:rsidP="00DA3AAB">
      <w:pPr>
        <w:ind w:left="1440" w:hanging="1440"/>
        <w:jc w:val="both"/>
      </w:pPr>
      <w:r w:rsidRPr="002A39DC">
        <w:rPr>
          <w:b/>
          <w:bCs/>
        </w:rPr>
        <w:t>OPC</w:t>
      </w:r>
      <w:r w:rsidR="00DA3AAB">
        <w:rPr>
          <w:b/>
          <w:bCs/>
        </w:rPr>
        <w:t>:</w:t>
      </w:r>
      <w:r w:rsidR="00DA3AAB">
        <w:tab/>
      </w:r>
      <w:r w:rsidR="0086533F" w:rsidRPr="0086533F">
        <w:t>None. OPC’s final recommendation may change based on the evidence adduced at hearing.</w:t>
      </w:r>
    </w:p>
    <w:p w:rsidR="00DA3AAB" w:rsidRDefault="00DA3AAB" w:rsidP="00DA3AAB">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BD28A3" w:rsidRPr="00BD28A3">
        <w:rPr>
          <w:bCs/>
        </w:rPr>
        <w:t>Agree with Public Counsel.</w:t>
      </w:r>
    </w:p>
    <w:p w:rsidR="00DA3AAB" w:rsidRDefault="002A39DC" w:rsidP="00DA3AAB">
      <w:pPr>
        <w:spacing w:after="240"/>
        <w:ind w:left="1440" w:hanging="1440"/>
        <w:jc w:val="both"/>
        <w:rPr>
          <w:bCs/>
        </w:rPr>
      </w:pPr>
      <w:r w:rsidRPr="002A39DC">
        <w:rPr>
          <w:b/>
          <w:bCs/>
        </w:rPr>
        <w:t>Staff</w:t>
      </w:r>
      <w:r w:rsidR="00DA3AAB">
        <w:rPr>
          <w:b/>
          <w:bCs/>
        </w:rPr>
        <w:t>:</w:t>
      </w:r>
      <w:r w:rsidR="00DA3AAB">
        <w:rPr>
          <w:b/>
          <w:bCs/>
        </w:rPr>
        <w:tab/>
      </w:r>
      <w:r w:rsidR="00DA3AAB">
        <w:t>Staff takes no position pending evidence adduced at hearing.</w:t>
      </w:r>
    </w:p>
    <w:p w:rsidR="00F73A23" w:rsidRDefault="00F73A23" w:rsidP="00DA3AAB">
      <w:pPr>
        <w:ind w:left="1440" w:hanging="1440"/>
        <w:jc w:val="both"/>
        <w:rPr>
          <w:b/>
          <w:bCs/>
          <w:u w:val="single"/>
        </w:rPr>
      </w:pPr>
    </w:p>
    <w:p w:rsidR="00DA3AAB" w:rsidRDefault="00DA3AAB" w:rsidP="00DA3AAB">
      <w:pPr>
        <w:ind w:left="1440" w:hanging="1440"/>
        <w:jc w:val="both"/>
      </w:pPr>
      <w:r>
        <w:rPr>
          <w:b/>
          <w:bCs/>
          <w:u w:val="single"/>
        </w:rPr>
        <w:lastRenderedPageBreak/>
        <w:t>ISSUE 34</w:t>
      </w:r>
      <w:r>
        <w:rPr>
          <w:b/>
          <w:bCs/>
        </w:rPr>
        <w:t>:</w:t>
      </w:r>
      <w:r>
        <w:tab/>
      </w:r>
      <w:r w:rsidRPr="00832CD5">
        <w:rPr>
          <w:b/>
        </w:rPr>
        <w:t>Should any adjustment be made to salaries and wages expense?</w:t>
      </w:r>
    </w:p>
    <w:p w:rsidR="00DA3AAB" w:rsidRDefault="00DA3AAB" w:rsidP="00DA3AAB">
      <w:pPr>
        <w:ind w:left="1440" w:hanging="1440"/>
        <w:jc w:val="both"/>
      </w:pPr>
    </w:p>
    <w:p w:rsidR="00DA3AAB" w:rsidRDefault="002A39DC" w:rsidP="00DA3AAB">
      <w:pPr>
        <w:ind w:left="1440" w:hanging="1440"/>
        <w:jc w:val="both"/>
      </w:pPr>
      <w:r w:rsidRPr="002A39DC">
        <w:rPr>
          <w:b/>
          <w:bCs/>
        </w:rPr>
        <w:t>POSITIONS</w:t>
      </w:r>
    </w:p>
    <w:p w:rsidR="00DA3AAB" w:rsidRDefault="00DA3AAB" w:rsidP="00DA3AAB">
      <w:pPr>
        <w:ind w:left="1440" w:hanging="1440"/>
        <w:jc w:val="both"/>
      </w:pPr>
    </w:p>
    <w:p w:rsidR="00DA3AAB" w:rsidRDefault="002A39DC" w:rsidP="00DA3AAB">
      <w:pPr>
        <w:ind w:left="1440" w:hanging="1440"/>
        <w:jc w:val="both"/>
      </w:pPr>
      <w:r w:rsidRPr="002A39DC">
        <w:rPr>
          <w:b/>
          <w:bCs/>
        </w:rPr>
        <w:t>UIF</w:t>
      </w:r>
      <w:r w:rsidR="00DA3AAB">
        <w:rPr>
          <w:b/>
          <w:bCs/>
        </w:rPr>
        <w:t>:</w:t>
      </w:r>
      <w:r w:rsidR="00DA3AAB">
        <w:tab/>
      </w:r>
      <w:r w:rsidR="00111650">
        <w:t>No adjustments should be made to MFRs (Flynn)</w:t>
      </w:r>
    </w:p>
    <w:p w:rsidR="00DA3AAB" w:rsidRDefault="00DA3AAB" w:rsidP="00DA3AAB">
      <w:pPr>
        <w:ind w:left="1440" w:hanging="1440"/>
        <w:jc w:val="both"/>
      </w:pPr>
    </w:p>
    <w:p w:rsidR="00DA3AAB" w:rsidRDefault="002A39DC" w:rsidP="00DA3AAB">
      <w:pPr>
        <w:ind w:left="1440" w:hanging="1440"/>
        <w:jc w:val="both"/>
      </w:pPr>
      <w:r w:rsidRPr="002A39DC">
        <w:rPr>
          <w:b/>
          <w:bCs/>
        </w:rPr>
        <w:t>OPC</w:t>
      </w:r>
      <w:r w:rsidR="00DA3AAB">
        <w:rPr>
          <w:b/>
          <w:bCs/>
        </w:rPr>
        <w:t>:</w:t>
      </w:r>
      <w:r w:rsidR="00DA3AAB">
        <w:tab/>
      </w:r>
      <w:r w:rsidR="00BE65F4" w:rsidRPr="00BE65F4">
        <w:t>Yes, the following adjustments should be made to remove the unsupported pro form expense for additional employees and to reflect the adjustment to salaries for Sandalhaven as made in the prior Commission order.  (Ramas)</w:t>
      </w:r>
    </w:p>
    <w:p w:rsidR="00A11C8D" w:rsidRDefault="00A11C8D" w:rsidP="00DA3AAB">
      <w:pPr>
        <w:ind w:left="1440" w:hanging="1440"/>
        <w:jc w:val="both"/>
      </w:pPr>
    </w:p>
    <w:tbl>
      <w:tblPr>
        <w:tblW w:w="10260" w:type="dxa"/>
        <w:jc w:val="center"/>
        <w:tblLook w:val="04A0" w:firstRow="1" w:lastRow="0" w:firstColumn="1" w:lastColumn="0" w:noHBand="0" w:noVBand="1"/>
      </w:tblPr>
      <w:tblGrid>
        <w:gridCol w:w="2070"/>
        <w:gridCol w:w="1154"/>
        <w:gridCol w:w="1350"/>
        <w:gridCol w:w="1451"/>
        <w:gridCol w:w="1535"/>
        <w:gridCol w:w="1260"/>
        <w:gridCol w:w="1440"/>
      </w:tblGrid>
      <w:tr w:rsidR="00A11C8D" w:rsidRPr="00E950C7" w:rsidTr="00F1515C">
        <w:trPr>
          <w:trHeight w:val="288"/>
          <w:jc w:val="center"/>
        </w:trPr>
        <w:tc>
          <w:tcPr>
            <w:tcW w:w="2070" w:type="dxa"/>
            <w:tcBorders>
              <w:top w:val="nil"/>
              <w:left w:val="nil"/>
              <w:bottom w:val="nil"/>
              <w:right w:val="single" w:sz="4" w:space="0" w:color="auto"/>
            </w:tcBorders>
            <w:shd w:val="clear" w:color="auto" w:fill="auto"/>
            <w:vAlign w:val="center"/>
            <w:hideMark/>
          </w:tcPr>
          <w:p w:rsidR="00A11C8D" w:rsidRPr="00E950C7" w:rsidRDefault="00A11C8D" w:rsidP="00F1515C">
            <w:pPr>
              <w:spacing w:line="276" w:lineRule="auto"/>
              <w:rPr>
                <w:sz w:val="20"/>
                <w:szCs w:val="20"/>
              </w:rPr>
            </w:pPr>
          </w:p>
        </w:tc>
        <w:tc>
          <w:tcPr>
            <w:tcW w:w="2504" w:type="dxa"/>
            <w:gridSpan w:val="2"/>
            <w:tcBorders>
              <w:top w:val="single" w:sz="4" w:space="0" w:color="auto"/>
              <w:left w:val="single" w:sz="4" w:space="0" w:color="auto"/>
              <w:bottom w:val="nil"/>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rPr>
            </w:pPr>
            <w:r w:rsidRPr="00E950C7">
              <w:rPr>
                <w:rFonts w:ascii="Calibri" w:hAnsi="Calibri"/>
                <w:sz w:val="20"/>
                <w:szCs w:val="20"/>
              </w:rPr>
              <w:t xml:space="preserve"> Lake Utility Services  </w:t>
            </w:r>
          </w:p>
        </w:tc>
        <w:tc>
          <w:tcPr>
            <w:tcW w:w="1451" w:type="dxa"/>
            <w:tcBorders>
              <w:top w:val="single" w:sz="4" w:space="0" w:color="auto"/>
              <w:left w:val="single" w:sz="4" w:space="0" w:color="auto"/>
              <w:bottom w:val="nil"/>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rPr>
            </w:pPr>
            <w:r w:rsidRPr="00E950C7">
              <w:rPr>
                <w:rFonts w:ascii="Calibri" w:hAnsi="Calibri"/>
                <w:sz w:val="20"/>
                <w:szCs w:val="20"/>
              </w:rPr>
              <w:t xml:space="preserve"> Mid-County  </w:t>
            </w:r>
          </w:p>
        </w:tc>
        <w:tc>
          <w:tcPr>
            <w:tcW w:w="1535" w:type="dxa"/>
            <w:tcBorders>
              <w:top w:val="single" w:sz="4" w:space="0" w:color="auto"/>
              <w:left w:val="single" w:sz="4" w:space="0" w:color="auto"/>
              <w:bottom w:val="nil"/>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rPr>
            </w:pPr>
            <w:r w:rsidRPr="00E950C7">
              <w:rPr>
                <w:rFonts w:ascii="Calibri" w:hAnsi="Calibri"/>
                <w:sz w:val="20"/>
                <w:szCs w:val="20"/>
              </w:rPr>
              <w:t xml:space="preserve"> Sandalhaven </w:t>
            </w:r>
          </w:p>
        </w:tc>
        <w:tc>
          <w:tcPr>
            <w:tcW w:w="2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rPr>
            </w:pPr>
            <w:r w:rsidRPr="00E950C7">
              <w:rPr>
                <w:rFonts w:ascii="Calibri" w:hAnsi="Calibri"/>
                <w:sz w:val="20"/>
                <w:szCs w:val="20"/>
              </w:rPr>
              <w:t xml:space="preserve"> Sanlando  </w:t>
            </w:r>
          </w:p>
        </w:tc>
      </w:tr>
      <w:tr w:rsidR="00A11C8D" w:rsidRPr="00E950C7" w:rsidTr="00F1515C">
        <w:trPr>
          <w:trHeight w:val="288"/>
          <w:jc w:val="center"/>
        </w:trPr>
        <w:tc>
          <w:tcPr>
            <w:tcW w:w="2070" w:type="dxa"/>
            <w:tcBorders>
              <w:top w:val="nil"/>
              <w:left w:val="nil"/>
              <w:bottom w:val="single" w:sz="4" w:space="0" w:color="auto"/>
              <w:right w:val="single" w:sz="4" w:space="0" w:color="auto"/>
            </w:tcBorders>
            <w:shd w:val="clear" w:color="auto" w:fill="auto"/>
            <w:vAlign w:val="center"/>
            <w:hideMark/>
          </w:tcPr>
          <w:p w:rsidR="00A11C8D" w:rsidRPr="00E950C7" w:rsidRDefault="00A11C8D" w:rsidP="00F1515C">
            <w:pPr>
              <w:spacing w:line="276" w:lineRule="auto"/>
              <w:jc w:val="center"/>
              <w:rPr>
                <w:rFonts w:ascii="Calibri" w:hAnsi="Calibri"/>
                <w:sz w:val="20"/>
                <w:szCs w:val="20"/>
              </w:rPr>
            </w:pPr>
          </w:p>
        </w:tc>
        <w:tc>
          <w:tcPr>
            <w:tcW w:w="1154" w:type="dxa"/>
            <w:tcBorders>
              <w:top w:val="nil"/>
              <w:left w:val="single" w:sz="4" w:space="0" w:color="auto"/>
              <w:bottom w:val="single" w:sz="4" w:space="0" w:color="auto"/>
              <w:right w:val="nil"/>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u w:val="single"/>
              </w:rPr>
            </w:pPr>
            <w:r w:rsidRPr="00E950C7">
              <w:rPr>
                <w:rFonts w:ascii="Calibri" w:hAnsi="Calibri"/>
                <w:sz w:val="20"/>
                <w:szCs w:val="20"/>
                <w:u w:val="single"/>
              </w:rPr>
              <w:t xml:space="preserve"> Water </w:t>
            </w:r>
          </w:p>
        </w:tc>
        <w:tc>
          <w:tcPr>
            <w:tcW w:w="1350" w:type="dxa"/>
            <w:tcBorders>
              <w:top w:val="nil"/>
              <w:left w:val="nil"/>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u w:val="single"/>
              </w:rPr>
            </w:pPr>
            <w:r w:rsidRPr="00E950C7">
              <w:rPr>
                <w:rFonts w:ascii="Calibri" w:hAnsi="Calibri"/>
                <w:sz w:val="20"/>
                <w:szCs w:val="20"/>
                <w:u w:val="single"/>
              </w:rPr>
              <w:t xml:space="preserve"> Sewer </w:t>
            </w:r>
          </w:p>
        </w:tc>
        <w:tc>
          <w:tcPr>
            <w:tcW w:w="1451" w:type="dxa"/>
            <w:tcBorders>
              <w:top w:val="nil"/>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u w:val="single"/>
              </w:rPr>
            </w:pPr>
            <w:r w:rsidRPr="00E950C7">
              <w:rPr>
                <w:rFonts w:ascii="Calibri" w:hAnsi="Calibri"/>
                <w:sz w:val="20"/>
                <w:szCs w:val="20"/>
                <w:u w:val="single"/>
              </w:rPr>
              <w:t xml:space="preserve"> Sewer </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u w:val="single"/>
              </w:rPr>
            </w:pPr>
            <w:r w:rsidRPr="00E950C7">
              <w:rPr>
                <w:rFonts w:ascii="Calibri" w:hAnsi="Calibri"/>
                <w:sz w:val="20"/>
                <w:szCs w:val="20"/>
                <w:u w:val="single"/>
              </w:rPr>
              <w:t xml:space="preserve"> Sewer </w:t>
            </w:r>
          </w:p>
        </w:tc>
        <w:tc>
          <w:tcPr>
            <w:tcW w:w="1260" w:type="dxa"/>
            <w:tcBorders>
              <w:top w:val="nil"/>
              <w:left w:val="single" w:sz="4" w:space="0" w:color="auto"/>
              <w:bottom w:val="single" w:sz="4" w:space="0" w:color="auto"/>
              <w:right w:val="nil"/>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u w:val="single"/>
              </w:rPr>
            </w:pPr>
            <w:r w:rsidRPr="00E950C7">
              <w:rPr>
                <w:rFonts w:ascii="Calibri" w:hAnsi="Calibri"/>
                <w:sz w:val="20"/>
                <w:szCs w:val="20"/>
                <w:u w:val="single"/>
              </w:rPr>
              <w:t xml:space="preserve"> Water </w:t>
            </w:r>
          </w:p>
        </w:tc>
        <w:tc>
          <w:tcPr>
            <w:tcW w:w="1440" w:type="dxa"/>
            <w:tcBorders>
              <w:top w:val="nil"/>
              <w:left w:val="nil"/>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u w:val="single"/>
              </w:rPr>
            </w:pPr>
            <w:r w:rsidRPr="00E950C7">
              <w:rPr>
                <w:rFonts w:ascii="Calibri" w:hAnsi="Calibri"/>
                <w:sz w:val="20"/>
                <w:szCs w:val="20"/>
                <w:u w:val="single"/>
              </w:rPr>
              <w:t xml:space="preserve"> Sewer </w:t>
            </w:r>
          </w:p>
        </w:tc>
      </w:tr>
      <w:tr w:rsidR="00A11C8D" w:rsidRPr="00E950C7" w:rsidTr="00F1515C">
        <w:trPr>
          <w:trHeight w:val="288"/>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C8D" w:rsidRPr="00E950C7" w:rsidRDefault="00A11C8D" w:rsidP="00F1515C">
            <w:pPr>
              <w:spacing w:line="276" w:lineRule="auto"/>
              <w:rPr>
                <w:rFonts w:ascii="Calibri" w:hAnsi="Calibri"/>
                <w:b/>
                <w:bCs/>
                <w:sz w:val="20"/>
                <w:szCs w:val="20"/>
              </w:rPr>
            </w:pPr>
            <w:r w:rsidRPr="00E950C7">
              <w:rPr>
                <w:rFonts w:ascii="Calibri" w:hAnsi="Calibri"/>
                <w:b/>
                <w:bCs/>
                <w:sz w:val="20"/>
                <w:szCs w:val="20"/>
              </w:rPr>
              <w:t>Salaries and Wages</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b/>
                <w:bCs/>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r>
      <w:tr w:rsidR="00A11C8D" w:rsidRPr="00E950C7" w:rsidTr="00F1515C">
        <w:trPr>
          <w:trHeight w:val="576"/>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Remove Unsupported Additional Employee - Salary &amp; Wages</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(20,623)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(6,377)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(27,000)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(14,963)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jc w:val="center"/>
              <w:rPr>
                <w:rFonts w:ascii="Calibri" w:hAnsi="Calibri"/>
                <w:sz w:val="20"/>
                <w:szCs w:val="20"/>
              </w:rPr>
            </w:pPr>
            <w:r w:rsidRPr="00E950C7">
              <w:rPr>
                <w:rFonts w:ascii="Calibri" w:hAnsi="Calibri"/>
                <w:sz w:val="20"/>
                <w:szCs w:val="20"/>
              </w:rPr>
              <w:t>(12,037)</w:t>
            </w:r>
          </w:p>
        </w:tc>
      </w:tr>
      <w:tr w:rsidR="00A11C8D" w:rsidRPr="00E950C7" w:rsidTr="00F1515C">
        <w:trPr>
          <w:trHeight w:val="576"/>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WWTP  -  Reduction to Salary and Wages Expense ($45,778 1.0375)</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(47,495)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sz w:val="20"/>
                <w:szCs w:val="20"/>
              </w:rPr>
            </w:pPr>
          </w:p>
        </w:tc>
      </w:tr>
      <w:tr w:rsidR="00A11C8D" w:rsidRPr="00E950C7" w:rsidTr="00F1515C">
        <w:trPr>
          <w:trHeight w:val="288"/>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1C8D" w:rsidRPr="00E950C7" w:rsidRDefault="00A11C8D" w:rsidP="00F1515C">
            <w:pPr>
              <w:spacing w:line="276" w:lineRule="auto"/>
              <w:rPr>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(20,623)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(6,377)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(27,000)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(47,495)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(14,963)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8D" w:rsidRPr="00E950C7" w:rsidRDefault="00A11C8D" w:rsidP="00F1515C">
            <w:pPr>
              <w:spacing w:line="276" w:lineRule="auto"/>
              <w:rPr>
                <w:rFonts w:ascii="Calibri" w:hAnsi="Calibri"/>
                <w:sz w:val="20"/>
                <w:szCs w:val="20"/>
              </w:rPr>
            </w:pPr>
            <w:r w:rsidRPr="00E950C7">
              <w:rPr>
                <w:rFonts w:ascii="Calibri" w:hAnsi="Calibri"/>
                <w:sz w:val="20"/>
                <w:szCs w:val="20"/>
              </w:rPr>
              <w:t xml:space="preserve">       (12,037)</w:t>
            </w:r>
          </w:p>
        </w:tc>
      </w:tr>
    </w:tbl>
    <w:p w:rsidR="00A11C8D" w:rsidRDefault="00A11C8D" w:rsidP="00DA3AAB">
      <w:pPr>
        <w:ind w:left="1440" w:hanging="1440"/>
        <w:jc w:val="both"/>
      </w:pPr>
    </w:p>
    <w:p w:rsidR="00BD28A3" w:rsidRDefault="00357433" w:rsidP="00DA3AAB">
      <w:pPr>
        <w:spacing w:after="240"/>
        <w:ind w:left="1440" w:hanging="1440"/>
        <w:jc w:val="both"/>
        <w:rPr>
          <w:bCs/>
        </w:rPr>
      </w:pPr>
      <w:r>
        <w:rPr>
          <w:b/>
          <w:bCs/>
        </w:rPr>
        <w:t>Summertree:</w:t>
      </w:r>
      <w:r>
        <w:rPr>
          <w:b/>
          <w:bCs/>
        </w:rPr>
        <w:tab/>
      </w:r>
      <w:r w:rsidR="00BD28A3" w:rsidRPr="00BD28A3">
        <w:rPr>
          <w:bCs/>
        </w:rPr>
        <w:t xml:space="preserve">The Commission should deny any increase in salaries and benefits designed to reward UIF management personnel given the deficient management practices exhibited by UIF which undoubtedly have resulted costs and capital investments which are higher than otherwise would have been necessary. All of the programs and practices of well-managed utilities should have been in place long ago to avoid unnecessary and higher operating and capital costs. </w:t>
      </w:r>
    </w:p>
    <w:p w:rsidR="00DA3AAB" w:rsidRDefault="002A39DC" w:rsidP="00DA3AAB">
      <w:pPr>
        <w:spacing w:after="240"/>
        <w:ind w:left="1440" w:hanging="1440"/>
        <w:jc w:val="both"/>
        <w:rPr>
          <w:bCs/>
        </w:rPr>
      </w:pPr>
      <w:r w:rsidRPr="002A39DC">
        <w:rPr>
          <w:b/>
          <w:bCs/>
        </w:rPr>
        <w:t>Staff</w:t>
      </w:r>
      <w:r w:rsidR="00DA3AAB">
        <w:rPr>
          <w:b/>
          <w:bCs/>
        </w:rPr>
        <w:t>:</w:t>
      </w:r>
      <w:r w:rsidR="00DA3AAB">
        <w:rPr>
          <w:b/>
          <w:bCs/>
        </w:rPr>
        <w:tab/>
      </w:r>
      <w:r w:rsidR="00DA3AAB">
        <w:t>Staff takes no position pending evidence adduced at hearing.</w:t>
      </w:r>
    </w:p>
    <w:p w:rsidR="00F73A23" w:rsidRDefault="00F73A23" w:rsidP="00DA3AAB">
      <w:pPr>
        <w:ind w:left="1440" w:hanging="1440"/>
        <w:jc w:val="both"/>
        <w:rPr>
          <w:b/>
          <w:bCs/>
          <w:u w:val="single"/>
        </w:rPr>
      </w:pPr>
    </w:p>
    <w:p w:rsidR="00DA3AAB" w:rsidRDefault="00DA3AAB" w:rsidP="00DA3AAB">
      <w:pPr>
        <w:ind w:left="1440" w:hanging="1440"/>
        <w:jc w:val="both"/>
      </w:pPr>
      <w:r>
        <w:rPr>
          <w:b/>
          <w:bCs/>
          <w:u w:val="single"/>
        </w:rPr>
        <w:t>ISSUE 35</w:t>
      </w:r>
      <w:r>
        <w:rPr>
          <w:b/>
          <w:bCs/>
        </w:rPr>
        <w:t>:</w:t>
      </w:r>
      <w:r>
        <w:tab/>
      </w:r>
      <w:r w:rsidRPr="00832CD5">
        <w:rPr>
          <w:b/>
        </w:rPr>
        <w:t>Should any adjustment be made to employee pensions and benefits expense?</w:t>
      </w:r>
    </w:p>
    <w:p w:rsidR="00DA3AAB" w:rsidRDefault="00DA3AAB" w:rsidP="00DA3AAB">
      <w:pPr>
        <w:ind w:left="1440" w:hanging="1440"/>
        <w:jc w:val="both"/>
      </w:pPr>
    </w:p>
    <w:p w:rsidR="00DA3AAB" w:rsidRDefault="002A39DC" w:rsidP="00DA3AAB">
      <w:pPr>
        <w:ind w:left="1440" w:hanging="1440"/>
        <w:jc w:val="both"/>
      </w:pPr>
      <w:r w:rsidRPr="002A39DC">
        <w:rPr>
          <w:b/>
          <w:bCs/>
        </w:rPr>
        <w:t>POSITIONS</w:t>
      </w:r>
    </w:p>
    <w:p w:rsidR="00DA3AAB" w:rsidRDefault="00DA3AAB" w:rsidP="00DA3AAB">
      <w:pPr>
        <w:ind w:left="1440" w:hanging="1440"/>
        <w:jc w:val="both"/>
      </w:pPr>
    </w:p>
    <w:p w:rsidR="00DA3AAB" w:rsidRDefault="002A39DC" w:rsidP="00DA3AAB">
      <w:pPr>
        <w:ind w:left="1440" w:hanging="1440"/>
        <w:jc w:val="both"/>
      </w:pPr>
      <w:r w:rsidRPr="002A39DC">
        <w:rPr>
          <w:b/>
          <w:bCs/>
        </w:rPr>
        <w:t>UIF</w:t>
      </w:r>
      <w:r w:rsidR="00DA3AAB">
        <w:rPr>
          <w:b/>
          <w:bCs/>
        </w:rPr>
        <w:t>:</w:t>
      </w:r>
      <w:r w:rsidR="00DA3AAB">
        <w:tab/>
      </w:r>
      <w:r w:rsidR="00E93128">
        <w:t>No adjustment should be made to the MFRs. (Flynn)</w:t>
      </w:r>
    </w:p>
    <w:p w:rsidR="00DA3AAB" w:rsidRDefault="00DA3AAB" w:rsidP="00DA3AAB">
      <w:pPr>
        <w:ind w:left="1440" w:hanging="1440"/>
        <w:jc w:val="both"/>
      </w:pPr>
    </w:p>
    <w:p w:rsidR="00A11C8D" w:rsidRDefault="002A39DC" w:rsidP="00A11C8D">
      <w:pPr>
        <w:ind w:left="1440" w:hanging="1440"/>
        <w:jc w:val="both"/>
      </w:pPr>
      <w:r w:rsidRPr="002A39DC">
        <w:rPr>
          <w:b/>
          <w:bCs/>
        </w:rPr>
        <w:t>OPC</w:t>
      </w:r>
      <w:r w:rsidR="00DA3AAB">
        <w:rPr>
          <w:b/>
          <w:bCs/>
        </w:rPr>
        <w:t>:</w:t>
      </w:r>
      <w:r w:rsidR="00DA3AAB">
        <w:tab/>
      </w:r>
      <w:r w:rsidR="00A11C8D" w:rsidRPr="00A11C8D">
        <w:t>Yes, the following adjustments should be made to remove the benefits related to the unsupported pro form expense for additional employees and adjustment to salaries for Sandalhaven as made in the prior Commission order, and to reduce benefits for a reserve adjustment made by Water Services Corporation and allocated to UIF that is unsupported and not reflective of normal annual expense levels.  (Ramas)</w:t>
      </w:r>
    </w:p>
    <w:p w:rsidR="00631D61" w:rsidRPr="00A11C8D" w:rsidRDefault="00631D61" w:rsidP="00A11C8D">
      <w:pPr>
        <w:ind w:left="1440" w:hanging="1440"/>
        <w:jc w:val="both"/>
      </w:pPr>
    </w:p>
    <w:p w:rsidR="00A11C8D" w:rsidRPr="00A11C8D" w:rsidRDefault="00E950C7" w:rsidP="00A11C8D">
      <w:pPr>
        <w:ind w:left="1440" w:hanging="1440"/>
        <w:jc w:val="center"/>
        <w:rPr>
          <w:b/>
        </w:rPr>
      </w:pPr>
      <w:r w:rsidRPr="00A11C8D">
        <w:rPr>
          <w:b/>
        </w:rPr>
        <w:object w:dxaOrig="7135" w:dyaOrig="7863">
          <v:shape id="_x0000_i1033" type="#_x0000_t75" style="width:257pt;height:283.5pt" o:ole="" o:bordertopcolor="this">
            <v:imagedata r:id="rId26" o:title=""/>
            <w10:bordertop type="single" width="4"/>
          </v:shape>
          <o:OLEObject Type="Embed" ProgID="Excel.Sheet.12" ShapeID="_x0000_i1033" DrawAspect="Content" ObjectID="_1555246811" r:id="rId27"/>
        </w:object>
      </w:r>
    </w:p>
    <w:p w:rsidR="00DA3AAB" w:rsidRDefault="00DA3AAB" w:rsidP="00DA3AAB">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BD28A3" w:rsidRPr="00BD28A3">
        <w:rPr>
          <w:bCs/>
        </w:rPr>
        <w:t>Agree with Public Counsel.</w:t>
      </w:r>
    </w:p>
    <w:p w:rsidR="00DA3AAB" w:rsidRDefault="002A39DC" w:rsidP="00DA3AAB">
      <w:pPr>
        <w:spacing w:after="240"/>
        <w:ind w:left="1440" w:hanging="1440"/>
        <w:jc w:val="both"/>
        <w:rPr>
          <w:bCs/>
        </w:rPr>
      </w:pPr>
      <w:r w:rsidRPr="002A39DC">
        <w:rPr>
          <w:b/>
          <w:bCs/>
        </w:rPr>
        <w:t>Staff</w:t>
      </w:r>
      <w:r w:rsidR="00DA3AAB">
        <w:rPr>
          <w:b/>
          <w:bCs/>
        </w:rPr>
        <w:t>:</w:t>
      </w:r>
      <w:r w:rsidR="00DA3AAB">
        <w:rPr>
          <w:b/>
          <w:bCs/>
        </w:rPr>
        <w:tab/>
      </w:r>
      <w:r w:rsidR="00DA3AAB">
        <w:t>Staff takes no position pending evidence adduced at hearing.</w:t>
      </w:r>
    </w:p>
    <w:p w:rsidR="00F73A23" w:rsidRDefault="00F73A23" w:rsidP="00DA3AAB">
      <w:pPr>
        <w:ind w:left="1440" w:hanging="1440"/>
        <w:jc w:val="both"/>
        <w:rPr>
          <w:b/>
          <w:bCs/>
          <w:u w:val="single"/>
        </w:rPr>
      </w:pPr>
    </w:p>
    <w:p w:rsidR="00DA3AAB" w:rsidRDefault="00DA3AAB" w:rsidP="00DA3AAB">
      <w:pPr>
        <w:ind w:left="1440" w:hanging="1440"/>
        <w:jc w:val="both"/>
      </w:pPr>
      <w:r>
        <w:rPr>
          <w:b/>
          <w:bCs/>
          <w:u w:val="single"/>
        </w:rPr>
        <w:t>ISSUE 36</w:t>
      </w:r>
      <w:r>
        <w:rPr>
          <w:b/>
          <w:bCs/>
        </w:rPr>
        <w:t>:</w:t>
      </w:r>
      <w:r>
        <w:tab/>
      </w:r>
      <w:r w:rsidRPr="00832CD5">
        <w:rPr>
          <w:b/>
        </w:rPr>
        <w:t>Are the costs allocated from WSC appropriate and reasonable, and are the allocation factors appropriate going forward?</w:t>
      </w:r>
    </w:p>
    <w:p w:rsidR="00DA3AAB" w:rsidRDefault="00DA3AAB" w:rsidP="00DA3AAB">
      <w:pPr>
        <w:ind w:left="1440" w:hanging="1440"/>
        <w:jc w:val="both"/>
      </w:pPr>
    </w:p>
    <w:p w:rsidR="00DA3AAB" w:rsidRDefault="002A39DC" w:rsidP="00DA3AAB">
      <w:pPr>
        <w:ind w:left="1440" w:hanging="1440"/>
        <w:jc w:val="both"/>
      </w:pPr>
      <w:r w:rsidRPr="002A39DC">
        <w:rPr>
          <w:b/>
          <w:bCs/>
        </w:rPr>
        <w:t>POSITIONS</w:t>
      </w:r>
    </w:p>
    <w:p w:rsidR="00DA3AAB" w:rsidRDefault="00DA3AAB" w:rsidP="00DA3AAB">
      <w:pPr>
        <w:ind w:left="1440" w:hanging="1440"/>
        <w:jc w:val="both"/>
      </w:pPr>
    </w:p>
    <w:p w:rsidR="00DA3AAB" w:rsidRDefault="002A39DC" w:rsidP="00DA3AAB">
      <w:pPr>
        <w:ind w:left="1440" w:hanging="1440"/>
        <w:jc w:val="both"/>
      </w:pPr>
      <w:r w:rsidRPr="002A39DC">
        <w:rPr>
          <w:b/>
          <w:bCs/>
        </w:rPr>
        <w:t>UIF</w:t>
      </w:r>
      <w:r w:rsidR="00DA3AAB">
        <w:rPr>
          <w:b/>
          <w:bCs/>
        </w:rPr>
        <w:t>:</w:t>
      </w:r>
      <w:r w:rsidR="00DA3AAB">
        <w:tab/>
      </w:r>
      <w:r w:rsidR="00E93128">
        <w:t>Yes. (Deason)</w:t>
      </w:r>
    </w:p>
    <w:p w:rsidR="00DA3AAB" w:rsidRDefault="00DA3AAB" w:rsidP="00DA3AAB">
      <w:pPr>
        <w:ind w:left="1440" w:hanging="1440"/>
        <w:jc w:val="both"/>
      </w:pPr>
    </w:p>
    <w:p w:rsidR="00A11C8D" w:rsidRPr="00B463BF" w:rsidRDefault="002A39DC" w:rsidP="00A11C8D">
      <w:pPr>
        <w:ind w:left="1440" w:hanging="1440"/>
        <w:jc w:val="both"/>
        <w:rPr>
          <w:b/>
        </w:rPr>
      </w:pPr>
      <w:r w:rsidRPr="002A39DC">
        <w:rPr>
          <w:b/>
          <w:bCs/>
        </w:rPr>
        <w:t>OPC</w:t>
      </w:r>
      <w:r w:rsidR="00DA3AAB">
        <w:rPr>
          <w:b/>
          <w:bCs/>
        </w:rPr>
        <w:t>:</w:t>
      </w:r>
      <w:r w:rsidR="00DA3AAB">
        <w:tab/>
      </w:r>
      <w:r w:rsidR="00A11C8D" w:rsidRPr="00B463BF">
        <w:t xml:space="preserve">No. The allocated expenses associated with a health insurance reimbursement reserve adjustment should be removed from the test year (see Issue 35, above).  Additionally, the allocated expenses should be reduced by the amounts below to remove a non-recurring entry for a “Fixed Asset Clean up”.  (Ramas) </w:t>
      </w:r>
    </w:p>
    <w:p w:rsidR="00A11C8D" w:rsidRPr="00B463BF" w:rsidRDefault="00A11C8D" w:rsidP="00A11C8D">
      <w:pPr>
        <w:jc w:val="both"/>
        <w:rPr>
          <w:b/>
        </w:rPr>
      </w:pPr>
    </w:p>
    <w:p w:rsidR="00A11C8D" w:rsidRPr="00B463BF" w:rsidRDefault="00A11C8D" w:rsidP="00A11C8D">
      <w:pPr>
        <w:spacing w:line="276" w:lineRule="auto"/>
        <w:jc w:val="center"/>
        <w:rPr>
          <w:b/>
        </w:rPr>
      </w:pPr>
      <w:r w:rsidRPr="00B463BF">
        <w:rPr>
          <w:b/>
        </w:rPr>
        <w:object w:dxaOrig="4898" w:dyaOrig="7572">
          <v:shape id="_x0000_i1034" type="#_x0000_t75" style="width:245pt;height:375.5pt" o:ole="" o:bordertopcolor="this">
            <v:imagedata r:id="rId28" o:title=""/>
            <w10:bordertop type="single" width="4"/>
          </v:shape>
          <o:OLEObject Type="Embed" ProgID="Excel.Sheet.12" ShapeID="_x0000_i1034" DrawAspect="Content" ObjectID="_1555246812" r:id="rId29"/>
        </w:object>
      </w:r>
    </w:p>
    <w:p w:rsidR="00DA3AAB" w:rsidRDefault="00DA3AAB" w:rsidP="00DA3AAB">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B63DC1" w:rsidRPr="00C24CB8">
        <w:t xml:space="preserve">No. UIF suggests that its affiliate is responsible for accounting and record keeping services among other things. Commission audits in this proceeding and prior proceeding consistently have shown not only inadequacies in accounting and record keeping but a flagrant UIF refusal to correct these issues after repeatedly being informed by the Commission and its staff that they exist. UIF should not be rewarded for these deficiencies. </w:t>
      </w:r>
      <w:r w:rsidR="00B63DC1" w:rsidRPr="00B63DC1">
        <w:t>UIF has failed to produce any evidence that UIF audits the allocated costs from its affiliate WSC to confirm for UIF ratepayers that the costs are reasonable. UIF has failed to produce evidence that it has ever audited the performance of WSC activities to confirm for ratepayers that they are being competently conducted at the lowest reasonable cost. UIF has failed to provide evidence that it has made the services available to third party providers of the various services being provided by WSC to confirm for customers that the costs being allocated to UIF are the lowest cost possible for such services. As UIF has failed to provide any evidence of this nature, the Commission should disallow any allocation of costs from the UIF affiliate related to accounting or record keeping from UIF’s affiliate. *Contested*</w:t>
      </w:r>
    </w:p>
    <w:p w:rsidR="00DA3AAB" w:rsidRDefault="002A39DC" w:rsidP="00DA3AAB">
      <w:pPr>
        <w:spacing w:after="240"/>
        <w:ind w:left="1440" w:hanging="1440"/>
        <w:jc w:val="both"/>
        <w:rPr>
          <w:bCs/>
        </w:rPr>
      </w:pPr>
      <w:r w:rsidRPr="002A39DC">
        <w:rPr>
          <w:b/>
          <w:bCs/>
        </w:rPr>
        <w:lastRenderedPageBreak/>
        <w:t>Staff</w:t>
      </w:r>
      <w:r w:rsidR="00DA3AAB">
        <w:rPr>
          <w:b/>
          <w:bCs/>
        </w:rPr>
        <w:t>:</w:t>
      </w:r>
      <w:r w:rsidR="00DA3AAB">
        <w:rPr>
          <w:b/>
          <w:bCs/>
        </w:rPr>
        <w:tab/>
      </w:r>
      <w:r w:rsidR="00842414">
        <w:t>Staff takes no position pending evidence adduced at hearing.</w:t>
      </w:r>
    </w:p>
    <w:p w:rsidR="00F73A23" w:rsidRDefault="00F73A23" w:rsidP="00DA3AAB">
      <w:pPr>
        <w:ind w:left="1440" w:hanging="1440"/>
        <w:jc w:val="both"/>
        <w:rPr>
          <w:b/>
          <w:bCs/>
          <w:u w:val="single"/>
        </w:rPr>
      </w:pPr>
    </w:p>
    <w:p w:rsidR="00DA3AAB" w:rsidRDefault="00DA3AAB" w:rsidP="00DA3AAB">
      <w:pPr>
        <w:ind w:left="1440" w:hanging="1440"/>
        <w:jc w:val="both"/>
      </w:pPr>
      <w:r>
        <w:rPr>
          <w:b/>
          <w:bCs/>
          <w:u w:val="single"/>
        </w:rPr>
        <w:t>ISSUE 37</w:t>
      </w:r>
      <w:r>
        <w:rPr>
          <w:b/>
          <w:bCs/>
        </w:rPr>
        <w:t>:</w:t>
      </w:r>
      <w:r>
        <w:tab/>
      </w:r>
      <w:r w:rsidRPr="00832CD5">
        <w:rPr>
          <w:b/>
        </w:rPr>
        <w:t>Should any adjustment be made to purchased water expense?</w:t>
      </w:r>
    </w:p>
    <w:p w:rsidR="00DA3AAB" w:rsidRDefault="00DA3AAB" w:rsidP="00DA3AAB">
      <w:pPr>
        <w:ind w:left="1440" w:hanging="1440"/>
        <w:jc w:val="both"/>
      </w:pPr>
    </w:p>
    <w:p w:rsidR="00DA3AAB" w:rsidRDefault="002A39DC" w:rsidP="00DA3AAB">
      <w:pPr>
        <w:ind w:left="1440" w:hanging="1440"/>
        <w:jc w:val="both"/>
      </w:pPr>
      <w:r w:rsidRPr="002A39DC">
        <w:rPr>
          <w:b/>
          <w:bCs/>
        </w:rPr>
        <w:t>POSITIONS</w:t>
      </w:r>
    </w:p>
    <w:p w:rsidR="00DA3AAB" w:rsidRDefault="00DA3AAB" w:rsidP="00DA3AAB">
      <w:pPr>
        <w:ind w:left="1440" w:hanging="1440"/>
        <w:jc w:val="both"/>
      </w:pPr>
    </w:p>
    <w:p w:rsidR="00DA3AAB" w:rsidRDefault="002A39DC" w:rsidP="00DA3AAB">
      <w:pPr>
        <w:ind w:left="1440" w:hanging="1440"/>
        <w:jc w:val="both"/>
      </w:pPr>
      <w:r w:rsidRPr="002A39DC">
        <w:rPr>
          <w:b/>
          <w:bCs/>
        </w:rPr>
        <w:t>UIF</w:t>
      </w:r>
      <w:r w:rsidR="00DA3AAB">
        <w:rPr>
          <w:b/>
          <w:bCs/>
        </w:rPr>
        <w:t>:</w:t>
      </w:r>
      <w:r w:rsidR="00DA3AAB">
        <w:tab/>
      </w:r>
      <w:r w:rsidR="00E93128">
        <w:t>No adjustment should be made to the MFRs. (Flynn)</w:t>
      </w:r>
    </w:p>
    <w:p w:rsidR="00DA3AAB" w:rsidRDefault="00DA3AAB" w:rsidP="00DA3AAB">
      <w:pPr>
        <w:ind w:left="1440" w:hanging="1440"/>
        <w:jc w:val="both"/>
      </w:pPr>
    </w:p>
    <w:p w:rsidR="00DA3AAB" w:rsidRDefault="002A39DC" w:rsidP="00DA3AAB">
      <w:pPr>
        <w:ind w:left="1440" w:hanging="1440"/>
        <w:jc w:val="both"/>
      </w:pPr>
      <w:r w:rsidRPr="002A39DC">
        <w:rPr>
          <w:b/>
          <w:bCs/>
        </w:rPr>
        <w:t>OPC</w:t>
      </w:r>
      <w:r w:rsidR="00DA3AAB">
        <w:rPr>
          <w:b/>
          <w:bCs/>
        </w:rPr>
        <w:t>:</w:t>
      </w:r>
      <w:r w:rsidR="00DA3AAB">
        <w:tab/>
      </w:r>
      <w:r w:rsidR="00A11C8D" w:rsidRPr="00A11C8D">
        <w:t>Yes.  The excessive unaccounted for water adjustments addressed in Issue 11 include the impacts of the EUW on purchased water expense.  Additionally, the following adjustments should be made to reflect the post test year interconnection of the Summertree water system with Pasco County and to remove the temporary costs to purchase water while the interconnection between Crystal Lake and Ravenna Park was completed. (Ramas)</w:t>
      </w:r>
    </w:p>
    <w:p w:rsidR="00631D61" w:rsidRDefault="00631D61" w:rsidP="00DA3AAB">
      <w:pPr>
        <w:ind w:left="1440" w:hanging="1440"/>
        <w:jc w:val="both"/>
      </w:pPr>
    </w:p>
    <w:p w:rsidR="00DA3AAB" w:rsidRDefault="005944F2" w:rsidP="005944F2">
      <w:pPr>
        <w:ind w:left="1440" w:hanging="1440"/>
        <w:jc w:val="center"/>
        <w:rPr>
          <w:b/>
          <w:bdr w:val="single" w:sz="4" w:space="0" w:color="auto"/>
        </w:rPr>
      </w:pPr>
      <w:r w:rsidRPr="00B463BF">
        <w:rPr>
          <w:b/>
          <w:bdr w:val="single" w:sz="4" w:space="0" w:color="auto"/>
        </w:rPr>
        <w:object w:dxaOrig="6086" w:dyaOrig="2053">
          <v:shape id="_x0000_i1035" type="#_x0000_t75" style="width:304.5pt;height:103.5pt" o:ole="" o:bordertopcolor="this">
            <v:imagedata r:id="rId30" o:title=""/>
            <w10:bordertop type="single" width="4"/>
          </v:shape>
          <o:OLEObject Type="Embed" ProgID="Excel.Sheet.12" ShapeID="_x0000_i1035" DrawAspect="Content" ObjectID="_1555246813" r:id="rId31"/>
        </w:object>
      </w:r>
    </w:p>
    <w:p w:rsidR="005944F2" w:rsidRDefault="005944F2" w:rsidP="005944F2">
      <w:pPr>
        <w:ind w:left="1440" w:hanging="1440"/>
        <w:jc w:val="center"/>
      </w:pPr>
    </w:p>
    <w:p w:rsidR="00357433" w:rsidRPr="00357433" w:rsidRDefault="00357433" w:rsidP="00357433">
      <w:pPr>
        <w:spacing w:after="240"/>
        <w:ind w:left="1440" w:hanging="1440"/>
        <w:jc w:val="both"/>
        <w:rPr>
          <w:bCs/>
        </w:rPr>
      </w:pPr>
      <w:r>
        <w:rPr>
          <w:b/>
          <w:bCs/>
        </w:rPr>
        <w:t>Summertree:</w:t>
      </w:r>
      <w:r>
        <w:rPr>
          <w:b/>
          <w:bCs/>
        </w:rPr>
        <w:tab/>
      </w:r>
      <w:r w:rsidR="00CA6006" w:rsidRPr="00CA6006">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purchased water; purchased water expense should be reduced.</w:t>
      </w:r>
    </w:p>
    <w:p w:rsidR="00DA3AAB" w:rsidRDefault="002A39DC" w:rsidP="00DA3AAB">
      <w:pPr>
        <w:spacing w:after="240"/>
        <w:ind w:left="1440" w:hanging="1440"/>
        <w:jc w:val="both"/>
        <w:rPr>
          <w:bCs/>
        </w:rPr>
      </w:pPr>
      <w:r w:rsidRPr="002A39DC">
        <w:rPr>
          <w:b/>
          <w:bCs/>
        </w:rPr>
        <w:t>Staff</w:t>
      </w:r>
      <w:r w:rsidR="00DA3AAB">
        <w:rPr>
          <w:b/>
          <w:bCs/>
        </w:rPr>
        <w:t>:</w:t>
      </w:r>
      <w:r w:rsidR="00DA3AAB">
        <w:rPr>
          <w:b/>
          <w:bCs/>
        </w:rPr>
        <w:tab/>
      </w:r>
      <w:r w:rsidR="00DA3AAB">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Pr>
          <w:b/>
          <w:bCs/>
          <w:u w:val="single"/>
        </w:rPr>
        <w:t>ISSUE 38</w:t>
      </w:r>
      <w:r>
        <w:rPr>
          <w:b/>
          <w:bCs/>
        </w:rPr>
        <w:t>:</w:t>
      </w:r>
      <w:r>
        <w:tab/>
      </w:r>
      <w:r w:rsidRPr="00832CD5">
        <w:rPr>
          <w:b/>
        </w:rPr>
        <w:t>Should any adjustment be made to purchased sewage expense?</w:t>
      </w:r>
    </w:p>
    <w:p w:rsidR="00396108" w:rsidRDefault="00396108" w:rsidP="00396108">
      <w:pPr>
        <w:ind w:left="1440" w:hanging="1440"/>
        <w:jc w:val="both"/>
      </w:pPr>
    </w:p>
    <w:p w:rsidR="00396108" w:rsidRDefault="002A39DC" w:rsidP="00396108">
      <w:pPr>
        <w:ind w:left="1440" w:hanging="1440"/>
        <w:jc w:val="both"/>
      </w:pPr>
      <w:r w:rsidRPr="002A39DC">
        <w:rPr>
          <w:b/>
          <w:bCs/>
        </w:rPr>
        <w:t>POSITIONS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0F53B4">
        <w:t>No adjustment should be made to the MFRs</w:t>
      </w:r>
      <w:r w:rsidR="000F53B4" w:rsidRPr="00FD01B6">
        <w:t>.</w:t>
      </w:r>
      <w:r w:rsidR="000F53B4">
        <w:t xml:space="preserve"> </w:t>
      </w:r>
      <w:r w:rsidR="000F53B4" w:rsidRPr="00B23760">
        <w:t>(Flynn)</w:t>
      </w:r>
    </w:p>
    <w:p w:rsidR="00396108" w:rsidRDefault="00396108" w:rsidP="00396108">
      <w:pPr>
        <w:ind w:left="1440" w:hanging="1440"/>
        <w:jc w:val="both"/>
      </w:pPr>
    </w:p>
    <w:p w:rsidR="00396108" w:rsidRDefault="002A39DC" w:rsidP="00396108">
      <w:pPr>
        <w:ind w:left="1440" w:hanging="1440"/>
        <w:jc w:val="both"/>
      </w:pPr>
      <w:r w:rsidRPr="002A39DC">
        <w:rPr>
          <w:b/>
          <w:bCs/>
        </w:rPr>
        <w:t>OPC</w:t>
      </w:r>
      <w:r w:rsidR="00396108">
        <w:rPr>
          <w:b/>
          <w:bCs/>
        </w:rPr>
        <w:t>:</w:t>
      </w:r>
      <w:r w:rsidR="00396108">
        <w:tab/>
      </w:r>
      <w:r w:rsidR="005944F2" w:rsidRPr="00B463BF">
        <w:t>Yes.  In addition to the impacts of excess I&amp;I previously addressed, the Sandalhaven purchased sewage expense should be reduced by $27,125 to remove additional expenses and only reflect twelve months of expense. (Ramas)</w:t>
      </w:r>
    </w:p>
    <w:p w:rsidR="00396108" w:rsidRDefault="00396108" w:rsidP="00396108">
      <w:pPr>
        <w:ind w:left="1440" w:hanging="1440"/>
        <w:jc w:val="both"/>
      </w:pPr>
    </w:p>
    <w:p w:rsidR="009C58F5" w:rsidRDefault="009C58F5">
      <w:pPr>
        <w:rPr>
          <w:b/>
          <w:bCs/>
        </w:rPr>
      </w:pPr>
      <w:r>
        <w:rPr>
          <w:b/>
          <w:bCs/>
        </w:rPr>
        <w:br w:type="page"/>
      </w:r>
    </w:p>
    <w:p w:rsidR="00357433" w:rsidRPr="00357433" w:rsidRDefault="00357433" w:rsidP="00357433">
      <w:pPr>
        <w:spacing w:after="240"/>
        <w:ind w:left="1440" w:hanging="1440"/>
        <w:jc w:val="both"/>
        <w:rPr>
          <w:bCs/>
        </w:rPr>
      </w:pPr>
      <w:r>
        <w:rPr>
          <w:b/>
          <w:bCs/>
        </w:rPr>
        <w:lastRenderedPageBreak/>
        <w:t>Summertree:</w:t>
      </w:r>
      <w:r>
        <w:rPr>
          <w:b/>
          <w:bCs/>
        </w:rPr>
        <w:tab/>
      </w:r>
      <w:r w:rsidR="0021617E" w:rsidRPr="0021617E">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purchased wastewater; purchased wastewater expense should be reduced.</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Pr>
          <w:b/>
          <w:bCs/>
          <w:u w:val="single"/>
        </w:rPr>
        <w:t>ISSUE 39</w:t>
      </w:r>
      <w:r>
        <w:rPr>
          <w:b/>
          <w:bCs/>
        </w:rPr>
        <w:t>:</w:t>
      </w:r>
      <w:r>
        <w:tab/>
      </w:r>
      <w:r w:rsidRPr="00832CD5">
        <w:rPr>
          <w:b/>
        </w:rPr>
        <w:t>Should any adjustment be made to sludge removal expense?</w:t>
      </w:r>
    </w:p>
    <w:p w:rsidR="00396108" w:rsidRDefault="00396108" w:rsidP="00396108">
      <w:pPr>
        <w:ind w:left="1440" w:hanging="1440"/>
        <w:jc w:val="both"/>
      </w:pPr>
    </w:p>
    <w:p w:rsidR="00396108" w:rsidRDefault="002A39DC" w:rsidP="001754BE">
      <w:pPr>
        <w:ind w:left="1440" w:hanging="1440"/>
      </w:pPr>
      <w:r w:rsidRPr="002A39DC">
        <w:rPr>
          <w:b/>
          <w:bCs/>
        </w:rPr>
        <w:t>POSITIONS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EE173B" w:rsidRPr="00990BA3">
        <w:t>Yes, in LUSI, $21,000 in annual expense for sludge hauling should be removed reflecting the savings associated with the pro forma project. No adjustment is appropriate in Mid-County.</w:t>
      </w:r>
      <w:r w:rsidR="00EE173B" w:rsidRPr="00B23760">
        <w:t xml:space="preserve"> (Flynn)</w:t>
      </w:r>
    </w:p>
    <w:p w:rsidR="00396108" w:rsidRDefault="00396108" w:rsidP="00396108">
      <w:pPr>
        <w:ind w:left="1440" w:hanging="1440"/>
        <w:jc w:val="both"/>
      </w:pPr>
    </w:p>
    <w:p w:rsidR="004A1AA7" w:rsidRPr="00B463BF" w:rsidRDefault="002A39DC" w:rsidP="004A1AA7">
      <w:pPr>
        <w:ind w:left="1440" w:hanging="1440"/>
        <w:jc w:val="both"/>
      </w:pPr>
      <w:r w:rsidRPr="002A39DC">
        <w:rPr>
          <w:b/>
          <w:bCs/>
        </w:rPr>
        <w:t>OPC</w:t>
      </w:r>
      <w:r w:rsidR="00396108">
        <w:rPr>
          <w:b/>
          <w:bCs/>
        </w:rPr>
        <w:t>:</w:t>
      </w:r>
      <w:r w:rsidR="00396108">
        <w:tab/>
      </w:r>
      <w:r w:rsidR="004A1AA7" w:rsidRPr="00B463BF">
        <w:t xml:space="preserve">Yes, the following adjustments should be made to reflect the adjustment to sludge removal for Sandalhaven as made in the prior Commission order, to remove an out of period expense for Mid-County, and to reflect the annual cost savings associated with the pro forma project at LUSI.  (Ramas) </w:t>
      </w:r>
    </w:p>
    <w:p w:rsidR="004A1AA7" w:rsidRPr="00B463BF" w:rsidRDefault="004A1AA7" w:rsidP="004A1AA7">
      <w:pPr>
        <w:spacing w:line="276" w:lineRule="auto"/>
        <w:jc w:val="both"/>
        <w:rPr>
          <w:sz w:val="22"/>
          <w:szCs w:val="22"/>
        </w:rPr>
      </w:pPr>
      <w:r w:rsidRPr="00B463BF">
        <w:fldChar w:fldCharType="begin"/>
      </w:r>
      <w:r w:rsidRPr="00B463BF">
        <w:instrText xml:space="preserve"> LINK Excel.Sheet.12 "Book3" "NOI Issues!R104C1:R110C4" \a \f 4 \h  \* MERGEFORMAT </w:instrText>
      </w:r>
      <w:r w:rsidRPr="00B463BF">
        <w:fldChar w:fldCharType="separate"/>
      </w:r>
    </w:p>
    <w:p w:rsidR="00396108" w:rsidRDefault="004A1AA7" w:rsidP="004A1AA7">
      <w:pPr>
        <w:ind w:left="1440" w:hanging="1440"/>
        <w:jc w:val="center"/>
      </w:pPr>
      <w:r w:rsidRPr="00B463BF">
        <w:rPr>
          <w:b/>
        </w:rPr>
        <w:object w:dxaOrig="7562" w:dyaOrig="3215">
          <v:shape id="_x0000_i1036" type="#_x0000_t75" style="width:379pt;height:160.5pt" o:ole="">
            <v:imagedata r:id="rId32" o:title=""/>
          </v:shape>
          <o:OLEObject Type="Embed" ProgID="Excel.Sheet.12" ShapeID="_x0000_i1036" DrawAspect="Content" ObjectID="_1555246814" r:id="rId33"/>
        </w:object>
      </w:r>
      <w:r w:rsidRPr="00B463BF">
        <w:rPr>
          <w:b/>
        </w:rPr>
        <w:fldChar w:fldCharType="end"/>
      </w:r>
    </w:p>
    <w:p w:rsidR="00396108" w:rsidRDefault="00396108" w:rsidP="00396108">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53001E" w:rsidRPr="0053001E">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sludge expense; sludge expense should be reduced.</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9C58F5" w:rsidRDefault="009C58F5">
      <w:pPr>
        <w:rPr>
          <w:b/>
          <w:bCs/>
          <w:u w:val="single"/>
        </w:rPr>
      </w:pPr>
      <w:r>
        <w:rPr>
          <w:b/>
          <w:bCs/>
          <w:u w:val="single"/>
        </w:rPr>
        <w:br w:type="page"/>
      </w:r>
    </w:p>
    <w:p w:rsidR="00396108" w:rsidRDefault="00396108" w:rsidP="00396108">
      <w:pPr>
        <w:ind w:left="1440" w:hanging="1440"/>
        <w:jc w:val="both"/>
      </w:pPr>
      <w:r>
        <w:rPr>
          <w:b/>
          <w:bCs/>
          <w:u w:val="single"/>
        </w:rPr>
        <w:lastRenderedPageBreak/>
        <w:t>ISSUE 40</w:t>
      </w:r>
      <w:r>
        <w:rPr>
          <w:b/>
          <w:bCs/>
        </w:rPr>
        <w:t>:</w:t>
      </w:r>
      <w:r>
        <w:tab/>
      </w:r>
      <w:r w:rsidRPr="00832CD5">
        <w:rPr>
          <w:b/>
        </w:rPr>
        <w:t>Should any adjustment be made to purchased power expense?</w:t>
      </w:r>
    </w:p>
    <w:p w:rsidR="00396108" w:rsidRDefault="00396108" w:rsidP="00396108">
      <w:pPr>
        <w:ind w:left="1440" w:hanging="1440"/>
        <w:jc w:val="both"/>
      </w:pPr>
    </w:p>
    <w:p w:rsidR="00396108" w:rsidRDefault="002A39DC" w:rsidP="001754BE">
      <w:pPr>
        <w:ind w:left="1440" w:hanging="1440"/>
      </w:pPr>
      <w:r w:rsidRPr="002A39DC">
        <w:rPr>
          <w:b/>
          <w:bCs/>
        </w:rPr>
        <w:t>POSITIONS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D670A3" w:rsidRPr="007F372D">
        <w:t xml:space="preserve">Yes, in LUSI, purchased power expense should be increased by $17,840 in water and decreased by $2,174 in wastewater compared to the test year reflecting the termination of SECO’s interruptible power credits program. In Sanlando, purchased power should be increased by $16,982 in water and $31,110 in wastewater compared to the test year reflecting the termination of Duke Energy Florida’s termination of its interruptible power tariff. In Longwood, purchased power should be increased by </w:t>
      </w:r>
      <w:r w:rsidR="00D670A3">
        <w:t>$7,147</w:t>
      </w:r>
      <w:r w:rsidR="00D670A3" w:rsidRPr="007F372D">
        <w:t xml:space="preserve"> compared to the test year reflecting the termination of Duke Energy Florida’s interruptible power tariff.</w:t>
      </w:r>
      <w:r w:rsidR="00D670A3">
        <w:t xml:space="preserve"> </w:t>
      </w:r>
      <w:r w:rsidR="00D670A3" w:rsidRPr="00B23760">
        <w:t>(Flynn)</w:t>
      </w:r>
    </w:p>
    <w:p w:rsidR="00396108" w:rsidRDefault="00396108" w:rsidP="00396108">
      <w:pPr>
        <w:ind w:left="1440" w:hanging="1440"/>
        <w:jc w:val="both"/>
      </w:pPr>
    </w:p>
    <w:p w:rsidR="004A1AA7" w:rsidRPr="00B463BF" w:rsidRDefault="002A39DC" w:rsidP="004A1AA7">
      <w:pPr>
        <w:ind w:left="1440" w:hanging="1440"/>
        <w:jc w:val="both"/>
      </w:pPr>
      <w:r w:rsidRPr="002A39DC">
        <w:rPr>
          <w:b/>
          <w:bCs/>
        </w:rPr>
        <w:t>OPC</w:t>
      </w:r>
      <w:r w:rsidR="00396108">
        <w:rPr>
          <w:b/>
          <w:bCs/>
        </w:rPr>
        <w:t>:</w:t>
      </w:r>
      <w:r w:rsidR="00396108">
        <w:tab/>
      </w:r>
      <w:r w:rsidR="004A1AA7" w:rsidRPr="00B463BF">
        <w:t xml:space="preserve">Yes.  In addition to the impacts of EUW and excess I&amp;I previously addressed, the following adjustments should be made to the utility’s projected purchased power expense. It is the utility’s burden to support these expenses in its direct case and through discovery. The utility has not met its burden.  (Ramas) </w:t>
      </w:r>
    </w:p>
    <w:p w:rsidR="004A1AA7" w:rsidRPr="00B463BF" w:rsidRDefault="004A1AA7" w:rsidP="004A1AA7">
      <w:pPr>
        <w:spacing w:after="240" w:line="276" w:lineRule="auto"/>
        <w:jc w:val="both"/>
        <w:rPr>
          <w:b/>
        </w:rPr>
      </w:pPr>
    </w:p>
    <w:bookmarkStart w:id="7" w:name="_MON_1553336804"/>
    <w:bookmarkEnd w:id="7"/>
    <w:p w:rsidR="00BB0632" w:rsidRDefault="004A1AA7" w:rsidP="00BB0632">
      <w:pPr>
        <w:spacing w:after="240" w:line="276" w:lineRule="auto"/>
        <w:jc w:val="both"/>
        <w:rPr>
          <w:b/>
        </w:rPr>
      </w:pPr>
      <w:r w:rsidRPr="00B463BF">
        <w:rPr>
          <w:b/>
        </w:rPr>
        <w:object w:dxaOrig="10874" w:dyaOrig="1763">
          <v:shape id="_x0000_i1037" type="#_x0000_t75" style="width:472pt;height:77pt" o:ole="" o:bordertopcolor="this">
            <v:imagedata r:id="rId34" o:title=""/>
            <w10:bordertop type="single" width="4"/>
          </v:shape>
          <o:OLEObject Type="Embed" ProgID="Excel.Sheet.12" ShapeID="_x0000_i1037" DrawAspect="Content" ObjectID="_1555246815" r:id="rId35"/>
        </w:object>
      </w:r>
    </w:p>
    <w:p w:rsidR="00357433" w:rsidRPr="00357433" w:rsidRDefault="00357433" w:rsidP="00357433">
      <w:pPr>
        <w:spacing w:after="240"/>
        <w:ind w:left="1440" w:hanging="1440"/>
        <w:jc w:val="both"/>
        <w:rPr>
          <w:bCs/>
        </w:rPr>
      </w:pPr>
      <w:r>
        <w:rPr>
          <w:b/>
          <w:bCs/>
        </w:rPr>
        <w:t>Summertree:</w:t>
      </w:r>
      <w:r>
        <w:rPr>
          <w:b/>
          <w:bCs/>
        </w:rPr>
        <w:tab/>
      </w:r>
      <w:r w:rsidR="0014301B" w:rsidRPr="0014301B">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purchased power; purchased power expense should be reduced.</w:t>
      </w:r>
    </w:p>
    <w:p w:rsidR="00396108" w:rsidRDefault="002A39DC" w:rsidP="007D5CAC">
      <w:pPr>
        <w:spacing w:after="240" w:line="276" w:lineRule="auto"/>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Pr>
          <w:b/>
          <w:bCs/>
          <w:u w:val="single"/>
        </w:rPr>
        <w:t>ISSUE 41</w:t>
      </w:r>
      <w:r>
        <w:rPr>
          <w:b/>
          <w:bCs/>
        </w:rPr>
        <w:t>:</w:t>
      </w:r>
      <w:r>
        <w:tab/>
      </w:r>
      <w:r w:rsidRPr="00832CD5">
        <w:rPr>
          <w:b/>
        </w:rPr>
        <w:t>Should any adjustment be made to chemicals expense?</w:t>
      </w:r>
    </w:p>
    <w:p w:rsidR="00396108" w:rsidRDefault="00396108" w:rsidP="00396108">
      <w:pPr>
        <w:ind w:left="1440" w:hanging="1440"/>
        <w:jc w:val="both"/>
      </w:pPr>
    </w:p>
    <w:p w:rsidR="00396108" w:rsidRDefault="002A39DC" w:rsidP="001754BE">
      <w:pPr>
        <w:ind w:left="1440" w:hanging="1440"/>
      </w:pPr>
      <w:r w:rsidRPr="002A39DC">
        <w:rPr>
          <w:b/>
          <w:bCs/>
        </w:rPr>
        <w:t>POSITIONS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824B59" w:rsidRPr="007F372D">
        <w:t>Yes, a decrease of $</w:t>
      </w:r>
      <w:r w:rsidR="00824B59" w:rsidRPr="00904DB9">
        <w:t xml:space="preserve">7,266 </w:t>
      </w:r>
      <w:r w:rsidR="00824B59" w:rsidRPr="007F372D">
        <w:t>in Eagle Ridge is appropriate.</w:t>
      </w:r>
      <w:r w:rsidR="00824B59">
        <w:t xml:space="preserve"> </w:t>
      </w:r>
      <w:r w:rsidR="00824B59" w:rsidRPr="00B23760">
        <w:t>(Flynn)</w:t>
      </w:r>
    </w:p>
    <w:p w:rsidR="00824B59" w:rsidRDefault="00824B59" w:rsidP="00396108">
      <w:pPr>
        <w:ind w:left="1440" w:hanging="1440"/>
        <w:jc w:val="both"/>
      </w:pPr>
    </w:p>
    <w:p w:rsidR="00036726" w:rsidRDefault="002A39DC" w:rsidP="00036726">
      <w:pPr>
        <w:ind w:left="1440" w:hanging="1440"/>
        <w:jc w:val="both"/>
      </w:pPr>
      <w:r w:rsidRPr="002A39DC">
        <w:rPr>
          <w:b/>
          <w:bCs/>
        </w:rPr>
        <w:t>OPC</w:t>
      </w:r>
      <w:r w:rsidR="00396108">
        <w:rPr>
          <w:b/>
          <w:bCs/>
        </w:rPr>
        <w:t>:</w:t>
      </w:r>
      <w:r w:rsidR="00396108">
        <w:tab/>
      </w:r>
      <w:r w:rsidR="00036726" w:rsidRPr="00B463BF">
        <w:t xml:space="preserve">Yes.  In addition to the impacts of EUW and excess I&amp;I previously addressed, the following adjustments should be made to reflect the adjustment to chemicals for Sandalhaven as made in the prior Commission order, to adjust the expense for Eagle Ridge to reflect the amount supported in the utility’s work papers, and to </w:t>
      </w:r>
      <w:r w:rsidR="00036726" w:rsidRPr="00B463BF">
        <w:lastRenderedPageBreak/>
        <w:t xml:space="preserve">reflect the annual cost savings associated with the pro forma project at Mid-County.  (Ramas) </w:t>
      </w:r>
    </w:p>
    <w:p w:rsidR="00036726" w:rsidRPr="00B463BF" w:rsidRDefault="00036726" w:rsidP="00036726">
      <w:pPr>
        <w:ind w:left="1440" w:hanging="1440"/>
        <w:jc w:val="both"/>
      </w:pPr>
    </w:p>
    <w:p w:rsidR="00396108" w:rsidRDefault="00036726" w:rsidP="00036726">
      <w:pPr>
        <w:ind w:left="1440" w:hanging="1440"/>
        <w:jc w:val="center"/>
      </w:pPr>
      <w:r w:rsidRPr="00B463BF">
        <w:rPr>
          <w:b/>
        </w:rPr>
        <w:object w:dxaOrig="7562" w:dyaOrig="2344">
          <v:shape id="_x0000_i1038" type="#_x0000_t75" style="width:379pt;height:116.5pt" o:ole="">
            <v:imagedata r:id="rId36" o:title=""/>
          </v:shape>
          <o:OLEObject Type="Embed" ProgID="Excel.Sheet.12" ShapeID="_x0000_i1038" DrawAspect="Content" ObjectID="_1555246816" r:id="rId37"/>
        </w:object>
      </w:r>
    </w:p>
    <w:p w:rsidR="00396108" w:rsidRDefault="00396108" w:rsidP="00396108">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441968" w:rsidRPr="00441968">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chemical expense; chemical expense should be reduced</w:t>
      </w:r>
      <w:r w:rsidR="00441968">
        <w:rPr>
          <w:bCs/>
        </w:rPr>
        <w:t>.</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Pr>
          <w:b/>
          <w:bCs/>
          <w:u w:val="single"/>
        </w:rPr>
        <w:t>ISSUE 42</w:t>
      </w:r>
      <w:r>
        <w:rPr>
          <w:b/>
          <w:bCs/>
        </w:rPr>
        <w:t>:</w:t>
      </w:r>
      <w:r>
        <w:tab/>
      </w:r>
      <w:r w:rsidRPr="00832CD5">
        <w:rPr>
          <w:b/>
        </w:rPr>
        <w:t>Should any adjustment be made to materials and supplies expense?</w:t>
      </w:r>
    </w:p>
    <w:p w:rsidR="00396108" w:rsidRDefault="00396108" w:rsidP="00396108">
      <w:pPr>
        <w:ind w:left="1440" w:hanging="1440"/>
        <w:jc w:val="both"/>
      </w:pPr>
    </w:p>
    <w:p w:rsidR="00396108" w:rsidRDefault="002A39DC" w:rsidP="00631D61">
      <w:pPr>
        <w:ind w:left="1440" w:hanging="1440"/>
      </w:pPr>
      <w:r w:rsidRPr="002A39DC">
        <w:rPr>
          <w:b/>
          <w:bCs/>
        </w:rPr>
        <w:t>POSITIONS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575FA0" w:rsidRPr="00FD01B6">
        <w:t>Per MFRs _, -$10,000 Water Analysis (Labrador), -2</w:t>
      </w:r>
      <w:r w:rsidR="00575FA0">
        <w:t>1</w:t>
      </w:r>
      <w:r w:rsidR="00575FA0" w:rsidRPr="00FD01B6">
        <w:t>,000 sludge hauling (LUSI), -$12,999 defer steel tank removal (Sanlando), plus amortization expense $267,272</w:t>
      </w:r>
      <w:r w:rsidR="00575FA0">
        <w:t xml:space="preserve">. </w:t>
      </w:r>
      <w:r w:rsidR="00575FA0" w:rsidRPr="00B23760">
        <w:t>(Flynn)</w:t>
      </w:r>
    </w:p>
    <w:p w:rsidR="00396108" w:rsidRDefault="00396108" w:rsidP="00396108">
      <w:pPr>
        <w:ind w:left="1440" w:hanging="1440"/>
        <w:jc w:val="both"/>
      </w:pPr>
    </w:p>
    <w:p w:rsidR="00036726" w:rsidRPr="00B463BF" w:rsidRDefault="002A39DC" w:rsidP="00036726">
      <w:pPr>
        <w:ind w:left="1440" w:hanging="1440"/>
        <w:jc w:val="both"/>
      </w:pPr>
      <w:r w:rsidRPr="002A39DC">
        <w:rPr>
          <w:b/>
          <w:bCs/>
        </w:rPr>
        <w:t>OPC</w:t>
      </w:r>
      <w:r w:rsidR="00396108">
        <w:rPr>
          <w:b/>
          <w:bCs/>
        </w:rPr>
        <w:t>:</w:t>
      </w:r>
      <w:r w:rsidR="00396108">
        <w:tab/>
      </w:r>
      <w:r w:rsidR="00036726" w:rsidRPr="00B463BF">
        <w:t xml:space="preserve">Yes, an adjustment should be made to reflect an out of period expense that the utility reclassified into the test year for Sanlando. The Eagle Ridge expense should be adjusted as the utility has not supported the unusual increase in the test year and the expense should be reduced to reflect the historic average expense.  (Ramas) </w:t>
      </w:r>
    </w:p>
    <w:p w:rsidR="00036726" w:rsidRPr="00B463BF" w:rsidRDefault="00036726" w:rsidP="00036726">
      <w:pPr>
        <w:spacing w:line="276" w:lineRule="auto"/>
        <w:jc w:val="both"/>
        <w:rPr>
          <w:sz w:val="22"/>
          <w:szCs w:val="22"/>
        </w:rPr>
      </w:pPr>
      <w:r w:rsidRPr="00B463BF">
        <w:fldChar w:fldCharType="begin"/>
      </w:r>
      <w:r w:rsidRPr="00B463BF">
        <w:instrText xml:space="preserve"> LINK Excel.Sheet.12 "Book3" "NOI Issues!R113C1:R118C3" \a \f 4 \h  \* MERGEFORMAT </w:instrText>
      </w:r>
      <w:r w:rsidRPr="00B463BF">
        <w:fldChar w:fldCharType="separate"/>
      </w:r>
    </w:p>
    <w:p w:rsidR="00396108" w:rsidRDefault="00036726" w:rsidP="00036726">
      <w:pPr>
        <w:ind w:left="1440" w:hanging="1440"/>
        <w:jc w:val="center"/>
      </w:pPr>
      <w:r w:rsidRPr="00B463BF">
        <w:rPr>
          <w:b/>
        </w:rPr>
        <w:object w:dxaOrig="6086" w:dyaOrig="2344">
          <v:shape id="_x0000_i1039" type="#_x0000_t75" style="width:305pt;height:116.5pt" o:ole="">
            <v:imagedata r:id="rId38" o:title=""/>
          </v:shape>
          <o:OLEObject Type="Embed" ProgID="Excel.Sheet.12" ShapeID="_x0000_i1039" DrawAspect="Content" ObjectID="_1555246817" r:id="rId39"/>
        </w:object>
      </w:r>
      <w:r w:rsidRPr="00B463BF">
        <w:rPr>
          <w:b/>
        </w:rPr>
        <w:fldChar w:fldCharType="end"/>
      </w:r>
    </w:p>
    <w:p w:rsidR="00396108" w:rsidRDefault="00396108" w:rsidP="00396108">
      <w:pPr>
        <w:ind w:left="1440" w:hanging="1440"/>
        <w:jc w:val="both"/>
      </w:pPr>
    </w:p>
    <w:p w:rsidR="00357433" w:rsidRPr="00357433" w:rsidRDefault="00357433" w:rsidP="00357433">
      <w:pPr>
        <w:spacing w:after="240"/>
        <w:ind w:left="1440" w:hanging="1440"/>
        <w:jc w:val="both"/>
        <w:rPr>
          <w:bCs/>
        </w:rPr>
      </w:pPr>
      <w:r>
        <w:rPr>
          <w:b/>
          <w:bCs/>
        </w:rPr>
        <w:lastRenderedPageBreak/>
        <w:t>Summertree:</w:t>
      </w:r>
      <w:r>
        <w:rPr>
          <w:b/>
          <w:bCs/>
        </w:rPr>
        <w:tab/>
      </w:r>
      <w:r w:rsidR="00441968" w:rsidRPr="00441968">
        <w:rPr>
          <w:bCs/>
        </w:rPr>
        <w:t>UIF’s poor system management and absence of predictive and preventive maintenance practices as well as absence of a capacity management, operations and maintenance protocols, SORP and other standard management practices, policies and programs has resulted in materials and supplies expense; materials and supplies expense should be reduced. Also, UIF management has admitted that it has expensed costs of making temporary fixes to plant, lines and other facilities prior to replacing them as pro forma capital improvements. Associated expenses should be removed from the test year and, if it is determined any such expenses have been placed in rate base, they should be removed due to UIF’s demonstrated mismanagement of its capital programs for many years which have resulted in wasteful expenditures from improperly maintaining UIF facilities.</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sidRPr="001754BE">
        <w:rPr>
          <w:b/>
          <w:bCs/>
          <w:caps/>
          <w:u w:val="single"/>
        </w:rPr>
        <w:t>I</w:t>
      </w:r>
      <w:r w:rsidR="007B4155" w:rsidRPr="001754BE">
        <w:rPr>
          <w:b/>
          <w:bCs/>
          <w:caps/>
          <w:u w:val="single"/>
        </w:rPr>
        <w:t>ssue</w:t>
      </w:r>
      <w:r>
        <w:rPr>
          <w:b/>
          <w:bCs/>
          <w:u w:val="single"/>
        </w:rPr>
        <w:t xml:space="preserve"> 43</w:t>
      </w:r>
      <w:r>
        <w:rPr>
          <w:b/>
          <w:bCs/>
        </w:rPr>
        <w:t>:</w:t>
      </w:r>
      <w:r>
        <w:tab/>
      </w:r>
      <w:r w:rsidRPr="00832CD5">
        <w:rPr>
          <w:b/>
        </w:rPr>
        <w:t>Should any adjustment be made to contractual services – engineering expense?</w:t>
      </w:r>
    </w:p>
    <w:p w:rsidR="00396108" w:rsidRDefault="00396108" w:rsidP="00396108">
      <w:pPr>
        <w:ind w:left="1440" w:hanging="1440"/>
        <w:jc w:val="both"/>
      </w:pPr>
    </w:p>
    <w:p w:rsidR="00396108" w:rsidRPr="001754BE" w:rsidRDefault="002A39DC" w:rsidP="00396108">
      <w:pPr>
        <w:ind w:left="1440" w:hanging="1440"/>
        <w:jc w:val="both"/>
        <w:rPr>
          <w:caps/>
        </w:rPr>
      </w:pPr>
      <w:r w:rsidRPr="001754BE">
        <w:rPr>
          <w:b/>
          <w:bCs/>
          <w:caps/>
        </w:rPr>
        <w:t>P</w:t>
      </w:r>
      <w:r w:rsidR="007B4155" w:rsidRPr="001754BE">
        <w:rPr>
          <w:b/>
          <w:bCs/>
          <w:caps/>
        </w:rPr>
        <w:t>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3434BB">
        <w:t xml:space="preserve">No adjustment should be made to the MFRs. </w:t>
      </w:r>
      <w:r w:rsidR="003434BB" w:rsidRPr="00B23760">
        <w:t>(Flynn)</w:t>
      </w:r>
    </w:p>
    <w:p w:rsidR="00396108" w:rsidRDefault="00396108" w:rsidP="00396108">
      <w:pPr>
        <w:ind w:left="1440" w:hanging="1440"/>
        <w:jc w:val="both"/>
      </w:pPr>
    </w:p>
    <w:p w:rsidR="005E001B" w:rsidRPr="00B463BF" w:rsidRDefault="002A39DC" w:rsidP="005E001B">
      <w:pPr>
        <w:tabs>
          <w:tab w:val="left" w:pos="1540"/>
        </w:tabs>
        <w:ind w:left="1440" w:hanging="1440"/>
        <w:jc w:val="both"/>
      </w:pPr>
      <w:r w:rsidRPr="002A39DC">
        <w:rPr>
          <w:b/>
          <w:bCs/>
        </w:rPr>
        <w:t>OPC</w:t>
      </w:r>
      <w:r w:rsidR="00396108">
        <w:rPr>
          <w:b/>
          <w:bCs/>
        </w:rPr>
        <w:t>:</w:t>
      </w:r>
      <w:r w:rsidR="00396108">
        <w:tab/>
      </w:r>
      <w:r w:rsidR="005E001B" w:rsidRPr="00B463BF">
        <w:t xml:space="preserve">Yes, the utility has the burden to support its expenses in the test year.  The following adjustments should be made as the utility has not provided sufficient support that the $3,321 for Sandalhaven should not be included as part of the capital projects, or that the $2,979 for the Lake Placid permit renewal should be amortized over the term of the permit, or that the $6,000 Sanlando expense is not included as part of the Myrtle Lake pro forma project. </w:t>
      </w:r>
    </w:p>
    <w:p w:rsidR="005E001B" w:rsidRPr="00B463BF" w:rsidRDefault="005E001B" w:rsidP="005E001B">
      <w:pPr>
        <w:spacing w:line="276" w:lineRule="auto"/>
        <w:jc w:val="both"/>
      </w:pPr>
    </w:p>
    <w:p w:rsidR="005E001B" w:rsidRPr="00B463BF" w:rsidRDefault="005E001B" w:rsidP="005E001B">
      <w:pPr>
        <w:spacing w:line="276" w:lineRule="auto"/>
        <w:jc w:val="both"/>
      </w:pPr>
      <w:r w:rsidRPr="00B463BF">
        <w:object w:dxaOrig="10011" w:dyaOrig="2634">
          <v:shape id="_x0000_i1040" type="#_x0000_t75" style="width:500pt;height:132pt" o:ole="">
            <v:imagedata r:id="rId40" o:title=""/>
          </v:shape>
          <o:OLEObject Type="Embed" ProgID="Excel.Sheet.12" ShapeID="_x0000_i1040" DrawAspect="Content" ObjectID="_1555246818" r:id="rId41"/>
        </w:object>
      </w:r>
    </w:p>
    <w:p w:rsidR="00357433" w:rsidRPr="00357433" w:rsidRDefault="00357433" w:rsidP="00357433">
      <w:pPr>
        <w:spacing w:after="240"/>
        <w:ind w:left="1440" w:hanging="1440"/>
        <w:jc w:val="both"/>
        <w:rPr>
          <w:bCs/>
        </w:rPr>
      </w:pPr>
      <w:r>
        <w:rPr>
          <w:b/>
          <w:bCs/>
        </w:rPr>
        <w:t>Summertree:</w:t>
      </w:r>
      <w:r>
        <w:rPr>
          <w:b/>
          <w:bCs/>
        </w:rPr>
        <w:tab/>
      </w:r>
      <w:r w:rsidR="00441968" w:rsidRPr="00441968">
        <w:rPr>
          <w:bCs/>
        </w:rPr>
        <w:t xml:space="preserve">UIF’s poor system management and absence of predictive and preventive maintenance practices as well as absence of a capacity management, operations and maintenance protocols, SORP and other standard management practices, policies and programs has resulted in excessive engineering expense as engineers have been retained on a reactive basis which is much more costly; engineering </w:t>
      </w:r>
      <w:r w:rsidR="00441968" w:rsidRPr="00441968">
        <w:rPr>
          <w:bCs/>
        </w:rPr>
        <w:lastRenderedPageBreak/>
        <w:t>expense should be reduced to not reward UIF for its deficient capital management practices, policies and lack of programs common to well managed utilities for years.</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sidRPr="001754BE">
        <w:rPr>
          <w:b/>
          <w:bCs/>
          <w:caps/>
          <w:u w:val="single"/>
        </w:rPr>
        <w:t>I</w:t>
      </w:r>
      <w:r w:rsidR="007B4155" w:rsidRPr="001754BE">
        <w:rPr>
          <w:b/>
          <w:bCs/>
          <w:caps/>
          <w:u w:val="single"/>
        </w:rPr>
        <w:t>ssue</w:t>
      </w:r>
      <w:r w:rsidRPr="001754BE">
        <w:rPr>
          <w:b/>
          <w:bCs/>
          <w:caps/>
          <w:u w:val="single"/>
        </w:rPr>
        <w:t xml:space="preserve"> </w:t>
      </w:r>
      <w:r>
        <w:rPr>
          <w:b/>
          <w:bCs/>
          <w:u w:val="single"/>
        </w:rPr>
        <w:t>44</w:t>
      </w:r>
      <w:r>
        <w:rPr>
          <w:b/>
          <w:bCs/>
        </w:rPr>
        <w:t>:</w:t>
      </w:r>
      <w:r>
        <w:tab/>
      </w:r>
      <w:r w:rsidRPr="00832CD5">
        <w:rPr>
          <w:b/>
        </w:rPr>
        <w:t>Should any adjustment be made to contractual services – legal expense?</w:t>
      </w:r>
    </w:p>
    <w:p w:rsidR="00396108" w:rsidRDefault="00396108" w:rsidP="00396108">
      <w:pPr>
        <w:ind w:left="1440" w:hanging="1440"/>
        <w:jc w:val="both"/>
      </w:pPr>
    </w:p>
    <w:p w:rsidR="00396108" w:rsidRPr="001754BE" w:rsidRDefault="002A39DC" w:rsidP="00396108">
      <w:pPr>
        <w:ind w:left="1440" w:hanging="1440"/>
        <w:jc w:val="both"/>
        <w:rPr>
          <w:caps/>
        </w:rPr>
      </w:pPr>
      <w:r w:rsidRPr="001754BE">
        <w:rPr>
          <w:b/>
          <w:bCs/>
          <w:caps/>
        </w:rPr>
        <w:t>P</w:t>
      </w:r>
      <w:r w:rsidR="007B4155" w:rsidRPr="001754BE">
        <w:rPr>
          <w:b/>
          <w:bCs/>
          <w:caps/>
        </w:rPr>
        <w:t>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0C4FAC" w:rsidRPr="007F372D">
        <w:t>Yes, an adjustment of $505 to water and $501 to wastewater in Labrador is appropriate.</w:t>
      </w:r>
      <w:r w:rsidR="000C4FAC">
        <w:t xml:space="preserve"> (Flynn)</w:t>
      </w:r>
    </w:p>
    <w:p w:rsidR="00396108" w:rsidRDefault="00396108" w:rsidP="00396108">
      <w:pPr>
        <w:ind w:left="1440" w:hanging="1440"/>
        <w:jc w:val="both"/>
      </w:pPr>
    </w:p>
    <w:p w:rsidR="00396108" w:rsidRDefault="002A39DC" w:rsidP="00396108">
      <w:pPr>
        <w:ind w:left="1440" w:hanging="1440"/>
        <w:jc w:val="both"/>
      </w:pPr>
      <w:r w:rsidRPr="002A39DC">
        <w:rPr>
          <w:b/>
          <w:bCs/>
        </w:rPr>
        <w:t>OPC</w:t>
      </w:r>
      <w:r w:rsidR="00396108">
        <w:rPr>
          <w:b/>
          <w:bCs/>
        </w:rPr>
        <w:t>:</w:t>
      </w:r>
      <w:r w:rsidR="00396108">
        <w:tab/>
      </w:r>
      <w:r w:rsidR="00562327" w:rsidRPr="00562327">
        <w:t>[OPC is willing to stipulate using OPC’s position.  It provides more detail and context.]   Yes, the additional legal expenses associated with the prior rate case should not be included in the adjusted test year in this case.  Therefore Labrador water expenses should be reduced by $505 and Labrador wastewater expenses should be reduced by $501.  (Ramas)</w:t>
      </w:r>
    </w:p>
    <w:p w:rsidR="00396108" w:rsidRDefault="00396108" w:rsidP="00396108">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441968" w:rsidRPr="00441968">
        <w:rPr>
          <w:bCs/>
        </w:rPr>
        <w:t>Agree with Public Counsel.</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sidRPr="001754BE">
        <w:rPr>
          <w:b/>
          <w:bCs/>
          <w:caps/>
          <w:u w:val="single"/>
        </w:rPr>
        <w:t>I</w:t>
      </w:r>
      <w:r w:rsidR="007B4155" w:rsidRPr="001754BE">
        <w:rPr>
          <w:b/>
          <w:bCs/>
          <w:caps/>
          <w:u w:val="single"/>
        </w:rPr>
        <w:t>ssue</w:t>
      </w:r>
      <w:r>
        <w:rPr>
          <w:b/>
          <w:bCs/>
          <w:u w:val="single"/>
        </w:rPr>
        <w:t xml:space="preserve"> 45</w:t>
      </w:r>
      <w:r>
        <w:rPr>
          <w:b/>
          <w:bCs/>
        </w:rPr>
        <w:t>:</w:t>
      </w:r>
      <w:r>
        <w:tab/>
      </w:r>
      <w:r w:rsidRPr="00832CD5">
        <w:rPr>
          <w:b/>
        </w:rPr>
        <w:t>Should any adjustment be made to contractual services – testing expense?</w:t>
      </w:r>
    </w:p>
    <w:p w:rsidR="00396108" w:rsidRDefault="00396108" w:rsidP="00396108">
      <w:pPr>
        <w:ind w:left="1440" w:hanging="1440"/>
        <w:jc w:val="both"/>
      </w:pPr>
    </w:p>
    <w:p w:rsidR="00396108" w:rsidRPr="001754BE" w:rsidRDefault="002A39DC" w:rsidP="00396108">
      <w:pPr>
        <w:ind w:left="1440" w:hanging="1440"/>
        <w:jc w:val="both"/>
        <w:rPr>
          <w:caps/>
        </w:rPr>
      </w:pPr>
      <w:r w:rsidRPr="001754BE">
        <w:rPr>
          <w:b/>
          <w:bCs/>
          <w:caps/>
        </w:rPr>
        <w:t>P</w:t>
      </w:r>
      <w:r w:rsidR="007B4155" w:rsidRPr="001754BE">
        <w:rPr>
          <w:b/>
          <w:bCs/>
          <w:caps/>
        </w:rPr>
        <w:t>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3E25C5">
        <w:t xml:space="preserve">No adjustment should be made to the MFRs.  </w:t>
      </w:r>
      <w:r w:rsidR="003E25C5" w:rsidRPr="00B23760">
        <w:t>(Flynn)</w:t>
      </w:r>
    </w:p>
    <w:p w:rsidR="00396108" w:rsidRDefault="00396108" w:rsidP="00396108">
      <w:pPr>
        <w:ind w:left="1440" w:hanging="1440"/>
        <w:jc w:val="both"/>
      </w:pPr>
    </w:p>
    <w:p w:rsidR="00396108" w:rsidRDefault="002A39DC" w:rsidP="00396108">
      <w:pPr>
        <w:ind w:left="1440" w:hanging="1440"/>
        <w:jc w:val="both"/>
      </w:pPr>
      <w:r w:rsidRPr="002A39DC">
        <w:rPr>
          <w:b/>
          <w:bCs/>
        </w:rPr>
        <w:t>OPC</w:t>
      </w:r>
      <w:r w:rsidR="00396108">
        <w:rPr>
          <w:b/>
          <w:bCs/>
        </w:rPr>
        <w:t>:</w:t>
      </w:r>
      <w:r w:rsidR="00396108">
        <w:tab/>
      </w:r>
      <w:r w:rsidR="005E001B" w:rsidRPr="00B463BF">
        <w:t>Yes, the utility has the burden to support its expenses in the test year. The test year testing expense for LUSI includes $5,150 in water and $1,630 in wastewater that are from invoices for work performed in 2014. These should be removed from test year expenses.</w:t>
      </w:r>
    </w:p>
    <w:p w:rsidR="00396108" w:rsidRDefault="00396108" w:rsidP="00396108">
      <w:pPr>
        <w:ind w:left="1440" w:hanging="1440"/>
        <w:jc w:val="both"/>
      </w:pPr>
    </w:p>
    <w:p w:rsidR="00357433" w:rsidRPr="00441968" w:rsidRDefault="00357433" w:rsidP="00357433">
      <w:pPr>
        <w:spacing w:after="240"/>
        <w:ind w:left="1440" w:hanging="1440"/>
        <w:jc w:val="both"/>
        <w:rPr>
          <w:bCs/>
        </w:rPr>
      </w:pPr>
      <w:r>
        <w:rPr>
          <w:b/>
          <w:bCs/>
        </w:rPr>
        <w:t>Summertree:</w:t>
      </w:r>
      <w:r>
        <w:rPr>
          <w:b/>
          <w:bCs/>
        </w:rPr>
        <w:tab/>
      </w:r>
      <w:r w:rsidR="00441968" w:rsidRPr="00441968">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contractual services expense as services have been contracted on an ad hoc reactive basis which is much more costly; contractual services-testing expense should be reduced to not reward UIF for its deficient capital management practices, policies and lack of programs common to well managed utilities for years.</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sidRPr="001754BE">
        <w:rPr>
          <w:b/>
          <w:bCs/>
          <w:caps/>
          <w:u w:val="single"/>
        </w:rPr>
        <w:t>I</w:t>
      </w:r>
      <w:r w:rsidR="007B4155" w:rsidRPr="001754BE">
        <w:rPr>
          <w:b/>
          <w:bCs/>
          <w:caps/>
          <w:u w:val="single"/>
        </w:rPr>
        <w:t>ssue</w:t>
      </w:r>
      <w:r>
        <w:rPr>
          <w:b/>
          <w:bCs/>
          <w:u w:val="single"/>
        </w:rPr>
        <w:t xml:space="preserve"> 46</w:t>
      </w:r>
      <w:r>
        <w:rPr>
          <w:b/>
          <w:bCs/>
        </w:rPr>
        <w:t>:</w:t>
      </w:r>
      <w:r>
        <w:tab/>
      </w:r>
      <w:r w:rsidRPr="007B4155">
        <w:rPr>
          <w:b/>
        </w:rPr>
        <w:t>Should any adjustment be made to contractual services – other expense?</w:t>
      </w:r>
    </w:p>
    <w:p w:rsidR="00396108" w:rsidRDefault="00396108" w:rsidP="00396108">
      <w:pPr>
        <w:ind w:left="1440" w:hanging="1440"/>
        <w:jc w:val="both"/>
      </w:pPr>
    </w:p>
    <w:p w:rsidR="00396108" w:rsidRPr="001754BE" w:rsidRDefault="002A39DC" w:rsidP="00396108">
      <w:pPr>
        <w:ind w:left="1440" w:hanging="1440"/>
        <w:jc w:val="both"/>
        <w:rPr>
          <w:caps/>
        </w:rPr>
      </w:pPr>
      <w:r w:rsidRPr="001754BE">
        <w:rPr>
          <w:b/>
          <w:bCs/>
          <w:caps/>
        </w:rPr>
        <w:t>P</w:t>
      </w:r>
      <w:r w:rsidR="007B4155" w:rsidRPr="001754BE">
        <w:rPr>
          <w:b/>
          <w:bCs/>
          <w:caps/>
        </w:rPr>
        <w:t>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1970D8" w:rsidRPr="007F372D">
        <w:t>Yes, in Labrador, the $10,000 cost of the Gaydos water quality analysis should be deferred and amortized over five years, not expensed.</w:t>
      </w:r>
      <w:r w:rsidR="001970D8">
        <w:t xml:space="preserve"> </w:t>
      </w:r>
      <w:r w:rsidR="001970D8" w:rsidRPr="00B23760">
        <w:t>(Flynn)</w:t>
      </w:r>
    </w:p>
    <w:p w:rsidR="00396108" w:rsidRDefault="00396108" w:rsidP="00396108">
      <w:pPr>
        <w:ind w:left="1440" w:hanging="1440"/>
        <w:jc w:val="both"/>
      </w:pPr>
    </w:p>
    <w:p w:rsidR="00A74FAA" w:rsidRDefault="002A39DC" w:rsidP="00562327">
      <w:pPr>
        <w:spacing w:after="120"/>
        <w:ind w:left="1440" w:hanging="1440"/>
        <w:jc w:val="both"/>
      </w:pPr>
      <w:r w:rsidRPr="002A39DC">
        <w:rPr>
          <w:b/>
          <w:bCs/>
        </w:rPr>
        <w:t>OPC</w:t>
      </w:r>
      <w:r w:rsidR="00396108">
        <w:rPr>
          <w:b/>
          <w:bCs/>
        </w:rPr>
        <w:t>:</w:t>
      </w:r>
      <w:r w:rsidR="00396108">
        <w:tab/>
      </w:r>
      <w:r w:rsidR="00562327">
        <w:t xml:space="preserve">[OPC is willing to stipulate using OPC’s position.  It provides more detail and context.]   </w:t>
      </w:r>
      <w:r w:rsidR="00562327" w:rsidRPr="00B463BF">
        <w:t xml:space="preserve">Yes, the $10,000 cost for a water system alternatives analysis at Labrador should be amortized over a five-year period.  (Ramas) </w:t>
      </w:r>
    </w:p>
    <w:p w:rsidR="00562327" w:rsidRPr="00B463BF" w:rsidRDefault="00562327" w:rsidP="00562327">
      <w:pPr>
        <w:spacing w:after="120"/>
        <w:ind w:left="1440" w:hanging="1440"/>
        <w:jc w:val="both"/>
        <w:rPr>
          <w:sz w:val="22"/>
          <w:szCs w:val="22"/>
        </w:rPr>
      </w:pPr>
      <w:r w:rsidRPr="00B463BF">
        <w:fldChar w:fldCharType="begin"/>
      </w:r>
      <w:r w:rsidRPr="00B463BF">
        <w:instrText xml:space="preserve"> LINK Excel.Sheet.12 "Book3" "NOI Issues!R127C1:R132C3" \a \f 4 \h  \* MERGEFORMAT </w:instrText>
      </w:r>
      <w:r w:rsidRPr="00B463BF">
        <w:fldChar w:fldCharType="separate"/>
      </w:r>
    </w:p>
    <w:tbl>
      <w:tblPr>
        <w:tblW w:w="6300" w:type="dxa"/>
        <w:jc w:val="center"/>
        <w:tblLook w:val="04A0" w:firstRow="1" w:lastRow="0" w:firstColumn="1" w:lastColumn="0" w:noHBand="0" w:noVBand="1"/>
      </w:tblPr>
      <w:tblGrid>
        <w:gridCol w:w="3449"/>
        <w:gridCol w:w="1520"/>
        <w:gridCol w:w="1331"/>
      </w:tblGrid>
      <w:tr w:rsidR="00562327" w:rsidRPr="00B463BF" w:rsidTr="00ED0F0A">
        <w:trPr>
          <w:trHeight w:val="288"/>
          <w:jc w:val="center"/>
        </w:trPr>
        <w:tc>
          <w:tcPr>
            <w:tcW w:w="3449" w:type="dxa"/>
            <w:tcBorders>
              <w:top w:val="nil"/>
              <w:left w:val="nil"/>
              <w:bottom w:val="nil"/>
              <w:right w:val="nil"/>
            </w:tcBorders>
            <w:shd w:val="clear" w:color="auto" w:fill="auto"/>
            <w:vAlign w:val="center"/>
            <w:hideMark/>
          </w:tcPr>
          <w:p w:rsidR="00562327" w:rsidRPr="00B463BF" w:rsidRDefault="00562327" w:rsidP="00ED0F0A">
            <w:pPr>
              <w:spacing w:line="276" w:lineRule="auto"/>
            </w:pPr>
          </w:p>
        </w:tc>
        <w:tc>
          <w:tcPr>
            <w:tcW w:w="2851" w:type="dxa"/>
            <w:gridSpan w:val="2"/>
            <w:tcBorders>
              <w:top w:val="nil"/>
              <w:left w:val="nil"/>
              <w:bottom w:val="nil"/>
              <w:right w:val="nil"/>
            </w:tcBorders>
            <w:shd w:val="clear" w:color="auto" w:fill="auto"/>
            <w:noWrap/>
            <w:vAlign w:val="center"/>
            <w:hideMark/>
          </w:tcPr>
          <w:p w:rsidR="00562327" w:rsidRPr="00B463BF" w:rsidRDefault="00562327" w:rsidP="00ED0F0A">
            <w:pPr>
              <w:spacing w:line="276" w:lineRule="auto"/>
              <w:jc w:val="center"/>
              <w:rPr>
                <w:rFonts w:ascii="Calibri" w:hAnsi="Calibri"/>
                <w:sz w:val="22"/>
                <w:szCs w:val="22"/>
              </w:rPr>
            </w:pPr>
            <w:r w:rsidRPr="00B463BF">
              <w:rPr>
                <w:rFonts w:ascii="Calibri" w:hAnsi="Calibri"/>
                <w:sz w:val="22"/>
                <w:szCs w:val="22"/>
              </w:rPr>
              <w:t xml:space="preserve"> Labrador  </w:t>
            </w:r>
          </w:p>
        </w:tc>
      </w:tr>
      <w:tr w:rsidR="00562327" w:rsidRPr="00B463BF" w:rsidTr="00ED0F0A">
        <w:trPr>
          <w:trHeight w:val="288"/>
          <w:jc w:val="center"/>
        </w:trPr>
        <w:tc>
          <w:tcPr>
            <w:tcW w:w="3449" w:type="dxa"/>
            <w:tcBorders>
              <w:top w:val="nil"/>
              <w:left w:val="nil"/>
              <w:bottom w:val="nil"/>
              <w:right w:val="nil"/>
            </w:tcBorders>
            <w:shd w:val="clear" w:color="auto" w:fill="auto"/>
            <w:vAlign w:val="center"/>
            <w:hideMark/>
          </w:tcPr>
          <w:p w:rsidR="00562327" w:rsidRPr="00B463BF" w:rsidRDefault="00562327" w:rsidP="00ED0F0A">
            <w:pPr>
              <w:spacing w:line="276" w:lineRule="auto"/>
              <w:jc w:val="center"/>
              <w:rPr>
                <w:rFonts w:ascii="Calibri" w:hAnsi="Calibri"/>
                <w:sz w:val="22"/>
                <w:szCs w:val="22"/>
              </w:rPr>
            </w:pPr>
          </w:p>
        </w:tc>
        <w:tc>
          <w:tcPr>
            <w:tcW w:w="1520" w:type="dxa"/>
            <w:tcBorders>
              <w:top w:val="nil"/>
              <w:left w:val="nil"/>
              <w:bottom w:val="nil"/>
              <w:right w:val="nil"/>
            </w:tcBorders>
            <w:shd w:val="clear" w:color="auto" w:fill="auto"/>
            <w:noWrap/>
            <w:vAlign w:val="center"/>
            <w:hideMark/>
          </w:tcPr>
          <w:p w:rsidR="00562327" w:rsidRPr="00B463BF" w:rsidRDefault="00562327" w:rsidP="00ED0F0A">
            <w:pPr>
              <w:spacing w:line="276" w:lineRule="auto"/>
              <w:jc w:val="center"/>
              <w:rPr>
                <w:rFonts w:ascii="Calibri" w:hAnsi="Calibri"/>
                <w:sz w:val="22"/>
                <w:szCs w:val="22"/>
                <w:u w:val="single"/>
              </w:rPr>
            </w:pPr>
            <w:r w:rsidRPr="00B463BF">
              <w:rPr>
                <w:rFonts w:ascii="Calibri" w:hAnsi="Calibri"/>
                <w:sz w:val="22"/>
                <w:szCs w:val="22"/>
                <w:u w:val="single"/>
              </w:rPr>
              <w:t xml:space="preserve"> Water </w:t>
            </w:r>
          </w:p>
        </w:tc>
        <w:tc>
          <w:tcPr>
            <w:tcW w:w="1331" w:type="dxa"/>
            <w:tcBorders>
              <w:top w:val="nil"/>
              <w:left w:val="nil"/>
              <w:bottom w:val="nil"/>
              <w:right w:val="nil"/>
            </w:tcBorders>
            <w:shd w:val="clear" w:color="auto" w:fill="auto"/>
            <w:noWrap/>
            <w:vAlign w:val="center"/>
            <w:hideMark/>
          </w:tcPr>
          <w:p w:rsidR="00562327" w:rsidRPr="00B463BF" w:rsidRDefault="00562327" w:rsidP="00ED0F0A">
            <w:pPr>
              <w:spacing w:line="276" w:lineRule="auto"/>
              <w:jc w:val="center"/>
              <w:rPr>
                <w:rFonts w:ascii="Calibri" w:hAnsi="Calibri"/>
                <w:sz w:val="22"/>
                <w:szCs w:val="22"/>
                <w:u w:val="single"/>
              </w:rPr>
            </w:pPr>
            <w:r w:rsidRPr="00B463BF">
              <w:rPr>
                <w:rFonts w:ascii="Calibri" w:hAnsi="Calibri"/>
                <w:sz w:val="22"/>
                <w:szCs w:val="22"/>
                <w:u w:val="single"/>
              </w:rPr>
              <w:t xml:space="preserve"> Sewer </w:t>
            </w:r>
          </w:p>
        </w:tc>
      </w:tr>
      <w:tr w:rsidR="00562327" w:rsidRPr="00B463BF" w:rsidTr="00ED0F0A">
        <w:trPr>
          <w:trHeight w:val="288"/>
          <w:jc w:val="center"/>
        </w:trPr>
        <w:tc>
          <w:tcPr>
            <w:tcW w:w="3449" w:type="dxa"/>
            <w:tcBorders>
              <w:top w:val="nil"/>
              <w:left w:val="nil"/>
              <w:bottom w:val="nil"/>
              <w:right w:val="nil"/>
            </w:tcBorders>
            <w:shd w:val="clear" w:color="auto" w:fill="auto"/>
            <w:vAlign w:val="center"/>
            <w:hideMark/>
          </w:tcPr>
          <w:p w:rsidR="00562327" w:rsidRPr="00B463BF" w:rsidRDefault="00562327" w:rsidP="00ED0F0A">
            <w:pPr>
              <w:spacing w:line="276" w:lineRule="auto"/>
              <w:rPr>
                <w:rFonts w:ascii="Calibri" w:hAnsi="Calibri"/>
                <w:b/>
                <w:bCs/>
                <w:sz w:val="22"/>
                <w:szCs w:val="22"/>
              </w:rPr>
            </w:pPr>
            <w:r w:rsidRPr="00B463BF">
              <w:rPr>
                <w:rFonts w:ascii="Calibri" w:hAnsi="Calibri"/>
                <w:b/>
                <w:bCs/>
                <w:sz w:val="22"/>
                <w:szCs w:val="22"/>
              </w:rPr>
              <w:t>Contractual Services - Other</w:t>
            </w:r>
          </w:p>
        </w:tc>
        <w:tc>
          <w:tcPr>
            <w:tcW w:w="1520" w:type="dxa"/>
            <w:tcBorders>
              <w:top w:val="nil"/>
              <w:left w:val="nil"/>
              <w:bottom w:val="nil"/>
              <w:right w:val="nil"/>
            </w:tcBorders>
            <w:shd w:val="clear" w:color="auto" w:fill="auto"/>
            <w:noWrap/>
            <w:vAlign w:val="center"/>
            <w:hideMark/>
          </w:tcPr>
          <w:p w:rsidR="00562327" w:rsidRPr="00B463BF" w:rsidRDefault="00562327" w:rsidP="00ED0F0A">
            <w:pPr>
              <w:spacing w:line="276" w:lineRule="auto"/>
              <w:rPr>
                <w:rFonts w:ascii="Calibri" w:hAnsi="Calibri"/>
                <w:b/>
                <w:bCs/>
                <w:sz w:val="22"/>
                <w:szCs w:val="22"/>
              </w:rPr>
            </w:pPr>
          </w:p>
        </w:tc>
        <w:tc>
          <w:tcPr>
            <w:tcW w:w="1331" w:type="dxa"/>
            <w:tcBorders>
              <w:top w:val="nil"/>
              <w:left w:val="nil"/>
              <w:bottom w:val="nil"/>
              <w:right w:val="nil"/>
            </w:tcBorders>
            <w:shd w:val="clear" w:color="auto" w:fill="auto"/>
            <w:noWrap/>
            <w:vAlign w:val="center"/>
            <w:hideMark/>
          </w:tcPr>
          <w:p w:rsidR="00562327" w:rsidRPr="00B463BF" w:rsidRDefault="00562327" w:rsidP="00ED0F0A">
            <w:pPr>
              <w:spacing w:line="276" w:lineRule="auto"/>
              <w:rPr>
                <w:szCs w:val="20"/>
              </w:rPr>
            </w:pPr>
          </w:p>
        </w:tc>
      </w:tr>
      <w:tr w:rsidR="00562327" w:rsidRPr="00B463BF" w:rsidTr="00ED0F0A">
        <w:trPr>
          <w:trHeight w:val="576"/>
          <w:jc w:val="center"/>
        </w:trPr>
        <w:tc>
          <w:tcPr>
            <w:tcW w:w="3449" w:type="dxa"/>
            <w:tcBorders>
              <w:top w:val="nil"/>
              <w:left w:val="nil"/>
              <w:bottom w:val="nil"/>
              <w:right w:val="nil"/>
            </w:tcBorders>
            <w:shd w:val="clear" w:color="auto" w:fill="auto"/>
            <w:vAlign w:val="bottom"/>
            <w:hideMark/>
          </w:tcPr>
          <w:p w:rsidR="00562327" w:rsidRPr="00B463BF" w:rsidRDefault="00562327" w:rsidP="00ED0F0A">
            <w:pPr>
              <w:spacing w:line="276" w:lineRule="auto"/>
              <w:rPr>
                <w:rFonts w:ascii="Calibri" w:hAnsi="Calibri"/>
                <w:sz w:val="22"/>
                <w:szCs w:val="22"/>
              </w:rPr>
            </w:pPr>
            <w:r w:rsidRPr="00B463BF">
              <w:rPr>
                <w:rFonts w:ascii="Calibri" w:hAnsi="Calibri"/>
                <w:sz w:val="22"/>
                <w:szCs w:val="22"/>
              </w:rPr>
              <w:t>Remove Water System Alternatives Analysis Costs from Test Year</w:t>
            </w:r>
          </w:p>
        </w:tc>
        <w:tc>
          <w:tcPr>
            <w:tcW w:w="1520" w:type="dxa"/>
            <w:tcBorders>
              <w:top w:val="nil"/>
              <w:left w:val="nil"/>
              <w:bottom w:val="nil"/>
              <w:right w:val="nil"/>
            </w:tcBorders>
            <w:shd w:val="clear" w:color="auto" w:fill="auto"/>
            <w:noWrap/>
            <w:vAlign w:val="center"/>
            <w:hideMark/>
          </w:tcPr>
          <w:p w:rsidR="00562327" w:rsidRPr="00B463BF" w:rsidRDefault="00562327" w:rsidP="00ED0F0A">
            <w:pPr>
              <w:spacing w:line="276" w:lineRule="auto"/>
              <w:rPr>
                <w:rFonts w:ascii="Calibri" w:hAnsi="Calibri"/>
                <w:sz w:val="22"/>
                <w:szCs w:val="22"/>
              </w:rPr>
            </w:pPr>
            <w:r w:rsidRPr="00B463BF">
              <w:rPr>
                <w:rFonts w:ascii="Calibri" w:hAnsi="Calibri"/>
                <w:sz w:val="22"/>
                <w:szCs w:val="22"/>
              </w:rPr>
              <w:t xml:space="preserve">          (5,020)</w:t>
            </w:r>
          </w:p>
        </w:tc>
        <w:tc>
          <w:tcPr>
            <w:tcW w:w="1331" w:type="dxa"/>
            <w:tcBorders>
              <w:top w:val="nil"/>
              <w:left w:val="nil"/>
              <w:bottom w:val="nil"/>
              <w:right w:val="nil"/>
            </w:tcBorders>
            <w:shd w:val="clear" w:color="auto" w:fill="auto"/>
            <w:noWrap/>
            <w:vAlign w:val="center"/>
            <w:hideMark/>
          </w:tcPr>
          <w:p w:rsidR="00562327" w:rsidRPr="00B463BF" w:rsidRDefault="00562327" w:rsidP="00ED0F0A">
            <w:pPr>
              <w:spacing w:line="276" w:lineRule="auto"/>
              <w:rPr>
                <w:rFonts w:ascii="Calibri" w:hAnsi="Calibri"/>
                <w:sz w:val="22"/>
                <w:szCs w:val="22"/>
              </w:rPr>
            </w:pPr>
            <w:r w:rsidRPr="00B463BF">
              <w:rPr>
                <w:rFonts w:ascii="Calibri" w:hAnsi="Calibri"/>
                <w:sz w:val="22"/>
                <w:szCs w:val="22"/>
              </w:rPr>
              <w:t xml:space="preserve">         (4,980)</w:t>
            </w:r>
          </w:p>
        </w:tc>
      </w:tr>
      <w:tr w:rsidR="00562327" w:rsidRPr="00B463BF" w:rsidTr="00ED0F0A">
        <w:trPr>
          <w:trHeight w:val="576"/>
          <w:jc w:val="center"/>
        </w:trPr>
        <w:tc>
          <w:tcPr>
            <w:tcW w:w="3449" w:type="dxa"/>
            <w:tcBorders>
              <w:top w:val="nil"/>
              <w:left w:val="nil"/>
              <w:bottom w:val="nil"/>
              <w:right w:val="nil"/>
            </w:tcBorders>
            <w:shd w:val="clear" w:color="auto" w:fill="auto"/>
            <w:vAlign w:val="bottom"/>
            <w:hideMark/>
          </w:tcPr>
          <w:p w:rsidR="00562327" w:rsidRPr="00B463BF" w:rsidRDefault="00562327" w:rsidP="00ED0F0A">
            <w:pPr>
              <w:spacing w:line="276" w:lineRule="auto"/>
              <w:rPr>
                <w:rFonts w:ascii="Calibri" w:hAnsi="Calibri"/>
                <w:sz w:val="22"/>
                <w:szCs w:val="22"/>
              </w:rPr>
            </w:pPr>
            <w:r w:rsidRPr="00B463BF">
              <w:rPr>
                <w:rFonts w:ascii="Calibri" w:hAnsi="Calibri"/>
                <w:sz w:val="22"/>
                <w:szCs w:val="22"/>
              </w:rPr>
              <w:t>Amortize Water System Alternative Analysis Costs over 5 Years</w:t>
            </w:r>
          </w:p>
        </w:tc>
        <w:tc>
          <w:tcPr>
            <w:tcW w:w="1520" w:type="dxa"/>
            <w:tcBorders>
              <w:top w:val="nil"/>
              <w:left w:val="nil"/>
              <w:bottom w:val="nil"/>
              <w:right w:val="nil"/>
            </w:tcBorders>
            <w:shd w:val="clear" w:color="auto" w:fill="auto"/>
            <w:noWrap/>
            <w:vAlign w:val="center"/>
            <w:hideMark/>
          </w:tcPr>
          <w:p w:rsidR="00562327" w:rsidRPr="00B463BF" w:rsidRDefault="00562327" w:rsidP="00ED0F0A">
            <w:pPr>
              <w:spacing w:line="276" w:lineRule="auto"/>
              <w:rPr>
                <w:rFonts w:ascii="Calibri" w:hAnsi="Calibri"/>
                <w:sz w:val="22"/>
                <w:szCs w:val="22"/>
              </w:rPr>
            </w:pPr>
            <w:r w:rsidRPr="00B463BF">
              <w:rPr>
                <w:rFonts w:ascii="Calibri" w:hAnsi="Calibri"/>
                <w:sz w:val="22"/>
                <w:szCs w:val="22"/>
              </w:rPr>
              <w:t xml:space="preserve">           2,000 </w:t>
            </w:r>
          </w:p>
        </w:tc>
        <w:tc>
          <w:tcPr>
            <w:tcW w:w="1331" w:type="dxa"/>
            <w:tcBorders>
              <w:top w:val="nil"/>
              <w:left w:val="nil"/>
              <w:bottom w:val="nil"/>
              <w:right w:val="nil"/>
            </w:tcBorders>
            <w:shd w:val="clear" w:color="auto" w:fill="auto"/>
            <w:noWrap/>
            <w:vAlign w:val="center"/>
            <w:hideMark/>
          </w:tcPr>
          <w:p w:rsidR="00562327" w:rsidRPr="00B463BF" w:rsidRDefault="00562327" w:rsidP="00ED0F0A">
            <w:pPr>
              <w:spacing w:line="276" w:lineRule="auto"/>
              <w:rPr>
                <w:rFonts w:ascii="Calibri" w:hAnsi="Calibri"/>
                <w:sz w:val="22"/>
                <w:szCs w:val="22"/>
              </w:rPr>
            </w:pPr>
          </w:p>
        </w:tc>
      </w:tr>
      <w:tr w:rsidR="00562327" w:rsidRPr="00B463BF" w:rsidTr="00ED0F0A">
        <w:trPr>
          <w:trHeight w:val="288"/>
          <w:jc w:val="center"/>
        </w:trPr>
        <w:tc>
          <w:tcPr>
            <w:tcW w:w="3449" w:type="dxa"/>
            <w:tcBorders>
              <w:top w:val="nil"/>
              <w:left w:val="nil"/>
              <w:bottom w:val="nil"/>
              <w:right w:val="nil"/>
            </w:tcBorders>
            <w:shd w:val="clear" w:color="auto" w:fill="auto"/>
            <w:vAlign w:val="bottom"/>
            <w:hideMark/>
          </w:tcPr>
          <w:p w:rsidR="00562327" w:rsidRPr="00B463BF" w:rsidRDefault="00562327" w:rsidP="00ED0F0A">
            <w:pPr>
              <w:spacing w:line="276" w:lineRule="auto"/>
              <w:rPr>
                <w:szCs w:val="20"/>
              </w:rPr>
            </w:pPr>
          </w:p>
        </w:tc>
        <w:tc>
          <w:tcPr>
            <w:tcW w:w="1520" w:type="dxa"/>
            <w:tcBorders>
              <w:top w:val="single" w:sz="4" w:space="0" w:color="auto"/>
              <w:left w:val="nil"/>
              <w:bottom w:val="single" w:sz="4" w:space="0" w:color="auto"/>
              <w:right w:val="nil"/>
            </w:tcBorders>
            <w:shd w:val="clear" w:color="auto" w:fill="auto"/>
            <w:noWrap/>
            <w:vAlign w:val="center"/>
            <w:hideMark/>
          </w:tcPr>
          <w:p w:rsidR="00562327" w:rsidRPr="00B463BF" w:rsidRDefault="00562327" w:rsidP="00ED0F0A">
            <w:pPr>
              <w:spacing w:line="276" w:lineRule="auto"/>
              <w:rPr>
                <w:rFonts w:ascii="Calibri" w:hAnsi="Calibri"/>
                <w:sz w:val="22"/>
                <w:szCs w:val="22"/>
              </w:rPr>
            </w:pPr>
            <w:r w:rsidRPr="00B463BF">
              <w:rPr>
                <w:rFonts w:ascii="Calibri" w:hAnsi="Calibri"/>
                <w:sz w:val="22"/>
                <w:szCs w:val="22"/>
              </w:rPr>
              <w:t xml:space="preserve">          (3,020)</w:t>
            </w:r>
          </w:p>
        </w:tc>
        <w:tc>
          <w:tcPr>
            <w:tcW w:w="1331" w:type="dxa"/>
            <w:tcBorders>
              <w:top w:val="single" w:sz="4" w:space="0" w:color="auto"/>
              <w:left w:val="nil"/>
              <w:bottom w:val="single" w:sz="4" w:space="0" w:color="auto"/>
              <w:right w:val="nil"/>
            </w:tcBorders>
            <w:shd w:val="clear" w:color="auto" w:fill="auto"/>
            <w:noWrap/>
            <w:vAlign w:val="center"/>
            <w:hideMark/>
          </w:tcPr>
          <w:p w:rsidR="00562327" w:rsidRPr="00B463BF" w:rsidRDefault="00562327" w:rsidP="00ED0F0A">
            <w:pPr>
              <w:spacing w:line="276" w:lineRule="auto"/>
              <w:rPr>
                <w:rFonts w:ascii="Calibri" w:hAnsi="Calibri"/>
                <w:sz w:val="22"/>
                <w:szCs w:val="22"/>
              </w:rPr>
            </w:pPr>
            <w:r w:rsidRPr="00B463BF">
              <w:rPr>
                <w:rFonts w:ascii="Calibri" w:hAnsi="Calibri"/>
                <w:sz w:val="22"/>
                <w:szCs w:val="22"/>
              </w:rPr>
              <w:t xml:space="preserve">         (4,980)</w:t>
            </w:r>
          </w:p>
        </w:tc>
      </w:tr>
    </w:tbl>
    <w:p w:rsidR="00322D21" w:rsidRPr="00B463BF" w:rsidRDefault="00562327" w:rsidP="00562327">
      <w:pPr>
        <w:spacing w:after="120"/>
        <w:ind w:left="1440" w:hanging="1440"/>
        <w:jc w:val="both"/>
        <w:rPr>
          <w:b/>
        </w:rPr>
      </w:pPr>
      <w:r w:rsidRPr="00B463BF">
        <w:rPr>
          <w:b/>
        </w:rPr>
        <w:fldChar w:fldCharType="end"/>
      </w:r>
    </w:p>
    <w:p w:rsidR="00357433" w:rsidRPr="00357433" w:rsidRDefault="00357433" w:rsidP="00357433">
      <w:pPr>
        <w:spacing w:after="240"/>
        <w:ind w:left="1440" w:hanging="1440"/>
        <w:jc w:val="both"/>
        <w:rPr>
          <w:bCs/>
        </w:rPr>
      </w:pPr>
      <w:r>
        <w:rPr>
          <w:b/>
          <w:bCs/>
        </w:rPr>
        <w:t>Summertree:</w:t>
      </w:r>
      <w:r>
        <w:rPr>
          <w:b/>
          <w:bCs/>
        </w:rPr>
        <w:tab/>
      </w:r>
      <w:r w:rsidR="00441968" w:rsidRPr="00441968">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contractual services expense as services have been contracted on an ad hoc reactive basis which is much more costly; contractual services-other expense should be reduced to not reward UIF for its deficient capital management practices, policies and lack of programs common to well managed utilities for years.</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396108">
      <w:pPr>
        <w:ind w:left="1440" w:hanging="1440"/>
        <w:jc w:val="both"/>
        <w:rPr>
          <w:b/>
          <w:bCs/>
          <w:u w:val="single"/>
        </w:rPr>
      </w:pPr>
    </w:p>
    <w:p w:rsidR="00396108" w:rsidRDefault="00396108" w:rsidP="00396108">
      <w:pPr>
        <w:ind w:left="1440" w:hanging="1440"/>
        <w:jc w:val="both"/>
      </w:pPr>
      <w:r w:rsidRPr="001754BE">
        <w:rPr>
          <w:b/>
          <w:bCs/>
          <w:caps/>
          <w:u w:val="single"/>
        </w:rPr>
        <w:t>I</w:t>
      </w:r>
      <w:r w:rsidR="007B4155" w:rsidRPr="001754BE">
        <w:rPr>
          <w:b/>
          <w:bCs/>
          <w:caps/>
          <w:u w:val="single"/>
        </w:rPr>
        <w:t>ssue</w:t>
      </w:r>
      <w:r w:rsidR="007B4155">
        <w:rPr>
          <w:b/>
          <w:bCs/>
          <w:u w:val="single"/>
        </w:rPr>
        <w:t xml:space="preserve"> </w:t>
      </w:r>
      <w:r>
        <w:rPr>
          <w:b/>
          <w:bCs/>
          <w:u w:val="single"/>
        </w:rPr>
        <w:t>47</w:t>
      </w:r>
      <w:r>
        <w:rPr>
          <w:b/>
          <w:bCs/>
        </w:rPr>
        <w:t>:</w:t>
      </w:r>
      <w:r>
        <w:tab/>
      </w:r>
      <w:r w:rsidRPr="00832CD5">
        <w:rPr>
          <w:b/>
        </w:rPr>
        <w:t>Should any adjustment be made to equipment rental expense?</w:t>
      </w:r>
    </w:p>
    <w:p w:rsidR="00396108" w:rsidRDefault="00396108" w:rsidP="00396108">
      <w:pPr>
        <w:ind w:left="1440" w:hanging="1440"/>
        <w:jc w:val="both"/>
      </w:pPr>
    </w:p>
    <w:p w:rsidR="00396108" w:rsidRDefault="007B4155" w:rsidP="001754BE">
      <w:pPr>
        <w:ind w:left="1440" w:hanging="1440"/>
      </w:pPr>
      <w:r>
        <w:rPr>
          <w:b/>
          <w:bCs/>
        </w:rPr>
        <w:t>POSITIONS</w:t>
      </w:r>
    </w:p>
    <w:p w:rsidR="00396108" w:rsidRDefault="00396108" w:rsidP="00396108">
      <w:pPr>
        <w:ind w:left="1440" w:hanging="1440"/>
        <w:jc w:val="both"/>
      </w:pPr>
    </w:p>
    <w:p w:rsidR="00396108" w:rsidRDefault="002A39DC" w:rsidP="00396108">
      <w:pPr>
        <w:ind w:left="1440" w:hanging="1440"/>
        <w:jc w:val="both"/>
      </w:pPr>
      <w:r w:rsidRPr="002A39DC">
        <w:rPr>
          <w:b/>
          <w:bCs/>
        </w:rPr>
        <w:t>UIF</w:t>
      </w:r>
      <w:r w:rsidR="00396108">
        <w:rPr>
          <w:b/>
          <w:bCs/>
        </w:rPr>
        <w:t>:</w:t>
      </w:r>
      <w:r w:rsidR="00396108">
        <w:tab/>
      </w:r>
      <w:r w:rsidR="001970D8" w:rsidRPr="007F372D">
        <w:t>No adjustment is appropriate in Sanlando reflecting the ongoing expense for rental of pumping equipment during and after the test year.</w:t>
      </w:r>
      <w:r w:rsidR="001970D8">
        <w:t xml:space="preserve"> </w:t>
      </w:r>
      <w:r w:rsidR="001970D8" w:rsidRPr="00B23760">
        <w:t>(Flynn)</w:t>
      </w:r>
    </w:p>
    <w:p w:rsidR="00396108" w:rsidRDefault="00396108" w:rsidP="00396108">
      <w:pPr>
        <w:ind w:left="1440" w:hanging="1440"/>
        <w:jc w:val="both"/>
      </w:pPr>
    </w:p>
    <w:p w:rsidR="00396108" w:rsidRDefault="002A39DC" w:rsidP="00396108">
      <w:pPr>
        <w:ind w:left="1440" w:hanging="1440"/>
        <w:jc w:val="both"/>
      </w:pPr>
      <w:r w:rsidRPr="002A39DC">
        <w:rPr>
          <w:b/>
          <w:bCs/>
        </w:rPr>
        <w:t>OPC</w:t>
      </w:r>
      <w:r w:rsidR="00396108">
        <w:rPr>
          <w:b/>
          <w:bCs/>
        </w:rPr>
        <w:t>:</w:t>
      </w:r>
      <w:r w:rsidR="00396108">
        <w:tab/>
      </w:r>
      <w:r w:rsidR="007A19DB" w:rsidRPr="00B463BF">
        <w:t xml:space="preserve">Yes, Sanlando reflected invoices totaling $5,593 for equipment that was rented during 2014.  These invoices should be removed from test year expenses, which </w:t>
      </w:r>
      <w:r w:rsidR="007A19DB" w:rsidRPr="00B463BF">
        <w:lastRenderedPageBreak/>
        <w:t>result in a decrease to water expenses of $3,100 and a decrease to wastewater expenses of $2,493. (Ramas)</w:t>
      </w:r>
    </w:p>
    <w:p w:rsidR="00396108" w:rsidRDefault="00396108" w:rsidP="00396108">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A601C3" w:rsidRPr="00A601C3">
        <w:rPr>
          <w:bCs/>
        </w:rPr>
        <w:t>UIF’s poor system management and absence of predictive and preventive maintenance practices as well as absence of a capacity management, operations and maintenance protocols, SORP and other standard management practices, policies and programs has resulted in excessive equipment rental expense as services have been contracted on an ad hoc reactive basis which is much more costly; equipment rental expense should be reduced to not reward UIF for its deficient capital management practices, policies and lack of programs common to well managed utilities for years.</w:t>
      </w:r>
    </w:p>
    <w:p w:rsidR="00396108" w:rsidRDefault="002A39DC" w:rsidP="00396108">
      <w:pPr>
        <w:spacing w:after="240"/>
        <w:ind w:left="1440" w:hanging="1440"/>
        <w:jc w:val="both"/>
        <w:rPr>
          <w:bCs/>
        </w:rPr>
      </w:pPr>
      <w:r w:rsidRPr="002A39DC">
        <w:rPr>
          <w:b/>
          <w:bCs/>
        </w:rPr>
        <w:t>Staff</w:t>
      </w:r>
      <w:r w:rsidR="00396108">
        <w:rPr>
          <w:b/>
          <w:bCs/>
        </w:rPr>
        <w:t>:</w:t>
      </w:r>
      <w:r w:rsidR="00396108">
        <w:rPr>
          <w:b/>
          <w:bCs/>
        </w:rPr>
        <w:tab/>
      </w:r>
      <w:r w:rsidR="00396108">
        <w:t>Staff takes no position pending evidence adduced at hearing.</w:t>
      </w:r>
    </w:p>
    <w:p w:rsidR="00F73A23" w:rsidRDefault="00F73A23" w:rsidP="00BD27B7">
      <w:pPr>
        <w:ind w:left="1440" w:hanging="1440"/>
        <w:jc w:val="both"/>
        <w:rPr>
          <w:b/>
          <w:bCs/>
          <w:u w:val="single"/>
        </w:rPr>
      </w:pPr>
    </w:p>
    <w:p w:rsidR="00BD27B7" w:rsidRDefault="00BD27B7" w:rsidP="00BD27B7">
      <w:pPr>
        <w:ind w:left="1440" w:hanging="1440"/>
        <w:jc w:val="both"/>
      </w:pPr>
      <w:r w:rsidRPr="001754BE">
        <w:rPr>
          <w:b/>
          <w:bCs/>
          <w:caps/>
          <w:u w:val="single"/>
        </w:rPr>
        <w:t>I</w:t>
      </w:r>
      <w:r w:rsidR="007B4155" w:rsidRPr="001754BE">
        <w:rPr>
          <w:b/>
          <w:bCs/>
          <w:caps/>
          <w:u w:val="single"/>
        </w:rPr>
        <w:t>ssue</w:t>
      </w:r>
      <w:r>
        <w:rPr>
          <w:b/>
          <w:bCs/>
          <w:u w:val="single"/>
        </w:rPr>
        <w:t xml:space="preserve"> 48</w:t>
      </w:r>
      <w:r>
        <w:rPr>
          <w:b/>
          <w:bCs/>
        </w:rPr>
        <w:t>:</w:t>
      </w:r>
      <w:r>
        <w:tab/>
      </w:r>
      <w:r w:rsidRPr="00832CD5">
        <w:rPr>
          <w:b/>
        </w:rPr>
        <w:t>Should any adjustment be made to transportation expense?</w:t>
      </w:r>
    </w:p>
    <w:p w:rsidR="00BD27B7" w:rsidRDefault="00BD27B7" w:rsidP="00BD27B7">
      <w:pPr>
        <w:ind w:left="1440" w:hanging="1440"/>
        <w:jc w:val="both"/>
      </w:pPr>
    </w:p>
    <w:p w:rsidR="00BD27B7" w:rsidRPr="007B4155" w:rsidRDefault="002A39DC" w:rsidP="001754BE">
      <w:pPr>
        <w:ind w:left="1440" w:hanging="1440"/>
        <w:rPr>
          <w:caps/>
        </w:rPr>
      </w:pPr>
      <w:r w:rsidRPr="007B4155">
        <w:rPr>
          <w:b/>
          <w:bCs/>
          <w:caps/>
        </w:rPr>
        <w:t>P</w:t>
      </w:r>
      <w:r w:rsidR="007B4155" w:rsidRPr="007B4155">
        <w:rPr>
          <w:b/>
          <w:bCs/>
          <w:caps/>
        </w:rPr>
        <w:t>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1970D8" w:rsidRPr="007F372D">
        <w:t>Yes, $5,723 in transportation expense booked to Tierra Verde should be allocated across all Florida systems.</w:t>
      </w:r>
      <w:r w:rsidR="001970D8">
        <w:t xml:space="preserve"> </w:t>
      </w:r>
      <w:r w:rsidR="001970D8" w:rsidRPr="00B23760">
        <w:t>(Flynn)</w:t>
      </w:r>
    </w:p>
    <w:p w:rsidR="00BD27B7" w:rsidRDefault="00BD27B7" w:rsidP="00BD27B7">
      <w:pPr>
        <w:ind w:left="1440" w:hanging="1440"/>
        <w:jc w:val="both"/>
      </w:pPr>
    </w:p>
    <w:p w:rsidR="007D5CAC" w:rsidRDefault="002A39DC" w:rsidP="007D5CAC">
      <w:pPr>
        <w:ind w:left="1440" w:hanging="1440"/>
        <w:jc w:val="both"/>
      </w:pPr>
      <w:r w:rsidRPr="002A39DC">
        <w:rPr>
          <w:b/>
          <w:bCs/>
        </w:rPr>
        <w:t>OPC</w:t>
      </w:r>
      <w:r w:rsidR="00BD27B7">
        <w:rPr>
          <w:b/>
          <w:bCs/>
        </w:rPr>
        <w:t>:</w:t>
      </w:r>
      <w:r w:rsidR="00BD27B7">
        <w:tab/>
      </w:r>
      <w:r w:rsidR="00562327" w:rsidRPr="00562327">
        <w:t>[OPC is willing to stipulate using OPC’s position.  It provides more detail and context.]   Yes, the utility included in the Tierra Verde system a posting of fuel and fleet repairs that should have been allocated across all Florida systems. Since the utility does not have consolidated rates at this time, the allocations should be adjusted as follows.  (Ramas)</w:t>
      </w:r>
    </w:p>
    <w:p w:rsidR="00631D61" w:rsidRDefault="00631D61" w:rsidP="007D5CAC">
      <w:pPr>
        <w:ind w:left="1440" w:hanging="1440"/>
        <w:jc w:val="both"/>
      </w:pPr>
    </w:p>
    <w:p w:rsidR="007A19DB" w:rsidRPr="00B463BF" w:rsidRDefault="00631D61" w:rsidP="007D5CAC">
      <w:pPr>
        <w:ind w:left="1440" w:hanging="1440"/>
        <w:jc w:val="center"/>
        <w:rPr>
          <w:b/>
        </w:rPr>
      </w:pPr>
      <w:r w:rsidRPr="00B463BF">
        <w:rPr>
          <w:b/>
        </w:rPr>
        <w:object w:dxaOrig="5035" w:dyaOrig="4958">
          <v:shape id="_x0000_i1041" type="#_x0000_t75" style="width:212pt;height:200pt" o:ole="" o:bordertopcolor="this">
            <v:imagedata r:id="rId42" o:title=""/>
            <w10:bordertop type="single" width="4"/>
          </v:shape>
          <o:OLEObject Type="Embed" ProgID="Excel.Sheet.12" ShapeID="_x0000_i1041" DrawAspect="Content" ObjectID="_1555246819" r:id="rId43"/>
        </w:object>
      </w:r>
    </w:p>
    <w:p w:rsidR="00BD27B7" w:rsidRDefault="00BD27B7" w:rsidP="00BD27B7">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A601C3" w:rsidRPr="00A601C3">
        <w:rPr>
          <w:bCs/>
        </w:rPr>
        <w:t>Agree with Public Counsel.</w:t>
      </w:r>
    </w:p>
    <w:p w:rsidR="00BD27B7" w:rsidRDefault="002A39DC" w:rsidP="00BD27B7">
      <w:pPr>
        <w:spacing w:after="240"/>
        <w:ind w:left="1440" w:hanging="1440"/>
        <w:jc w:val="both"/>
        <w:rPr>
          <w:bCs/>
        </w:rPr>
      </w:pPr>
      <w:r w:rsidRPr="002A39DC">
        <w:rPr>
          <w:b/>
          <w:bCs/>
        </w:rPr>
        <w:lastRenderedPageBreak/>
        <w:t>Staff</w:t>
      </w:r>
      <w:r w:rsidR="00BD27B7">
        <w:rPr>
          <w:b/>
          <w:bCs/>
        </w:rPr>
        <w:t>:</w:t>
      </w:r>
      <w:r w:rsidR="00BD27B7">
        <w:rPr>
          <w:b/>
          <w:bCs/>
        </w:rPr>
        <w:tab/>
      </w:r>
      <w:r w:rsidR="00BD27B7">
        <w:t>Staff takes no position pending evidence adduced at hearing.</w:t>
      </w:r>
    </w:p>
    <w:p w:rsidR="00F73A23" w:rsidRDefault="00F73A23" w:rsidP="00BD27B7">
      <w:pPr>
        <w:ind w:left="1440" w:hanging="1440"/>
        <w:jc w:val="both"/>
        <w:rPr>
          <w:b/>
          <w:bCs/>
          <w:u w:val="single"/>
        </w:rPr>
      </w:pPr>
    </w:p>
    <w:p w:rsidR="00BD27B7" w:rsidRDefault="00BD27B7" w:rsidP="00BD27B7">
      <w:pPr>
        <w:ind w:left="1440" w:hanging="1440"/>
        <w:jc w:val="both"/>
      </w:pPr>
      <w:r>
        <w:rPr>
          <w:b/>
          <w:bCs/>
          <w:u w:val="single"/>
        </w:rPr>
        <w:t>ISSUE 49</w:t>
      </w:r>
      <w:r>
        <w:rPr>
          <w:b/>
          <w:bCs/>
        </w:rPr>
        <w:t>:</w:t>
      </w:r>
      <w:r>
        <w:tab/>
      </w:r>
      <w:r w:rsidRPr="00832CD5">
        <w:rPr>
          <w:b/>
        </w:rPr>
        <w:t>What is the appropriate amount of rate case expense?</w:t>
      </w:r>
    </w:p>
    <w:p w:rsidR="00BD27B7" w:rsidRDefault="00BD27B7" w:rsidP="00BD27B7">
      <w:pPr>
        <w:ind w:left="1440" w:hanging="1440"/>
        <w:jc w:val="both"/>
      </w:pPr>
    </w:p>
    <w:p w:rsidR="00BD27B7" w:rsidRDefault="002A39DC" w:rsidP="00BD27B7">
      <w:pPr>
        <w:ind w:left="1440" w:hanging="1440"/>
        <w:jc w:val="both"/>
      </w:pPr>
      <w:r w:rsidRPr="002A39DC">
        <w:rPr>
          <w:b/>
          <w:bCs/>
        </w:rPr>
        <w:t>POSITIONS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3E25C5">
        <w:t>$1,122,314 plus</w:t>
      </w:r>
      <w:r w:rsidR="003E25C5" w:rsidRPr="00FD01B6">
        <w:t xml:space="preserve"> $</w:t>
      </w:r>
      <w:r w:rsidR="003E25C5" w:rsidRPr="00904DB9">
        <w:t xml:space="preserve">274,477 </w:t>
      </w:r>
      <w:r w:rsidR="003E25C5">
        <w:t xml:space="preserve">in </w:t>
      </w:r>
      <w:r w:rsidR="003E25C5" w:rsidRPr="00FD01B6">
        <w:t>prior RCE TY amortization</w:t>
      </w:r>
      <w:r w:rsidR="003E25C5">
        <w:t xml:space="preserve">. </w:t>
      </w:r>
      <w:r w:rsidR="003E25C5" w:rsidRPr="00B23760">
        <w:t>(</w:t>
      </w:r>
      <w:r w:rsidR="003E25C5">
        <w:t>Deason, Swain</w:t>
      </w:r>
      <w:r w:rsidR="003E25C5" w:rsidRPr="00B23760">
        <w:t>)</w:t>
      </w:r>
    </w:p>
    <w:p w:rsidR="00BD27B7" w:rsidRDefault="00BD27B7" w:rsidP="00BD27B7">
      <w:pPr>
        <w:ind w:left="1440" w:hanging="1440"/>
        <w:jc w:val="both"/>
      </w:pPr>
    </w:p>
    <w:p w:rsidR="00562327" w:rsidRPr="00562327" w:rsidRDefault="002A39DC" w:rsidP="00562327">
      <w:pPr>
        <w:ind w:left="1440" w:hanging="1440"/>
        <w:jc w:val="both"/>
      </w:pPr>
      <w:r w:rsidRPr="002A39DC">
        <w:rPr>
          <w:b/>
          <w:bCs/>
        </w:rPr>
        <w:t>OPC</w:t>
      </w:r>
      <w:r w:rsidR="00BD27B7">
        <w:rPr>
          <w:b/>
          <w:bCs/>
        </w:rPr>
        <w:t>:</w:t>
      </w:r>
      <w:r w:rsidR="00BD27B7">
        <w:tab/>
      </w:r>
      <w:r w:rsidR="00562327" w:rsidRPr="00562327">
        <w:t xml:space="preserve">Rate case expense should be reduced significantly to remove unreasonable rate case expenditures. Rate case expense associated with the current docket should be reduced to remove all costs related to the correction of deficiencies, correction of past annual reports, and the unusual, excessive revisions and supplements to discovery responses due to UIF’s incomplete initial responses. Expenses associated with UIF’s public relations and image enhancing should also be disallowed as these are below-the-line expenses and unreasonable for ratepayers to bear.  Additional rate case expense reductions may be appropriate based on updated rate case expense documentation.  The appropriate amount of rate case expense will be determined by the evidence adduced at the hearing.  </w:t>
      </w:r>
    </w:p>
    <w:p w:rsidR="00562327" w:rsidRPr="00562327" w:rsidRDefault="00562327" w:rsidP="00562327">
      <w:pPr>
        <w:ind w:left="1440" w:hanging="1440"/>
        <w:jc w:val="both"/>
      </w:pPr>
    </w:p>
    <w:p w:rsidR="00BD27B7" w:rsidRDefault="00562327" w:rsidP="00562327">
      <w:pPr>
        <w:ind w:left="1440"/>
        <w:jc w:val="both"/>
      </w:pPr>
      <w:r w:rsidRPr="00562327">
        <w:t>Rate case expense related to prior rate cases should be removed from the rate case expense in this case consistent with OPC’s position on Issue 75.  (Ramas)</w:t>
      </w:r>
    </w:p>
    <w:p w:rsidR="00BD27B7" w:rsidRDefault="00BD27B7" w:rsidP="00BD27B7">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A601C3" w:rsidRPr="00A601C3">
        <w:rPr>
          <w:bCs/>
        </w:rPr>
        <w:t>Agree with Public Counsel except UIF should be denied recovery of legal expenses incurred to file a frivolous motion to dismiss the petition to intervene of the Summertree Water Alliance. As it is simple to have alternative interventions by individual customers served by the Summertree System such motion simply stands as exemplary evidence of UIF’s hostility to its customers and any attempt by them to remain informed of UIF activities affecting them. UIF’s management position that it will not “voluntarily” disclose information requested by its customers if such information tends to establish reduced costs is another example of such behavior which should not be condoned by the Commission.</w:t>
      </w:r>
    </w:p>
    <w:p w:rsidR="00BD27B7" w:rsidRDefault="002A39DC" w:rsidP="00BD27B7">
      <w:pPr>
        <w:spacing w:after="240"/>
        <w:ind w:left="1440" w:hanging="1440"/>
        <w:jc w:val="both"/>
        <w:rPr>
          <w:bCs/>
        </w:rPr>
      </w:pPr>
      <w:r w:rsidRPr="002A39DC">
        <w:rPr>
          <w:b/>
          <w:bCs/>
        </w:rPr>
        <w:t>Staff</w:t>
      </w:r>
      <w:r w:rsidR="00BD27B7">
        <w:rPr>
          <w:b/>
          <w:bCs/>
        </w:rPr>
        <w:t>:</w:t>
      </w:r>
      <w:r w:rsidR="00BD27B7">
        <w:rPr>
          <w:b/>
          <w:bCs/>
        </w:rPr>
        <w:tab/>
      </w:r>
      <w:r w:rsidR="00BD27B7">
        <w:t>Staff takes no position pending evidence adduced at hearing.</w:t>
      </w:r>
    </w:p>
    <w:p w:rsidR="00F73A23" w:rsidRDefault="00F73A23" w:rsidP="00BD27B7">
      <w:pPr>
        <w:ind w:left="1440" w:hanging="1440"/>
        <w:jc w:val="both"/>
        <w:rPr>
          <w:b/>
          <w:bCs/>
          <w:u w:val="single"/>
        </w:rPr>
      </w:pPr>
    </w:p>
    <w:p w:rsidR="00BD27B7" w:rsidRDefault="00BD27B7" w:rsidP="00BD27B7">
      <w:pPr>
        <w:ind w:left="1440" w:hanging="1440"/>
        <w:jc w:val="both"/>
      </w:pPr>
      <w:r>
        <w:rPr>
          <w:b/>
          <w:bCs/>
          <w:u w:val="single"/>
        </w:rPr>
        <w:t>ISSUE 50</w:t>
      </w:r>
      <w:r>
        <w:rPr>
          <w:b/>
          <w:bCs/>
        </w:rPr>
        <w:t>:</w:t>
      </w:r>
      <w:r>
        <w:tab/>
      </w:r>
      <w:r w:rsidRPr="00832CD5">
        <w:rPr>
          <w:b/>
        </w:rPr>
        <w:t>How should unamortized rate case expense from prior dockets be treated for purposes of determining the revenue requirements in this proceeding?</w:t>
      </w:r>
    </w:p>
    <w:p w:rsidR="00BD27B7" w:rsidRDefault="00BD27B7" w:rsidP="00BD27B7">
      <w:pPr>
        <w:ind w:left="1440" w:hanging="1440"/>
        <w:jc w:val="both"/>
      </w:pPr>
    </w:p>
    <w:p w:rsidR="00BD27B7" w:rsidRDefault="002A39DC" w:rsidP="00BD27B7">
      <w:pPr>
        <w:ind w:left="1440" w:hanging="1440"/>
        <w:jc w:val="both"/>
      </w:pPr>
      <w:r w:rsidRPr="002A39DC">
        <w:rPr>
          <w:b/>
          <w:bCs/>
        </w:rPr>
        <w:t>POSITIONS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343D87" w:rsidRPr="00FD01B6">
        <w:t>Add unamortized balance to current RCE.</w:t>
      </w:r>
    </w:p>
    <w:p w:rsidR="00F43A2A" w:rsidRDefault="00F43A2A" w:rsidP="00BD27B7">
      <w:pPr>
        <w:ind w:left="1440" w:hanging="1440"/>
        <w:jc w:val="both"/>
      </w:pPr>
    </w:p>
    <w:p w:rsidR="00BD27B7" w:rsidRDefault="002A39DC" w:rsidP="00BD27B7">
      <w:pPr>
        <w:ind w:left="1440" w:hanging="1440"/>
        <w:jc w:val="both"/>
      </w:pPr>
      <w:r w:rsidRPr="002A39DC">
        <w:rPr>
          <w:b/>
          <w:bCs/>
        </w:rPr>
        <w:t>OPC</w:t>
      </w:r>
      <w:r w:rsidR="00BD27B7">
        <w:rPr>
          <w:b/>
          <w:bCs/>
        </w:rPr>
        <w:t>:</w:t>
      </w:r>
      <w:r w:rsidR="00BD27B7">
        <w:tab/>
      </w:r>
      <w:r w:rsidR="00A75B20" w:rsidRPr="00B463BF">
        <w:t xml:space="preserve">Any prior unamortized rate case expense that has been fully amortized before rates become effective, should be removed from the test year by system.  For the </w:t>
      </w:r>
      <w:r w:rsidR="00A75B20" w:rsidRPr="00B463BF">
        <w:lastRenderedPageBreak/>
        <w:t>systems where rate case expense is not fully amortized prior to rates becoming effective, the prior unamortized rate case expense should be removed from the test year and addressed as a separate surcharge for each system until fully recovered.  The Commission has already determined that a 4 year recovery period is appropriate for these systems through prior Commission orders.  (Ramas)</w:t>
      </w:r>
    </w:p>
    <w:p w:rsidR="00BD27B7" w:rsidRDefault="00BD27B7" w:rsidP="00BD27B7">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8E010F" w:rsidRPr="008E010F">
        <w:rPr>
          <w:bCs/>
        </w:rPr>
        <w:t>Agree with Public Counsel.</w:t>
      </w:r>
    </w:p>
    <w:p w:rsidR="00BD27B7" w:rsidRDefault="002A39DC" w:rsidP="00BD27B7">
      <w:pPr>
        <w:spacing w:after="240"/>
        <w:ind w:left="1440" w:hanging="1440"/>
        <w:jc w:val="both"/>
        <w:rPr>
          <w:bCs/>
        </w:rPr>
      </w:pPr>
      <w:r w:rsidRPr="002A39DC">
        <w:rPr>
          <w:b/>
          <w:bCs/>
        </w:rPr>
        <w:t>Staff</w:t>
      </w:r>
      <w:r w:rsidR="00BD27B7">
        <w:rPr>
          <w:b/>
          <w:bCs/>
        </w:rPr>
        <w:t>:</w:t>
      </w:r>
      <w:r w:rsidR="00BD27B7">
        <w:rPr>
          <w:b/>
          <w:bCs/>
        </w:rPr>
        <w:tab/>
      </w:r>
      <w:r w:rsidR="00BD27B7">
        <w:t>Staff takes no position pending evidence adduced at hearing.</w:t>
      </w:r>
    </w:p>
    <w:p w:rsidR="00F73A23" w:rsidRDefault="00F73A23" w:rsidP="00BD27B7">
      <w:pPr>
        <w:ind w:left="1440" w:hanging="1440"/>
        <w:jc w:val="both"/>
        <w:rPr>
          <w:b/>
          <w:bCs/>
          <w:u w:val="single"/>
        </w:rPr>
      </w:pPr>
    </w:p>
    <w:p w:rsidR="00BD27B7" w:rsidRDefault="00BD27B7" w:rsidP="00BD27B7">
      <w:pPr>
        <w:ind w:left="1440" w:hanging="1440"/>
        <w:jc w:val="both"/>
      </w:pPr>
      <w:r>
        <w:rPr>
          <w:b/>
          <w:bCs/>
          <w:u w:val="single"/>
        </w:rPr>
        <w:t>ISSUE 51</w:t>
      </w:r>
      <w:r>
        <w:rPr>
          <w:b/>
          <w:bCs/>
        </w:rPr>
        <w:t>:</w:t>
      </w:r>
      <w:r>
        <w:tab/>
      </w:r>
      <w:r w:rsidRPr="00832CD5">
        <w:rPr>
          <w:b/>
        </w:rPr>
        <w:t>Should any adjustment be made to miscellaneous expense?</w:t>
      </w:r>
    </w:p>
    <w:p w:rsidR="00BD27B7" w:rsidRDefault="00BD27B7" w:rsidP="00BD27B7">
      <w:pPr>
        <w:ind w:left="1440" w:hanging="1440"/>
        <w:jc w:val="both"/>
      </w:pPr>
    </w:p>
    <w:p w:rsidR="00BD27B7" w:rsidRDefault="002A39DC" w:rsidP="00BD27B7">
      <w:pPr>
        <w:ind w:left="1440" w:hanging="1440"/>
        <w:jc w:val="both"/>
      </w:pPr>
      <w:r w:rsidRPr="002A39DC">
        <w:rPr>
          <w:b/>
          <w:bCs/>
        </w:rPr>
        <w:t>POSITIONS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6E7382">
        <w:t>No adjustment should be made to the MFRs.</w:t>
      </w:r>
    </w:p>
    <w:p w:rsidR="00BD27B7" w:rsidRDefault="00BD27B7" w:rsidP="00BD27B7">
      <w:pPr>
        <w:ind w:left="1440" w:hanging="1440"/>
        <w:jc w:val="both"/>
      </w:pPr>
    </w:p>
    <w:p w:rsidR="00A75B20" w:rsidRPr="00B463BF" w:rsidRDefault="002A39DC" w:rsidP="00A75B20">
      <w:pPr>
        <w:ind w:left="1440" w:hanging="1440"/>
        <w:jc w:val="both"/>
      </w:pPr>
      <w:r w:rsidRPr="002A39DC">
        <w:rPr>
          <w:b/>
          <w:bCs/>
        </w:rPr>
        <w:t>OPC</w:t>
      </w:r>
      <w:r w:rsidR="00BD27B7">
        <w:rPr>
          <w:b/>
          <w:bCs/>
        </w:rPr>
        <w:t>:</w:t>
      </w:r>
      <w:r w:rsidR="00BD27B7">
        <w:tab/>
      </w:r>
      <w:r w:rsidR="00A75B20" w:rsidRPr="00B463BF">
        <w:t>Yes, the duplicate entry for $5,000 for a DEP WWTP permit expense should be removed from the test year and the Cypress Lakes expense should be adjusted for fall-out reduction from the Sediment Removal Project.  (Ramas)</w:t>
      </w:r>
    </w:p>
    <w:p w:rsidR="00A75B20" w:rsidRPr="00B463BF" w:rsidRDefault="00A75B20" w:rsidP="00A75B20">
      <w:pPr>
        <w:spacing w:line="276" w:lineRule="auto"/>
        <w:jc w:val="both"/>
        <w:rPr>
          <w:b/>
        </w:rPr>
      </w:pPr>
    </w:p>
    <w:p w:rsidR="00A75B20" w:rsidRPr="00B463BF" w:rsidRDefault="00A75B20" w:rsidP="00A75B20">
      <w:pPr>
        <w:spacing w:line="276" w:lineRule="auto"/>
        <w:jc w:val="center"/>
        <w:rPr>
          <w:b/>
        </w:rPr>
      </w:pPr>
      <w:r w:rsidRPr="00B463BF">
        <w:rPr>
          <w:b/>
          <w:bdr w:val="single" w:sz="4" w:space="0" w:color="auto"/>
        </w:rPr>
        <w:object w:dxaOrig="6324" w:dyaOrig="2344">
          <v:shape id="_x0000_i1042" type="#_x0000_t75" style="width:317.5pt;height:116.5pt" o:ole="">
            <v:imagedata r:id="rId44" o:title=""/>
          </v:shape>
          <o:OLEObject Type="Embed" ProgID="Excel.Sheet.12" ShapeID="_x0000_i1042" DrawAspect="Content" ObjectID="_1555246820" r:id="rId45"/>
        </w:object>
      </w:r>
    </w:p>
    <w:p w:rsidR="00BD27B7" w:rsidRDefault="00BD27B7" w:rsidP="00BD27B7">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8E010F" w:rsidRPr="008E010F">
        <w:rPr>
          <w:bCs/>
        </w:rPr>
        <w:t>Agree with Public Counsel.</w:t>
      </w:r>
    </w:p>
    <w:p w:rsidR="00BD27B7" w:rsidRDefault="002A39DC" w:rsidP="00BD27B7">
      <w:pPr>
        <w:spacing w:after="240"/>
        <w:ind w:left="1440" w:hanging="1440"/>
        <w:jc w:val="both"/>
        <w:rPr>
          <w:bCs/>
        </w:rPr>
      </w:pPr>
      <w:r w:rsidRPr="002A39DC">
        <w:rPr>
          <w:b/>
          <w:bCs/>
        </w:rPr>
        <w:t>Staff</w:t>
      </w:r>
      <w:r w:rsidR="00BD27B7">
        <w:rPr>
          <w:b/>
          <w:bCs/>
        </w:rPr>
        <w:t>:</w:t>
      </w:r>
      <w:r w:rsidR="00BD27B7">
        <w:rPr>
          <w:b/>
          <w:bCs/>
        </w:rPr>
        <w:tab/>
      </w:r>
      <w:r w:rsidR="00BD27B7">
        <w:t>Staff takes no position pending evidence adduced at hearing.</w:t>
      </w:r>
    </w:p>
    <w:p w:rsidR="00F73A23" w:rsidRDefault="00F73A23" w:rsidP="00BD27B7">
      <w:pPr>
        <w:ind w:left="1440" w:hanging="1440"/>
        <w:jc w:val="both"/>
        <w:rPr>
          <w:b/>
          <w:spacing w:val="-8"/>
          <w:u w:val="single"/>
        </w:rPr>
      </w:pPr>
    </w:p>
    <w:p w:rsidR="00BD27B7" w:rsidRDefault="00BD27B7" w:rsidP="00BD27B7">
      <w:pPr>
        <w:ind w:left="1440" w:hanging="1440"/>
        <w:jc w:val="both"/>
      </w:pPr>
      <w:r>
        <w:rPr>
          <w:b/>
          <w:bCs/>
          <w:u w:val="single"/>
        </w:rPr>
        <w:t>ISSUE 52</w:t>
      </w:r>
      <w:r>
        <w:rPr>
          <w:b/>
          <w:bCs/>
        </w:rPr>
        <w:t>:</w:t>
      </w:r>
      <w:r>
        <w:tab/>
      </w:r>
      <w:r w:rsidRPr="00832CD5">
        <w:rPr>
          <w:b/>
        </w:rPr>
        <w:t>How should the cost savings, if any, resulting from the proposed consolidation of tariffs and accounting records be reflected in rates?</w:t>
      </w:r>
    </w:p>
    <w:p w:rsidR="00BD27B7" w:rsidRDefault="00BD27B7" w:rsidP="00BD27B7">
      <w:pPr>
        <w:ind w:left="1440" w:hanging="1440"/>
        <w:jc w:val="both"/>
      </w:pPr>
    </w:p>
    <w:p w:rsidR="00BD27B7" w:rsidRDefault="002A39DC" w:rsidP="00BD27B7">
      <w:pPr>
        <w:ind w:left="1440" w:hanging="1440"/>
        <w:jc w:val="both"/>
      </w:pPr>
      <w:r w:rsidRPr="002A39DC">
        <w:rPr>
          <w:b/>
          <w:bCs/>
        </w:rPr>
        <w:t>POSITIONS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097A61">
        <w:t>There are no cost savings.</w:t>
      </w:r>
    </w:p>
    <w:p w:rsidR="00BD27B7" w:rsidRDefault="00BD27B7" w:rsidP="00BD27B7">
      <w:pPr>
        <w:ind w:left="1440" w:hanging="1440"/>
        <w:jc w:val="both"/>
      </w:pPr>
    </w:p>
    <w:p w:rsidR="00BD27B7" w:rsidRDefault="002A39DC" w:rsidP="00BD27B7">
      <w:pPr>
        <w:ind w:left="1440" w:hanging="1440"/>
        <w:jc w:val="both"/>
      </w:pPr>
      <w:r w:rsidRPr="002A39DC">
        <w:rPr>
          <w:b/>
          <w:bCs/>
        </w:rPr>
        <w:t>OPC</w:t>
      </w:r>
      <w:r w:rsidR="00BD27B7">
        <w:rPr>
          <w:b/>
          <w:bCs/>
        </w:rPr>
        <w:t>:</w:t>
      </w:r>
      <w:r w:rsidR="00BD27B7">
        <w:tab/>
      </w:r>
      <w:r w:rsidR="00B462E9" w:rsidRPr="00B462E9">
        <w:t xml:space="preserve">Based upon the deposition of UIF witness Flynn and UIF’s response to OPC Interrogatories Nos. 285, 286, and 287, UIF anticipates savings associated with the proposed consolidation; however, UIF has not quantified the amount of the </w:t>
      </w:r>
      <w:r w:rsidR="00B462E9" w:rsidRPr="00B462E9">
        <w:lastRenderedPageBreak/>
        <w:t>anticipated savings.  If the Commission decides it needs additional information to determine the anticipated savings, it has the discretion to open a separate docketed proceeding for that purpose.</w:t>
      </w:r>
    </w:p>
    <w:p w:rsidR="00BD27B7" w:rsidRDefault="00BD27B7" w:rsidP="00BD27B7">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CC3048" w:rsidRPr="00CC3048">
        <w:rPr>
          <w:bCs/>
        </w:rPr>
        <w:t>UIF indicates there are no cost savings from its request to consolidate tariffs and accounting records. UIF has failed to show any material cost savings at all in this docket or even attempted to establish that UIF has engaged in prudent and reasonable management activities designed to result in cost reductions. Well-managed utilities constantly and consistently engage in such activities, not UIF. If there are no cost savings for UIF’s customers, where is the benefit to them.</w:t>
      </w:r>
    </w:p>
    <w:p w:rsidR="00BD27B7" w:rsidRDefault="002A39DC" w:rsidP="00BD27B7">
      <w:pPr>
        <w:spacing w:after="240"/>
        <w:ind w:left="1440" w:hanging="1440"/>
        <w:jc w:val="both"/>
        <w:rPr>
          <w:bCs/>
        </w:rPr>
      </w:pPr>
      <w:r w:rsidRPr="002A39DC">
        <w:rPr>
          <w:b/>
          <w:bCs/>
        </w:rPr>
        <w:t>Staff</w:t>
      </w:r>
      <w:r w:rsidR="00BD27B7">
        <w:rPr>
          <w:b/>
          <w:bCs/>
        </w:rPr>
        <w:t>:</w:t>
      </w:r>
      <w:r w:rsidR="00BD27B7">
        <w:rPr>
          <w:b/>
          <w:bCs/>
        </w:rPr>
        <w:tab/>
      </w:r>
      <w:r w:rsidR="00BD27B7">
        <w:t>Staff takes no position pending evidence adduced at hearing.</w:t>
      </w:r>
    </w:p>
    <w:p w:rsidR="00F73A23" w:rsidRDefault="00F73A23" w:rsidP="00BD27B7">
      <w:pPr>
        <w:ind w:left="1440" w:hanging="1440"/>
        <w:jc w:val="both"/>
        <w:rPr>
          <w:b/>
          <w:spacing w:val="-8"/>
          <w:u w:val="single"/>
        </w:rPr>
      </w:pPr>
    </w:p>
    <w:p w:rsidR="00BD27B7" w:rsidRDefault="00BD27B7" w:rsidP="00BD27B7">
      <w:pPr>
        <w:ind w:left="1440" w:hanging="1440"/>
        <w:jc w:val="both"/>
      </w:pPr>
      <w:r>
        <w:rPr>
          <w:b/>
          <w:bCs/>
          <w:u w:val="single"/>
        </w:rPr>
        <w:t>ISSUE 53</w:t>
      </w:r>
      <w:r>
        <w:rPr>
          <w:b/>
          <w:bCs/>
        </w:rPr>
        <w:t>:</w:t>
      </w:r>
      <w:r>
        <w:tab/>
      </w:r>
      <w:r w:rsidRPr="00832CD5">
        <w:rPr>
          <w:b/>
        </w:rPr>
        <w:t>Should any further adjustments be made to the Utility’s test year and pro forma O&amp;M expenses?</w:t>
      </w:r>
    </w:p>
    <w:p w:rsidR="00BD27B7" w:rsidRDefault="00BD27B7" w:rsidP="00BD27B7">
      <w:pPr>
        <w:ind w:left="1440" w:hanging="1440"/>
        <w:jc w:val="both"/>
      </w:pPr>
    </w:p>
    <w:p w:rsidR="00BD27B7" w:rsidRDefault="002A39DC" w:rsidP="00BD27B7">
      <w:pPr>
        <w:ind w:left="1440" w:hanging="1440"/>
        <w:jc w:val="both"/>
      </w:pPr>
      <w:r w:rsidRPr="002A39DC">
        <w:rPr>
          <w:b/>
          <w:bCs/>
        </w:rPr>
        <w:t>POSITIONS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3F4809">
        <w:t>No.</w:t>
      </w:r>
    </w:p>
    <w:p w:rsidR="00BD27B7" w:rsidRDefault="00BD27B7" w:rsidP="00BD27B7">
      <w:pPr>
        <w:ind w:left="1440" w:hanging="1440"/>
        <w:jc w:val="both"/>
      </w:pPr>
    </w:p>
    <w:p w:rsidR="00BD27B7" w:rsidRDefault="002A39DC" w:rsidP="00BD27B7">
      <w:pPr>
        <w:ind w:left="1440" w:hanging="1440"/>
        <w:jc w:val="both"/>
      </w:pPr>
      <w:r w:rsidRPr="002A39DC">
        <w:rPr>
          <w:b/>
          <w:bCs/>
        </w:rPr>
        <w:t>OPC</w:t>
      </w:r>
      <w:r w:rsidR="00BD27B7">
        <w:rPr>
          <w:b/>
          <w:bCs/>
        </w:rPr>
        <w:t>:</w:t>
      </w:r>
      <w:r w:rsidR="00BD27B7">
        <w:tab/>
      </w:r>
      <w:r w:rsidR="00C054FC" w:rsidRPr="00C054FC">
        <w:t>Yes.  Additional adjustments to O&amp;M expenses may be appropriate based on updated documentation and evidence adduced at the hearing.</w:t>
      </w:r>
    </w:p>
    <w:p w:rsidR="00BD27B7" w:rsidRDefault="00BD27B7" w:rsidP="00BD27B7">
      <w:pPr>
        <w:ind w:left="1440" w:hanging="1440"/>
        <w:jc w:val="both"/>
      </w:pPr>
    </w:p>
    <w:p w:rsidR="00357433" w:rsidRPr="00F37944" w:rsidRDefault="00357433" w:rsidP="00357433">
      <w:pPr>
        <w:spacing w:after="240"/>
        <w:ind w:left="1440" w:hanging="1440"/>
        <w:jc w:val="both"/>
        <w:rPr>
          <w:bCs/>
        </w:rPr>
      </w:pPr>
      <w:r>
        <w:rPr>
          <w:b/>
          <w:bCs/>
        </w:rPr>
        <w:t>Summertree:</w:t>
      </w:r>
      <w:r>
        <w:rPr>
          <w:b/>
          <w:bCs/>
        </w:rPr>
        <w:tab/>
      </w:r>
      <w:r w:rsidR="00421C54" w:rsidRPr="00421C54">
        <w:t>Yes. UIF’s deficient management practices have resulted in excessive operating costs which should be reflected in a reduced revenue requirement. UIF has recognized its management deficiencies by initiating implementation of the asset management system and geographic information systems but only after customers have been made to bear the higher capital and operating costs which UIF has imposed upon them by failing to implement such systems on a timely basis, years ago when they first became available and were in use by 70% of utilities located throughout the nation. In addition, UIF management has indicated that prior repairs to plant, lines and equipment have been performed and associated costs treated as operating expenses. However, UIF has failed to present the Commission with the amount of these expenses so that they can be removed from test year and pro forma expenses. UIF’s test year and pro forma O$M expenses should be reduced to prevent UIF from being rewarded for this mismanagement.</w:t>
      </w:r>
    </w:p>
    <w:p w:rsidR="00BD27B7" w:rsidRDefault="002A39DC" w:rsidP="00BD27B7">
      <w:pPr>
        <w:spacing w:after="240"/>
        <w:ind w:left="1440" w:hanging="1440"/>
        <w:jc w:val="both"/>
        <w:rPr>
          <w:bCs/>
        </w:rPr>
      </w:pPr>
      <w:r w:rsidRPr="002A39DC">
        <w:rPr>
          <w:b/>
          <w:bCs/>
        </w:rPr>
        <w:t>Staff</w:t>
      </w:r>
      <w:r w:rsidR="00BD27B7">
        <w:rPr>
          <w:b/>
          <w:bCs/>
        </w:rPr>
        <w:t>:</w:t>
      </w:r>
      <w:r w:rsidR="00BD27B7">
        <w:rPr>
          <w:b/>
          <w:bCs/>
        </w:rPr>
        <w:tab/>
      </w:r>
      <w:r w:rsidR="00BD27B7">
        <w:t>Staff takes no position pending evidence adduced at hearing.</w:t>
      </w:r>
    </w:p>
    <w:p w:rsidR="00F73A23" w:rsidRDefault="00F73A23" w:rsidP="00BD27B7">
      <w:pPr>
        <w:ind w:left="1440" w:hanging="1440"/>
        <w:jc w:val="both"/>
        <w:rPr>
          <w:b/>
          <w:bCs/>
          <w:u w:val="single"/>
        </w:rPr>
      </w:pPr>
    </w:p>
    <w:p w:rsidR="009C58F5" w:rsidRDefault="009C58F5">
      <w:pPr>
        <w:rPr>
          <w:b/>
          <w:bCs/>
          <w:u w:val="single"/>
        </w:rPr>
      </w:pPr>
      <w:r>
        <w:rPr>
          <w:b/>
          <w:bCs/>
          <w:u w:val="single"/>
        </w:rPr>
        <w:br w:type="page"/>
      </w:r>
    </w:p>
    <w:p w:rsidR="00BD27B7" w:rsidRDefault="00BD27B7" w:rsidP="00BD27B7">
      <w:pPr>
        <w:ind w:left="1440" w:hanging="1440"/>
        <w:jc w:val="both"/>
      </w:pPr>
      <w:r>
        <w:rPr>
          <w:b/>
          <w:bCs/>
          <w:u w:val="single"/>
        </w:rPr>
        <w:lastRenderedPageBreak/>
        <w:t>ISSUE 54</w:t>
      </w:r>
      <w:r>
        <w:rPr>
          <w:b/>
          <w:bCs/>
        </w:rPr>
        <w:t>:</w:t>
      </w:r>
      <w:r>
        <w:tab/>
      </w:r>
      <w:r w:rsidRPr="00832CD5">
        <w:rPr>
          <w:b/>
        </w:rPr>
        <w:t>Should any adjustments be made to test year depreciation expense?</w:t>
      </w:r>
    </w:p>
    <w:p w:rsidR="00BD27B7" w:rsidRDefault="00BD27B7" w:rsidP="00BD27B7">
      <w:pPr>
        <w:ind w:left="1440" w:hanging="1440"/>
        <w:jc w:val="both"/>
      </w:pPr>
    </w:p>
    <w:p w:rsidR="00BD27B7" w:rsidRDefault="002A39DC" w:rsidP="00BD27B7">
      <w:pPr>
        <w:ind w:left="1440" w:hanging="1440"/>
        <w:jc w:val="both"/>
      </w:pPr>
      <w:r w:rsidRPr="002A39DC">
        <w:rPr>
          <w:b/>
          <w:bCs/>
        </w:rPr>
        <w:t>POSITIONS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7812DC">
        <w:t>Yes,</w:t>
      </w:r>
      <w:r w:rsidR="007812DC" w:rsidRPr="00FD01B6">
        <w:t xml:space="preserve"> $</w:t>
      </w:r>
      <w:r w:rsidR="007812DC" w:rsidRPr="00E73EDE">
        <w:t>11</w:t>
      </w:r>
      <w:r w:rsidR="007812DC">
        <w:t>7</w:t>
      </w:r>
      <w:r w:rsidR="007812DC" w:rsidRPr="00E73EDE">
        <w:t xml:space="preserve">,486, </w:t>
      </w:r>
      <w:r w:rsidR="007812DC">
        <w:t>for retirements and $109,266 for</w:t>
      </w:r>
      <w:r w:rsidR="007812DC" w:rsidRPr="00E73EDE">
        <w:t xml:space="preserve"> proforma plant </w:t>
      </w:r>
      <w:r w:rsidR="007812DC">
        <w:t>(Swain)</w:t>
      </w:r>
    </w:p>
    <w:p w:rsidR="00BD27B7" w:rsidRDefault="00BD27B7" w:rsidP="00BD27B7">
      <w:pPr>
        <w:ind w:left="1440" w:hanging="1440"/>
        <w:jc w:val="both"/>
      </w:pPr>
    </w:p>
    <w:p w:rsidR="00BD27B7" w:rsidRDefault="002A39DC" w:rsidP="00BD27B7">
      <w:pPr>
        <w:ind w:left="1440" w:hanging="1440"/>
        <w:jc w:val="both"/>
      </w:pPr>
      <w:r w:rsidRPr="002A39DC">
        <w:rPr>
          <w:b/>
          <w:bCs/>
        </w:rPr>
        <w:t>OPC</w:t>
      </w:r>
      <w:r w:rsidR="00BD27B7">
        <w:rPr>
          <w:b/>
          <w:bCs/>
        </w:rPr>
        <w:t>:</w:t>
      </w:r>
      <w:r w:rsidR="00BD27B7">
        <w:tab/>
      </w:r>
      <w:r w:rsidR="0042093A" w:rsidRPr="00B463BF">
        <w:t>Yes, the depreciation expense should be reduced as set forth in the schedules of OPC witness Ramas and summarized in the table below.  (Ramas)</w:t>
      </w:r>
    </w:p>
    <w:p w:rsidR="00E16FCB" w:rsidRDefault="00E16FCB" w:rsidP="00BD27B7">
      <w:pPr>
        <w:ind w:left="1440" w:hanging="1440"/>
        <w:jc w:val="both"/>
      </w:pPr>
    </w:p>
    <w:bookmarkStart w:id="8" w:name="_MON_1553078844"/>
    <w:bookmarkEnd w:id="8"/>
    <w:p w:rsidR="0042093A" w:rsidRDefault="00C054FC" w:rsidP="0042093A">
      <w:pPr>
        <w:ind w:left="1440" w:hanging="1440"/>
        <w:jc w:val="center"/>
      </w:pPr>
      <w:r w:rsidRPr="00B463BF">
        <w:object w:dxaOrig="10187" w:dyaOrig="8165">
          <v:shape id="_x0000_i1043" type="#_x0000_t75" style="width:464pt;height:372.5pt" o:ole="" o:bordertopcolor="this">
            <v:imagedata r:id="rId46" o:title=""/>
            <w10:bordertop type="single" width="6"/>
          </v:shape>
          <o:OLEObject Type="Embed" ProgID="Excel.Sheet.12" ShapeID="_x0000_i1043" DrawAspect="Content" ObjectID="_1555246821" r:id="rId47"/>
        </w:object>
      </w:r>
    </w:p>
    <w:p w:rsidR="00E950C7" w:rsidRDefault="00E950C7" w:rsidP="00357433">
      <w:pPr>
        <w:spacing w:after="240"/>
        <w:ind w:left="1440" w:hanging="1440"/>
        <w:jc w:val="both"/>
        <w:rPr>
          <w:b/>
          <w:bCs/>
        </w:rPr>
      </w:pPr>
    </w:p>
    <w:p w:rsidR="00357433" w:rsidRPr="00357433" w:rsidRDefault="00357433" w:rsidP="00357433">
      <w:pPr>
        <w:spacing w:after="240"/>
        <w:ind w:left="1440" w:hanging="1440"/>
        <w:jc w:val="both"/>
        <w:rPr>
          <w:bCs/>
        </w:rPr>
      </w:pPr>
      <w:r>
        <w:rPr>
          <w:b/>
          <w:bCs/>
        </w:rPr>
        <w:t>Summertree:</w:t>
      </w:r>
      <w:r>
        <w:rPr>
          <w:b/>
          <w:bCs/>
        </w:rPr>
        <w:tab/>
      </w:r>
      <w:r w:rsidR="00F37944" w:rsidRPr="00F37944">
        <w:rPr>
          <w:bCs/>
        </w:rPr>
        <w:t>Agree with Public Counsel.</w:t>
      </w:r>
    </w:p>
    <w:p w:rsidR="00BD27B7" w:rsidRDefault="002A39DC" w:rsidP="00BD27B7">
      <w:pPr>
        <w:spacing w:after="240"/>
        <w:ind w:left="1440" w:hanging="1440"/>
        <w:jc w:val="both"/>
        <w:rPr>
          <w:bCs/>
        </w:rPr>
      </w:pPr>
      <w:r w:rsidRPr="002A39DC">
        <w:rPr>
          <w:b/>
          <w:bCs/>
        </w:rPr>
        <w:t>Staff</w:t>
      </w:r>
      <w:r w:rsidR="00BD27B7">
        <w:rPr>
          <w:b/>
          <w:bCs/>
        </w:rPr>
        <w:t>:</w:t>
      </w:r>
      <w:r w:rsidR="00BD27B7">
        <w:rPr>
          <w:b/>
          <w:bCs/>
        </w:rPr>
        <w:tab/>
      </w:r>
      <w:r w:rsidR="00BD27B7">
        <w:t>Staff takes no position pending evidence adduced at hearing.</w:t>
      </w:r>
    </w:p>
    <w:p w:rsidR="00A74FAA" w:rsidRDefault="00A74FAA" w:rsidP="00BD27B7">
      <w:pPr>
        <w:ind w:left="1440" w:hanging="1440"/>
        <w:jc w:val="both"/>
        <w:rPr>
          <w:b/>
          <w:bCs/>
          <w:u w:val="single"/>
        </w:rPr>
      </w:pPr>
    </w:p>
    <w:p w:rsidR="009C58F5" w:rsidRDefault="009C58F5">
      <w:pPr>
        <w:rPr>
          <w:b/>
          <w:bCs/>
          <w:u w:val="single"/>
        </w:rPr>
      </w:pPr>
      <w:r>
        <w:rPr>
          <w:b/>
          <w:bCs/>
          <w:u w:val="single"/>
        </w:rPr>
        <w:br w:type="page"/>
      </w:r>
    </w:p>
    <w:p w:rsidR="00BD27B7" w:rsidRDefault="00BD27B7" w:rsidP="00BD27B7">
      <w:pPr>
        <w:ind w:left="1440" w:hanging="1440"/>
        <w:jc w:val="both"/>
      </w:pPr>
      <w:r>
        <w:rPr>
          <w:b/>
          <w:bCs/>
          <w:u w:val="single"/>
        </w:rPr>
        <w:lastRenderedPageBreak/>
        <w:t>ISSUE 55</w:t>
      </w:r>
      <w:r>
        <w:rPr>
          <w:b/>
          <w:bCs/>
        </w:rPr>
        <w:t>:</w:t>
      </w:r>
      <w:r>
        <w:tab/>
      </w:r>
      <w:r w:rsidR="00A2397D" w:rsidRPr="00832CD5">
        <w:rPr>
          <w:b/>
        </w:rPr>
        <w:t>Should any adjustments be made to test year amortization of CIAC expense?</w:t>
      </w:r>
    </w:p>
    <w:p w:rsidR="00BD27B7" w:rsidRDefault="00BD27B7" w:rsidP="00BD27B7">
      <w:pPr>
        <w:ind w:left="1440" w:hanging="1440"/>
        <w:jc w:val="both"/>
      </w:pPr>
    </w:p>
    <w:p w:rsidR="00BD27B7" w:rsidRDefault="002A39DC" w:rsidP="00BD27B7">
      <w:pPr>
        <w:ind w:left="1440" w:hanging="1440"/>
        <w:jc w:val="both"/>
      </w:pPr>
      <w:r w:rsidRPr="002A39DC">
        <w:rPr>
          <w:b/>
          <w:bCs/>
        </w:rPr>
        <w:t>POSITIONS</w:t>
      </w:r>
    </w:p>
    <w:p w:rsidR="00BD27B7" w:rsidRDefault="00BD27B7" w:rsidP="00BD27B7">
      <w:pPr>
        <w:ind w:left="1440" w:hanging="1440"/>
        <w:jc w:val="both"/>
      </w:pPr>
    </w:p>
    <w:p w:rsidR="00BD27B7" w:rsidRDefault="002A39DC" w:rsidP="00BD27B7">
      <w:pPr>
        <w:ind w:left="1440" w:hanging="1440"/>
        <w:jc w:val="both"/>
      </w:pPr>
      <w:r w:rsidRPr="002A39DC">
        <w:rPr>
          <w:b/>
          <w:bCs/>
        </w:rPr>
        <w:t>UIF</w:t>
      </w:r>
      <w:r w:rsidR="00BD27B7">
        <w:rPr>
          <w:b/>
          <w:bCs/>
        </w:rPr>
        <w:t>:</w:t>
      </w:r>
      <w:r w:rsidR="00BD27B7">
        <w:tab/>
      </w:r>
      <w:r w:rsidR="0055154E" w:rsidRPr="00857D34">
        <w:t>An audit adjustment $68,031 should be made to the MFRs.</w:t>
      </w:r>
      <w:r w:rsidR="0055154E">
        <w:t xml:space="preserve"> (Swain)</w:t>
      </w:r>
    </w:p>
    <w:p w:rsidR="00BD27B7" w:rsidRDefault="00BD27B7" w:rsidP="00BD27B7">
      <w:pPr>
        <w:ind w:left="1440" w:hanging="1440"/>
        <w:jc w:val="both"/>
      </w:pPr>
    </w:p>
    <w:p w:rsidR="00BD27B7" w:rsidRDefault="002A39DC" w:rsidP="00BD27B7">
      <w:pPr>
        <w:ind w:left="1440" w:hanging="1440"/>
        <w:jc w:val="both"/>
      </w:pPr>
      <w:r w:rsidRPr="002A39DC">
        <w:rPr>
          <w:b/>
          <w:bCs/>
        </w:rPr>
        <w:t>OPC</w:t>
      </w:r>
      <w:r w:rsidR="00BD27B7">
        <w:rPr>
          <w:b/>
          <w:bCs/>
        </w:rPr>
        <w:t>:</w:t>
      </w:r>
      <w:r w:rsidR="00BD27B7">
        <w:tab/>
      </w:r>
      <w:r w:rsidR="0042093A" w:rsidRPr="00B463BF">
        <w:t>Yes, the CIAC amortization expense for the LUSI wastewater system should be increased by $48,890 to remove the Utility’s adjustment for non-used and useful.  (Ramas)</w:t>
      </w:r>
    </w:p>
    <w:p w:rsidR="00BD27B7" w:rsidRDefault="00BD27B7" w:rsidP="00BD27B7">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5A1B2E" w:rsidRPr="005A1B2E">
        <w:rPr>
          <w:bCs/>
        </w:rPr>
        <w:t>Agree with Public Counsel.</w:t>
      </w:r>
    </w:p>
    <w:p w:rsidR="00BD27B7" w:rsidRDefault="002A39DC" w:rsidP="00BD27B7">
      <w:pPr>
        <w:spacing w:after="240"/>
        <w:ind w:left="1440" w:hanging="1440"/>
        <w:jc w:val="both"/>
        <w:rPr>
          <w:bCs/>
        </w:rPr>
      </w:pPr>
      <w:r w:rsidRPr="002A39DC">
        <w:rPr>
          <w:b/>
          <w:bCs/>
        </w:rPr>
        <w:t>Staff</w:t>
      </w:r>
      <w:r w:rsidR="00BD27B7">
        <w:rPr>
          <w:b/>
          <w:bCs/>
        </w:rPr>
        <w:t>:</w:t>
      </w:r>
      <w:r w:rsidR="00BD27B7">
        <w:rPr>
          <w:b/>
          <w:bCs/>
        </w:rPr>
        <w:tab/>
      </w:r>
      <w:r w:rsidR="00A2397D">
        <w:t>Staff takes no position pending evidence adduced at hearing.</w:t>
      </w:r>
    </w:p>
    <w:p w:rsidR="00F73A23" w:rsidRDefault="00F73A23" w:rsidP="00A2397D">
      <w:pPr>
        <w:ind w:left="1440" w:hanging="1440"/>
        <w:jc w:val="both"/>
        <w:rPr>
          <w:b/>
          <w:bCs/>
          <w:u w:val="single"/>
        </w:rPr>
      </w:pPr>
    </w:p>
    <w:p w:rsidR="00A2397D" w:rsidRDefault="00A2397D" w:rsidP="00A2397D">
      <w:pPr>
        <w:ind w:left="1440" w:hanging="1440"/>
        <w:jc w:val="both"/>
      </w:pPr>
      <w:r>
        <w:rPr>
          <w:b/>
          <w:bCs/>
          <w:u w:val="single"/>
        </w:rPr>
        <w:t>ISSUE 56</w:t>
      </w:r>
      <w:r>
        <w:rPr>
          <w:b/>
          <w:bCs/>
        </w:rPr>
        <w:t>:</w:t>
      </w:r>
      <w:r>
        <w:tab/>
      </w:r>
      <w:r>
        <w:rPr>
          <w:b/>
        </w:rPr>
        <w:t>What adjustments, if any, need to be made to net operating income to appropriately reflect the impacts of the abandonment and decommissioning of the Summertree water supply assets?</w:t>
      </w:r>
    </w:p>
    <w:p w:rsidR="00A2397D" w:rsidRDefault="00A2397D" w:rsidP="00A2397D">
      <w:pPr>
        <w:ind w:left="1440" w:hanging="1440"/>
        <w:jc w:val="both"/>
      </w:pPr>
    </w:p>
    <w:p w:rsidR="00A2397D" w:rsidRDefault="002A39DC" w:rsidP="00A2397D">
      <w:pPr>
        <w:ind w:left="1440" w:hanging="1440"/>
        <w:jc w:val="both"/>
      </w:pPr>
      <w:r w:rsidRPr="002A39DC">
        <w:rPr>
          <w:b/>
          <w:bCs/>
        </w:rPr>
        <w:t>POSITIONS</w:t>
      </w:r>
    </w:p>
    <w:p w:rsidR="00A2397D" w:rsidRDefault="00A2397D" w:rsidP="00A2397D">
      <w:pPr>
        <w:ind w:left="1440" w:hanging="1440"/>
        <w:jc w:val="both"/>
      </w:pPr>
    </w:p>
    <w:p w:rsidR="00A2397D" w:rsidRDefault="002A39DC" w:rsidP="00A2397D">
      <w:pPr>
        <w:ind w:left="1440" w:hanging="1440"/>
        <w:jc w:val="both"/>
      </w:pPr>
      <w:r w:rsidRPr="002A39DC">
        <w:rPr>
          <w:b/>
          <w:bCs/>
        </w:rPr>
        <w:t>UIF</w:t>
      </w:r>
      <w:r w:rsidR="00A2397D">
        <w:rPr>
          <w:b/>
          <w:bCs/>
        </w:rPr>
        <w:t>:</w:t>
      </w:r>
      <w:r w:rsidR="00A2397D">
        <w:tab/>
      </w:r>
      <w:r w:rsidR="00575FA0" w:rsidRPr="00857D34">
        <w:t>Adjustment should be made to increase amortization expense $</w:t>
      </w:r>
      <w:r w:rsidR="00575FA0">
        <w:t>262,262</w:t>
      </w:r>
      <w:r w:rsidR="00575FA0" w:rsidRPr="00857D34">
        <w:t>.</w:t>
      </w:r>
      <w:r w:rsidR="00575FA0">
        <w:t xml:space="preserve"> (Swain)</w:t>
      </w:r>
    </w:p>
    <w:p w:rsidR="00A2397D" w:rsidRDefault="00A2397D" w:rsidP="00A2397D">
      <w:pPr>
        <w:ind w:left="1440" w:hanging="1440"/>
        <w:jc w:val="both"/>
      </w:pPr>
    </w:p>
    <w:p w:rsidR="002B5031" w:rsidRPr="00B463BF" w:rsidRDefault="002A39DC" w:rsidP="002B5031">
      <w:pPr>
        <w:ind w:left="1440" w:hanging="1440"/>
        <w:jc w:val="both"/>
      </w:pPr>
      <w:r w:rsidRPr="002A39DC">
        <w:rPr>
          <w:b/>
          <w:bCs/>
        </w:rPr>
        <w:t>OPC</w:t>
      </w:r>
      <w:r w:rsidR="00A2397D">
        <w:rPr>
          <w:b/>
          <w:bCs/>
        </w:rPr>
        <w:t>:</w:t>
      </w:r>
      <w:r w:rsidR="00A2397D">
        <w:tab/>
      </w:r>
      <w:r w:rsidR="002B5031" w:rsidRPr="00B463BF">
        <w:t xml:space="preserve">The following adjustments should be made to properly adjust the test year and utility adjustments such that the retirement of the Summertree assets are properly reflected. </w:t>
      </w:r>
    </w:p>
    <w:p w:rsidR="002B5031" w:rsidRPr="00B463BF" w:rsidRDefault="002B5031" w:rsidP="002B5031">
      <w:pPr>
        <w:spacing w:line="276" w:lineRule="auto"/>
        <w:jc w:val="both"/>
      </w:pPr>
    </w:p>
    <w:bookmarkStart w:id="9" w:name="_MON_1553254722"/>
    <w:bookmarkEnd w:id="9"/>
    <w:p w:rsidR="002B5031" w:rsidRPr="00B463BF" w:rsidRDefault="002B5031" w:rsidP="002B5031">
      <w:pPr>
        <w:spacing w:line="276" w:lineRule="auto"/>
        <w:jc w:val="both"/>
      </w:pPr>
      <w:r w:rsidRPr="00B463BF">
        <w:rPr>
          <w:b/>
        </w:rPr>
        <w:object w:dxaOrig="14253" w:dyaOrig="2053">
          <v:shape id="_x0000_i1044" type="#_x0000_t75" style="width:520pt;height:75pt" o:ole="">
            <v:imagedata r:id="rId48" o:title=""/>
          </v:shape>
          <o:OLEObject Type="Embed" ProgID="Excel.Sheet.12" ShapeID="_x0000_i1044" DrawAspect="Content" ObjectID="_1555246822" r:id="rId49"/>
        </w:object>
      </w:r>
    </w:p>
    <w:p w:rsidR="00357433" w:rsidRPr="00357433" w:rsidRDefault="00357433" w:rsidP="00357433">
      <w:pPr>
        <w:spacing w:after="240"/>
        <w:ind w:left="1440" w:hanging="1440"/>
        <w:jc w:val="both"/>
        <w:rPr>
          <w:bCs/>
        </w:rPr>
      </w:pPr>
      <w:r>
        <w:rPr>
          <w:b/>
          <w:bCs/>
        </w:rPr>
        <w:t>Summertree:</w:t>
      </w:r>
      <w:r>
        <w:rPr>
          <w:b/>
          <w:bCs/>
        </w:rPr>
        <w:tab/>
      </w:r>
      <w:r w:rsidR="005408B7" w:rsidRPr="005408B7">
        <w:rPr>
          <w:bCs/>
        </w:rPr>
        <w:t>The Commission should deny any benefit to UIF accruing from its poor customer service, poor water quality and indeed worse water quality since interconnecting with Pasco County Utilities.</w:t>
      </w:r>
    </w:p>
    <w:p w:rsidR="00A2397D" w:rsidRDefault="002A39DC" w:rsidP="00A2397D">
      <w:pPr>
        <w:spacing w:after="240"/>
        <w:ind w:left="1440" w:hanging="1440"/>
        <w:jc w:val="both"/>
        <w:rPr>
          <w:bCs/>
        </w:rPr>
      </w:pPr>
      <w:r w:rsidRPr="002A39DC">
        <w:rPr>
          <w:b/>
          <w:bCs/>
        </w:rPr>
        <w:t>Staff</w:t>
      </w:r>
      <w:r w:rsidR="00A2397D">
        <w:rPr>
          <w:b/>
          <w:bCs/>
        </w:rPr>
        <w:t>:</w:t>
      </w:r>
      <w:r w:rsidR="00A2397D">
        <w:rPr>
          <w:b/>
          <w:bCs/>
        </w:rPr>
        <w:tab/>
      </w:r>
      <w:r w:rsidR="00A2397D">
        <w:t>Staff takes no position pending evidence adduced at hearing.</w:t>
      </w:r>
    </w:p>
    <w:p w:rsidR="00F73A23" w:rsidRDefault="00F73A23" w:rsidP="00A2397D">
      <w:pPr>
        <w:ind w:left="1440" w:hanging="1440"/>
        <w:jc w:val="both"/>
        <w:rPr>
          <w:b/>
          <w:bCs/>
          <w:u w:val="single"/>
        </w:rPr>
      </w:pPr>
    </w:p>
    <w:p w:rsidR="009C58F5" w:rsidRDefault="009C58F5">
      <w:pPr>
        <w:rPr>
          <w:b/>
          <w:bCs/>
          <w:u w:val="single"/>
        </w:rPr>
      </w:pPr>
      <w:r>
        <w:rPr>
          <w:b/>
          <w:bCs/>
          <w:u w:val="single"/>
        </w:rPr>
        <w:br w:type="page"/>
      </w:r>
    </w:p>
    <w:p w:rsidR="00A2397D" w:rsidRDefault="00A2397D" w:rsidP="00A2397D">
      <w:pPr>
        <w:ind w:left="1440" w:hanging="1440"/>
        <w:jc w:val="both"/>
      </w:pPr>
      <w:r>
        <w:rPr>
          <w:b/>
          <w:bCs/>
          <w:u w:val="single"/>
        </w:rPr>
        <w:lastRenderedPageBreak/>
        <w:t>ISSUE 57</w:t>
      </w:r>
      <w:r>
        <w:rPr>
          <w:b/>
          <w:bCs/>
        </w:rPr>
        <w:t>:</w:t>
      </w:r>
      <w:r>
        <w:tab/>
      </w:r>
      <w:r w:rsidR="005A4642" w:rsidRPr="00832CD5">
        <w:rPr>
          <w:b/>
        </w:rPr>
        <w:t>Did the Company receive any salvage value as a result of decommissioning the Sandalhaven Wastewater Treatment Plant and related assets?  If yes, what adjustment should be made to flow the salvage value received to ratepayers?  If no, has the Company prudently attempted to recover any value from the decommissioned assets on behalf of ratepayers?</w:t>
      </w:r>
    </w:p>
    <w:p w:rsidR="00A2397D" w:rsidRDefault="00A2397D" w:rsidP="00A2397D">
      <w:pPr>
        <w:ind w:left="1440" w:hanging="1440"/>
        <w:jc w:val="both"/>
      </w:pPr>
    </w:p>
    <w:p w:rsidR="00A2397D" w:rsidRDefault="002A39DC" w:rsidP="00A2397D">
      <w:pPr>
        <w:ind w:left="1440" w:hanging="1440"/>
        <w:jc w:val="both"/>
      </w:pPr>
      <w:r w:rsidRPr="002A39DC">
        <w:rPr>
          <w:b/>
          <w:bCs/>
        </w:rPr>
        <w:t>POSITIONS</w:t>
      </w:r>
    </w:p>
    <w:p w:rsidR="00A2397D" w:rsidRDefault="00A2397D" w:rsidP="00A2397D">
      <w:pPr>
        <w:ind w:left="1440" w:hanging="1440"/>
        <w:jc w:val="both"/>
      </w:pPr>
    </w:p>
    <w:p w:rsidR="00A2397D" w:rsidRDefault="002A39DC" w:rsidP="00A2397D">
      <w:pPr>
        <w:ind w:left="1440" w:hanging="1440"/>
        <w:jc w:val="both"/>
      </w:pPr>
      <w:r w:rsidRPr="002A39DC">
        <w:rPr>
          <w:b/>
          <w:bCs/>
        </w:rPr>
        <w:t>UIF</w:t>
      </w:r>
      <w:r w:rsidR="00A2397D">
        <w:rPr>
          <w:b/>
          <w:bCs/>
        </w:rPr>
        <w:t>:</w:t>
      </w:r>
      <w:r w:rsidR="00A2397D">
        <w:tab/>
      </w:r>
      <w:r w:rsidR="000F7ECB" w:rsidRPr="007F372D">
        <w:t>No adjustment is appropriate because no salvage value was received.</w:t>
      </w:r>
      <w:r w:rsidR="000F7ECB">
        <w:t xml:space="preserve"> </w:t>
      </w:r>
      <w:r w:rsidR="000F7ECB" w:rsidRPr="00240A57">
        <w:t>The cost of removal was net of any potential salvage</w:t>
      </w:r>
      <w:r w:rsidR="008A10EA">
        <w:t>.</w:t>
      </w:r>
      <w:r w:rsidR="000F7ECB">
        <w:t xml:space="preserve"> (Flynn)</w:t>
      </w:r>
    </w:p>
    <w:p w:rsidR="00A2397D" w:rsidRDefault="00A2397D" w:rsidP="00A2397D">
      <w:pPr>
        <w:ind w:left="1440" w:hanging="1440"/>
        <w:jc w:val="both"/>
      </w:pPr>
    </w:p>
    <w:p w:rsidR="00A2397D" w:rsidRDefault="002A39DC" w:rsidP="00A2397D">
      <w:pPr>
        <w:ind w:left="1440" w:hanging="1440"/>
        <w:jc w:val="both"/>
      </w:pPr>
      <w:r w:rsidRPr="002A39DC">
        <w:rPr>
          <w:b/>
          <w:bCs/>
        </w:rPr>
        <w:t>OPC</w:t>
      </w:r>
      <w:r w:rsidR="00A2397D">
        <w:rPr>
          <w:b/>
          <w:bCs/>
        </w:rPr>
        <w:t>:</w:t>
      </w:r>
      <w:r w:rsidR="00A2397D">
        <w:tab/>
      </w:r>
      <w:r w:rsidR="00C054FC" w:rsidRPr="00C054FC">
        <w:t>No position.</w:t>
      </w:r>
    </w:p>
    <w:p w:rsidR="00A2397D" w:rsidRDefault="00A2397D" w:rsidP="00A2397D">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5408B7" w:rsidRPr="005408B7">
        <w:rPr>
          <w:bCs/>
        </w:rPr>
        <w:t>Agree with Public Counsel.</w:t>
      </w:r>
    </w:p>
    <w:p w:rsidR="00A2397D" w:rsidRDefault="002A39DC" w:rsidP="00A2397D">
      <w:pPr>
        <w:spacing w:after="240"/>
        <w:ind w:left="1440" w:hanging="1440"/>
        <w:jc w:val="both"/>
        <w:rPr>
          <w:bCs/>
        </w:rPr>
      </w:pPr>
      <w:r w:rsidRPr="002A39DC">
        <w:rPr>
          <w:b/>
          <w:bCs/>
        </w:rPr>
        <w:t>Staff</w:t>
      </w:r>
      <w:r w:rsidR="00A2397D">
        <w:rPr>
          <w:b/>
          <w:bCs/>
        </w:rPr>
        <w:t>:</w:t>
      </w:r>
      <w:r w:rsidR="00A2397D">
        <w:rPr>
          <w:b/>
          <w:bCs/>
        </w:rPr>
        <w:tab/>
      </w:r>
      <w:r w:rsidR="005A4642">
        <w:t>Staff takes no position pending evidence adduced at hearing.</w:t>
      </w:r>
    </w:p>
    <w:p w:rsidR="00F73A23" w:rsidRDefault="00F73A23" w:rsidP="005A4642">
      <w:pPr>
        <w:ind w:left="1440" w:hanging="1440"/>
        <w:jc w:val="both"/>
        <w:rPr>
          <w:b/>
          <w:bCs/>
          <w:u w:val="single"/>
        </w:rPr>
      </w:pPr>
    </w:p>
    <w:p w:rsidR="005A4642" w:rsidRDefault="005A4642" w:rsidP="005A4642">
      <w:pPr>
        <w:ind w:left="1440" w:hanging="1440"/>
        <w:jc w:val="both"/>
      </w:pPr>
      <w:r>
        <w:rPr>
          <w:b/>
          <w:bCs/>
          <w:u w:val="single"/>
        </w:rPr>
        <w:t>ISSUE 58</w:t>
      </w:r>
      <w:r>
        <w:rPr>
          <w:b/>
          <w:bCs/>
        </w:rPr>
        <w:t>:</w:t>
      </w:r>
      <w:r>
        <w:tab/>
      </w:r>
      <w:r w:rsidRPr="00832CD5">
        <w:rPr>
          <w:b/>
        </w:rPr>
        <w:t>Should any adjustments be made to test year taxes other than income expense?</w:t>
      </w:r>
    </w:p>
    <w:p w:rsidR="005A4642" w:rsidRDefault="005A4642" w:rsidP="005A4642">
      <w:pPr>
        <w:ind w:left="1440" w:hanging="1440"/>
        <w:jc w:val="both"/>
      </w:pPr>
    </w:p>
    <w:p w:rsidR="005A4642" w:rsidRDefault="002A39DC" w:rsidP="005A4642">
      <w:pPr>
        <w:ind w:left="1440" w:hanging="1440"/>
        <w:jc w:val="both"/>
      </w:pPr>
      <w:r w:rsidRPr="002A39DC">
        <w:rPr>
          <w:b/>
          <w:bCs/>
        </w:rPr>
        <w:t>POSITIONS</w:t>
      </w:r>
    </w:p>
    <w:p w:rsidR="005A4642" w:rsidRDefault="005A4642" w:rsidP="005A4642">
      <w:pPr>
        <w:ind w:left="1440" w:hanging="1440"/>
        <w:jc w:val="both"/>
      </w:pPr>
    </w:p>
    <w:p w:rsidR="005A4642" w:rsidRDefault="002A39DC" w:rsidP="005A4642">
      <w:pPr>
        <w:ind w:left="1440" w:hanging="1440"/>
        <w:jc w:val="both"/>
      </w:pPr>
      <w:r w:rsidRPr="002A39DC">
        <w:rPr>
          <w:b/>
          <w:bCs/>
        </w:rPr>
        <w:t>UIF</w:t>
      </w:r>
      <w:r w:rsidR="005A4642">
        <w:rPr>
          <w:b/>
          <w:bCs/>
        </w:rPr>
        <w:t>:</w:t>
      </w:r>
      <w:r w:rsidR="005A4642">
        <w:tab/>
      </w:r>
      <w:r w:rsidR="00B95175" w:rsidRPr="00C437E0">
        <w:t xml:space="preserve">An </w:t>
      </w:r>
      <w:r w:rsidR="00B95175">
        <w:t xml:space="preserve">increase of </w:t>
      </w:r>
      <w:r w:rsidR="00B95175" w:rsidRPr="00C437E0">
        <w:t>$13,809 for Gross Receipts Tax.</w:t>
      </w:r>
    </w:p>
    <w:p w:rsidR="005A4642" w:rsidRDefault="005A4642" w:rsidP="005A4642">
      <w:pPr>
        <w:ind w:left="1440" w:hanging="1440"/>
        <w:jc w:val="both"/>
      </w:pPr>
    </w:p>
    <w:p w:rsidR="005A4642" w:rsidRDefault="002A39DC" w:rsidP="005A4642">
      <w:pPr>
        <w:ind w:left="1440" w:hanging="1440"/>
        <w:jc w:val="both"/>
      </w:pPr>
      <w:r w:rsidRPr="002A39DC">
        <w:rPr>
          <w:b/>
          <w:bCs/>
        </w:rPr>
        <w:t>OPC</w:t>
      </w:r>
      <w:r w:rsidR="005A4642">
        <w:rPr>
          <w:b/>
          <w:bCs/>
        </w:rPr>
        <w:t>:</w:t>
      </w:r>
      <w:r w:rsidR="005A4642">
        <w:tab/>
      </w:r>
      <w:r w:rsidR="009F2D4F" w:rsidRPr="00B463BF">
        <w:t>Yes, the following adjustments to taxes other than income should be made to reflect the impact on property taxes from the recommended adjustments to plant balances and the impact of recommended adjustments to wages and salaries expense.  (Ramas)</w:t>
      </w:r>
    </w:p>
    <w:p w:rsidR="00DD6BCC" w:rsidRDefault="00ED0F0A" w:rsidP="00DD6BCC">
      <w:pPr>
        <w:ind w:left="1440" w:hanging="1440"/>
        <w:jc w:val="center"/>
      </w:pPr>
      <w:r w:rsidRPr="00B463BF">
        <w:rPr>
          <w:b/>
        </w:rPr>
        <w:object w:dxaOrig="6324" w:dyaOrig="5551">
          <v:shape id="_x0000_i1045" type="#_x0000_t75" style="width:253pt;height:221pt" o:ole="">
            <v:imagedata r:id="rId50" o:title=""/>
          </v:shape>
          <o:OLEObject Type="Embed" ProgID="Excel.Sheet.12" ShapeID="_x0000_i1045" DrawAspect="Content" ObjectID="_1555246823" r:id="rId51"/>
        </w:object>
      </w:r>
    </w:p>
    <w:p w:rsidR="005A4642" w:rsidRDefault="005A4642" w:rsidP="005A4642">
      <w:pPr>
        <w:ind w:left="1440" w:hanging="1440"/>
        <w:jc w:val="both"/>
      </w:pPr>
    </w:p>
    <w:p w:rsidR="00357433" w:rsidRPr="00357433" w:rsidRDefault="00357433" w:rsidP="00357433">
      <w:pPr>
        <w:spacing w:after="240"/>
        <w:ind w:left="1440" w:hanging="1440"/>
        <w:jc w:val="both"/>
        <w:rPr>
          <w:bCs/>
        </w:rPr>
      </w:pPr>
      <w:r>
        <w:rPr>
          <w:b/>
          <w:bCs/>
        </w:rPr>
        <w:t>Summertree:</w:t>
      </w:r>
      <w:r>
        <w:rPr>
          <w:b/>
          <w:bCs/>
        </w:rPr>
        <w:tab/>
      </w:r>
      <w:r w:rsidR="005408B7" w:rsidRPr="005408B7">
        <w:rPr>
          <w:bCs/>
        </w:rPr>
        <w:t>Agree with Public Counsel.</w:t>
      </w:r>
    </w:p>
    <w:p w:rsidR="005A4642" w:rsidRDefault="002A39DC" w:rsidP="005A4642">
      <w:pPr>
        <w:spacing w:after="240"/>
        <w:ind w:left="1440" w:hanging="1440"/>
        <w:jc w:val="both"/>
        <w:rPr>
          <w:bCs/>
        </w:rPr>
      </w:pPr>
      <w:r w:rsidRPr="002A39DC">
        <w:rPr>
          <w:b/>
          <w:bCs/>
        </w:rPr>
        <w:t>Staff</w:t>
      </w:r>
      <w:r w:rsidR="005A4642">
        <w:rPr>
          <w:b/>
          <w:bCs/>
        </w:rPr>
        <w:t>:</w:t>
      </w:r>
      <w:r w:rsidR="005A4642">
        <w:rPr>
          <w:b/>
          <w:bCs/>
        </w:rPr>
        <w:tab/>
      </w:r>
      <w:r w:rsidR="005A4642">
        <w:t>Staff takes no position pending evidence adduced at hearing.</w:t>
      </w:r>
    </w:p>
    <w:p w:rsidR="005A4642" w:rsidRPr="00832CD5" w:rsidRDefault="005A4642" w:rsidP="005A4642">
      <w:pPr>
        <w:spacing w:after="240"/>
        <w:jc w:val="center"/>
        <w:rPr>
          <w:b/>
          <w:u w:val="single"/>
        </w:rPr>
      </w:pPr>
      <w:r w:rsidRPr="00832CD5">
        <w:rPr>
          <w:b/>
          <w:u w:val="single"/>
        </w:rPr>
        <w:t>Revenue Requirement</w:t>
      </w:r>
    </w:p>
    <w:p w:rsidR="005A4642" w:rsidRDefault="005A4642" w:rsidP="005A4642">
      <w:pPr>
        <w:ind w:left="1440" w:hanging="1440"/>
        <w:jc w:val="both"/>
      </w:pPr>
      <w:r>
        <w:rPr>
          <w:b/>
          <w:bCs/>
          <w:u w:val="single"/>
        </w:rPr>
        <w:t>ISSUE 59</w:t>
      </w:r>
      <w:r>
        <w:rPr>
          <w:b/>
          <w:bCs/>
        </w:rPr>
        <w:t>:</w:t>
      </w:r>
      <w:r>
        <w:tab/>
      </w:r>
      <w:r w:rsidRPr="00832CD5">
        <w:rPr>
          <w:b/>
        </w:rPr>
        <w:t>What is the appropriate revenue requirement for the adjusted December 31, 2015 test year?</w:t>
      </w:r>
    </w:p>
    <w:p w:rsidR="005A4642" w:rsidRDefault="005A4642" w:rsidP="005A4642">
      <w:pPr>
        <w:ind w:left="1440" w:hanging="1440"/>
        <w:jc w:val="both"/>
      </w:pPr>
    </w:p>
    <w:p w:rsidR="005A4642" w:rsidRDefault="002A39DC" w:rsidP="005A4642">
      <w:pPr>
        <w:ind w:left="1440" w:hanging="1440"/>
        <w:jc w:val="both"/>
      </w:pPr>
      <w:r w:rsidRPr="002A39DC">
        <w:rPr>
          <w:b/>
          <w:bCs/>
        </w:rPr>
        <w:t>POSITIONS</w:t>
      </w:r>
    </w:p>
    <w:p w:rsidR="005A4642" w:rsidRDefault="005A4642" w:rsidP="005A4642">
      <w:pPr>
        <w:ind w:left="1440" w:hanging="1440"/>
        <w:jc w:val="both"/>
      </w:pPr>
    </w:p>
    <w:p w:rsidR="005A4642" w:rsidRDefault="002A39DC" w:rsidP="005A4642">
      <w:pPr>
        <w:ind w:left="1440" w:hanging="1440"/>
        <w:jc w:val="both"/>
      </w:pPr>
      <w:r w:rsidRPr="002A39DC">
        <w:rPr>
          <w:b/>
          <w:bCs/>
        </w:rPr>
        <w:t>UIF</w:t>
      </w:r>
      <w:r w:rsidR="005A4642">
        <w:rPr>
          <w:b/>
          <w:bCs/>
        </w:rPr>
        <w:t>:</w:t>
      </w:r>
      <w:r w:rsidR="005A4642">
        <w:tab/>
      </w:r>
      <w:r w:rsidR="00C667E3" w:rsidRPr="000119E3">
        <w:t xml:space="preserve">$ </w:t>
      </w:r>
      <w:r w:rsidR="00C667E3" w:rsidRPr="00E73EDE">
        <w:t>36,916,618</w:t>
      </w:r>
      <w:r w:rsidR="00C667E3">
        <w:t>.</w:t>
      </w:r>
    </w:p>
    <w:p w:rsidR="005A4642" w:rsidRDefault="005A4642" w:rsidP="005A4642">
      <w:pPr>
        <w:ind w:left="1440" w:hanging="1440"/>
        <w:jc w:val="both"/>
      </w:pPr>
    </w:p>
    <w:p w:rsidR="00DD6BCC" w:rsidRDefault="002A39DC" w:rsidP="00DD6BCC">
      <w:pPr>
        <w:ind w:left="1440" w:hanging="1440"/>
        <w:jc w:val="both"/>
        <w:rPr>
          <w:bCs/>
        </w:rPr>
      </w:pPr>
      <w:r w:rsidRPr="002A39DC">
        <w:rPr>
          <w:b/>
          <w:bCs/>
        </w:rPr>
        <w:t>OPC</w:t>
      </w:r>
      <w:r w:rsidR="005A4642">
        <w:rPr>
          <w:b/>
          <w:bCs/>
        </w:rPr>
        <w:t>:</w:t>
      </w:r>
      <w:r w:rsidR="005A4642">
        <w:tab/>
      </w:r>
      <w:r w:rsidR="00DD6BCC" w:rsidRPr="00B463BF">
        <w:rPr>
          <w:bCs/>
        </w:rPr>
        <w:t>After appropriate adjustments, subject to the corporate income tax rate remaining at 35% (see OPC position on Issue 1), the revenue increase should be less than $2,487,637 for a maximum revenue requirement of $31,767,525. The table below is based on adjustments quantified as of the date OPC’s testimony was filed in this case and does not include additional appropriate adjustments or the impacts of bonus depreciation on the pro forma adjusted wastewater plant additions on the ADIT balance in the capital structure, which will further reduce the revenue requirements.   (Ramas)</w:t>
      </w:r>
    </w:p>
    <w:p w:rsidR="00631D61" w:rsidRPr="00B463BF" w:rsidRDefault="00631D61" w:rsidP="00DD6BCC">
      <w:pPr>
        <w:ind w:left="1440" w:hanging="1440"/>
        <w:jc w:val="both"/>
        <w:rPr>
          <w:bCs/>
        </w:rPr>
      </w:pPr>
    </w:p>
    <w:p w:rsidR="005A4642" w:rsidRDefault="00E950C7" w:rsidP="00DD6BCC">
      <w:pPr>
        <w:ind w:left="1440" w:hanging="1440"/>
        <w:jc w:val="center"/>
      </w:pPr>
      <w:r w:rsidRPr="00B463BF">
        <w:rPr>
          <w:bCs/>
        </w:rPr>
        <w:object w:dxaOrig="4898" w:dyaOrig="8114">
          <v:shape id="_x0000_i1046" type="#_x0000_t75" style="width:170pt;height:284.5pt" o:ole="">
            <v:imagedata r:id="rId52" o:title=""/>
          </v:shape>
          <o:OLEObject Type="Embed" ProgID="Excel.Sheet.12" ShapeID="_x0000_i1046" DrawAspect="Content" ObjectID="_1555246824" r:id="rId53"/>
        </w:object>
      </w:r>
    </w:p>
    <w:p w:rsidR="005A4642" w:rsidRDefault="005A4642" w:rsidP="005A4642">
      <w:pPr>
        <w:ind w:left="1440" w:hanging="1440"/>
        <w:jc w:val="both"/>
      </w:pPr>
    </w:p>
    <w:p w:rsidR="008C4455" w:rsidRPr="00357433" w:rsidRDefault="008C4455" w:rsidP="008C4455">
      <w:pPr>
        <w:spacing w:after="240"/>
        <w:ind w:left="1440" w:hanging="1440"/>
        <w:jc w:val="both"/>
        <w:rPr>
          <w:bCs/>
        </w:rPr>
      </w:pPr>
      <w:r>
        <w:rPr>
          <w:b/>
          <w:bCs/>
        </w:rPr>
        <w:lastRenderedPageBreak/>
        <w:t>Summertree:</w:t>
      </w:r>
      <w:r>
        <w:rPr>
          <w:b/>
          <w:bCs/>
        </w:rPr>
        <w:tab/>
      </w:r>
      <w:r w:rsidR="005408B7" w:rsidRPr="005408B7">
        <w:rPr>
          <w:bCs/>
        </w:rPr>
        <w:t>Agree with Public Counsel except further adjustments required to reflect total 400 basis point reduction to authorized return on equity (300 basis point adjustment for equity risk and deficient management and 100 basis point reduction for unsatisfactory service).</w:t>
      </w:r>
    </w:p>
    <w:p w:rsidR="005A4642" w:rsidRDefault="002A39DC" w:rsidP="005A4642">
      <w:pPr>
        <w:spacing w:after="240"/>
        <w:ind w:left="1440" w:hanging="1440"/>
        <w:jc w:val="both"/>
        <w:rPr>
          <w:bCs/>
        </w:rPr>
      </w:pPr>
      <w:r w:rsidRPr="002A39DC">
        <w:rPr>
          <w:b/>
          <w:bCs/>
        </w:rPr>
        <w:t>Staff</w:t>
      </w:r>
      <w:r w:rsidR="005A4642">
        <w:rPr>
          <w:b/>
          <w:bCs/>
        </w:rPr>
        <w:t>:</w:t>
      </w:r>
      <w:r w:rsidR="005A4642">
        <w:rPr>
          <w:b/>
          <w:bCs/>
        </w:rPr>
        <w:tab/>
      </w:r>
      <w:r w:rsidR="00A40595">
        <w:t>Staff takes no position pending evidence adduced at hearing.</w:t>
      </w:r>
    </w:p>
    <w:p w:rsidR="00F73A23" w:rsidRDefault="00F73A23" w:rsidP="005A4642">
      <w:pPr>
        <w:ind w:left="1440" w:hanging="1440"/>
        <w:jc w:val="both"/>
        <w:rPr>
          <w:b/>
          <w:spacing w:val="-8"/>
          <w:u w:val="single"/>
        </w:rPr>
      </w:pPr>
    </w:p>
    <w:p w:rsidR="005A4642" w:rsidRDefault="005A4642" w:rsidP="005A4642">
      <w:pPr>
        <w:ind w:left="1440" w:hanging="1440"/>
        <w:jc w:val="both"/>
      </w:pPr>
      <w:r>
        <w:rPr>
          <w:b/>
          <w:bCs/>
          <w:u w:val="single"/>
        </w:rPr>
        <w:t>ISSUE 60</w:t>
      </w:r>
      <w:r>
        <w:rPr>
          <w:b/>
          <w:bCs/>
        </w:rPr>
        <w:t>:</w:t>
      </w:r>
      <w:r>
        <w:tab/>
      </w:r>
      <w:r w:rsidRPr="00832CD5">
        <w:rPr>
          <w:b/>
        </w:rPr>
        <w:t>What, if any, limits should be imposed on subsidy values that could result if stand-alone rates are converted to a consolidated rate structure for the water and wastewater systems?</w:t>
      </w:r>
    </w:p>
    <w:p w:rsidR="005A4642" w:rsidRDefault="005A4642" w:rsidP="005A4642">
      <w:pPr>
        <w:ind w:left="1440" w:hanging="1440"/>
        <w:jc w:val="both"/>
      </w:pPr>
    </w:p>
    <w:p w:rsidR="005A4642" w:rsidRDefault="002A39DC" w:rsidP="005A4642">
      <w:pPr>
        <w:ind w:left="1440" w:hanging="1440"/>
        <w:jc w:val="both"/>
      </w:pPr>
      <w:r w:rsidRPr="002A39DC">
        <w:rPr>
          <w:b/>
          <w:bCs/>
        </w:rPr>
        <w:t>POSITIONS</w:t>
      </w:r>
    </w:p>
    <w:p w:rsidR="005A4642" w:rsidRDefault="005A4642" w:rsidP="005A4642">
      <w:pPr>
        <w:ind w:left="1440" w:hanging="1440"/>
        <w:jc w:val="both"/>
      </w:pPr>
    </w:p>
    <w:p w:rsidR="005A4642" w:rsidRDefault="002A39DC" w:rsidP="005A4642">
      <w:pPr>
        <w:ind w:left="1440" w:hanging="1440"/>
        <w:jc w:val="both"/>
      </w:pPr>
      <w:r w:rsidRPr="002A39DC">
        <w:rPr>
          <w:b/>
          <w:bCs/>
        </w:rPr>
        <w:t>UIF</w:t>
      </w:r>
      <w:r w:rsidR="005A4642">
        <w:rPr>
          <w:b/>
          <w:bCs/>
        </w:rPr>
        <w:t>:</w:t>
      </w:r>
      <w:r w:rsidR="005A4642">
        <w:tab/>
      </w:r>
      <w:r w:rsidR="005C5EA3">
        <w:t>None.</w:t>
      </w:r>
    </w:p>
    <w:p w:rsidR="005A4642" w:rsidRDefault="005A4642" w:rsidP="005A4642">
      <w:pPr>
        <w:ind w:left="1440" w:hanging="1440"/>
        <w:jc w:val="both"/>
      </w:pPr>
    </w:p>
    <w:p w:rsidR="005A4642" w:rsidRDefault="002A39DC" w:rsidP="005A4642">
      <w:pPr>
        <w:ind w:left="1440" w:hanging="1440"/>
        <w:jc w:val="both"/>
      </w:pPr>
      <w:r w:rsidRPr="002A39DC">
        <w:rPr>
          <w:b/>
          <w:bCs/>
        </w:rPr>
        <w:t>OPC</w:t>
      </w:r>
      <w:r w:rsidR="005A4642">
        <w:rPr>
          <w:b/>
          <w:bCs/>
        </w:rPr>
        <w:t>:</w:t>
      </w:r>
      <w:r w:rsidR="005A4642">
        <w:tab/>
      </w:r>
      <w:r w:rsidR="00DD212A" w:rsidRPr="00DD212A">
        <w:t>Policy position.  When considering the decision whether to consolidate rates into statewide uniform rates, it is important to the customers to know the subsidy values if stand-alone rates are consolidated.  Determining the appropriate subsidy value, if any, is an important policy issue for the Commission to decide because it will directly impact every UIF customer by either increasing or decreasing their rates.  The OPC takes no position on the specific design of UIF’s rates and charges; however, in total, the rates and charges should be designed to allow UIF an opportunity to recover no more than the revenue requirement established by this Commission at the time rates go into effect.</w:t>
      </w:r>
    </w:p>
    <w:p w:rsidR="005A4642" w:rsidRDefault="005A4642" w:rsidP="005A4642">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31447E">
        <w:rPr>
          <w:bCs/>
        </w:rPr>
        <w:t>No position</w:t>
      </w:r>
      <w:r w:rsidR="005408B7" w:rsidRPr="005408B7">
        <w:rPr>
          <w:bCs/>
        </w:rPr>
        <w:t>.</w:t>
      </w:r>
    </w:p>
    <w:p w:rsidR="005A4642" w:rsidRDefault="002A39DC" w:rsidP="005A4642">
      <w:pPr>
        <w:spacing w:after="240"/>
        <w:ind w:left="1440" w:hanging="1440"/>
        <w:jc w:val="both"/>
        <w:rPr>
          <w:bCs/>
        </w:rPr>
      </w:pPr>
      <w:r w:rsidRPr="002A39DC">
        <w:rPr>
          <w:b/>
          <w:bCs/>
        </w:rPr>
        <w:t>Staff</w:t>
      </w:r>
      <w:r w:rsidR="005A4642">
        <w:rPr>
          <w:b/>
          <w:bCs/>
        </w:rPr>
        <w:t>:</w:t>
      </w:r>
      <w:r w:rsidR="005A4642">
        <w:rPr>
          <w:b/>
          <w:bCs/>
        </w:rPr>
        <w:tab/>
      </w:r>
      <w:r w:rsidR="005A4642">
        <w:t>Staff takes no position pending evidence adduced at hearing.</w:t>
      </w:r>
    </w:p>
    <w:p w:rsidR="00F73A23" w:rsidRDefault="00F73A23" w:rsidP="005A4642">
      <w:pPr>
        <w:ind w:left="1440" w:hanging="1440"/>
        <w:jc w:val="both"/>
        <w:rPr>
          <w:b/>
          <w:bCs/>
          <w:u w:val="single"/>
        </w:rPr>
      </w:pPr>
    </w:p>
    <w:p w:rsidR="005A4642" w:rsidRDefault="005A4642" w:rsidP="005A4642">
      <w:pPr>
        <w:ind w:left="1440" w:hanging="1440"/>
        <w:jc w:val="both"/>
      </w:pPr>
      <w:r>
        <w:rPr>
          <w:b/>
          <w:bCs/>
          <w:u w:val="single"/>
        </w:rPr>
        <w:t>ISSUE 61</w:t>
      </w:r>
      <w:r>
        <w:rPr>
          <w:b/>
          <w:bCs/>
        </w:rPr>
        <w:t>:</w:t>
      </w:r>
      <w:r>
        <w:tab/>
      </w:r>
      <w:r w:rsidRPr="00832CD5">
        <w:rPr>
          <w:b/>
        </w:rPr>
        <w:t>Which water systems, if any, should be consolidated into a single rate structure?</w:t>
      </w:r>
    </w:p>
    <w:p w:rsidR="005A4642" w:rsidRDefault="005A4642" w:rsidP="005A4642">
      <w:pPr>
        <w:ind w:left="1440" w:hanging="1440"/>
        <w:jc w:val="both"/>
      </w:pPr>
    </w:p>
    <w:p w:rsidR="005A4642" w:rsidRDefault="002A39DC" w:rsidP="005A4642">
      <w:pPr>
        <w:ind w:left="1440" w:hanging="1440"/>
        <w:jc w:val="both"/>
      </w:pPr>
      <w:r w:rsidRPr="002A39DC">
        <w:rPr>
          <w:b/>
          <w:bCs/>
        </w:rPr>
        <w:t>POSITIONS</w:t>
      </w:r>
    </w:p>
    <w:p w:rsidR="005A4642" w:rsidRDefault="005A4642" w:rsidP="005A4642">
      <w:pPr>
        <w:ind w:left="1440" w:hanging="1440"/>
        <w:jc w:val="both"/>
      </w:pPr>
    </w:p>
    <w:p w:rsidR="005A4642" w:rsidRDefault="002A39DC" w:rsidP="005A4642">
      <w:pPr>
        <w:ind w:left="1440" w:hanging="1440"/>
        <w:jc w:val="both"/>
      </w:pPr>
      <w:r w:rsidRPr="002A39DC">
        <w:rPr>
          <w:b/>
          <w:bCs/>
        </w:rPr>
        <w:t>UIF</w:t>
      </w:r>
      <w:r w:rsidR="005A4642">
        <w:rPr>
          <w:b/>
          <w:bCs/>
        </w:rPr>
        <w:t>:</w:t>
      </w:r>
      <w:r w:rsidR="005A4642">
        <w:tab/>
      </w:r>
      <w:r w:rsidR="00C667E3" w:rsidRPr="008157A2">
        <w:t>The rates for all water systems should reflect consolidated single tariff pricing.</w:t>
      </w:r>
      <w:r w:rsidR="00C667E3">
        <w:t xml:space="preserve"> (Guastella)</w:t>
      </w:r>
    </w:p>
    <w:p w:rsidR="005A4642" w:rsidRDefault="005A4642" w:rsidP="005A4642">
      <w:pPr>
        <w:ind w:left="1440" w:hanging="1440"/>
        <w:jc w:val="both"/>
      </w:pPr>
    </w:p>
    <w:p w:rsidR="005A4642" w:rsidRDefault="002A39DC" w:rsidP="005A4642">
      <w:pPr>
        <w:ind w:left="1440" w:hanging="1440"/>
        <w:jc w:val="both"/>
      </w:pPr>
      <w:r w:rsidRPr="002A39DC">
        <w:rPr>
          <w:b/>
          <w:bCs/>
        </w:rPr>
        <w:t>OPC</w:t>
      </w:r>
      <w:r w:rsidR="005A4642">
        <w:rPr>
          <w:b/>
          <w:bCs/>
        </w:rPr>
        <w:t>:</w:t>
      </w:r>
      <w:r w:rsidR="005A4642">
        <w:tab/>
      </w:r>
      <w:r w:rsidR="006D5653" w:rsidRPr="00B463BF">
        <w:t xml:space="preserve">No </w:t>
      </w:r>
      <w:r w:rsidR="0061096A">
        <w:t>p</w:t>
      </w:r>
      <w:r w:rsidR="006D5653" w:rsidRPr="00B463BF">
        <w:t>osition.</w:t>
      </w:r>
    </w:p>
    <w:p w:rsidR="005A4642" w:rsidRDefault="005A4642" w:rsidP="005A4642">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31447E">
        <w:rPr>
          <w:bCs/>
        </w:rPr>
        <w:t>No position</w:t>
      </w:r>
      <w:r w:rsidR="0031447E" w:rsidRPr="005408B7">
        <w:rPr>
          <w:bCs/>
        </w:rPr>
        <w:t>.</w:t>
      </w:r>
    </w:p>
    <w:p w:rsidR="005A4642" w:rsidRDefault="002A39DC" w:rsidP="005A4642">
      <w:pPr>
        <w:spacing w:after="240"/>
        <w:ind w:left="1440" w:hanging="1440"/>
        <w:jc w:val="both"/>
        <w:rPr>
          <w:bCs/>
        </w:rPr>
      </w:pPr>
      <w:r w:rsidRPr="002A39DC">
        <w:rPr>
          <w:b/>
          <w:bCs/>
        </w:rPr>
        <w:t>Staff</w:t>
      </w:r>
      <w:r w:rsidR="005A4642">
        <w:rPr>
          <w:b/>
          <w:bCs/>
        </w:rPr>
        <w:t>:</w:t>
      </w:r>
      <w:r w:rsidR="005A4642">
        <w:rPr>
          <w:b/>
          <w:bCs/>
        </w:rPr>
        <w:tab/>
      </w:r>
      <w:r w:rsidR="005A4642">
        <w:t>Staff takes no position pending evidence adduced at hearing.</w:t>
      </w:r>
    </w:p>
    <w:p w:rsidR="00F73A23" w:rsidRDefault="00F73A23" w:rsidP="005A4642">
      <w:pPr>
        <w:ind w:left="1440" w:hanging="1440"/>
        <w:jc w:val="both"/>
        <w:rPr>
          <w:b/>
          <w:bCs/>
          <w:u w:val="single"/>
        </w:rPr>
      </w:pPr>
    </w:p>
    <w:p w:rsidR="005A4642" w:rsidRDefault="005A4642" w:rsidP="005A4642">
      <w:pPr>
        <w:ind w:left="1440" w:hanging="1440"/>
        <w:jc w:val="both"/>
      </w:pPr>
      <w:r>
        <w:rPr>
          <w:b/>
          <w:bCs/>
          <w:u w:val="single"/>
        </w:rPr>
        <w:lastRenderedPageBreak/>
        <w:t>ISSUE 62</w:t>
      </w:r>
      <w:r>
        <w:rPr>
          <w:b/>
          <w:bCs/>
        </w:rPr>
        <w:t>:</w:t>
      </w:r>
      <w:r>
        <w:tab/>
      </w:r>
      <w:r w:rsidRPr="00832CD5">
        <w:rPr>
          <w:b/>
        </w:rPr>
        <w:t xml:space="preserve">What are </w:t>
      </w:r>
      <w:r w:rsidRPr="009276D3">
        <w:rPr>
          <w:b/>
        </w:rPr>
        <w:t>the</w:t>
      </w:r>
      <w:r w:rsidRPr="00832CD5">
        <w:rPr>
          <w:b/>
        </w:rPr>
        <w:t xml:space="preserve"> appropriate rate structures and rates for the water systems?</w:t>
      </w:r>
    </w:p>
    <w:p w:rsidR="005A4642" w:rsidRDefault="005A4642" w:rsidP="005A4642">
      <w:pPr>
        <w:ind w:left="1440" w:hanging="1440"/>
        <w:jc w:val="both"/>
      </w:pPr>
    </w:p>
    <w:p w:rsidR="005A4642" w:rsidRDefault="002A39DC" w:rsidP="005A4642">
      <w:pPr>
        <w:ind w:left="1440" w:hanging="1440"/>
        <w:jc w:val="both"/>
      </w:pPr>
      <w:r w:rsidRPr="002A39DC">
        <w:rPr>
          <w:b/>
          <w:bCs/>
        </w:rPr>
        <w:t>POSITIONS</w:t>
      </w:r>
    </w:p>
    <w:p w:rsidR="005A4642" w:rsidRDefault="005A4642" w:rsidP="005A4642">
      <w:pPr>
        <w:ind w:left="1440" w:hanging="1440"/>
        <w:jc w:val="both"/>
      </w:pPr>
    </w:p>
    <w:p w:rsidR="005A4642" w:rsidRDefault="002A39DC" w:rsidP="005A4642">
      <w:pPr>
        <w:ind w:left="1440" w:hanging="1440"/>
        <w:jc w:val="both"/>
      </w:pPr>
      <w:r w:rsidRPr="002A39DC">
        <w:rPr>
          <w:b/>
          <w:bCs/>
        </w:rPr>
        <w:t>UIF</w:t>
      </w:r>
      <w:r w:rsidR="005A4642">
        <w:rPr>
          <w:b/>
          <w:bCs/>
        </w:rPr>
        <w:t>:</w:t>
      </w:r>
      <w:r w:rsidR="005A4642">
        <w:tab/>
      </w:r>
      <w:r w:rsidR="00C667E3" w:rsidRPr="000C2823">
        <w:t>The proposed rate structure containing the Base Facility Charges and Usage rate tiers should reflect consolidated single tariff pricing for all water systems.</w:t>
      </w:r>
      <w:r w:rsidR="00C667E3">
        <w:t xml:space="preserve"> </w:t>
      </w:r>
      <w:r w:rsidR="00C667E3" w:rsidRPr="00CC1AFD">
        <w:t>(Guastella)</w:t>
      </w:r>
    </w:p>
    <w:p w:rsidR="005A4642" w:rsidRDefault="005A4642" w:rsidP="005A4642">
      <w:pPr>
        <w:ind w:left="1440" w:hanging="1440"/>
        <w:jc w:val="both"/>
      </w:pPr>
    </w:p>
    <w:p w:rsidR="005A4642" w:rsidRDefault="002A39DC" w:rsidP="005A4642">
      <w:pPr>
        <w:ind w:left="1440" w:hanging="1440"/>
        <w:jc w:val="both"/>
      </w:pPr>
      <w:r w:rsidRPr="002A39DC">
        <w:rPr>
          <w:b/>
          <w:bCs/>
        </w:rPr>
        <w:t>OPC</w:t>
      </w:r>
      <w:r w:rsidR="005A4642">
        <w:rPr>
          <w:b/>
          <w:bCs/>
        </w:rPr>
        <w:t>:</w:t>
      </w:r>
      <w:r w:rsidR="005A4642">
        <w:tab/>
      </w:r>
      <w:r w:rsidR="006D5653" w:rsidRPr="00B463BF">
        <w:t xml:space="preserve">No </w:t>
      </w:r>
      <w:r w:rsidR="0061096A">
        <w:t>p</w:t>
      </w:r>
      <w:r w:rsidR="006D5653" w:rsidRPr="00B463BF">
        <w:t>osition.</w:t>
      </w:r>
    </w:p>
    <w:p w:rsidR="005A4642" w:rsidRDefault="005A4642" w:rsidP="005A4642">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421C54" w:rsidRPr="00421C54">
        <w:t>The Commission is obligated to set rates which are fair, just and reasonable; not only to the utility but the customers. UIF should not receive any consumption repression adjustment as UIF has failed to meet its burden to justify such an adjustment. UIF has imposed many rate increases upon its customers in the past but in this proceeding failed to present any analysis to show the impact of such past increases on customer consumption (which study would have had to take into account factors such as weather, consumer implementation of water conservation techniques and other factors unrelated to price which may have affected consumption). No repression adjustment has been justified.</w:t>
      </w:r>
    </w:p>
    <w:p w:rsidR="005A4642" w:rsidRDefault="002A39DC" w:rsidP="005A4642">
      <w:pPr>
        <w:spacing w:after="240"/>
        <w:ind w:left="1440" w:hanging="1440"/>
        <w:jc w:val="both"/>
        <w:rPr>
          <w:bCs/>
        </w:rPr>
      </w:pPr>
      <w:r w:rsidRPr="002A39DC">
        <w:rPr>
          <w:b/>
          <w:bCs/>
        </w:rPr>
        <w:t>Staff</w:t>
      </w:r>
      <w:r w:rsidR="005A4642">
        <w:rPr>
          <w:b/>
          <w:bCs/>
        </w:rPr>
        <w:t>:</w:t>
      </w:r>
      <w:r w:rsidR="005A4642">
        <w:rPr>
          <w:b/>
          <w:bCs/>
        </w:rPr>
        <w:tab/>
      </w:r>
      <w:r w:rsidR="005A4642">
        <w:t>Staff takes no position pending evidence adduced at hearing.</w:t>
      </w:r>
    </w:p>
    <w:p w:rsidR="00F73A23" w:rsidRDefault="00F73A23" w:rsidP="00213E56">
      <w:pPr>
        <w:ind w:left="1440" w:hanging="1440"/>
        <w:jc w:val="both"/>
        <w:rPr>
          <w:b/>
          <w:bCs/>
          <w:u w:val="single"/>
        </w:rPr>
      </w:pPr>
    </w:p>
    <w:p w:rsidR="00213E56" w:rsidRDefault="00213E56" w:rsidP="00213E56">
      <w:pPr>
        <w:ind w:left="1440" w:hanging="1440"/>
        <w:jc w:val="both"/>
      </w:pPr>
      <w:r>
        <w:rPr>
          <w:b/>
          <w:bCs/>
          <w:u w:val="single"/>
        </w:rPr>
        <w:t>ISSUE 63</w:t>
      </w:r>
      <w:r>
        <w:rPr>
          <w:b/>
          <w:bCs/>
        </w:rPr>
        <w:t>:</w:t>
      </w:r>
      <w:r>
        <w:tab/>
      </w:r>
      <w:r w:rsidRPr="00832CD5">
        <w:rPr>
          <w:b/>
        </w:rPr>
        <w:t xml:space="preserve">What are the </w:t>
      </w:r>
      <w:r w:rsidRPr="009276D3">
        <w:rPr>
          <w:b/>
        </w:rPr>
        <w:t>appropriate</w:t>
      </w:r>
      <w:r w:rsidRPr="00832CD5">
        <w:rPr>
          <w:b/>
        </w:rPr>
        <w:t xml:space="preserve"> private fire protection charges?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0D571D">
        <w:t xml:space="preserve">The fire protection rate should be established pursuant to Commission Rule 25-30.465. </w:t>
      </w:r>
      <w:r w:rsidR="000D571D" w:rsidRPr="00CC1AFD">
        <w:t>(Guastella)</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6D5653" w:rsidRPr="00B463BF">
        <w:t xml:space="preserve">No </w:t>
      </w:r>
      <w:r w:rsidR="0061096A">
        <w:t>p</w:t>
      </w:r>
      <w:r w:rsidR="006D5653" w:rsidRPr="00B463BF">
        <w:t>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Agree with Public Counsel.</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A40595">
        <w:t>Staff takes no position pending evidence adduced at hearing.</w:t>
      </w:r>
    </w:p>
    <w:p w:rsidR="00F73A23" w:rsidRDefault="00F73A23" w:rsidP="00213E56">
      <w:pPr>
        <w:ind w:left="1440" w:hanging="1440"/>
        <w:jc w:val="both"/>
        <w:rPr>
          <w:b/>
          <w:bCs/>
          <w:u w:val="single"/>
        </w:rPr>
      </w:pPr>
    </w:p>
    <w:p w:rsidR="00213E56" w:rsidRDefault="00213E56" w:rsidP="00213E56">
      <w:pPr>
        <w:ind w:left="1440" w:hanging="1440"/>
        <w:jc w:val="both"/>
      </w:pPr>
      <w:r>
        <w:rPr>
          <w:b/>
          <w:bCs/>
          <w:u w:val="single"/>
        </w:rPr>
        <w:t>ISSUE 64</w:t>
      </w:r>
      <w:r>
        <w:rPr>
          <w:b/>
          <w:bCs/>
        </w:rPr>
        <w:t>:</w:t>
      </w:r>
      <w:r>
        <w:tab/>
      </w:r>
      <w:r w:rsidRPr="00832CD5">
        <w:rPr>
          <w:b/>
        </w:rPr>
        <w:t>Which wastewater systems, if any, should be consolidated into a single rate structure?</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F67926" w:rsidRPr="00392E54">
        <w:t xml:space="preserve">The rates for all wastewater systems should reflect consolidated single tariff pricing. </w:t>
      </w:r>
      <w:r w:rsidR="00F67926" w:rsidRPr="00CC1AFD">
        <w:t>(Guastella)</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6D5653" w:rsidRPr="00B463BF">
        <w:t xml:space="preserve">No </w:t>
      </w:r>
      <w:r w:rsidR="0061096A">
        <w:t>p</w:t>
      </w:r>
      <w:r w:rsidR="006D5653" w:rsidRPr="00B463BF">
        <w:t>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31447E">
        <w:rPr>
          <w:bCs/>
        </w:rPr>
        <w:t>No position</w:t>
      </w:r>
      <w:r w:rsidR="005408B7" w:rsidRPr="005408B7">
        <w:rPr>
          <w:bCs/>
        </w:rPr>
        <w:t>.</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213E56">
        <w:t>Staff takes no position pending evidence adduced at hearing.</w:t>
      </w:r>
    </w:p>
    <w:p w:rsidR="00F73A23" w:rsidRDefault="00F73A23" w:rsidP="00213E56">
      <w:pPr>
        <w:ind w:left="1440" w:hanging="1440"/>
        <w:jc w:val="both"/>
        <w:rPr>
          <w:b/>
          <w:bCs/>
          <w:u w:val="single"/>
        </w:rPr>
      </w:pPr>
    </w:p>
    <w:p w:rsidR="00213E56" w:rsidRDefault="00213E56" w:rsidP="00213E56">
      <w:pPr>
        <w:ind w:left="1440" w:hanging="1440"/>
        <w:jc w:val="both"/>
      </w:pPr>
      <w:r>
        <w:rPr>
          <w:b/>
          <w:bCs/>
          <w:u w:val="single"/>
        </w:rPr>
        <w:t>ISSUE 65</w:t>
      </w:r>
      <w:r>
        <w:rPr>
          <w:b/>
          <w:bCs/>
        </w:rPr>
        <w:t>:</w:t>
      </w:r>
      <w:r>
        <w:tab/>
      </w:r>
      <w:r w:rsidRPr="00832CD5">
        <w:rPr>
          <w:b/>
        </w:rPr>
        <w:t xml:space="preserve">What are the </w:t>
      </w:r>
      <w:r w:rsidRPr="009276D3">
        <w:rPr>
          <w:b/>
        </w:rPr>
        <w:t>appropriate</w:t>
      </w:r>
      <w:r w:rsidRPr="00832CD5">
        <w:rPr>
          <w:b/>
        </w:rPr>
        <w:t xml:space="preserve"> rate structures and rates for the wastewater systems?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2A2274">
        <w:t xml:space="preserve">The proposed rate structure containing the Base Facility Charges and Usage rate tiers should reflect consolidated single tariff pricing for all wastewater systems. </w:t>
      </w:r>
      <w:r w:rsidR="002A2274" w:rsidRPr="00CC1AFD">
        <w:t>(Guastella)</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6D5653" w:rsidRPr="00B463BF">
        <w:t xml:space="preserve">No </w:t>
      </w:r>
      <w:r w:rsidR="0061096A">
        <w:t>p</w:t>
      </w:r>
      <w:r w:rsidR="006D5653" w:rsidRPr="00B463BF">
        <w:t>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31447E">
        <w:rPr>
          <w:bCs/>
        </w:rPr>
        <w:t>No position</w:t>
      </w:r>
      <w:r w:rsidR="0031447E" w:rsidRPr="005408B7">
        <w:rPr>
          <w:bCs/>
        </w:rPr>
        <w:t>.</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213E56">
        <w:t>Staff takes no position pending evidence adduced at hearing.</w:t>
      </w:r>
    </w:p>
    <w:p w:rsidR="00213E56" w:rsidRPr="00832CD5" w:rsidRDefault="00213E56" w:rsidP="00213E56">
      <w:pPr>
        <w:spacing w:after="240"/>
        <w:ind w:left="1440" w:hanging="1440"/>
        <w:jc w:val="center"/>
        <w:rPr>
          <w:b/>
          <w:u w:val="single"/>
        </w:rPr>
      </w:pPr>
      <w:r w:rsidRPr="00832CD5">
        <w:rPr>
          <w:b/>
          <w:u w:val="single"/>
        </w:rPr>
        <w:t>Other Issues</w:t>
      </w:r>
    </w:p>
    <w:p w:rsidR="00213E56" w:rsidRDefault="00213E56" w:rsidP="00213E56">
      <w:pPr>
        <w:ind w:left="1440" w:hanging="1440"/>
        <w:jc w:val="both"/>
      </w:pPr>
      <w:r>
        <w:rPr>
          <w:b/>
          <w:bCs/>
          <w:u w:val="single"/>
        </w:rPr>
        <w:t>ISSUE 66</w:t>
      </w:r>
      <w:r>
        <w:rPr>
          <w:b/>
          <w:bCs/>
        </w:rPr>
        <w:t>:</w:t>
      </w:r>
      <w:r>
        <w:tab/>
      </w:r>
      <w:r w:rsidRPr="00832CD5">
        <w:rPr>
          <w:b/>
        </w:rPr>
        <w:t>What are the appropriate miscellaneous service charges?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73566F" w:rsidRDefault="002A39DC" w:rsidP="00213E56">
      <w:pPr>
        <w:ind w:left="1440" w:hanging="1440"/>
        <w:jc w:val="both"/>
      </w:pPr>
      <w:r w:rsidRPr="002A39DC">
        <w:rPr>
          <w:b/>
          <w:bCs/>
        </w:rPr>
        <w:t>UIF</w:t>
      </w:r>
      <w:r w:rsidR="00213E56">
        <w:rPr>
          <w:b/>
          <w:bCs/>
        </w:rPr>
        <w:t>:</w:t>
      </w:r>
      <w:r w:rsidR="00213E56">
        <w:tab/>
      </w:r>
    </w:p>
    <w:tbl>
      <w:tblPr>
        <w:tblStyle w:val="TableGrid"/>
        <w:tblW w:w="958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900"/>
        <w:gridCol w:w="1800"/>
        <w:gridCol w:w="2183"/>
      </w:tblGrid>
      <w:tr w:rsidR="00504DB6" w:rsidRPr="00C8093A" w:rsidTr="00C5000C">
        <w:trPr>
          <w:trHeight w:val="315"/>
        </w:trPr>
        <w:tc>
          <w:tcPr>
            <w:tcW w:w="5598"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p>
        </w:tc>
        <w:tc>
          <w:tcPr>
            <w:tcW w:w="1800"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rPr>
                <w:u w:val="single"/>
              </w:rPr>
            </w:pPr>
            <w:r w:rsidRPr="00C8093A">
              <w:rPr>
                <w:u w:val="single"/>
              </w:rPr>
              <w:t>Normal Hours</w:t>
            </w:r>
          </w:p>
        </w:tc>
        <w:tc>
          <w:tcPr>
            <w:tcW w:w="2183"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rPr>
                <w:u w:val="single"/>
              </w:rPr>
            </w:pPr>
            <w:r w:rsidRPr="00C8093A">
              <w:rPr>
                <w:u w:val="single"/>
              </w:rPr>
              <w:t>After Hours</w:t>
            </w:r>
          </w:p>
        </w:tc>
      </w:tr>
      <w:tr w:rsidR="00504DB6" w:rsidRPr="00C8093A" w:rsidTr="00C5000C">
        <w:tc>
          <w:tcPr>
            <w:tcW w:w="5598"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Initial Connection Charge</w:t>
            </w:r>
          </w:p>
        </w:tc>
        <w:tc>
          <w:tcPr>
            <w:tcW w:w="1800"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w:t>
            </w:r>
            <w:r>
              <w:t>36.71</w:t>
            </w:r>
          </w:p>
        </w:tc>
        <w:tc>
          <w:tcPr>
            <w:tcW w:w="2183"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w:t>
            </w:r>
            <w:r>
              <w:t>$45.03</w:t>
            </w:r>
          </w:p>
        </w:tc>
      </w:tr>
      <w:tr w:rsidR="00504DB6" w:rsidRPr="00C8093A" w:rsidTr="00C5000C">
        <w:tc>
          <w:tcPr>
            <w:tcW w:w="5598"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Normal Reconnection Charge</w:t>
            </w:r>
          </w:p>
        </w:tc>
        <w:tc>
          <w:tcPr>
            <w:tcW w:w="1800"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$36.71</w:t>
            </w:r>
          </w:p>
        </w:tc>
        <w:tc>
          <w:tcPr>
            <w:tcW w:w="2183"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$45.03</w:t>
            </w:r>
          </w:p>
        </w:tc>
      </w:tr>
      <w:tr w:rsidR="00504DB6" w:rsidRPr="00C8093A" w:rsidTr="00C5000C">
        <w:tc>
          <w:tcPr>
            <w:tcW w:w="5598"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Violation Reconnection Charge</w:t>
            </w:r>
            <w:r>
              <w:t xml:space="preserve"> – water</w:t>
            </w:r>
          </w:p>
        </w:tc>
        <w:tc>
          <w:tcPr>
            <w:tcW w:w="1800"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$36.71</w:t>
            </w:r>
          </w:p>
        </w:tc>
        <w:tc>
          <w:tcPr>
            <w:tcW w:w="2183"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$45.03</w:t>
            </w:r>
          </w:p>
        </w:tc>
      </w:tr>
      <w:tr w:rsidR="00504DB6" w:rsidRPr="00C8093A" w:rsidTr="00C5000C">
        <w:tc>
          <w:tcPr>
            <w:tcW w:w="5598"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A43DFF">
              <w:t>Violation Reconnection Charge</w:t>
            </w:r>
            <w:r>
              <w:t xml:space="preserve"> – wastewater</w:t>
            </w:r>
          </w:p>
        </w:tc>
        <w:tc>
          <w:tcPr>
            <w:tcW w:w="1800"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t>Actual cost</w:t>
            </w:r>
          </w:p>
        </w:tc>
        <w:tc>
          <w:tcPr>
            <w:tcW w:w="2183"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t>Actual cost</w:t>
            </w:r>
          </w:p>
        </w:tc>
      </w:tr>
      <w:tr w:rsidR="00504DB6" w:rsidRPr="00C8093A" w:rsidTr="00C5000C">
        <w:tc>
          <w:tcPr>
            <w:tcW w:w="5598"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Premises Visit Charge</w:t>
            </w:r>
          </w:p>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(In lieu of disconnection)</w:t>
            </w:r>
          </w:p>
        </w:tc>
        <w:tc>
          <w:tcPr>
            <w:tcW w:w="1800"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$36.71</w:t>
            </w:r>
          </w:p>
        </w:tc>
        <w:tc>
          <w:tcPr>
            <w:tcW w:w="2183"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$45.03</w:t>
            </w:r>
          </w:p>
        </w:tc>
      </w:tr>
      <w:tr w:rsidR="00504DB6" w:rsidRPr="00C8093A" w:rsidTr="00C5000C">
        <w:tc>
          <w:tcPr>
            <w:tcW w:w="5598"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Late Payment Charge</w:t>
            </w:r>
          </w:p>
        </w:tc>
        <w:tc>
          <w:tcPr>
            <w:tcW w:w="3983" w:type="dxa"/>
            <w:gridSpan w:val="2"/>
          </w:tcPr>
          <w:p w:rsidR="00504DB6" w:rsidRPr="00C8093A" w:rsidRDefault="00504DB6" w:rsidP="00C5000C">
            <w:pPr>
              <w:tabs>
                <w:tab w:val="left" w:pos="1440"/>
                <w:tab w:val="left" w:pos="2880"/>
                <w:tab w:val="left" w:pos="4320"/>
                <w:tab w:val="left" w:pos="5760"/>
                <w:tab w:val="left" w:pos="7200"/>
                <w:tab w:val="left" w:pos="7920"/>
                <w:tab w:val="left" w:pos="8640"/>
              </w:tabs>
              <w:jc w:val="both"/>
            </w:pPr>
            <w:r>
              <w:t>$8.84</w:t>
            </w:r>
          </w:p>
        </w:tc>
      </w:tr>
      <w:tr w:rsidR="00504DB6" w:rsidRPr="00C8093A" w:rsidTr="00C5000C">
        <w:trPr>
          <w:trHeight w:val="387"/>
        </w:trPr>
        <w:tc>
          <w:tcPr>
            <w:tcW w:w="4698" w:type="dxa"/>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NSF Check Charge</w:t>
            </w:r>
          </w:p>
        </w:tc>
        <w:tc>
          <w:tcPr>
            <w:tcW w:w="4883" w:type="dxa"/>
            <w:gridSpan w:val="3"/>
          </w:tcPr>
          <w:p w:rsidR="00504DB6" w:rsidRPr="00C8093A" w:rsidRDefault="00504DB6" w:rsidP="00C5000C">
            <w:pPr>
              <w:tabs>
                <w:tab w:val="left" w:pos="1440"/>
                <w:tab w:val="left" w:pos="2880"/>
                <w:tab w:val="left" w:pos="4320"/>
                <w:tab w:val="left" w:pos="5760"/>
                <w:tab w:val="left" w:pos="7200"/>
                <w:tab w:val="left" w:pos="7920"/>
                <w:tab w:val="left" w:pos="8640"/>
              </w:tabs>
              <w:jc w:val="both"/>
            </w:pPr>
            <w:r w:rsidRPr="00C8093A">
              <w:t xml:space="preserve">   Pursuant to Florida Statute 68.065</w:t>
            </w:r>
          </w:p>
        </w:tc>
      </w:tr>
    </w:tbl>
    <w:p w:rsidR="0073566F" w:rsidRPr="00785991" w:rsidRDefault="006D5653" w:rsidP="006D5653">
      <w:pPr>
        <w:tabs>
          <w:tab w:val="left" w:pos="720"/>
          <w:tab w:val="left" w:pos="1440"/>
          <w:tab w:val="left" w:pos="2880"/>
          <w:tab w:val="left" w:pos="4320"/>
          <w:tab w:val="left" w:pos="5760"/>
          <w:tab w:val="left" w:pos="7200"/>
          <w:tab w:val="left" w:pos="7920"/>
          <w:tab w:val="left" w:pos="8640"/>
        </w:tabs>
        <w:jc w:val="both"/>
      </w:pPr>
      <w:r>
        <w:tab/>
      </w:r>
      <w:r w:rsidR="0073566F">
        <w:t>(Deason)</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6D5653" w:rsidRPr="00B463BF">
        <w:t xml:space="preserve">No </w:t>
      </w:r>
      <w:r w:rsidR="0061096A">
        <w:t>p</w:t>
      </w:r>
      <w:r w:rsidR="006D5653" w:rsidRPr="00B463BF">
        <w:t>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213E56">
        <w:t>Staff takes no position pending evidence adduced at hearing.</w:t>
      </w:r>
    </w:p>
    <w:p w:rsidR="006A1BD3" w:rsidRDefault="006A1BD3">
      <w:pPr>
        <w:rPr>
          <w:b/>
          <w:bCs/>
          <w:u w:val="single"/>
        </w:rPr>
      </w:pPr>
    </w:p>
    <w:p w:rsidR="00213E56" w:rsidRDefault="00213E56" w:rsidP="00213E56">
      <w:pPr>
        <w:ind w:left="1440" w:hanging="1440"/>
        <w:jc w:val="both"/>
      </w:pPr>
      <w:r>
        <w:rPr>
          <w:b/>
          <w:bCs/>
          <w:u w:val="single"/>
        </w:rPr>
        <w:t>ISSUE 67</w:t>
      </w:r>
      <w:r>
        <w:rPr>
          <w:b/>
          <w:bCs/>
        </w:rPr>
        <w:t>:</w:t>
      </w:r>
      <w:r>
        <w:tab/>
      </w:r>
      <w:r w:rsidRPr="00832CD5">
        <w:rPr>
          <w:b/>
        </w:rPr>
        <w:t>What is the appropriate late payment charge?</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4649DC">
        <w:t>$8.84 (Deason)</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DD212A" w:rsidRPr="00DD212A">
        <w:t xml:space="preserve">No </w:t>
      </w:r>
      <w:r w:rsidR="00DD212A">
        <w:t>p</w:t>
      </w:r>
      <w:r w:rsidR="00DD212A" w:rsidRPr="00DD212A">
        <w:t>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213E56">
        <w:t>Staff takes no position pending evidence adduced at hearing.</w:t>
      </w:r>
    </w:p>
    <w:p w:rsidR="00E950C7" w:rsidRDefault="00E950C7">
      <w:pPr>
        <w:rPr>
          <w:b/>
          <w:bCs/>
          <w:u w:val="single"/>
        </w:rPr>
      </w:pPr>
    </w:p>
    <w:p w:rsidR="00213E56" w:rsidRDefault="00213E56" w:rsidP="00213E56">
      <w:pPr>
        <w:ind w:left="1440" w:hanging="1440"/>
        <w:jc w:val="both"/>
      </w:pPr>
      <w:r>
        <w:rPr>
          <w:b/>
          <w:bCs/>
          <w:u w:val="single"/>
        </w:rPr>
        <w:t>ISSUE 68</w:t>
      </w:r>
      <w:r>
        <w:rPr>
          <w:b/>
          <w:bCs/>
        </w:rPr>
        <w:t>:</w:t>
      </w:r>
      <w:r>
        <w:tab/>
      </w:r>
      <w:r w:rsidRPr="00832CD5">
        <w:rPr>
          <w:b/>
        </w:rPr>
        <w:t>What are the appropriate reuse rates?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85343B">
        <w:t>$7.64 BFC plus $1.45 per thousand gallons. (Guastella)</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441CEF" w:rsidRPr="00441CEF">
        <w:rPr>
          <w:bCs/>
        </w:rPr>
        <w:t>No position.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213E56">
        <w:t>Staff takes no position pending evidence adduced at hearing.</w:t>
      </w:r>
    </w:p>
    <w:p w:rsidR="00F73A23" w:rsidRDefault="00F73A23" w:rsidP="00213E56">
      <w:pPr>
        <w:ind w:left="1440" w:hanging="1440"/>
        <w:jc w:val="both"/>
        <w:rPr>
          <w:b/>
          <w:bCs/>
          <w:u w:val="single"/>
        </w:rPr>
      </w:pPr>
    </w:p>
    <w:p w:rsidR="00213E56" w:rsidRDefault="00213E56" w:rsidP="00213E56">
      <w:pPr>
        <w:ind w:left="1440" w:hanging="1440"/>
        <w:jc w:val="both"/>
      </w:pPr>
      <w:r>
        <w:rPr>
          <w:b/>
          <w:bCs/>
          <w:u w:val="single"/>
        </w:rPr>
        <w:t>ISSUE 69</w:t>
      </w:r>
      <w:r>
        <w:rPr>
          <w:b/>
          <w:bCs/>
        </w:rPr>
        <w:t>:</w:t>
      </w:r>
      <w:r>
        <w:tab/>
      </w:r>
      <w:r w:rsidRPr="00832CD5">
        <w:rPr>
          <w:b/>
        </w:rPr>
        <w:t>What are the appropriate customer deposits?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4649DC">
        <w:t>The amount of customer deposits should be established pursuant to Commission Rule 25-30.311. (Deason)</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441CEF" w:rsidRPr="00441CEF">
        <w:rPr>
          <w:bCs/>
        </w:rPr>
        <w:t>No position.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A40595">
        <w:t>Staff takes no position pending evidence adduced at hearing.</w:t>
      </w:r>
    </w:p>
    <w:p w:rsidR="00F73A23" w:rsidRDefault="00F73A23" w:rsidP="00213E56">
      <w:pPr>
        <w:ind w:left="1440" w:hanging="1440"/>
        <w:jc w:val="both"/>
        <w:rPr>
          <w:b/>
          <w:bCs/>
          <w:u w:val="single"/>
        </w:rPr>
      </w:pPr>
    </w:p>
    <w:p w:rsidR="00213E56" w:rsidRDefault="00213E56" w:rsidP="00213E56">
      <w:pPr>
        <w:ind w:left="1440" w:hanging="1440"/>
        <w:jc w:val="both"/>
      </w:pPr>
      <w:r>
        <w:rPr>
          <w:b/>
          <w:bCs/>
          <w:u w:val="single"/>
        </w:rPr>
        <w:t>ISSUE 70</w:t>
      </w:r>
      <w:r>
        <w:rPr>
          <w:b/>
          <w:bCs/>
        </w:rPr>
        <w:t>:</w:t>
      </w:r>
      <w:r>
        <w:tab/>
      </w:r>
      <w:r w:rsidRPr="00832CD5">
        <w:rPr>
          <w:b/>
        </w:rPr>
        <w:t>What are the appropriate meter installation charges?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1958DD" w:rsidRPr="00E46CC1">
        <w:t>The existing meter installation charge would remain in effect</w:t>
      </w:r>
      <w:r w:rsidR="001958DD">
        <w:t>.</w:t>
      </w:r>
      <w:r w:rsidR="003E3FEE">
        <w:t xml:space="preserve"> (Flynn)</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F1515C" w:rsidRPr="00B463BF">
        <w:t>No position.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E53487">
        <w:t>Staff takes no position pending evidence adduced at hearing.</w:t>
      </w:r>
    </w:p>
    <w:p w:rsidR="00F73A23" w:rsidRDefault="00F73A23" w:rsidP="00213E56">
      <w:pPr>
        <w:ind w:left="1440" w:hanging="1440"/>
        <w:jc w:val="both"/>
        <w:rPr>
          <w:b/>
          <w:bCs/>
          <w:u w:val="single"/>
        </w:rPr>
      </w:pPr>
    </w:p>
    <w:p w:rsidR="00213E56" w:rsidRDefault="00213E56" w:rsidP="00213E56">
      <w:pPr>
        <w:ind w:left="1440" w:hanging="1440"/>
        <w:jc w:val="both"/>
        <w:rPr>
          <w:b/>
        </w:rPr>
      </w:pPr>
      <w:r>
        <w:rPr>
          <w:b/>
          <w:bCs/>
          <w:u w:val="single"/>
        </w:rPr>
        <w:t>ISSUE 71</w:t>
      </w:r>
      <w:r>
        <w:rPr>
          <w:b/>
          <w:bCs/>
        </w:rPr>
        <w:t>:</w:t>
      </w:r>
      <w:r>
        <w:tab/>
      </w:r>
      <w:r w:rsidRPr="00832CD5">
        <w:rPr>
          <w:b/>
        </w:rPr>
        <w:t>What are the appropriate customer connection, main extension, plant capacity, and system capacity charges?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D71B98">
        <w:t xml:space="preserve">The existing </w:t>
      </w:r>
      <w:r w:rsidR="00D71B98" w:rsidRPr="00A43DFF">
        <w:t>customer connection, main extension, plant capacity, and system capacity charges</w:t>
      </w:r>
      <w:r w:rsidR="00D71B98">
        <w:t xml:space="preserve"> would remain in effect.</w:t>
      </w:r>
      <w:r w:rsidR="003E3FEE">
        <w:t xml:space="preserve"> (Flynn)</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F1515C" w:rsidRPr="00B463BF">
        <w:t>No position.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213E56">
        <w:t>Staff takes no position pending evidence adduced at hearing.</w:t>
      </w:r>
    </w:p>
    <w:p w:rsidR="00F73A23" w:rsidRDefault="00F73A23" w:rsidP="00213E56">
      <w:pPr>
        <w:ind w:left="1440" w:hanging="1440"/>
        <w:jc w:val="both"/>
        <w:rPr>
          <w:b/>
          <w:bCs/>
          <w:u w:val="single"/>
        </w:rPr>
      </w:pPr>
    </w:p>
    <w:p w:rsidR="00213E56" w:rsidRDefault="00213E56" w:rsidP="00213E56">
      <w:pPr>
        <w:ind w:left="1440" w:hanging="1440"/>
        <w:jc w:val="both"/>
      </w:pPr>
      <w:r>
        <w:rPr>
          <w:b/>
          <w:bCs/>
          <w:u w:val="single"/>
        </w:rPr>
        <w:t>ISSUE 72</w:t>
      </w:r>
      <w:r>
        <w:rPr>
          <w:b/>
          <w:bCs/>
        </w:rPr>
        <w:t>:</w:t>
      </w:r>
      <w:r>
        <w:tab/>
      </w:r>
      <w:r w:rsidR="009453F7" w:rsidRPr="00832CD5">
        <w:rPr>
          <w:b/>
        </w:rPr>
        <w:t>What are the appropriate guaranteed revenue charges?</w:t>
      </w:r>
    </w:p>
    <w:p w:rsidR="00213E56" w:rsidRDefault="00213E56" w:rsidP="00213E56">
      <w:pPr>
        <w:ind w:left="1440" w:hanging="1440"/>
        <w:jc w:val="both"/>
      </w:pPr>
    </w:p>
    <w:p w:rsidR="00213E56" w:rsidRDefault="002A39DC" w:rsidP="00213E56">
      <w:pPr>
        <w:ind w:left="1440" w:hanging="1440"/>
        <w:jc w:val="both"/>
      </w:pPr>
      <w:r w:rsidRPr="002A39DC">
        <w:rPr>
          <w:b/>
          <w:bCs/>
        </w:rPr>
        <w:t>POSITIONS</w:t>
      </w:r>
    </w:p>
    <w:p w:rsidR="00213E56" w:rsidRDefault="00213E56" w:rsidP="00213E56">
      <w:pPr>
        <w:ind w:left="1440" w:hanging="1440"/>
        <w:jc w:val="both"/>
      </w:pPr>
    </w:p>
    <w:p w:rsidR="00213E56" w:rsidRDefault="002A39DC" w:rsidP="00213E56">
      <w:pPr>
        <w:ind w:left="1440" w:hanging="1440"/>
        <w:jc w:val="both"/>
      </w:pPr>
      <w:r w:rsidRPr="002A39DC">
        <w:rPr>
          <w:b/>
          <w:bCs/>
        </w:rPr>
        <w:t>UIF</w:t>
      </w:r>
      <w:r w:rsidR="00213E56">
        <w:rPr>
          <w:b/>
          <w:bCs/>
        </w:rPr>
        <w:t>:</w:t>
      </w:r>
      <w:r w:rsidR="00213E56">
        <w:tab/>
      </w:r>
      <w:r w:rsidR="006D340A" w:rsidRPr="00A43DFF">
        <w:t xml:space="preserve">The existing </w:t>
      </w:r>
      <w:r w:rsidR="006D340A">
        <w:t xml:space="preserve">guaranteed revenue </w:t>
      </w:r>
      <w:r w:rsidR="006D340A" w:rsidRPr="00A43DFF">
        <w:t>charges would remain in effect.</w:t>
      </w:r>
      <w:r w:rsidR="00875C6E">
        <w:t xml:space="preserve"> (Flynn)</w:t>
      </w:r>
    </w:p>
    <w:p w:rsidR="00213E56" w:rsidRDefault="00213E56" w:rsidP="00213E56">
      <w:pPr>
        <w:ind w:left="1440" w:hanging="1440"/>
        <w:jc w:val="both"/>
      </w:pPr>
    </w:p>
    <w:p w:rsidR="00213E56" w:rsidRDefault="002A39DC" w:rsidP="00213E56">
      <w:pPr>
        <w:ind w:left="1440" w:hanging="1440"/>
        <w:jc w:val="both"/>
      </w:pPr>
      <w:r w:rsidRPr="002A39DC">
        <w:rPr>
          <w:b/>
          <w:bCs/>
        </w:rPr>
        <w:t>OPC</w:t>
      </w:r>
      <w:r w:rsidR="00213E56">
        <w:rPr>
          <w:b/>
          <w:bCs/>
        </w:rPr>
        <w:t>:</w:t>
      </w:r>
      <w:r w:rsidR="00213E56">
        <w:tab/>
      </w:r>
      <w:r w:rsidR="00441CEF" w:rsidRPr="00441CEF">
        <w:rPr>
          <w:bCs/>
        </w:rPr>
        <w:t>No position.</w:t>
      </w:r>
    </w:p>
    <w:p w:rsidR="00213E56" w:rsidRDefault="00213E56" w:rsidP="00213E56">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213E56" w:rsidRDefault="002A39DC" w:rsidP="00213E56">
      <w:pPr>
        <w:spacing w:after="240"/>
        <w:ind w:left="1440" w:hanging="1440"/>
        <w:jc w:val="both"/>
        <w:rPr>
          <w:bCs/>
        </w:rPr>
      </w:pPr>
      <w:r w:rsidRPr="002A39DC">
        <w:rPr>
          <w:b/>
          <w:bCs/>
        </w:rPr>
        <w:t>Staff</w:t>
      </w:r>
      <w:r w:rsidR="00213E56">
        <w:rPr>
          <w:b/>
          <w:bCs/>
        </w:rPr>
        <w:t>:</w:t>
      </w:r>
      <w:r w:rsidR="00213E56">
        <w:rPr>
          <w:b/>
          <w:bCs/>
        </w:rPr>
        <w:tab/>
      </w:r>
      <w:r w:rsidR="00E53487">
        <w:t>Staff takes no position pending evidence adduced at hearing.</w:t>
      </w:r>
    </w:p>
    <w:p w:rsidR="00F73A23" w:rsidRDefault="00F73A23" w:rsidP="009453F7">
      <w:pPr>
        <w:ind w:left="1440" w:hanging="1440"/>
        <w:jc w:val="both"/>
        <w:rPr>
          <w:b/>
          <w:bCs/>
          <w:u w:val="single"/>
        </w:rPr>
      </w:pPr>
    </w:p>
    <w:p w:rsidR="009453F7" w:rsidRDefault="009453F7" w:rsidP="009453F7">
      <w:pPr>
        <w:ind w:left="1440" w:hanging="1440"/>
        <w:jc w:val="both"/>
      </w:pPr>
      <w:r>
        <w:rPr>
          <w:b/>
          <w:bCs/>
          <w:u w:val="single"/>
        </w:rPr>
        <w:t>ISSUE 73</w:t>
      </w:r>
      <w:r>
        <w:rPr>
          <w:b/>
          <w:bCs/>
        </w:rPr>
        <w:t>:</w:t>
      </w:r>
      <w:r>
        <w:tab/>
      </w:r>
      <w:r w:rsidRPr="00832CD5">
        <w:rPr>
          <w:b/>
        </w:rPr>
        <w:t>What are the appropriate Allowance for Funds Prudently Invested (AFPI) charges?</w:t>
      </w:r>
    </w:p>
    <w:p w:rsidR="009453F7" w:rsidRDefault="009453F7" w:rsidP="009453F7">
      <w:pPr>
        <w:ind w:left="1440" w:hanging="1440"/>
        <w:jc w:val="both"/>
      </w:pPr>
    </w:p>
    <w:p w:rsidR="009453F7" w:rsidRDefault="002A39DC" w:rsidP="009453F7">
      <w:pPr>
        <w:ind w:left="1440" w:hanging="1440"/>
        <w:jc w:val="both"/>
      </w:pPr>
      <w:r w:rsidRPr="002A39DC">
        <w:rPr>
          <w:b/>
          <w:bCs/>
        </w:rPr>
        <w:t>POSITIONS</w:t>
      </w:r>
    </w:p>
    <w:p w:rsidR="009453F7" w:rsidRDefault="009453F7" w:rsidP="009453F7">
      <w:pPr>
        <w:ind w:left="1440" w:hanging="1440"/>
        <w:jc w:val="both"/>
      </w:pPr>
    </w:p>
    <w:p w:rsidR="009453F7" w:rsidRDefault="002A39DC" w:rsidP="009453F7">
      <w:pPr>
        <w:ind w:left="1440" w:hanging="1440"/>
        <w:jc w:val="both"/>
      </w:pPr>
      <w:r w:rsidRPr="002A39DC">
        <w:rPr>
          <w:b/>
          <w:bCs/>
        </w:rPr>
        <w:t>UIF</w:t>
      </w:r>
      <w:r w:rsidR="009453F7">
        <w:rPr>
          <w:b/>
          <w:bCs/>
        </w:rPr>
        <w:t>:</w:t>
      </w:r>
      <w:r w:rsidR="009453F7">
        <w:tab/>
      </w:r>
      <w:r w:rsidR="006D340A" w:rsidRPr="00A43DFF">
        <w:t xml:space="preserve">The existing </w:t>
      </w:r>
      <w:r w:rsidR="006D340A">
        <w:t xml:space="preserve">AFPI </w:t>
      </w:r>
      <w:r w:rsidR="006D340A" w:rsidRPr="00A43DFF">
        <w:t>charges would remain in effect.</w:t>
      </w:r>
      <w:r w:rsidR="006D35D6">
        <w:t xml:space="preserve"> (Flynn)</w:t>
      </w:r>
    </w:p>
    <w:p w:rsidR="009453F7" w:rsidRDefault="009453F7" w:rsidP="009453F7">
      <w:pPr>
        <w:ind w:left="1440" w:hanging="1440"/>
        <w:jc w:val="both"/>
      </w:pPr>
    </w:p>
    <w:p w:rsidR="009453F7" w:rsidRDefault="002A39DC" w:rsidP="009453F7">
      <w:pPr>
        <w:ind w:left="1440" w:hanging="1440"/>
        <w:jc w:val="both"/>
      </w:pPr>
      <w:r w:rsidRPr="002A39DC">
        <w:rPr>
          <w:b/>
          <w:bCs/>
        </w:rPr>
        <w:t>OPC</w:t>
      </w:r>
      <w:r w:rsidR="009453F7">
        <w:rPr>
          <w:b/>
          <w:bCs/>
        </w:rPr>
        <w:t>:</w:t>
      </w:r>
      <w:r w:rsidR="009453F7">
        <w:tab/>
      </w:r>
      <w:r w:rsidR="00441CEF" w:rsidRPr="00441CEF">
        <w:rPr>
          <w:bCs/>
        </w:rPr>
        <w:t>No position.</w:t>
      </w:r>
    </w:p>
    <w:p w:rsidR="009453F7" w:rsidRDefault="009453F7" w:rsidP="009453F7">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No position.</w:t>
      </w:r>
    </w:p>
    <w:p w:rsidR="009453F7" w:rsidRDefault="002A39DC" w:rsidP="009453F7">
      <w:pPr>
        <w:spacing w:after="240"/>
        <w:ind w:left="1440" w:hanging="1440"/>
        <w:jc w:val="both"/>
        <w:rPr>
          <w:bCs/>
        </w:rPr>
      </w:pPr>
      <w:r w:rsidRPr="002A39DC">
        <w:rPr>
          <w:b/>
          <w:bCs/>
        </w:rPr>
        <w:lastRenderedPageBreak/>
        <w:t>Staff</w:t>
      </w:r>
      <w:r w:rsidR="009453F7">
        <w:rPr>
          <w:b/>
          <w:bCs/>
        </w:rPr>
        <w:t>:</w:t>
      </w:r>
      <w:r w:rsidR="009453F7">
        <w:rPr>
          <w:b/>
          <w:bCs/>
        </w:rPr>
        <w:tab/>
      </w:r>
      <w:r w:rsidR="009453F7">
        <w:t>Staff takes no position pending evidence adduced at hearing.</w:t>
      </w:r>
    </w:p>
    <w:p w:rsidR="00F73A23" w:rsidRDefault="00F73A23" w:rsidP="009453F7">
      <w:pPr>
        <w:ind w:left="1440" w:hanging="1440"/>
        <w:jc w:val="both"/>
        <w:rPr>
          <w:b/>
          <w:bCs/>
          <w:u w:val="single"/>
        </w:rPr>
      </w:pPr>
    </w:p>
    <w:p w:rsidR="009453F7" w:rsidRDefault="009453F7" w:rsidP="009453F7">
      <w:pPr>
        <w:ind w:left="1440" w:hanging="1440"/>
        <w:jc w:val="both"/>
      </w:pPr>
      <w:r>
        <w:rPr>
          <w:b/>
          <w:bCs/>
          <w:u w:val="single"/>
        </w:rPr>
        <w:t>ISSUE 74</w:t>
      </w:r>
      <w:r>
        <w:rPr>
          <w:b/>
          <w:bCs/>
        </w:rPr>
        <w:t>:</w:t>
      </w:r>
      <w:r>
        <w:tab/>
      </w:r>
      <w:r w:rsidRPr="00832CD5">
        <w:rPr>
          <w:b/>
        </w:rPr>
        <w:t>In determining whether any portion of the interim increase granted should be refunded, how should the refund be calculated, and what is the amount of the refund, if any?</w:t>
      </w:r>
    </w:p>
    <w:p w:rsidR="009453F7" w:rsidRDefault="009453F7" w:rsidP="009453F7">
      <w:pPr>
        <w:ind w:left="1440" w:hanging="1440"/>
        <w:jc w:val="both"/>
      </w:pPr>
    </w:p>
    <w:p w:rsidR="009453F7" w:rsidRDefault="002A39DC" w:rsidP="009453F7">
      <w:pPr>
        <w:ind w:left="1440" w:hanging="1440"/>
        <w:jc w:val="both"/>
      </w:pPr>
      <w:r w:rsidRPr="002A39DC">
        <w:rPr>
          <w:b/>
          <w:bCs/>
        </w:rPr>
        <w:t>POSITIONS</w:t>
      </w:r>
    </w:p>
    <w:p w:rsidR="009453F7" w:rsidRDefault="009453F7" w:rsidP="009453F7">
      <w:pPr>
        <w:ind w:left="1440" w:hanging="1440"/>
        <w:jc w:val="both"/>
      </w:pPr>
    </w:p>
    <w:p w:rsidR="009453F7" w:rsidRDefault="002A39DC" w:rsidP="009453F7">
      <w:pPr>
        <w:ind w:left="1440" w:hanging="1440"/>
        <w:jc w:val="both"/>
      </w:pPr>
      <w:r w:rsidRPr="002A39DC">
        <w:rPr>
          <w:b/>
          <w:bCs/>
        </w:rPr>
        <w:t>UIF</w:t>
      </w:r>
      <w:r w:rsidR="009453F7">
        <w:rPr>
          <w:b/>
          <w:bCs/>
        </w:rPr>
        <w:t>:</w:t>
      </w:r>
      <w:r w:rsidR="009453F7">
        <w:tab/>
      </w:r>
      <w:r w:rsidR="006D340A">
        <w:t>Any such refund should be calculated in accordance with Commission Policy; however, no refund in appropriate.</w:t>
      </w:r>
    </w:p>
    <w:p w:rsidR="009453F7" w:rsidRDefault="009453F7" w:rsidP="009453F7">
      <w:pPr>
        <w:ind w:left="1440" w:hanging="1440"/>
        <w:jc w:val="both"/>
      </w:pPr>
    </w:p>
    <w:p w:rsidR="00DD212A" w:rsidRPr="00DD212A" w:rsidRDefault="002A39DC" w:rsidP="00DD212A">
      <w:pPr>
        <w:ind w:left="1440" w:hanging="1440"/>
        <w:jc w:val="both"/>
      </w:pPr>
      <w:r w:rsidRPr="002A39DC">
        <w:rPr>
          <w:b/>
          <w:bCs/>
        </w:rPr>
        <w:t>OPC</w:t>
      </w:r>
      <w:r w:rsidR="009453F7">
        <w:rPr>
          <w:b/>
          <w:bCs/>
        </w:rPr>
        <w:t>:</w:t>
      </w:r>
      <w:r w:rsidR="009453F7">
        <w:tab/>
      </w:r>
      <w:r w:rsidR="00DD212A" w:rsidRPr="00DD212A">
        <w:t xml:space="preserve">This calculation should be a fallout.  However, there were many deficiencies in UIF’s initial filing that took the Company until November 22, 2016 to cure, a period taking almost three months.  Customers who received an interim rate increase prior to the curing of the MFRs should receive a refund for the short period of time when the MFRs were deficient as calculated by the Commission.  </w:t>
      </w:r>
    </w:p>
    <w:p w:rsidR="00DD212A" w:rsidRPr="00DD212A" w:rsidRDefault="00DD212A" w:rsidP="00DD212A">
      <w:pPr>
        <w:ind w:left="1440" w:hanging="1440"/>
        <w:jc w:val="both"/>
      </w:pPr>
    </w:p>
    <w:p w:rsidR="009453F7" w:rsidRDefault="00DD212A" w:rsidP="00DD212A">
      <w:pPr>
        <w:ind w:left="1440"/>
        <w:jc w:val="both"/>
      </w:pPr>
      <w:r w:rsidRPr="00DD212A">
        <w:t>The interim rate refund, if any, should be calculated according to Commission policy and rule on a system by system standalone basis.  If statewide uniform rates or banded rates are implemented, those systems receiving a rate decrease should receive a refund of the difference between prior authorized rates and interim rates.</w:t>
      </w:r>
    </w:p>
    <w:p w:rsidR="009453F7" w:rsidRDefault="009453F7" w:rsidP="009453F7">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5408B7" w:rsidRPr="005408B7">
        <w:rPr>
          <w:bCs/>
        </w:rPr>
        <w:t>Agree with Public Counsel.</w:t>
      </w:r>
    </w:p>
    <w:p w:rsidR="009453F7" w:rsidRDefault="002A39DC" w:rsidP="009453F7">
      <w:pPr>
        <w:spacing w:after="240"/>
        <w:ind w:left="1440" w:hanging="1440"/>
        <w:jc w:val="both"/>
        <w:rPr>
          <w:bCs/>
        </w:rPr>
      </w:pPr>
      <w:r w:rsidRPr="002A39DC">
        <w:rPr>
          <w:b/>
          <w:bCs/>
        </w:rPr>
        <w:t>Staff</w:t>
      </w:r>
      <w:r w:rsidR="009453F7">
        <w:rPr>
          <w:b/>
          <w:bCs/>
        </w:rPr>
        <w:t>:</w:t>
      </w:r>
      <w:r w:rsidR="009453F7">
        <w:rPr>
          <w:b/>
          <w:bCs/>
        </w:rPr>
        <w:tab/>
      </w:r>
      <w:r w:rsidR="009453F7">
        <w:t>Staff takes no position pending evidence adduced at hearing.</w:t>
      </w:r>
    </w:p>
    <w:p w:rsidR="00F73A23" w:rsidRDefault="00F73A23" w:rsidP="009453F7">
      <w:pPr>
        <w:ind w:left="1440" w:hanging="1440"/>
        <w:jc w:val="both"/>
        <w:rPr>
          <w:b/>
          <w:bCs/>
          <w:u w:val="single"/>
        </w:rPr>
      </w:pPr>
    </w:p>
    <w:p w:rsidR="009453F7" w:rsidRDefault="009453F7" w:rsidP="009453F7">
      <w:pPr>
        <w:ind w:left="1440" w:hanging="1440"/>
        <w:jc w:val="both"/>
      </w:pPr>
      <w:r>
        <w:rPr>
          <w:b/>
          <w:bCs/>
          <w:u w:val="single"/>
        </w:rPr>
        <w:t>ISSUE 75</w:t>
      </w:r>
      <w:r>
        <w:rPr>
          <w:b/>
          <w:bCs/>
        </w:rPr>
        <w:t>:</w:t>
      </w:r>
      <w:r>
        <w:tab/>
      </w:r>
      <w:r w:rsidRPr="00832CD5">
        <w:rPr>
          <w:b/>
        </w:rPr>
        <w:t>What is the appropriate amount by which rates should be reduced after the established effective date of the approved tariff to reflect the removal of the amortized rate case expense?</w:t>
      </w:r>
    </w:p>
    <w:p w:rsidR="009453F7" w:rsidRDefault="009453F7" w:rsidP="009453F7">
      <w:pPr>
        <w:ind w:left="1440" w:hanging="1440"/>
        <w:jc w:val="both"/>
      </w:pPr>
    </w:p>
    <w:p w:rsidR="009453F7" w:rsidRDefault="002A39DC" w:rsidP="009453F7">
      <w:pPr>
        <w:ind w:left="1440" w:hanging="1440"/>
        <w:jc w:val="both"/>
      </w:pPr>
      <w:r w:rsidRPr="002A39DC">
        <w:rPr>
          <w:b/>
          <w:bCs/>
        </w:rPr>
        <w:t>POSITIONS</w:t>
      </w:r>
    </w:p>
    <w:p w:rsidR="009453F7" w:rsidRDefault="009453F7" w:rsidP="009453F7">
      <w:pPr>
        <w:ind w:left="1440" w:hanging="1440"/>
        <w:jc w:val="both"/>
      </w:pPr>
    </w:p>
    <w:p w:rsidR="009453F7" w:rsidRDefault="002A39DC" w:rsidP="009453F7">
      <w:pPr>
        <w:ind w:left="1440" w:hanging="1440"/>
        <w:jc w:val="both"/>
      </w:pPr>
      <w:r w:rsidRPr="002A39DC">
        <w:rPr>
          <w:b/>
          <w:bCs/>
        </w:rPr>
        <w:t>UIF</w:t>
      </w:r>
      <w:r w:rsidR="009453F7">
        <w:rPr>
          <w:b/>
          <w:bCs/>
        </w:rPr>
        <w:t>:</w:t>
      </w:r>
      <w:r w:rsidR="009453F7">
        <w:tab/>
      </w:r>
      <w:r w:rsidR="009A61E0">
        <w:t>None. The unamortized rate case expense should be included with current rate case expense and amortized over 4 years.</w:t>
      </w:r>
    </w:p>
    <w:p w:rsidR="009453F7" w:rsidRDefault="009453F7" w:rsidP="009453F7">
      <w:pPr>
        <w:ind w:left="1440" w:hanging="1440"/>
        <w:jc w:val="both"/>
      </w:pPr>
    </w:p>
    <w:p w:rsidR="009453F7" w:rsidRDefault="002A39DC" w:rsidP="009453F7">
      <w:pPr>
        <w:ind w:left="1440" w:hanging="1440"/>
        <w:jc w:val="both"/>
      </w:pPr>
      <w:r w:rsidRPr="002A39DC">
        <w:rPr>
          <w:b/>
          <w:bCs/>
        </w:rPr>
        <w:t>OPC</w:t>
      </w:r>
      <w:r w:rsidR="009453F7">
        <w:rPr>
          <w:b/>
          <w:bCs/>
        </w:rPr>
        <w:t>:</w:t>
      </w:r>
      <w:r w:rsidR="009453F7">
        <w:tab/>
      </w:r>
      <w:r w:rsidR="00CF7677" w:rsidRPr="00B463BF">
        <w:t>Rates should be reduced pursuant to Commission Rule 25-30.4705, F.A.C.</w:t>
      </w:r>
    </w:p>
    <w:p w:rsidR="009453F7" w:rsidRDefault="009453F7" w:rsidP="009453F7">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CA4255" w:rsidRPr="00AA2605">
        <w:rPr>
          <w:bCs/>
        </w:rPr>
        <w:t>Agree with Public Counsel.</w:t>
      </w:r>
    </w:p>
    <w:p w:rsidR="009453F7" w:rsidRDefault="002A39DC" w:rsidP="009453F7">
      <w:pPr>
        <w:spacing w:after="240"/>
        <w:ind w:left="1440" w:hanging="1440"/>
        <w:jc w:val="both"/>
        <w:rPr>
          <w:bCs/>
        </w:rPr>
      </w:pPr>
      <w:r w:rsidRPr="002A39DC">
        <w:rPr>
          <w:b/>
          <w:bCs/>
        </w:rPr>
        <w:t>Staff</w:t>
      </w:r>
      <w:r w:rsidR="009453F7">
        <w:rPr>
          <w:b/>
          <w:bCs/>
        </w:rPr>
        <w:t>:</w:t>
      </w:r>
      <w:r w:rsidR="009453F7">
        <w:rPr>
          <w:b/>
          <w:bCs/>
        </w:rPr>
        <w:tab/>
      </w:r>
      <w:r w:rsidR="00E53487">
        <w:t>Staff takes no position pending evidence adduced at hearing.</w:t>
      </w:r>
    </w:p>
    <w:p w:rsidR="00F73A23" w:rsidRDefault="00F73A23" w:rsidP="009453F7">
      <w:pPr>
        <w:ind w:left="1440" w:hanging="1440"/>
        <w:jc w:val="both"/>
        <w:rPr>
          <w:b/>
          <w:bCs/>
          <w:u w:val="single"/>
        </w:rPr>
      </w:pPr>
    </w:p>
    <w:p w:rsidR="003140BB" w:rsidRDefault="003140BB">
      <w:pPr>
        <w:rPr>
          <w:b/>
          <w:bCs/>
          <w:u w:val="single"/>
        </w:rPr>
      </w:pPr>
      <w:r>
        <w:rPr>
          <w:b/>
          <w:bCs/>
          <w:u w:val="single"/>
        </w:rPr>
        <w:br w:type="page"/>
      </w:r>
    </w:p>
    <w:p w:rsidR="009453F7" w:rsidRDefault="009453F7" w:rsidP="009453F7">
      <w:pPr>
        <w:ind w:left="1440" w:hanging="1440"/>
        <w:jc w:val="both"/>
      </w:pPr>
      <w:r>
        <w:rPr>
          <w:b/>
          <w:bCs/>
          <w:u w:val="single"/>
        </w:rPr>
        <w:lastRenderedPageBreak/>
        <w:t>ISSUE 76</w:t>
      </w:r>
      <w:r>
        <w:rPr>
          <w:b/>
          <w:bCs/>
        </w:rPr>
        <w:t>:</w:t>
      </w:r>
      <w:r>
        <w:tab/>
      </w:r>
      <w:r w:rsidRPr="00832CD5">
        <w:rPr>
          <w:b/>
        </w:rPr>
        <w:t>What is the appropriate amount and mechanism by which rates should be reduced to reflect the removal of any unamortized rate case expense?</w:t>
      </w:r>
    </w:p>
    <w:p w:rsidR="009453F7" w:rsidRDefault="009453F7" w:rsidP="009453F7">
      <w:pPr>
        <w:ind w:left="1440" w:hanging="1440"/>
        <w:jc w:val="both"/>
      </w:pPr>
    </w:p>
    <w:p w:rsidR="009453F7" w:rsidRDefault="002A39DC" w:rsidP="009453F7">
      <w:pPr>
        <w:ind w:left="1440" w:hanging="1440"/>
        <w:jc w:val="both"/>
      </w:pPr>
      <w:r w:rsidRPr="002A39DC">
        <w:rPr>
          <w:b/>
          <w:bCs/>
        </w:rPr>
        <w:t>POSITIONS</w:t>
      </w:r>
    </w:p>
    <w:p w:rsidR="009453F7" w:rsidRDefault="009453F7" w:rsidP="009453F7">
      <w:pPr>
        <w:ind w:left="1440" w:hanging="1440"/>
        <w:jc w:val="both"/>
      </w:pPr>
    </w:p>
    <w:p w:rsidR="009453F7" w:rsidRDefault="002A39DC" w:rsidP="009453F7">
      <w:pPr>
        <w:ind w:left="1440" w:hanging="1440"/>
        <w:jc w:val="both"/>
      </w:pPr>
      <w:r w:rsidRPr="002A39DC">
        <w:rPr>
          <w:b/>
          <w:bCs/>
        </w:rPr>
        <w:t>UIF</w:t>
      </w:r>
      <w:r w:rsidR="009453F7">
        <w:rPr>
          <w:b/>
          <w:bCs/>
        </w:rPr>
        <w:t>:</w:t>
      </w:r>
      <w:r w:rsidR="009453F7">
        <w:tab/>
      </w:r>
      <w:r w:rsidR="003A5CE4" w:rsidRPr="006B656F">
        <w:t>None. The unamortized rate case expense should be included with current rate case expense and amortized over 4 years.</w:t>
      </w:r>
    </w:p>
    <w:p w:rsidR="009453F7" w:rsidRDefault="009453F7" w:rsidP="009453F7">
      <w:pPr>
        <w:ind w:left="1440" w:hanging="1440"/>
        <w:jc w:val="both"/>
      </w:pPr>
    </w:p>
    <w:p w:rsidR="00CF7677" w:rsidRPr="00B463BF" w:rsidRDefault="002A39DC" w:rsidP="009C5786">
      <w:pPr>
        <w:ind w:left="1440" w:hanging="1440"/>
        <w:jc w:val="both"/>
      </w:pPr>
      <w:r w:rsidRPr="002A39DC">
        <w:rPr>
          <w:b/>
          <w:bCs/>
        </w:rPr>
        <w:t>OPC</w:t>
      </w:r>
      <w:r w:rsidR="009453F7">
        <w:rPr>
          <w:b/>
          <w:bCs/>
        </w:rPr>
        <w:t>:</w:t>
      </w:r>
      <w:r w:rsidR="009453F7">
        <w:tab/>
      </w:r>
      <w:r w:rsidR="00CF7677" w:rsidRPr="00B463BF">
        <w:t xml:space="preserve">A number of UIF systems currently have an unamortized balance of rate case expense previously approved by this Commission.  “If the Commission approves some form of consolidated rates in this case, the expense associated with the amortization of prior rate cases could be separated out for each of the systems with surcharges specific to each system.  This would allow the separate surcharge on the bill to drop off the month following the full four-year amortization of the prior case costs and would meet the requirements of Section 367.081(8), Florida Statutes.”  (Ramas Testimony at 20, lines 19-23) Following a method similar to that outlined above would also prevent costs from prior rate cases from being unfairly passed on to customers in other systems if consolidated rates are approved in this case.”  (Ramas Testimony at 21, lines 6-9)  See Ramas Testimony at 19-24 for a complete explanation of both the amount and mechanism by which rates should be reduced.  </w:t>
      </w:r>
    </w:p>
    <w:p w:rsidR="00CF7677" w:rsidRPr="00B463BF" w:rsidRDefault="00CF7677" w:rsidP="00CF7677">
      <w:pPr>
        <w:spacing w:line="276" w:lineRule="auto"/>
        <w:ind w:left="720" w:hanging="720"/>
        <w:jc w:val="both"/>
      </w:pPr>
    </w:p>
    <w:p w:rsidR="009453F7" w:rsidRDefault="00CF7677" w:rsidP="00CF7677">
      <w:pPr>
        <w:ind w:left="1440" w:hanging="1440"/>
        <w:jc w:val="both"/>
      </w:pPr>
      <w:r w:rsidRPr="00B463BF">
        <w:t xml:space="preserve"> </w:t>
      </w:r>
      <w:r w:rsidRPr="00B463BF">
        <w:tab/>
        <w:t>Any prior unamortized rate case expense that has been fully amortized before rates become effective in this case, should be removed from the test year.  For the systems that are not fully amortized prior to rates becoming effective, the prior unamortized rate case expense should be removed from the test year and addressed as a separate surcharge for each system until fully recovered.  The Commission has already determined that a 4 year recovery period is appropriate for these systems through prior Commission orders.  (Ramas)</w:t>
      </w:r>
    </w:p>
    <w:p w:rsidR="009453F7" w:rsidRDefault="009453F7" w:rsidP="009453F7">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CA4255" w:rsidRPr="00CA4255">
        <w:rPr>
          <w:bCs/>
        </w:rPr>
        <w:t>Agree with Public Counsel.</w:t>
      </w:r>
    </w:p>
    <w:p w:rsidR="009453F7" w:rsidRDefault="002A39DC" w:rsidP="009453F7">
      <w:pPr>
        <w:spacing w:after="240"/>
        <w:ind w:left="1440" w:hanging="1440"/>
        <w:jc w:val="both"/>
        <w:rPr>
          <w:bCs/>
        </w:rPr>
      </w:pPr>
      <w:r w:rsidRPr="002A39DC">
        <w:rPr>
          <w:b/>
          <w:bCs/>
        </w:rPr>
        <w:t>Staff</w:t>
      </w:r>
      <w:r w:rsidR="009453F7">
        <w:rPr>
          <w:b/>
          <w:bCs/>
        </w:rPr>
        <w:t>:</w:t>
      </w:r>
      <w:r w:rsidR="009453F7">
        <w:rPr>
          <w:b/>
          <w:bCs/>
        </w:rPr>
        <w:tab/>
      </w:r>
      <w:r w:rsidR="009453F7">
        <w:t>Staff takes no position pending evidence adduced at hearing.</w:t>
      </w:r>
    </w:p>
    <w:p w:rsidR="00F73A23" w:rsidRDefault="00F73A23" w:rsidP="009453F7">
      <w:pPr>
        <w:ind w:left="1440" w:hanging="1440"/>
        <w:jc w:val="both"/>
        <w:rPr>
          <w:b/>
          <w:bCs/>
          <w:u w:val="single"/>
        </w:rPr>
      </w:pPr>
    </w:p>
    <w:p w:rsidR="009453F7" w:rsidRDefault="009453F7" w:rsidP="009453F7">
      <w:pPr>
        <w:ind w:left="1440" w:hanging="1440"/>
        <w:jc w:val="both"/>
      </w:pPr>
      <w:r>
        <w:rPr>
          <w:b/>
          <w:bCs/>
          <w:u w:val="single"/>
        </w:rPr>
        <w:t>ISSUE 77</w:t>
      </w:r>
      <w:r>
        <w:rPr>
          <w:b/>
          <w:bCs/>
        </w:rPr>
        <w:t>:</w:t>
      </w:r>
      <w:r>
        <w:tab/>
      </w:r>
      <w:r w:rsidRPr="00832CD5">
        <w:rPr>
          <w:b/>
        </w:rPr>
        <w:t>How should the Utility address future index and pass through filings?</w:t>
      </w:r>
    </w:p>
    <w:p w:rsidR="009453F7" w:rsidRDefault="009453F7" w:rsidP="009453F7">
      <w:pPr>
        <w:ind w:left="1440" w:hanging="1440"/>
        <w:jc w:val="both"/>
      </w:pPr>
    </w:p>
    <w:p w:rsidR="009453F7" w:rsidRDefault="002A39DC" w:rsidP="009453F7">
      <w:pPr>
        <w:ind w:left="1440" w:hanging="1440"/>
        <w:jc w:val="both"/>
      </w:pPr>
      <w:r w:rsidRPr="002A39DC">
        <w:rPr>
          <w:b/>
          <w:bCs/>
        </w:rPr>
        <w:t>POSITIONS</w:t>
      </w:r>
    </w:p>
    <w:p w:rsidR="009453F7" w:rsidRDefault="009453F7" w:rsidP="009453F7">
      <w:pPr>
        <w:ind w:left="1440" w:hanging="1440"/>
        <w:jc w:val="both"/>
      </w:pPr>
    </w:p>
    <w:p w:rsidR="009453F7" w:rsidRDefault="002A39DC" w:rsidP="009453F7">
      <w:pPr>
        <w:ind w:left="1440" w:hanging="1440"/>
        <w:jc w:val="both"/>
      </w:pPr>
      <w:r w:rsidRPr="002A39DC">
        <w:rPr>
          <w:b/>
          <w:bCs/>
        </w:rPr>
        <w:t>UIF</w:t>
      </w:r>
      <w:r w:rsidR="009453F7">
        <w:rPr>
          <w:b/>
          <w:bCs/>
        </w:rPr>
        <w:t>:</w:t>
      </w:r>
      <w:r w:rsidR="009453F7">
        <w:tab/>
      </w:r>
      <w:r w:rsidR="00575FA0">
        <w:t>I</w:t>
      </w:r>
      <w:r w:rsidR="00575FA0" w:rsidRPr="0059643A">
        <w:t>f the Commission approves consolidation, UIF should be required to file its future index and pass through filings in the same manner as the consolidation was approved.</w:t>
      </w:r>
    </w:p>
    <w:p w:rsidR="009453F7" w:rsidRDefault="009453F7" w:rsidP="009453F7">
      <w:pPr>
        <w:ind w:left="1440" w:hanging="1440"/>
        <w:jc w:val="both"/>
      </w:pPr>
    </w:p>
    <w:p w:rsidR="009453F7" w:rsidRDefault="002A39DC" w:rsidP="009453F7">
      <w:pPr>
        <w:ind w:left="1440" w:hanging="1440"/>
        <w:jc w:val="both"/>
      </w:pPr>
      <w:r w:rsidRPr="002A39DC">
        <w:rPr>
          <w:b/>
          <w:bCs/>
        </w:rPr>
        <w:t>OPC</w:t>
      </w:r>
      <w:r w:rsidR="009453F7">
        <w:rPr>
          <w:b/>
          <w:bCs/>
        </w:rPr>
        <w:t>:</w:t>
      </w:r>
      <w:r w:rsidR="009453F7">
        <w:tab/>
      </w:r>
      <w:r w:rsidR="000076EB" w:rsidRPr="00B463BF">
        <w:t xml:space="preserve">Customers should benefit from any lower index or pass through type costs as well as increases that are created by consolidation.  Thus, if the Commission approves </w:t>
      </w:r>
      <w:r w:rsidR="000076EB" w:rsidRPr="00B463BF">
        <w:lastRenderedPageBreak/>
        <w:t>consolidation, UIF should be required to file its future index and pass through filings in the same manner as the consolidation was approved.</w:t>
      </w:r>
    </w:p>
    <w:p w:rsidR="009453F7" w:rsidRDefault="009453F7" w:rsidP="009453F7">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31447E">
        <w:rPr>
          <w:bCs/>
        </w:rPr>
        <w:t>No position</w:t>
      </w:r>
      <w:r w:rsidR="0031447E" w:rsidRPr="005408B7">
        <w:rPr>
          <w:bCs/>
        </w:rPr>
        <w:t>.</w:t>
      </w:r>
    </w:p>
    <w:p w:rsidR="009453F7" w:rsidRDefault="002A39DC" w:rsidP="009453F7">
      <w:pPr>
        <w:spacing w:after="240"/>
        <w:ind w:left="1440" w:hanging="1440"/>
        <w:jc w:val="both"/>
        <w:rPr>
          <w:bCs/>
        </w:rPr>
      </w:pPr>
      <w:r w:rsidRPr="002A39DC">
        <w:rPr>
          <w:b/>
          <w:bCs/>
        </w:rPr>
        <w:t>Staff</w:t>
      </w:r>
      <w:r w:rsidR="009453F7">
        <w:rPr>
          <w:b/>
          <w:bCs/>
        </w:rPr>
        <w:t>:</w:t>
      </w:r>
      <w:r w:rsidR="009453F7">
        <w:rPr>
          <w:b/>
          <w:bCs/>
        </w:rPr>
        <w:tab/>
      </w:r>
      <w:r w:rsidR="00AA2605">
        <w:t>Staff takes no position pending evidence adduced at hearing.</w:t>
      </w:r>
    </w:p>
    <w:p w:rsidR="00F73A23" w:rsidRDefault="00F73A23" w:rsidP="009453F7">
      <w:pPr>
        <w:ind w:left="1440" w:hanging="1440"/>
        <w:jc w:val="both"/>
        <w:rPr>
          <w:b/>
          <w:bCs/>
          <w:u w:val="single"/>
        </w:rPr>
      </w:pPr>
    </w:p>
    <w:p w:rsidR="009453F7" w:rsidRDefault="009453F7" w:rsidP="009453F7">
      <w:pPr>
        <w:ind w:left="1440" w:hanging="1440"/>
        <w:jc w:val="both"/>
      </w:pPr>
      <w:r>
        <w:rPr>
          <w:b/>
          <w:bCs/>
          <w:u w:val="single"/>
        </w:rPr>
        <w:t>ISSUE 78</w:t>
      </w:r>
      <w:r>
        <w:rPr>
          <w:b/>
          <w:bCs/>
        </w:rPr>
        <w:t>:</w:t>
      </w:r>
      <w:r>
        <w:tab/>
      </w:r>
      <w:r>
        <w:rPr>
          <w:b/>
        </w:rPr>
        <w:t>How should the Utilities</w:t>
      </w:r>
      <w:r w:rsidRPr="00832CD5">
        <w:rPr>
          <w:b/>
        </w:rPr>
        <w:t xml:space="preserve"> treat its in-state FPSC-regulated accounting, filing, and reporting requirements?</w:t>
      </w:r>
    </w:p>
    <w:p w:rsidR="009453F7" w:rsidRDefault="009453F7" w:rsidP="009453F7">
      <w:pPr>
        <w:ind w:left="1440" w:hanging="1440"/>
        <w:jc w:val="both"/>
      </w:pPr>
    </w:p>
    <w:p w:rsidR="009453F7" w:rsidRDefault="002A39DC" w:rsidP="009453F7">
      <w:pPr>
        <w:ind w:left="1440" w:hanging="1440"/>
        <w:jc w:val="both"/>
      </w:pPr>
      <w:r w:rsidRPr="002A39DC">
        <w:rPr>
          <w:b/>
          <w:bCs/>
        </w:rPr>
        <w:t>POSITIONS</w:t>
      </w:r>
    </w:p>
    <w:p w:rsidR="009453F7" w:rsidRDefault="009453F7" w:rsidP="009453F7">
      <w:pPr>
        <w:ind w:left="1440" w:hanging="1440"/>
        <w:jc w:val="both"/>
      </w:pPr>
    </w:p>
    <w:p w:rsidR="009453F7" w:rsidRDefault="002A39DC" w:rsidP="009453F7">
      <w:pPr>
        <w:ind w:left="1440" w:hanging="1440"/>
        <w:jc w:val="both"/>
      </w:pPr>
      <w:r w:rsidRPr="002A39DC">
        <w:rPr>
          <w:b/>
          <w:bCs/>
        </w:rPr>
        <w:t>UIF</w:t>
      </w:r>
      <w:r w:rsidR="009453F7">
        <w:rPr>
          <w:b/>
          <w:bCs/>
        </w:rPr>
        <w:t>:</w:t>
      </w:r>
      <w:r w:rsidR="009453F7">
        <w:tab/>
      </w:r>
      <w:r w:rsidR="003A5CE4">
        <w:t>Such filings should be made on a consolidated basis.</w:t>
      </w:r>
    </w:p>
    <w:p w:rsidR="009453F7" w:rsidRDefault="009453F7" w:rsidP="009453F7">
      <w:pPr>
        <w:ind w:left="1440" w:hanging="1440"/>
        <w:jc w:val="both"/>
      </w:pPr>
    </w:p>
    <w:p w:rsidR="009453F7" w:rsidRDefault="002A39DC" w:rsidP="009453F7">
      <w:pPr>
        <w:ind w:left="1440" w:hanging="1440"/>
        <w:jc w:val="both"/>
      </w:pPr>
      <w:r w:rsidRPr="002A39DC">
        <w:rPr>
          <w:b/>
          <w:bCs/>
        </w:rPr>
        <w:t>OPC</w:t>
      </w:r>
      <w:r w:rsidR="009453F7">
        <w:rPr>
          <w:b/>
          <w:bCs/>
        </w:rPr>
        <w:t>:</w:t>
      </w:r>
      <w:r w:rsidR="009453F7">
        <w:tab/>
      </w:r>
      <w:r w:rsidR="0041522E" w:rsidRPr="00B463BF">
        <w:t>UIF should continue to maintain an accounting system that records rate base items on a system basis. These records will be necessary for future retirements and adjustments such as used and useful. All direct revenue and expense items should also be maintained on a system basis. Costs to be allocated must be maintained in a manner that will facilitate allocation when necessary. These requirements should be maintained for every purpose for accounting, filing, and reporting requirements.</w:t>
      </w:r>
    </w:p>
    <w:p w:rsidR="009453F7" w:rsidRDefault="009453F7" w:rsidP="009453F7">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CA4255" w:rsidRPr="00CA4255">
        <w:rPr>
          <w:bCs/>
        </w:rPr>
        <w:t>Agree with Public Counsel.</w:t>
      </w:r>
    </w:p>
    <w:p w:rsidR="009453F7" w:rsidRDefault="002A39DC" w:rsidP="009453F7">
      <w:pPr>
        <w:spacing w:after="240"/>
        <w:ind w:left="1440" w:hanging="1440"/>
        <w:jc w:val="both"/>
        <w:rPr>
          <w:bCs/>
        </w:rPr>
      </w:pPr>
      <w:r w:rsidRPr="002A39DC">
        <w:rPr>
          <w:b/>
          <w:bCs/>
        </w:rPr>
        <w:t>Staff</w:t>
      </w:r>
      <w:r w:rsidR="009453F7">
        <w:rPr>
          <w:b/>
          <w:bCs/>
        </w:rPr>
        <w:t>:</w:t>
      </w:r>
      <w:r w:rsidR="009453F7">
        <w:rPr>
          <w:b/>
          <w:bCs/>
        </w:rPr>
        <w:tab/>
      </w:r>
      <w:r w:rsidR="00E53487">
        <w:t>Staff takes no position pending evidence adduced at hearing.</w:t>
      </w:r>
    </w:p>
    <w:p w:rsidR="00F73A23" w:rsidRDefault="00F73A23" w:rsidP="009453F7">
      <w:pPr>
        <w:ind w:left="1440" w:hanging="1440"/>
        <w:jc w:val="both"/>
        <w:rPr>
          <w:b/>
          <w:bCs/>
          <w:u w:val="single"/>
        </w:rPr>
      </w:pPr>
    </w:p>
    <w:p w:rsidR="009453F7" w:rsidRDefault="009453F7" w:rsidP="009453F7">
      <w:pPr>
        <w:ind w:left="1440" w:hanging="1440"/>
        <w:jc w:val="both"/>
      </w:pPr>
      <w:r>
        <w:rPr>
          <w:b/>
          <w:bCs/>
          <w:u w:val="single"/>
        </w:rPr>
        <w:t>ISSUE 79</w:t>
      </w:r>
      <w:r>
        <w:rPr>
          <w:b/>
          <w:bCs/>
        </w:rPr>
        <w:t>:</w:t>
      </w:r>
      <w:r>
        <w:tab/>
      </w:r>
      <w:r w:rsidR="0056327C" w:rsidRPr="00832CD5">
        <w:rPr>
          <w:b/>
        </w:rPr>
        <w:t>Did the Utility appropriately record the Commission Ordered Adjustments to the books and records? If not, what action, if any, should be taken?</w:t>
      </w:r>
    </w:p>
    <w:p w:rsidR="009453F7" w:rsidRDefault="009453F7" w:rsidP="009453F7">
      <w:pPr>
        <w:ind w:left="1440" w:hanging="1440"/>
        <w:jc w:val="both"/>
      </w:pPr>
    </w:p>
    <w:p w:rsidR="009453F7" w:rsidRDefault="002A39DC" w:rsidP="009453F7">
      <w:pPr>
        <w:ind w:left="1440" w:hanging="1440"/>
        <w:jc w:val="both"/>
      </w:pPr>
      <w:r w:rsidRPr="002A39DC">
        <w:rPr>
          <w:b/>
          <w:bCs/>
        </w:rPr>
        <w:t>POSITIONS</w:t>
      </w:r>
    </w:p>
    <w:p w:rsidR="009453F7" w:rsidRDefault="009453F7" w:rsidP="009453F7">
      <w:pPr>
        <w:ind w:left="1440" w:hanging="1440"/>
        <w:jc w:val="both"/>
      </w:pPr>
    </w:p>
    <w:p w:rsidR="009453F7" w:rsidRDefault="002A39DC" w:rsidP="009453F7">
      <w:pPr>
        <w:ind w:left="1440" w:hanging="1440"/>
        <w:jc w:val="both"/>
      </w:pPr>
      <w:r w:rsidRPr="002A39DC">
        <w:rPr>
          <w:b/>
          <w:bCs/>
        </w:rPr>
        <w:t>UIF</w:t>
      </w:r>
      <w:r w:rsidR="009453F7">
        <w:rPr>
          <w:b/>
          <w:bCs/>
        </w:rPr>
        <w:t>:</w:t>
      </w:r>
      <w:r w:rsidR="009453F7">
        <w:tab/>
      </w:r>
      <w:r w:rsidR="003A5CE4">
        <w:t>The Utility did substantially comply with booking Commission Ordered Adjustments.</w:t>
      </w:r>
    </w:p>
    <w:p w:rsidR="009453F7" w:rsidRDefault="009453F7" w:rsidP="009453F7">
      <w:pPr>
        <w:ind w:left="1440" w:hanging="1440"/>
        <w:jc w:val="both"/>
      </w:pPr>
    </w:p>
    <w:p w:rsidR="009453F7" w:rsidRDefault="002A39DC" w:rsidP="009453F7">
      <w:pPr>
        <w:ind w:left="1440" w:hanging="1440"/>
        <w:jc w:val="both"/>
      </w:pPr>
      <w:r w:rsidRPr="002A39DC">
        <w:rPr>
          <w:b/>
          <w:bCs/>
        </w:rPr>
        <w:t>OPC</w:t>
      </w:r>
      <w:r w:rsidR="009453F7">
        <w:rPr>
          <w:b/>
          <w:bCs/>
        </w:rPr>
        <w:t>:</w:t>
      </w:r>
      <w:r w:rsidR="009453F7">
        <w:tab/>
      </w:r>
      <w:r w:rsidR="0041522E" w:rsidRPr="00B463BF">
        <w:t>No.  Since UIF considers itself to be a premier water and wastewater utility in the state, it should be held to that standard.  Since UIF has failed to appropriately and timely record Commission Ordered Adjustments for many systems, UIF should be ordered to show cause for its failure to comply with the Commission’s previous orders.  Alternatively, the Commission should open up an investigatory docket to determine whether UIF should be ordered to show cause.</w:t>
      </w:r>
    </w:p>
    <w:p w:rsidR="009453F7" w:rsidRDefault="009453F7" w:rsidP="009453F7">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CA4255" w:rsidRPr="00CA4255">
        <w:rPr>
          <w:bCs/>
        </w:rPr>
        <w:t xml:space="preserve">No. UIF suggests that its affiliate is responsible for accounting and record keeping services among other things. Commission audits in this proceeding and prior proceeding consistently have shown not only inadequacies in accounting and </w:t>
      </w:r>
      <w:r w:rsidR="00CA4255" w:rsidRPr="00CA4255">
        <w:rPr>
          <w:bCs/>
        </w:rPr>
        <w:lastRenderedPageBreak/>
        <w:t>record keeping but a flagrant UIF refusal to correct these issues after repeatedly being informed by the Commission and its staff that they exist. UIF should not be rewarded for these deficiencies. The Commission should disallow any allocation from the affiliate related to accounting or record keeping from UIF’s affiliate.</w:t>
      </w:r>
    </w:p>
    <w:p w:rsidR="009453F7" w:rsidRDefault="002A39DC" w:rsidP="009453F7">
      <w:pPr>
        <w:spacing w:after="240"/>
        <w:ind w:left="1440" w:hanging="1440"/>
        <w:jc w:val="both"/>
        <w:rPr>
          <w:bCs/>
        </w:rPr>
      </w:pPr>
      <w:r w:rsidRPr="002A39DC">
        <w:rPr>
          <w:b/>
          <w:bCs/>
        </w:rPr>
        <w:t>Staff</w:t>
      </w:r>
      <w:r w:rsidR="009453F7">
        <w:rPr>
          <w:b/>
          <w:bCs/>
        </w:rPr>
        <w:t>:</w:t>
      </w:r>
      <w:r w:rsidR="009453F7">
        <w:rPr>
          <w:b/>
          <w:bCs/>
        </w:rPr>
        <w:tab/>
      </w:r>
      <w:r w:rsidR="0056327C">
        <w:t>Staff takes no position pending evidence adduced at hearing.</w:t>
      </w:r>
    </w:p>
    <w:p w:rsidR="00F73A23" w:rsidRDefault="00F73A23" w:rsidP="0056327C">
      <w:pPr>
        <w:ind w:left="1440" w:hanging="1440"/>
        <w:jc w:val="both"/>
        <w:rPr>
          <w:b/>
          <w:bCs/>
          <w:u w:val="single"/>
        </w:rPr>
      </w:pPr>
    </w:p>
    <w:p w:rsidR="0056327C" w:rsidRDefault="0056327C" w:rsidP="0056327C">
      <w:pPr>
        <w:ind w:left="1440" w:hanging="1440"/>
        <w:jc w:val="both"/>
      </w:pPr>
      <w:r>
        <w:rPr>
          <w:b/>
          <w:bCs/>
          <w:u w:val="single"/>
        </w:rPr>
        <w:t>ISSUE 80</w:t>
      </w:r>
      <w:r>
        <w:rPr>
          <w:b/>
          <w:bCs/>
        </w:rPr>
        <w:t>:</w:t>
      </w:r>
      <w:r>
        <w:tab/>
      </w:r>
      <w:r w:rsidRPr="00832CD5">
        <w:rPr>
          <w:b/>
        </w:rPr>
        <w:t>Did the Utility properly provide support to the auditors for pool vehicles and special equipment as well as the calculation for determining transportation expense per vehicle, and payroll schedules by employee to audit staff as in prior rate cases?  If not, what action, if any, should be taken?</w:t>
      </w:r>
    </w:p>
    <w:p w:rsidR="0056327C" w:rsidRDefault="0056327C" w:rsidP="0056327C">
      <w:pPr>
        <w:ind w:left="1440" w:hanging="1440"/>
        <w:jc w:val="both"/>
      </w:pPr>
    </w:p>
    <w:p w:rsidR="0056327C" w:rsidRDefault="002A39DC" w:rsidP="0056327C">
      <w:pPr>
        <w:ind w:left="1440" w:hanging="1440"/>
        <w:jc w:val="both"/>
      </w:pPr>
      <w:r w:rsidRPr="002A39DC">
        <w:rPr>
          <w:b/>
          <w:bCs/>
        </w:rPr>
        <w:t>POSITIONS</w:t>
      </w:r>
    </w:p>
    <w:p w:rsidR="0056327C" w:rsidRDefault="0056327C" w:rsidP="0056327C">
      <w:pPr>
        <w:ind w:left="1440" w:hanging="1440"/>
        <w:jc w:val="both"/>
      </w:pPr>
    </w:p>
    <w:p w:rsidR="0056327C" w:rsidRDefault="002A39DC" w:rsidP="0056327C">
      <w:pPr>
        <w:ind w:left="1440" w:hanging="1440"/>
        <w:jc w:val="both"/>
      </w:pPr>
      <w:r w:rsidRPr="002A39DC">
        <w:rPr>
          <w:b/>
          <w:bCs/>
        </w:rPr>
        <w:t>UIF</w:t>
      </w:r>
      <w:r w:rsidR="0056327C">
        <w:rPr>
          <w:b/>
          <w:bCs/>
        </w:rPr>
        <w:t>:</w:t>
      </w:r>
      <w:r w:rsidR="0056327C">
        <w:tab/>
      </w:r>
      <w:r w:rsidR="003A5CE4">
        <w:t>The Utility provided all documentation requested by the auditors.</w:t>
      </w:r>
    </w:p>
    <w:p w:rsidR="0056327C" w:rsidRDefault="0056327C" w:rsidP="0056327C">
      <w:pPr>
        <w:ind w:left="1440" w:hanging="1440"/>
        <w:jc w:val="both"/>
      </w:pPr>
    </w:p>
    <w:p w:rsidR="0056327C" w:rsidRDefault="002A39DC" w:rsidP="0056327C">
      <w:pPr>
        <w:ind w:left="1440" w:hanging="1440"/>
        <w:jc w:val="both"/>
      </w:pPr>
      <w:r w:rsidRPr="002A39DC">
        <w:rPr>
          <w:b/>
          <w:bCs/>
        </w:rPr>
        <w:t>OPC</w:t>
      </w:r>
      <w:r w:rsidR="0056327C">
        <w:rPr>
          <w:b/>
          <w:bCs/>
        </w:rPr>
        <w:t>:</w:t>
      </w:r>
      <w:r w:rsidR="0056327C">
        <w:tab/>
      </w:r>
      <w:r w:rsidR="00DD212A" w:rsidRPr="00DD212A">
        <w:t>No.  For its failure to provide this information to Commission audit staff contrary to Section 367.156(1), F.S., UIF should be denied any rate increase related to transportation expense or employee salaries, including new employees.  Pursuant to Section 367.156(1), F.S., “[t]he commission shall continue to have reasonable access to all utility records and records of affiliated companies, including [the utility’s] parent company, regarding transactions or cost allocations among the utility and such affiliated companies, and such records necessary to ensure that a utility’s ratepayers do not subsidize nonutility activities….”  When the Commission through its audit, technical, legal, or other staff requests information from a utility, the utility must comply with and provide that information.  If the utility fails to provide that information, it may be sanctioned by the Commission up to and including being subject to an order to show cause.  In the context of a request for a rate increase, if the utility fails to provide any requested information for the staff auditors’ analysis and verification, then at a minimum the requested rate relief related to these costs should be denied.  No utility should not be allowed to disregard or ignore Commission orders or requests by its designated staff.</w:t>
      </w:r>
    </w:p>
    <w:p w:rsidR="0056327C" w:rsidRDefault="0056327C" w:rsidP="0056327C">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6F0C94" w:rsidRPr="006F0C94">
        <w:rPr>
          <w:bCs/>
        </w:rPr>
        <w:t>Agree with Public Counsel.</w:t>
      </w:r>
    </w:p>
    <w:p w:rsidR="0056327C" w:rsidRDefault="002A39DC" w:rsidP="0056327C">
      <w:pPr>
        <w:spacing w:after="240"/>
        <w:ind w:left="1440" w:hanging="1440"/>
        <w:jc w:val="both"/>
        <w:rPr>
          <w:bCs/>
        </w:rPr>
      </w:pPr>
      <w:r w:rsidRPr="002A39DC">
        <w:rPr>
          <w:b/>
          <w:bCs/>
        </w:rPr>
        <w:t>Staff</w:t>
      </w:r>
      <w:r w:rsidR="0056327C">
        <w:rPr>
          <w:b/>
          <w:bCs/>
        </w:rPr>
        <w:t>:</w:t>
      </w:r>
      <w:r w:rsidR="0056327C">
        <w:rPr>
          <w:b/>
          <w:bCs/>
        </w:rPr>
        <w:tab/>
      </w:r>
      <w:r w:rsidR="0056327C">
        <w:t>Staff takes no position pending evidence adduced at hearing.</w:t>
      </w:r>
    </w:p>
    <w:p w:rsidR="00F73A23" w:rsidRDefault="00F73A23" w:rsidP="0056327C">
      <w:pPr>
        <w:ind w:left="1440" w:hanging="1440"/>
        <w:jc w:val="both"/>
        <w:rPr>
          <w:b/>
          <w:bCs/>
          <w:u w:val="single"/>
        </w:rPr>
      </w:pPr>
    </w:p>
    <w:p w:rsidR="00E16FCB" w:rsidRDefault="00E16FCB" w:rsidP="0056327C">
      <w:pPr>
        <w:ind w:left="1440" w:hanging="1440"/>
        <w:jc w:val="both"/>
        <w:rPr>
          <w:b/>
          <w:bCs/>
          <w:u w:val="single"/>
        </w:rPr>
      </w:pPr>
    </w:p>
    <w:p w:rsidR="00E16FCB" w:rsidRDefault="00E16FCB">
      <w:pPr>
        <w:rPr>
          <w:b/>
          <w:bCs/>
          <w:u w:val="single"/>
        </w:rPr>
      </w:pPr>
      <w:r>
        <w:rPr>
          <w:b/>
          <w:bCs/>
          <w:u w:val="single"/>
        </w:rPr>
        <w:br w:type="page"/>
      </w:r>
    </w:p>
    <w:p w:rsidR="0056327C" w:rsidRDefault="0056327C" w:rsidP="0056327C">
      <w:pPr>
        <w:ind w:left="1440" w:hanging="1440"/>
        <w:jc w:val="both"/>
      </w:pPr>
      <w:r>
        <w:rPr>
          <w:b/>
          <w:bCs/>
          <w:u w:val="single"/>
        </w:rPr>
        <w:lastRenderedPageBreak/>
        <w:t>ISSUE 8</w:t>
      </w:r>
      <w:r w:rsidR="00DE463F">
        <w:rPr>
          <w:b/>
          <w:bCs/>
          <w:u w:val="single"/>
        </w:rPr>
        <w:t>1</w:t>
      </w:r>
      <w:r>
        <w:rPr>
          <w:b/>
          <w:bCs/>
        </w:rPr>
        <w:t>:</w:t>
      </w:r>
      <w:r>
        <w:tab/>
      </w:r>
      <w:r w:rsidRPr="00832CD5">
        <w:rPr>
          <w:b/>
        </w:rPr>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56327C" w:rsidRDefault="0056327C" w:rsidP="0056327C">
      <w:pPr>
        <w:ind w:left="1440" w:hanging="1440"/>
        <w:jc w:val="both"/>
      </w:pPr>
    </w:p>
    <w:p w:rsidR="0056327C" w:rsidRDefault="002A39DC" w:rsidP="0056327C">
      <w:pPr>
        <w:ind w:left="1440" w:hanging="1440"/>
        <w:jc w:val="both"/>
      </w:pPr>
      <w:r w:rsidRPr="002A39DC">
        <w:rPr>
          <w:b/>
          <w:bCs/>
        </w:rPr>
        <w:t>POSITIONS</w:t>
      </w:r>
    </w:p>
    <w:p w:rsidR="0056327C" w:rsidRDefault="0056327C" w:rsidP="0056327C">
      <w:pPr>
        <w:ind w:left="1440" w:hanging="1440"/>
        <w:jc w:val="both"/>
      </w:pPr>
    </w:p>
    <w:p w:rsidR="0056327C" w:rsidRDefault="002A39DC" w:rsidP="0056327C">
      <w:pPr>
        <w:ind w:left="1440" w:hanging="1440"/>
        <w:jc w:val="both"/>
      </w:pPr>
      <w:r w:rsidRPr="002A39DC">
        <w:rPr>
          <w:b/>
          <w:bCs/>
        </w:rPr>
        <w:t>UIF</w:t>
      </w:r>
      <w:r w:rsidR="0056327C">
        <w:rPr>
          <w:b/>
          <w:bCs/>
        </w:rPr>
        <w:t>:</w:t>
      </w:r>
      <w:r w:rsidR="0056327C">
        <w:tab/>
      </w:r>
      <w:r w:rsidR="003A5CE4">
        <w:t>Yes.</w:t>
      </w:r>
    </w:p>
    <w:p w:rsidR="0056327C" w:rsidRDefault="0056327C" w:rsidP="0056327C">
      <w:pPr>
        <w:ind w:left="1440" w:hanging="1440"/>
        <w:jc w:val="both"/>
      </w:pPr>
    </w:p>
    <w:p w:rsidR="0056327C" w:rsidRDefault="002A39DC" w:rsidP="0056327C">
      <w:pPr>
        <w:ind w:left="1440" w:hanging="1440"/>
        <w:jc w:val="both"/>
      </w:pPr>
      <w:r w:rsidRPr="002A39DC">
        <w:rPr>
          <w:b/>
          <w:bCs/>
        </w:rPr>
        <w:t>OPC</w:t>
      </w:r>
      <w:r w:rsidR="0056327C">
        <w:rPr>
          <w:b/>
          <w:bCs/>
        </w:rPr>
        <w:t>:</w:t>
      </w:r>
      <w:r w:rsidR="0056327C">
        <w:tab/>
      </w:r>
      <w:r w:rsidR="005C51B0" w:rsidRPr="00B463BF">
        <w:t>Yes, the Utility should be required to notify the Commission, in writing, that it has adjusted its books, and if the Company fails to do so, the Commission should order UIF to show cause for its failure to comply with Commission ordered adjustments.</w:t>
      </w:r>
    </w:p>
    <w:p w:rsidR="0056327C" w:rsidRDefault="0056327C" w:rsidP="0056327C">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6F0C94" w:rsidRPr="006F0C94">
        <w:rPr>
          <w:bCs/>
        </w:rPr>
        <w:t>Yes. In addition, UIF suggests that its affiliate is responsible for accounting and record keeping services among other things. Commission audits in this proceeding and prior proceeding consistently have shown not only inadequacies in accounting and record keeping but a flagrant UIF refusal to correct these issues after repeatedly being informed by the Commission and its staff that they exist. UIF should not be rewarded for these deficiencies. The Commission should disallow any allocation from the affiliate related to accounting or record keeping from UIF’s affiliate.</w:t>
      </w:r>
    </w:p>
    <w:p w:rsidR="0056327C" w:rsidRDefault="002A39DC" w:rsidP="0056327C">
      <w:pPr>
        <w:spacing w:after="240"/>
        <w:ind w:left="1440" w:hanging="1440"/>
        <w:jc w:val="both"/>
        <w:rPr>
          <w:bCs/>
        </w:rPr>
      </w:pPr>
      <w:r w:rsidRPr="002A39DC">
        <w:rPr>
          <w:b/>
          <w:bCs/>
        </w:rPr>
        <w:t>Staff</w:t>
      </w:r>
      <w:r w:rsidR="0056327C">
        <w:rPr>
          <w:b/>
          <w:bCs/>
        </w:rPr>
        <w:t>:</w:t>
      </w:r>
      <w:r w:rsidR="0056327C">
        <w:rPr>
          <w:b/>
          <w:bCs/>
        </w:rPr>
        <w:tab/>
      </w:r>
      <w:r w:rsidR="00E53487">
        <w:t>Staff takes no position pending evidence adduced at hearing.</w:t>
      </w:r>
    </w:p>
    <w:p w:rsidR="00F73A23" w:rsidRDefault="00F73A23" w:rsidP="00DE463F">
      <w:pPr>
        <w:ind w:left="1440" w:hanging="1440"/>
        <w:jc w:val="both"/>
        <w:rPr>
          <w:b/>
          <w:bCs/>
          <w:u w:val="single"/>
        </w:rPr>
      </w:pPr>
    </w:p>
    <w:p w:rsidR="00DE463F" w:rsidRDefault="00DE463F" w:rsidP="00DE463F">
      <w:pPr>
        <w:ind w:left="1440" w:hanging="1440"/>
        <w:jc w:val="both"/>
      </w:pPr>
      <w:r>
        <w:rPr>
          <w:b/>
          <w:bCs/>
          <w:u w:val="single"/>
        </w:rPr>
        <w:t>ISSUE 82</w:t>
      </w:r>
      <w:r>
        <w:rPr>
          <w:b/>
          <w:bCs/>
        </w:rPr>
        <w:t>:</w:t>
      </w:r>
      <w:r>
        <w:tab/>
      </w:r>
      <w:r w:rsidRPr="00D42F95">
        <w:rPr>
          <w:b/>
        </w:rPr>
        <w:t>Should this docket be closed?</w:t>
      </w:r>
    </w:p>
    <w:p w:rsidR="00DE463F" w:rsidRDefault="00DE463F" w:rsidP="00DE463F">
      <w:pPr>
        <w:ind w:left="1440" w:hanging="1440"/>
        <w:jc w:val="both"/>
      </w:pPr>
    </w:p>
    <w:p w:rsidR="00DE463F" w:rsidRDefault="002A39DC" w:rsidP="00DE463F">
      <w:pPr>
        <w:ind w:left="1440" w:hanging="1440"/>
        <w:jc w:val="both"/>
      </w:pPr>
      <w:r w:rsidRPr="002A39DC">
        <w:rPr>
          <w:b/>
          <w:bCs/>
        </w:rPr>
        <w:t>POSITIONS</w:t>
      </w:r>
    </w:p>
    <w:p w:rsidR="00DE463F" w:rsidRDefault="00DE463F" w:rsidP="00DE463F">
      <w:pPr>
        <w:ind w:left="1440" w:hanging="1440"/>
        <w:jc w:val="both"/>
      </w:pPr>
    </w:p>
    <w:p w:rsidR="00DE463F" w:rsidRDefault="002A39DC" w:rsidP="00DE463F">
      <w:pPr>
        <w:ind w:left="1440" w:hanging="1440"/>
        <w:jc w:val="both"/>
      </w:pPr>
      <w:r w:rsidRPr="002A39DC">
        <w:rPr>
          <w:b/>
          <w:bCs/>
        </w:rPr>
        <w:t>UIF</w:t>
      </w:r>
      <w:r w:rsidR="00DE463F">
        <w:rPr>
          <w:b/>
          <w:bCs/>
        </w:rPr>
        <w:t>:</w:t>
      </w:r>
      <w:r w:rsidR="00DE463F">
        <w:tab/>
      </w:r>
      <w:r w:rsidR="003A5CE4">
        <w:t>Yes</w:t>
      </w:r>
    </w:p>
    <w:p w:rsidR="00DE463F" w:rsidRDefault="00DE463F" w:rsidP="00DE463F">
      <w:pPr>
        <w:ind w:left="1440" w:hanging="1440"/>
        <w:jc w:val="both"/>
      </w:pPr>
    </w:p>
    <w:p w:rsidR="00DE463F" w:rsidRDefault="002A39DC" w:rsidP="00DE463F">
      <w:pPr>
        <w:ind w:left="1440" w:hanging="1440"/>
        <w:jc w:val="both"/>
      </w:pPr>
      <w:r w:rsidRPr="002A39DC">
        <w:rPr>
          <w:b/>
          <w:bCs/>
        </w:rPr>
        <w:t>OPC</w:t>
      </w:r>
      <w:r w:rsidR="00DE463F">
        <w:rPr>
          <w:b/>
          <w:bCs/>
        </w:rPr>
        <w:t>:</w:t>
      </w:r>
      <w:r w:rsidR="00DE463F">
        <w:tab/>
      </w:r>
      <w:r w:rsidR="00262672" w:rsidRPr="00B463BF">
        <w:t>No, the docket should remain open unless the Commission approves the opening of a separate docket for a show cause or some other investigatory proceeding.</w:t>
      </w:r>
    </w:p>
    <w:p w:rsidR="00DE463F" w:rsidRDefault="00DE463F" w:rsidP="00DE463F">
      <w:pPr>
        <w:ind w:left="1440" w:hanging="1440"/>
        <w:jc w:val="both"/>
      </w:pPr>
    </w:p>
    <w:p w:rsidR="008C4455" w:rsidRPr="00357433" w:rsidRDefault="008C4455" w:rsidP="008C4455">
      <w:pPr>
        <w:spacing w:after="240"/>
        <w:ind w:left="1440" w:hanging="1440"/>
        <w:jc w:val="both"/>
        <w:rPr>
          <w:bCs/>
        </w:rPr>
      </w:pPr>
      <w:r>
        <w:rPr>
          <w:b/>
          <w:bCs/>
        </w:rPr>
        <w:t>Summertree:</w:t>
      </w:r>
      <w:r>
        <w:rPr>
          <w:b/>
          <w:bCs/>
        </w:rPr>
        <w:tab/>
      </w:r>
      <w:r w:rsidR="00C609E6" w:rsidRPr="00C609E6">
        <w:rPr>
          <w:bCs/>
        </w:rPr>
        <w:t>Agree with Public Counsel.</w:t>
      </w:r>
    </w:p>
    <w:p w:rsidR="00DE463F" w:rsidRDefault="002A39DC" w:rsidP="00DE463F">
      <w:pPr>
        <w:spacing w:after="240"/>
        <w:ind w:left="1440" w:hanging="1440"/>
        <w:jc w:val="both"/>
      </w:pPr>
      <w:r w:rsidRPr="002A39DC">
        <w:rPr>
          <w:b/>
          <w:bCs/>
        </w:rPr>
        <w:t>Staff</w:t>
      </w:r>
      <w:r w:rsidR="00DE463F">
        <w:rPr>
          <w:b/>
          <w:bCs/>
        </w:rPr>
        <w:t>:</w:t>
      </w:r>
      <w:r w:rsidR="00DE463F">
        <w:rPr>
          <w:b/>
          <w:bCs/>
        </w:rPr>
        <w:tab/>
      </w:r>
      <w:r w:rsidR="00DE463F">
        <w:t>Staff takes no position pending evidence adduced at hearing.</w:t>
      </w:r>
    </w:p>
    <w:p w:rsidR="006A1BD3" w:rsidRDefault="006A1BD3">
      <w:pPr>
        <w:rPr>
          <w:b/>
        </w:rPr>
      </w:pPr>
    </w:p>
    <w:p w:rsidR="003140BB" w:rsidRDefault="003140BB">
      <w:pPr>
        <w:rPr>
          <w:b/>
        </w:rPr>
      </w:pPr>
    </w:p>
    <w:p w:rsidR="003140BB" w:rsidRDefault="003140BB">
      <w:pPr>
        <w:rPr>
          <w:b/>
        </w:rPr>
      </w:pPr>
      <w:r>
        <w:rPr>
          <w:b/>
        </w:rPr>
        <w:br w:type="page"/>
      </w:r>
    </w:p>
    <w:p w:rsidR="0052086C" w:rsidRPr="00652860" w:rsidRDefault="0052086C" w:rsidP="0052086C">
      <w:pPr>
        <w:jc w:val="both"/>
        <w:rPr>
          <w:b/>
        </w:rPr>
      </w:pPr>
      <w:r w:rsidRPr="00652860">
        <w:rPr>
          <w:b/>
        </w:rPr>
        <w:lastRenderedPageBreak/>
        <w:t>IX.</w:t>
      </w:r>
      <w:r w:rsidRPr="00652860">
        <w:rPr>
          <w:b/>
        </w:rPr>
        <w:tab/>
      </w:r>
      <w:r w:rsidRPr="00652860">
        <w:rPr>
          <w:b/>
          <w:u w:val="single"/>
        </w:rPr>
        <w:t>EXHIBIT LIST</w:t>
      </w:r>
    </w:p>
    <w:p w:rsidR="0052086C" w:rsidRPr="00701945" w:rsidRDefault="0052086C" w:rsidP="0052086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700"/>
        <w:gridCol w:w="1260"/>
        <w:gridCol w:w="1440"/>
        <w:gridCol w:w="4165"/>
      </w:tblGrid>
      <w:tr w:rsidR="0052086C" w:rsidRPr="00701945" w:rsidTr="002C4FF2">
        <w:trPr>
          <w:cantSplit/>
          <w:trHeight w:val="373"/>
          <w:tblHeader/>
        </w:trPr>
        <w:tc>
          <w:tcPr>
            <w:tcW w:w="2700" w:type="dxa"/>
            <w:tcBorders>
              <w:top w:val="nil"/>
              <w:left w:val="nil"/>
              <w:bottom w:val="nil"/>
              <w:right w:val="nil"/>
            </w:tcBorders>
          </w:tcPr>
          <w:p w:rsidR="0052086C" w:rsidRPr="00701945" w:rsidRDefault="0052086C" w:rsidP="003414D4">
            <w:pPr>
              <w:jc w:val="both"/>
            </w:pPr>
            <w:r w:rsidRPr="00701945">
              <w:rPr>
                <w:u w:val="single"/>
              </w:rPr>
              <w:t>Witness</w:t>
            </w:r>
          </w:p>
        </w:tc>
        <w:tc>
          <w:tcPr>
            <w:tcW w:w="1260" w:type="dxa"/>
            <w:tcBorders>
              <w:top w:val="nil"/>
              <w:left w:val="nil"/>
              <w:bottom w:val="nil"/>
              <w:right w:val="nil"/>
            </w:tcBorders>
          </w:tcPr>
          <w:p w:rsidR="0052086C" w:rsidRPr="00701945" w:rsidRDefault="0052086C" w:rsidP="003414D4">
            <w:pPr>
              <w:jc w:val="center"/>
            </w:pPr>
            <w:r w:rsidRPr="00701945">
              <w:rPr>
                <w:u w:val="single"/>
              </w:rPr>
              <w:t>Proffered By</w:t>
            </w:r>
          </w:p>
        </w:tc>
        <w:tc>
          <w:tcPr>
            <w:tcW w:w="1440" w:type="dxa"/>
            <w:tcBorders>
              <w:top w:val="nil"/>
              <w:left w:val="nil"/>
              <w:bottom w:val="nil"/>
              <w:right w:val="nil"/>
            </w:tcBorders>
          </w:tcPr>
          <w:p w:rsidR="0052086C" w:rsidRPr="004515FB" w:rsidRDefault="0052086C" w:rsidP="003414D4">
            <w:pPr>
              <w:jc w:val="center"/>
            </w:pPr>
          </w:p>
        </w:tc>
        <w:tc>
          <w:tcPr>
            <w:tcW w:w="4165" w:type="dxa"/>
            <w:tcBorders>
              <w:top w:val="nil"/>
              <w:left w:val="nil"/>
              <w:bottom w:val="nil"/>
              <w:right w:val="nil"/>
            </w:tcBorders>
          </w:tcPr>
          <w:p w:rsidR="0052086C" w:rsidRPr="00701945" w:rsidRDefault="0052086C" w:rsidP="003414D4">
            <w:pPr>
              <w:jc w:val="both"/>
            </w:pPr>
            <w:r w:rsidRPr="00701945">
              <w:rPr>
                <w:u w:val="single"/>
              </w:rPr>
              <w:t>Description</w:t>
            </w:r>
          </w:p>
        </w:tc>
      </w:tr>
      <w:tr w:rsidR="0059534A" w:rsidRPr="00701945" w:rsidTr="002C4FF2">
        <w:trPr>
          <w:cantSplit/>
          <w:trHeight w:val="353"/>
        </w:trPr>
        <w:tc>
          <w:tcPr>
            <w:tcW w:w="2700" w:type="dxa"/>
            <w:tcBorders>
              <w:top w:val="nil"/>
              <w:left w:val="nil"/>
              <w:bottom w:val="nil"/>
              <w:right w:val="nil"/>
            </w:tcBorders>
          </w:tcPr>
          <w:p w:rsidR="0059534A" w:rsidRPr="0097602B" w:rsidRDefault="0059534A" w:rsidP="003414D4">
            <w:pPr>
              <w:jc w:val="both"/>
              <w:rPr>
                <w:b/>
              </w:rPr>
            </w:pPr>
            <w:r w:rsidRPr="00701945">
              <w:tab/>
            </w:r>
            <w:r w:rsidRPr="0097602B">
              <w:rPr>
                <w:b/>
                <w:u w:val="single"/>
              </w:rPr>
              <w:t>Direct</w:t>
            </w:r>
          </w:p>
        </w:tc>
        <w:tc>
          <w:tcPr>
            <w:tcW w:w="1260" w:type="dxa"/>
            <w:tcBorders>
              <w:top w:val="nil"/>
              <w:left w:val="nil"/>
              <w:bottom w:val="nil"/>
              <w:right w:val="nil"/>
            </w:tcBorders>
          </w:tcPr>
          <w:p w:rsidR="0059534A" w:rsidRPr="00701945" w:rsidRDefault="0059534A" w:rsidP="003414D4">
            <w:pPr>
              <w:jc w:val="center"/>
            </w:pPr>
          </w:p>
        </w:tc>
        <w:tc>
          <w:tcPr>
            <w:tcW w:w="1440" w:type="dxa"/>
            <w:tcBorders>
              <w:top w:val="nil"/>
              <w:left w:val="nil"/>
              <w:bottom w:val="nil"/>
              <w:right w:val="nil"/>
            </w:tcBorders>
          </w:tcPr>
          <w:p w:rsidR="0059534A" w:rsidRPr="001F7758" w:rsidRDefault="0059534A" w:rsidP="0059534A">
            <w:pPr>
              <w:spacing w:after="120"/>
              <w:jc w:val="center"/>
            </w:pPr>
          </w:p>
        </w:tc>
        <w:tc>
          <w:tcPr>
            <w:tcW w:w="4165" w:type="dxa"/>
            <w:tcBorders>
              <w:top w:val="nil"/>
              <w:left w:val="nil"/>
              <w:bottom w:val="nil"/>
              <w:right w:val="nil"/>
            </w:tcBorders>
          </w:tcPr>
          <w:p w:rsidR="0059534A" w:rsidRPr="001F7758" w:rsidRDefault="0059534A" w:rsidP="00F0011E">
            <w:pPr>
              <w:spacing w:after="120"/>
            </w:pPr>
          </w:p>
        </w:tc>
      </w:tr>
      <w:tr w:rsidR="00631D61" w:rsidTr="00631D61">
        <w:trPr>
          <w:cantSplit/>
          <w:trHeight w:val="726"/>
        </w:trPr>
        <w:tc>
          <w:tcPr>
            <w:tcW w:w="2700" w:type="dxa"/>
            <w:tcBorders>
              <w:top w:val="nil"/>
              <w:left w:val="nil"/>
              <w:bottom w:val="nil"/>
              <w:right w:val="nil"/>
            </w:tcBorders>
          </w:tcPr>
          <w:p w:rsidR="00631D61" w:rsidRDefault="00631D61">
            <w:pPr>
              <w:spacing w:after="120"/>
            </w:pPr>
            <w:r>
              <w:t>John P. Hoy</w:t>
            </w:r>
          </w:p>
        </w:tc>
        <w:tc>
          <w:tcPr>
            <w:tcW w:w="1260" w:type="dxa"/>
            <w:tcBorders>
              <w:top w:val="nil"/>
              <w:left w:val="nil"/>
              <w:bottom w:val="nil"/>
              <w:right w:val="nil"/>
            </w:tcBorders>
          </w:tcPr>
          <w:p w:rsidR="00631D61" w:rsidRDefault="00631D61">
            <w:pPr>
              <w:jc w:val="center"/>
            </w:pPr>
            <w:r>
              <w:t>UIF</w:t>
            </w:r>
          </w:p>
        </w:tc>
        <w:tc>
          <w:tcPr>
            <w:tcW w:w="1440" w:type="dxa"/>
            <w:tcBorders>
              <w:top w:val="nil"/>
              <w:left w:val="nil"/>
              <w:bottom w:val="nil"/>
              <w:right w:val="nil"/>
            </w:tcBorders>
          </w:tcPr>
          <w:p w:rsidR="00631D61" w:rsidRDefault="00631D61">
            <w:pPr>
              <w:spacing w:after="120"/>
              <w:jc w:val="center"/>
            </w:pPr>
            <w:r>
              <w:t>JPH-1</w:t>
            </w:r>
          </w:p>
        </w:tc>
        <w:tc>
          <w:tcPr>
            <w:tcW w:w="4165" w:type="dxa"/>
            <w:tcBorders>
              <w:top w:val="nil"/>
              <w:left w:val="nil"/>
              <w:bottom w:val="nil"/>
              <w:right w:val="nil"/>
            </w:tcBorders>
          </w:tcPr>
          <w:p w:rsidR="00631D61" w:rsidRDefault="00631D61">
            <w:pPr>
              <w:spacing w:after="120"/>
            </w:pPr>
            <w:r>
              <w:t>Resume of John P. Hoy</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John F. Guastella</w:t>
            </w:r>
          </w:p>
        </w:tc>
        <w:tc>
          <w:tcPr>
            <w:tcW w:w="1260" w:type="dxa"/>
            <w:tcBorders>
              <w:top w:val="nil"/>
              <w:left w:val="nil"/>
              <w:bottom w:val="nil"/>
              <w:right w:val="nil"/>
            </w:tcBorders>
          </w:tcPr>
          <w:p w:rsidR="0059534A" w:rsidRPr="00701945" w:rsidRDefault="0059534A" w:rsidP="003414D4">
            <w:pPr>
              <w:jc w:val="center"/>
            </w:pPr>
            <w:r>
              <w:t>UIF</w:t>
            </w:r>
          </w:p>
        </w:tc>
        <w:tc>
          <w:tcPr>
            <w:tcW w:w="1440" w:type="dxa"/>
            <w:tcBorders>
              <w:top w:val="nil"/>
              <w:left w:val="nil"/>
              <w:bottom w:val="nil"/>
              <w:right w:val="nil"/>
            </w:tcBorders>
          </w:tcPr>
          <w:p w:rsidR="0059534A" w:rsidRPr="001F7758" w:rsidRDefault="0059534A" w:rsidP="00F0011E">
            <w:pPr>
              <w:spacing w:after="120"/>
              <w:jc w:val="center"/>
            </w:pPr>
            <w:r>
              <w:t>JFG-1</w:t>
            </w:r>
          </w:p>
        </w:tc>
        <w:tc>
          <w:tcPr>
            <w:tcW w:w="4165" w:type="dxa"/>
            <w:tcBorders>
              <w:top w:val="nil"/>
              <w:left w:val="nil"/>
              <w:bottom w:val="nil"/>
              <w:right w:val="nil"/>
            </w:tcBorders>
          </w:tcPr>
          <w:p w:rsidR="0059534A" w:rsidRPr="001F7758" w:rsidRDefault="0059534A" w:rsidP="00F0011E">
            <w:pPr>
              <w:spacing w:after="120"/>
            </w:pPr>
            <w:r>
              <w:t>Statement of Qualifications</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John F. Guastella</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JFG-2</w:t>
            </w:r>
          </w:p>
        </w:tc>
        <w:tc>
          <w:tcPr>
            <w:tcW w:w="4165" w:type="dxa"/>
            <w:tcBorders>
              <w:top w:val="nil"/>
              <w:left w:val="nil"/>
              <w:bottom w:val="nil"/>
              <w:right w:val="nil"/>
            </w:tcBorders>
          </w:tcPr>
          <w:p w:rsidR="0059534A" w:rsidRPr="001F7758" w:rsidRDefault="0059534A" w:rsidP="00F0011E">
            <w:pPr>
              <w:spacing w:after="120"/>
            </w:pPr>
            <w:r>
              <w:t>Water Rate Design</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John F. Guastella</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JFG-3</w:t>
            </w:r>
          </w:p>
        </w:tc>
        <w:tc>
          <w:tcPr>
            <w:tcW w:w="4165" w:type="dxa"/>
            <w:tcBorders>
              <w:top w:val="nil"/>
              <w:left w:val="nil"/>
              <w:bottom w:val="nil"/>
              <w:right w:val="nil"/>
            </w:tcBorders>
          </w:tcPr>
          <w:p w:rsidR="0059534A" w:rsidRPr="001F7758" w:rsidRDefault="0059534A" w:rsidP="00F0011E">
            <w:pPr>
              <w:spacing w:after="120"/>
            </w:pPr>
            <w:r>
              <w:t>Wastewater Rate Design</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John F. Guastella</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JFG-4</w:t>
            </w:r>
          </w:p>
        </w:tc>
        <w:tc>
          <w:tcPr>
            <w:tcW w:w="4165" w:type="dxa"/>
            <w:tcBorders>
              <w:top w:val="nil"/>
              <w:left w:val="nil"/>
              <w:bottom w:val="nil"/>
              <w:right w:val="nil"/>
            </w:tcBorders>
          </w:tcPr>
          <w:p w:rsidR="0059534A" w:rsidRPr="001F7758" w:rsidRDefault="0059534A" w:rsidP="00F0011E">
            <w:pPr>
              <w:spacing w:after="120"/>
            </w:pPr>
            <w:r>
              <w:t>Water Rate Comparisons</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John F. Guastella</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JFG-5</w:t>
            </w:r>
          </w:p>
        </w:tc>
        <w:tc>
          <w:tcPr>
            <w:tcW w:w="4165" w:type="dxa"/>
            <w:tcBorders>
              <w:top w:val="nil"/>
              <w:left w:val="nil"/>
              <w:bottom w:val="nil"/>
              <w:right w:val="nil"/>
            </w:tcBorders>
          </w:tcPr>
          <w:p w:rsidR="0059534A" w:rsidRPr="001F7758" w:rsidRDefault="0059534A" w:rsidP="00F0011E">
            <w:pPr>
              <w:spacing w:after="120"/>
            </w:pPr>
            <w:r>
              <w:t>Wastewater Rate Comparisons</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Jared Deason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JD-1</w:t>
            </w:r>
          </w:p>
        </w:tc>
        <w:tc>
          <w:tcPr>
            <w:tcW w:w="4165" w:type="dxa"/>
            <w:tcBorders>
              <w:top w:val="nil"/>
              <w:left w:val="nil"/>
              <w:bottom w:val="nil"/>
              <w:right w:val="nil"/>
            </w:tcBorders>
          </w:tcPr>
          <w:p w:rsidR="0059534A" w:rsidRPr="001F7758" w:rsidRDefault="0059534A" w:rsidP="00F0011E">
            <w:pPr>
              <w:spacing w:after="120"/>
            </w:pPr>
            <w:r>
              <w:t>Billing Analysis</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Jared Deason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JD-2</w:t>
            </w:r>
          </w:p>
        </w:tc>
        <w:tc>
          <w:tcPr>
            <w:tcW w:w="4165" w:type="dxa"/>
            <w:tcBorders>
              <w:top w:val="nil"/>
              <w:left w:val="nil"/>
              <w:bottom w:val="nil"/>
              <w:right w:val="nil"/>
            </w:tcBorders>
          </w:tcPr>
          <w:p w:rsidR="0059534A" w:rsidRPr="001F7758" w:rsidRDefault="0059534A" w:rsidP="00F0011E">
            <w:pPr>
              <w:spacing w:after="120"/>
            </w:pPr>
            <w:r>
              <w:t>Allocation Manuals</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Jared Deason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JD-3</w:t>
            </w:r>
          </w:p>
        </w:tc>
        <w:tc>
          <w:tcPr>
            <w:tcW w:w="4165" w:type="dxa"/>
            <w:tcBorders>
              <w:top w:val="nil"/>
              <w:left w:val="nil"/>
              <w:bottom w:val="nil"/>
              <w:right w:val="nil"/>
            </w:tcBorders>
          </w:tcPr>
          <w:p w:rsidR="0059534A" w:rsidRPr="001F7758" w:rsidRDefault="0059534A" w:rsidP="00F0011E">
            <w:pPr>
              <w:spacing w:after="120"/>
            </w:pPr>
            <w:r>
              <w:t>WMS Operating Agreement</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Frank Seidman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FS-1</w:t>
            </w:r>
          </w:p>
        </w:tc>
        <w:tc>
          <w:tcPr>
            <w:tcW w:w="4165" w:type="dxa"/>
            <w:tcBorders>
              <w:top w:val="nil"/>
              <w:left w:val="nil"/>
              <w:bottom w:val="nil"/>
              <w:right w:val="nil"/>
            </w:tcBorders>
          </w:tcPr>
          <w:p w:rsidR="0059534A" w:rsidRPr="001F7758" w:rsidRDefault="0059534A" w:rsidP="00F0011E">
            <w:pPr>
              <w:spacing w:after="120"/>
            </w:pPr>
            <w:r>
              <w:t>Curriculum Vitae</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Frank Seidman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FS-2</w:t>
            </w:r>
          </w:p>
        </w:tc>
        <w:tc>
          <w:tcPr>
            <w:tcW w:w="4165" w:type="dxa"/>
            <w:tcBorders>
              <w:top w:val="nil"/>
              <w:left w:val="nil"/>
              <w:bottom w:val="nil"/>
              <w:right w:val="nil"/>
            </w:tcBorders>
          </w:tcPr>
          <w:p w:rsidR="0059534A" w:rsidRPr="001F7758" w:rsidRDefault="0059534A" w:rsidP="00F0011E">
            <w:pPr>
              <w:spacing w:after="120"/>
            </w:pPr>
            <w:r>
              <w:t>Summary of Used &amp; Useful &amp; F Schedules</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PCF-1</w:t>
            </w:r>
          </w:p>
        </w:tc>
        <w:tc>
          <w:tcPr>
            <w:tcW w:w="4165" w:type="dxa"/>
            <w:tcBorders>
              <w:top w:val="nil"/>
              <w:left w:val="nil"/>
              <w:bottom w:val="nil"/>
              <w:right w:val="nil"/>
            </w:tcBorders>
          </w:tcPr>
          <w:p w:rsidR="0059534A" w:rsidRPr="00985E95" w:rsidRDefault="0059534A" w:rsidP="00F0011E">
            <w:pPr>
              <w:spacing w:after="120"/>
            </w:pPr>
            <w:r w:rsidRPr="00985E95">
              <w:t>Cypress Lakes WTP Hydro Tank #1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lastRenderedPageBreak/>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PCF-2</w:t>
            </w:r>
          </w:p>
        </w:tc>
        <w:tc>
          <w:tcPr>
            <w:tcW w:w="4165" w:type="dxa"/>
            <w:tcBorders>
              <w:top w:val="nil"/>
              <w:left w:val="nil"/>
              <w:bottom w:val="nil"/>
              <w:right w:val="nil"/>
            </w:tcBorders>
          </w:tcPr>
          <w:p w:rsidR="0059534A" w:rsidRPr="00985E95" w:rsidRDefault="0059534A" w:rsidP="00F0011E">
            <w:pPr>
              <w:spacing w:after="120"/>
            </w:pPr>
            <w:r w:rsidRPr="00985E95">
              <w:t>Cypress Lakes Sediment Removal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PCF-3</w:t>
            </w:r>
          </w:p>
        </w:tc>
        <w:tc>
          <w:tcPr>
            <w:tcW w:w="4165" w:type="dxa"/>
            <w:tcBorders>
              <w:top w:val="nil"/>
              <w:left w:val="nil"/>
              <w:bottom w:val="nil"/>
              <w:right w:val="nil"/>
            </w:tcBorders>
          </w:tcPr>
          <w:p w:rsidR="0059534A" w:rsidRPr="00985E95" w:rsidRDefault="0059534A" w:rsidP="00F0011E">
            <w:pPr>
              <w:spacing w:after="120"/>
            </w:pPr>
            <w:r w:rsidRPr="00985E95">
              <w:t>Eagle Ridge WWTP EQ Tank &amp; Headworks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PCF-4</w:t>
            </w:r>
          </w:p>
        </w:tc>
        <w:tc>
          <w:tcPr>
            <w:tcW w:w="4165" w:type="dxa"/>
            <w:tcBorders>
              <w:top w:val="nil"/>
              <w:left w:val="nil"/>
              <w:bottom w:val="nil"/>
              <w:right w:val="nil"/>
            </w:tcBorders>
          </w:tcPr>
          <w:p w:rsidR="0059534A" w:rsidRPr="00985E95" w:rsidRDefault="0059534A" w:rsidP="00F0011E">
            <w:pPr>
              <w:spacing w:after="120"/>
            </w:pPr>
            <w:r w:rsidRPr="00985E95">
              <w:t>Labrador WWTP Sediment Removal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PCF-5</w:t>
            </w:r>
          </w:p>
        </w:tc>
        <w:tc>
          <w:tcPr>
            <w:tcW w:w="4165" w:type="dxa"/>
            <w:tcBorders>
              <w:top w:val="nil"/>
              <w:left w:val="nil"/>
              <w:bottom w:val="nil"/>
              <w:right w:val="nil"/>
            </w:tcBorders>
          </w:tcPr>
          <w:p w:rsidR="0059534A" w:rsidRPr="00985E95" w:rsidRDefault="0059534A" w:rsidP="00F0011E">
            <w:pPr>
              <w:spacing w:after="120"/>
            </w:pPr>
            <w:r w:rsidRPr="00985E95">
              <w:t>LUSI - Lake Groves Sludge Dewatering Equipment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PCF-5a</w:t>
            </w:r>
          </w:p>
        </w:tc>
        <w:tc>
          <w:tcPr>
            <w:tcW w:w="4165" w:type="dxa"/>
            <w:tcBorders>
              <w:top w:val="nil"/>
              <w:left w:val="nil"/>
              <w:bottom w:val="nil"/>
              <w:right w:val="nil"/>
            </w:tcBorders>
          </w:tcPr>
          <w:p w:rsidR="0059534A" w:rsidRPr="00985E95" w:rsidRDefault="0059534A" w:rsidP="00F0011E">
            <w:pPr>
              <w:spacing w:after="120"/>
            </w:pPr>
            <w:r w:rsidRPr="00985E95">
              <w:t>LUSI - Lake Groves Sludge Dewatering Equipment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PCF-6</w:t>
            </w:r>
          </w:p>
        </w:tc>
        <w:tc>
          <w:tcPr>
            <w:tcW w:w="4165" w:type="dxa"/>
            <w:tcBorders>
              <w:top w:val="nil"/>
              <w:left w:val="nil"/>
              <w:bottom w:val="nil"/>
              <w:right w:val="nil"/>
            </w:tcBorders>
          </w:tcPr>
          <w:p w:rsidR="0059534A" w:rsidRPr="00985E95" w:rsidRDefault="0059534A" w:rsidP="00F0011E">
            <w:pPr>
              <w:spacing w:after="120"/>
            </w:pPr>
            <w:r w:rsidRPr="00985E95">
              <w:t>LUSI - Oswalt Road Water Main Relocation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PCF-7</w:t>
            </w:r>
          </w:p>
        </w:tc>
        <w:tc>
          <w:tcPr>
            <w:tcW w:w="4165" w:type="dxa"/>
            <w:tcBorders>
              <w:top w:val="nil"/>
              <w:left w:val="nil"/>
              <w:bottom w:val="nil"/>
              <w:right w:val="nil"/>
            </w:tcBorders>
          </w:tcPr>
          <w:p w:rsidR="0059534A" w:rsidRPr="00985E95" w:rsidRDefault="0059534A" w:rsidP="00F0011E">
            <w:pPr>
              <w:spacing w:after="120"/>
            </w:pPr>
            <w:r w:rsidRPr="00985E95">
              <w:t>LUSI - SCADA System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PCF-8</w:t>
            </w:r>
          </w:p>
        </w:tc>
        <w:tc>
          <w:tcPr>
            <w:tcW w:w="4165" w:type="dxa"/>
            <w:tcBorders>
              <w:top w:val="nil"/>
              <w:left w:val="nil"/>
              <w:bottom w:val="nil"/>
              <w:right w:val="nil"/>
            </w:tcBorders>
          </w:tcPr>
          <w:p w:rsidR="0059534A" w:rsidRPr="00985E95" w:rsidRDefault="0059534A" w:rsidP="00F0011E">
            <w:pPr>
              <w:spacing w:after="120"/>
            </w:pPr>
            <w:r w:rsidRPr="00985E95">
              <w:t>LUSI - TTHM &amp; HAA5 Study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PCF-9</w:t>
            </w:r>
          </w:p>
        </w:tc>
        <w:tc>
          <w:tcPr>
            <w:tcW w:w="4165" w:type="dxa"/>
            <w:tcBorders>
              <w:top w:val="nil"/>
              <w:left w:val="nil"/>
              <w:bottom w:val="nil"/>
              <w:right w:val="nil"/>
            </w:tcBorders>
          </w:tcPr>
          <w:p w:rsidR="0059534A" w:rsidRPr="00985E95" w:rsidRDefault="0059534A" w:rsidP="00F0011E">
            <w:pPr>
              <w:spacing w:after="120"/>
            </w:pPr>
            <w:r w:rsidRPr="00985E95">
              <w:t>LUSI – Engineering TTHM &amp; HAA5 Remediation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PCF-10</w:t>
            </w:r>
          </w:p>
        </w:tc>
        <w:tc>
          <w:tcPr>
            <w:tcW w:w="4165" w:type="dxa"/>
            <w:tcBorders>
              <w:top w:val="nil"/>
              <w:left w:val="nil"/>
              <w:bottom w:val="nil"/>
              <w:right w:val="nil"/>
            </w:tcBorders>
          </w:tcPr>
          <w:p w:rsidR="0059534A" w:rsidRPr="00985E95" w:rsidRDefault="0059534A" w:rsidP="00F0011E">
            <w:pPr>
              <w:spacing w:after="120"/>
            </w:pPr>
            <w:r w:rsidRPr="00985E95">
              <w:t>LUSI – US 27 Utility Relocations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PCF-11</w:t>
            </w:r>
          </w:p>
        </w:tc>
        <w:tc>
          <w:tcPr>
            <w:tcW w:w="4165" w:type="dxa"/>
            <w:tcBorders>
              <w:top w:val="nil"/>
              <w:left w:val="nil"/>
              <w:bottom w:val="nil"/>
              <w:right w:val="nil"/>
            </w:tcBorders>
          </w:tcPr>
          <w:p w:rsidR="0059534A" w:rsidRPr="00985E95" w:rsidRDefault="0059534A" w:rsidP="00F0011E">
            <w:pPr>
              <w:spacing w:after="120"/>
            </w:pPr>
            <w:r w:rsidRPr="00985E95">
              <w:t>Longwood – Church Avenue Utility Relocations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PCF-12</w:t>
            </w:r>
          </w:p>
        </w:tc>
        <w:tc>
          <w:tcPr>
            <w:tcW w:w="4165" w:type="dxa"/>
            <w:tcBorders>
              <w:top w:val="nil"/>
              <w:left w:val="nil"/>
              <w:bottom w:val="nil"/>
              <w:right w:val="nil"/>
            </w:tcBorders>
          </w:tcPr>
          <w:p w:rsidR="0059534A" w:rsidRPr="00985E95" w:rsidRDefault="0059534A" w:rsidP="00F0011E">
            <w:pPr>
              <w:spacing w:after="120"/>
            </w:pPr>
            <w:r w:rsidRPr="00985E95">
              <w:t>Longwood Groves – I&amp;I Study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PCF-13</w:t>
            </w:r>
          </w:p>
        </w:tc>
        <w:tc>
          <w:tcPr>
            <w:tcW w:w="4165" w:type="dxa"/>
            <w:tcBorders>
              <w:top w:val="nil"/>
              <w:left w:val="nil"/>
              <w:bottom w:val="nil"/>
              <w:right w:val="nil"/>
            </w:tcBorders>
          </w:tcPr>
          <w:p w:rsidR="0059534A" w:rsidRPr="00985E95" w:rsidRDefault="0059534A" w:rsidP="00F0011E">
            <w:pPr>
              <w:spacing w:after="120"/>
            </w:pPr>
            <w:r w:rsidRPr="00985E95">
              <w:t>Longwood Groves - I&amp;I Remediation Proforma</w:t>
            </w:r>
          </w:p>
        </w:tc>
      </w:tr>
      <w:tr w:rsidR="0059534A" w:rsidRPr="00701945" w:rsidTr="002C4FF2">
        <w:trPr>
          <w:cantSplit/>
          <w:trHeight w:val="726"/>
        </w:trPr>
        <w:tc>
          <w:tcPr>
            <w:tcW w:w="2700" w:type="dxa"/>
            <w:tcBorders>
              <w:top w:val="nil"/>
              <w:left w:val="nil"/>
              <w:bottom w:val="nil"/>
              <w:right w:val="nil"/>
            </w:tcBorders>
          </w:tcPr>
          <w:p w:rsidR="0059534A" w:rsidRPr="001F7758" w:rsidRDefault="0059534A" w:rsidP="00F0011E">
            <w:pPr>
              <w:spacing w:after="120"/>
            </w:pPr>
            <w:r>
              <w:lastRenderedPageBreak/>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Pr="001F7758" w:rsidRDefault="0059534A" w:rsidP="00F0011E">
            <w:pPr>
              <w:spacing w:after="120"/>
              <w:jc w:val="center"/>
            </w:pPr>
            <w:r>
              <w:t>PCF-14</w:t>
            </w:r>
          </w:p>
        </w:tc>
        <w:tc>
          <w:tcPr>
            <w:tcW w:w="4165" w:type="dxa"/>
            <w:tcBorders>
              <w:top w:val="nil"/>
              <w:left w:val="nil"/>
              <w:bottom w:val="nil"/>
              <w:right w:val="nil"/>
            </w:tcBorders>
          </w:tcPr>
          <w:p w:rsidR="0059534A" w:rsidRPr="00985E95" w:rsidRDefault="0059534A" w:rsidP="00F0011E">
            <w:pPr>
              <w:spacing w:after="120"/>
            </w:pPr>
            <w:r w:rsidRPr="00985E95">
              <w:t>Mid-County Electrical Improvements and Generator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PCF-15</w:t>
            </w:r>
          </w:p>
        </w:tc>
        <w:tc>
          <w:tcPr>
            <w:tcW w:w="4165" w:type="dxa"/>
            <w:tcBorders>
              <w:top w:val="nil"/>
              <w:left w:val="nil"/>
              <w:bottom w:val="nil"/>
              <w:right w:val="nil"/>
            </w:tcBorders>
          </w:tcPr>
          <w:p w:rsidR="0059534A" w:rsidRPr="00985E95" w:rsidRDefault="0059534A" w:rsidP="00F0011E">
            <w:pPr>
              <w:spacing w:after="120"/>
            </w:pPr>
            <w:r w:rsidRPr="00985E95">
              <w:t>Mid-County Field Office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PCF-16</w:t>
            </w:r>
          </w:p>
        </w:tc>
        <w:tc>
          <w:tcPr>
            <w:tcW w:w="4165" w:type="dxa"/>
            <w:tcBorders>
              <w:top w:val="nil"/>
              <w:left w:val="nil"/>
              <w:bottom w:val="nil"/>
              <w:right w:val="nil"/>
            </w:tcBorders>
          </w:tcPr>
          <w:p w:rsidR="0059534A" w:rsidRPr="00985E95" w:rsidRDefault="0059534A" w:rsidP="00F0011E">
            <w:pPr>
              <w:spacing w:after="120"/>
            </w:pPr>
            <w:r w:rsidRPr="00985E95">
              <w:t>Mid-County Flow Study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PCF-17</w:t>
            </w:r>
          </w:p>
        </w:tc>
        <w:tc>
          <w:tcPr>
            <w:tcW w:w="4165" w:type="dxa"/>
            <w:tcBorders>
              <w:top w:val="nil"/>
              <w:left w:val="nil"/>
              <w:bottom w:val="nil"/>
              <w:right w:val="nil"/>
            </w:tcBorders>
          </w:tcPr>
          <w:p w:rsidR="0059534A" w:rsidRPr="00985E95" w:rsidRDefault="0059534A" w:rsidP="00F0011E">
            <w:pPr>
              <w:spacing w:after="120"/>
            </w:pPr>
            <w:r w:rsidRPr="00985E95">
              <w:t>Mid-County Excess I&amp;I Remediation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PCF-18</w:t>
            </w:r>
          </w:p>
        </w:tc>
        <w:tc>
          <w:tcPr>
            <w:tcW w:w="4165" w:type="dxa"/>
            <w:tcBorders>
              <w:top w:val="nil"/>
              <w:left w:val="nil"/>
              <w:bottom w:val="nil"/>
              <w:right w:val="nil"/>
            </w:tcBorders>
          </w:tcPr>
          <w:p w:rsidR="0059534A" w:rsidRPr="00985E95" w:rsidRDefault="0059534A" w:rsidP="00F0011E">
            <w:pPr>
              <w:spacing w:after="120"/>
            </w:pPr>
            <w:r w:rsidRPr="00985E95">
              <w:t>Mid-County Methanol Pumps and In-Line Nutrient Analyzers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PCF-19</w:t>
            </w:r>
          </w:p>
        </w:tc>
        <w:tc>
          <w:tcPr>
            <w:tcW w:w="4165" w:type="dxa"/>
            <w:tcBorders>
              <w:top w:val="nil"/>
              <w:left w:val="nil"/>
              <w:bottom w:val="nil"/>
              <w:right w:val="nil"/>
            </w:tcBorders>
          </w:tcPr>
          <w:p w:rsidR="0059534A" w:rsidRPr="00985E95" w:rsidRDefault="0059534A" w:rsidP="00F0011E">
            <w:pPr>
              <w:spacing w:after="120"/>
            </w:pPr>
            <w:r w:rsidRPr="00985E95">
              <w:t>Mid-County US Highway 19 Utility Relocation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PCF-20</w:t>
            </w:r>
          </w:p>
        </w:tc>
        <w:tc>
          <w:tcPr>
            <w:tcW w:w="4165" w:type="dxa"/>
            <w:tcBorders>
              <w:top w:val="nil"/>
              <w:left w:val="nil"/>
              <w:bottom w:val="nil"/>
              <w:right w:val="nil"/>
            </w:tcBorders>
          </w:tcPr>
          <w:p w:rsidR="0059534A" w:rsidRPr="00985E95" w:rsidRDefault="0059534A" w:rsidP="00F0011E">
            <w:pPr>
              <w:spacing w:after="120"/>
            </w:pPr>
            <w:r w:rsidRPr="00985E95">
              <w:t>Pennbrooke WTP Electrical Improvements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PCF-21</w:t>
            </w:r>
          </w:p>
        </w:tc>
        <w:tc>
          <w:tcPr>
            <w:tcW w:w="4165" w:type="dxa"/>
            <w:tcBorders>
              <w:top w:val="nil"/>
              <w:left w:val="nil"/>
              <w:bottom w:val="nil"/>
              <w:right w:val="nil"/>
            </w:tcBorders>
          </w:tcPr>
          <w:p w:rsidR="0059534A" w:rsidRPr="00985E95" w:rsidRDefault="0059534A" w:rsidP="00F0011E">
            <w:pPr>
              <w:spacing w:after="120"/>
            </w:pPr>
            <w:r w:rsidRPr="00985E95">
              <w:t>Sandalhaven – Placida Road Utility Relocation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PCF-22</w:t>
            </w:r>
          </w:p>
        </w:tc>
        <w:tc>
          <w:tcPr>
            <w:tcW w:w="4165" w:type="dxa"/>
            <w:tcBorders>
              <w:top w:val="nil"/>
              <w:left w:val="nil"/>
              <w:bottom w:val="nil"/>
              <w:right w:val="nil"/>
            </w:tcBorders>
          </w:tcPr>
          <w:p w:rsidR="0059534A" w:rsidRPr="00985E95" w:rsidRDefault="0059534A" w:rsidP="00F0011E">
            <w:pPr>
              <w:spacing w:after="120"/>
            </w:pPr>
            <w:r w:rsidRPr="00985E95">
              <w:t>Sanlando – Autumn Drive WM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PCF-23</w:t>
            </w:r>
          </w:p>
        </w:tc>
        <w:tc>
          <w:tcPr>
            <w:tcW w:w="4165" w:type="dxa"/>
            <w:tcBorders>
              <w:top w:val="nil"/>
              <w:left w:val="nil"/>
              <w:bottom w:val="nil"/>
              <w:right w:val="nil"/>
            </w:tcBorders>
          </w:tcPr>
          <w:p w:rsidR="0059534A" w:rsidRPr="00985E95" w:rsidRDefault="0059534A" w:rsidP="00F0011E">
            <w:pPr>
              <w:spacing w:after="120"/>
            </w:pPr>
            <w:r w:rsidRPr="00985E95">
              <w:t>Sanlando – Lift Station RTU Installation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PCF-24</w:t>
            </w:r>
          </w:p>
        </w:tc>
        <w:tc>
          <w:tcPr>
            <w:tcW w:w="4165" w:type="dxa"/>
            <w:tcBorders>
              <w:top w:val="nil"/>
              <w:left w:val="nil"/>
              <w:bottom w:val="nil"/>
              <w:right w:val="nil"/>
            </w:tcBorders>
          </w:tcPr>
          <w:p w:rsidR="0059534A" w:rsidRPr="00985E95" w:rsidRDefault="0059534A" w:rsidP="00F0011E">
            <w:pPr>
              <w:spacing w:after="120"/>
            </w:pPr>
            <w:r w:rsidRPr="00985E95">
              <w:t>Sanlando – Markham Wood Utility Relocates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PCF-25</w:t>
            </w:r>
          </w:p>
        </w:tc>
        <w:tc>
          <w:tcPr>
            <w:tcW w:w="4165" w:type="dxa"/>
            <w:tcBorders>
              <w:top w:val="nil"/>
              <w:left w:val="nil"/>
              <w:bottom w:val="nil"/>
              <w:right w:val="nil"/>
            </w:tcBorders>
          </w:tcPr>
          <w:p w:rsidR="0059534A" w:rsidRPr="00985E95" w:rsidRDefault="0059534A" w:rsidP="00F0011E">
            <w:pPr>
              <w:spacing w:after="120"/>
            </w:pPr>
            <w:r w:rsidRPr="00985E95">
              <w:t>Sanlando – Myrtle Lake Hills Water Mains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PCF-26</w:t>
            </w:r>
          </w:p>
        </w:tc>
        <w:tc>
          <w:tcPr>
            <w:tcW w:w="4165" w:type="dxa"/>
            <w:tcBorders>
              <w:top w:val="nil"/>
              <w:left w:val="nil"/>
              <w:bottom w:val="nil"/>
              <w:right w:val="nil"/>
            </w:tcBorders>
          </w:tcPr>
          <w:p w:rsidR="0059534A" w:rsidRPr="00985E95" w:rsidRDefault="0059534A" w:rsidP="00F0011E">
            <w:pPr>
              <w:spacing w:after="120"/>
            </w:pPr>
            <w:r w:rsidRPr="00985E95">
              <w:t>Sanlando –Inflow &amp; Infiltration Study and Remediation, Phase 2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lastRenderedPageBreak/>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PCF-27</w:t>
            </w:r>
          </w:p>
        </w:tc>
        <w:tc>
          <w:tcPr>
            <w:tcW w:w="4165" w:type="dxa"/>
            <w:tcBorders>
              <w:top w:val="nil"/>
              <w:left w:val="nil"/>
              <w:bottom w:val="nil"/>
              <w:right w:val="nil"/>
            </w:tcBorders>
          </w:tcPr>
          <w:p w:rsidR="0059534A" w:rsidRPr="00985E95" w:rsidRDefault="0059534A" w:rsidP="00F0011E">
            <w:pPr>
              <w:spacing w:after="120"/>
            </w:pPr>
            <w:r w:rsidRPr="00985E95">
              <w:t>Sanlando – Shadow Hills Flow Diversion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PCF-28</w:t>
            </w:r>
          </w:p>
        </w:tc>
        <w:tc>
          <w:tcPr>
            <w:tcW w:w="4165" w:type="dxa"/>
            <w:tcBorders>
              <w:top w:val="nil"/>
              <w:left w:val="nil"/>
              <w:bottom w:val="nil"/>
              <w:right w:val="nil"/>
            </w:tcBorders>
          </w:tcPr>
          <w:p w:rsidR="0059534A" w:rsidRPr="00985E95" w:rsidRDefault="0059534A" w:rsidP="00F0011E">
            <w:pPr>
              <w:spacing w:after="120"/>
            </w:pPr>
            <w:r w:rsidRPr="00985E95">
              <w:t>Sanlando – Wekiva WWTP Blower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PCF-29</w:t>
            </w:r>
          </w:p>
        </w:tc>
        <w:tc>
          <w:tcPr>
            <w:tcW w:w="4165" w:type="dxa"/>
            <w:tcBorders>
              <w:top w:val="nil"/>
              <w:left w:val="nil"/>
              <w:bottom w:val="nil"/>
              <w:right w:val="nil"/>
            </w:tcBorders>
          </w:tcPr>
          <w:p w:rsidR="0059534A" w:rsidRPr="00985E95" w:rsidRDefault="0059534A" w:rsidP="00F0011E">
            <w:pPr>
              <w:spacing w:after="120"/>
            </w:pPr>
            <w:r w:rsidRPr="00985E95">
              <w:t>Sanlando – Well 2A and Lift Station A-1 Electrical Improvements &amp; Generator Install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PCF-30</w:t>
            </w:r>
          </w:p>
        </w:tc>
        <w:tc>
          <w:tcPr>
            <w:tcW w:w="4165" w:type="dxa"/>
            <w:tcBorders>
              <w:top w:val="nil"/>
              <w:left w:val="nil"/>
              <w:bottom w:val="nil"/>
              <w:right w:val="nil"/>
            </w:tcBorders>
          </w:tcPr>
          <w:p w:rsidR="0059534A" w:rsidRPr="00985E95" w:rsidRDefault="0059534A" w:rsidP="00F0011E">
            <w:pPr>
              <w:spacing w:after="120"/>
            </w:pPr>
            <w:r w:rsidRPr="00985E95">
              <w:t>Sanlando – Wekiva WWTP Rehabilitation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PCF-31</w:t>
            </w:r>
          </w:p>
        </w:tc>
        <w:tc>
          <w:tcPr>
            <w:tcW w:w="4165" w:type="dxa"/>
            <w:tcBorders>
              <w:top w:val="nil"/>
              <w:left w:val="nil"/>
              <w:bottom w:val="nil"/>
              <w:right w:val="nil"/>
            </w:tcBorders>
          </w:tcPr>
          <w:p w:rsidR="0059534A" w:rsidRPr="00985E95" w:rsidRDefault="0059534A" w:rsidP="00F0011E">
            <w:pPr>
              <w:spacing w:after="120"/>
            </w:pPr>
            <w:r w:rsidRPr="00985E95">
              <w:t>Tierra Verde - 401 8</w:t>
            </w:r>
            <w:r w:rsidRPr="00985E95">
              <w:rPr>
                <w:vertAlign w:val="superscript"/>
              </w:rPr>
              <w:t>th</w:t>
            </w:r>
            <w:r w:rsidRPr="00985E95">
              <w:t xml:space="preserve"> Avenue Gravity Sewer Main Replacement, Phase 2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PCF-32</w:t>
            </w:r>
          </w:p>
        </w:tc>
        <w:tc>
          <w:tcPr>
            <w:tcW w:w="4165" w:type="dxa"/>
            <w:tcBorders>
              <w:top w:val="nil"/>
              <w:left w:val="nil"/>
              <w:bottom w:val="nil"/>
              <w:right w:val="nil"/>
            </w:tcBorders>
          </w:tcPr>
          <w:p w:rsidR="0059534A" w:rsidRPr="00985E95" w:rsidRDefault="0059534A" w:rsidP="00F0011E">
            <w:pPr>
              <w:spacing w:after="120"/>
            </w:pPr>
            <w:r w:rsidRPr="00985E95">
              <w:t>UIF – WM Replacements, Orange Co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PCF-33</w:t>
            </w:r>
          </w:p>
        </w:tc>
        <w:tc>
          <w:tcPr>
            <w:tcW w:w="4165" w:type="dxa"/>
            <w:tcBorders>
              <w:top w:val="nil"/>
              <w:left w:val="nil"/>
              <w:bottom w:val="nil"/>
              <w:right w:val="nil"/>
            </w:tcBorders>
          </w:tcPr>
          <w:p w:rsidR="0059534A" w:rsidRPr="00985E95" w:rsidRDefault="0059534A" w:rsidP="00F0011E">
            <w:pPr>
              <w:spacing w:after="120"/>
            </w:pPr>
            <w:r w:rsidRPr="00985E95">
              <w:t>UIF – WM Replacements, Pasco Co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PCF-34</w:t>
            </w:r>
          </w:p>
        </w:tc>
        <w:tc>
          <w:tcPr>
            <w:tcW w:w="4165" w:type="dxa"/>
            <w:tcBorders>
              <w:top w:val="nil"/>
              <w:left w:val="nil"/>
              <w:bottom w:val="nil"/>
              <w:right w:val="nil"/>
            </w:tcBorders>
          </w:tcPr>
          <w:p w:rsidR="0059534A" w:rsidRPr="00985E95" w:rsidRDefault="0059534A" w:rsidP="00F0011E">
            <w:pPr>
              <w:spacing w:after="120"/>
            </w:pPr>
            <w:r w:rsidRPr="00985E95">
              <w:t>UIF – Summertree Well Abandonment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PCF-35</w:t>
            </w:r>
          </w:p>
        </w:tc>
        <w:tc>
          <w:tcPr>
            <w:tcW w:w="4165" w:type="dxa"/>
            <w:tcBorders>
              <w:top w:val="nil"/>
              <w:left w:val="nil"/>
              <w:bottom w:val="nil"/>
              <w:right w:val="nil"/>
            </w:tcBorders>
          </w:tcPr>
          <w:p w:rsidR="0059534A" w:rsidRPr="00985E95" w:rsidRDefault="0059534A" w:rsidP="00F0011E">
            <w:pPr>
              <w:spacing w:after="120"/>
            </w:pPr>
            <w:r w:rsidRPr="00985E95">
              <w:t>UIF – Summertree Well Abandonment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PCF-36</w:t>
            </w:r>
          </w:p>
        </w:tc>
        <w:tc>
          <w:tcPr>
            <w:tcW w:w="4165" w:type="dxa"/>
            <w:tcBorders>
              <w:top w:val="nil"/>
              <w:left w:val="nil"/>
              <w:bottom w:val="nil"/>
              <w:right w:val="nil"/>
            </w:tcBorders>
          </w:tcPr>
          <w:p w:rsidR="0059534A" w:rsidRPr="00985E95" w:rsidRDefault="0059534A" w:rsidP="00F0011E">
            <w:pPr>
              <w:spacing w:after="120"/>
            </w:pPr>
            <w:r w:rsidRPr="00985E95">
              <w:t>UIF – Electrical improvements at Little Wekiva and Jansen WTPs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PCF-37</w:t>
            </w:r>
          </w:p>
        </w:tc>
        <w:tc>
          <w:tcPr>
            <w:tcW w:w="4165" w:type="dxa"/>
            <w:tcBorders>
              <w:top w:val="nil"/>
              <w:left w:val="nil"/>
              <w:bottom w:val="nil"/>
              <w:right w:val="nil"/>
            </w:tcBorders>
          </w:tcPr>
          <w:p w:rsidR="0059534A" w:rsidRPr="00985E95" w:rsidRDefault="0059534A" w:rsidP="00F0011E">
            <w:pPr>
              <w:spacing w:after="120"/>
            </w:pPr>
            <w:r w:rsidRPr="00985E95">
              <w:t>UIF – Eng-Seminole &amp; Orange County WM Replacements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PCF-38</w:t>
            </w:r>
          </w:p>
        </w:tc>
        <w:tc>
          <w:tcPr>
            <w:tcW w:w="4165" w:type="dxa"/>
            <w:tcBorders>
              <w:top w:val="nil"/>
              <w:left w:val="nil"/>
              <w:bottom w:val="nil"/>
              <w:right w:val="nil"/>
            </w:tcBorders>
          </w:tcPr>
          <w:p w:rsidR="0059534A" w:rsidRPr="00985E95" w:rsidRDefault="0059534A" w:rsidP="00F0011E">
            <w:pPr>
              <w:spacing w:after="120"/>
            </w:pPr>
            <w:r w:rsidRPr="00985E95">
              <w:t>UIF – Bear Lake WM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lastRenderedPageBreak/>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PCF-39</w:t>
            </w:r>
          </w:p>
        </w:tc>
        <w:tc>
          <w:tcPr>
            <w:tcW w:w="4165" w:type="dxa"/>
            <w:tcBorders>
              <w:top w:val="nil"/>
              <w:left w:val="nil"/>
              <w:bottom w:val="nil"/>
              <w:right w:val="nil"/>
            </w:tcBorders>
          </w:tcPr>
          <w:p w:rsidR="0059534A" w:rsidRPr="00985E95" w:rsidRDefault="0059534A" w:rsidP="00F0011E">
            <w:pPr>
              <w:spacing w:after="120"/>
            </w:pPr>
            <w:r w:rsidRPr="00985E95">
              <w:t>UIF – Crystal Lake WM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PCF-40</w:t>
            </w:r>
          </w:p>
        </w:tc>
        <w:tc>
          <w:tcPr>
            <w:tcW w:w="4165" w:type="dxa"/>
            <w:tcBorders>
              <w:top w:val="nil"/>
              <w:left w:val="nil"/>
              <w:bottom w:val="nil"/>
              <w:right w:val="nil"/>
            </w:tcBorders>
          </w:tcPr>
          <w:p w:rsidR="0059534A" w:rsidRPr="00985E95" w:rsidRDefault="0059534A" w:rsidP="00F0011E">
            <w:pPr>
              <w:spacing w:after="120"/>
            </w:pPr>
            <w:r w:rsidRPr="00985E95">
              <w:t>UIF – Little Wekiva WM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PCF-41</w:t>
            </w:r>
          </w:p>
        </w:tc>
        <w:tc>
          <w:tcPr>
            <w:tcW w:w="4165" w:type="dxa"/>
            <w:tcBorders>
              <w:top w:val="nil"/>
              <w:left w:val="nil"/>
              <w:bottom w:val="nil"/>
              <w:right w:val="nil"/>
            </w:tcBorders>
          </w:tcPr>
          <w:p w:rsidR="0059534A" w:rsidRPr="00985E95" w:rsidRDefault="0059534A" w:rsidP="00F0011E">
            <w:pPr>
              <w:spacing w:after="120"/>
            </w:pPr>
            <w:r w:rsidRPr="00985E95">
              <w:t>UIF – Northwestern FM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PCF-42</w:t>
            </w:r>
          </w:p>
        </w:tc>
        <w:tc>
          <w:tcPr>
            <w:tcW w:w="4165" w:type="dxa"/>
            <w:tcBorders>
              <w:top w:val="nil"/>
              <w:left w:val="nil"/>
              <w:bottom w:val="nil"/>
              <w:right w:val="nil"/>
            </w:tcBorders>
          </w:tcPr>
          <w:p w:rsidR="0059534A" w:rsidRPr="00985E95" w:rsidRDefault="0059534A" w:rsidP="00F0011E">
            <w:pPr>
              <w:spacing w:after="120"/>
            </w:pPr>
            <w:r w:rsidRPr="00985E95">
              <w:t>UIF – Oakland Shores WM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PCF-43</w:t>
            </w:r>
          </w:p>
        </w:tc>
        <w:tc>
          <w:tcPr>
            <w:tcW w:w="4165" w:type="dxa"/>
            <w:tcBorders>
              <w:top w:val="nil"/>
              <w:left w:val="nil"/>
              <w:bottom w:val="nil"/>
              <w:right w:val="nil"/>
            </w:tcBorders>
          </w:tcPr>
          <w:p w:rsidR="0059534A" w:rsidRPr="00985E95" w:rsidRDefault="0059534A" w:rsidP="00F0011E">
            <w:pPr>
              <w:spacing w:after="120"/>
            </w:pPr>
            <w:r w:rsidRPr="00985E95">
              <w:t>UIF – Phillips WM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PCF-44</w:t>
            </w:r>
          </w:p>
        </w:tc>
        <w:tc>
          <w:tcPr>
            <w:tcW w:w="4165" w:type="dxa"/>
            <w:tcBorders>
              <w:top w:val="nil"/>
              <w:left w:val="nil"/>
              <w:bottom w:val="nil"/>
              <w:right w:val="nil"/>
            </w:tcBorders>
          </w:tcPr>
          <w:p w:rsidR="0059534A" w:rsidRPr="00985E95" w:rsidRDefault="0059534A" w:rsidP="00F0011E">
            <w:pPr>
              <w:spacing w:after="120"/>
            </w:pPr>
            <w:r w:rsidRPr="00985E95">
              <w:t>UIF – Ravenna Park WM Replacement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PCF-45</w:t>
            </w:r>
          </w:p>
        </w:tc>
        <w:tc>
          <w:tcPr>
            <w:tcW w:w="4165" w:type="dxa"/>
            <w:tcBorders>
              <w:top w:val="nil"/>
              <w:left w:val="nil"/>
              <w:bottom w:val="nil"/>
              <w:right w:val="nil"/>
            </w:tcBorders>
          </w:tcPr>
          <w:p w:rsidR="0059534A" w:rsidRPr="00985E95" w:rsidRDefault="0059534A" w:rsidP="00F0011E">
            <w:pPr>
              <w:spacing w:after="120"/>
            </w:pPr>
            <w:r w:rsidRPr="00985E95">
              <w:t>UIF – Ravenna Park/Crystal Lake Interconnect and WTP Improvements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PCF-46</w:t>
            </w:r>
          </w:p>
        </w:tc>
        <w:tc>
          <w:tcPr>
            <w:tcW w:w="4165" w:type="dxa"/>
            <w:tcBorders>
              <w:top w:val="nil"/>
              <w:left w:val="nil"/>
              <w:bottom w:val="nil"/>
              <w:right w:val="nil"/>
            </w:tcBorders>
          </w:tcPr>
          <w:p w:rsidR="0059534A" w:rsidRPr="00985E95" w:rsidRDefault="0059534A" w:rsidP="00F0011E">
            <w:pPr>
              <w:spacing w:after="120"/>
            </w:pPr>
            <w:r w:rsidRPr="00985E95">
              <w:t>C4500 Kodiak Truck Upgrade Proforma</w:t>
            </w:r>
          </w:p>
        </w:tc>
      </w:tr>
      <w:tr w:rsidR="0059534A" w:rsidRPr="00701945" w:rsidTr="002C4FF2">
        <w:trPr>
          <w:cantSplit/>
          <w:trHeight w:val="726"/>
        </w:trPr>
        <w:tc>
          <w:tcPr>
            <w:tcW w:w="2700" w:type="dxa"/>
            <w:tcBorders>
              <w:top w:val="nil"/>
              <w:left w:val="nil"/>
              <w:bottom w:val="nil"/>
              <w:right w:val="nil"/>
            </w:tcBorders>
          </w:tcPr>
          <w:p w:rsidR="0059534A" w:rsidRDefault="0059534A" w:rsidP="00F0011E">
            <w:pPr>
              <w:spacing w:after="120"/>
            </w:pPr>
            <w:r>
              <w:t>Patrick C. Flynn</w:t>
            </w:r>
          </w:p>
        </w:tc>
        <w:tc>
          <w:tcPr>
            <w:tcW w:w="1260" w:type="dxa"/>
            <w:tcBorders>
              <w:top w:val="nil"/>
              <w:left w:val="nil"/>
              <w:bottom w:val="nil"/>
              <w:right w:val="nil"/>
            </w:tcBorders>
          </w:tcPr>
          <w:p w:rsidR="0059534A" w:rsidRDefault="0059534A" w:rsidP="0059534A">
            <w:pPr>
              <w:jc w:val="center"/>
            </w:pPr>
            <w:r w:rsidRPr="00A60F38">
              <w:t>UIF</w:t>
            </w:r>
          </w:p>
        </w:tc>
        <w:tc>
          <w:tcPr>
            <w:tcW w:w="1440" w:type="dxa"/>
            <w:tcBorders>
              <w:top w:val="nil"/>
              <w:left w:val="nil"/>
              <w:bottom w:val="nil"/>
              <w:right w:val="nil"/>
            </w:tcBorders>
          </w:tcPr>
          <w:p w:rsidR="0059534A" w:rsidRDefault="0059534A" w:rsidP="00F0011E">
            <w:pPr>
              <w:spacing w:after="120"/>
              <w:jc w:val="center"/>
            </w:pPr>
            <w:r>
              <w:t>PCF-47</w:t>
            </w:r>
          </w:p>
        </w:tc>
        <w:tc>
          <w:tcPr>
            <w:tcW w:w="4165" w:type="dxa"/>
            <w:tcBorders>
              <w:top w:val="nil"/>
              <w:left w:val="nil"/>
              <w:bottom w:val="nil"/>
              <w:right w:val="nil"/>
            </w:tcBorders>
          </w:tcPr>
          <w:p w:rsidR="0059534A" w:rsidRPr="00985E95" w:rsidRDefault="0059534A" w:rsidP="00F0011E">
            <w:pPr>
              <w:spacing w:after="120"/>
            </w:pPr>
            <w:r w:rsidRPr="00985E95">
              <w:t>UIF Global - GIS Mapping Services Proforma</w:t>
            </w:r>
          </w:p>
        </w:tc>
      </w:tr>
      <w:tr w:rsidR="00631D61" w:rsidRPr="00701945" w:rsidTr="002C4FF2">
        <w:trPr>
          <w:cantSplit/>
          <w:trHeight w:val="726"/>
        </w:trPr>
        <w:tc>
          <w:tcPr>
            <w:tcW w:w="2700" w:type="dxa"/>
            <w:tcBorders>
              <w:top w:val="nil"/>
              <w:left w:val="nil"/>
              <w:bottom w:val="nil"/>
              <w:right w:val="nil"/>
            </w:tcBorders>
          </w:tcPr>
          <w:p w:rsidR="00631D61" w:rsidRPr="001F7758" w:rsidRDefault="00631D61" w:rsidP="00C5000C">
            <w:pPr>
              <w:spacing w:after="120"/>
            </w:pPr>
            <w:r>
              <w:t>Deborah D. Swain</w:t>
            </w:r>
          </w:p>
        </w:tc>
        <w:tc>
          <w:tcPr>
            <w:tcW w:w="1260" w:type="dxa"/>
            <w:tcBorders>
              <w:top w:val="nil"/>
              <w:left w:val="nil"/>
              <w:bottom w:val="nil"/>
              <w:right w:val="nil"/>
            </w:tcBorders>
          </w:tcPr>
          <w:p w:rsidR="00631D61" w:rsidRDefault="00631D61" w:rsidP="00C5000C">
            <w:pPr>
              <w:jc w:val="center"/>
            </w:pPr>
            <w:r w:rsidRPr="00A60F38">
              <w:t>UIF</w:t>
            </w:r>
          </w:p>
        </w:tc>
        <w:tc>
          <w:tcPr>
            <w:tcW w:w="1440" w:type="dxa"/>
            <w:tcBorders>
              <w:top w:val="nil"/>
              <w:left w:val="nil"/>
              <w:bottom w:val="nil"/>
              <w:right w:val="nil"/>
            </w:tcBorders>
          </w:tcPr>
          <w:p w:rsidR="00631D61" w:rsidRPr="001F7758" w:rsidRDefault="00631D61" w:rsidP="00C5000C">
            <w:pPr>
              <w:spacing w:after="120"/>
              <w:jc w:val="center"/>
            </w:pPr>
            <w:r>
              <w:t>DDS-1</w:t>
            </w:r>
          </w:p>
        </w:tc>
        <w:tc>
          <w:tcPr>
            <w:tcW w:w="4165" w:type="dxa"/>
            <w:tcBorders>
              <w:top w:val="nil"/>
              <w:left w:val="nil"/>
              <w:bottom w:val="nil"/>
              <w:right w:val="nil"/>
            </w:tcBorders>
          </w:tcPr>
          <w:p w:rsidR="00631D61" w:rsidRPr="001F7758" w:rsidRDefault="00631D61" w:rsidP="00C5000C">
            <w:pPr>
              <w:spacing w:after="120"/>
            </w:pPr>
            <w:r>
              <w:t>MFRs – Financial, Rate &amp; Engineering (except F Schedules)</w:t>
            </w:r>
          </w:p>
        </w:tc>
      </w:tr>
      <w:tr w:rsidR="00631D61" w:rsidRPr="00701945" w:rsidTr="002C4FF2">
        <w:trPr>
          <w:cantSplit/>
          <w:trHeight w:val="726"/>
        </w:trPr>
        <w:tc>
          <w:tcPr>
            <w:tcW w:w="2700" w:type="dxa"/>
            <w:tcBorders>
              <w:top w:val="nil"/>
              <w:left w:val="nil"/>
              <w:bottom w:val="nil"/>
              <w:right w:val="nil"/>
            </w:tcBorders>
          </w:tcPr>
          <w:p w:rsidR="00631D61" w:rsidRPr="001F7758" w:rsidRDefault="00631D61" w:rsidP="00C5000C">
            <w:pPr>
              <w:spacing w:after="120"/>
            </w:pPr>
            <w:r>
              <w:t>Deborah D. Swain</w:t>
            </w:r>
          </w:p>
        </w:tc>
        <w:tc>
          <w:tcPr>
            <w:tcW w:w="1260" w:type="dxa"/>
            <w:tcBorders>
              <w:top w:val="nil"/>
              <w:left w:val="nil"/>
              <w:bottom w:val="nil"/>
              <w:right w:val="nil"/>
            </w:tcBorders>
          </w:tcPr>
          <w:p w:rsidR="00631D61" w:rsidRDefault="00631D61" w:rsidP="00C5000C">
            <w:pPr>
              <w:jc w:val="center"/>
            </w:pPr>
            <w:r w:rsidRPr="00A60F38">
              <w:t>UIF</w:t>
            </w:r>
          </w:p>
        </w:tc>
        <w:tc>
          <w:tcPr>
            <w:tcW w:w="1440" w:type="dxa"/>
            <w:tcBorders>
              <w:top w:val="nil"/>
              <w:left w:val="nil"/>
              <w:bottom w:val="nil"/>
              <w:right w:val="nil"/>
            </w:tcBorders>
          </w:tcPr>
          <w:p w:rsidR="00631D61" w:rsidRPr="001F7758" w:rsidRDefault="00631D61" w:rsidP="00C5000C">
            <w:pPr>
              <w:spacing w:after="120"/>
              <w:jc w:val="center"/>
            </w:pPr>
            <w:r>
              <w:t>DDS-2</w:t>
            </w:r>
          </w:p>
        </w:tc>
        <w:tc>
          <w:tcPr>
            <w:tcW w:w="4165" w:type="dxa"/>
            <w:tcBorders>
              <w:top w:val="nil"/>
              <w:left w:val="nil"/>
              <w:bottom w:val="nil"/>
              <w:right w:val="nil"/>
            </w:tcBorders>
          </w:tcPr>
          <w:p w:rsidR="00631D61" w:rsidRPr="001F7758" w:rsidRDefault="00631D61" w:rsidP="00C5000C">
            <w:pPr>
              <w:spacing w:after="120"/>
            </w:pPr>
            <w:r>
              <w:t>Reconciliation Schedules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2C4FF2">
            <w:pPr>
              <w:spacing w:after="240"/>
            </w:pPr>
            <w:r w:rsidRPr="00B463BF">
              <w:t>Denise N. Vandiver</w:t>
            </w:r>
          </w:p>
        </w:tc>
        <w:tc>
          <w:tcPr>
            <w:tcW w:w="1260" w:type="dxa"/>
            <w:tcBorders>
              <w:top w:val="nil"/>
              <w:left w:val="nil"/>
              <w:bottom w:val="nil"/>
              <w:right w:val="nil"/>
            </w:tcBorders>
          </w:tcPr>
          <w:p w:rsidR="00631D61" w:rsidRDefault="00631D61" w:rsidP="000A10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OPC</w:t>
            </w:r>
          </w:p>
        </w:tc>
        <w:tc>
          <w:tcPr>
            <w:tcW w:w="1440" w:type="dxa"/>
            <w:tcBorders>
              <w:top w:val="nil"/>
              <w:left w:val="nil"/>
              <w:bottom w:val="nil"/>
              <w:right w:val="nil"/>
            </w:tcBorders>
          </w:tcPr>
          <w:p w:rsidR="00631D61" w:rsidRPr="00B463BF" w:rsidRDefault="00631D61" w:rsidP="005F554F">
            <w:pPr>
              <w:spacing w:after="240"/>
              <w:jc w:val="center"/>
            </w:pPr>
            <w:r w:rsidRPr="00B463BF">
              <w:t>DNV-1</w:t>
            </w:r>
          </w:p>
        </w:tc>
        <w:tc>
          <w:tcPr>
            <w:tcW w:w="4165" w:type="dxa"/>
            <w:tcBorders>
              <w:top w:val="nil"/>
              <w:left w:val="nil"/>
              <w:bottom w:val="nil"/>
              <w:right w:val="nil"/>
            </w:tcBorders>
            <w:vAlign w:val="center"/>
          </w:tcPr>
          <w:p w:rsidR="00631D61" w:rsidRPr="00B463BF" w:rsidRDefault="00631D61" w:rsidP="0062455A">
            <w:pPr>
              <w:spacing w:after="240"/>
            </w:pPr>
            <w:r w:rsidRPr="00B463BF">
              <w:t>Resume OF Denise N. Vandiver</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2C4FF2">
            <w:r w:rsidRPr="00B463BF">
              <w:t>Denise N. Vandiver</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DNV-2</w:t>
            </w:r>
          </w:p>
        </w:tc>
        <w:tc>
          <w:tcPr>
            <w:tcW w:w="4165" w:type="dxa"/>
            <w:tcBorders>
              <w:top w:val="nil"/>
              <w:left w:val="nil"/>
              <w:bottom w:val="nil"/>
              <w:right w:val="nil"/>
            </w:tcBorders>
            <w:vAlign w:val="center"/>
          </w:tcPr>
          <w:p w:rsidR="00631D61" w:rsidRPr="00B463BF" w:rsidRDefault="00631D61" w:rsidP="0062455A">
            <w:pPr>
              <w:spacing w:after="240"/>
            </w:pPr>
            <w:r w:rsidRPr="00B463BF">
              <w:t>DEP Correspondence</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2C4FF2">
            <w:r w:rsidRPr="00B463BF">
              <w:lastRenderedPageBreak/>
              <w:t>Denise N. Vandiver</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DNV-3</w:t>
            </w:r>
          </w:p>
        </w:tc>
        <w:tc>
          <w:tcPr>
            <w:tcW w:w="4165" w:type="dxa"/>
            <w:tcBorders>
              <w:top w:val="nil"/>
              <w:left w:val="nil"/>
              <w:bottom w:val="nil"/>
              <w:right w:val="nil"/>
            </w:tcBorders>
            <w:vAlign w:val="center"/>
          </w:tcPr>
          <w:p w:rsidR="00631D61" w:rsidRPr="00B463BF" w:rsidRDefault="00631D61" w:rsidP="0062455A">
            <w:pPr>
              <w:spacing w:after="240"/>
            </w:pPr>
            <w:r w:rsidRPr="00B463BF">
              <w:t>Customer Complaints to the Utility</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2C4FF2">
            <w:r w:rsidRPr="00B463BF">
              <w:t>Denise N. Vandiver</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DNV-4</w:t>
            </w:r>
          </w:p>
        </w:tc>
        <w:tc>
          <w:tcPr>
            <w:tcW w:w="4165" w:type="dxa"/>
            <w:tcBorders>
              <w:top w:val="nil"/>
              <w:left w:val="nil"/>
              <w:bottom w:val="nil"/>
              <w:right w:val="nil"/>
            </w:tcBorders>
            <w:vAlign w:val="center"/>
          </w:tcPr>
          <w:p w:rsidR="00631D61" w:rsidRPr="00B463BF" w:rsidRDefault="00631D61" w:rsidP="0062455A">
            <w:pPr>
              <w:spacing w:after="240"/>
            </w:pPr>
            <w:r w:rsidRPr="00B463BF">
              <w:t>Customer Letters and Comments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2C4FF2">
            <w:r w:rsidRPr="00B463BF">
              <w:t>Denise N. Vandiver</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DNV-5</w:t>
            </w:r>
          </w:p>
        </w:tc>
        <w:tc>
          <w:tcPr>
            <w:tcW w:w="4165" w:type="dxa"/>
            <w:tcBorders>
              <w:top w:val="nil"/>
              <w:left w:val="nil"/>
              <w:bottom w:val="nil"/>
              <w:right w:val="nil"/>
            </w:tcBorders>
            <w:vAlign w:val="center"/>
          </w:tcPr>
          <w:p w:rsidR="00631D61" w:rsidRPr="00B463BF" w:rsidRDefault="00631D61" w:rsidP="0062455A">
            <w:pPr>
              <w:spacing w:after="240"/>
            </w:pPr>
            <w:r w:rsidRPr="00B463BF">
              <w:t>Correspondence From Mr. Shallcross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2C4FF2">
            <w:r w:rsidRPr="00B463BF">
              <w:t>Denise N. Vandiver</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DNV-6</w:t>
            </w:r>
          </w:p>
        </w:tc>
        <w:tc>
          <w:tcPr>
            <w:tcW w:w="4165" w:type="dxa"/>
            <w:tcBorders>
              <w:top w:val="nil"/>
              <w:left w:val="nil"/>
              <w:bottom w:val="nil"/>
              <w:right w:val="nil"/>
            </w:tcBorders>
            <w:vAlign w:val="center"/>
          </w:tcPr>
          <w:p w:rsidR="00631D61" w:rsidRPr="00B463BF" w:rsidRDefault="00631D61" w:rsidP="0062455A">
            <w:pPr>
              <w:spacing w:after="240"/>
            </w:pPr>
            <w:r w:rsidRPr="00B463BF">
              <w:t>Summary of Service Hearing Testimony</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2C4FF2">
            <w:r w:rsidRPr="00B463BF">
              <w:t>Denise N. Vandiver</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DNV-7</w:t>
            </w:r>
          </w:p>
        </w:tc>
        <w:tc>
          <w:tcPr>
            <w:tcW w:w="4165" w:type="dxa"/>
            <w:tcBorders>
              <w:top w:val="nil"/>
              <w:left w:val="nil"/>
              <w:bottom w:val="nil"/>
              <w:right w:val="nil"/>
            </w:tcBorders>
            <w:vAlign w:val="center"/>
          </w:tcPr>
          <w:p w:rsidR="00631D61" w:rsidRPr="00B463BF" w:rsidRDefault="00631D61" w:rsidP="0062455A">
            <w:pPr>
              <w:spacing w:after="240"/>
            </w:pPr>
            <w:r w:rsidRPr="00B463BF">
              <w:t>Summary of PSC Findings on Quality of Service</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w:t>
            </w:r>
          </w:p>
        </w:tc>
        <w:tc>
          <w:tcPr>
            <w:tcW w:w="4165" w:type="dxa"/>
            <w:tcBorders>
              <w:top w:val="nil"/>
              <w:left w:val="nil"/>
              <w:bottom w:val="nil"/>
              <w:right w:val="nil"/>
            </w:tcBorders>
            <w:vAlign w:val="center"/>
          </w:tcPr>
          <w:p w:rsidR="00631D61" w:rsidRPr="00B463BF" w:rsidRDefault="00631D61" w:rsidP="0062455A">
            <w:pPr>
              <w:spacing w:after="240"/>
            </w:pPr>
            <w:r w:rsidRPr="00B463BF">
              <w:t>Resume of Andrew T. Woodcock</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ATW-2</w:t>
            </w:r>
          </w:p>
        </w:tc>
        <w:tc>
          <w:tcPr>
            <w:tcW w:w="4165" w:type="dxa"/>
            <w:tcBorders>
              <w:top w:val="nil"/>
              <w:left w:val="nil"/>
              <w:bottom w:val="nil"/>
              <w:right w:val="nil"/>
            </w:tcBorders>
            <w:vAlign w:val="center"/>
          </w:tcPr>
          <w:p w:rsidR="00631D61" w:rsidRPr="00B463BF" w:rsidRDefault="00631D61" w:rsidP="0062455A">
            <w:pPr>
              <w:spacing w:after="240"/>
            </w:pPr>
            <w:r w:rsidRPr="00B463BF">
              <w:t>Excessive Unaccounted for Water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ATW-3</w:t>
            </w:r>
          </w:p>
        </w:tc>
        <w:tc>
          <w:tcPr>
            <w:tcW w:w="4165" w:type="dxa"/>
            <w:tcBorders>
              <w:top w:val="nil"/>
              <w:left w:val="nil"/>
              <w:bottom w:val="nil"/>
              <w:right w:val="nil"/>
            </w:tcBorders>
            <w:vAlign w:val="center"/>
          </w:tcPr>
          <w:p w:rsidR="00631D61" w:rsidRPr="00B463BF" w:rsidRDefault="00631D61" w:rsidP="0062455A">
            <w:pPr>
              <w:spacing w:after="240"/>
            </w:pPr>
            <w:r w:rsidRPr="00B463BF">
              <w:t>Excessive Inflow and Infiltration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ATW-4</w:t>
            </w:r>
          </w:p>
        </w:tc>
        <w:tc>
          <w:tcPr>
            <w:tcW w:w="4165" w:type="dxa"/>
            <w:tcBorders>
              <w:top w:val="nil"/>
              <w:left w:val="nil"/>
              <w:bottom w:val="nil"/>
              <w:right w:val="nil"/>
            </w:tcBorders>
            <w:vAlign w:val="center"/>
          </w:tcPr>
          <w:p w:rsidR="00631D61" w:rsidRPr="00B463BF" w:rsidRDefault="00631D61" w:rsidP="0062455A">
            <w:pPr>
              <w:spacing w:after="240"/>
            </w:pPr>
            <w:r w:rsidRPr="00B463BF">
              <w:t>Summary of Used and Useful Percentages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ATW-5</w:t>
            </w:r>
          </w:p>
        </w:tc>
        <w:tc>
          <w:tcPr>
            <w:tcW w:w="4165" w:type="dxa"/>
            <w:tcBorders>
              <w:top w:val="nil"/>
              <w:left w:val="nil"/>
              <w:bottom w:val="nil"/>
              <w:right w:val="nil"/>
            </w:tcBorders>
            <w:vAlign w:val="center"/>
          </w:tcPr>
          <w:p w:rsidR="00631D61" w:rsidRPr="00B463BF" w:rsidRDefault="00631D61" w:rsidP="0062455A">
            <w:pPr>
              <w:spacing w:after="240"/>
            </w:pPr>
            <w:r w:rsidRPr="00B463BF">
              <w:t>LUSI Used and Useful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ATW-6</w:t>
            </w:r>
          </w:p>
        </w:tc>
        <w:tc>
          <w:tcPr>
            <w:tcW w:w="4165" w:type="dxa"/>
            <w:tcBorders>
              <w:top w:val="nil"/>
              <w:left w:val="nil"/>
              <w:bottom w:val="nil"/>
              <w:right w:val="nil"/>
            </w:tcBorders>
            <w:vAlign w:val="center"/>
          </w:tcPr>
          <w:p w:rsidR="00631D61" w:rsidRPr="00B463BF" w:rsidRDefault="00631D61" w:rsidP="0062455A">
            <w:pPr>
              <w:spacing w:after="240"/>
            </w:pPr>
            <w:r w:rsidRPr="00B463BF">
              <w:t>Mid County Used and Useful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ATW-7</w:t>
            </w:r>
          </w:p>
        </w:tc>
        <w:tc>
          <w:tcPr>
            <w:tcW w:w="4165" w:type="dxa"/>
            <w:tcBorders>
              <w:top w:val="nil"/>
              <w:left w:val="nil"/>
              <w:bottom w:val="nil"/>
              <w:right w:val="nil"/>
            </w:tcBorders>
            <w:vAlign w:val="center"/>
          </w:tcPr>
          <w:p w:rsidR="00631D61" w:rsidRPr="00B463BF" w:rsidRDefault="00631D61" w:rsidP="0062455A">
            <w:pPr>
              <w:spacing w:after="240"/>
            </w:pPr>
            <w:r w:rsidRPr="00B463BF">
              <w:t>Lake Placid Used and Useful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ATW-8</w:t>
            </w:r>
          </w:p>
        </w:tc>
        <w:tc>
          <w:tcPr>
            <w:tcW w:w="4165" w:type="dxa"/>
            <w:tcBorders>
              <w:top w:val="nil"/>
              <w:left w:val="nil"/>
              <w:bottom w:val="nil"/>
              <w:right w:val="nil"/>
            </w:tcBorders>
            <w:vAlign w:val="center"/>
          </w:tcPr>
          <w:p w:rsidR="00631D61" w:rsidRPr="00B463BF" w:rsidRDefault="00631D61" w:rsidP="0062455A">
            <w:pPr>
              <w:spacing w:after="240"/>
            </w:pPr>
            <w:r w:rsidRPr="00B463BF">
              <w:t>Lake Placid FDEP Construction Application</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ATW-9</w:t>
            </w:r>
          </w:p>
        </w:tc>
        <w:tc>
          <w:tcPr>
            <w:tcW w:w="4165" w:type="dxa"/>
            <w:tcBorders>
              <w:top w:val="nil"/>
              <w:left w:val="nil"/>
              <w:bottom w:val="nil"/>
              <w:right w:val="nil"/>
            </w:tcBorders>
            <w:vAlign w:val="center"/>
          </w:tcPr>
          <w:p w:rsidR="00631D61" w:rsidRPr="00B463BF" w:rsidRDefault="00631D61" w:rsidP="0062455A">
            <w:pPr>
              <w:spacing w:after="240"/>
            </w:pPr>
            <w:r w:rsidRPr="00B463BF">
              <w:t>Labrador Used and Useful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lastRenderedPageBreak/>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ATW-10</w:t>
            </w:r>
          </w:p>
        </w:tc>
        <w:tc>
          <w:tcPr>
            <w:tcW w:w="4165" w:type="dxa"/>
            <w:tcBorders>
              <w:top w:val="nil"/>
              <w:left w:val="nil"/>
              <w:bottom w:val="nil"/>
              <w:right w:val="nil"/>
            </w:tcBorders>
            <w:vAlign w:val="center"/>
          </w:tcPr>
          <w:p w:rsidR="00631D61" w:rsidRPr="00B463BF" w:rsidRDefault="00631D61" w:rsidP="0062455A">
            <w:pPr>
              <w:spacing w:after="240"/>
            </w:pPr>
            <w:r w:rsidRPr="00B463BF">
              <w:t>Labrador Map of Certified Service Area and Surrounding Property</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ATW-11</w:t>
            </w:r>
          </w:p>
        </w:tc>
        <w:tc>
          <w:tcPr>
            <w:tcW w:w="4165" w:type="dxa"/>
            <w:tcBorders>
              <w:top w:val="nil"/>
              <w:left w:val="nil"/>
              <w:bottom w:val="nil"/>
              <w:right w:val="nil"/>
            </w:tcBorders>
            <w:vAlign w:val="center"/>
          </w:tcPr>
          <w:p w:rsidR="00631D61" w:rsidRPr="00B463BF" w:rsidRDefault="00631D61" w:rsidP="0062455A">
            <w:pPr>
              <w:spacing w:after="240"/>
            </w:pPr>
            <w:r w:rsidRPr="00B463BF">
              <w:t>Eagle Ridge Used and Useful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ATW-12</w:t>
            </w:r>
          </w:p>
        </w:tc>
        <w:tc>
          <w:tcPr>
            <w:tcW w:w="4165" w:type="dxa"/>
            <w:tcBorders>
              <w:top w:val="nil"/>
              <w:left w:val="nil"/>
              <w:bottom w:val="nil"/>
              <w:right w:val="nil"/>
            </w:tcBorders>
            <w:vAlign w:val="center"/>
          </w:tcPr>
          <w:p w:rsidR="00631D61" w:rsidRPr="00B463BF" w:rsidRDefault="00631D61" w:rsidP="0062455A">
            <w:pPr>
              <w:spacing w:after="240"/>
            </w:pPr>
            <w:r w:rsidRPr="00B463BF">
              <w:t>Crownwood Used and Useful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ATW-13</w:t>
            </w:r>
          </w:p>
        </w:tc>
        <w:tc>
          <w:tcPr>
            <w:tcW w:w="4165" w:type="dxa"/>
            <w:tcBorders>
              <w:top w:val="nil"/>
              <w:left w:val="nil"/>
              <w:bottom w:val="nil"/>
              <w:right w:val="nil"/>
            </w:tcBorders>
            <w:vAlign w:val="center"/>
          </w:tcPr>
          <w:p w:rsidR="00631D61" w:rsidRPr="00B463BF" w:rsidRDefault="00631D61" w:rsidP="0062455A">
            <w:pPr>
              <w:spacing w:after="240"/>
            </w:pPr>
            <w:r w:rsidRPr="00B463BF">
              <w:t>Crownwood Map of Certificated Service Area and Surrounding Property</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ATW-14</w:t>
            </w:r>
          </w:p>
        </w:tc>
        <w:tc>
          <w:tcPr>
            <w:tcW w:w="4165" w:type="dxa"/>
            <w:tcBorders>
              <w:top w:val="nil"/>
              <w:left w:val="nil"/>
              <w:bottom w:val="nil"/>
              <w:right w:val="nil"/>
            </w:tcBorders>
            <w:vAlign w:val="center"/>
          </w:tcPr>
          <w:p w:rsidR="00631D61" w:rsidRPr="00B463BF" w:rsidRDefault="00631D61" w:rsidP="0062455A">
            <w:pPr>
              <w:spacing w:after="240"/>
            </w:pPr>
            <w:r w:rsidRPr="00B463BF">
              <w:t>Sandalhaven Composite Exhibit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ATW-15</w:t>
            </w:r>
          </w:p>
        </w:tc>
        <w:tc>
          <w:tcPr>
            <w:tcW w:w="4165" w:type="dxa"/>
            <w:tcBorders>
              <w:top w:val="nil"/>
              <w:left w:val="nil"/>
              <w:bottom w:val="nil"/>
              <w:right w:val="nil"/>
            </w:tcBorders>
            <w:vAlign w:val="center"/>
          </w:tcPr>
          <w:p w:rsidR="00631D61" w:rsidRPr="00B463BF" w:rsidRDefault="00631D61" w:rsidP="0062455A">
            <w:pPr>
              <w:spacing w:after="240"/>
            </w:pPr>
            <w:r w:rsidRPr="00B463BF">
              <w:t>Sandalhaven Used and Useful Calculations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ATW-16</w:t>
            </w:r>
          </w:p>
        </w:tc>
        <w:tc>
          <w:tcPr>
            <w:tcW w:w="4165" w:type="dxa"/>
            <w:tcBorders>
              <w:top w:val="nil"/>
              <w:left w:val="nil"/>
              <w:bottom w:val="nil"/>
              <w:right w:val="nil"/>
            </w:tcBorders>
            <w:vAlign w:val="center"/>
          </w:tcPr>
          <w:p w:rsidR="00631D61" w:rsidRPr="00B463BF" w:rsidRDefault="00631D61" w:rsidP="0062455A">
            <w:pPr>
              <w:spacing w:after="240"/>
            </w:pPr>
            <w:r w:rsidRPr="00B463BF">
              <w:t>Summary of Pro forma projects with cost justification supporting less than requested.</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ATW-17</w:t>
            </w:r>
          </w:p>
        </w:tc>
        <w:tc>
          <w:tcPr>
            <w:tcW w:w="4165" w:type="dxa"/>
            <w:tcBorders>
              <w:top w:val="nil"/>
              <w:left w:val="nil"/>
              <w:bottom w:val="nil"/>
              <w:right w:val="nil"/>
            </w:tcBorders>
            <w:vAlign w:val="center"/>
          </w:tcPr>
          <w:p w:rsidR="00631D61" w:rsidRPr="00B463BF" w:rsidRDefault="00631D61" w:rsidP="0062455A">
            <w:pPr>
              <w:spacing w:after="240"/>
            </w:pPr>
            <w:r w:rsidRPr="00B463BF">
              <w:t>Sanlando Wekiva WWTP Rehabilitation Invoice</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rPr>
                <w:bCs/>
              </w:rPr>
              <w:t>Andrew T. Woodcock</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ATW-18</w:t>
            </w:r>
          </w:p>
        </w:tc>
        <w:tc>
          <w:tcPr>
            <w:tcW w:w="4165" w:type="dxa"/>
            <w:tcBorders>
              <w:top w:val="nil"/>
              <w:left w:val="nil"/>
              <w:bottom w:val="nil"/>
              <w:right w:val="nil"/>
            </w:tcBorders>
            <w:vAlign w:val="center"/>
          </w:tcPr>
          <w:p w:rsidR="00631D61" w:rsidRPr="00B463BF" w:rsidRDefault="00631D61" w:rsidP="0062455A">
            <w:pPr>
              <w:spacing w:after="240"/>
            </w:pPr>
            <w:r w:rsidRPr="00B463BF">
              <w:t xml:space="preserve">Mid-County Electrical Improvements – Bid </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w:t>
            </w:r>
          </w:p>
        </w:tc>
        <w:tc>
          <w:tcPr>
            <w:tcW w:w="4165" w:type="dxa"/>
            <w:tcBorders>
              <w:top w:val="nil"/>
              <w:left w:val="nil"/>
              <w:bottom w:val="nil"/>
              <w:right w:val="nil"/>
            </w:tcBorders>
            <w:vAlign w:val="center"/>
          </w:tcPr>
          <w:p w:rsidR="00631D61" w:rsidRPr="00B463BF" w:rsidRDefault="00631D61" w:rsidP="0062455A">
            <w:pPr>
              <w:spacing w:after="240"/>
            </w:pPr>
            <w:r w:rsidRPr="00B463BF">
              <w:t>Qualifications of Donna Ramas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DMR-2</w:t>
            </w:r>
          </w:p>
        </w:tc>
        <w:tc>
          <w:tcPr>
            <w:tcW w:w="4165" w:type="dxa"/>
            <w:tcBorders>
              <w:top w:val="nil"/>
              <w:left w:val="nil"/>
              <w:bottom w:val="nil"/>
              <w:right w:val="nil"/>
            </w:tcBorders>
            <w:vAlign w:val="center"/>
          </w:tcPr>
          <w:p w:rsidR="00631D61" w:rsidRPr="00B463BF" w:rsidRDefault="00631D61" w:rsidP="0062455A">
            <w:pPr>
              <w:spacing w:after="240"/>
            </w:pPr>
            <w:r w:rsidRPr="00B463BF">
              <w:t>OPC Revenue Requirement Exhibits</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DMR-3</w:t>
            </w:r>
          </w:p>
        </w:tc>
        <w:tc>
          <w:tcPr>
            <w:tcW w:w="4165" w:type="dxa"/>
            <w:tcBorders>
              <w:top w:val="nil"/>
              <w:left w:val="nil"/>
              <w:bottom w:val="nil"/>
              <w:right w:val="nil"/>
            </w:tcBorders>
            <w:vAlign w:val="center"/>
          </w:tcPr>
          <w:p w:rsidR="00631D61" w:rsidRPr="00B463BF" w:rsidRDefault="00631D61" w:rsidP="005F554F">
            <w:pPr>
              <w:spacing w:after="240"/>
            </w:pPr>
            <w:r w:rsidRPr="00B463BF">
              <w:t>Cypress Lakes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DMR-4</w:t>
            </w:r>
          </w:p>
        </w:tc>
        <w:tc>
          <w:tcPr>
            <w:tcW w:w="4165" w:type="dxa"/>
            <w:tcBorders>
              <w:top w:val="nil"/>
              <w:left w:val="nil"/>
              <w:bottom w:val="nil"/>
              <w:right w:val="nil"/>
            </w:tcBorders>
            <w:vAlign w:val="center"/>
          </w:tcPr>
          <w:p w:rsidR="00631D61" w:rsidRPr="00B463BF" w:rsidRDefault="00631D61" w:rsidP="005F554F">
            <w:pPr>
              <w:spacing w:after="240"/>
            </w:pPr>
            <w:r w:rsidRPr="00B463BF">
              <w:t>Eagle Ridge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lastRenderedPageBreak/>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DMR-5</w:t>
            </w:r>
          </w:p>
        </w:tc>
        <w:tc>
          <w:tcPr>
            <w:tcW w:w="4165" w:type="dxa"/>
            <w:tcBorders>
              <w:top w:val="nil"/>
              <w:left w:val="nil"/>
              <w:bottom w:val="nil"/>
              <w:right w:val="nil"/>
            </w:tcBorders>
            <w:vAlign w:val="center"/>
          </w:tcPr>
          <w:p w:rsidR="00631D61" w:rsidRPr="00B463BF" w:rsidRDefault="00631D61" w:rsidP="005F554F">
            <w:pPr>
              <w:spacing w:after="240"/>
            </w:pPr>
            <w:r w:rsidRPr="00B463BF">
              <w:t>Labrador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DMR-6</w:t>
            </w:r>
          </w:p>
        </w:tc>
        <w:tc>
          <w:tcPr>
            <w:tcW w:w="4165" w:type="dxa"/>
            <w:tcBorders>
              <w:top w:val="nil"/>
              <w:left w:val="nil"/>
              <w:bottom w:val="nil"/>
              <w:right w:val="nil"/>
            </w:tcBorders>
            <w:vAlign w:val="center"/>
          </w:tcPr>
          <w:p w:rsidR="00631D61" w:rsidRPr="00B463BF" w:rsidRDefault="00631D61" w:rsidP="005F554F">
            <w:pPr>
              <w:spacing w:after="240"/>
            </w:pPr>
            <w:r w:rsidRPr="00B463BF">
              <w:t>Lake Placid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DMR-7</w:t>
            </w:r>
          </w:p>
        </w:tc>
        <w:tc>
          <w:tcPr>
            <w:tcW w:w="4165" w:type="dxa"/>
            <w:tcBorders>
              <w:top w:val="nil"/>
              <w:left w:val="nil"/>
              <w:bottom w:val="nil"/>
              <w:right w:val="nil"/>
            </w:tcBorders>
            <w:vAlign w:val="center"/>
          </w:tcPr>
          <w:p w:rsidR="00631D61" w:rsidRPr="00B463BF" w:rsidRDefault="00631D61" w:rsidP="005F554F">
            <w:pPr>
              <w:spacing w:after="240"/>
            </w:pPr>
            <w:r w:rsidRPr="00B463BF">
              <w:t>Longwood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DMR-8</w:t>
            </w:r>
          </w:p>
        </w:tc>
        <w:tc>
          <w:tcPr>
            <w:tcW w:w="4165" w:type="dxa"/>
            <w:tcBorders>
              <w:top w:val="nil"/>
              <w:left w:val="nil"/>
              <w:bottom w:val="nil"/>
              <w:right w:val="nil"/>
            </w:tcBorders>
            <w:vAlign w:val="center"/>
          </w:tcPr>
          <w:p w:rsidR="00631D61" w:rsidRPr="00B463BF" w:rsidRDefault="00631D61" w:rsidP="005F554F">
            <w:pPr>
              <w:spacing w:after="240"/>
            </w:pPr>
            <w:r w:rsidRPr="00B463BF">
              <w:t>Lake Utility Services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DMR-9</w:t>
            </w:r>
          </w:p>
        </w:tc>
        <w:tc>
          <w:tcPr>
            <w:tcW w:w="4165" w:type="dxa"/>
            <w:tcBorders>
              <w:top w:val="nil"/>
              <w:left w:val="nil"/>
              <w:bottom w:val="nil"/>
              <w:right w:val="nil"/>
            </w:tcBorders>
            <w:vAlign w:val="center"/>
          </w:tcPr>
          <w:p w:rsidR="00631D61" w:rsidRPr="00B463BF" w:rsidRDefault="00631D61" w:rsidP="005F554F">
            <w:pPr>
              <w:spacing w:after="240"/>
            </w:pPr>
            <w:r w:rsidRPr="00B463BF">
              <w:t>Mid-County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DMR-10</w:t>
            </w:r>
          </w:p>
        </w:tc>
        <w:tc>
          <w:tcPr>
            <w:tcW w:w="4165" w:type="dxa"/>
            <w:tcBorders>
              <w:top w:val="nil"/>
              <w:left w:val="nil"/>
              <w:bottom w:val="nil"/>
              <w:right w:val="nil"/>
            </w:tcBorders>
            <w:vAlign w:val="center"/>
          </w:tcPr>
          <w:p w:rsidR="00631D61" w:rsidRPr="00B463BF" w:rsidRDefault="00631D61" w:rsidP="005F554F">
            <w:pPr>
              <w:spacing w:after="240"/>
            </w:pPr>
            <w:r w:rsidRPr="00B463BF">
              <w:t>Pennbrooke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DMR-11</w:t>
            </w:r>
          </w:p>
        </w:tc>
        <w:tc>
          <w:tcPr>
            <w:tcW w:w="4165" w:type="dxa"/>
            <w:tcBorders>
              <w:top w:val="nil"/>
              <w:left w:val="nil"/>
              <w:bottom w:val="nil"/>
              <w:right w:val="nil"/>
            </w:tcBorders>
            <w:vAlign w:val="center"/>
          </w:tcPr>
          <w:p w:rsidR="00631D61" w:rsidRPr="00B463BF" w:rsidRDefault="00631D61" w:rsidP="005F554F">
            <w:pPr>
              <w:spacing w:after="240"/>
            </w:pPr>
            <w:r w:rsidRPr="00B463BF">
              <w:t>Sandalhaven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DMR-12</w:t>
            </w:r>
          </w:p>
        </w:tc>
        <w:tc>
          <w:tcPr>
            <w:tcW w:w="4165" w:type="dxa"/>
            <w:tcBorders>
              <w:top w:val="nil"/>
              <w:left w:val="nil"/>
              <w:bottom w:val="nil"/>
              <w:right w:val="nil"/>
            </w:tcBorders>
            <w:vAlign w:val="center"/>
          </w:tcPr>
          <w:p w:rsidR="00631D61" w:rsidRPr="00B463BF" w:rsidRDefault="00631D61" w:rsidP="005F554F">
            <w:pPr>
              <w:spacing w:after="240"/>
            </w:pPr>
            <w:r w:rsidRPr="00B463BF">
              <w:t>Sanlando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DMR-13</w:t>
            </w:r>
          </w:p>
        </w:tc>
        <w:tc>
          <w:tcPr>
            <w:tcW w:w="4165" w:type="dxa"/>
            <w:tcBorders>
              <w:top w:val="nil"/>
              <w:left w:val="nil"/>
              <w:bottom w:val="nil"/>
              <w:right w:val="nil"/>
            </w:tcBorders>
            <w:vAlign w:val="center"/>
          </w:tcPr>
          <w:p w:rsidR="00631D61" w:rsidRPr="00B463BF" w:rsidRDefault="00631D61" w:rsidP="005F554F">
            <w:pPr>
              <w:spacing w:after="240"/>
            </w:pPr>
            <w:r w:rsidRPr="00B463BF">
              <w:t>Tierra Verde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DMR-14</w:t>
            </w:r>
          </w:p>
        </w:tc>
        <w:tc>
          <w:tcPr>
            <w:tcW w:w="4165" w:type="dxa"/>
            <w:tcBorders>
              <w:top w:val="nil"/>
              <w:left w:val="nil"/>
              <w:bottom w:val="nil"/>
              <w:right w:val="nil"/>
            </w:tcBorders>
            <w:vAlign w:val="center"/>
          </w:tcPr>
          <w:p w:rsidR="00631D61" w:rsidRPr="00B463BF" w:rsidRDefault="00631D61" w:rsidP="005F554F">
            <w:pPr>
              <w:spacing w:after="240"/>
            </w:pPr>
            <w:r w:rsidRPr="00B463BF">
              <w:t>Seminole County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DMR-15</w:t>
            </w:r>
          </w:p>
        </w:tc>
        <w:tc>
          <w:tcPr>
            <w:tcW w:w="4165" w:type="dxa"/>
            <w:tcBorders>
              <w:top w:val="nil"/>
              <w:left w:val="nil"/>
              <w:bottom w:val="nil"/>
              <w:right w:val="nil"/>
            </w:tcBorders>
            <w:vAlign w:val="center"/>
          </w:tcPr>
          <w:p w:rsidR="00631D61" w:rsidRPr="00B463BF" w:rsidRDefault="00631D61" w:rsidP="005F554F">
            <w:pPr>
              <w:spacing w:after="240"/>
            </w:pPr>
            <w:r w:rsidRPr="00B463BF">
              <w:t>Orange County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DMR-16</w:t>
            </w:r>
          </w:p>
        </w:tc>
        <w:tc>
          <w:tcPr>
            <w:tcW w:w="4165" w:type="dxa"/>
            <w:tcBorders>
              <w:top w:val="nil"/>
              <w:left w:val="nil"/>
              <w:bottom w:val="nil"/>
              <w:right w:val="nil"/>
            </w:tcBorders>
            <w:vAlign w:val="center"/>
          </w:tcPr>
          <w:p w:rsidR="00631D61" w:rsidRPr="00B463BF" w:rsidRDefault="00631D61" w:rsidP="005F554F">
            <w:pPr>
              <w:spacing w:after="240"/>
            </w:pPr>
            <w:r w:rsidRPr="00B463BF">
              <w:t>Pasco County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DMR-17</w:t>
            </w:r>
          </w:p>
        </w:tc>
        <w:tc>
          <w:tcPr>
            <w:tcW w:w="4165" w:type="dxa"/>
            <w:tcBorders>
              <w:top w:val="nil"/>
              <w:left w:val="nil"/>
              <w:bottom w:val="nil"/>
              <w:right w:val="nil"/>
            </w:tcBorders>
            <w:vAlign w:val="center"/>
          </w:tcPr>
          <w:p w:rsidR="00631D61" w:rsidRPr="00B463BF" w:rsidRDefault="00631D61" w:rsidP="005F554F">
            <w:pPr>
              <w:spacing w:after="240"/>
            </w:pPr>
            <w:r w:rsidRPr="00B463BF">
              <w:t>Pinellas County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DMR-18</w:t>
            </w:r>
          </w:p>
        </w:tc>
        <w:tc>
          <w:tcPr>
            <w:tcW w:w="4165" w:type="dxa"/>
            <w:tcBorders>
              <w:top w:val="nil"/>
              <w:left w:val="nil"/>
              <w:bottom w:val="nil"/>
              <w:right w:val="nil"/>
            </w:tcBorders>
            <w:vAlign w:val="center"/>
          </w:tcPr>
          <w:p w:rsidR="00631D61" w:rsidRPr="00B463BF" w:rsidRDefault="00631D61" w:rsidP="005F554F">
            <w:pPr>
              <w:spacing w:after="240"/>
            </w:pPr>
            <w:r w:rsidRPr="00B463BF">
              <w:t>Marion County Revenue Requirement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DMR-19</w:t>
            </w:r>
          </w:p>
        </w:tc>
        <w:tc>
          <w:tcPr>
            <w:tcW w:w="4165" w:type="dxa"/>
            <w:tcBorders>
              <w:top w:val="nil"/>
              <w:left w:val="nil"/>
              <w:bottom w:val="nil"/>
              <w:right w:val="nil"/>
            </w:tcBorders>
            <w:vAlign w:val="center"/>
          </w:tcPr>
          <w:p w:rsidR="00631D61" w:rsidRPr="00B463BF" w:rsidRDefault="00631D61" w:rsidP="005F554F">
            <w:pPr>
              <w:spacing w:after="240"/>
            </w:pPr>
            <w:r w:rsidRPr="00B463BF">
              <w:t>WSC Charges – Health Insurance Reserve Adjustment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DMR-20</w:t>
            </w:r>
          </w:p>
        </w:tc>
        <w:tc>
          <w:tcPr>
            <w:tcW w:w="4165" w:type="dxa"/>
            <w:tcBorders>
              <w:top w:val="nil"/>
              <w:left w:val="nil"/>
              <w:bottom w:val="nil"/>
              <w:right w:val="nil"/>
            </w:tcBorders>
            <w:vAlign w:val="center"/>
          </w:tcPr>
          <w:p w:rsidR="00631D61" w:rsidRPr="00B463BF" w:rsidRDefault="00631D61" w:rsidP="005F554F">
            <w:pPr>
              <w:spacing w:after="240"/>
            </w:pPr>
            <w:r w:rsidRPr="00B463BF">
              <w:t>WSC State – Depreciation Expense Adjustment</w:t>
            </w:r>
          </w:p>
        </w:tc>
      </w:tr>
      <w:tr w:rsidR="00631D61" w:rsidRPr="00701945" w:rsidTr="002C4FF2">
        <w:trPr>
          <w:cantSplit/>
          <w:trHeight w:val="353"/>
        </w:trPr>
        <w:tc>
          <w:tcPr>
            <w:tcW w:w="2700" w:type="dxa"/>
            <w:tcBorders>
              <w:top w:val="nil"/>
              <w:left w:val="nil"/>
              <w:bottom w:val="nil"/>
              <w:right w:val="nil"/>
            </w:tcBorders>
          </w:tcPr>
          <w:p w:rsidR="00631D61" w:rsidRPr="00B463BF" w:rsidRDefault="00631D61" w:rsidP="00C2150B">
            <w:r w:rsidRPr="00B463BF">
              <w:lastRenderedPageBreak/>
              <w:t>Donna Ramas</w:t>
            </w:r>
          </w:p>
        </w:tc>
        <w:tc>
          <w:tcPr>
            <w:tcW w:w="1260" w:type="dxa"/>
            <w:tcBorders>
              <w:top w:val="nil"/>
              <w:left w:val="nil"/>
              <w:bottom w:val="nil"/>
              <w:right w:val="nil"/>
            </w:tcBorders>
          </w:tcPr>
          <w:p w:rsidR="00631D61" w:rsidRDefault="00631D61" w:rsidP="00E30F8E">
            <w:pPr>
              <w:jc w:val="center"/>
            </w:pPr>
            <w:r w:rsidRPr="00511A01">
              <w:t>OPC</w:t>
            </w:r>
          </w:p>
        </w:tc>
        <w:tc>
          <w:tcPr>
            <w:tcW w:w="1440" w:type="dxa"/>
            <w:tcBorders>
              <w:top w:val="nil"/>
              <w:left w:val="nil"/>
              <w:bottom w:val="nil"/>
              <w:right w:val="nil"/>
            </w:tcBorders>
          </w:tcPr>
          <w:p w:rsidR="00631D61" w:rsidRPr="00B463BF" w:rsidRDefault="00631D61" w:rsidP="005F554F">
            <w:pPr>
              <w:spacing w:after="240"/>
              <w:jc w:val="center"/>
            </w:pPr>
            <w:r w:rsidRPr="00B463BF">
              <w:t>DMR-21</w:t>
            </w:r>
          </w:p>
        </w:tc>
        <w:tc>
          <w:tcPr>
            <w:tcW w:w="4165" w:type="dxa"/>
            <w:tcBorders>
              <w:top w:val="nil"/>
              <w:left w:val="nil"/>
              <w:bottom w:val="nil"/>
              <w:right w:val="nil"/>
            </w:tcBorders>
            <w:vAlign w:val="center"/>
          </w:tcPr>
          <w:p w:rsidR="00631D61" w:rsidRPr="00B463BF" w:rsidRDefault="00631D61" w:rsidP="005F554F">
            <w:pPr>
              <w:spacing w:after="240"/>
            </w:pPr>
            <w:r w:rsidRPr="00B463BF">
              <w:t>Reduction to GIS Pro Forma Plant Addition</w:t>
            </w:r>
          </w:p>
        </w:tc>
      </w:tr>
      <w:tr w:rsidR="00631D61" w:rsidRPr="00701945" w:rsidTr="002C4FF2">
        <w:trPr>
          <w:cantSplit/>
          <w:trHeight w:val="373"/>
        </w:trPr>
        <w:tc>
          <w:tcPr>
            <w:tcW w:w="2700" w:type="dxa"/>
            <w:tcBorders>
              <w:top w:val="nil"/>
              <w:left w:val="nil"/>
              <w:bottom w:val="nil"/>
              <w:right w:val="nil"/>
            </w:tcBorders>
          </w:tcPr>
          <w:p w:rsidR="00631D61" w:rsidRDefault="00631D61" w:rsidP="00C2150B">
            <w:r w:rsidRPr="00F8428C">
              <w:rPr>
                <w:bCs/>
              </w:rPr>
              <w:t>Jessica Kleinfelter</w:t>
            </w:r>
          </w:p>
        </w:tc>
        <w:tc>
          <w:tcPr>
            <w:tcW w:w="1260" w:type="dxa"/>
            <w:tcBorders>
              <w:top w:val="nil"/>
              <w:left w:val="nil"/>
              <w:bottom w:val="nil"/>
              <w:right w:val="nil"/>
            </w:tcBorders>
          </w:tcPr>
          <w:p w:rsidR="00631D61" w:rsidRDefault="00631D61" w:rsidP="000A1095">
            <w:pPr>
              <w:jc w:val="center"/>
            </w:pPr>
            <w:r w:rsidRPr="00464BCD">
              <w:t>Staff</w:t>
            </w:r>
          </w:p>
        </w:tc>
        <w:tc>
          <w:tcPr>
            <w:tcW w:w="1440" w:type="dxa"/>
            <w:tcBorders>
              <w:top w:val="nil"/>
              <w:left w:val="nil"/>
              <w:bottom w:val="nil"/>
              <w:right w:val="nil"/>
            </w:tcBorders>
          </w:tcPr>
          <w:p w:rsidR="00631D61" w:rsidRPr="009F56CE" w:rsidRDefault="00631D61" w:rsidP="005F55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JMK-1</w:t>
            </w:r>
          </w:p>
        </w:tc>
        <w:tc>
          <w:tcPr>
            <w:tcW w:w="4165" w:type="dxa"/>
            <w:tcBorders>
              <w:top w:val="nil"/>
              <w:left w:val="nil"/>
              <w:bottom w:val="nil"/>
              <w:right w:val="nil"/>
            </w:tcBorders>
          </w:tcPr>
          <w:p w:rsidR="00631D61" w:rsidRPr="009F56CE" w:rsidRDefault="00631D61" w:rsidP="003414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AE3930">
              <w:t>Curriculum Vitae for Jessica M. Kleinfelter</w:t>
            </w:r>
          </w:p>
        </w:tc>
      </w:tr>
      <w:tr w:rsidR="00631D61" w:rsidRPr="00701945" w:rsidTr="002C4FF2">
        <w:trPr>
          <w:cantSplit/>
          <w:trHeight w:val="353"/>
        </w:trPr>
        <w:tc>
          <w:tcPr>
            <w:tcW w:w="2700" w:type="dxa"/>
            <w:tcBorders>
              <w:top w:val="nil"/>
              <w:left w:val="nil"/>
              <w:bottom w:val="nil"/>
              <w:right w:val="nil"/>
            </w:tcBorders>
          </w:tcPr>
          <w:p w:rsidR="00631D61" w:rsidRDefault="00631D61" w:rsidP="00C2150B">
            <w:r w:rsidRPr="00F8428C">
              <w:rPr>
                <w:bCs/>
              </w:rPr>
              <w:t>Jessica Kleinfelter</w:t>
            </w:r>
          </w:p>
        </w:tc>
        <w:tc>
          <w:tcPr>
            <w:tcW w:w="1260" w:type="dxa"/>
            <w:tcBorders>
              <w:top w:val="nil"/>
              <w:left w:val="nil"/>
              <w:bottom w:val="nil"/>
              <w:right w:val="nil"/>
            </w:tcBorders>
          </w:tcPr>
          <w:p w:rsidR="00631D61" w:rsidRDefault="00631D61" w:rsidP="000A1095">
            <w:pPr>
              <w:jc w:val="center"/>
            </w:pPr>
            <w:r w:rsidRPr="00464BCD">
              <w:t>Staff</w:t>
            </w:r>
          </w:p>
        </w:tc>
        <w:tc>
          <w:tcPr>
            <w:tcW w:w="1440" w:type="dxa"/>
            <w:tcBorders>
              <w:top w:val="nil"/>
              <w:left w:val="nil"/>
              <w:bottom w:val="nil"/>
              <w:right w:val="nil"/>
            </w:tcBorders>
          </w:tcPr>
          <w:p w:rsidR="00631D61" w:rsidRPr="009F56CE" w:rsidRDefault="00631D61" w:rsidP="005F55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JMK-2</w:t>
            </w:r>
          </w:p>
        </w:tc>
        <w:tc>
          <w:tcPr>
            <w:tcW w:w="4165" w:type="dxa"/>
            <w:tcBorders>
              <w:top w:val="nil"/>
              <w:left w:val="nil"/>
              <w:bottom w:val="nil"/>
              <w:right w:val="nil"/>
            </w:tcBorders>
          </w:tcPr>
          <w:p w:rsidR="00631D61" w:rsidRPr="009F56CE" w:rsidRDefault="00631D61" w:rsidP="003414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AE3930">
              <w:t>Summary of Compliance and Complaint History</w:t>
            </w:r>
          </w:p>
        </w:tc>
      </w:tr>
      <w:tr w:rsidR="00631D61" w:rsidRPr="00701945" w:rsidTr="002C4FF2">
        <w:trPr>
          <w:cantSplit/>
          <w:trHeight w:val="353"/>
        </w:trPr>
        <w:tc>
          <w:tcPr>
            <w:tcW w:w="2700" w:type="dxa"/>
            <w:tcBorders>
              <w:top w:val="nil"/>
              <w:left w:val="nil"/>
              <w:bottom w:val="nil"/>
              <w:right w:val="nil"/>
            </w:tcBorders>
          </w:tcPr>
          <w:p w:rsidR="00631D61" w:rsidRPr="009F56CE" w:rsidRDefault="00631D61" w:rsidP="00C215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Rhonda L. Hicks</w:t>
            </w:r>
          </w:p>
        </w:tc>
        <w:tc>
          <w:tcPr>
            <w:tcW w:w="1260" w:type="dxa"/>
            <w:tcBorders>
              <w:top w:val="nil"/>
              <w:left w:val="nil"/>
              <w:bottom w:val="nil"/>
              <w:right w:val="nil"/>
            </w:tcBorders>
          </w:tcPr>
          <w:p w:rsidR="00631D61" w:rsidRPr="009F56CE" w:rsidRDefault="00631D61"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Staff</w:t>
            </w:r>
          </w:p>
        </w:tc>
        <w:tc>
          <w:tcPr>
            <w:tcW w:w="1440" w:type="dxa"/>
            <w:tcBorders>
              <w:top w:val="nil"/>
              <w:left w:val="nil"/>
              <w:bottom w:val="nil"/>
              <w:right w:val="nil"/>
            </w:tcBorders>
          </w:tcPr>
          <w:p w:rsidR="00631D61" w:rsidRPr="009F56CE" w:rsidRDefault="00631D61"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RLH-1</w:t>
            </w:r>
          </w:p>
        </w:tc>
        <w:tc>
          <w:tcPr>
            <w:tcW w:w="4165" w:type="dxa"/>
            <w:tcBorders>
              <w:top w:val="nil"/>
              <w:left w:val="nil"/>
              <w:bottom w:val="nil"/>
              <w:right w:val="nil"/>
            </w:tcBorders>
          </w:tcPr>
          <w:p w:rsidR="00631D61" w:rsidRPr="009F56CE" w:rsidRDefault="00631D61" w:rsidP="0062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Summary of Customer Complaints</w:t>
            </w:r>
          </w:p>
        </w:tc>
      </w:tr>
      <w:tr w:rsidR="00631D61" w:rsidRPr="00701945" w:rsidTr="002C4FF2">
        <w:trPr>
          <w:cantSplit/>
          <w:trHeight w:val="353"/>
        </w:trPr>
        <w:tc>
          <w:tcPr>
            <w:tcW w:w="2700" w:type="dxa"/>
            <w:tcBorders>
              <w:top w:val="nil"/>
              <w:left w:val="nil"/>
              <w:bottom w:val="nil"/>
              <w:right w:val="nil"/>
            </w:tcBorders>
          </w:tcPr>
          <w:p w:rsidR="00631D61" w:rsidRPr="00F8428C" w:rsidRDefault="00631D61" w:rsidP="00C2150B">
            <w:pPr>
              <w:rPr>
                <w:bCs/>
              </w:rPr>
            </w:pPr>
            <w:r>
              <w:t>Debra M. Dobiac</w:t>
            </w:r>
          </w:p>
        </w:tc>
        <w:tc>
          <w:tcPr>
            <w:tcW w:w="1260" w:type="dxa"/>
            <w:tcBorders>
              <w:top w:val="nil"/>
              <w:left w:val="nil"/>
              <w:bottom w:val="nil"/>
              <w:right w:val="nil"/>
            </w:tcBorders>
          </w:tcPr>
          <w:p w:rsidR="00631D61" w:rsidRDefault="00631D61" w:rsidP="000A1095">
            <w:pPr>
              <w:jc w:val="center"/>
            </w:pPr>
            <w:r w:rsidRPr="00464BCD">
              <w:t>Staff</w:t>
            </w:r>
          </w:p>
        </w:tc>
        <w:tc>
          <w:tcPr>
            <w:tcW w:w="1440" w:type="dxa"/>
            <w:tcBorders>
              <w:top w:val="nil"/>
              <w:left w:val="nil"/>
              <w:bottom w:val="nil"/>
              <w:right w:val="nil"/>
            </w:tcBorders>
          </w:tcPr>
          <w:p w:rsidR="00631D61" w:rsidRDefault="00631D61" w:rsidP="005F55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DMD-1</w:t>
            </w:r>
          </w:p>
        </w:tc>
        <w:tc>
          <w:tcPr>
            <w:tcW w:w="4165" w:type="dxa"/>
            <w:tcBorders>
              <w:top w:val="nil"/>
              <w:left w:val="nil"/>
              <w:bottom w:val="nil"/>
              <w:right w:val="nil"/>
            </w:tcBorders>
          </w:tcPr>
          <w:p w:rsidR="00631D61" w:rsidRPr="00AE3930" w:rsidRDefault="00631D61" w:rsidP="003414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AE3930">
              <w:t>Auditor's Report-Rate Case</w:t>
            </w:r>
          </w:p>
        </w:tc>
      </w:tr>
      <w:tr w:rsidR="00631D61" w:rsidRPr="00701945" w:rsidTr="002C4FF2">
        <w:trPr>
          <w:cantSplit/>
          <w:trHeight w:val="373"/>
        </w:trPr>
        <w:tc>
          <w:tcPr>
            <w:tcW w:w="2700" w:type="dxa"/>
            <w:tcBorders>
              <w:top w:val="nil"/>
              <w:left w:val="nil"/>
              <w:bottom w:val="nil"/>
              <w:right w:val="nil"/>
            </w:tcBorders>
          </w:tcPr>
          <w:p w:rsidR="00631D61" w:rsidRDefault="00631D61" w:rsidP="00C2150B">
            <w:r w:rsidRPr="00F11ACE">
              <w:rPr>
                <w:bCs/>
              </w:rPr>
              <w:t>Patti B. Daniel</w:t>
            </w:r>
          </w:p>
        </w:tc>
        <w:tc>
          <w:tcPr>
            <w:tcW w:w="1260" w:type="dxa"/>
            <w:tcBorders>
              <w:top w:val="nil"/>
              <w:left w:val="nil"/>
              <w:bottom w:val="nil"/>
              <w:right w:val="nil"/>
            </w:tcBorders>
          </w:tcPr>
          <w:p w:rsidR="00631D61" w:rsidRDefault="00631D61" w:rsidP="000A1095">
            <w:pPr>
              <w:jc w:val="center"/>
            </w:pPr>
            <w:r w:rsidRPr="00464BCD">
              <w:t>Staff</w:t>
            </w:r>
          </w:p>
        </w:tc>
        <w:tc>
          <w:tcPr>
            <w:tcW w:w="1440" w:type="dxa"/>
            <w:tcBorders>
              <w:top w:val="nil"/>
              <w:left w:val="nil"/>
              <w:bottom w:val="nil"/>
              <w:right w:val="nil"/>
            </w:tcBorders>
          </w:tcPr>
          <w:p w:rsidR="00631D61" w:rsidRDefault="00631D61" w:rsidP="005F55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PBD-1</w:t>
            </w:r>
          </w:p>
        </w:tc>
        <w:tc>
          <w:tcPr>
            <w:tcW w:w="4165" w:type="dxa"/>
            <w:tcBorders>
              <w:top w:val="nil"/>
              <w:left w:val="nil"/>
              <w:bottom w:val="nil"/>
              <w:right w:val="nil"/>
            </w:tcBorders>
          </w:tcPr>
          <w:p w:rsidR="00631D61" w:rsidRPr="00AE3930" w:rsidRDefault="00631D61" w:rsidP="003414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AE3930">
              <w:t>UIF Customer Demographics</w:t>
            </w:r>
          </w:p>
        </w:tc>
      </w:tr>
      <w:tr w:rsidR="00631D61" w:rsidRPr="00701945" w:rsidTr="002C4FF2">
        <w:trPr>
          <w:cantSplit/>
          <w:trHeight w:val="353"/>
        </w:trPr>
        <w:tc>
          <w:tcPr>
            <w:tcW w:w="2700" w:type="dxa"/>
            <w:tcBorders>
              <w:top w:val="nil"/>
              <w:left w:val="nil"/>
              <w:bottom w:val="nil"/>
              <w:right w:val="nil"/>
            </w:tcBorders>
          </w:tcPr>
          <w:p w:rsidR="00631D61" w:rsidRDefault="00631D61" w:rsidP="00C2150B">
            <w:r w:rsidRPr="00F11ACE">
              <w:rPr>
                <w:bCs/>
              </w:rPr>
              <w:t>Patti B. Daniel</w:t>
            </w:r>
          </w:p>
        </w:tc>
        <w:tc>
          <w:tcPr>
            <w:tcW w:w="1260" w:type="dxa"/>
            <w:tcBorders>
              <w:top w:val="nil"/>
              <w:left w:val="nil"/>
              <w:bottom w:val="nil"/>
              <w:right w:val="nil"/>
            </w:tcBorders>
          </w:tcPr>
          <w:p w:rsidR="00631D61" w:rsidRDefault="00631D61" w:rsidP="000A1095">
            <w:pPr>
              <w:jc w:val="center"/>
            </w:pPr>
            <w:r w:rsidRPr="00464BCD">
              <w:t>Staff</w:t>
            </w:r>
          </w:p>
        </w:tc>
        <w:tc>
          <w:tcPr>
            <w:tcW w:w="1440" w:type="dxa"/>
            <w:tcBorders>
              <w:top w:val="nil"/>
              <w:left w:val="nil"/>
              <w:bottom w:val="nil"/>
              <w:right w:val="nil"/>
            </w:tcBorders>
          </w:tcPr>
          <w:p w:rsidR="00631D61" w:rsidRDefault="00631D61" w:rsidP="005F55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PBD-2</w:t>
            </w:r>
          </w:p>
        </w:tc>
        <w:tc>
          <w:tcPr>
            <w:tcW w:w="4165" w:type="dxa"/>
            <w:tcBorders>
              <w:top w:val="nil"/>
              <w:left w:val="nil"/>
              <w:bottom w:val="nil"/>
              <w:right w:val="nil"/>
            </w:tcBorders>
          </w:tcPr>
          <w:p w:rsidR="00631D61" w:rsidRPr="00AE3930" w:rsidRDefault="00631D61" w:rsidP="003414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AE3930">
              <w:t>Water Bill Comparison</w:t>
            </w:r>
          </w:p>
        </w:tc>
      </w:tr>
      <w:tr w:rsidR="00631D61" w:rsidRPr="00701945" w:rsidTr="002C4FF2">
        <w:trPr>
          <w:cantSplit/>
          <w:trHeight w:val="373"/>
        </w:trPr>
        <w:tc>
          <w:tcPr>
            <w:tcW w:w="2700" w:type="dxa"/>
            <w:tcBorders>
              <w:top w:val="nil"/>
              <w:left w:val="nil"/>
              <w:bottom w:val="nil"/>
              <w:right w:val="nil"/>
            </w:tcBorders>
          </w:tcPr>
          <w:p w:rsidR="00631D61" w:rsidRDefault="00631D61" w:rsidP="00C2150B">
            <w:r w:rsidRPr="00F11ACE">
              <w:rPr>
                <w:bCs/>
              </w:rPr>
              <w:t>Patti B. Daniel</w:t>
            </w:r>
          </w:p>
        </w:tc>
        <w:tc>
          <w:tcPr>
            <w:tcW w:w="1260" w:type="dxa"/>
            <w:tcBorders>
              <w:top w:val="nil"/>
              <w:left w:val="nil"/>
              <w:bottom w:val="nil"/>
              <w:right w:val="nil"/>
            </w:tcBorders>
          </w:tcPr>
          <w:p w:rsidR="00631D61" w:rsidRDefault="00631D61" w:rsidP="000A10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Staff</w:t>
            </w:r>
          </w:p>
        </w:tc>
        <w:tc>
          <w:tcPr>
            <w:tcW w:w="1440" w:type="dxa"/>
            <w:tcBorders>
              <w:top w:val="nil"/>
              <w:left w:val="nil"/>
              <w:bottom w:val="nil"/>
              <w:right w:val="nil"/>
            </w:tcBorders>
          </w:tcPr>
          <w:p w:rsidR="00631D61" w:rsidRDefault="00631D61" w:rsidP="005F55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PBD-3</w:t>
            </w:r>
          </w:p>
        </w:tc>
        <w:tc>
          <w:tcPr>
            <w:tcW w:w="4165" w:type="dxa"/>
            <w:tcBorders>
              <w:top w:val="nil"/>
              <w:left w:val="nil"/>
              <w:bottom w:val="nil"/>
              <w:right w:val="nil"/>
            </w:tcBorders>
          </w:tcPr>
          <w:p w:rsidR="00631D61" w:rsidRPr="00AE3930" w:rsidRDefault="00631D61" w:rsidP="003414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AE3930">
              <w:t>Wastewater Bill Comparison</w:t>
            </w:r>
          </w:p>
        </w:tc>
      </w:tr>
      <w:tr w:rsidR="0097602B" w:rsidRPr="00701945" w:rsidTr="00EC791B">
        <w:trPr>
          <w:cantSplit/>
          <w:trHeight w:val="353"/>
        </w:trPr>
        <w:tc>
          <w:tcPr>
            <w:tcW w:w="2700" w:type="dxa"/>
            <w:tcBorders>
              <w:top w:val="nil"/>
              <w:left w:val="nil"/>
              <w:bottom w:val="nil"/>
              <w:right w:val="nil"/>
            </w:tcBorders>
          </w:tcPr>
          <w:p w:rsidR="0097602B" w:rsidRPr="00652860" w:rsidRDefault="0097602B" w:rsidP="003414D4">
            <w:pPr>
              <w:jc w:val="both"/>
              <w:rPr>
                <w:b/>
              </w:rPr>
            </w:pPr>
            <w:r w:rsidRPr="00701945">
              <w:tab/>
            </w:r>
            <w:r w:rsidRPr="00652860">
              <w:rPr>
                <w:b/>
                <w:u w:val="single"/>
              </w:rPr>
              <w:t>Rebuttal</w:t>
            </w:r>
          </w:p>
        </w:tc>
        <w:tc>
          <w:tcPr>
            <w:tcW w:w="1260" w:type="dxa"/>
            <w:tcBorders>
              <w:top w:val="nil"/>
              <w:left w:val="nil"/>
              <w:bottom w:val="nil"/>
              <w:right w:val="nil"/>
            </w:tcBorders>
          </w:tcPr>
          <w:p w:rsidR="0097602B" w:rsidRPr="00701945" w:rsidRDefault="0097602B" w:rsidP="003414D4">
            <w:pPr>
              <w:jc w:val="center"/>
            </w:pPr>
          </w:p>
        </w:tc>
        <w:tc>
          <w:tcPr>
            <w:tcW w:w="1440" w:type="dxa"/>
            <w:tcBorders>
              <w:top w:val="nil"/>
              <w:left w:val="nil"/>
              <w:bottom w:val="nil"/>
              <w:right w:val="nil"/>
            </w:tcBorders>
          </w:tcPr>
          <w:p w:rsidR="0097602B" w:rsidRPr="004515FB" w:rsidRDefault="0097602B" w:rsidP="003414D4">
            <w:pPr>
              <w:jc w:val="center"/>
            </w:pPr>
          </w:p>
        </w:tc>
        <w:tc>
          <w:tcPr>
            <w:tcW w:w="4165" w:type="dxa"/>
            <w:tcBorders>
              <w:top w:val="nil"/>
              <w:left w:val="nil"/>
              <w:bottom w:val="nil"/>
              <w:right w:val="nil"/>
            </w:tcBorders>
          </w:tcPr>
          <w:p w:rsidR="0097602B" w:rsidRPr="00701945" w:rsidRDefault="0097602B" w:rsidP="003414D4"/>
        </w:tc>
      </w:tr>
      <w:tr w:rsidR="0097602B" w:rsidRPr="00701945" w:rsidTr="00EC791B">
        <w:trPr>
          <w:cantSplit/>
          <w:trHeight w:val="726"/>
        </w:trPr>
        <w:tc>
          <w:tcPr>
            <w:tcW w:w="2700" w:type="dxa"/>
            <w:tcBorders>
              <w:top w:val="nil"/>
              <w:left w:val="nil"/>
              <w:bottom w:val="nil"/>
              <w:right w:val="nil"/>
            </w:tcBorders>
          </w:tcPr>
          <w:p w:rsidR="0097602B" w:rsidRDefault="0097602B" w:rsidP="00F0011E">
            <w:pPr>
              <w:spacing w:after="120"/>
            </w:pPr>
            <w:r>
              <w:t>Jared Deason</w:t>
            </w:r>
          </w:p>
        </w:tc>
        <w:tc>
          <w:tcPr>
            <w:tcW w:w="1260" w:type="dxa"/>
            <w:tcBorders>
              <w:top w:val="nil"/>
              <w:left w:val="nil"/>
              <w:bottom w:val="nil"/>
              <w:right w:val="nil"/>
            </w:tcBorders>
          </w:tcPr>
          <w:p w:rsidR="0097602B" w:rsidRDefault="0097602B" w:rsidP="0059534A">
            <w:pPr>
              <w:jc w:val="center"/>
            </w:pPr>
            <w:r w:rsidRPr="00164C07">
              <w:t>UIF</w:t>
            </w:r>
          </w:p>
        </w:tc>
        <w:tc>
          <w:tcPr>
            <w:tcW w:w="1440" w:type="dxa"/>
            <w:tcBorders>
              <w:top w:val="nil"/>
              <w:left w:val="nil"/>
              <w:bottom w:val="nil"/>
              <w:right w:val="nil"/>
            </w:tcBorders>
          </w:tcPr>
          <w:p w:rsidR="0097602B" w:rsidRDefault="0097602B" w:rsidP="00B61B79">
            <w:pPr>
              <w:spacing w:after="120"/>
              <w:jc w:val="center"/>
            </w:pPr>
            <w:r>
              <w:t>JD-4</w:t>
            </w:r>
          </w:p>
        </w:tc>
        <w:tc>
          <w:tcPr>
            <w:tcW w:w="4165" w:type="dxa"/>
            <w:tcBorders>
              <w:top w:val="nil"/>
              <w:left w:val="nil"/>
              <w:bottom w:val="nil"/>
              <w:right w:val="nil"/>
            </w:tcBorders>
          </w:tcPr>
          <w:p w:rsidR="0097602B" w:rsidRPr="001F7758" w:rsidRDefault="0097602B" w:rsidP="00F0011E">
            <w:pPr>
              <w:spacing w:after="120"/>
            </w:pPr>
            <w:r>
              <w:t>Updated Rate Case Expense</w:t>
            </w:r>
          </w:p>
        </w:tc>
      </w:tr>
      <w:tr w:rsidR="005F554F" w:rsidRPr="00701945" w:rsidTr="002C4FF2">
        <w:trPr>
          <w:cantSplit/>
          <w:trHeight w:val="353"/>
        </w:trPr>
        <w:tc>
          <w:tcPr>
            <w:tcW w:w="2700" w:type="dxa"/>
            <w:tcBorders>
              <w:top w:val="nil"/>
              <w:left w:val="nil"/>
              <w:bottom w:val="nil"/>
              <w:right w:val="nil"/>
            </w:tcBorders>
          </w:tcPr>
          <w:p w:rsidR="005F554F" w:rsidRDefault="005F554F" w:rsidP="00F0011E">
            <w:pPr>
              <w:spacing w:after="120"/>
            </w:pPr>
            <w:r>
              <w:t>Patrick C. Flynn</w:t>
            </w:r>
          </w:p>
        </w:tc>
        <w:tc>
          <w:tcPr>
            <w:tcW w:w="1260" w:type="dxa"/>
            <w:tcBorders>
              <w:top w:val="nil"/>
              <w:left w:val="nil"/>
              <w:bottom w:val="nil"/>
              <w:right w:val="nil"/>
            </w:tcBorders>
          </w:tcPr>
          <w:p w:rsidR="005F554F" w:rsidRDefault="005F554F" w:rsidP="0059534A">
            <w:pPr>
              <w:jc w:val="center"/>
            </w:pPr>
            <w:r w:rsidRPr="00164C07">
              <w:t>UIF</w:t>
            </w:r>
          </w:p>
        </w:tc>
        <w:tc>
          <w:tcPr>
            <w:tcW w:w="1440" w:type="dxa"/>
            <w:tcBorders>
              <w:top w:val="nil"/>
              <w:left w:val="nil"/>
              <w:bottom w:val="nil"/>
              <w:right w:val="nil"/>
            </w:tcBorders>
          </w:tcPr>
          <w:p w:rsidR="005F554F" w:rsidRDefault="005F554F" w:rsidP="007F52F8">
            <w:pPr>
              <w:spacing w:after="120"/>
              <w:jc w:val="center"/>
            </w:pPr>
            <w:r>
              <w:t>PCF-1 Updated</w:t>
            </w:r>
            <w:r w:rsidR="002F7C20">
              <w:rPr>
                <w:rStyle w:val="FootnoteReference"/>
              </w:rPr>
              <w:footnoteReference w:id="1"/>
            </w:r>
          </w:p>
        </w:tc>
        <w:tc>
          <w:tcPr>
            <w:tcW w:w="4165" w:type="dxa"/>
            <w:tcBorders>
              <w:top w:val="nil"/>
              <w:left w:val="nil"/>
              <w:bottom w:val="nil"/>
              <w:right w:val="nil"/>
            </w:tcBorders>
          </w:tcPr>
          <w:p w:rsidR="005F554F" w:rsidRPr="00985E95" w:rsidRDefault="005F554F" w:rsidP="00F0011E">
            <w:pPr>
              <w:spacing w:after="120"/>
            </w:pPr>
            <w:r w:rsidRPr="00985E95">
              <w:t>Cypress Lakes WTP Hydro Tank #1 Proforma</w:t>
            </w:r>
          </w:p>
        </w:tc>
      </w:tr>
      <w:tr w:rsidR="005F554F" w:rsidRPr="00701945" w:rsidTr="002C4FF2">
        <w:trPr>
          <w:cantSplit/>
          <w:trHeight w:val="373"/>
        </w:trPr>
        <w:tc>
          <w:tcPr>
            <w:tcW w:w="2700" w:type="dxa"/>
            <w:tcBorders>
              <w:top w:val="nil"/>
              <w:left w:val="nil"/>
              <w:bottom w:val="nil"/>
              <w:right w:val="nil"/>
            </w:tcBorders>
          </w:tcPr>
          <w:p w:rsidR="005F554F" w:rsidRDefault="005F554F" w:rsidP="00F0011E">
            <w:pPr>
              <w:spacing w:after="120"/>
            </w:pPr>
            <w:r>
              <w:t>Patrick C. Flynn</w:t>
            </w:r>
          </w:p>
        </w:tc>
        <w:tc>
          <w:tcPr>
            <w:tcW w:w="1260" w:type="dxa"/>
            <w:tcBorders>
              <w:top w:val="nil"/>
              <w:left w:val="nil"/>
              <w:bottom w:val="nil"/>
              <w:right w:val="nil"/>
            </w:tcBorders>
          </w:tcPr>
          <w:p w:rsidR="005F554F" w:rsidRDefault="005F554F" w:rsidP="0059534A">
            <w:pPr>
              <w:jc w:val="center"/>
            </w:pPr>
            <w:r w:rsidRPr="00164C07">
              <w:t>UIF</w:t>
            </w:r>
          </w:p>
        </w:tc>
        <w:tc>
          <w:tcPr>
            <w:tcW w:w="1440" w:type="dxa"/>
            <w:tcBorders>
              <w:top w:val="nil"/>
              <w:left w:val="nil"/>
              <w:bottom w:val="nil"/>
              <w:right w:val="nil"/>
            </w:tcBorders>
          </w:tcPr>
          <w:p w:rsidR="005F554F" w:rsidRDefault="005F554F" w:rsidP="00B61B79">
            <w:pPr>
              <w:spacing w:after="120"/>
              <w:jc w:val="center"/>
            </w:pPr>
            <w:r>
              <w:t>PCF-2 Updated</w:t>
            </w:r>
          </w:p>
        </w:tc>
        <w:tc>
          <w:tcPr>
            <w:tcW w:w="4165" w:type="dxa"/>
            <w:tcBorders>
              <w:top w:val="nil"/>
              <w:left w:val="nil"/>
              <w:bottom w:val="nil"/>
              <w:right w:val="nil"/>
            </w:tcBorders>
          </w:tcPr>
          <w:p w:rsidR="005F554F" w:rsidRPr="00985E95" w:rsidRDefault="005F554F" w:rsidP="00F0011E">
            <w:pPr>
              <w:spacing w:after="120"/>
            </w:pPr>
            <w:r w:rsidRPr="00985E95">
              <w:t>Cypress Lakes Sediment Removal Proforma</w:t>
            </w:r>
          </w:p>
        </w:tc>
      </w:tr>
      <w:tr w:rsidR="005F554F" w:rsidRPr="00701945" w:rsidTr="002C4FF2">
        <w:trPr>
          <w:cantSplit/>
          <w:trHeight w:val="353"/>
        </w:trPr>
        <w:tc>
          <w:tcPr>
            <w:tcW w:w="2700" w:type="dxa"/>
            <w:tcBorders>
              <w:top w:val="nil"/>
              <w:left w:val="nil"/>
              <w:bottom w:val="nil"/>
              <w:right w:val="nil"/>
            </w:tcBorders>
          </w:tcPr>
          <w:p w:rsidR="005F554F" w:rsidRDefault="005F554F" w:rsidP="00F0011E">
            <w:pPr>
              <w:spacing w:after="120"/>
            </w:pPr>
            <w:r>
              <w:t>Patrick C. Flynn</w:t>
            </w:r>
          </w:p>
        </w:tc>
        <w:tc>
          <w:tcPr>
            <w:tcW w:w="1260" w:type="dxa"/>
            <w:tcBorders>
              <w:top w:val="nil"/>
              <w:left w:val="nil"/>
              <w:bottom w:val="nil"/>
              <w:right w:val="nil"/>
            </w:tcBorders>
          </w:tcPr>
          <w:p w:rsidR="005F554F" w:rsidRDefault="005F554F" w:rsidP="0059534A">
            <w:pPr>
              <w:jc w:val="center"/>
            </w:pPr>
            <w:r w:rsidRPr="00164C07">
              <w:t>UIF</w:t>
            </w:r>
          </w:p>
        </w:tc>
        <w:tc>
          <w:tcPr>
            <w:tcW w:w="1440" w:type="dxa"/>
            <w:tcBorders>
              <w:top w:val="nil"/>
              <w:left w:val="nil"/>
              <w:bottom w:val="nil"/>
              <w:right w:val="nil"/>
            </w:tcBorders>
          </w:tcPr>
          <w:p w:rsidR="005F554F" w:rsidRDefault="005F554F" w:rsidP="00B61B79">
            <w:pPr>
              <w:spacing w:after="120"/>
              <w:jc w:val="center"/>
            </w:pPr>
            <w:r>
              <w:t>PCF-3 Updated</w:t>
            </w:r>
          </w:p>
        </w:tc>
        <w:tc>
          <w:tcPr>
            <w:tcW w:w="4165" w:type="dxa"/>
            <w:tcBorders>
              <w:top w:val="nil"/>
              <w:left w:val="nil"/>
              <w:bottom w:val="nil"/>
              <w:right w:val="nil"/>
            </w:tcBorders>
          </w:tcPr>
          <w:p w:rsidR="005F554F" w:rsidRPr="00985E95" w:rsidRDefault="005F554F" w:rsidP="00F0011E">
            <w:pPr>
              <w:spacing w:after="120"/>
            </w:pPr>
            <w:r w:rsidRPr="00985E95">
              <w:t>Eagle Ridge WWTP EQ Tank &amp; Headworks Proforma</w:t>
            </w:r>
          </w:p>
        </w:tc>
      </w:tr>
      <w:tr w:rsidR="005F554F" w:rsidRPr="00701945" w:rsidTr="002C4FF2">
        <w:trPr>
          <w:cantSplit/>
          <w:trHeight w:val="373"/>
        </w:trPr>
        <w:tc>
          <w:tcPr>
            <w:tcW w:w="2700" w:type="dxa"/>
            <w:tcBorders>
              <w:top w:val="nil"/>
              <w:left w:val="nil"/>
              <w:bottom w:val="nil"/>
              <w:right w:val="nil"/>
            </w:tcBorders>
          </w:tcPr>
          <w:p w:rsidR="005F554F" w:rsidRDefault="005F554F" w:rsidP="00F0011E">
            <w:pPr>
              <w:spacing w:after="120"/>
            </w:pPr>
            <w:r>
              <w:t>Patrick C. Flynn</w:t>
            </w:r>
          </w:p>
        </w:tc>
        <w:tc>
          <w:tcPr>
            <w:tcW w:w="1260" w:type="dxa"/>
            <w:tcBorders>
              <w:top w:val="nil"/>
              <w:left w:val="nil"/>
              <w:bottom w:val="nil"/>
              <w:right w:val="nil"/>
            </w:tcBorders>
          </w:tcPr>
          <w:p w:rsidR="005F554F" w:rsidRDefault="005F554F" w:rsidP="0059534A">
            <w:pPr>
              <w:jc w:val="center"/>
            </w:pPr>
            <w:r w:rsidRPr="00164C07">
              <w:t>UIF</w:t>
            </w:r>
          </w:p>
        </w:tc>
        <w:tc>
          <w:tcPr>
            <w:tcW w:w="1440" w:type="dxa"/>
            <w:tcBorders>
              <w:top w:val="nil"/>
              <w:left w:val="nil"/>
              <w:bottom w:val="nil"/>
              <w:right w:val="nil"/>
            </w:tcBorders>
          </w:tcPr>
          <w:p w:rsidR="005F554F" w:rsidRDefault="005F554F" w:rsidP="00B61B79">
            <w:pPr>
              <w:spacing w:after="120"/>
              <w:jc w:val="center"/>
            </w:pPr>
            <w:r>
              <w:t>PCF-4 Updated</w:t>
            </w:r>
          </w:p>
        </w:tc>
        <w:tc>
          <w:tcPr>
            <w:tcW w:w="4165" w:type="dxa"/>
            <w:tcBorders>
              <w:top w:val="nil"/>
              <w:left w:val="nil"/>
              <w:bottom w:val="nil"/>
              <w:right w:val="nil"/>
            </w:tcBorders>
          </w:tcPr>
          <w:p w:rsidR="005F554F" w:rsidRPr="00985E95" w:rsidRDefault="005F554F" w:rsidP="00F0011E">
            <w:pPr>
              <w:spacing w:after="120"/>
            </w:pPr>
            <w:r w:rsidRPr="00985E95">
              <w:t>Labrador WWTP Sediment Removal Proforma</w:t>
            </w:r>
          </w:p>
        </w:tc>
      </w:tr>
      <w:tr w:rsidR="005F554F" w:rsidRPr="00701945" w:rsidTr="002C4FF2">
        <w:trPr>
          <w:cantSplit/>
          <w:trHeight w:val="373"/>
        </w:trPr>
        <w:tc>
          <w:tcPr>
            <w:tcW w:w="2700" w:type="dxa"/>
            <w:tcBorders>
              <w:top w:val="nil"/>
              <w:left w:val="nil"/>
              <w:bottom w:val="nil"/>
              <w:right w:val="nil"/>
            </w:tcBorders>
          </w:tcPr>
          <w:p w:rsidR="005F554F" w:rsidRDefault="005F554F" w:rsidP="00F0011E">
            <w:pPr>
              <w:spacing w:after="120"/>
            </w:pPr>
            <w:r>
              <w:t>Patrick C. Flynn</w:t>
            </w:r>
          </w:p>
        </w:tc>
        <w:tc>
          <w:tcPr>
            <w:tcW w:w="1260" w:type="dxa"/>
            <w:tcBorders>
              <w:top w:val="nil"/>
              <w:left w:val="nil"/>
              <w:bottom w:val="nil"/>
              <w:right w:val="nil"/>
            </w:tcBorders>
          </w:tcPr>
          <w:p w:rsidR="005F554F" w:rsidRDefault="005F554F" w:rsidP="0059534A">
            <w:pPr>
              <w:jc w:val="center"/>
            </w:pPr>
            <w:r w:rsidRPr="00164C07">
              <w:t>UIF</w:t>
            </w:r>
          </w:p>
        </w:tc>
        <w:tc>
          <w:tcPr>
            <w:tcW w:w="1440" w:type="dxa"/>
            <w:tcBorders>
              <w:top w:val="nil"/>
              <w:left w:val="nil"/>
              <w:bottom w:val="nil"/>
              <w:right w:val="nil"/>
            </w:tcBorders>
          </w:tcPr>
          <w:p w:rsidR="005F554F" w:rsidRDefault="005F554F" w:rsidP="00B61B79">
            <w:pPr>
              <w:spacing w:after="120"/>
              <w:jc w:val="center"/>
            </w:pPr>
            <w:r>
              <w:t>PCF-5 Updated</w:t>
            </w:r>
          </w:p>
        </w:tc>
        <w:tc>
          <w:tcPr>
            <w:tcW w:w="4165" w:type="dxa"/>
            <w:tcBorders>
              <w:top w:val="nil"/>
              <w:left w:val="nil"/>
              <w:bottom w:val="nil"/>
              <w:right w:val="nil"/>
            </w:tcBorders>
          </w:tcPr>
          <w:p w:rsidR="005F554F" w:rsidRPr="00985E95" w:rsidRDefault="005F554F" w:rsidP="00F0011E">
            <w:pPr>
              <w:spacing w:after="120"/>
            </w:pPr>
            <w:r w:rsidRPr="00985E95">
              <w:t>LUSI - Lake Groves Sludge Dewatering Equipment Proforma</w:t>
            </w:r>
          </w:p>
        </w:tc>
      </w:tr>
      <w:tr w:rsidR="005F554F" w:rsidRPr="00701945" w:rsidTr="002C4FF2">
        <w:trPr>
          <w:cantSplit/>
          <w:trHeight w:val="373"/>
        </w:trPr>
        <w:tc>
          <w:tcPr>
            <w:tcW w:w="2700" w:type="dxa"/>
            <w:tcBorders>
              <w:top w:val="nil"/>
              <w:left w:val="nil"/>
              <w:bottom w:val="nil"/>
              <w:right w:val="nil"/>
            </w:tcBorders>
          </w:tcPr>
          <w:p w:rsidR="005F554F" w:rsidRDefault="005F554F" w:rsidP="00F0011E">
            <w:pPr>
              <w:spacing w:after="120"/>
            </w:pPr>
            <w:r>
              <w:lastRenderedPageBreak/>
              <w:t>Patrick C. Flynn</w:t>
            </w:r>
          </w:p>
        </w:tc>
        <w:tc>
          <w:tcPr>
            <w:tcW w:w="1260" w:type="dxa"/>
            <w:tcBorders>
              <w:top w:val="nil"/>
              <w:left w:val="nil"/>
              <w:bottom w:val="nil"/>
              <w:right w:val="nil"/>
            </w:tcBorders>
          </w:tcPr>
          <w:p w:rsidR="005F554F" w:rsidRDefault="005F554F" w:rsidP="0059534A">
            <w:pPr>
              <w:jc w:val="center"/>
            </w:pPr>
            <w:r w:rsidRPr="00164C07">
              <w:t>UIF</w:t>
            </w:r>
          </w:p>
        </w:tc>
        <w:tc>
          <w:tcPr>
            <w:tcW w:w="1440" w:type="dxa"/>
            <w:tcBorders>
              <w:top w:val="nil"/>
              <w:left w:val="nil"/>
              <w:bottom w:val="nil"/>
              <w:right w:val="nil"/>
            </w:tcBorders>
          </w:tcPr>
          <w:p w:rsidR="005F554F" w:rsidRDefault="005F554F" w:rsidP="00B61B79">
            <w:pPr>
              <w:spacing w:after="120"/>
              <w:jc w:val="center"/>
            </w:pPr>
            <w:r>
              <w:t>PCF-6 Updated</w:t>
            </w:r>
          </w:p>
        </w:tc>
        <w:tc>
          <w:tcPr>
            <w:tcW w:w="4165" w:type="dxa"/>
            <w:tcBorders>
              <w:top w:val="nil"/>
              <w:left w:val="nil"/>
              <w:bottom w:val="nil"/>
              <w:right w:val="nil"/>
            </w:tcBorders>
          </w:tcPr>
          <w:p w:rsidR="005F554F" w:rsidRPr="00985E95" w:rsidRDefault="005F554F" w:rsidP="00F0011E">
            <w:pPr>
              <w:spacing w:after="120"/>
            </w:pPr>
            <w:r w:rsidRPr="00985E95">
              <w:t>LUSI - Oswalt Road Water Main Relocation Proforma</w:t>
            </w:r>
          </w:p>
        </w:tc>
      </w:tr>
      <w:tr w:rsidR="005F554F" w:rsidRPr="00701945" w:rsidTr="002C4FF2">
        <w:trPr>
          <w:cantSplit/>
          <w:trHeight w:val="373"/>
        </w:trPr>
        <w:tc>
          <w:tcPr>
            <w:tcW w:w="2700" w:type="dxa"/>
            <w:tcBorders>
              <w:top w:val="nil"/>
              <w:left w:val="nil"/>
              <w:bottom w:val="nil"/>
              <w:right w:val="nil"/>
            </w:tcBorders>
          </w:tcPr>
          <w:p w:rsidR="005F554F" w:rsidRDefault="005F554F" w:rsidP="00F0011E">
            <w:pPr>
              <w:spacing w:after="120"/>
            </w:pPr>
            <w:r>
              <w:t>Patrick C. Flynn</w:t>
            </w:r>
          </w:p>
        </w:tc>
        <w:tc>
          <w:tcPr>
            <w:tcW w:w="1260" w:type="dxa"/>
            <w:tcBorders>
              <w:top w:val="nil"/>
              <w:left w:val="nil"/>
              <w:bottom w:val="nil"/>
              <w:right w:val="nil"/>
            </w:tcBorders>
          </w:tcPr>
          <w:p w:rsidR="005F554F" w:rsidRDefault="005F554F" w:rsidP="0059534A">
            <w:pPr>
              <w:jc w:val="center"/>
            </w:pPr>
            <w:r w:rsidRPr="00164C07">
              <w:t>UIF</w:t>
            </w:r>
          </w:p>
        </w:tc>
        <w:tc>
          <w:tcPr>
            <w:tcW w:w="1440" w:type="dxa"/>
            <w:tcBorders>
              <w:top w:val="nil"/>
              <w:left w:val="nil"/>
              <w:bottom w:val="nil"/>
              <w:right w:val="nil"/>
            </w:tcBorders>
          </w:tcPr>
          <w:p w:rsidR="005F554F" w:rsidRDefault="005F554F" w:rsidP="00B61B79">
            <w:pPr>
              <w:spacing w:after="120"/>
              <w:jc w:val="center"/>
            </w:pPr>
            <w:r>
              <w:t>PCF-9 Updated</w:t>
            </w:r>
          </w:p>
        </w:tc>
        <w:tc>
          <w:tcPr>
            <w:tcW w:w="4165" w:type="dxa"/>
            <w:tcBorders>
              <w:top w:val="nil"/>
              <w:left w:val="nil"/>
              <w:bottom w:val="nil"/>
              <w:right w:val="nil"/>
            </w:tcBorders>
          </w:tcPr>
          <w:p w:rsidR="005F554F" w:rsidRPr="00985E95" w:rsidRDefault="005F554F" w:rsidP="00F0011E">
            <w:pPr>
              <w:spacing w:after="120"/>
            </w:pPr>
            <w:r w:rsidRPr="00985E95">
              <w:t>LUSI – Engineering TTHM &amp; HAA5 Remediation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PCF-10</w:t>
            </w:r>
          </w:p>
        </w:tc>
        <w:tc>
          <w:tcPr>
            <w:tcW w:w="4165" w:type="dxa"/>
            <w:tcBorders>
              <w:top w:val="nil"/>
              <w:left w:val="nil"/>
              <w:bottom w:val="nil"/>
              <w:right w:val="nil"/>
            </w:tcBorders>
          </w:tcPr>
          <w:p w:rsidR="00EC791B" w:rsidRPr="00985E95" w:rsidRDefault="00EC791B" w:rsidP="00F0011E">
            <w:pPr>
              <w:spacing w:after="120"/>
            </w:pPr>
            <w:r w:rsidRPr="00985E95">
              <w:t>LUSI – US 27 Utility Relocations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PCF-10a</w:t>
            </w:r>
          </w:p>
        </w:tc>
        <w:tc>
          <w:tcPr>
            <w:tcW w:w="4165" w:type="dxa"/>
            <w:tcBorders>
              <w:top w:val="nil"/>
              <w:left w:val="nil"/>
              <w:bottom w:val="nil"/>
              <w:right w:val="nil"/>
            </w:tcBorders>
          </w:tcPr>
          <w:p w:rsidR="00EC791B" w:rsidRPr="00985E95" w:rsidRDefault="00EC791B" w:rsidP="00F0011E">
            <w:pPr>
              <w:spacing w:after="120"/>
            </w:pPr>
            <w:r w:rsidRPr="00985E95">
              <w:t>LUSI – US 27 Utility Relocations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PCF-11 Updated</w:t>
            </w:r>
          </w:p>
        </w:tc>
        <w:tc>
          <w:tcPr>
            <w:tcW w:w="4165" w:type="dxa"/>
            <w:tcBorders>
              <w:top w:val="nil"/>
              <w:left w:val="nil"/>
              <w:bottom w:val="nil"/>
              <w:right w:val="nil"/>
            </w:tcBorders>
          </w:tcPr>
          <w:p w:rsidR="00EC791B" w:rsidRPr="00985E95" w:rsidRDefault="00EC791B" w:rsidP="00F0011E">
            <w:pPr>
              <w:spacing w:after="120"/>
            </w:pPr>
            <w:r w:rsidRPr="00985E95">
              <w:t>Longwood – Church Avenue Utility Relocations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PCF-12 Updated</w:t>
            </w:r>
          </w:p>
        </w:tc>
        <w:tc>
          <w:tcPr>
            <w:tcW w:w="4165" w:type="dxa"/>
            <w:tcBorders>
              <w:top w:val="nil"/>
              <w:left w:val="nil"/>
              <w:bottom w:val="nil"/>
              <w:right w:val="nil"/>
            </w:tcBorders>
          </w:tcPr>
          <w:p w:rsidR="00EC791B" w:rsidRPr="00985E95" w:rsidRDefault="00EC791B" w:rsidP="00F0011E">
            <w:pPr>
              <w:spacing w:after="120"/>
            </w:pPr>
            <w:r w:rsidRPr="00985E95">
              <w:t>Longwood Groves – I&amp;I Study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PCF-13 Updated</w:t>
            </w:r>
          </w:p>
        </w:tc>
        <w:tc>
          <w:tcPr>
            <w:tcW w:w="4165" w:type="dxa"/>
            <w:tcBorders>
              <w:top w:val="nil"/>
              <w:left w:val="nil"/>
              <w:bottom w:val="nil"/>
              <w:right w:val="nil"/>
            </w:tcBorders>
          </w:tcPr>
          <w:p w:rsidR="00EC791B" w:rsidRPr="00985E95" w:rsidRDefault="00EC791B" w:rsidP="00F0011E">
            <w:pPr>
              <w:spacing w:after="120"/>
            </w:pPr>
            <w:r w:rsidRPr="00985E95">
              <w:t>Longwood Groves - I&amp;I Remediation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PCF-14 Updated</w:t>
            </w:r>
          </w:p>
        </w:tc>
        <w:tc>
          <w:tcPr>
            <w:tcW w:w="4165" w:type="dxa"/>
            <w:tcBorders>
              <w:top w:val="nil"/>
              <w:left w:val="nil"/>
              <w:bottom w:val="nil"/>
              <w:right w:val="nil"/>
            </w:tcBorders>
          </w:tcPr>
          <w:p w:rsidR="00EC791B" w:rsidRPr="00985E95" w:rsidRDefault="00EC791B" w:rsidP="00F0011E">
            <w:pPr>
              <w:spacing w:after="120"/>
            </w:pPr>
            <w:r w:rsidRPr="00985E95">
              <w:t>Mid-County Electrical Improvements and Generator Replacement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PCF-16 Updated</w:t>
            </w:r>
          </w:p>
        </w:tc>
        <w:tc>
          <w:tcPr>
            <w:tcW w:w="4165" w:type="dxa"/>
            <w:tcBorders>
              <w:top w:val="nil"/>
              <w:left w:val="nil"/>
              <w:bottom w:val="nil"/>
              <w:right w:val="nil"/>
            </w:tcBorders>
          </w:tcPr>
          <w:p w:rsidR="00EC791B" w:rsidRPr="00985E95" w:rsidRDefault="00EC791B" w:rsidP="00F0011E">
            <w:r w:rsidRPr="00985E95">
              <w:t>Mid-County Flow Study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PCF-17 Updated</w:t>
            </w:r>
          </w:p>
        </w:tc>
        <w:tc>
          <w:tcPr>
            <w:tcW w:w="4165" w:type="dxa"/>
            <w:tcBorders>
              <w:top w:val="nil"/>
              <w:left w:val="nil"/>
              <w:bottom w:val="nil"/>
              <w:right w:val="nil"/>
            </w:tcBorders>
          </w:tcPr>
          <w:p w:rsidR="00EC791B" w:rsidRPr="00985E95" w:rsidRDefault="00EC791B" w:rsidP="00F0011E">
            <w:r w:rsidRPr="00985E95">
              <w:t>Mid-County Excess I&amp;I Remediation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PCF-19 Updated</w:t>
            </w:r>
          </w:p>
        </w:tc>
        <w:tc>
          <w:tcPr>
            <w:tcW w:w="4165" w:type="dxa"/>
            <w:tcBorders>
              <w:top w:val="nil"/>
              <w:left w:val="nil"/>
              <w:bottom w:val="nil"/>
              <w:right w:val="nil"/>
            </w:tcBorders>
          </w:tcPr>
          <w:p w:rsidR="00EC791B" w:rsidRPr="00985E95" w:rsidRDefault="00EC791B" w:rsidP="00F0011E">
            <w:pPr>
              <w:spacing w:after="120"/>
            </w:pPr>
            <w:r w:rsidRPr="00985E95">
              <w:t>Mid-County US Highway 19 Utility Relocation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PCF-20 Updated</w:t>
            </w:r>
          </w:p>
        </w:tc>
        <w:tc>
          <w:tcPr>
            <w:tcW w:w="4165" w:type="dxa"/>
            <w:tcBorders>
              <w:top w:val="nil"/>
              <w:left w:val="nil"/>
              <w:bottom w:val="nil"/>
              <w:right w:val="nil"/>
            </w:tcBorders>
          </w:tcPr>
          <w:p w:rsidR="00EC791B" w:rsidRPr="00985E95" w:rsidRDefault="00EC791B" w:rsidP="00F0011E">
            <w:pPr>
              <w:spacing w:after="120"/>
            </w:pPr>
            <w:r w:rsidRPr="00985E95">
              <w:t>Pennbrooke WTP Electrical Improvements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PCF-21 Updated</w:t>
            </w:r>
          </w:p>
        </w:tc>
        <w:tc>
          <w:tcPr>
            <w:tcW w:w="4165" w:type="dxa"/>
            <w:tcBorders>
              <w:top w:val="nil"/>
              <w:left w:val="nil"/>
              <w:bottom w:val="nil"/>
              <w:right w:val="nil"/>
            </w:tcBorders>
          </w:tcPr>
          <w:p w:rsidR="00EC791B" w:rsidRPr="00985E95" w:rsidRDefault="00EC791B" w:rsidP="00F0011E">
            <w:pPr>
              <w:spacing w:after="120"/>
            </w:pPr>
            <w:r w:rsidRPr="00985E95">
              <w:t>Sandalhaven – Placida Road Utility Relocation Proforma</w:t>
            </w:r>
          </w:p>
        </w:tc>
      </w:tr>
      <w:tr w:rsidR="00EC791B" w:rsidRPr="00701945" w:rsidTr="002C4FF2">
        <w:trPr>
          <w:cantSplit/>
          <w:trHeight w:val="373"/>
        </w:trPr>
        <w:tc>
          <w:tcPr>
            <w:tcW w:w="2700" w:type="dxa"/>
            <w:tcBorders>
              <w:top w:val="nil"/>
              <w:left w:val="nil"/>
              <w:bottom w:val="nil"/>
              <w:right w:val="nil"/>
            </w:tcBorders>
          </w:tcPr>
          <w:p w:rsidR="00EC791B" w:rsidRDefault="00EC791B" w:rsidP="00F0011E">
            <w:pPr>
              <w:spacing w:after="120"/>
            </w:pPr>
            <w:r>
              <w:t>Patrick C. Flynn</w:t>
            </w:r>
          </w:p>
        </w:tc>
        <w:tc>
          <w:tcPr>
            <w:tcW w:w="1260" w:type="dxa"/>
            <w:tcBorders>
              <w:top w:val="nil"/>
              <w:left w:val="nil"/>
              <w:bottom w:val="nil"/>
              <w:right w:val="nil"/>
            </w:tcBorders>
          </w:tcPr>
          <w:p w:rsidR="00EC791B" w:rsidRDefault="00EC791B" w:rsidP="0059534A">
            <w:pPr>
              <w:jc w:val="center"/>
            </w:pPr>
            <w:r w:rsidRPr="00164C07">
              <w:t>UIF</w:t>
            </w:r>
          </w:p>
        </w:tc>
        <w:tc>
          <w:tcPr>
            <w:tcW w:w="1440" w:type="dxa"/>
            <w:tcBorders>
              <w:top w:val="nil"/>
              <w:left w:val="nil"/>
              <w:bottom w:val="nil"/>
              <w:right w:val="nil"/>
            </w:tcBorders>
          </w:tcPr>
          <w:p w:rsidR="00EC791B" w:rsidRDefault="00EC791B" w:rsidP="00B61B79">
            <w:pPr>
              <w:spacing w:after="120"/>
              <w:jc w:val="center"/>
            </w:pPr>
            <w:r>
              <w:t>PCF-22 Updated</w:t>
            </w:r>
          </w:p>
        </w:tc>
        <w:tc>
          <w:tcPr>
            <w:tcW w:w="4165" w:type="dxa"/>
            <w:tcBorders>
              <w:top w:val="nil"/>
              <w:left w:val="nil"/>
              <w:bottom w:val="nil"/>
              <w:right w:val="nil"/>
            </w:tcBorders>
          </w:tcPr>
          <w:p w:rsidR="00EC791B" w:rsidRPr="00985E95" w:rsidRDefault="00EC791B" w:rsidP="00F0011E">
            <w:pPr>
              <w:spacing w:after="120"/>
            </w:pPr>
            <w:r w:rsidRPr="00985E95">
              <w:t>Sanlando – Autumn Drive WM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lastRenderedPageBreak/>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PCF-23 Updated</w:t>
            </w:r>
          </w:p>
        </w:tc>
        <w:tc>
          <w:tcPr>
            <w:tcW w:w="4165" w:type="dxa"/>
            <w:tcBorders>
              <w:top w:val="nil"/>
              <w:left w:val="nil"/>
              <w:bottom w:val="nil"/>
              <w:right w:val="nil"/>
            </w:tcBorders>
          </w:tcPr>
          <w:p w:rsidR="006A1BD3" w:rsidRPr="00985E95" w:rsidRDefault="006A1BD3" w:rsidP="00F0011E">
            <w:pPr>
              <w:spacing w:after="120"/>
            </w:pPr>
            <w:r w:rsidRPr="00985E95">
              <w:t>Sanlando – Lift Station RTU Installation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PCF-25</w:t>
            </w:r>
          </w:p>
        </w:tc>
        <w:tc>
          <w:tcPr>
            <w:tcW w:w="4165" w:type="dxa"/>
            <w:tcBorders>
              <w:top w:val="nil"/>
              <w:left w:val="nil"/>
              <w:bottom w:val="nil"/>
              <w:right w:val="nil"/>
            </w:tcBorders>
          </w:tcPr>
          <w:p w:rsidR="006A1BD3" w:rsidRPr="00985E95" w:rsidRDefault="006A1BD3" w:rsidP="00F0011E">
            <w:pPr>
              <w:spacing w:after="120"/>
            </w:pPr>
            <w:r w:rsidRPr="00985E95">
              <w:t>Sanlando – Myrtle Lake Hills Water Mains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PCF-26 Updated</w:t>
            </w:r>
          </w:p>
        </w:tc>
        <w:tc>
          <w:tcPr>
            <w:tcW w:w="4165" w:type="dxa"/>
            <w:tcBorders>
              <w:top w:val="nil"/>
              <w:left w:val="nil"/>
              <w:bottom w:val="nil"/>
              <w:right w:val="nil"/>
            </w:tcBorders>
          </w:tcPr>
          <w:p w:rsidR="006A1BD3" w:rsidRPr="00985E95" w:rsidRDefault="006A1BD3" w:rsidP="00F0011E">
            <w:pPr>
              <w:spacing w:after="120"/>
            </w:pPr>
            <w:r w:rsidRPr="00985E95">
              <w:t>Sanlando –Inflow &amp; Infiltration Study and Remediation, Phase 2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7F52F8">
            <w:pPr>
              <w:spacing w:after="120"/>
              <w:jc w:val="center"/>
            </w:pPr>
            <w:r>
              <w:t>PCF-27 Updated</w:t>
            </w:r>
          </w:p>
        </w:tc>
        <w:tc>
          <w:tcPr>
            <w:tcW w:w="4165" w:type="dxa"/>
            <w:tcBorders>
              <w:top w:val="nil"/>
              <w:left w:val="nil"/>
              <w:bottom w:val="nil"/>
              <w:right w:val="nil"/>
            </w:tcBorders>
          </w:tcPr>
          <w:p w:rsidR="006A1BD3" w:rsidRPr="00985E95" w:rsidRDefault="006A1BD3" w:rsidP="00F0011E">
            <w:pPr>
              <w:spacing w:after="120"/>
            </w:pPr>
            <w:r w:rsidRPr="00985E95">
              <w:t>Sanlando – Shadow Hills Flow Diversion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PCF-30 Updated</w:t>
            </w:r>
          </w:p>
        </w:tc>
        <w:tc>
          <w:tcPr>
            <w:tcW w:w="4165" w:type="dxa"/>
            <w:tcBorders>
              <w:top w:val="nil"/>
              <w:left w:val="nil"/>
              <w:bottom w:val="nil"/>
              <w:right w:val="nil"/>
            </w:tcBorders>
          </w:tcPr>
          <w:p w:rsidR="006A1BD3" w:rsidRPr="001F7758" w:rsidRDefault="006A1BD3" w:rsidP="00F0011E">
            <w:pPr>
              <w:spacing w:after="120"/>
            </w:pPr>
            <w:r w:rsidRPr="0030677D">
              <w:rPr>
                <w:sz w:val="23"/>
              </w:rPr>
              <w:t>Sanlando – Wekiva WWTP Rehabilitation</w:t>
            </w:r>
            <w:r>
              <w:rPr>
                <w:sz w:val="23"/>
              </w:rPr>
              <w:t xml:space="preserve">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PCF-32 Updated</w:t>
            </w:r>
          </w:p>
        </w:tc>
        <w:tc>
          <w:tcPr>
            <w:tcW w:w="4165" w:type="dxa"/>
            <w:tcBorders>
              <w:top w:val="nil"/>
              <w:left w:val="nil"/>
              <w:bottom w:val="nil"/>
              <w:right w:val="nil"/>
            </w:tcBorders>
          </w:tcPr>
          <w:p w:rsidR="006A1BD3" w:rsidRPr="00985E95" w:rsidRDefault="006A1BD3" w:rsidP="00F0011E">
            <w:pPr>
              <w:spacing w:after="120"/>
            </w:pPr>
            <w:r w:rsidRPr="00985E95">
              <w:t>UIF – WM Replacements, Orange Co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PCF-33 Updated</w:t>
            </w:r>
          </w:p>
        </w:tc>
        <w:tc>
          <w:tcPr>
            <w:tcW w:w="4165" w:type="dxa"/>
            <w:tcBorders>
              <w:top w:val="nil"/>
              <w:left w:val="nil"/>
              <w:bottom w:val="nil"/>
              <w:right w:val="nil"/>
            </w:tcBorders>
          </w:tcPr>
          <w:p w:rsidR="006A1BD3" w:rsidRPr="00985E95" w:rsidRDefault="006A1BD3" w:rsidP="00F0011E">
            <w:pPr>
              <w:spacing w:after="120"/>
            </w:pPr>
            <w:r w:rsidRPr="00985E95">
              <w:t>UIF – WM Replacements, Pasco Co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PCF-34 Updated</w:t>
            </w:r>
          </w:p>
        </w:tc>
        <w:tc>
          <w:tcPr>
            <w:tcW w:w="4165" w:type="dxa"/>
            <w:tcBorders>
              <w:top w:val="nil"/>
              <w:left w:val="nil"/>
              <w:bottom w:val="nil"/>
              <w:right w:val="nil"/>
            </w:tcBorders>
          </w:tcPr>
          <w:p w:rsidR="006A1BD3" w:rsidRPr="00985E95" w:rsidRDefault="006A1BD3" w:rsidP="00F0011E">
            <w:pPr>
              <w:spacing w:after="120"/>
            </w:pPr>
            <w:r w:rsidRPr="00985E95">
              <w:t>UIF – Summertree Well Abandonment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PCF-35 Updated</w:t>
            </w:r>
          </w:p>
        </w:tc>
        <w:tc>
          <w:tcPr>
            <w:tcW w:w="4165" w:type="dxa"/>
            <w:tcBorders>
              <w:top w:val="nil"/>
              <w:left w:val="nil"/>
              <w:bottom w:val="nil"/>
              <w:right w:val="nil"/>
            </w:tcBorders>
          </w:tcPr>
          <w:p w:rsidR="006A1BD3" w:rsidRPr="00985E95" w:rsidRDefault="006A1BD3" w:rsidP="00F0011E">
            <w:pPr>
              <w:spacing w:after="120"/>
            </w:pPr>
            <w:r w:rsidRPr="00985E95">
              <w:t>UIF – Summertree Well Abandonment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PCF-36 Updated</w:t>
            </w:r>
          </w:p>
        </w:tc>
        <w:tc>
          <w:tcPr>
            <w:tcW w:w="4165" w:type="dxa"/>
            <w:tcBorders>
              <w:top w:val="nil"/>
              <w:left w:val="nil"/>
              <w:bottom w:val="nil"/>
              <w:right w:val="nil"/>
            </w:tcBorders>
          </w:tcPr>
          <w:p w:rsidR="006A1BD3" w:rsidRPr="00985E95" w:rsidRDefault="006A1BD3" w:rsidP="00F0011E">
            <w:pPr>
              <w:spacing w:after="120"/>
            </w:pPr>
            <w:r w:rsidRPr="00985E95">
              <w:t>UIF – Electrical improvements at Little Wekiva and Jansen WTPs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PCF-37 Updated</w:t>
            </w:r>
          </w:p>
        </w:tc>
        <w:tc>
          <w:tcPr>
            <w:tcW w:w="4165" w:type="dxa"/>
            <w:tcBorders>
              <w:top w:val="nil"/>
              <w:left w:val="nil"/>
              <w:bottom w:val="nil"/>
              <w:right w:val="nil"/>
            </w:tcBorders>
          </w:tcPr>
          <w:p w:rsidR="006A1BD3" w:rsidRPr="00985E95" w:rsidRDefault="006A1BD3" w:rsidP="00F0011E">
            <w:pPr>
              <w:spacing w:after="120"/>
            </w:pPr>
            <w:r w:rsidRPr="00985E95">
              <w:t>UIF – Eng-Seminole &amp; Orange County WM Replacements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PCF-38 Updated</w:t>
            </w:r>
          </w:p>
        </w:tc>
        <w:tc>
          <w:tcPr>
            <w:tcW w:w="4165" w:type="dxa"/>
            <w:tcBorders>
              <w:top w:val="nil"/>
              <w:left w:val="nil"/>
              <w:bottom w:val="nil"/>
              <w:right w:val="nil"/>
            </w:tcBorders>
          </w:tcPr>
          <w:p w:rsidR="006A1BD3" w:rsidRPr="00985E95" w:rsidRDefault="006A1BD3" w:rsidP="00F0011E">
            <w:pPr>
              <w:spacing w:after="120"/>
            </w:pPr>
            <w:r w:rsidRPr="00985E95">
              <w:t>UIF – Bear Lake WM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PCF-39 Updated</w:t>
            </w:r>
          </w:p>
        </w:tc>
        <w:tc>
          <w:tcPr>
            <w:tcW w:w="4165" w:type="dxa"/>
            <w:tcBorders>
              <w:top w:val="nil"/>
              <w:left w:val="nil"/>
              <w:bottom w:val="nil"/>
              <w:right w:val="nil"/>
            </w:tcBorders>
          </w:tcPr>
          <w:p w:rsidR="006A1BD3" w:rsidRPr="00985E95" w:rsidRDefault="006A1BD3" w:rsidP="00F0011E">
            <w:pPr>
              <w:spacing w:after="120"/>
            </w:pPr>
            <w:r w:rsidRPr="00985E95">
              <w:t>UIF – Crystal Lake WM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PCF-40 Updated</w:t>
            </w:r>
          </w:p>
        </w:tc>
        <w:tc>
          <w:tcPr>
            <w:tcW w:w="4165" w:type="dxa"/>
            <w:tcBorders>
              <w:top w:val="nil"/>
              <w:left w:val="nil"/>
              <w:bottom w:val="nil"/>
              <w:right w:val="nil"/>
            </w:tcBorders>
          </w:tcPr>
          <w:p w:rsidR="006A1BD3" w:rsidRPr="00985E95" w:rsidRDefault="006A1BD3" w:rsidP="00F0011E">
            <w:pPr>
              <w:spacing w:after="120"/>
            </w:pPr>
            <w:r w:rsidRPr="00985E95">
              <w:t>UIF – Little Wekiva WM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lastRenderedPageBreak/>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PCF-41 Updated</w:t>
            </w:r>
          </w:p>
        </w:tc>
        <w:tc>
          <w:tcPr>
            <w:tcW w:w="4165" w:type="dxa"/>
            <w:tcBorders>
              <w:top w:val="nil"/>
              <w:left w:val="nil"/>
              <w:bottom w:val="nil"/>
              <w:right w:val="nil"/>
            </w:tcBorders>
          </w:tcPr>
          <w:p w:rsidR="006A1BD3" w:rsidRPr="00985E95" w:rsidRDefault="006A1BD3" w:rsidP="00F0011E">
            <w:pPr>
              <w:spacing w:after="120"/>
            </w:pPr>
            <w:r w:rsidRPr="00985E95">
              <w:t>UIF – Northwestern FM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PCF-42 Updated</w:t>
            </w:r>
          </w:p>
        </w:tc>
        <w:tc>
          <w:tcPr>
            <w:tcW w:w="4165" w:type="dxa"/>
            <w:tcBorders>
              <w:top w:val="nil"/>
              <w:left w:val="nil"/>
              <w:bottom w:val="nil"/>
              <w:right w:val="nil"/>
            </w:tcBorders>
          </w:tcPr>
          <w:p w:rsidR="006A1BD3" w:rsidRPr="00985E95" w:rsidRDefault="006A1BD3" w:rsidP="00F0011E">
            <w:pPr>
              <w:spacing w:after="120"/>
            </w:pPr>
            <w:r w:rsidRPr="00985E95">
              <w:t>UIF – Oakland Shores WM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PCF-43 Updated</w:t>
            </w:r>
          </w:p>
        </w:tc>
        <w:tc>
          <w:tcPr>
            <w:tcW w:w="4165" w:type="dxa"/>
            <w:tcBorders>
              <w:top w:val="nil"/>
              <w:left w:val="nil"/>
              <w:bottom w:val="nil"/>
              <w:right w:val="nil"/>
            </w:tcBorders>
          </w:tcPr>
          <w:p w:rsidR="006A1BD3" w:rsidRPr="00985E95" w:rsidRDefault="006A1BD3" w:rsidP="00F0011E">
            <w:pPr>
              <w:spacing w:after="120"/>
            </w:pPr>
            <w:r w:rsidRPr="00985E95">
              <w:t>UIF – Phillips WM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PCF-44</w:t>
            </w:r>
          </w:p>
        </w:tc>
        <w:tc>
          <w:tcPr>
            <w:tcW w:w="4165" w:type="dxa"/>
            <w:tcBorders>
              <w:top w:val="nil"/>
              <w:left w:val="nil"/>
              <w:bottom w:val="nil"/>
              <w:right w:val="nil"/>
            </w:tcBorders>
          </w:tcPr>
          <w:p w:rsidR="006A1BD3" w:rsidRPr="00985E95" w:rsidRDefault="006A1BD3" w:rsidP="00F0011E">
            <w:pPr>
              <w:spacing w:after="120"/>
            </w:pPr>
            <w:r w:rsidRPr="00985E95">
              <w:t>UIF – Ravenna Park WM Replacement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PCF-47 Updated</w:t>
            </w:r>
          </w:p>
        </w:tc>
        <w:tc>
          <w:tcPr>
            <w:tcW w:w="4165" w:type="dxa"/>
            <w:tcBorders>
              <w:top w:val="nil"/>
              <w:left w:val="nil"/>
              <w:bottom w:val="nil"/>
              <w:right w:val="nil"/>
            </w:tcBorders>
          </w:tcPr>
          <w:p w:rsidR="006A1BD3" w:rsidRPr="001F7758" w:rsidRDefault="006A1BD3" w:rsidP="00F0011E">
            <w:pPr>
              <w:spacing w:after="120"/>
            </w:pPr>
            <w:r w:rsidRPr="0030677D">
              <w:rPr>
                <w:sz w:val="23"/>
              </w:rPr>
              <w:t>UIF Global - GIS Mapping Services</w:t>
            </w:r>
            <w:r>
              <w:rPr>
                <w:sz w:val="23"/>
              </w:rPr>
              <w:t xml:space="preserve">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PCF-48</w:t>
            </w:r>
          </w:p>
        </w:tc>
        <w:tc>
          <w:tcPr>
            <w:tcW w:w="4165" w:type="dxa"/>
            <w:tcBorders>
              <w:top w:val="nil"/>
              <w:left w:val="nil"/>
              <w:bottom w:val="nil"/>
              <w:right w:val="nil"/>
            </w:tcBorders>
          </w:tcPr>
          <w:p w:rsidR="006A1BD3" w:rsidRPr="001F7758" w:rsidRDefault="006A1BD3" w:rsidP="00F0011E">
            <w:pPr>
              <w:spacing w:after="120"/>
            </w:pPr>
            <w:r>
              <w:t xml:space="preserve">Duke Energy Non-Recurring Interruptible </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PCF-49</w:t>
            </w:r>
          </w:p>
        </w:tc>
        <w:tc>
          <w:tcPr>
            <w:tcW w:w="4165" w:type="dxa"/>
            <w:tcBorders>
              <w:top w:val="nil"/>
              <w:left w:val="nil"/>
              <w:bottom w:val="nil"/>
              <w:right w:val="nil"/>
            </w:tcBorders>
          </w:tcPr>
          <w:p w:rsidR="006A1BD3" w:rsidRPr="001F7758" w:rsidRDefault="006A1BD3" w:rsidP="00F0011E">
            <w:pPr>
              <w:spacing w:after="120"/>
            </w:pPr>
            <w:r>
              <w:t>SECO Non-Recurring Interruptible</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PCF-50</w:t>
            </w:r>
          </w:p>
        </w:tc>
        <w:tc>
          <w:tcPr>
            <w:tcW w:w="4165" w:type="dxa"/>
            <w:tcBorders>
              <w:top w:val="nil"/>
              <w:left w:val="nil"/>
              <w:bottom w:val="nil"/>
              <w:right w:val="nil"/>
            </w:tcBorders>
          </w:tcPr>
          <w:p w:rsidR="006A1BD3" w:rsidRPr="001F7758" w:rsidRDefault="006A1BD3" w:rsidP="00F0011E">
            <w:pPr>
              <w:spacing w:after="120"/>
            </w:pPr>
            <w:r>
              <w:t>Operations Management System Proforma</w:t>
            </w:r>
          </w:p>
        </w:tc>
      </w:tr>
      <w:tr w:rsidR="006A1BD3" w:rsidRPr="00701945" w:rsidTr="002C4FF2">
        <w:trPr>
          <w:cantSplit/>
          <w:trHeight w:val="373"/>
        </w:trPr>
        <w:tc>
          <w:tcPr>
            <w:tcW w:w="2700" w:type="dxa"/>
            <w:tcBorders>
              <w:top w:val="nil"/>
              <w:left w:val="nil"/>
              <w:bottom w:val="nil"/>
              <w:right w:val="nil"/>
            </w:tcBorders>
          </w:tcPr>
          <w:p w:rsidR="006A1BD3" w:rsidRDefault="006A1BD3" w:rsidP="00F0011E">
            <w:pPr>
              <w:spacing w:after="120"/>
            </w:pPr>
            <w:r>
              <w:t>Patrick C. Flynn</w:t>
            </w:r>
          </w:p>
        </w:tc>
        <w:tc>
          <w:tcPr>
            <w:tcW w:w="1260" w:type="dxa"/>
            <w:tcBorders>
              <w:top w:val="nil"/>
              <w:left w:val="nil"/>
              <w:bottom w:val="nil"/>
              <w:right w:val="nil"/>
            </w:tcBorders>
          </w:tcPr>
          <w:p w:rsidR="006A1BD3" w:rsidRDefault="006A1BD3" w:rsidP="0059534A">
            <w:pPr>
              <w:jc w:val="center"/>
            </w:pPr>
            <w:r w:rsidRPr="00164C07">
              <w:t>UIF</w:t>
            </w:r>
          </w:p>
        </w:tc>
        <w:tc>
          <w:tcPr>
            <w:tcW w:w="1440" w:type="dxa"/>
            <w:tcBorders>
              <w:top w:val="nil"/>
              <w:left w:val="nil"/>
              <w:bottom w:val="nil"/>
              <w:right w:val="nil"/>
            </w:tcBorders>
          </w:tcPr>
          <w:p w:rsidR="006A1BD3" w:rsidRDefault="006A1BD3" w:rsidP="00B61B79">
            <w:pPr>
              <w:spacing w:after="120"/>
              <w:jc w:val="center"/>
            </w:pPr>
            <w:r>
              <w:t>PCF-51</w:t>
            </w:r>
          </w:p>
        </w:tc>
        <w:tc>
          <w:tcPr>
            <w:tcW w:w="4165" w:type="dxa"/>
            <w:tcBorders>
              <w:top w:val="nil"/>
              <w:left w:val="nil"/>
              <w:bottom w:val="nil"/>
              <w:right w:val="nil"/>
            </w:tcBorders>
          </w:tcPr>
          <w:p w:rsidR="006A1BD3" w:rsidRDefault="006A1BD3" w:rsidP="00F0011E">
            <w:pPr>
              <w:spacing w:after="120"/>
            </w:pPr>
            <w:r>
              <w:t>Proforma Project Roster</w:t>
            </w:r>
          </w:p>
        </w:tc>
      </w:tr>
      <w:tr w:rsidR="006A1BD3" w:rsidRPr="00701945" w:rsidTr="002C4FF2">
        <w:trPr>
          <w:cantSplit/>
          <w:trHeight w:val="373"/>
        </w:trPr>
        <w:tc>
          <w:tcPr>
            <w:tcW w:w="2700" w:type="dxa"/>
            <w:tcBorders>
              <w:top w:val="nil"/>
              <w:left w:val="nil"/>
              <w:bottom w:val="nil"/>
              <w:right w:val="nil"/>
            </w:tcBorders>
          </w:tcPr>
          <w:p w:rsidR="006A1BD3" w:rsidRDefault="006A1BD3" w:rsidP="00C5000C">
            <w:pPr>
              <w:spacing w:after="120"/>
            </w:pPr>
            <w:r>
              <w:t>Deborah D. Swain</w:t>
            </w:r>
          </w:p>
        </w:tc>
        <w:tc>
          <w:tcPr>
            <w:tcW w:w="1260" w:type="dxa"/>
            <w:tcBorders>
              <w:top w:val="nil"/>
              <w:left w:val="nil"/>
              <w:bottom w:val="nil"/>
              <w:right w:val="nil"/>
            </w:tcBorders>
          </w:tcPr>
          <w:p w:rsidR="006A1BD3" w:rsidRDefault="006A1BD3" w:rsidP="00C5000C">
            <w:pPr>
              <w:jc w:val="center"/>
            </w:pPr>
            <w:r w:rsidRPr="00164C07">
              <w:t>UIF</w:t>
            </w:r>
          </w:p>
        </w:tc>
        <w:tc>
          <w:tcPr>
            <w:tcW w:w="1440" w:type="dxa"/>
            <w:tcBorders>
              <w:top w:val="nil"/>
              <w:left w:val="nil"/>
              <w:bottom w:val="nil"/>
              <w:right w:val="nil"/>
            </w:tcBorders>
          </w:tcPr>
          <w:p w:rsidR="006A1BD3" w:rsidRDefault="006A1BD3" w:rsidP="00C5000C">
            <w:pPr>
              <w:spacing w:after="120"/>
              <w:jc w:val="center"/>
            </w:pPr>
            <w:r>
              <w:t>DDS-3</w:t>
            </w:r>
          </w:p>
        </w:tc>
        <w:tc>
          <w:tcPr>
            <w:tcW w:w="4165" w:type="dxa"/>
            <w:tcBorders>
              <w:top w:val="nil"/>
              <w:left w:val="nil"/>
              <w:bottom w:val="nil"/>
              <w:right w:val="nil"/>
            </w:tcBorders>
          </w:tcPr>
          <w:p w:rsidR="006A1BD3" w:rsidRPr="001F7758" w:rsidRDefault="006A1BD3" w:rsidP="00C5000C">
            <w:pPr>
              <w:spacing w:after="120"/>
            </w:pPr>
            <w:r>
              <w:t>Summary of Adjustments</w:t>
            </w:r>
          </w:p>
        </w:tc>
      </w:tr>
      <w:tr w:rsidR="006A1BD3" w:rsidRPr="00701945" w:rsidTr="002C4FF2">
        <w:trPr>
          <w:cantSplit/>
          <w:trHeight w:val="373"/>
        </w:trPr>
        <w:tc>
          <w:tcPr>
            <w:tcW w:w="2700" w:type="dxa"/>
            <w:tcBorders>
              <w:top w:val="nil"/>
              <w:left w:val="nil"/>
              <w:bottom w:val="nil"/>
              <w:right w:val="nil"/>
            </w:tcBorders>
          </w:tcPr>
          <w:p w:rsidR="006A1BD3" w:rsidRDefault="006A1BD3" w:rsidP="00C5000C">
            <w:pPr>
              <w:spacing w:after="120"/>
            </w:pPr>
            <w:r>
              <w:t>Deborah D. Swain</w:t>
            </w:r>
          </w:p>
        </w:tc>
        <w:tc>
          <w:tcPr>
            <w:tcW w:w="1260" w:type="dxa"/>
            <w:tcBorders>
              <w:top w:val="nil"/>
              <w:left w:val="nil"/>
              <w:bottom w:val="nil"/>
              <w:right w:val="nil"/>
            </w:tcBorders>
          </w:tcPr>
          <w:p w:rsidR="006A1BD3" w:rsidRDefault="006A1BD3" w:rsidP="00C5000C">
            <w:pPr>
              <w:jc w:val="center"/>
            </w:pPr>
            <w:r w:rsidRPr="00164C07">
              <w:t>UIF</w:t>
            </w:r>
          </w:p>
        </w:tc>
        <w:tc>
          <w:tcPr>
            <w:tcW w:w="1440" w:type="dxa"/>
            <w:tcBorders>
              <w:top w:val="nil"/>
              <w:left w:val="nil"/>
              <w:bottom w:val="nil"/>
              <w:right w:val="nil"/>
            </w:tcBorders>
          </w:tcPr>
          <w:p w:rsidR="006A1BD3" w:rsidRDefault="006A1BD3" w:rsidP="00C5000C">
            <w:pPr>
              <w:spacing w:after="120"/>
              <w:jc w:val="center"/>
            </w:pPr>
            <w:r>
              <w:t>DDS-4</w:t>
            </w:r>
          </w:p>
        </w:tc>
        <w:tc>
          <w:tcPr>
            <w:tcW w:w="4165" w:type="dxa"/>
            <w:tcBorders>
              <w:top w:val="nil"/>
              <w:left w:val="nil"/>
              <w:bottom w:val="nil"/>
              <w:right w:val="nil"/>
            </w:tcBorders>
          </w:tcPr>
          <w:p w:rsidR="006A1BD3" w:rsidRPr="001F7758" w:rsidRDefault="006A1BD3" w:rsidP="00C5000C">
            <w:pPr>
              <w:spacing w:after="120"/>
            </w:pPr>
            <w:r w:rsidRPr="004840B3">
              <w:t>Journal Entry Writing Off Accrued Federal Income Taxes</w:t>
            </w:r>
          </w:p>
        </w:tc>
      </w:tr>
    </w:tbl>
    <w:p w:rsidR="0052086C" w:rsidRPr="00701945" w:rsidRDefault="0052086C" w:rsidP="0052086C">
      <w:pPr>
        <w:jc w:val="both"/>
      </w:pPr>
    </w:p>
    <w:p w:rsidR="0052086C" w:rsidRPr="00701945" w:rsidRDefault="0052086C" w:rsidP="0052086C">
      <w:pPr>
        <w:jc w:val="both"/>
      </w:pPr>
      <w:r w:rsidRPr="00701945">
        <w:tab/>
        <w:t>Parties and Staff reserve the right to identify additional exhibits for the purpose of cross-examination.</w:t>
      </w:r>
    </w:p>
    <w:p w:rsidR="0052086C" w:rsidRDefault="0052086C" w:rsidP="0052086C">
      <w:pPr>
        <w:jc w:val="both"/>
      </w:pPr>
    </w:p>
    <w:p w:rsidR="008C677B" w:rsidRPr="00701945" w:rsidRDefault="008C677B" w:rsidP="0052086C">
      <w:pPr>
        <w:jc w:val="both"/>
      </w:pPr>
    </w:p>
    <w:p w:rsidR="0052086C" w:rsidRPr="00652860" w:rsidRDefault="0052086C" w:rsidP="0052086C">
      <w:pPr>
        <w:jc w:val="both"/>
        <w:rPr>
          <w:b/>
        </w:rPr>
      </w:pPr>
      <w:r w:rsidRPr="00652860">
        <w:rPr>
          <w:b/>
        </w:rPr>
        <w:t>X.</w:t>
      </w:r>
      <w:r w:rsidRPr="00652860">
        <w:rPr>
          <w:b/>
        </w:rPr>
        <w:tab/>
      </w:r>
      <w:r w:rsidRPr="00652860">
        <w:rPr>
          <w:b/>
          <w:u w:val="single"/>
        </w:rPr>
        <w:t>PROPOSED STIPULATIONS</w:t>
      </w:r>
    </w:p>
    <w:p w:rsidR="0052086C" w:rsidRDefault="0052086C" w:rsidP="0052086C">
      <w:pPr>
        <w:jc w:val="both"/>
      </w:pPr>
    </w:p>
    <w:p w:rsidR="0052086C" w:rsidRPr="00AB0DC3" w:rsidRDefault="0052086C" w:rsidP="0052086C">
      <w:pPr>
        <w:ind w:firstLine="720"/>
        <w:jc w:val="both"/>
      </w:pPr>
      <w:r w:rsidRPr="00AB0DC3">
        <w:t>There are no proposed stipulations at this time.</w:t>
      </w:r>
    </w:p>
    <w:p w:rsidR="00AB0DC3" w:rsidRDefault="00AB0DC3" w:rsidP="0052086C">
      <w:pPr>
        <w:jc w:val="both"/>
        <w:rPr>
          <w:b/>
        </w:rPr>
      </w:pPr>
    </w:p>
    <w:p w:rsidR="008C677B" w:rsidRDefault="008C677B" w:rsidP="0052086C">
      <w:pPr>
        <w:jc w:val="both"/>
        <w:rPr>
          <w:b/>
        </w:rPr>
      </w:pPr>
    </w:p>
    <w:p w:rsidR="003140BB" w:rsidRDefault="003140BB">
      <w:pPr>
        <w:rPr>
          <w:b/>
        </w:rPr>
      </w:pPr>
      <w:r>
        <w:rPr>
          <w:b/>
        </w:rPr>
        <w:br w:type="page"/>
      </w:r>
    </w:p>
    <w:p w:rsidR="0052086C" w:rsidRPr="00652860" w:rsidRDefault="0052086C" w:rsidP="0052086C">
      <w:pPr>
        <w:jc w:val="both"/>
        <w:rPr>
          <w:b/>
        </w:rPr>
      </w:pPr>
      <w:r w:rsidRPr="00652860">
        <w:rPr>
          <w:b/>
        </w:rPr>
        <w:lastRenderedPageBreak/>
        <w:t>XI.</w:t>
      </w:r>
      <w:r w:rsidRPr="00652860">
        <w:rPr>
          <w:b/>
        </w:rPr>
        <w:tab/>
      </w:r>
      <w:r w:rsidRPr="00652860">
        <w:rPr>
          <w:b/>
          <w:u w:val="single"/>
        </w:rPr>
        <w:t>PENDING MOTIONS</w:t>
      </w:r>
    </w:p>
    <w:p w:rsidR="0052086C" w:rsidRPr="00701945" w:rsidRDefault="0052086C" w:rsidP="0052086C">
      <w:pPr>
        <w:jc w:val="both"/>
      </w:pPr>
    </w:p>
    <w:tbl>
      <w:tblPr>
        <w:tblStyle w:val="TableGrid"/>
        <w:tblW w:w="0" w:type="auto"/>
        <w:tblLook w:val="04A0" w:firstRow="1" w:lastRow="0" w:firstColumn="1" w:lastColumn="0" w:noHBand="0" w:noVBand="1"/>
      </w:tblPr>
      <w:tblGrid>
        <w:gridCol w:w="1270"/>
        <w:gridCol w:w="1448"/>
        <w:gridCol w:w="6858"/>
      </w:tblGrid>
      <w:tr w:rsidR="003E4ED4" w:rsidRPr="0062455A" w:rsidTr="00ED0F0A">
        <w:trPr>
          <w:tblHeader/>
        </w:trPr>
        <w:tc>
          <w:tcPr>
            <w:tcW w:w="0" w:type="auto"/>
          </w:tcPr>
          <w:p w:rsidR="003E4ED4" w:rsidRPr="0062455A" w:rsidRDefault="003E4ED4" w:rsidP="00ED0F0A">
            <w:pPr>
              <w:jc w:val="center"/>
              <w:rPr>
                <w:b/>
              </w:rPr>
            </w:pPr>
            <w:r w:rsidRPr="0062455A">
              <w:rPr>
                <w:b/>
              </w:rPr>
              <w:t>Request Document No.</w:t>
            </w:r>
          </w:p>
        </w:tc>
        <w:tc>
          <w:tcPr>
            <w:tcW w:w="1448" w:type="dxa"/>
          </w:tcPr>
          <w:p w:rsidR="003E4ED4" w:rsidRPr="0062455A" w:rsidRDefault="003E4ED4" w:rsidP="00ED0F0A">
            <w:pPr>
              <w:jc w:val="center"/>
              <w:rPr>
                <w:b/>
              </w:rPr>
            </w:pPr>
            <w:r w:rsidRPr="0062455A">
              <w:rPr>
                <w:b/>
              </w:rPr>
              <w:t>Date filed</w:t>
            </w:r>
          </w:p>
        </w:tc>
        <w:tc>
          <w:tcPr>
            <w:tcW w:w="6858" w:type="dxa"/>
          </w:tcPr>
          <w:p w:rsidR="003E4ED4" w:rsidRPr="0062455A" w:rsidRDefault="003E4ED4" w:rsidP="00ED0F0A">
            <w:pPr>
              <w:jc w:val="center"/>
              <w:rPr>
                <w:b/>
              </w:rPr>
            </w:pPr>
            <w:r w:rsidRPr="0062455A">
              <w:rPr>
                <w:b/>
              </w:rPr>
              <w:t>Description</w:t>
            </w:r>
          </w:p>
        </w:tc>
      </w:tr>
      <w:tr w:rsidR="003E4ED4" w:rsidTr="00ED0F0A">
        <w:trPr>
          <w:cantSplit/>
        </w:trPr>
        <w:tc>
          <w:tcPr>
            <w:tcW w:w="0" w:type="auto"/>
          </w:tcPr>
          <w:p w:rsidR="003E4ED4" w:rsidRDefault="003E4ED4" w:rsidP="00ED0F0A">
            <w:pPr>
              <w:jc w:val="both"/>
            </w:pPr>
            <w:r>
              <w:t>04314-17</w:t>
            </w:r>
          </w:p>
        </w:tc>
        <w:tc>
          <w:tcPr>
            <w:tcW w:w="1448" w:type="dxa"/>
          </w:tcPr>
          <w:p w:rsidR="003E4ED4" w:rsidRDefault="003E4ED4" w:rsidP="00ED0F0A">
            <w:pPr>
              <w:jc w:val="both"/>
            </w:pPr>
            <w:r>
              <w:t>4/19/2017</w:t>
            </w:r>
          </w:p>
        </w:tc>
        <w:tc>
          <w:tcPr>
            <w:tcW w:w="6858" w:type="dxa"/>
          </w:tcPr>
          <w:p w:rsidR="003E4ED4" w:rsidRDefault="003E4ED4" w:rsidP="00ED0F0A">
            <w:pPr>
              <w:jc w:val="both"/>
            </w:pPr>
            <w:r>
              <w:t>Summertree Water Alliance – Petition to Intervene</w:t>
            </w:r>
          </w:p>
        </w:tc>
      </w:tr>
      <w:tr w:rsidR="003E4ED4" w:rsidTr="00ED0F0A">
        <w:trPr>
          <w:cantSplit/>
        </w:trPr>
        <w:tc>
          <w:tcPr>
            <w:tcW w:w="0" w:type="auto"/>
          </w:tcPr>
          <w:p w:rsidR="003E4ED4" w:rsidRDefault="003E4ED4" w:rsidP="00ED0F0A">
            <w:pPr>
              <w:jc w:val="both"/>
            </w:pPr>
            <w:r w:rsidRPr="001708C8">
              <w:t>04325-17</w:t>
            </w:r>
          </w:p>
        </w:tc>
        <w:tc>
          <w:tcPr>
            <w:tcW w:w="1448" w:type="dxa"/>
          </w:tcPr>
          <w:p w:rsidR="003E4ED4" w:rsidRDefault="003E4ED4" w:rsidP="00ED0F0A">
            <w:pPr>
              <w:jc w:val="both"/>
            </w:pPr>
            <w:r>
              <w:t>4/20/2017</w:t>
            </w:r>
          </w:p>
        </w:tc>
        <w:tc>
          <w:tcPr>
            <w:tcW w:w="6858" w:type="dxa"/>
          </w:tcPr>
          <w:p w:rsidR="003E4ED4" w:rsidRDefault="003E4ED4" w:rsidP="00ED0F0A">
            <w:pPr>
              <w:jc w:val="both"/>
            </w:pPr>
            <w:r>
              <w:t xml:space="preserve">OPC – </w:t>
            </w:r>
            <w:r w:rsidRPr="001708C8">
              <w:t>Motion to strike portions of rebuttal testimony and exhibits [of Patrick Flynn</w:t>
            </w:r>
            <w:r>
              <w:t xml:space="preserve">] </w:t>
            </w:r>
          </w:p>
        </w:tc>
      </w:tr>
      <w:tr w:rsidR="003E4ED4" w:rsidTr="00ED0F0A">
        <w:trPr>
          <w:cantSplit/>
        </w:trPr>
        <w:tc>
          <w:tcPr>
            <w:tcW w:w="0" w:type="auto"/>
          </w:tcPr>
          <w:p w:rsidR="003E4ED4" w:rsidRPr="001708C8" w:rsidRDefault="003E4ED4" w:rsidP="00ED0F0A">
            <w:pPr>
              <w:jc w:val="both"/>
            </w:pPr>
            <w:r w:rsidRPr="001708C8">
              <w:t>04326-17</w:t>
            </w:r>
          </w:p>
        </w:tc>
        <w:tc>
          <w:tcPr>
            <w:tcW w:w="1448" w:type="dxa"/>
          </w:tcPr>
          <w:p w:rsidR="003E4ED4" w:rsidRDefault="003E4ED4" w:rsidP="00ED0F0A">
            <w:pPr>
              <w:jc w:val="both"/>
            </w:pPr>
            <w:r>
              <w:t>4/20/2017</w:t>
            </w:r>
          </w:p>
        </w:tc>
        <w:tc>
          <w:tcPr>
            <w:tcW w:w="6858" w:type="dxa"/>
          </w:tcPr>
          <w:p w:rsidR="003E4ED4" w:rsidRDefault="003E4ED4" w:rsidP="00ED0F0A">
            <w:pPr>
              <w:jc w:val="both"/>
            </w:pPr>
            <w:r>
              <w:t xml:space="preserve">OPC – </w:t>
            </w:r>
            <w:r w:rsidRPr="001708C8">
              <w:t>Request for oral argument on motion to strike portions of rebuttal testimony and exhibits [of Patrick Flynn</w:t>
            </w:r>
            <w:r>
              <w:t>]</w:t>
            </w:r>
          </w:p>
        </w:tc>
      </w:tr>
    </w:tbl>
    <w:p w:rsidR="00976D98" w:rsidRDefault="00976D98" w:rsidP="0052086C">
      <w:pPr>
        <w:jc w:val="both"/>
        <w:rPr>
          <w:b/>
        </w:rPr>
      </w:pPr>
    </w:p>
    <w:p w:rsidR="00976D98" w:rsidRDefault="00976D98" w:rsidP="0052086C">
      <w:pPr>
        <w:jc w:val="both"/>
        <w:rPr>
          <w:b/>
        </w:rPr>
      </w:pPr>
    </w:p>
    <w:p w:rsidR="0052086C" w:rsidRDefault="0052086C" w:rsidP="0052086C">
      <w:pPr>
        <w:jc w:val="both"/>
        <w:rPr>
          <w:b/>
          <w:u w:val="single"/>
        </w:rPr>
      </w:pPr>
      <w:r w:rsidRPr="00652860">
        <w:rPr>
          <w:b/>
        </w:rPr>
        <w:t>XII.</w:t>
      </w:r>
      <w:r w:rsidRPr="00652860">
        <w:rPr>
          <w:b/>
        </w:rPr>
        <w:tab/>
      </w:r>
      <w:r w:rsidRPr="00652860">
        <w:rPr>
          <w:b/>
          <w:u w:val="single"/>
        </w:rPr>
        <w:t>PENDING CONFIDENTIALITY MATTERS</w:t>
      </w:r>
    </w:p>
    <w:p w:rsidR="0062455A" w:rsidRPr="00652860" w:rsidRDefault="0062455A" w:rsidP="0052086C">
      <w:pPr>
        <w:jc w:val="both"/>
        <w:rPr>
          <w:b/>
        </w:rPr>
      </w:pPr>
    </w:p>
    <w:tbl>
      <w:tblPr>
        <w:tblStyle w:val="TableGrid"/>
        <w:tblW w:w="0" w:type="auto"/>
        <w:tblLook w:val="04A0" w:firstRow="1" w:lastRow="0" w:firstColumn="1" w:lastColumn="0" w:noHBand="0" w:noVBand="1"/>
      </w:tblPr>
      <w:tblGrid>
        <w:gridCol w:w="1270"/>
        <w:gridCol w:w="1448"/>
        <w:gridCol w:w="6858"/>
      </w:tblGrid>
      <w:tr w:rsidR="0062455A" w:rsidTr="00FC001A">
        <w:trPr>
          <w:tblHeader/>
        </w:trPr>
        <w:tc>
          <w:tcPr>
            <w:tcW w:w="0" w:type="auto"/>
          </w:tcPr>
          <w:p w:rsidR="0062455A" w:rsidRPr="0062455A" w:rsidRDefault="0062455A" w:rsidP="0062455A">
            <w:pPr>
              <w:jc w:val="center"/>
              <w:rPr>
                <w:b/>
              </w:rPr>
            </w:pPr>
            <w:r w:rsidRPr="0062455A">
              <w:rPr>
                <w:b/>
              </w:rPr>
              <w:t>Request Document No.</w:t>
            </w:r>
          </w:p>
        </w:tc>
        <w:tc>
          <w:tcPr>
            <w:tcW w:w="1448" w:type="dxa"/>
          </w:tcPr>
          <w:p w:rsidR="0062455A" w:rsidRPr="0062455A" w:rsidRDefault="0062455A" w:rsidP="0062455A">
            <w:pPr>
              <w:jc w:val="center"/>
              <w:rPr>
                <w:b/>
              </w:rPr>
            </w:pPr>
            <w:r w:rsidRPr="0062455A">
              <w:rPr>
                <w:b/>
              </w:rPr>
              <w:t>Date filed</w:t>
            </w:r>
          </w:p>
        </w:tc>
        <w:tc>
          <w:tcPr>
            <w:tcW w:w="6858" w:type="dxa"/>
          </w:tcPr>
          <w:p w:rsidR="0062455A" w:rsidRPr="0062455A" w:rsidRDefault="0062455A" w:rsidP="0062455A">
            <w:pPr>
              <w:jc w:val="center"/>
              <w:rPr>
                <w:b/>
              </w:rPr>
            </w:pPr>
            <w:r w:rsidRPr="0062455A">
              <w:rPr>
                <w:b/>
              </w:rPr>
              <w:t>Description</w:t>
            </w:r>
          </w:p>
        </w:tc>
      </w:tr>
      <w:tr w:rsidR="0062455A" w:rsidTr="00592BD8">
        <w:trPr>
          <w:cantSplit/>
        </w:trPr>
        <w:tc>
          <w:tcPr>
            <w:tcW w:w="0" w:type="auto"/>
          </w:tcPr>
          <w:p w:rsidR="0062455A" w:rsidRDefault="0062455A" w:rsidP="0052086C">
            <w:pPr>
              <w:jc w:val="both"/>
            </w:pPr>
            <w:r>
              <w:t>07739-16</w:t>
            </w:r>
          </w:p>
        </w:tc>
        <w:tc>
          <w:tcPr>
            <w:tcW w:w="1448" w:type="dxa"/>
          </w:tcPr>
          <w:p w:rsidR="0062455A" w:rsidRDefault="0062455A" w:rsidP="0052086C">
            <w:pPr>
              <w:jc w:val="both"/>
            </w:pPr>
            <w:r>
              <w:t>9/22/2016</w:t>
            </w:r>
          </w:p>
        </w:tc>
        <w:tc>
          <w:tcPr>
            <w:tcW w:w="6858" w:type="dxa"/>
          </w:tcPr>
          <w:p w:rsidR="0062455A" w:rsidRDefault="0062455A" w:rsidP="0062455A">
            <w:pPr>
              <w:jc w:val="both"/>
            </w:pPr>
            <w:r w:rsidRPr="0062455A">
              <w:t>Utilities, Inc.</w:t>
            </w:r>
            <w:r>
              <w:t xml:space="preserve"> </w:t>
            </w:r>
            <w:r w:rsidRPr="0062455A">
              <w:t>(Friedman) - Request for</w:t>
            </w:r>
            <w:r>
              <w:t xml:space="preserve"> </w:t>
            </w:r>
            <w:r w:rsidRPr="0062455A">
              <w:t>confidential</w:t>
            </w:r>
            <w:r>
              <w:t xml:space="preserve"> </w:t>
            </w:r>
            <w:r w:rsidRPr="0062455A">
              <w:t>classification [of DN</w:t>
            </w:r>
            <w:r>
              <w:t xml:space="preserve"> </w:t>
            </w:r>
            <w:r w:rsidRPr="0062455A">
              <w:t>07740-16]; includes</w:t>
            </w:r>
            <w:r>
              <w:t xml:space="preserve"> </w:t>
            </w:r>
            <w:r w:rsidRPr="0062455A">
              <w:t>redacted version.</w:t>
            </w:r>
          </w:p>
        </w:tc>
      </w:tr>
      <w:tr w:rsidR="0062455A" w:rsidTr="00592BD8">
        <w:trPr>
          <w:cantSplit/>
        </w:trPr>
        <w:tc>
          <w:tcPr>
            <w:tcW w:w="0" w:type="auto"/>
          </w:tcPr>
          <w:p w:rsidR="0062455A" w:rsidRDefault="0062455A" w:rsidP="0052086C">
            <w:pPr>
              <w:jc w:val="both"/>
            </w:pPr>
            <w:r w:rsidRPr="0062455A">
              <w:t>00214-17</w:t>
            </w:r>
          </w:p>
        </w:tc>
        <w:tc>
          <w:tcPr>
            <w:tcW w:w="1448" w:type="dxa"/>
          </w:tcPr>
          <w:p w:rsidR="0062455A" w:rsidRDefault="0062455A" w:rsidP="0052086C">
            <w:pPr>
              <w:jc w:val="both"/>
            </w:pPr>
            <w:r>
              <w:t>01/09/2017</w:t>
            </w:r>
          </w:p>
        </w:tc>
        <w:tc>
          <w:tcPr>
            <w:tcW w:w="6858" w:type="dxa"/>
          </w:tcPr>
          <w:p w:rsidR="0062455A" w:rsidRDefault="0062455A" w:rsidP="0062455A">
            <w:pPr>
              <w:jc w:val="both"/>
            </w:pPr>
            <w:r w:rsidRPr="0062455A">
              <w:t>Utilities, Inc.</w:t>
            </w:r>
            <w:r>
              <w:t xml:space="preserve"> </w:t>
            </w:r>
            <w:r w:rsidRPr="0062455A">
              <w:t>(Friedman) - Motion for</w:t>
            </w:r>
            <w:r>
              <w:t xml:space="preserve"> </w:t>
            </w:r>
            <w:r w:rsidRPr="0062455A">
              <w:t>protective order [of</w:t>
            </w:r>
            <w:r>
              <w:t xml:space="preserve"> </w:t>
            </w:r>
            <w:r w:rsidRPr="0062455A">
              <w:t>documents responsive to</w:t>
            </w:r>
            <w:r>
              <w:t xml:space="preserve"> </w:t>
            </w:r>
            <w:r w:rsidRPr="0062455A">
              <w:t>staff's 3rd request for</w:t>
            </w:r>
            <w:r>
              <w:t xml:space="preserve"> </w:t>
            </w:r>
            <w:r w:rsidRPr="0062455A">
              <w:t>PODs (No. 6).]</w:t>
            </w:r>
          </w:p>
        </w:tc>
      </w:tr>
      <w:tr w:rsidR="0062455A" w:rsidTr="00592BD8">
        <w:trPr>
          <w:cantSplit/>
        </w:trPr>
        <w:tc>
          <w:tcPr>
            <w:tcW w:w="0" w:type="auto"/>
          </w:tcPr>
          <w:p w:rsidR="0062455A" w:rsidRDefault="0062455A" w:rsidP="0052086C">
            <w:pPr>
              <w:jc w:val="both"/>
            </w:pPr>
            <w:r>
              <w:t>00277-17</w:t>
            </w:r>
          </w:p>
        </w:tc>
        <w:tc>
          <w:tcPr>
            <w:tcW w:w="1448" w:type="dxa"/>
          </w:tcPr>
          <w:p w:rsidR="0062455A" w:rsidRDefault="0062455A" w:rsidP="0052086C">
            <w:pPr>
              <w:jc w:val="both"/>
            </w:pPr>
            <w:r>
              <w:t>1/10/2017</w:t>
            </w:r>
          </w:p>
        </w:tc>
        <w:tc>
          <w:tcPr>
            <w:tcW w:w="6858" w:type="dxa"/>
          </w:tcPr>
          <w:p w:rsidR="0062455A" w:rsidRDefault="0062455A" w:rsidP="00AA2605">
            <w:pPr>
              <w:jc w:val="both"/>
            </w:pPr>
            <w:r w:rsidRPr="0062455A">
              <w:t>Utilities, Inc.</w:t>
            </w:r>
            <w:r>
              <w:t xml:space="preserve"> </w:t>
            </w:r>
            <w:r w:rsidRPr="0062455A">
              <w:t>(Friedman) - Motion for</w:t>
            </w:r>
            <w:r>
              <w:t xml:space="preserve"> </w:t>
            </w:r>
            <w:r w:rsidRPr="0062455A">
              <w:t>temporary protective</w:t>
            </w:r>
            <w:r>
              <w:t xml:space="preserve"> </w:t>
            </w:r>
            <w:r w:rsidRPr="0062455A">
              <w:t>order [of certain</w:t>
            </w:r>
            <w:r>
              <w:t xml:space="preserve"> </w:t>
            </w:r>
            <w:r w:rsidRPr="0062455A">
              <w:t>information submitted to</w:t>
            </w:r>
            <w:r>
              <w:t xml:space="preserve"> </w:t>
            </w:r>
            <w:r w:rsidRPr="0062455A">
              <w:t>OPC in response to 1</w:t>
            </w:r>
            <w:r w:rsidRPr="0062455A">
              <w:rPr>
                <w:vertAlign w:val="superscript"/>
              </w:rPr>
              <w:t>st</w:t>
            </w:r>
            <w:r>
              <w:t xml:space="preserve"> </w:t>
            </w:r>
            <w:r w:rsidRPr="0062455A">
              <w:t>request for PODs (Nos. 6, 8, 10, 22, 24, and</w:t>
            </w:r>
            <w:r>
              <w:t xml:space="preserve"> </w:t>
            </w:r>
            <w:r w:rsidRPr="0062455A">
              <w:t>34)].</w:t>
            </w:r>
          </w:p>
        </w:tc>
      </w:tr>
      <w:tr w:rsidR="0062455A" w:rsidTr="00592BD8">
        <w:trPr>
          <w:cantSplit/>
        </w:trPr>
        <w:tc>
          <w:tcPr>
            <w:tcW w:w="0" w:type="auto"/>
          </w:tcPr>
          <w:p w:rsidR="0062455A" w:rsidRDefault="0062455A" w:rsidP="0052086C">
            <w:pPr>
              <w:jc w:val="both"/>
            </w:pPr>
            <w:r>
              <w:t>00479-17</w:t>
            </w:r>
          </w:p>
        </w:tc>
        <w:tc>
          <w:tcPr>
            <w:tcW w:w="1448" w:type="dxa"/>
          </w:tcPr>
          <w:p w:rsidR="0062455A" w:rsidRDefault="0062455A" w:rsidP="0052086C">
            <w:pPr>
              <w:jc w:val="both"/>
            </w:pPr>
            <w:r>
              <w:t>1/13/2017</w:t>
            </w:r>
          </w:p>
        </w:tc>
        <w:tc>
          <w:tcPr>
            <w:tcW w:w="6858" w:type="dxa"/>
          </w:tcPr>
          <w:p w:rsidR="0062455A" w:rsidRDefault="0062455A" w:rsidP="0062455A">
            <w:pPr>
              <w:jc w:val="both"/>
            </w:pPr>
            <w:r w:rsidRPr="0062455A">
              <w:t>Utilities, Inc.</w:t>
            </w:r>
            <w:r>
              <w:t xml:space="preserve"> </w:t>
            </w:r>
            <w:r w:rsidRPr="0062455A">
              <w:t>(Friedman) - Motion for</w:t>
            </w:r>
            <w:r>
              <w:t xml:space="preserve"> </w:t>
            </w:r>
            <w:r w:rsidRPr="0062455A">
              <w:t>temporary protective</w:t>
            </w:r>
            <w:r>
              <w:t xml:space="preserve"> </w:t>
            </w:r>
            <w:r w:rsidRPr="0062455A">
              <w:t>order [of certain</w:t>
            </w:r>
            <w:r>
              <w:t xml:space="preserve"> </w:t>
            </w:r>
            <w:r w:rsidRPr="0062455A">
              <w:t>information provided to</w:t>
            </w:r>
            <w:r>
              <w:t xml:space="preserve"> </w:t>
            </w:r>
            <w:r w:rsidRPr="0062455A">
              <w:t>OPC in response to 1</w:t>
            </w:r>
            <w:r w:rsidRPr="0062455A">
              <w:rPr>
                <w:vertAlign w:val="superscript"/>
              </w:rPr>
              <w:t>st</w:t>
            </w:r>
            <w:r>
              <w:t xml:space="preserve"> </w:t>
            </w:r>
            <w:r w:rsidRPr="0062455A">
              <w:t>set of interrogatories</w:t>
            </w:r>
            <w:r>
              <w:t xml:space="preserve"> </w:t>
            </w:r>
            <w:r w:rsidRPr="0062455A">
              <w:t>(Nos. 29 and 30) and 3</w:t>
            </w:r>
            <w:r w:rsidRPr="0062455A">
              <w:rPr>
                <w:vertAlign w:val="superscript"/>
              </w:rPr>
              <w:t>rd</w:t>
            </w:r>
            <w:r>
              <w:t xml:space="preserve"> </w:t>
            </w:r>
            <w:r w:rsidRPr="0062455A">
              <w:t>set of interrogatories</w:t>
            </w:r>
            <w:r>
              <w:t xml:space="preserve"> </w:t>
            </w:r>
            <w:r w:rsidRPr="0062455A">
              <w:t>(No. 79)].</w:t>
            </w:r>
          </w:p>
        </w:tc>
      </w:tr>
      <w:tr w:rsidR="0062455A" w:rsidTr="00592BD8">
        <w:trPr>
          <w:cantSplit/>
        </w:trPr>
        <w:tc>
          <w:tcPr>
            <w:tcW w:w="0" w:type="auto"/>
          </w:tcPr>
          <w:p w:rsidR="0062455A" w:rsidRDefault="0062455A" w:rsidP="0052086C">
            <w:pPr>
              <w:jc w:val="both"/>
            </w:pPr>
            <w:r w:rsidRPr="0062455A">
              <w:t>00626-17</w:t>
            </w:r>
          </w:p>
        </w:tc>
        <w:tc>
          <w:tcPr>
            <w:tcW w:w="1448" w:type="dxa"/>
          </w:tcPr>
          <w:p w:rsidR="0062455A" w:rsidRDefault="0062455A" w:rsidP="0052086C">
            <w:pPr>
              <w:jc w:val="both"/>
            </w:pPr>
            <w:r>
              <w:t>1/19/2017</w:t>
            </w:r>
          </w:p>
        </w:tc>
        <w:tc>
          <w:tcPr>
            <w:tcW w:w="6858" w:type="dxa"/>
          </w:tcPr>
          <w:p w:rsidR="0062455A" w:rsidRPr="0062455A" w:rsidRDefault="0062455A" w:rsidP="0062455A">
            <w:pPr>
              <w:jc w:val="both"/>
            </w:pPr>
            <w:r w:rsidRPr="0062455A">
              <w:t>Utilities, Inc.</w:t>
            </w:r>
            <w:r>
              <w:t xml:space="preserve"> </w:t>
            </w:r>
            <w:r w:rsidRPr="0062455A">
              <w:t>(Friedman) - Request for</w:t>
            </w:r>
            <w:r>
              <w:t xml:space="preserve"> </w:t>
            </w:r>
            <w:r w:rsidRPr="0062455A">
              <w:t>confidential</w:t>
            </w:r>
            <w:r>
              <w:t xml:space="preserve"> </w:t>
            </w:r>
            <w:r w:rsidRPr="0062455A">
              <w:t>classification [of DN</w:t>
            </w:r>
            <w:r>
              <w:t xml:space="preserve"> </w:t>
            </w:r>
            <w:r w:rsidRPr="0062455A">
              <w:t>00627-17]; includes</w:t>
            </w:r>
            <w:r>
              <w:t xml:space="preserve"> </w:t>
            </w:r>
            <w:r w:rsidRPr="0062455A">
              <w:t>redacted version. (Audit</w:t>
            </w:r>
            <w:r>
              <w:t xml:space="preserve"> </w:t>
            </w:r>
            <w:r w:rsidRPr="0062455A">
              <w:t>Control No. 16-259-1-1)</w:t>
            </w:r>
            <w:r>
              <w:t xml:space="preserve"> </w:t>
            </w:r>
            <w:r w:rsidRPr="0062455A">
              <w:t>[CLK note: See DN</w:t>
            </w:r>
            <w:r>
              <w:t xml:space="preserve"> </w:t>
            </w:r>
            <w:r w:rsidRPr="0062455A">
              <w:t>01220-17 for revised</w:t>
            </w:r>
            <w:r>
              <w:t xml:space="preserve"> </w:t>
            </w:r>
            <w:r w:rsidRPr="0062455A">
              <w:t>justification matrix.]</w:t>
            </w:r>
          </w:p>
        </w:tc>
      </w:tr>
      <w:tr w:rsidR="0062455A" w:rsidTr="00592BD8">
        <w:trPr>
          <w:cantSplit/>
        </w:trPr>
        <w:tc>
          <w:tcPr>
            <w:tcW w:w="0" w:type="auto"/>
          </w:tcPr>
          <w:p w:rsidR="0062455A" w:rsidRPr="0062455A" w:rsidRDefault="0062455A" w:rsidP="0052086C">
            <w:pPr>
              <w:jc w:val="both"/>
            </w:pPr>
            <w:r w:rsidRPr="0062455A">
              <w:t>02073-17</w:t>
            </w:r>
          </w:p>
        </w:tc>
        <w:tc>
          <w:tcPr>
            <w:tcW w:w="1448" w:type="dxa"/>
          </w:tcPr>
          <w:p w:rsidR="0062455A" w:rsidRDefault="0062455A" w:rsidP="0052086C">
            <w:pPr>
              <w:jc w:val="both"/>
            </w:pPr>
            <w:r>
              <w:t>2/20/2017</w:t>
            </w:r>
          </w:p>
        </w:tc>
        <w:tc>
          <w:tcPr>
            <w:tcW w:w="6858" w:type="dxa"/>
          </w:tcPr>
          <w:p w:rsidR="0062455A" w:rsidRPr="0062455A" w:rsidRDefault="0062455A" w:rsidP="0062455A">
            <w:pPr>
              <w:jc w:val="both"/>
            </w:pPr>
            <w:r w:rsidRPr="0062455A">
              <w:t>(Friedman) - Motion for</w:t>
            </w:r>
            <w:r>
              <w:t xml:space="preserve"> </w:t>
            </w:r>
            <w:r w:rsidRPr="0062455A">
              <w:t>protective order [of</w:t>
            </w:r>
            <w:r>
              <w:t xml:space="preserve"> </w:t>
            </w:r>
            <w:r w:rsidRPr="0062455A">
              <w:t>documents responsive to</w:t>
            </w:r>
          </w:p>
          <w:p w:rsidR="0062455A" w:rsidRPr="0062455A" w:rsidRDefault="0062455A" w:rsidP="0062455A">
            <w:pPr>
              <w:jc w:val="both"/>
            </w:pPr>
            <w:r w:rsidRPr="0062455A">
              <w:t>staff's 7th set of</w:t>
            </w:r>
            <w:r>
              <w:t xml:space="preserve"> </w:t>
            </w:r>
            <w:r w:rsidRPr="0062455A">
              <w:t>interrogatories (No.</w:t>
            </w:r>
            <w:r>
              <w:t xml:space="preserve"> </w:t>
            </w:r>
            <w:r w:rsidRPr="0062455A">
              <w:t>172).]</w:t>
            </w:r>
          </w:p>
        </w:tc>
      </w:tr>
      <w:tr w:rsidR="0062455A" w:rsidTr="00592BD8">
        <w:trPr>
          <w:cantSplit/>
        </w:trPr>
        <w:tc>
          <w:tcPr>
            <w:tcW w:w="0" w:type="auto"/>
          </w:tcPr>
          <w:p w:rsidR="0062455A" w:rsidRPr="0062455A" w:rsidRDefault="0062455A" w:rsidP="0052086C">
            <w:pPr>
              <w:jc w:val="both"/>
            </w:pPr>
            <w:r>
              <w:t>02253-17</w:t>
            </w:r>
          </w:p>
        </w:tc>
        <w:tc>
          <w:tcPr>
            <w:tcW w:w="1448" w:type="dxa"/>
          </w:tcPr>
          <w:p w:rsidR="0062455A" w:rsidRDefault="0062455A" w:rsidP="0052086C">
            <w:pPr>
              <w:jc w:val="both"/>
            </w:pPr>
            <w:r>
              <w:t>2/27/2017</w:t>
            </w:r>
          </w:p>
        </w:tc>
        <w:tc>
          <w:tcPr>
            <w:tcW w:w="6858" w:type="dxa"/>
          </w:tcPr>
          <w:p w:rsidR="0062455A" w:rsidRPr="0062455A" w:rsidRDefault="0062455A" w:rsidP="0062455A">
            <w:pPr>
              <w:jc w:val="both"/>
            </w:pPr>
            <w:r w:rsidRPr="0062455A">
              <w:t>Utilities, Inc.</w:t>
            </w:r>
            <w:r>
              <w:t xml:space="preserve"> </w:t>
            </w:r>
            <w:r w:rsidRPr="0062455A">
              <w:t>(Friedman) - Motion for</w:t>
            </w:r>
            <w:r>
              <w:t xml:space="preserve"> </w:t>
            </w:r>
            <w:r w:rsidRPr="0062455A">
              <w:t>temporary protective</w:t>
            </w:r>
            <w:r>
              <w:t xml:space="preserve"> </w:t>
            </w:r>
            <w:r w:rsidRPr="0062455A">
              <w:t>order [of certain</w:t>
            </w:r>
            <w:r>
              <w:t xml:space="preserve"> </w:t>
            </w:r>
            <w:r w:rsidRPr="0062455A">
              <w:t>information submitted in</w:t>
            </w:r>
            <w:r>
              <w:t xml:space="preserve"> </w:t>
            </w:r>
            <w:r w:rsidRPr="0062455A">
              <w:t>response to OPC's 8</w:t>
            </w:r>
            <w:r w:rsidRPr="0062455A">
              <w:rPr>
                <w:vertAlign w:val="superscript"/>
              </w:rPr>
              <w:t>th</w:t>
            </w:r>
            <w:r>
              <w:t xml:space="preserve"> </w:t>
            </w:r>
            <w:r w:rsidRPr="0062455A">
              <w:t>request for PODs (Nos.</w:t>
            </w:r>
            <w:r>
              <w:t xml:space="preserve"> </w:t>
            </w:r>
            <w:r w:rsidRPr="0062455A">
              <w:t>79-83)].</w:t>
            </w:r>
          </w:p>
        </w:tc>
      </w:tr>
      <w:tr w:rsidR="0062455A" w:rsidTr="00592BD8">
        <w:trPr>
          <w:cantSplit/>
        </w:trPr>
        <w:tc>
          <w:tcPr>
            <w:tcW w:w="0" w:type="auto"/>
          </w:tcPr>
          <w:p w:rsidR="0062455A" w:rsidRDefault="0062455A" w:rsidP="0052086C">
            <w:pPr>
              <w:jc w:val="both"/>
            </w:pPr>
            <w:r>
              <w:t>03196-17</w:t>
            </w:r>
          </w:p>
        </w:tc>
        <w:tc>
          <w:tcPr>
            <w:tcW w:w="1448" w:type="dxa"/>
          </w:tcPr>
          <w:p w:rsidR="0062455A" w:rsidRDefault="0062455A" w:rsidP="0052086C">
            <w:pPr>
              <w:jc w:val="both"/>
            </w:pPr>
            <w:r>
              <w:t>3/07/2017</w:t>
            </w:r>
          </w:p>
        </w:tc>
        <w:tc>
          <w:tcPr>
            <w:tcW w:w="6858" w:type="dxa"/>
          </w:tcPr>
          <w:p w:rsidR="0062455A" w:rsidRPr="0062455A" w:rsidRDefault="0062455A" w:rsidP="0062455A">
            <w:pPr>
              <w:jc w:val="both"/>
            </w:pPr>
            <w:r w:rsidRPr="0062455A">
              <w:t>Utilities, Inc.</w:t>
            </w:r>
            <w:r>
              <w:t xml:space="preserve"> </w:t>
            </w:r>
            <w:r w:rsidRPr="0062455A">
              <w:t>(Friedman) - Request for</w:t>
            </w:r>
            <w:r>
              <w:t xml:space="preserve"> </w:t>
            </w:r>
            <w:r w:rsidRPr="0062455A">
              <w:t>confidential</w:t>
            </w:r>
            <w:r>
              <w:t xml:space="preserve"> </w:t>
            </w:r>
            <w:r w:rsidRPr="0062455A">
              <w:t>classification [of DN</w:t>
            </w:r>
            <w:r>
              <w:t xml:space="preserve"> </w:t>
            </w:r>
            <w:r w:rsidRPr="0062455A">
              <w:t>03197-17]; includes</w:t>
            </w:r>
            <w:r>
              <w:t xml:space="preserve"> </w:t>
            </w:r>
            <w:r w:rsidRPr="0062455A">
              <w:t>redacted version.</w:t>
            </w:r>
          </w:p>
        </w:tc>
      </w:tr>
      <w:tr w:rsidR="0062455A" w:rsidTr="00592BD8">
        <w:trPr>
          <w:cantSplit/>
        </w:trPr>
        <w:tc>
          <w:tcPr>
            <w:tcW w:w="0" w:type="auto"/>
          </w:tcPr>
          <w:p w:rsidR="0062455A" w:rsidRDefault="0062455A" w:rsidP="0052086C">
            <w:pPr>
              <w:jc w:val="both"/>
            </w:pPr>
            <w:r>
              <w:t>04047-17</w:t>
            </w:r>
          </w:p>
        </w:tc>
        <w:tc>
          <w:tcPr>
            <w:tcW w:w="1448" w:type="dxa"/>
          </w:tcPr>
          <w:p w:rsidR="0062455A" w:rsidRDefault="0062455A" w:rsidP="0052086C">
            <w:pPr>
              <w:jc w:val="both"/>
            </w:pPr>
            <w:r>
              <w:t>4/05/2017</w:t>
            </w:r>
          </w:p>
        </w:tc>
        <w:tc>
          <w:tcPr>
            <w:tcW w:w="6858" w:type="dxa"/>
          </w:tcPr>
          <w:p w:rsidR="0062455A" w:rsidRPr="0062455A" w:rsidRDefault="0062455A" w:rsidP="00E05777">
            <w:pPr>
              <w:autoSpaceDE w:val="0"/>
              <w:autoSpaceDN w:val="0"/>
              <w:adjustRightInd w:val="0"/>
            </w:pPr>
            <w:r w:rsidRPr="0062455A">
              <w:t>(Friedman) - Motion for</w:t>
            </w:r>
            <w:r>
              <w:t xml:space="preserve"> </w:t>
            </w:r>
            <w:r w:rsidRPr="0062455A">
              <w:t>protective order with</w:t>
            </w:r>
            <w:r>
              <w:t xml:space="preserve"> </w:t>
            </w:r>
            <w:r w:rsidRPr="0062455A">
              <w:t>regard to confidential</w:t>
            </w:r>
            <w:r>
              <w:t xml:space="preserve"> </w:t>
            </w:r>
            <w:r w:rsidRPr="0062455A">
              <w:t>documents [response to</w:t>
            </w:r>
            <w:r>
              <w:t xml:space="preserve"> </w:t>
            </w:r>
            <w:r w:rsidRPr="0062455A">
              <w:t>OPC's1st POD Nos. 23 and</w:t>
            </w:r>
            <w:r>
              <w:t xml:space="preserve"> </w:t>
            </w:r>
            <w:r w:rsidRPr="0062455A">
              <w:t xml:space="preserve">24; 1st </w:t>
            </w:r>
            <w:r>
              <w:t xml:space="preserve"> </w:t>
            </w:r>
            <w:r w:rsidR="00E05777">
              <w:t>i</w:t>
            </w:r>
            <w:r w:rsidRPr="0062455A">
              <w:t>nterrogatories</w:t>
            </w:r>
            <w:r w:rsidR="00E05777">
              <w:t xml:space="preserve"> </w:t>
            </w:r>
            <w:r w:rsidRPr="0062455A">
              <w:t>Nos. 29 and 30].</w:t>
            </w:r>
          </w:p>
        </w:tc>
      </w:tr>
      <w:tr w:rsidR="0062455A" w:rsidTr="00592BD8">
        <w:trPr>
          <w:cantSplit/>
          <w:trHeight w:val="864"/>
        </w:trPr>
        <w:tc>
          <w:tcPr>
            <w:tcW w:w="1270" w:type="dxa"/>
          </w:tcPr>
          <w:p w:rsidR="0062455A" w:rsidRDefault="00E05777" w:rsidP="0052086C">
            <w:pPr>
              <w:jc w:val="both"/>
            </w:pPr>
            <w:r>
              <w:lastRenderedPageBreak/>
              <w:t>04168-17</w:t>
            </w:r>
          </w:p>
        </w:tc>
        <w:tc>
          <w:tcPr>
            <w:tcW w:w="1448" w:type="dxa"/>
          </w:tcPr>
          <w:p w:rsidR="0062455A" w:rsidRDefault="00E05777" w:rsidP="0052086C">
            <w:pPr>
              <w:jc w:val="both"/>
            </w:pPr>
            <w:r>
              <w:t>4/11/2017</w:t>
            </w:r>
          </w:p>
        </w:tc>
        <w:tc>
          <w:tcPr>
            <w:tcW w:w="6858" w:type="dxa"/>
          </w:tcPr>
          <w:p w:rsidR="0062455A" w:rsidRDefault="00E05777" w:rsidP="00E05777">
            <w:pPr>
              <w:autoSpaceDE w:val="0"/>
              <w:autoSpaceDN w:val="0"/>
              <w:adjustRightInd w:val="0"/>
              <w:rPr>
                <w:sz w:val="18"/>
                <w:szCs w:val="18"/>
              </w:rPr>
            </w:pPr>
            <w:r w:rsidRPr="00E05777">
              <w:t>Utilities, Inc.</w:t>
            </w:r>
            <w:r>
              <w:t xml:space="preserve"> </w:t>
            </w:r>
            <w:r w:rsidRPr="00E05777">
              <w:t>(Friedman) - Request for</w:t>
            </w:r>
            <w:r>
              <w:t xml:space="preserve"> </w:t>
            </w:r>
            <w:r w:rsidRPr="00E05777">
              <w:t>confidential</w:t>
            </w:r>
            <w:r>
              <w:t xml:space="preserve"> </w:t>
            </w:r>
            <w:r w:rsidRPr="00E05777">
              <w:t>classification [of DN</w:t>
            </w:r>
            <w:r>
              <w:t xml:space="preserve"> </w:t>
            </w:r>
            <w:r w:rsidRPr="00E05777">
              <w:t>04170-17 documents</w:t>
            </w:r>
            <w:r>
              <w:t xml:space="preserve"> </w:t>
            </w:r>
            <w:r w:rsidRPr="00E05777">
              <w:t>responsive to OPC's 1</w:t>
            </w:r>
            <w:r w:rsidRPr="00E05777">
              <w:rPr>
                <w:vertAlign w:val="superscript"/>
              </w:rPr>
              <w:t>st</w:t>
            </w:r>
            <w:r>
              <w:t xml:space="preserve"> </w:t>
            </w:r>
            <w:r w:rsidRPr="00E05777">
              <w:t>request for PODs (Nos. 23</w:t>
            </w:r>
            <w:r>
              <w:t xml:space="preserve"> </w:t>
            </w:r>
            <w:r w:rsidRPr="00E05777">
              <w:t>and 24); and 1st set of</w:t>
            </w:r>
            <w:r>
              <w:t xml:space="preserve"> </w:t>
            </w:r>
            <w:r w:rsidRPr="00E05777">
              <w:t>interrogatories (Nos. 29</w:t>
            </w:r>
            <w:r>
              <w:t xml:space="preserve"> </w:t>
            </w:r>
            <w:r w:rsidRPr="00E05777">
              <w:t>and 30)]</w:t>
            </w:r>
          </w:p>
        </w:tc>
      </w:tr>
      <w:tr w:rsidR="00E05777" w:rsidTr="00592BD8">
        <w:trPr>
          <w:cantSplit/>
          <w:trHeight w:val="720"/>
        </w:trPr>
        <w:tc>
          <w:tcPr>
            <w:tcW w:w="1270" w:type="dxa"/>
          </w:tcPr>
          <w:p w:rsidR="00E05777" w:rsidRDefault="00E05777" w:rsidP="0052086C">
            <w:pPr>
              <w:jc w:val="both"/>
            </w:pPr>
            <w:r>
              <w:t>04169-17</w:t>
            </w:r>
          </w:p>
        </w:tc>
        <w:tc>
          <w:tcPr>
            <w:tcW w:w="1448" w:type="dxa"/>
          </w:tcPr>
          <w:p w:rsidR="00E05777" w:rsidRDefault="00E05777" w:rsidP="0052086C">
            <w:pPr>
              <w:jc w:val="both"/>
            </w:pPr>
            <w:r>
              <w:t>4/11/2017</w:t>
            </w:r>
          </w:p>
        </w:tc>
        <w:tc>
          <w:tcPr>
            <w:tcW w:w="6858" w:type="dxa"/>
          </w:tcPr>
          <w:p w:rsidR="00E05777" w:rsidRPr="00E05777" w:rsidRDefault="00E05777" w:rsidP="00E05777">
            <w:pPr>
              <w:autoSpaceDE w:val="0"/>
              <w:autoSpaceDN w:val="0"/>
              <w:adjustRightInd w:val="0"/>
            </w:pPr>
            <w:r w:rsidRPr="00E05777">
              <w:t>Utilities, Inc.</w:t>
            </w:r>
            <w:r>
              <w:t xml:space="preserve"> </w:t>
            </w:r>
            <w:r w:rsidRPr="00E05777">
              <w:t>(Friedman) - Motion for</w:t>
            </w:r>
            <w:r>
              <w:t xml:space="preserve"> </w:t>
            </w:r>
            <w:r w:rsidRPr="00E05777">
              <w:t>protective order with</w:t>
            </w:r>
            <w:r>
              <w:t xml:space="preserve"> </w:t>
            </w:r>
            <w:r w:rsidRPr="00E05777">
              <w:t>regard to confidential</w:t>
            </w:r>
            <w:r>
              <w:t xml:space="preserve"> </w:t>
            </w:r>
            <w:r w:rsidRPr="00E05777">
              <w:t>documents [DN 04170-17]</w:t>
            </w:r>
          </w:p>
        </w:tc>
      </w:tr>
    </w:tbl>
    <w:p w:rsidR="0062455A" w:rsidRDefault="0062455A" w:rsidP="0052086C">
      <w:pPr>
        <w:jc w:val="both"/>
        <w:rPr>
          <w:b/>
        </w:rPr>
      </w:pPr>
    </w:p>
    <w:p w:rsidR="008C677B" w:rsidRDefault="008C677B" w:rsidP="0052086C">
      <w:pPr>
        <w:jc w:val="both"/>
        <w:rPr>
          <w:b/>
        </w:rPr>
      </w:pPr>
    </w:p>
    <w:p w:rsidR="0052086C" w:rsidRPr="00652860" w:rsidRDefault="0052086C" w:rsidP="0052086C">
      <w:pPr>
        <w:jc w:val="both"/>
        <w:rPr>
          <w:b/>
        </w:rPr>
      </w:pPr>
      <w:r w:rsidRPr="00652860">
        <w:rPr>
          <w:b/>
        </w:rPr>
        <w:t>XIII.</w:t>
      </w:r>
      <w:r w:rsidRPr="00652860">
        <w:rPr>
          <w:b/>
        </w:rPr>
        <w:tab/>
      </w:r>
      <w:r w:rsidRPr="00652860">
        <w:rPr>
          <w:b/>
          <w:u w:val="single"/>
        </w:rPr>
        <w:t>POST-HEARING PROCEDURES</w:t>
      </w:r>
    </w:p>
    <w:p w:rsidR="0052086C" w:rsidRPr="00701945" w:rsidRDefault="0052086C" w:rsidP="0052086C">
      <w:pPr>
        <w:jc w:val="both"/>
      </w:pPr>
    </w:p>
    <w:p w:rsidR="0052086C" w:rsidRPr="00701945" w:rsidRDefault="0052086C" w:rsidP="0052086C">
      <w:pPr>
        <w:jc w:val="both"/>
      </w:pPr>
      <w:r w:rsidRPr="00701945">
        <w:tab/>
      </w:r>
      <w:r>
        <w:t>If no bench decision is made, e</w:t>
      </w:r>
      <w:r w:rsidRPr="00701945">
        <w:t>ach party shall file a post-hearing statement of issues and positions.  A summary of</w:t>
      </w:r>
      <w:r>
        <w:t xml:space="preserve"> each position of no more than </w:t>
      </w:r>
      <w:r w:rsidR="0061096A">
        <w:t>75</w:t>
      </w:r>
      <w:r w:rsidRPr="00701945">
        <w:t xml:space="preserve">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61096A">
        <w:t>75</w:t>
      </w:r>
      <w:r w:rsidRPr="00701945">
        <w:t xml:space="preserve"> words, it must be reduced to no more than </w:t>
      </w:r>
      <w:r w:rsidR="00AA2605">
        <w:t>75</w:t>
      </w:r>
      <w:r w:rsidRPr="00701945">
        <w:t xml:space="preserve"> words.  If a party fails to file a post-hearing statement, that party shall have waived all issues and may be dismissed from the proceeding.</w:t>
      </w:r>
    </w:p>
    <w:p w:rsidR="0052086C" w:rsidRPr="00701945" w:rsidRDefault="0052086C" w:rsidP="0052086C">
      <w:pPr>
        <w:jc w:val="both"/>
      </w:pPr>
    </w:p>
    <w:p w:rsidR="0052086C" w:rsidRPr="00701945" w:rsidRDefault="0052086C" w:rsidP="0052086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AA2605">
        <w:t>100</w:t>
      </w:r>
      <w:r w:rsidR="008608F3">
        <w:t xml:space="preserve"> pages </w:t>
      </w:r>
      <w:r w:rsidRPr="00701945">
        <w:t>and shall be filed at the same time.</w:t>
      </w:r>
    </w:p>
    <w:p w:rsidR="0052086C" w:rsidRDefault="0052086C" w:rsidP="0052086C">
      <w:pPr>
        <w:jc w:val="both"/>
      </w:pPr>
    </w:p>
    <w:p w:rsidR="008C677B" w:rsidRDefault="008C677B" w:rsidP="0052086C">
      <w:pPr>
        <w:jc w:val="both"/>
      </w:pPr>
    </w:p>
    <w:p w:rsidR="0052086C" w:rsidRPr="00652860" w:rsidRDefault="0052086C" w:rsidP="0052086C">
      <w:pPr>
        <w:jc w:val="both"/>
        <w:rPr>
          <w:b/>
        </w:rPr>
      </w:pPr>
      <w:r w:rsidRPr="00652860">
        <w:rPr>
          <w:b/>
        </w:rPr>
        <w:t>XIV.</w:t>
      </w:r>
      <w:r w:rsidRPr="00652860">
        <w:rPr>
          <w:b/>
        </w:rPr>
        <w:tab/>
      </w:r>
      <w:r w:rsidRPr="00652860">
        <w:rPr>
          <w:b/>
          <w:u w:val="single"/>
        </w:rPr>
        <w:t>RULINGS</w:t>
      </w:r>
    </w:p>
    <w:p w:rsidR="0052086C" w:rsidRPr="00701945" w:rsidRDefault="0052086C" w:rsidP="0052086C">
      <w:pPr>
        <w:jc w:val="both"/>
      </w:pPr>
    </w:p>
    <w:p w:rsidR="009C58F5" w:rsidRDefault="009C58F5" w:rsidP="00AB0DC3">
      <w:pPr>
        <w:ind w:firstLine="720"/>
        <w:jc w:val="both"/>
      </w:pPr>
      <w:r>
        <w:t>Issues 1 and 10B are dropped; Issue 52 shall remain as a live issue for the hearing.</w:t>
      </w:r>
    </w:p>
    <w:p w:rsidR="009C58F5" w:rsidRDefault="009C58F5" w:rsidP="00AB0DC3">
      <w:pPr>
        <w:ind w:firstLine="720"/>
        <w:jc w:val="both"/>
      </w:pPr>
    </w:p>
    <w:p w:rsidR="0061096A" w:rsidRDefault="0052086C" w:rsidP="00AB0DC3">
      <w:pPr>
        <w:ind w:firstLine="720"/>
        <w:jc w:val="both"/>
      </w:pPr>
      <w:r w:rsidRPr="00701945">
        <w:t xml:space="preserve">Opening statements, if any, shall not exceed </w:t>
      </w:r>
      <w:r w:rsidR="0061096A">
        <w:t>10</w:t>
      </w:r>
      <w:r w:rsidRPr="00701945">
        <w:t xml:space="preserve"> minutes per party.</w:t>
      </w:r>
      <w:r>
        <w:t xml:space="preserve"> </w:t>
      </w:r>
    </w:p>
    <w:p w:rsidR="0061096A" w:rsidRDefault="0061096A" w:rsidP="00AB0DC3">
      <w:pPr>
        <w:ind w:firstLine="720"/>
        <w:jc w:val="both"/>
      </w:pPr>
    </w:p>
    <w:p w:rsidR="0052086C" w:rsidRDefault="0061096A" w:rsidP="00AB0DC3">
      <w:pPr>
        <w:ind w:firstLine="720"/>
        <w:jc w:val="both"/>
      </w:pPr>
      <w:r>
        <w:t xml:space="preserve">Each witness’ </w:t>
      </w:r>
      <w:r w:rsidR="00E74735">
        <w:t xml:space="preserve">summary </w:t>
      </w:r>
      <w:r>
        <w:t>shall be five minutes for direct, and five minutes for rebuttal, if applicable.</w:t>
      </w:r>
    </w:p>
    <w:p w:rsidR="0061096A" w:rsidRDefault="0061096A" w:rsidP="00AB0DC3">
      <w:pPr>
        <w:ind w:firstLine="720"/>
        <w:jc w:val="both"/>
      </w:pPr>
    </w:p>
    <w:p w:rsidR="0052086C" w:rsidRPr="00701945" w:rsidRDefault="0052086C" w:rsidP="0052086C">
      <w:pPr>
        <w:jc w:val="both"/>
      </w:pPr>
      <w:r w:rsidRPr="00701945">
        <w:tab/>
        <w:t>It is therefore,</w:t>
      </w:r>
    </w:p>
    <w:p w:rsidR="0052086C" w:rsidRPr="00701945" w:rsidRDefault="0052086C" w:rsidP="0052086C">
      <w:pPr>
        <w:jc w:val="both"/>
      </w:pPr>
    </w:p>
    <w:p w:rsidR="0052086C" w:rsidRPr="00701945" w:rsidRDefault="0052086C" w:rsidP="0052086C">
      <w:pPr>
        <w:jc w:val="both"/>
      </w:pPr>
      <w:r w:rsidRPr="00701945">
        <w:tab/>
        <w:t xml:space="preserve">ORDERED by Commissioner </w:t>
      </w:r>
      <w:r w:rsidR="0003483E">
        <w:t>Ronald A. Brisé</w:t>
      </w:r>
      <w:r w:rsidRPr="00701945">
        <w:t>, as Prehearing Officer, that this Prehearing Order shall govern the conduct of these proceedings as set forth above unless modified by the Commission.</w:t>
      </w:r>
    </w:p>
    <w:p w:rsidR="0052086C" w:rsidRDefault="0052086C" w:rsidP="0052086C">
      <w:pPr>
        <w:jc w:val="both"/>
      </w:pPr>
    </w:p>
    <w:p w:rsidR="0003483E" w:rsidRDefault="0003483E" w:rsidP="0003483E">
      <w:pPr>
        <w:keepNext/>
        <w:keepLines/>
        <w:jc w:val="both"/>
      </w:pPr>
      <w:r>
        <w:lastRenderedPageBreak/>
        <w:tab/>
        <w:t xml:space="preserve">By ORDER of Commissioner Ronald A. Brisé, as Prehearing Officer, this </w:t>
      </w:r>
      <w:bookmarkStart w:id="10" w:name="replaceDate"/>
      <w:bookmarkEnd w:id="10"/>
      <w:r w:rsidR="00B5392A">
        <w:rPr>
          <w:u w:val="single"/>
        </w:rPr>
        <w:t>2nd</w:t>
      </w:r>
      <w:r w:rsidR="00B5392A">
        <w:t xml:space="preserve"> day of </w:t>
      </w:r>
      <w:r w:rsidR="00B5392A">
        <w:rPr>
          <w:u w:val="single"/>
        </w:rPr>
        <w:t>May</w:t>
      </w:r>
      <w:r w:rsidR="00B5392A">
        <w:t xml:space="preserve">, </w:t>
      </w:r>
      <w:r w:rsidR="00B5392A">
        <w:rPr>
          <w:u w:val="single"/>
        </w:rPr>
        <w:t>2017</w:t>
      </w:r>
      <w:r w:rsidR="00B5392A">
        <w:t>.</w:t>
      </w:r>
    </w:p>
    <w:p w:rsidR="00B5392A" w:rsidRPr="00B5392A" w:rsidRDefault="00B5392A" w:rsidP="0003483E">
      <w:pPr>
        <w:keepNext/>
        <w:keepLines/>
        <w:jc w:val="both"/>
      </w:pPr>
    </w:p>
    <w:p w:rsidR="0003483E" w:rsidRDefault="0003483E" w:rsidP="0003483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3483E" w:rsidTr="0003483E">
        <w:tc>
          <w:tcPr>
            <w:tcW w:w="720" w:type="dxa"/>
            <w:shd w:val="clear" w:color="auto" w:fill="auto"/>
          </w:tcPr>
          <w:p w:rsidR="0003483E" w:rsidRDefault="0003483E" w:rsidP="0003483E">
            <w:pPr>
              <w:keepNext/>
              <w:keepLines/>
              <w:jc w:val="both"/>
            </w:pPr>
            <w:bookmarkStart w:id="11" w:name="bkmrkSignature" w:colFirst="0" w:colLast="0"/>
          </w:p>
        </w:tc>
        <w:tc>
          <w:tcPr>
            <w:tcW w:w="4320" w:type="dxa"/>
            <w:tcBorders>
              <w:bottom w:val="single" w:sz="4" w:space="0" w:color="auto"/>
            </w:tcBorders>
            <w:shd w:val="clear" w:color="auto" w:fill="auto"/>
          </w:tcPr>
          <w:p w:rsidR="0003483E" w:rsidRDefault="00B5392A" w:rsidP="0003483E">
            <w:pPr>
              <w:keepNext/>
              <w:keepLines/>
              <w:jc w:val="both"/>
            </w:pPr>
            <w:r>
              <w:t>/s/ Ronald A. Brisé</w:t>
            </w:r>
            <w:bookmarkStart w:id="12" w:name="_GoBack"/>
            <w:bookmarkEnd w:id="12"/>
          </w:p>
        </w:tc>
      </w:tr>
      <w:bookmarkEnd w:id="11"/>
      <w:tr w:rsidR="0003483E" w:rsidTr="0003483E">
        <w:tc>
          <w:tcPr>
            <w:tcW w:w="720" w:type="dxa"/>
            <w:shd w:val="clear" w:color="auto" w:fill="auto"/>
          </w:tcPr>
          <w:p w:rsidR="0003483E" w:rsidRDefault="0003483E" w:rsidP="0003483E">
            <w:pPr>
              <w:keepNext/>
              <w:keepLines/>
              <w:jc w:val="both"/>
            </w:pPr>
          </w:p>
        </w:tc>
        <w:tc>
          <w:tcPr>
            <w:tcW w:w="4320" w:type="dxa"/>
            <w:tcBorders>
              <w:top w:val="single" w:sz="4" w:space="0" w:color="auto"/>
            </w:tcBorders>
            <w:shd w:val="clear" w:color="auto" w:fill="auto"/>
          </w:tcPr>
          <w:p w:rsidR="0003483E" w:rsidRDefault="0003483E" w:rsidP="0003483E">
            <w:pPr>
              <w:keepNext/>
              <w:keepLines/>
              <w:jc w:val="both"/>
            </w:pPr>
            <w:r>
              <w:t>RONALD A. BRISÉ</w:t>
            </w:r>
          </w:p>
          <w:p w:rsidR="0003483E" w:rsidRDefault="0003483E" w:rsidP="0003483E">
            <w:pPr>
              <w:keepNext/>
              <w:keepLines/>
              <w:jc w:val="both"/>
            </w:pPr>
            <w:r>
              <w:t>Commissioner and Prehearing Officer</w:t>
            </w:r>
          </w:p>
        </w:tc>
      </w:tr>
    </w:tbl>
    <w:p w:rsidR="0003483E" w:rsidRDefault="0003483E" w:rsidP="0003483E">
      <w:pPr>
        <w:pStyle w:val="OrderSigInfo"/>
        <w:keepNext/>
        <w:keepLines/>
      </w:pPr>
      <w:r>
        <w:t>Florida Public Service Commission</w:t>
      </w:r>
    </w:p>
    <w:p w:rsidR="0003483E" w:rsidRDefault="0003483E" w:rsidP="0003483E">
      <w:pPr>
        <w:pStyle w:val="OrderSigInfo"/>
        <w:keepNext/>
        <w:keepLines/>
      </w:pPr>
      <w:r>
        <w:t>2540 Shumard Oak Boulevard</w:t>
      </w:r>
    </w:p>
    <w:p w:rsidR="0003483E" w:rsidRDefault="0003483E" w:rsidP="0003483E">
      <w:pPr>
        <w:pStyle w:val="OrderSigInfo"/>
        <w:keepNext/>
        <w:keepLines/>
      </w:pPr>
      <w:r>
        <w:t>Tallahassee, Florida  32399</w:t>
      </w:r>
    </w:p>
    <w:p w:rsidR="0003483E" w:rsidRDefault="0003483E" w:rsidP="0003483E">
      <w:pPr>
        <w:pStyle w:val="OrderSigInfo"/>
        <w:keepNext/>
        <w:keepLines/>
      </w:pPr>
      <w:r>
        <w:t>(850) 413</w:t>
      </w:r>
      <w:r>
        <w:noBreakHyphen/>
        <w:t>6770</w:t>
      </w:r>
    </w:p>
    <w:p w:rsidR="0003483E" w:rsidRDefault="0003483E" w:rsidP="0003483E">
      <w:pPr>
        <w:pStyle w:val="OrderSigInfo"/>
        <w:keepNext/>
        <w:keepLines/>
      </w:pPr>
      <w:r>
        <w:t>www.floridapsc.com</w:t>
      </w:r>
    </w:p>
    <w:p w:rsidR="0003483E" w:rsidRDefault="0003483E" w:rsidP="0003483E">
      <w:pPr>
        <w:pStyle w:val="OrderSigInfo"/>
        <w:keepNext/>
        <w:keepLines/>
      </w:pPr>
    </w:p>
    <w:p w:rsidR="0003483E" w:rsidRDefault="0003483E" w:rsidP="0003483E">
      <w:pPr>
        <w:pStyle w:val="OrderSigInfo"/>
        <w:keepNext/>
        <w:keepLines/>
      </w:pPr>
      <w:r>
        <w:t>Copies furnished:  A copy of this document is provided to the parties of record at the time of issuance and, if applicable, interested persons.</w:t>
      </w:r>
    </w:p>
    <w:p w:rsidR="0003483E" w:rsidRDefault="0003483E" w:rsidP="0003483E">
      <w:pPr>
        <w:keepNext/>
        <w:keepLines/>
        <w:jc w:val="both"/>
      </w:pPr>
    </w:p>
    <w:p w:rsidR="0003483E" w:rsidRDefault="0003483E" w:rsidP="0003483E">
      <w:pPr>
        <w:keepNext/>
        <w:keepLines/>
        <w:jc w:val="both"/>
      </w:pPr>
      <w:r>
        <w:t>WLT</w:t>
      </w:r>
    </w:p>
    <w:p w:rsidR="0003483E" w:rsidRDefault="0003483E" w:rsidP="0052086C">
      <w:pPr>
        <w:jc w:val="both"/>
      </w:pPr>
    </w:p>
    <w:p w:rsidR="0003483E" w:rsidRDefault="0003483E" w:rsidP="0003483E">
      <w:pPr>
        <w:pStyle w:val="CenterUnderline"/>
      </w:pPr>
      <w:r>
        <w:t>NOTICE OF FURTHER PROCEEDINGS OR JUDICIAL REVIEW</w:t>
      </w:r>
    </w:p>
    <w:p w:rsidR="0003483E" w:rsidRDefault="0003483E" w:rsidP="0003483E">
      <w:pPr>
        <w:pStyle w:val="CenterUnderline"/>
        <w:rPr>
          <w:u w:val="none"/>
        </w:rPr>
      </w:pPr>
    </w:p>
    <w:p w:rsidR="0003483E" w:rsidRDefault="0003483E" w:rsidP="000348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483E" w:rsidRDefault="0003483E" w:rsidP="0003483E">
      <w:pPr>
        <w:pStyle w:val="OrderBody"/>
      </w:pPr>
    </w:p>
    <w:p w:rsidR="0003483E" w:rsidRDefault="0003483E" w:rsidP="0003483E">
      <w:pPr>
        <w:pStyle w:val="OrderBody"/>
      </w:pPr>
      <w:r>
        <w:tab/>
        <w:t>Mediation may be available on a case-by-case basis.  If mediation is conducted, it does not affect a substantially interested person's right to a hearing.</w:t>
      </w:r>
    </w:p>
    <w:p w:rsidR="0003483E" w:rsidRDefault="0003483E" w:rsidP="0003483E">
      <w:pPr>
        <w:pStyle w:val="OrderBody"/>
      </w:pPr>
    </w:p>
    <w:p w:rsidR="0003483E" w:rsidRDefault="0003483E" w:rsidP="0003483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3483E" w:rsidSect="007F52F8">
      <w:headerReference w:type="default" r:id="rId54"/>
      <w:footerReference w:type="first" r:id="rId55"/>
      <w:footnotePr>
        <w:numFmt w:val="chicago"/>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C7" w:rsidRDefault="00E950C7">
      <w:r>
        <w:separator/>
      </w:r>
    </w:p>
  </w:endnote>
  <w:endnote w:type="continuationSeparator" w:id="0">
    <w:p w:rsidR="00E950C7" w:rsidRDefault="00E9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C7" w:rsidRDefault="00E950C7">
    <w:pPr>
      <w:pStyle w:val="Footer"/>
    </w:pPr>
  </w:p>
  <w:p w:rsidR="00E950C7" w:rsidRDefault="00E9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C7" w:rsidRDefault="00E950C7">
      <w:r>
        <w:separator/>
      </w:r>
    </w:p>
  </w:footnote>
  <w:footnote w:type="continuationSeparator" w:id="0">
    <w:p w:rsidR="00E950C7" w:rsidRDefault="00E950C7">
      <w:r>
        <w:continuationSeparator/>
      </w:r>
    </w:p>
  </w:footnote>
  <w:footnote w:id="1">
    <w:p w:rsidR="00E950C7" w:rsidRDefault="00E950C7">
      <w:pPr>
        <w:pStyle w:val="FootnoteText"/>
      </w:pPr>
      <w:r>
        <w:rPr>
          <w:rStyle w:val="FootnoteReference"/>
        </w:rPr>
        <w:footnoteRef/>
      </w:r>
      <w:r>
        <w:t>Exhibits marked as “updated” indicate an exhibit originally filed with a witnesses’ direct testimony has been amended or updated.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C7" w:rsidRDefault="00E950C7">
    <w:pPr>
      <w:pStyle w:val="OrderHeader"/>
    </w:pPr>
    <w:r>
      <w:t xml:space="preserve">ORDER NO. </w:t>
    </w:r>
    <w:fldSimple w:instr=" REF OrderNo0148 ">
      <w:r w:rsidR="00B5392A">
        <w:t>PSC-17-0148-PHO-WS</w:t>
      </w:r>
    </w:fldSimple>
  </w:p>
  <w:p w:rsidR="00E950C7" w:rsidRDefault="00E950C7">
    <w:pPr>
      <w:pStyle w:val="OrderHeader"/>
    </w:pPr>
    <w:bookmarkStart w:id="13" w:name="HeaderDocketNo"/>
    <w:bookmarkEnd w:id="13"/>
    <w:r>
      <w:t>DOCKET NO. 160101-WS</w:t>
    </w:r>
  </w:p>
  <w:p w:rsidR="00E950C7" w:rsidRDefault="00E950C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392A">
      <w:rPr>
        <w:rStyle w:val="PageNumber"/>
        <w:noProof/>
      </w:rPr>
      <w:t>76</w:t>
    </w:r>
    <w:r>
      <w:rPr>
        <w:rStyle w:val="PageNumber"/>
      </w:rPr>
      <w:fldChar w:fldCharType="end"/>
    </w:r>
  </w:p>
  <w:p w:rsidR="00E950C7" w:rsidRDefault="00E950C7">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A26"/>
    <w:multiLevelType w:val="hybridMultilevel"/>
    <w:tmpl w:val="0FA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52086C"/>
    <w:rsid w:val="000022B8"/>
    <w:rsid w:val="00004925"/>
    <w:rsid w:val="000076EB"/>
    <w:rsid w:val="00011CEF"/>
    <w:rsid w:val="00012729"/>
    <w:rsid w:val="0001556B"/>
    <w:rsid w:val="0003483E"/>
    <w:rsid w:val="00036726"/>
    <w:rsid w:val="0003714D"/>
    <w:rsid w:val="00046EC1"/>
    <w:rsid w:val="0005290A"/>
    <w:rsid w:val="00053AB9"/>
    <w:rsid w:val="00056229"/>
    <w:rsid w:val="00065A94"/>
    <w:rsid w:val="00065FC2"/>
    <w:rsid w:val="0006635D"/>
    <w:rsid w:val="00090AFC"/>
    <w:rsid w:val="000960EE"/>
    <w:rsid w:val="00097A61"/>
    <w:rsid w:val="000A1095"/>
    <w:rsid w:val="000A65B8"/>
    <w:rsid w:val="000B7994"/>
    <w:rsid w:val="000C4FAC"/>
    <w:rsid w:val="000D02B8"/>
    <w:rsid w:val="000D06E8"/>
    <w:rsid w:val="000D0D41"/>
    <w:rsid w:val="000D571D"/>
    <w:rsid w:val="000D7F41"/>
    <w:rsid w:val="000E20F0"/>
    <w:rsid w:val="000E344D"/>
    <w:rsid w:val="000F3B2C"/>
    <w:rsid w:val="000F4DD9"/>
    <w:rsid w:val="000F53B4"/>
    <w:rsid w:val="000F648A"/>
    <w:rsid w:val="000F7BE3"/>
    <w:rsid w:val="000F7ECB"/>
    <w:rsid w:val="00101A92"/>
    <w:rsid w:val="001107B3"/>
    <w:rsid w:val="001114B1"/>
    <w:rsid w:val="00111650"/>
    <w:rsid w:val="001138E8"/>
    <w:rsid w:val="00116AD3"/>
    <w:rsid w:val="00121957"/>
    <w:rsid w:val="00124757"/>
    <w:rsid w:val="00126593"/>
    <w:rsid w:val="00142A96"/>
    <w:rsid w:val="0014301B"/>
    <w:rsid w:val="00144132"/>
    <w:rsid w:val="0014496A"/>
    <w:rsid w:val="001754BE"/>
    <w:rsid w:val="00187E32"/>
    <w:rsid w:val="00194E81"/>
    <w:rsid w:val="001958DD"/>
    <w:rsid w:val="00195AB9"/>
    <w:rsid w:val="001970D8"/>
    <w:rsid w:val="001A15E7"/>
    <w:rsid w:val="001A33C9"/>
    <w:rsid w:val="001A58F3"/>
    <w:rsid w:val="001D008A"/>
    <w:rsid w:val="001E0FF5"/>
    <w:rsid w:val="001F09BC"/>
    <w:rsid w:val="002002ED"/>
    <w:rsid w:val="00213B92"/>
    <w:rsid w:val="00213E56"/>
    <w:rsid w:val="0021617E"/>
    <w:rsid w:val="002170E5"/>
    <w:rsid w:val="00223370"/>
    <w:rsid w:val="00223EB8"/>
    <w:rsid w:val="0022721A"/>
    <w:rsid w:val="00227464"/>
    <w:rsid w:val="0023062A"/>
    <w:rsid w:val="00230BB9"/>
    <w:rsid w:val="00241CEF"/>
    <w:rsid w:val="00244E06"/>
    <w:rsid w:val="00252B30"/>
    <w:rsid w:val="00262672"/>
    <w:rsid w:val="00263611"/>
    <w:rsid w:val="0026544B"/>
    <w:rsid w:val="002713B7"/>
    <w:rsid w:val="0029055D"/>
    <w:rsid w:val="002A11AC"/>
    <w:rsid w:val="002A1477"/>
    <w:rsid w:val="002A2274"/>
    <w:rsid w:val="002A2CFE"/>
    <w:rsid w:val="002A39DC"/>
    <w:rsid w:val="002A6F30"/>
    <w:rsid w:val="002B0C05"/>
    <w:rsid w:val="002B3111"/>
    <w:rsid w:val="002B5031"/>
    <w:rsid w:val="002C4FF2"/>
    <w:rsid w:val="002C7908"/>
    <w:rsid w:val="002D391B"/>
    <w:rsid w:val="002D6997"/>
    <w:rsid w:val="002D7D15"/>
    <w:rsid w:val="002E1B2E"/>
    <w:rsid w:val="002E27EB"/>
    <w:rsid w:val="002F7C20"/>
    <w:rsid w:val="003010C9"/>
    <w:rsid w:val="003017AA"/>
    <w:rsid w:val="00303FDE"/>
    <w:rsid w:val="00306831"/>
    <w:rsid w:val="0030748F"/>
    <w:rsid w:val="003140BB"/>
    <w:rsid w:val="003140E8"/>
    <w:rsid w:val="0031447E"/>
    <w:rsid w:val="00322D21"/>
    <w:rsid w:val="003231C7"/>
    <w:rsid w:val="003270C4"/>
    <w:rsid w:val="00331ED0"/>
    <w:rsid w:val="00332B0A"/>
    <w:rsid w:val="00333A41"/>
    <w:rsid w:val="003414D4"/>
    <w:rsid w:val="003434BB"/>
    <w:rsid w:val="00343D87"/>
    <w:rsid w:val="00351B90"/>
    <w:rsid w:val="0035495B"/>
    <w:rsid w:val="00357433"/>
    <w:rsid w:val="00373F17"/>
    <w:rsid w:val="003744F5"/>
    <w:rsid w:val="00390DD8"/>
    <w:rsid w:val="00391E97"/>
    <w:rsid w:val="00392428"/>
    <w:rsid w:val="00394DC6"/>
    <w:rsid w:val="00396108"/>
    <w:rsid w:val="00397C3E"/>
    <w:rsid w:val="003A5CE4"/>
    <w:rsid w:val="003B1802"/>
    <w:rsid w:val="003B2518"/>
    <w:rsid w:val="003B6CE5"/>
    <w:rsid w:val="003C6E1F"/>
    <w:rsid w:val="003D1AD6"/>
    <w:rsid w:val="003D4CCA"/>
    <w:rsid w:val="003D52A6"/>
    <w:rsid w:val="003D6416"/>
    <w:rsid w:val="003E1D48"/>
    <w:rsid w:val="003E25C5"/>
    <w:rsid w:val="003E3FEE"/>
    <w:rsid w:val="003E4ED4"/>
    <w:rsid w:val="003E7422"/>
    <w:rsid w:val="003F4809"/>
    <w:rsid w:val="003F7A6A"/>
    <w:rsid w:val="00403CC8"/>
    <w:rsid w:val="00406FE9"/>
    <w:rsid w:val="00411DF2"/>
    <w:rsid w:val="0041522E"/>
    <w:rsid w:val="0042093A"/>
    <w:rsid w:val="00421C54"/>
    <w:rsid w:val="0042527B"/>
    <w:rsid w:val="00441968"/>
    <w:rsid w:val="00441CEF"/>
    <w:rsid w:val="00457DC7"/>
    <w:rsid w:val="00462137"/>
    <w:rsid w:val="00463D73"/>
    <w:rsid w:val="004649DC"/>
    <w:rsid w:val="004671A0"/>
    <w:rsid w:val="00472BCC"/>
    <w:rsid w:val="00480263"/>
    <w:rsid w:val="00492667"/>
    <w:rsid w:val="0049706B"/>
    <w:rsid w:val="004A1AA7"/>
    <w:rsid w:val="004A25CD"/>
    <w:rsid w:val="004A26CC"/>
    <w:rsid w:val="004B01BF"/>
    <w:rsid w:val="004B2108"/>
    <w:rsid w:val="004B3A2B"/>
    <w:rsid w:val="004B3B72"/>
    <w:rsid w:val="004B6739"/>
    <w:rsid w:val="004B70D3"/>
    <w:rsid w:val="004C228B"/>
    <w:rsid w:val="004C4729"/>
    <w:rsid w:val="004C75D9"/>
    <w:rsid w:val="004D0286"/>
    <w:rsid w:val="004D2D1B"/>
    <w:rsid w:val="004D7E1B"/>
    <w:rsid w:val="004E469D"/>
    <w:rsid w:val="004E56A5"/>
    <w:rsid w:val="004F105E"/>
    <w:rsid w:val="004F2DDE"/>
    <w:rsid w:val="0050097F"/>
    <w:rsid w:val="00504DB6"/>
    <w:rsid w:val="00512881"/>
    <w:rsid w:val="00514B1F"/>
    <w:rsid w:val="0052086C"/>
    <w:rsid w:val="00520A1E"/>
    <w:rsid w:val="00525E93"/>
    <w:rsid w:val="00526265"/>
    <w:rsid w:val="0052671D"/>
    <w:rsid w:val="0053001E"/>
    <w:rsid w:val="005408B7"/>
    <w:rsid w:val="0055154E"/>
    <w:rsid w:val="00556A10"/>
    <w:rsid w:val="005608C4"/>
    <w:rsid w:val="00562327"/>
    <w:rsid w:val="0056327C"/>
    <w:rsid w:val="00572F0E"/>
    <w:rsid w:val="0057516A"/>
    <w:rsid w:val="00575FA0"/>
    <w:rsid w:val="00592BD8"/>
    <w:rsid w:val="005944F2"/>
    <w:rsid w:val="0059534A"/>
    <w:rsid w:val="005963C2"/>
    <w:rsid w:val="005A1B2E"/>
    <w:rsid w:val="005A4642"/>
    <w:rsid w:val="005B0846"/>
    <w:rsid w:val="005B45F7"/>
    <w:rsid w:val="005B63EA"/>
    <w:rsid w:val="005C1A88"/>
    <w:rsid w:val="005C5033"/>
    <w:rsid w:val="005C51AD"/>
    <w:rsid w:val="005C51B0"/>
    <w:rsid w:val="005C5EA3"/>
    <w:rsid w:val="005D5743"/>
    <w:rsid w:val="005E001B"/>
    <w:rsid w:val="005E59F8"/>
    <w:rsid w:val="005F0BAF"/>
    <w:rsid w:val="005F537D"/>
    <w:rsid w:val="005F554F"/>
    <w:rsid w:val="005F755C"/>
    <w:rsid w:val="0061096A"/>
    <w:rsid w:val="00610E73"/>
    <w:rsid w:val="006169E7"/>
    <w:rsid w:val="0062455A"/>
    <w:rsid w:val="00631D61"/>
    <w:rsid w:val="00632544"/>
    <w:rsid w:val="00637D51"/>
    <w:rsid w:val="00652860"/>
    <w:rsid w:val="00660774"/>
    <w:rsid w:val="0066389A"/>
    <w:rsid w:val="0066495C"/>
    <w:rsid w:val="00665CC7"/>
    <w:rsid w:val="00666445"/>
    <w:rsid w:val="00672612"/>
    <w:rsid w:val="00685894"/>
    <w:rsid w:val="00685D1C"/>
    <w:rsid w:val="00686462"/>
    <w:rsid w:val="00696329"/>
    <w:rsid w:val="006A0BF3"/>
    <w:rsid w:val="006A1BD3"/>
    <w:rsid w:val="006B0DA6"/>
    <w:rsid w:val="006C0305"/>
    <w:rsid w:val="006C547E"/>
    <w:rsid w:val="006D340A"/>
    <w:rsid w:val="006D35D6"/>
    <w:rsid w:val="006D5653"/>
    <w:rsid w:val="006E4B23"/>
    <w:rsid w:val="006E7382"/>
    <w:rsid w:val="006E74FD"/>
    <w:rsid w:val="006F0C94"/>
    <w:rsid w:val="006F7BF8"/>
    <w:rsid w:val="00704C5D"/>
    <w:rsid w:val="007072BC"/>
    <w:rsid w:val="0071157C"/>
    <w:rsid w:val="00715275"/>
    <w:rsid w:val="00720197"/>
    <w:rsid w:val="00732C67"/>
    <w:rsid w:val="00733B6B"/>
    <w:rsid w:val="0073566F"/>
    <w:rsid w:val="007467C4"/>
    <w:rsid w:val="0076142C"/>
    <w:rsid w:val="0076170F"/>
    <w:rsid w:val="00762A15"/>
    <w:rsid w:val="00765A58"/>
    <w:rsid w:val="0076669C"/>
    <w:rsid w:val="00767A1C"/>
    <w:rsid w:val="007812DC"/>
    <w:rsid w:val="007865E9"/>
    <w:rsid w:val="00786882"/>
    <w:rsid w:val="00792383"/>
    <w:rsid w:val="007A060F"/>
    <w:rsid w:val="007A19DB"/>
    <w:rsid w:val="007B4155"/>
    <w:rsid w:val="007B7CC4"/>
    <w:rsid w:val="007D3D20"/>
    <w:rsid w:val="007D5CAC"/>
    <w:rsid w:val="007E1360"/>
    <w:rsid w:val="007E3AFD"/>
    <w:rsid w:val="007F52F8"/>
    <w:rsid w:val="00801DAD"/>
    <w:rsid w:val="00803189"/>
    <w:rsid w:val="00804E7A"/>
    <w:rsid w:val="00805FBB"/>
    <w:rsid w:val="00814C65"/>
    <w:rsid w:val="008169A4"/>
    <w:rsid w:val="00824B59"/>
    <w:rsid w:val="008278FE"/>
    <w:rsid w:val="00832598"/>
    <w:rsid w:val="0083397E"/>
    <w:rsid w:val="00833EE8"/>
    <w:rsid w:val="0083534B"/>
    <w:rsid w:val="00841FB9"/>
    <w:rsid w:val="00842414"/>
    <w:rsid w:val="00842602"/>
    <w:rsid w:val="0085343B"/>
    <w:rsid w:val="008608F3"/>
    <w:rsid w:val="008613C3"/>
    <w:rsid w:val="00861BBF"/>
    <w:rsid w:val="00863A66"/>
    <w:rsid w:val="0086533F"/>
    <w:rsid w:val="008734B0"/>
    <w:rsid w:val="00874429"/>
    <w:rsid w:val="0087578B"/>
    <w:rsid w:val="00875C6E"/>
    <w:rsid w:val="00883D9A"/>
    <w:rsid w:val="008919EF"/>
    <w:rsid w:val="008A10EA"/>
    <w:rsid w:val="008A12EC"/>
    <w:rsid w:val="008A4396"/>
    <w:rsid w:val="008A468D"/>
    <w:rsid w:val="008C21C8"/>
    <w:rsid w:val="008C2A31"/>
    <w:rsid w:val="008C4455"/>
    <w:rsid w:val="008C5D6F"/>
    <w:rsid w:val="008C6375"/>
    <w:rsid w:val="008C677B"/>
    <w:rsid w:val="008C6A5B"/>
    <w:rsid w:val="008C73E4"/>
    <w:rsid w:val="008D05D6"/>
    <w:rsid w:val="008D2019"/>
    <w:rsid w:val="008D6BBE"/>
    <w:rsid w:val="008D6F98"/>
    <w:rsid w:val="008E010F"/>
    <w:rsid w:val="008E26A5"/>
    <w:rsid w:val="008E42D2"/>
    <w:rsid w:val="009020BB"/>
    <w:rsid w:val="009040EE"/>
    <w:rsid w:val="009057FD"/>
    <w:rsid w:val="00906FBA"/>
    <w:rsid w:val="00922A7F"/>
    <w:rsid w:val="00923A5E"/>
    <w:rsid w:val="00931C8C"/>
    <w:rsid w:val="009336F9"/>
    <w:rsid w:val="00934A93"/>
    <w:rsid w:val="00936A9E"/>
    <w:rsid w:val="0094504B"/>
    <w:rsid w:val="009453F7"/>
    <w:rsid w:val="00962F17"/>
    <w:rsid w:val="009674D6"/>
    <w:rsid w:val="009743F1"/>
    <w:rsid w:val="0097602B"/>
    <w:rsid w:val="00976D98"/>
    <w:rsid w:val="00987836"/>
    <w:rsid w:val="009924CF"/>
    <w:rsid w:val="00994100"/>
    <w:rsid w:val="009A61E0"/>
    <w:rsid w:val="009C5786"/>
    <w:rsid w:val="009C58F5"/>
    <w:rsid w:val="009C68F4"/>
    <w:rsid w:val="009C6A62"/>
    <w:rsid w:val="009D4C29"/>
    <w:rsid w:val="009F2D4F"/>
    <w:rsid w:val="009F326F"/>
    <w:rsid w:val="00A11C8D"/>
    <w:rsid w:val="00A2397D"/>
    <w:rsid w:val="00A24825"/>
    <w:rsid w:val="00A30B1C"/>
    <w:rsid w:val="00A40595"/>
    <w:rsid w:val="00A54027"/>
    <w:rsid w:val="00A601C3"/>
    <w:rsid w:val="00A62DAB"/>
    <w:rsid w:val="00A726A6"/>
    <w:rsid w:val="00A74FAA"/>
    <w:rsid w:val="00A75B20"/>
    <w:rsid w:val="00A94E4A"/>
    <w:rsid w:val="00A9706A"/>
    <w:rsid w:val="00A97535"/>
    <w:rsid w:val="00AA2605"/>
    <w:rsid w:val="00AA73F1"/>
    <w:rsid w:val="00AB0DC3"/>
    <w:rsid w:val="00AB0E1A"/>
    <w:rsid w:val="00AB1A30"/>
    <w:rsid w:val="00AC142E"/>
    <w:rsid w:val="00AD1ED3"/>
    <w:rsid w:val="00AD5BFB"/>
    <w:rsid w:val="00AE01E6"/>
    <w:rsid w:val="00B0777D"/>
    <w:rsid w:val="00B15AAD"/>
    <w:rsid w:val="00B4057A"/>
    <w:rsid w:val="00B40894"/>
    <w:rsid w:val="00B45E75"/>
    <w:rsid w:val="00B462E9"/>
    <w:rsid w:val="00B50876"/>
    <w:rsid w:val="00B5392A"/>
    <w:rsid w:val="00B55EE5"/>
    <w:rsid w:val="00B61B79"/>
    <w:rsid w:val="00B63BBA"/>
    <w:rsid w:val="00B63DC1"/>
    <w:rsid w:val="00B64345"/>
    <w:rsid w:val="00B646B3"/>
    <w:rsid w:val="00B66E80"/>
    <w:rsid w:val="00B73DE6"/>
    <w:rsid w:val="00B86EF0"/>
    <w:rsid w:val="00B95175"/>
    <w:rsid w:val="00B96198"/>
    <w:rsid w:val="00B96969"/>
    <w:rsid w:val="00B97900"/>
    <w:rsid w:val="00BA1229"/>
    <w:rsid w:val="00BA407B"/>
    <w:rsid w:val="00BA44A8"/>
    <w:rsid w:val="00BB0632"/>
    <w:rsid w:val="00BC06E0"/>
    <w:rsid w:val="00BD27B7"/>
    <w:rsid w:val="00BD28A3"/>
    <w:rsid w:val="00BD7252"/>
    <w:rsid w:val="00BE65F4"/>
    <w:rsid w:val="00BE715B"/>
    <w:rsid w:val="00BF5361"/>
    <w:rsid w:val="00BF6691"/>
    <w:rsid w:val="00C028FC"/>
    <w:rsid w:val="00C02C62"/>
    <w:rsid w:val="00C03301"/>
    <w:rsid w:val="00C054FC"/>
    <w:rsid w:val="00C151A6"/>
    <w:rsid w:val="00C2150B"/>
    <w:rsid w:val="00C24098"/>
    <w:rsid w:val="00C30A4E"/>
    <w:rsid w:val="00C31458"/>
    <w:rsid w:val="00C411F3"/>
    <w:rsid w:val="00C4237C"/>
    <w:rsid w:val="00C43044"/>
    <w:rsid w:val="00C45DAE"/>
    <w:rsid w:val="00C5000C"/>
    <w:rsid w:val="00C50697"/>
    <w:rsid w:val="00C55A45"/>
    <w:rsid w:val="00C609E6"/>
    <w:rsid w:val="00C66692"/>
    <w:rsid w:val="00C667E3"/>
    <w:rsid w:val="00C67953"/>
    <w:rsid w:val="00C91123"/>
    <w:rsid w:val="00C94848"/>
    <w:rsid w:val="00CA4255"/>
    <w:rsid w:val="00CA6006"/>
    <w:rsid w:val="00CA6405"/>
    <w:rsid w:val="00CA71FF"/>
    <w:rsid w:val="00CA756D"/>
    <w:rsid w:val="00CA7D65"/>
    <w:rsid w:val="00CB11D0"/>
    <w:rsid w:val="00CB2FF0"/>
    <w:rsid w:val="00CB5276"/>
    <w:rsid w:val="00CB68D7"/>
    <w:rsid w:val="00CC1178"/>
    <w:rsid w:val="00CC3048"/>
    <w:rsid w:val="00CC42AA"/>
    <w:rsid w:val="00CC7E68"/>
    <w:rsid w:val="00CD0045"/>
    <w:rsid w:val="00CD3FB3"/>
    <w:rsid w:val="00CD56BD"/>
    <w:rsid w:val="00CD6A4B"/>
    <w:rsid w:val="00CD7132"/>
    <w:rsid w:val="00CE0E6F"/>
    <w:rsid w:val="00CE4021"/>
    <w:rsid w:val="00CE56FC"/>
    <w:rsid w:val="00CF0043"/>
    <w:rsid w:val="00CF0EAC"/>
    <w:rsid w:val="00CF4CFE"/>
    <w:rsid w:val="00CF7677"/>
    <w:rsid w:val="00D02E0F"/>
    <w:rsid w:val="00D04BA6"/>
    <w:rsid w:val="00D079EA"/>
    <w:rsid w:val="00D13A34"/>
    <w:rsid w:val="00D215D8"/>
    <w:rsid w:val="00D222A4"/>
    <w:rsid w:val="00D23FEA"/>
    <w:rsid w:val="00D269CA"/>
    <w:rsid w:val="00D30B48"/>
    <w:rsid w:val="00D34FF3"/>
    <w:rsid w:val="00D457E1"/>
    <w:rsid w:val="00D46FAA"/>
    <w:rsid w:val="00D47A40"/>
    <w:rsid w:val="00D537CE"/>
    <w:rsid w:val="00D57BB2"/>
    <w:rsid w:val="00D57E57"/>
    <w:rsid w:val="00D6602D"/>
    <w:rsid w:val="00D66888"/>
    <w:rsid w:val="00D670A3"/>
    <w:rsid w:val="00D71B98"/>
    <w:rsid w:val="00D8334B"/>
    <w:rsid w:val="00D8560E"/>
    <w:rsid w:val="00D8758F"/>
    <w:rsid w:val="00D91102"/>
    <w:rsid w:val="00D966A6"/>
    <w:rsid w:val="00DA1532"/>
    <w:rsid w:val="00DA3AAB"/>
    <w:rsid w:val="00DC1D94"/>
    <w:rsid w:val="00DC39C5"/>
    <w:rsid w:val="00DD212A"/>
    <w:rsid w:val="00DD6BCC"/>
    <w:rsid w:val="00DD7EA4"/>
    <w:rsid w:val="00DE057F"/>
    <w:rsid w:val="00DE0CB5"/>
    <w:rsid w:val="00DE2082"/>
    <w:rsid w:val="00DE2289"/>
    <w:rsid w:val="00DE463F"/>
    <w:rsid w:val="00DF7B0C"/>
    <w:rsid w:val="00E03A76"/>
    <w:rsid w:val="00E04410"/>
    <w:rsid w:val="00E05777"/>
    <w:rsid w:val="00E11351"/>
    <w:rsid w:val="00E12D6D"/>
    <w:rsid w:val="00E161D7"/>
    <w:rsid w:val="00E16FCB"/>
    <w:rsid w:val="00E30F8E"/>
    <w:rsid w:val="00E354D0"/>
    <w:rsid w:val="00E37886"/>
    <w:rsid w:val="00E40DEF"/>
    <w:rsid w:val="00E53487"/>
    <w:rsid w:val="00E73F40"/>
    <w:rsid w:val="00E74735"/>
    <w:rsid w:val="00E80799"/>
    <w:rsid w:val="00E93128"/>
    <w:rsid w:val="00E950C7"/>
    <w:rsid w:val="00EA172C"/>
    <w:rsid w:val="00EA259B"/>
    <w:rsid w:val="00EA35A3"/>
    <w:rsid w:val="00EA3E6A"/>
    <w:rsid w:val="00EA4367"/>
    <w:rsid w:val="00EB18EF"/>
    <w:rsid w:val="00EB1E70"/>
    <w:rsid w:val="00EC791B"/>
    <w:rsid w:val="00ED0F0A"/>
    <w:rsid w:val="00EE173B"/>
    <w:rsid w:val="00EE17DF"/>
    <w:rsid w:val="00EF4621"/>
    <w:rsid w:val="00F0011E"/>
    <w:rsid w:val="00F1515C"/>
    <w:rsid w:val="00F169F8"/>
    <w:rsid w:val="00F234A7"/>
    <w:rsid w:val="00F274C8"/>
    <w:rsid w:val="00F277B6"/>
    <w:rsid w:val="00F2793D"/>
    <w:rsid w:val="00F31866"/>
    <w:rsid w:val="00F37944"/>
    <w:rsid w:val="00F43A2A"/>
    <w:rsid w:val="00F54380"/>
    <w:rsid w:val="00F54B47"/>
    <w:rsid w:val="00F6702E"/>
    <w:rsid w:val="00F67926"/>
    <w:rsid w:val="00F70E84"/>
    <w:rsid w:val="00F73080"/>
    <w:rsid w:val="00F73A23"/>
    <w:rsid w:val="00F916CD"/>
    <w:rsid w:val="00F959C2"/>
    <w:rsid w:val="00FA00DE"/>
    <w:rsid w:val="00FA092B"/>
    <w:rsid w:val="00FA0B73"/>
    <w:rsid w:val="00FA6EFD"/>
    <w:rsid w:val="00FA70C3"/>
    <w:rsid w:val="00FB74EA"/>
    <w:rsid w:val="00FC001A"/>
    <w:rsid w:val="00FD2C9E"/>
    <w:rsid w:val="00FD4786"/>
    <w:rsid w:val="00FD616C"/>
    <w:rsid w:val="00FE241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BB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2086C"/>
    <w:pPr>
      <w:autoSpaceDE w:val="0"/>
      <w:autoSpaceDN w:val="0"/>
      <w:adjustRightInd w:val="0"/>
      <w:ind w:left="1440"/>
    </w:pPr>
    <w:rPr>
      <w:sz w:val="24"/>
      <w:szCs w:val="24"/>
    </w:rPr>
  </w:style>
  <w:style w:type="character" w:styleId="Hyperlink">
    <w:name w:val="Hyperlink"/>
    <w:basedOn w:val="DefaultParagraphFont"/>
    <w:rsid w:val="0052086C"/>
    <w:rPr>
      <w:color w:val="0000FF" w:themeColor="hyperlink"/>
      <w:u w:val="single"/>
    </w:rPr>
  </w:style>
  <w:style w:type="paragraph" w:styleId="BalloonText">
    <w:name w:val="Balloon Text"/>
    <w:basedOn w:val="Normal"/>
    <w:link w:val="BalloonTextChar"/>
    <w:rsid w:val="00BC06E0"/>
    <w:rPr>
      <w:rFonts w:ascii="Tahoma" w:hAnsi="Tahoma" w:cs="Tahoma"/>
      <w:sz w:val="16"/>
      <w:szCs w:val="16"/>
    </w:rPr>
  </w:style>
  <w:style w:type="character" w:customStyle="1" w:styleId="BalloonTextChar">
    <w:name w:val="Balloon Text Char"/>
    <w:basedOn w:val="DefaultParagraphFont"/>
    <w:link w:val="BalloonText"/>
    <w:rsid w:val="00BC06E0"/>
    <w:rPr>
      <w:rFonts w:ascii="Tahoma" w:hAnsi="Tahoma" w:cs="Tahoma"/>
      <w:sz w:val="16"/>
      <w:szCs w:val="16"/>
    </w:rPr>
  </w:style>
  <w:style w:type="character" w:styleId="CommentReference">
    <w:name w:val="annotation reference"/>
    <w:basedOn w:val="DefaultParagraphFont"/>
    <w:rsid w:val="00842414"/>
    <w:rPr>
      <w:sz w:val="16"/>
      <w:szCs w:val="16"/>
    </w:rPr>
  </w:style>
  <w:style w:type="paragraph" w:styleId="CommentText">
    <w:name w:val="annotation text"/>
    <w:basedOn w:val="Normal"/>
    <w:link w:val="CommentTextChar"/>
    <w:rsid w:val="00842414"/>
    <w:rPr>
      <w:sz w:val="20"/>
      <w:szCs w:val="20"/>
    </w:rPr>
  </w:style>
  <w:style w:type="character" w:customStyle="1" w:styleId="CommentTextChar">
    <w:name w:val="Comment Text Char"/>
    <w:basedOn w:val="DefaultParagraphFont"/>
    <w:link w:val="CommentText"/>
    <w:rsid w:val="00842414"/>
  </w:style>
  <w:style w:type="paragraph" w:styleId="CommentSubject">
    <w:name w:val="annotation subject"/>
    <w:basedOn w:val="CommentText"/>
    <w:next w:val="CommentText"/>
    <w:link w:val="CommentSubjectChar"/>
    <w:rsid w:val="00842414"/>
    <w:rPr>
      <w:b/>
      <w:bCs/>
    </w:rPr>
  </w:style>
  <w:style w:type="character" w:customStyle="1" w:styleId="CommentSubjectChar">
    <w:name w:val="Comment Subject Char"/>
    <w:basedOn w:val="CommentTextChar"/>
    <w:link w:val="CommentSubject"/>
    <w:rsid w:val="008424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BB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2086C"/>
    <w:pPr>
      <w:autoSpaceDE w:val="0"/>
      <w:autoSpaceDN w:val="0"/>
      <w:adjustRightInd w:val="0"/>
      <w:ind w:left="1440"/>
    </w:pPr>
    <w:rPr>
      <w:sz w:val="24"/>
      <w:szCs w:val="24"/>
    </w:rPr>
  </w:style>
  <w:style w:type="character" w:styleId="Hyperlink">
    <w:name w:val="Hyperlink"/>
    <w:basedOn w:val="DefaultParagraphFont"/>
    <w:rsid w:val="0052086C"/>
    <w:rPr>
      <w:color w:val="0000FF" w:themeColor="hyperlink"/>
      <w:u w:val="single"/>
    </w:rPr>
  </w:style>
  <w:style w:type="paragraph" w:styleId="BalloonText">
    <w:name w:val="Balloon Text"/>
    <w:basedOn w:val="Normal"/>
    <w:link w:val="BalloonTextChar"/>
    <w:rsid w:val="00BC06E0"/>
    <w:rPr>
      <w:rFonts w:ascii="Tahoma" w:hAnsi="Tahoma" w:cs="Tahoma"/>
      <w:sz w:val="16"/>
      <w:szCs w:val="16"/>
    </w:rPr>
  </w:style>
  <w:style w:type="character" w:customStyle="1" w:styleId="BalloonTextChar">
    <w:name w:val="Balloon Text Char"/>
    <w:basedOn w:val="DefaultParagraphFont"/>
    <w:link w:val="BalloonText"/>
    <w:rsid w:val="00BC06E0"/>
    <w:rPr>
      <w:rFonts w:ascii="Tahoma" w:hAnsi="Tahoma" w:cs="Tahoma"/>
      <w:sz w:val="16"/>
      <w:szCs w:val="16"/>
    </w:rPr>
  </w:style>
  <w:style w:type="character" w:styleId="CommentReference">
    <w:name w:val="annotation reference"/>
    <w:basedOn w:val="DefaultParagraphFont"/>
    <w:rsid w:val="00842414"/>
    <w:rPr>
      <w:sz w:val="16"/>
      <w:szCs w:val="16"/>
    </w:rPr>
  </w:style>
  <w:style w:type="paragraph" w:styleId="CommentText">
    <w:name w:val="annotation text"/>
    <w:basedOn w:val="Normal"/>
    <w:link w:val="CommentTextChar"/>
    <w:rsid w:val="00842414"/>
    <w:rPr>
      <w:sz w:val="20"/>
      <w:szCs w:val="20"/>
    </w:rPr>
  </w:style>
  <w:style w:type="character" w:customStyle="1" w:styleId="CommentTextChar">
    <w:name w:val="Comment Text Char"/>
    <w:basedOn w:val="DefaultParagraphFont"/>
    <w:link w:val="CommentText"/>
    <w:rsid w:val="00842414"/>
  </w:style>
  <w:style w:type="paragraph" w:styleId="CommentSubject">
    <w:name w:val="annotation subject"/>
    <w:basedOn w:val="CommentText"/>
    <w:next w:val="CommentText"/>
    <w:link w:val="CommentSubjectChar"/>
    <w:rsid w:val="00842414"/>
    <w:rPr>
      <w:b/>
      <w:bCs/>
    </w:rPr>
  </w:style>
  <w:style w:type="character" w:customStyle="1" w:styleId="CommentSubjectChar">
    <w:name w:val="Comment Subject Char"/>
    <w:basedOn w:val="CommentTextChar"/>
    <w:link w:val="CommentSubject"/>
    <w:rsid w:val="00842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406">
      <w:bodyDiv w:val="1"/>
      <w:marLeft w:val="0"/>
      <w:marRight w:val="0"/>
      <w:marTop w:val="0"/>
      <w:marBottom w:val="0"/>
      <w:divBdr>
        <w:top w:val="none" w:sz="0" w:space="0" w:color="auto"/>
        <w:left w:val="none" w:sz="0" w:space="0" w:color="auto"/>
        <w:bottom w:val="none" w:sz="0" w:space="0" w:color="auto"/>
        <w:right w:val="none" w:sz="0" w:space="0" w:color="auto"/>
      </w:divBdr>
    </w:div>
    <w:div w:id="31082691">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3240053">
      <w:bodyDiv w:val="1"/>
      <w:marLeft w:val="0"/>
      <w:marRight w:val="0"/>
      <w:marTop w:val="0"/>
      <w:marBottom w:val="0"/>
      <w:divBdr>
        <w:top w:val="none" w:sz="0" w:space="0" w:color="auto"/>
        <w:left w:val="none" w:sz="0" w:space="0" w:color="auto"/>
        <w:bottom w:val="none" w:sz="0" w:space="0" w:color="auto"/>
        <w:right w:val="none" w:sz="0" w:space="0" w:color="auto"/>
      </w:divBdr>
    </w:div>
    <w:div w:id="171801303">
      <w:bodyDiv w:val="1"/>
      <w:marLeft w:val="0"/>
      <w:marRight w:val="0"/>
      <w:marTop w:val="0"/>
      <w:marBottom w:val="0"/>
      <w:divBdr>
        <w:top w:val="none" w:sz="0" w:space="0" w:color="auto"/>
        <w:left w:val="none" w:sz="0" w:space="0" w:color="auto"/>
        <w:bottom w:val="none" w:sz="0" w:space="0" w:color="auto"/>
        <w:right w:val="none" w:sz="0" w:space="0" w:color="auto"/>
      </w:divBdr>
    </w:div>
    <w:div w:id="182480491">
      <w:bodyDiv w:val="1"/>
      <w:marLeft w:val="0"/>
      <w:marRight w:val="0"/>
      <w:marTop w:val="0"/>
      <w:marBottom w:val="0"/>
      <w:divBdr>
        <w:top w:val="none" w:sz="0" w:space="0" w:color="auto"/>
        <w:left w:val="none" w:sz="0" w:space="0" w:color="auto"/>
        <w:bottom w:val="none" w:sz="0" w:space="0" w:color="auto"/>
        <w:right w:val="none" w:sz="0" w:space="0" w:color="auto"/>
      </w:divBdr>
    </w:div>
    <w:div w:id="230506657">
      <w:bodyDiv w:val="1"/>
      <w:marLeft w:val="0"/>
      <w:marRight w:val="0"/>
      <w:marTop w:val="0"/>
      <w:marBottom w:val="0"/>
      <w:divBdr>
        <w:top w:val="none" w:sz="0" w:space="0" w:color="auto"/>
        <w:left w:val="none" w:sz="0" w:space="0" w:color="auto"/>
        <w:bottom w:val="none" w:sz="0" w:space="0" w:color="auto"/>
        <w:right w:val="none" w:sz="0" w:space="0" w:color="auto"/>
      </w:divBdr>
    </w:div>
    <w:div w:id="299119638">
      <w:bodyDiv w:val="1"/>
      <w:marLeft w:val="0"/>
      <w:marRight w:val="0"/>
      <w:marTop w:val="0"/>
      <w:marBottom w:val="0"/>
      <w:divBdr>
        <w:top w:val="none" w:sz="0" w:space="0" w:color="auto"/>
        <w:left w:val="none" w:sz="0" w:space="0" w:color="auto"/>
        <w:bottom w:val="none" w:sz="0" w:space="0" w:color="auto"/>
        <w:right w:val="none" w:sz="0" w:space="0" w:color="auto"/>
      </w:divBdr>
    </w:div>
    <w:div w:id="304160837">
      <w:bodyDiv w:val="1"/>
      <w:marLeft w:val="0"/>
      <w:marRight w:val="0"/>
      <w:marTop w:val="0"/>
      <w:marBottom w:val="0"/>
      <w:divBdr>
        <w:top w:val="none" w:sz="0" w:space="0" w:color="auto"/>
        <w:left w:val="none" w:sz="0" w:space="0" w:color="auto"/>
        <w:bottom w:val="none" w:sz="0" w:space="0" w:color="auto"/>
        <w:right w:val="none" w:sz="0" w:space="0" w:color="auto"/>
      </w:divBdr>
    </w:div>
    <w:div w:id="310138724">
      <w:bodyDiv w:val="1"/>
      <w:marLeft w:val="0"/>
      <w:marRight w:val="0"/>
      <w:marTop w:val="0"/>
      <w:marBottom w:val="0"/>
      <w:divBdr>
        <w:top w:val="none" w:sz="0" w:space="0" w:color="auto"/>
        <w:left w:val="none" w:sz="0" w:space="0" w:color="auto"/>
        <w:bottom w:val="none" w:sz="0" w:space="0" w:color="auto"/>
        <w:right w:val="none" w:sz="0" w:space="0" w:color="auto"/>
      </w:divBdr>
    </w:div>
    <w:div w:id="313144562">
      <w:bodyDiv w:val="1"/>
      <w:marLeft w:val="0"/>
      <w:marRight w:val="0"/>
      <w:marTop w:val="0"/>
      <w:marBottom w:val="0"/>
      <w:divBdr>
        <w:top w:val="none" w:sz="0" w:space="0" w:color="auto"/>
        <w:left w:val="none" w:sz="0" w:space="0" w:color="auto"/>
        <w:bottom w:val="none" w:sz="0" w:space="0" w:color="auto"/>
        <w:right w:val="none" w:sz="0" w:space="0" w:color="auto"/>
      </w:divBdr>
    </w:div>
    <w:div w:id="331372963">
      <w:bodyDiv w:val="1"/>
      <w:marLeft w:val="0"/>
      <w:marRight w:val="0"/>
      <w:marTop w:val="0"/>
      <w:marBottom w:val="0"/>
      <w:divBdr>
        <w:top w:val="none" w:sz="0" w:space="0" w:color="auto"/>
        <w:left w:val="none" w:sz="0" w:space="0" w:color="auto"/>
        <w:bottom w:val="none" w:sz="0" w:space="0" w:color="auto"/>
        <w:right w:val="none" w:sz="0" w:space="0" w:color="auto"/>
      </w:divBdr>
    </w:div>
    <w:div w:id="338195263">
      <w:bodyDiv w:val="1"/>
      <w:marLeft w:val="0"/>
      <w:marRight w:val="0"/>
      <w:marTop w:val="0"/>
      <w:marBottom w:val="0"/>
      <w:divBdr>
        <w:top w:val="none" w:sz="0" w:space="0" w:color="auto"/>
        <w:left w:val="none" w:sz="0" w:space="0" w:color="auto"/>
        <w:bottom w:val="none" w:sz="0" w:space="0" w:color="auto"/>
        <w:right w:val="none" w:sz="0" w:space="0" w:color="auto"/>
      </w:divBdr>
    </w:div>
    <w:div w:id="361518982">
      <w:bodyDiv w:val="1"/>
      <w:marLeft w:val="0"/>
      <w:marRight w:val="0"/>
      <w:marTop w:val="0"/>
      <w:marBottom w:val="0"/>
      <w:divBdr>
        <w:top w:val="none" w:sz="0" w:space="0" w:color="auto"/>
        <w:left w:val="none" w:sz="0" w:space="0" w:color="auto"/>
        <w:bottom w:val="none" w:sz="0" w:space="0" w:color="auto"/>
        <w:right w:val="none" w:sz="0" w:space="0" w:color="auto"/>
      </w:divBdr>
    </w:div>
    <w:div w:id="363410525">
      <w:bodyDiv w:val="1"/>
      <w:marLeft w:val="0"/>
      <w:marRight w:val="0"/>
      <w:marTop w:val="0"/>
      <w:marBottom w:val="0"/>
      <w:divBdr>
        <w:top w:val="none" w:sz="0" w:space="0" w:color="auto"/>
        <w:left w:val="none" w:sz="0" w:space="0" w:color="auto"/>
        <w:bottom w:val="none" w:sz="0" w:space="0" w:color="auto"/>
        <w:right w:val="none" w:sz="0" w:space="0" w:color="auto"/>
      </w:divBdr>
    </w:div>
    <w:div w:id="392849901">
      <w:bodyDiv w:val="1"/>
      <w:marLeft w:val="0"/>
      <w:marRight w:val="0"/>
      <w:marTop w:val="0"/>
      <w:marBottom w:val="0"/>
      <w:divBdr>
        <w:top w:val="none" w:sz="0" w:space="0" w:color="auto"/>
        <w:left w:val="none" w:sz="0" w:space="0" w:color="auto"/>
        <w:bottom w:val="none" w:sz="0" w:space="0" w:color="auto"/>
        <w:right w:val="none" w:sz="0" w:space="0" w:color="auto"/>
      </w:divBdr>
    </w:div>
    <w:div w:id="394739875">
      <w:bodyDiv w:val="1"/>
      <w:marLeft w:val="0"/>
      <w:marRight w:val="0"/>
      <w:marTop w:val="0"/>
      <w:marBottom w:val="0"/>
      <w:divBdr>
        <w:top w:val="none" w:sz="0" w:space="0" w:color="auto"/>
        <w:left w:val="none" w:sz="0" w:space="0" w:color="auto"/>
        <w:bottom w:val="none" w:sz="0" w:space="0" w:color="auto"/>
        <w:right w:val="none" w:sz="0" w:space="0" w:color="auto"/>
      </w:divBdr>
    </w:div>
    <w:div w:id="400492968">
      <w:bodyDiv w:val="1"/>
      <w:marLeft w:val="0"/>
      <w:marRight w:val="0"/>
      <w:marTop w:val="0"/>
      <w:marBottom w:val="0"/>
      <w:divBdr>
        <w:top w:val="none" w:sz="0" w:space="0" w:color="auto"/>
        <w:left w:val="none" w:sz="0" w:space="0" w:color="auto"/>
        <w:bottom w:val="none" w:sz="0" w:space="0" w:color="auto"/>
        <w:right w:val="none" w:sz="0" w:space="0" w:color="auto"/>
      </w:divBdr>
    </w:div>
    <w:div w:id="424620549">
      <w:bodyDiv w:val="1"/>
      <w:marLeft w:val="0"/>
      <w:marRight w:val="0"/>
      <w:marTop w:val="0"/>
      <w:marBottom w:val="0"/>
      <w:divBdr>
        <w:top w:val="none" w:sz="0" w:space="0" w:color="auto"/>
        <w:left w:val="none" w:sz="0" w:space="0" w:color="auto"/>
        <w:bottom w:val="none" w:sz="0" w:space="0" w:color="auto"/>
        <w:right w:val="none" w:sz="0" w:space="0" w:color="auto"/>
      </w:divBdr>
    </w:div>
    <w:div w:id="425730503">
      <w:bodyDiv w:val="1"/>
      <w:marLeft w:val="0"/>
      <w:marRight w:val="0"/>
      <w:marTop w:val="0"/>
      <w:marBottom w:val="0"/>
      <w:divBdr>
        <w:top w:val="none" w:sz="0" w:space="0" w:color="auto"/>
        <w:left w:val="none" w:sz="0" w:space="0" w:color="auto"/>
        <w:bottom w:val="none" w:sz="0" w:space="0" w:color="auto"/>
        <w:right w:val="none" w:sz="0" w:space="0" w:color="auto"/>
      </w:divBdr>
    </w:div>
    <w:div w:id="432481391">
      <w:bodyDiv w:val="1"/>
      <w:marLeft w:val="0"/>
      <w:marRight w:val="0"/>
      <w:marTop w:val="0"/>
      <w:marBottom w:val="0"/>
      <w:divBdr>
        <w:top w:val="none" w:sz="0" w:space="0" w:color="auto"/>
        <w:left w:val="none" w:sz="0" w:space="0" w:color="auto"/>
        <w:bottom w:val="none" w:sz="0" w:space="0" w:color="auto"/>
        <w:right w:val="none" w:sz="0" w:space="0" w:color="auto"/>
      </w:divBdr>
    </w:div>
    <w:div w:id="453720228">
      <w:bodyDiv w:val="1"/>
      <w:marLeft w:val="0"/>
      <w:marRight w:val="0"/>
      <w:marTop w:val="0"/>
      <w:marBottom w:val="0"/>
      <w:divBdr>
        <w:top w:val="none" w:sz="0" w:space="0" w:color="auto"/>
        <w:left w:val="none" w:sz="0" w:space="0" w:color="auto"/>
        <w:bottom w:val="none" w:sz="0" w:space="0" w:color="auto"/>
        <w:right w:val="none" w:sz="0" w:space="0" w:color="auto"/>
      </w:divBdr>
    </w:div>
    <w:div w:id="480272048">
      <w:bodyDiv w:val="1"/>
      <w:marLeft w:val="0"/>
      <w:marRight w:val="0"/>
      <w:marTop w:val="0"/>
      <w:marBottom w:val="0"/>
      <w:divBdr>
        <w:top w:val="none" w:sz="0" w:space="0" w:color="auto"/>
        <w:left w:val="none" w:sz="0" w:space="0" w:color="auto"/>
        <w:bottom w:val="none" w:sz="0" w:space="0" w:color="auto"/>
        <w:right w:val="none" w:sz="0" w:space="0" w:color="auto"/>
      </w:divBdr>
    </w:div>
    <w:div w:id="485559534">
      <w:bodyDiv w:val="1"/>
      <w:marLeft w:val="0"/>
      <w:marRight w:val="0"/>
      <w:marTop w:val="0"/>
      <w:marBottom w:val="0"/>
      <w:divBdr>
        <w:top w:val="none" w:sz="0" w:space="0" w:color="auto"/>
        <w:left w:val="none" w:sz="0" w:space="0" w:color="auto"/>
        <w:bottom w:val="none" w:sz="0" w:space="0" w:color="auto"/>
        <w:right w:val="none" w:sz="0" w:space="0" w:color="auto"/>
      </w:divBdr>
    </w:div>
    <w:div w:id="494423596">
      <w:bodyDiv w:val="1"/>
      <w:marLeft w:val="0"/>
      <w:marRight w:val="0"/>
      <w:marTop w:val="0"/>
      <w:marBottom w:val="0"/>
      <w:divBdr>
        <w:top w:val="none" w:sz="0" w:space="0" w:color="auto"/>
        <w:left w:val="none" w:sz="0" w:space="0" w:color="auto"/>
        <w:bottom w:val="none" w:sz="0" w:space="0" w:color="auto"/>
        <w:right w:val="none" w:sz="0" w:space="0" w:color="auto"/>
      </w:divBdr>
    </w:div>
    <w:div w:id="502093217">
      <w:bodyDiv w:val="1"/>
      <w:marLeft w:val="0"/>
      <w:marRight w:val="0"/>
      <w:marTop w:val="0"/>
      <w:marBottom w:val="0"/>
      <w:divBdr>
        <w:top w:val="none" w:sz="0" w:space="0" w:color="auto"/>
        <w:left w:val="none" w:sz="0" w:space="0" w:color="auto"/>
        <w:bottom w:val="none" w:sz="0" w:space="0" w:color="auto"/>
        <w:right w:val="none" w:sz="0" w:space="0" w:color="auto"/>
      </w:divBdr>
    </w:div>
    <w:div w:id="504631956">
      <w:bodyDiv w:val="1"/>
      <w:marLeft w:val="0"/>
      <w:marRight w:val="0"/>
      <w:marTop w:val="0"/>
      <w:marBottom w:val="0"/>
      <w:divBdr>
        <w:top w:val="none" w:sz="0" w:space="0" w:color="auto"/>
        <w:left w:val="none" w:sz="0" w:space="0" w:color="auto"/>
        <w:bottom w:val="none" w:sz="0" w:space="0" w:color="auto"/>
        <w:right w:val="none" w:sz="0" w:space="0" w:color="auto"/>
      </w:divBdr>
    </w:div>
    <w:div w:id="559438870">
      <w:bodyDiv w:val="1"/>
      <w:marLeft w:val="0"/>
      <w:marRight w:val="0"/>
      <w:marTop w:val="0"/>
      <w:marBottom w:val="0"/>
      <w:divBdr>
        <w:top w:val="none" w:sz="0" w:space="0" w:color="auto"/>
        <w:left w:val="none" w:sz="0" w:space="0" w:color="auto"/>
        <w:bottom w:val="none" w:sz="0" w:space="0" w:color="auto"/>
        <w:right w:val="none" w:sz="0" w:space="0" w:color="auto"/>
      </w:divBdr>
    </w:div>
    <w:div w:id="591428617">
      <w:bodyDiv w:val="1"/>
      <w:marLeft w:val="0"/>
      <w:marRight w:val="0"/>
      <w:marTop w:val="0"/>
      <w:marBottom w:val="0"/>
      <w:divBdr>
        <w:top w:val="none" w:sz="0" w:space="0" w:color="auto"/>
        <w:left w:val="none" w:sz="0" w:space="0" w:color="auto"/>
        <w:bottom w:val="none" w:sz="0" w:space="0" w:color="auto"/>
        <w:right w:val="none" w:sz="0" w:space="0" w:color="auto"/>
      </w:divBdr>
    </w:div>
    <w:div w:id="639580986">
      <w:bodyDiv w:val="1"/>
      <w:marLeft w:val="0"/>
      <w:marRight w:val="0"/>
      <w:marTop w:val="0"/>
      <w:marBottom w:val="0"/>
      <w:divBdr>
        <w:top w:val="none" w:sz="0" w:space="0" w:color="auto"/>
        <w:left w:val="none" w:sz="0" w:space="0" w:color="auto"/>
        <w:bottom w:val="none" w:sz="0" w:space="0" w:color="auto"/>
        <w:right w:val="none" w:sz="0" w:space="0" w:color="auto"/>
      </w:divBdr>
    </w:div>
    <w:div w:id="648633720">
      <w:bodyDiv w:val="1"/>
      <w:marLeft w:val="0"/>
      <w:marRight w:val="0"/>
      <w:marTop w:val="0"/>
      <w:marBottom w:val="0"/>
      <w:divBdr>
        <w:top w:val="none" w:sz="0" w:space="0" w:color="auto"/>
        <w:left w:val="none" w:sz="0" w:space="0" w:color="auto"/>
        <w:bottom w:val="none" w:sz="0" w:space="0" w:color="auto"/>
        <w:right w:val="none" w:sz="0" w:space="0" w:color="auto"/>
      </w:divBdr>
    </w:div>
    <w:div w:id="650523601">
      <w:bodyDiv w:val="1"/>
      <w:marLeft w:val="0"/>
      <w:marRight w:val="0"/>
      <w:marTop w:val="0"/>
      <w:marBottom w:val="0"/>
      <w:divBdr>
        <w:top w:val="none" w:sz="0" w:space="0" w:color="auto"/>
        <w:left w:val="none" w:sz="0" w:space="0" w:color="auto"/>
        <w:bottom w:val="none" w:sz="0" w:space="0" w:color="auto"/>
        <w:right w:val="none" w:sz="0" w:space="0" w:color="auto"/>
      </w:divBdr>
    </w:div>
    <w:div w:id="659233908">
      <w:bodyDiv w:val="1"/>
      <w:marLeft w:val="0"/>
      <w:marRight w:val="0"/>
      <w:marTop w:val="0"/>
      <w:marBottom w:val="0"/>
      <w:divBdr>
        <w:top w:val="none" w:sz="0" w:space="0" w:color="auto"/>
        <w:left w:val="none" w:sz="0" w:space="0" w:color="auto"/>
        <w:bottom w:val="none" w:sz="0" w:space="0" w:color="auto"/>
        <w:right w:val="none" w:sz="0" w:space="0" w:color="auto"/>
      </w:divBdr>
    </w:div>
    <w:div w:id="673455631">
      <w:bodyDiv w:val="1"/>
      <w:marLeft w:val="0"/>
      <w:marRight w:val="0"/>
      <w:marTop w:val="0"/>
      <w:marBottom w:val="0"/>
      <w:divBdr>
        <w:top w:val="none" w:sz="0" w:space="0" w:color="auto"/>
        <w:left w:val="none" w:sz="0" w:space="0" w:color="auto"/>
        <w:bottom w:val="none" w:sz="0" w:space="0" w:color="auto"/>
        <w:right w:val="none" w:sz="0" w:space="0" w:color="auto"/>
      </w:divBdr>
    </w:div>
    <w:div w:id="682433936">
      <w:bodyDiv w:val="1"/>
      <w:marLeft w:val="0"/>
      <w:marRight w:val="0"/>
      <w:marTop w:val="0"/>
      <w:marBottom w:val="0"/>
      <w:divBdr>
        <w:top w:val="none" w:sz="0" w:space="0" w:color="auto"/>
        <w:left w:val="none" w:sz="0" w:space="0" w:color="auto"/>
        <w:bottom w:val="none" w:sz="0" w:space="0" w:color="auto"/>
        <w:right w:val="none" w:sz="0" w:space="0" w:color="auto"/>
      </w:divBdr>
    </w:div>
    <w:div w:id="718019420">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758135680">
      <w:bodyDiv w:val="1"/>
      <w:marLeft w:val="0"/>
      <w:marRight w:val="0"/>
      <w:marTop w:val="0"/>
      <w:marBottom w:val="0"/>
      <w:divBdr>
        <w:top w:val="none" w:sz="0" w:space="0" w:color="auto"/>
        <w:left w:val="none" w:sz="0" w:space="0" w:color="auto"/>
        <w:bottom w:val="none" w:sz="0" w:space="0" w:color="auto"/>
        <w:right w:val="none" w:sz="0" w:space="0" w:color="auto"/>
      </w:divBdr>
    </w:div>
    <w:div w:id="767579724">
      <w:bodyDiv w:val="1"/>
      <w:marLeft w:val="0"/>
      <w:marRight w:val="0"/>
      <w:marTop w:val="0"/>
      <w:marBottom w:val="0"/>
      <w:divBdr>
        <w:top w:val="none" w:sz="0" w:space="0" w:color="auto"/>
        <w:left w:val="none" w:sz="0" w:space="0" w:color="auto"/>
        <w:bottom w:val="none" w:sz="0" w:space="0" w:color="auto"/>
        <w:right w:val="none" w:sz="0" w:space="0" w:color="auto"/>
      </w:divBdr>
    </w:div>
    <w:div w:id="795029937">
      <w:bodyDiv w:val="1"/>
      <w:marLeft w:val="0"/>
      <w:marRight w:val="0"/>
      <w:marTop w:val="0"/>
      <w:marBottom w:val="0"/>
      <w:divBdr>
        <w:top w:val="none" w:sz="0" w:space="0" w:color="auto"/>
        <w:left w:val="none" w:sz="0" w:space="0" w:color="auto"/>
        <w:bottom w:val="none" w:sz="0" w:space="0" w:color="auto"/>
        <w:right w:val="none" w:sz="0" w:space="0" w:color="auto"/>
      </w:divBdr>
    </w:div>
    <w:div w:id="821510527">
      <w:bodyDiv w:val="1"/>
      <w:marLeft w:val="0"/>
      <w:marRight w:val="0"/>
      <w:marTop w:val="0"/>
      <w:marBottom w:val="0"/>
      <w:divBdr>
        <w:top w:val="none" w:sz="0" w:space="0" w:color="auto"/>
        <w:left w:val="none" w:sz="0" w:space="0" w:color="auto"/>
        <w:bottom w:val="none" w:sz="0" w:space="0" w:color="auto"/>
        <w:right w:val="none" w:sz="0" w:space="0" w:color="auto"/>
      </w:divBdr>
    </w:div>
    <w:div w:id="865412247">
      <w:bodyDiv w:val="1"/>
      <w:marLeft w:val="0"/>
      <w:marRight w:val="0"/>
      <w:marTop w:val="0"/>
      <w:marBottom w:val="0"/>
      <w:divBdr>
        <w:top w:val="none" w:sz="0" w:space="0" w:color="auto"/>
        <w:left w:val="none" w:sz="0" w:space="0" w:color="auto"/>
        <w:bottom w:val="none" w:sz="0" w:space="0" w:color="auto"/>
        <w:right w:val="none" w:sz="0" w:space="0" w:color="auto"/>
      </w:divBdr>
    </w:div>
    <w:div w:id="872114217">
      <w:bodyDiv w:val="1"/>
      <w:marLeft w:val="0"/>
      <w:marRight w:val="0"/>
      <w:marTop w:val="0"/>
      <w:marBottom w:val="0"/>
      <w:divBdr>
        <w:top w:val="none" w:sz="0" w:space="0" w:color="auto"/>
        <w:left w:val="none" w:sz="0" w:space="0" w:color="auto"/>
        <w:bottom w:val="none" w:sz="0" w:space="0" w:color="auto"/>
        <w:right w:val="none" w:sz="0" w:space="0" w:color="auto"/>
      </w:divBdr>
    </w:div>
    <w:div w:id="876159421">
      <w:bodyDiv w:val="1"/>
      <w:marLeft w:val="0"/>
      <w:marRight w:val="0"/>
      <w:marTop w:val="0"/>
      <w:marBottom w:val="0"/>
      <w:divBdr>
        <w:top w:val="none" w:sz="0" w:space="0" w:color="auto"/>
        <w:left w:val="none" w:sz="0" w:space="0" w:color="auto"/>
        <w:bottom w:val="none" w:sz="0" w:space="0" w:color="auto"/>
        <w:right w:val="none" w:sz="0" w:space="0" w:color="auto"/>
      </w:divBdr>
    </w:div>
    <w:div w:id="889657608">
      <w:bodyDiv w:val="1"/>
      <w:marLeft w:val="0"/>
      <w:marRight w:val="0"/>
      <w:marTop w:val="0"/>
      <w:marBottom w:val="0"/>
      <w:divBdr>
        <w:top w:val="none" w:sz="0" w:space="0" w:color="auto"/>
        <w:left w:val="none" w:sz="0" w:space="0" w:color="auto"/>
        <w:bottom w:val="none" w:sz="0" w:space="0" w:color="auto"/>
        <w:right w:val="none" w:sz="0" w:space="0" w:color="auto"/>
      </w:divBdr>
    </w:div>
    <w:div w:id="933828294">
      <w:bodyDiv w:val="1"/>
      <w:marLeft w:val="0"/>
      <w:marRight w:val="0"/>
      <w:marTop w:val="0"/>
      <w:marBottom w:val="0"/>
      <w:divBdr>
        <w:top w:val="none" w:sz="0" w:space="0" w:color="auto"/>
        <w:left w:val="none" w:sz="0" w:space="0" w:color="auto"/>
        <w:bottom w:val="none" w:sz="0" w:space="0" w:color="auto"/>
        <w:right w:val="none" w:sz="0" w:space="0" w:color="auto"/>
      </w:divBdr>
    </w:div>
    <w:div w:id="949315496">
      <w:bodyDiv w:val="1"/>
      <w:marLeft w:val="0"/>
      <w:marRight w:val="0"/>
      <w:marTop w:val="0"/>
      <w:marBottom w:val="0"/>
      <w:divBdr>
        <w:top w:val="none" w:sz="0" w:space="0" w:color="auto"/>
        <w:left w:val="none" w:sz="0" w:space="0" w:color="auto"/>
        <w:bottom w:val="none" w:sz="0" w:space="0" w:color="auto"/>
        <w:right w:val="none" w:sz="0" w:space="0" w:color="auto"/>
      </w:divBdr>
    </w:div>
    <w:div w:id="953755322">
      <w:bodyDiv w:val="1"/>
      <w:marLeft w:val="0"/>
      <w:marRight w:val="0"/>
      <w:marTop w:val="0"/>
      <w:marBottom w:val="0"/>
      <w:divBdr>
        <w:top w:val="none" w:sz="0" w:space="0" w:color="auto"/>
        <w:left w:val="none" w:sz="0" w:space="0" w:color="auto"/>
        <w:bottom w:val="none" w:sz="0" w:space="0" w:color="auto"/>
        <w:right w:val="none" w:sz="0" w:space="0" w:color="auto"/>
      </w:divBdr>
    </w:div>
    <w:div w:id="968318460">
      <w:bodyDiv w:val="1"/>
      <w:marLeft w:val="0"/>
      <w:marRight w:val="0"/>
      <w:marTop w:val="0"/>
      <w:marBottom w:val="0"/>
      <w:divBdr>
        <w:top w:val="none" w:sz="0" w:space="0" w:color="auto"/>
        <w:left w:val="none" w:sz="0" w:space="0" w:color="auto"/>
        <w:bottom w:val="none" w:sz="0" w:space="0" w:color="auto"/>
        <w:right w:val="none" w:sz="0" w:space="0" w:color="auto"/>
      </w:divBdr>
    </w:div>
    <w:div w:id="974683251">
      <w:bodyDiv w:val="1"/>
      <w:marLeft w:val="0"/>
      <w:marRight w:val="0"/>
      <w:marTop w:val="0"/>
      <w:marBottom w:val="0"/>
      <w:divBdr>
        <w:top w:val="none" w:sz="0" w:space="0" w:color="auto"/>
        <w:left w:val="none" w:sz="0" w:space="0" w:color="auto"/>
        <w:bottom w:val="none" w:sz="0" w:space="0" w:color="auto"/>
        <w:right w:val="none" w:sz="0" w:space="0" w:color="auto"/>
      </w:divBdr>
    </w:div>
    <w:div w:id="1005278150">
      <w:bodyDiv w:val="1"/>
      <w:marLeft w:val="0"/>
      <w:marRight w:val="0"/>
      <w:marTop w:val="0"/>
      <w:marBottom w:val="0"/>
      <w:divBdr>
        <w:top w:val="none" w:sz="0" w:space="0" w:color="auto"/>
        <w:left w:val="none" w:sz="0" w:space="0" w:color="auto"/>
        <w:bottom w:val="none" w:sz="0" w:space="0" w:color="auto"/>
        <w:right w:val="none" w:sz="0" w:space="0" w:color="auto"/>
      </w:divBdr>
    </w:div>
    <w:div w:id="1048531967">
      <w:bodyDiv w:val="1"/>
      <w:marLeft w:val="0"/>
      <w:marRight w:val="0"/>
      <w:marTop w:val="0"/>
      <w:marBottom w:val="0"/>
      <w:divBdr>
        <w:top w:val="none" w:sz="0" w:space="0" w:color="auto"/>
        <w:left w:val="none" w:sz="0" w:space="0" w:color="auto"/>
        <w:bottom w:val="none" w:sz="0" w:space="0" w:color="auto"/>
        <w:right w:val="none" w:sz="0" w:space="0" w:color="auto"/>
      </w:divBdr>
    </w:div>
    <w:div w:id="1076823009">
      <w:bodyDiv w:val="1"/>
      <w:marLeft w:val="0"/>
      <w:marRight w:val="0"/>
      <w:marTop w:val="0"/>
      <w:marBottom w:val="0"/>
      <w:divBdr>
        <w:top w:val="none" w:sz="0" w:space="0" w:color="auto"/>
        <w:left w:val="none" w:sz="0" w:space="0" w:color="auto"/>
        <w:bottom w:val="none" w:sz="0" w:space="0" w:color="auto"/>
        <w:right w:val="none" w:sz="0" w:space="0" w:color="auto"/>
      </w:divBdr>
    </w:div>
    <w:div w:id="1091705707">
      <w:bodyDiv w:val="1"/>
      <w:marLeft w:val="0"/>
      <w:marRight w:val="0"/>
      <w:marTop w:val="0"/>
      <w:marBottom w:val="0"/>
      <w:divBdr>
        <w:top w:val="none" w:sz="0" w:space="0" w:color="auto"/>
        <w:left w:val="none" w:sz="0" w:space="0" w:color="auto"/>
        <w:bottom w:val="none" w:sz="0" w:space="0" w:color="auto"/>
        <w:right w:val="none" w:sz="0" w:space="0" w:color="auto"/>
      </w:divBdr>
    </w:div>
    <w:div w:id="1144590505">
      <w:bodyDiv w:val="1"/>
      <w:marLeft w:val="0"/>
      <w:marRight w:val="0"/>
      <w:marTop w:val="0"/>
      <w:marBottom w:val="0"/>
      <w:divBdr>
        <w:top w:val="none" w:sz="0" w:space="0" w:color="auto"/>
        <w:left w:val="none" w:sz="0" w:space="0" w:color="auto"/>
        <w:bottom w:val="none" w:sz="0" w:space="0" w:color="auto"/>
        <w:right w:val="none" w:sz="0" w:space="0" w:color="auto"/>
      </w:divBdr>
    </w:div>
    <w:div w:id="1165245988">
      <w:bodyDiv w:val="1"/>
      <w:marLeft w:val="0"/>
      <w:marRight w:val="0"/>
      <w:marTop w:val="0"/>
      <w:marBottom w:val="0"/>
      <w:divBdr>
        <w:top w:val="none" w:sz="0" w:space="0" w:color="auto"/>
        <w:left w:val="none" w:sz="0" w:space="0" w:color="auto"/>
        <w:bottom w:val="none" w:sz="0" w:space="0" w:color="auto"/>
        <w:right w:val="none" w:sz="0" w:space="0" w:color="auto"/>
      </w:divBdr>
    </w:div>
    <w:div w:id="1175681349">
      <w:bodyDiv w:val="1"/>
      <w:marLeft w:val="0"/>
      <w:marRight w:val="0"/>
      <w:marTop w:val="0"/>
      <w:marBottom w:val="0"/>
      <w:divBdr>
        <w:top w:val="none" w:sz="0" w:space="0" w:color="auto"/>
        <w:left w:val="none" w:sz="0" w:space="0" w:color="auto"/>
        <w:bottom w:val="none" w:sz="0" w:space="0" w:color="auto"/>
        <w:right w:val="none" w:sz="0" w:space="0" w:color="auto"/>
      </w:divBdr>
    </w:div>
    <w:div w:id="1211067818">
      <w:bodyDiv w:val="1"/>
      <w:marLeft w:val="0"/>
      <w:marRight w:val="0"/>
      <w:marTop w:val="0"/>
      <w:marBottom w:val="0"/>
      <w:divBdr>
        <w:top w:val="none" w:sz="0" w:space="0" w:color="auto"/>
        <w:left w:val="none" w:sz="0" w:space="0" w:color="auto"/>
        <w:bottom w:val="none" w:sz="0" w:space="0" w:color="auto"/>
        <w:right w:val="none" w:sz="0" w:space="0" w:color="auto"/>
      </w:divBdr>
    </w:div>
    <w:div w:id="1218324734">
      <w:bodyDiv w:val="1"/>
      <w:marLeft w:val="0"/>
      <w:marRight w:val="0"/>
      <w:marTop w:val="0"/>
      <w:marBottom w:val="0"/>
      <w:divBdr>
        <w:top w:val="none" w:sz="0" w:space="0" w:color="auto"/>
        <w:left w:val="none" w:sz="0" w:space="0" w:color="auto"/>
        <w:bottom w:val="none" w:sz="0" w:space="0" w:color="auto"/>
        <w:right w:val="none" w:sz="0" w:space="0" w:color="auto"/>
      </w:divBdr>
    </w:div>
    <w:div w:id="1261063459">
      <w:bodyDiv w:val="1"/>
      <w:marLeft w:val="0"/>
      <w:marRight w:val="0"/>
      <w:marTop w:val="0"/>
      <w:marBottom w:val="0"/>
      <w:divBdr>
        <w:top w:val="none" w:sz="0" w:space="0" w:color="auto"/>
        <w:left w:val="none" w:sz="0" w:space="0" w:color="auto"/>
        <w:bottom w:val="none" w:sz="0" w:space="0" w:color="auto"/>
        <w:right w:val="none" w:sz="0" w:space="0" w:color="auto"/>
      </w:divBdr>
    </w:div>
    <w:div w:id="1305308735">
      <w:bodyDiv w:val="1"/>
      <w:marLeft w:val="0"/>
      <w:marRight w:val="0"/>
      <w:marTop w:val="0"/>
      <w:marBottom w:val="0"/>
      <w:divBdr>
        <w:top w:val="none" w:sz="0" w:space="0" w:color="auto"/>
        <w:left w:val="none" w:sz="0" w:space="0" w:color="auto"/>
        <w:bottom w:val="none" w:sz="0" w:space="0" w:color="auto"/>
        <w:right w:val="none" w:sz="0" w:space="0" w:color="auto"/>
      </w:divBdr>
    </w:div>
    <w:div w:id="1326856705">
      <w:bodyDiv w:val="1"/>
      <w:marLeft w:val="0"/>
      <w:marRight w:val="0"/>
      <w:marTop w:val="0"/>
      <w:marBottom w:val="0"/>
      <w:divBdr>
        <w:top w:val="none" w:sz="0" w:space="0" w:color="auto"/>
        <w:left w:val="none" w:sz="0" w:space="0" w:color="auto"/>
        <w:bottom w:val="none" w:sz="0" w:space="0" w:color="auto"/>
        <w:right w:val="none" w:sz="0" w:space="0" w:color="auto"/>
      </w:divBdr>
    </w:div>
    <w:div w:id="1367172745">
      <w:bodyDiv w:val="1"/>
      <w:marLeft w:val="0"/>
      <w:marRight w:val="0"/>
      <w:marTop w:val="0"/>
      <w:marBottom w:val="0"/>
      <w:divBdr>
        <w:top w:val="none" w:sz="0" w:space="0" w:color="auto"/>
        <w:left w:val="none" w:sz="0" w:space="0" w:color="auto"/>
        <w:bottom w:val="none" w:sz="0" w:space="0" w:color="auto"/>
        <w:right w:val="none" w:sz="0" w:space="0" w:color="auto"/>
      </w:divBdr>
    </w:div>
    <w:div w:id="1372075828">
      <w:bodyDiv w:val="1"/>
      <w:marLeft w:val="0"/>
      <w:marRight w:val="0"/>
      <w:marTop w:val="0"/>
      <w:marBottom w:val="0"/>
      <w:divBdr>
        <w:top w:val="none" w:sz="0" w:space="0" w:color="auto"/>
        <w:left w:val="none" w:sz="0" w:space="0" w:color="auto"/>
        <w:bottom w:val="none" w:sz="0" w:space="0" w:color="auto"/>
        <w:right w:val="none" w:sz="0" w:space="0" w:color="auto"/>
      </w:divBdr>
    </w:div>
    <w:div w:id="1391073817">
      <w:bodyDiv w:val="1"/>
      <w:marLeft w:val="0"/>
      <w:marRight w:val="0"/>
      <w:marTop w:val="0"/>
      <w:marBottom w:val="0"/>
      <w:divBdr>
        <w:top w:val="none" w:sz="0" w:space="0" w:color="auto"/>
        <w:left w:val="none" w:sz="0" w:space="0" w:color="auto"/>
        <w:bottom w:val="none" w:sz="0" w:space="0" w:color="auto"/>
        <w:right w:val="none" w:sz="0" w:space="0" w:color="auto"/>
      </w:divBdr>
    </w:div>
    <w:div w:id="1405449412">
      <w:bodyDiv w:val="1"/>
      <w:marLeft w:val="0"/>
      <w:marRight w:val="0"/>
      <w:marTop w:val="0"/>
      <w:marBottom w:val="0"/>
      <w:divBdr>
        <w:top w:val="none" w:sz="0" w:space="0" w:color="auto"/>
        <w:left w:val="none" w:sz="0" w:space="0" w:color="auto"/>
        <w:bottom w:val="none" w:sz="0" w:space="0" w:color="auto"/>
        <w:right w:val="none" w:sz="0" w:space="0" w:color="auto"/>
      </w:divBdr>
    </w:div>
    <w:div w:id="1436904768">
      <w:bodyDiv w:val="1"/>
      <w:marLeft w:val="0"/>
      <w:marRight w:val="0"/>
      <w:marTop w:val="0"/>
      <w:marBottom w:val="0"/>
      <w:divBdr>
        <w:top w:val="none" w:sz="0" w:space="0" w:color="auto"/>
        <w:left w:val="none" w:sz="0" w:space="0" w:color="auto"/>
        <w:bottom w:val="none" w:sz="0" w:space="0" w:color="auto"/>
        <w:right w:val="none" w:sz="0" w:space="0" w:color="auto"/>
      </w:divBdr>
    </w:div>
    <w:div w:id="1438330816">
      <w:bodyDiv w:val="1"/>
      <w:marLeft w:val="0"/>
      <w:marRight w:val="0"/>
      <w:marTop w:val="0"/>
      <w:marBottom w:val="0"/>
      <w:divBdr>
        <w:top w:val="none" w:sz="0" w:space="0" w:color="auto"/>
        <w:left w:val="none" w:sz="0" w:space="0" w:color="auto"/>
        <w:bottom w:val="none" w:sz="0" w:space="0" w:color="auto"/>
        <w:right w:val="none" w:sz="0" w:space="0" w:color="auto"/>
      </w:divBdr>
    </w:div>
    <w:div w:id="1482694992">
      <w:bodyDiv w:val="1"/>
      <w:marLeft w:val="0"/>
      <w:marRight w:val="0"/>
      <w:marTop w:val="0"/>
      <w:marBottom w:val="0"/>
      <w:divBdr>
        <w:top w:val="none" w:sz="0" w:space="0" w:color="auto"/>
        <w:left w:val="none" w:sz="0" w:space="0" w:color="auto"/>
        <w:bottom w:val="none" w:sz="0" w:space="0" w:color="auto"/>
        <w:right w:val="none" w:sz="0" w:space="0" w:color="auto"/>
      </w:divBdr>
    </w:div>
    <w:div w:id="1501920281">
      <w:bodyDiv w:val="1"/>
      <w:marLeft w:val="0"/>
      <w:marRight w:val="0"/>
      <w:marTop w:val="0"/>
      <w:marBottom w:val="0"/>
      <w:divBdr>
        <w:top w:val="none" w:sz="0" w:space="0" w:color="auto"/>
        <w:left w:val="none" w:sz="0" w:space="0" w:color="auto"/>
        <w:bottom w:val="none" w:sz="0" w:space="0" w:color="auto"/>
        <w:right w:val="none" w:sz="0" w:space="0" w:color="auto"/>
      </w:divBdr>
    </w:div>
    <w:div w:id="1525830190">
      <w:bodyDiv w:val="1"/>
      <w:marLeft w:val="0"/>
      <w:marRight w:val="0"/>
      <w:marTop w:val="0"/>
      <w:marBottom w:val="0"/>
      <w:divBdr>
        <w:top w:val="none" w:sz="0" w:space="0" w:color="auto"/>
        <w:left w:val="none" w:sz="0" w:space="0" w:color="auto"/>
        <w:bottom w:val="none" w:sz="0" w:space="0" w:color="auto"/>
        <w:right w:val="none" w:sz="0" w:space="0" w:color="auto"/>
      </w:divBdr>
    </w:div>
    <w:div w:id="1529179197">
      <w:bodyDiv w:val="1"/>
      <w:marLeft w:val="0"/>
      <w:marRight w:val="0"/>
      <w:marTop w:val="0"/>
      <w:marBottom w:val="0"/>
      <w:divBdr>
        <w:top w:val="none" w:sz="0" w:space="0" w:color="auto"/>
        <w:left w:val="none" w:sz="0" w:space="0" w:color="auto"/>
        <w:bottom w:val="none" w:sz="0" w:space="0" w:color="auto"/>
        <w:right w:val="none" w:sz="0" w:space="0" w:color="auto"/>
      </w:divBdr>
    </w:div>
    <w:div w:id="1574003939">
      <w:bodyDiv w:val="1"/>
      <w:marLeft w:val="0"/>
      <w:marRight w:val="0"/>
      <w:marTop w:val="0"/>
      <w:marBottom w:val="0"/>
      <w:divBdr>
        <w:top w:val="none" w:sz="0" w:space="0" w:color="auto"/>
        <w:left w:val="none" w:sz="0" w:space="0" w:color="auto"/>
        <w:bottom w:val="none" w:sz="0" w:space="0" w:color="auto"/>
        <w:right w:val="none" w:sz="0" w:space="0" w:color="auto"/>
      </w:divBdr>
    </w:div>
    <w:div w:id="1668169876">
      <w:bodyDiv w:val="1"/>
      <w:marLeft w:val="0"/>
      <w:marRight w:val="0"/>
      <w:marTop w:val="0"/>
      <w:marBottom w:val="0"/>
      <w:divBdr>
        <w:top w:val="none" w:sz="0" w:space="0" w:color="auto"/>
        <w:left w:val="none" w:sz="0" w:space="0" w:color="auto"/>
        <w:bottom w:val="none" w:sz="0" w:space="0" w:color="auto"/>
        <w:right w:val="none" w:sz="0" w:space="0" w:color="auto"/>
      </w:divBdr>
    </w:div>
    <w:div w:id="1699811478">
      <w:bodyDiv w:val="1"/>
      <w:marLeft w:val="0"/>
      <w:marRight w:val="0"/>
      <w:marTop w:val="0"/>
      <w:marBottom w:val="0"/>
      <w:divBdr>
        <w:top w:val="none" w:sz="0" w:space="0" w:color="auto"/>
        <w:left w:val="none" w:sz="0" w:space="0" w:color="auto"/>
        <w:bottom w:val="none" w:sz="0" w:space="0" w:color="auto"/>
        <w:right w:val="none" w:sz="0" w:space="0" w:color="auto"/>
      </w:divBdr>
    </w:div>
    <w:div w:id="1703437689">
      <w:bodyDiv w:val="1"/>
      <w:marLeft w:val="0"/>
      <w:marRight w:val="0"/>
      <w:marTop w:val="0"/>
      <w:marBottom w:val="0"/>
      <w:divBdr>
        <w:top w:val="none" w:sz="0" w:space="0" w:color="auto"/>
        <w:left w:val="none" w:sz="0" w:space="0" w:color="auto"/>
        <w:bottom w:val="none" w:sz="0" w:space="0" w:color="auto"/>
        <w:right w:val="none" w:sz="0" w:space="0" w:color="auto"/>
      </w:divBdr>
    </w:div>
    <w:div w:id="1727795941">
      <w:bodyDiv w:val="1"/>
      <w:marLeft w:val="0"/>
      <w:marRight w:val="0"/>
      <w:marTop w:val="0"/>
      <w:marBottom w:val="0"/>
      <w:divBdr>
        <w:top w:val="none" w:sz="0" w:space="0" w:color="auto"/>
        <w:left w:val="none" w:sz="0" w:space="0" w:color="auto"/>
        <w:bottom w:val="none" w:sz="0" w:space="0" w:color="auto"/>
        <w:right w:val="none" w:sz="0" w:space="0" w:color="auto"/>
      </w:divBdr>
    </w:div>
    <w:div w:id="1751196689">
      <w:bodyDiv w:val="1"/>
      <w:marLeft w:val="0"/>
      <w:marRight w:val="0"/>
      <w:marTop w:val="0"/>
      <w:marBottom w:val="0"/>
      <w:divBdr>
        <w:top w:val="none" w:sz="0" w:space="0" w:color="auto"/>
        <w:left w:val="none" w:sz="0" w:space="0" w:color="auto"/>
        <w:bottom w:val="none" w:sz="0" w:space="0" w:color="auto"/>
        <w:right w:val="none" w:sz="0" w:space="0" w:color="auto"/>
      </w:divBdr>
    </w:div>
    <w:div w:id="1763602731">
      <w:bodyDiv w:val="1"/>
      <w:marLeft w:val="0"/>
      <w:marRight w:val="0"/>
      <w:marTop w:val="0"/>
      <w:marBottom w:val="0"/>
      <w:divBdr>
        <w:top w:val="none" w:sz="0" w:space="0" w:color="auto"/>
        <w:left w:val="none" w:sz="0" w:space="0" w:color="auto"/>
        <w:bottom w:val="none" w:sz="0" w:space="0" w:color="auto"/>
        <w:right w:val="none" w:sz="0" w:space="0" w:color="auto"/>
      </w:divBdr>
    </w:div>
    <w:div w:id="1771120776">
      <w:bodyDiv w:val="1"/>
      <w:marLeft w:val="0"/>
      <w:marRight w:val="0"/>
      <w:marTop w:val="0"/>
      <w:marBottom w:val="0"/>
      <w:divBdr>
        <w:top w:val="none" w:sz="0" w:space="0" w:color="auto"/>
        <w:left w:val="none" w:sz="0" w:space="0" w:color="auto"/>
        <w:bottom w:val="none" w:sz="0" w:space="0" w:color="auto"/>
        <w:right w:val="none" w:sz="0" w:space="0" w:color="auto"/>
      </w:divBdr>
    </w:div>
    <w:div w:id="1771580514">
      <w:bodyDiv w:val="1"/>
      <w:marLeft w:val="0"/>
      <w:marRight w:val="0"/>
      <w:marTop w:val="0"/>
      <w:marBottom w:val="0"/>
      <w:divBdr>
        <w:top w:val="none" w:sz="0" w:space="0" w:color="auto"/>
        <w:left w:val="none" w:sz="0" w:space="0" w:color="auto"/>
        <w:bottom w:val="none" w:sz="0" w:space="0" w:color="auto"/>
        <w:right w:val="none" w:sz="0" w:space="0" w:color="auto"/>
      </w:divBdr>
    </w:div>
    <w:div w:id="1788960415">
      <w:bodyDiv w:val="1"/>
      <w:marLeft w:val="0"/>
      <w:marRight w:val="0"/>
      <w:marTop w:val="0"/>
      <w:marBottom w:val="0"/>
      <w:divBdr>
        <w:top w:val="none" w:sz="0" w:space="0" w:color="auto"/>
        <w:left w:val="none" w:sz="0" w:space="0" w:color="auto"/>
        <w:bottom w:val="none" w:sz="0" w:space="0" w:color="auto"/>
        <w:right w:val="none" w:sz="0" w:space="0" w:color="auto"/>
      </w:divBdr>
    </w:div>
    <w:div w:id="1790970840">
      <w:bodyDiv w:val="1"/>
      <w:marLeft w:val="0"/>
      <w:marRight w:val="0"/>
      <w:marTop w:val="0"/>
      <w:marBottom w:val="0"/>
      <w:divBdr>
        <w:top w:val="none" w:sz="0" w:space="0" w:color="auto"/>
        <w:left w:val="none" w:sz="0" w:space="0" w:color="auto"/>
        <w:bottom w:val="none" w:sz="0" w:space="0" w:color="auto"/>
        <w:right w:val="none" w:sz="0" w:space="0" w:color="auto"/>
      </w:divBdr>
    </w:div>
    <w:div w:id="1801486014">
      <w:bodyDiv w:val="1"/>
      <w:marLeft w:val="0"/>
      <w:marRight w:val="0"/>
      <w:marTop w:val="0"/>
      <w:marBottom w:val="0"/>
      <w:divBdr>
        <w:top w:val="none" w:sz="0" w:space="0" w:color="auto"/>
        <w:left w:val="none" w:sz="0" w:space="0" w:color="auto"/>
        <w:bottom w:val="none" w:sz="0" w:space="0" w:color="auto"/>
        <w:right w:val="none" w:sz="0" w:space="0" w:color="auto"/>
      </w:divBdr>
    </w:div>
    <w:div w:id="1821268159">
      <w:bodyDiv w:val="1"/>
      <w:marLeft w:val="0"/>
      <w:marRight w:val="0"/>
      <w:marTop w:val="0"/>
      <w:marBottom w:val="0"/>
      <w:divBdr>
        <w:top w:val="none" w:sz="0" w:space="0" w:color="auto"/>
        <w:left w:val="none" w:sz="0" w:space="0" w:color="auto"/>
        <w:bottom w:val="none" w:sz="0" w:space="0" w:color="auto"/>
        <w:right w:val="none" w:sz="0" w:space="0" w:color="auto"/>
      </w:divBdr>
    </w:div>
    <w:div w:id="1829059066">
      <w:bodyDiv w:val="1"/>
      <w:marLeft w:val="0"/>
      <w:marRight w:val="0"/>
      <w:marTop w:val="0"/>
      <w:marBottom w:val="0"/>
      <w:divBdr>
        <w:top w:val="none" w:sz="0" w:space="0" w:color="auto"/>
        <w:left w:val="none" w:sz="0" w:space="0" w:color="auto"/>
        <w:bottom w:val="none" w:sz="0" w:space="0" w:color="auto"/>
        <w:right w:val="none" w:sz="0" w:space="0" w:color="auto"/>
      </w:divBdr>
    </w:div>
    <w:div w:id="1875263596">
      <w:bodyDiv w:val="1"/>
      <w:marLeft w:val="0"/>
      <w:marRight w:val="0"/>
      <w:marTop w:val="0"/>
      <w:marBottom w:val="0"/>
      <w:divBdr>
        <w:top w:val="none" w:sz="0" w:space="0" w:color="auto"/>
        <w:left w:val="none" w:sz="0" w:space="0" w:color="auto"/>
        <w:bottom w:val="none" w:sz="0" w:space="0" w:color="auto"/>
        <w:right w:val="none" w:sz="0" w:space="0" w:color="auto"/>
      </w:divBdr>
    </w:div>
    <w:div w:id="1902060424">
      <w:bodyDiv w:val="1"/>
      <w:marLeft w:val="0"/>
      <w:marRight w:val="0"/>
      <w:marTop w:val="0"/>
      <w:marBottom w:val="0"/>
      <w:divBdr>
        <w:top w:val="none" w:sz="0" w:space="0" w:color="auto"/>
        <w:left w:val="none" w:sz="0" w:space="0" w:color="auto"/>
        <w:bottom w:val="none" w:sz="0" w:space="0" w:color="auto"/>
        <w:right w:val="none" w:sz="0" w:space="0" w:color="auto"/>
      </w:divBdr>
    </w:div>
    <w:div w:id="1954315751">
      <w:bodyDiv w:val="1"/>
      <w:marLeft w:val="0"/>
      <w:marRight w:val="0"/>
      <w:marTop w:val="0"/>
      <w:marBottom w:val="0"/>
      <w:divBdr>
        <w:top w:val="none" w:sz="0" w:space="0" w:color="auto"/>
        <w:left w:val="none" w:sz="0" w:space="0" w:color="auto"/>
        <w:bottom w:val="none" w:sz="0" w:space="0" w:color="auto"/>
        <w:right w:val="none" w:sz="0" w:space="0" w:color="auto"/>
      </w:divBdr>
    </w:div>
    <w:div w:id="1961644282">
      <w:bodyDiv w:val="1"/>
      <w:marLeft w:val="0"/>
      <w:marRight w:val="0"/>
      <w:marTop w:val="0"/>
      <w:marBottom w:val="0"/>
      <w:divBdr>
        <w:top w:val="none" w:sz="0" w:space="0" w:color="auto"/>
        <w:left w:val="none" w:sz="0" w:space="0" w:color="auto"/>
        <w:bottom w:val="none" w:sz="0" w:space="0" w:color="auto"/>
        <w:right w:val="none" w:sz="0" w:space="0" w:color="auto"/>
      </w:divBdr>
    </w:div>
    <w:div w:id="1975940309">
      <w:bodyDiv w:val="1"/>
      <w:marLeft w:val="0"/>
      <w:marRight w:val="0"/>
      <w:marTop w:val="0"/>
      <w:marBottom w:val="0"/>
      <w:divBdr>
        <w:top w:val="none" w:sz="0" w:space="0" w:color="auto"/>
        <w:left w:val="none" w:sz="0" w:space="0" w:color="auto"/>
        <w:bottom w:val="none" w:sz="0" w:space="0" w:color="auto"/>
        <w:right w:val="none" w:sz="0" w:space="0" w:color="auto"/>
      </w:divBdr>
    </w:div>
    <w:div w:id="1982079983">
      <w:bodyDiv w:val="1"/>
      <w:marLeft w:val="0"/>
      <w:marRight w:val="0"/>
      <w:marTop w:val="0"/>
      <w:marBottom w:val="0"/>
      <w:divBdr>
        <w:top w:val="none" w:sz="0" w:space="0" w:color="auto"/>
        <w:left w:val="none" w:sz="0" w:space="0" w:color="auto"/>
        <w:bottom w:val="none" w:sz="0" w:space="0" w:color="auto"/>
        <w:right w:val="none" w:sz="0" w:space="0" w:color="auto"/>
      </w:divBdr>
    </w:div>
    <w:div w:id="1987198681">
      <w:bodyDiv w:val="1"/>
      <w:marLeft w:val="0"/>
      <w:marRight w:val="0"/>
      <w:marTop w:val="0"/>
      <w:marBottom w:val="0"/>
      <w:divBdr>
        <w:top w:val="none" w:sz="0" w:space="0" w:color="auto"/>
        <w:left w:val="none" w:sz="0" w:space="0" w:color="auto"/>
        <w:bottom w:val="none" w:sz="0" w:space="0" w:color="auto"/>
        <w:right w:val="none" w:sz="0" w:space="0" w:color="auto"/>
      </w:divBdr>
    </w:div>
    <w:div w:id="2002852279">
      <w:bodyDiv w:val="1"/>
      <w:marLeft w:val="0"/>
      <w:marRight w:val="0"/>
      <w:marTop w:val="0"/>
      <w:marBottom w:val="0"/>
      <w:divBdr>
        <w:top w:val="none" w:sz="0" w:space="0" w:color="auto"/>
        <w:left w:val="none" w:sz="0" w:space="0" w:color="auto"/>
        <w:bottom w:val="none" w:sz="0" w:space="0" w:color="auto"/>
        <w:right w:val="none" w:sz="0" w:space="0" w:color="auto"/>
      </w:divBdr>
    </w:div>
    <w:div w:id="2010476457">
      <w:bodyDiv w:val="1"/>
      <w:marLeft w:val="0"/>
      <w:marRight w:val="0"/>
      <w:marTop w:val="0"/>
      <w:marBottom w:val="0"/>
      <w:divBdr>
        <w:top w:val="none" w:sz="0" w:space="0" w:color="auto"/>
        <w:left w:val="none" w:sz="0" w:space="0" w:color="auto"/>
        <w:bottom w:val="none" w:sz="0" w:space="0" w:color="auto"/>
        <w:right w:val="none" w:sz="0" w:space="0" w:color="auto"/>
      </w:divBdr>
    </w:div>
    <w:div w:id="2074545667">
      <w:bodyDiv w:val="1"/>
      <w:marLeft w:val="0"/>
      <w:marRight w:val="0"/>
      <w:marTop w:val="0"/>
      <w:marBottom w:val="0"/>
      <w:divBdr>
        <w:top w:val="none" w:sz="0" w:space="0" w:color="auto"/>
        <w:left w:val="none" w:sz="0" w:space="0" w:color="auto"/>
        <w:bottom w:val="none" w:sz="0" w:space="0" w:color="auto"/>
        <w:right w:val="none" w:sz="0" w:space="0" w:color="auto"/>
      </w:divBdr>
    </w:div>
    <w:div w:id="2126997469">
      <w:bodyDiv w:val="1"/>
      <w:marLeft w:val="0"/>
      <w:marRight w:val="0"/>
      <w:marTop w:val="0"/>
      <w:marBottom w:val="0"/>
      <w:divBdr>
        <w:top w:val="none" w:sz="0" w:space="0" w:color="auto"/>
        <w:left w:val="none" w:sz="0" w:space="0" w:color="auto"/>
        <w:bottom w:val="none" w:sz="0" w:space="0" w:color="auto"/>
        <w:right w:val="none" w:sz="0" w:space="0" w:color="auto"/>
      </w:divBdr>
    </w:div>
    <w:div w:id="2129272277">
      <w:bodyDiv w:val="1"/>
      <w:marLeft w:val="0"/>
      <w:marRight w:val="0"/>
      <w:marTop w:val="0"/>
      <w:marBottom w:val="0"/>
      <w:divBdr>
        <w:top w:val="none" w:sz="0" w:space="0" w:color="auto"/>
        <w:left w:val="none" w:sz="0" w:space="0" w:color="auto"/>
        <w:bottom w:val="none" w:sz="0" w:space="0" w:color="auto"/>
        <w:right w:val="none" w:sz="0" w:space="0" w:color="auto"/>
      </w:divBdr>
    </w:div>
    <w:div w:id="2141923736">
      <w:bodyDiv w:val="1"/>
      <w:marLeft w:val="0"/>
      <w:marRight w:val="0"/>
      <w:marTop w:val="0"/>
      <w:marBottom w:val="0"/>
      <w:divBdr>
        <w:top w:val="none" w:sz="0" w:space="0" w:color="auto"/>
        <w:left w:val="none" w:sz="0" w:space="0" w:color="auto"/>
        <w:bottom w:val="none" w:sz="0" w:space="0" w:color="auto"/>
        <w:right w:val="none" w:sz="0" w:space="0" w:color="auto"/>
      </w:divBdr>
    </w:div>
    <w:div w:id="21441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Excel_Worksheet15.xlsx"/><Relationship Id="rId21" Type="http://schemas.openxmlformats.org/officeDocument/2006/relationships/package" Target="embeddings/Microsoft_Excel_Worksheet6.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Excel_Worksheet19.xlsx"/><Relationship Id="rId50" Type="http://schemas.openxmlformats.org/officeDocument/2006/relationships/image" Target="media/image22.emf"/><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41" Type="http://schemas.openxmlformats.org/officeDocument/2006/relationships/package" Target="embeddings/Microsoft_Excel_Worksheet16.xlsx"/><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Excel_Worksheet14.xlsx"/><Relationship Id="rId40" Type="http://schemas.openxmlformats.org/officeDocument/2006/relationships/image" Target="media/image17.emf"/><Relationship Id="rId45" Type="http://schemas.openxmlformats.org/officeDocument/2006/relationships/package" Target="embeddings/Microsoft_Excel_Worksheet18.xlsx"/><Relationship Id="rId53" Type="http://schemas.openxmlformats.org/officeDocument/2006/relationships/package" Target="embeddings/Microsoft_Excel_Worksheet22.xlsx"/><Relationship Id="rId5" Type="http://schemas.openxmlformats.org/officeDocument/2006/relationships/settings" Target="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20.xlsx"/><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4" Type="http://schemas.openxmlformats.org/officeDocument/2006/relationships/image" Target="media/image19.emf"/><Relationship Id="rId52"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package" Target="embeddings/Microsoft_Excel_Worksheet13.xlsx"/><Relationship Id="rId43" Type="http://schemas.openxmlformats.org/officeDocument/2006/relationships/package" Target="embeddings/Microsoft_Excel_Worksheet17.xlsx"/><Relationship Id="rId48" Type="http://schemas.openxmlformats.org/officeDocument/2006/relationships/image" Target="media/image21.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package" Target="embeddings/Microsoft_Excel_Worksheet21.xls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5DFB-E898-4A78-AACA-CBC67AED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76</Pages>
  <Words>18216</Words>
  <Characters>104828</Characters>
  <Application>Microsoft Office Word</Application>
  <DocSecurity>0</DocSecurity>
  <Lines>1977</Lines>
  <Paragraphs>459</Paragraphs>
  <ScaleCrop>false</ScaleCrop>
  <Company/>
  <LinksUpToDate>false</LinksUpToDate>
  <CharactersWithSpaces>122585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2017-05-02T19:56:00Z</dcterms:created>
  <dcterms:modified xsi:type="dcterms:W3CDTF">2017-05-02T20:11:00Z</dcterms:modified>
</cp:coreProperties>
</file>