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0B59" w:rsidP="00ED0B59">
      <w:pPr>
        <w:pStyle w:val="OrderHeading"/>
      </w:pPr>
      <w:r>
        <w:t>BEFORE THE FLORIDA PUBLIC SERVICE COMMISSION</w:t>
      </w:r>
    </w:p>
    <w:p w:rsidR="00ED0B59" w:rsidRDefault="00ED0B59" w:rsidP="00ED0B59">
      <w:pPr>
        <w:pStyle w:val="OrderHeading"/>
      </w:pPr>
    </w:p>
    <w:p w:rsidR="00ED0B59" w:rsidRDefault="00ED0B59" w:rsidP="00ED0B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0B59" w:rsidRPr="00C63FCF" w:rsidTr="00C63FCF">
        <w:trPr>
          <w:trHeight w:val="828"/>
        </w:trPr>
        <w:tc>
          <w:tcPr>
            <w:tcW w:w="4788" w:type="dxa"/>
            <w:tcBorders>
              <w:bottom w:val="single" w:sz="8" w:space="0" w:color="auto"/>
              <w:right w:val="double" w:sz="6" w:space="0" w:color="auto"/>
            </w:tcBorders>
            <w:shd w:val="clear" w:color="auto" w:fill="auto"/>
          </w:tcPr>
          <w:p w:rsidR="00ED0B59" w:rsidRDefault="00ED0B59"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ED0B59" w:rsidRDefault="00ED0B59" w:rsidP="00ED0B59">
            <w:pPr>
              <w:pStyle w:val="OrderBody"/>
            </w:pPr>
            <w:r>
              <w:t xml:space="preserve">DOCKET NO. </w:t>
            </w:r>
            <w:bookmarkStart w:id="1" w:name="SSDocketNo"/>
            <w:bookmarkEnd w:id="1"/>
            <w:r>
              <w:t>170057-EI</w:t>
            </w:r>
          </w:p>
          <w:p w:rsidR="00ED0B59" w:rsidRDefault="00ED0B59" w:rsidP="00C63FCF">
            <w:pPr>
              <w:pStyle w:val="OrderBody"/>
              <w:tabs>
                <w:tab w:val="center" w:pos="4320"/>
                <w:tab w:val="right" w:pos="8640"/>
              </w:tabs>
              <w:jc w:val="left"/>
            </w:pPr>
            <w:r>
              <w:t xml:space="preserve">ORDER NO. </w:t>
            </w:r>
            <w:bookmarkStart w:id="2" w:name="OrderNo0181"/>
            <w:r w:rsidR="0094233A">
              <w:t>PSC-17-0181-PCO-EI</w:t>
            </w:r>
            <w:bookmarkEnd w:id="2"/>
          </w:p>
          <w:p w:rsidR="00ED0B59" w:rsidRDefault="00ED0B59" w:rsidP="00C63FCF">
            <w:pPr>
              <w:pStyle w:val="OrderBody"/>
              <w:tabs>
                <w:tab w:val="center" w:pos="4320"/>
                <w:tab w:val="right" w:pos="8640"/>
              </w:tabs>
              <w:jc w:val="left"/>
            </w:pPr>
            <w:r>
              <w:t xml:space="preserve">ISSUED: </w:t>
            </w:r>
            <w:r w:rsidR="0094233A">
              <w:t>May 17, 2017</w:t>
            </w:r>
          </w:p>
        </w:tc>
      </w:tr>
    </w:tbl>
    <w:p w:rsidR="00ED0B59" w:rsidRDefault="00ED0B59" w:rsidP="00ED0B59"/>
    <w:p w:rsidR="00CB5276" w:rsidRDefault="00ED0B59" w:rsidP="00ED0B59">
      <w:pPr>
        <w:pStyle w:val="CenterUnderline"/>
      </w:pPr>
      <w:bookmarkStart w:id="3" w:name="Commissioners"/>
      <w:bookmarkEnd w:id="3"/>
      <w:r>
        <w:t>ORDER</w:t>
      </w:r>
      <w:bookmarkStart w:id="4" w:name="OrderTitle"/>
      <w:r>
        <w:t xml:space="preserve"> GRANTING INTERVENTION </w:t>
      </w:r>
      <w:bookmarkEnd w:id="4"/>
    </w:p>
    <w:p w:rsidR="00ED0B59" w:rsidRDefault="00ED0B59" w:rsidP="00ED0B59">
      <w:pPr>
        <w:pStyle w:val="CenterUnderline"/>
      </w:pPr>
    </w:p>
    <w:p w:rsidR="00ED0B59" w:rsidRDefault="00ED0B59" w:rsidP="00ED0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February 28, 2017, this docket was opened by Commission staff to analyze the natural gas hedging practices of Florida’s investor-owned utilities in order to determine whether natural gas hedging should be continued and</w:t>
      </w:r>
      <w:r w:rsidR="00001111">
        <w:t>,</w:t>
      </w:r>
      <w:r>
        <w:t xml:space="preserve"> if so, whether any changes should be made to current hedging practices.  A staff workshop was held on February 21, 2017, in which Florida Power &amp; Light Company (FPL), Duke Energy Florida, LLC (DEF), Tampa Electric Company (TECO), Gulf Power Company (Gulf Power), the Office of Public Counsel (OPC), and several other interested parties, including the Florida Industrial Power Users Group (</w:t>
      </w:r>
      <w:r w:rsidR="008E2685">
        <w:t>FIPUG) participated.  Post work</w:t>
      </w:r>
      <w:r>
        <w:t xml:space="preserve">shop comments were filed on March 6, 2017, by all four investor-owned utilities, </w:t>
      </w:r>
      <w:r w:rsidRPr="00EB5771">
        <w:t>FIPUG</w:t>
      </w:r>
      <w:r>
        <w:t xml:space="preserve">, White Springs Agricultural Chemicals, Inc., d/b/a PCS Phosphate (PCS) and the Sierra Club.  </w:t>
      </w:r>
      <w:r w:rsidRPr="00EB5771">
        <w:t xml:space="preserve">By petition, dated </w:t>
      </w:r>
      <w:r>
        <w:t>April 4, 2017</w:t>
      </w:r>
      <w:r w:rsidRPr="00EB5771">
        <w:t xml:space="preserve">, </w:t>
      </w:r>
      <w:r>
        <w:t>PCS</w:t>
      </w:r>
      <w:r w:rsidRPr="00EB5771">
        <w:t xml:space="preserve"> has requested permission to intervene in this proceeding.  </w:t>
      </w:r>
      <w:r w:rsidR="00001111">
        <w:t xml:space="preserve">This docket has been set for hearing on September 27 and 28, 2017.  </w:t>
      </w:r>
    </w:p>
    <w:p w:rsidR="00ED0B59" w:rsidRDefault="00ED0B59" w:rsidP="00ED0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D0B59" w:rsidRPr="00792E1C" w:rsidRDefault="00ED0B59" w:rsidP="00ED0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ED0B59" w:rsidRDefault="00ED0B59" w:rsidP="00ED0B59">
      <w:pPr>
        <w:ind w:firstLine="720"/>
        <w:jc w:val="both"/>
      </w:pPr>
    </w:p>
    <w:p w:rsidR="00ED0B59" w:rsidRDefault="00ED0B59" w:rsidP="00ED0B59">
      <w:pPr>
        <w:ind w:firstLine="720"/>
        <w:jc w:val="both"/>
      </w:pPr>
      <w:r>
        <w:t xml:space="preserve">In its petition, PCS </w:t>
      </w:r>
      <w:r w:rsidR="00BC5FF8">
        <w:t>states that it is a manufacturer of fertilizer products with plants and operations located within DEF’s electric service territory and receives service under various DEF rate schedules.</w:t>
      </w:r>
      <w:r w:rsidR="00CE7164">
        <w:t xml:space="preserve">  </w:t>
      </w:r>
      <w:r w:rsidR="00BC5FF8">
        <w:t xml:space="preserve">PCS contends that it is substantially </w:t>
      </w:r>
      <w:r w:rsidR="00CE7164">
        <w:t xml:space="preserve">and directly </w:t>
      </w:r>
      <w:r w:rsidR="00BC5FF8">
        <w:t xml:space="preserve">affected by the outcome of these proceedings since it is a large customer of DEF that has been charged the costs of DEF’s historic hedging activities through the fuel charge and also bears the risk of fuel price volatility in future base rate and fuel clause recoveries.  PCS has </w:t>
      </w:r>
      <w:r w:rsidR="00352EB3">
        <w:t xml:space="preserve">also </w:t>
      </w:r>
      <w:r w:rsidR="00BC5FF8">
        <w:t>taken positions on utility hedging practices in prior fuel clause proceedings and actively participated in the hedging workshops</w:t>
      </w:r>
      <w:r w:rsidR="00352EB3">
        <w:t xml:space="preserve">. </w:t>
      </w:r>
    </w:p>
    <w:p w:rsidR="00BC5FF8" w:rsidRDefault="00BC5FF8" w:rsidP="00ED0B59">
      <w:pPr>
        <w:ind w:firstLine="720"/>
        <w:jc w:val="both"/>
      </w:pPr>
    </w:p>
    <w:p w:rsidR="00ED0B59" w:rsidRDefault="00ED0B59" w:rsidP="00ED0B59">
      <w:pPr>
        <w:autoSpaceDE w:val="0"/>
        <w:autoSpaceDN w:val="0"/>
        <w:adjustRightInd w:val="0"/>
        <w:jc w:val="both"/>
        <w:rPr>
          <w:u w:val="single"/>
        </w:rPr>
      </w:pPr>
      <w:r>
        <w:rPr>
          <w:u w:val="single"/>
        </w:rPr>
        <w:t>Standard for Intervention</w:t>
      </w:r>
    </w:p>
    <w:p w:rsidR="00ED0B59" w:rsidRDefault="00ED0B59" w:rsidP="00ED0B59">
      <w:pPr>
        <w:autoSpaceDE w:val="0"/>
        <w:autoSpaceDN w:val="0"/>
        <w:adjustRightInd w:val="0"/>
        <w:jc w:val="both"/>
        <w:rPr>
          <w:u w:val="single"/>
        </w:rPr>
      </w:pPr>
    </w:p>
    <w:p w:rsidR="00ED0B59" w:rsidRDefault="00ED0B59" w:rsidP="00ED0B59">
      <w:pPr>
        <w:ind w:firstLine="720"/>
        <w:jc w:val="both"/>
      </w:pPr>
      <w:r>
        <w:t>Pursuant to Rule 25-22.039, Florida Administrative Code (F.A.C), persons, other than the original parties to a pending proceeding, who have a substantial interest in the proceeding and who desire to become parties may petition for leave to intervene.  Petitions for leave to intervene must be filed at least five (5) days before the final hearing, must conform with Rule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ED0B59" w:rsidRDefault="00ED0B59" w:rsidP="00ED0B59">
      <w:pPr>
        <w:ind w:firstLine="720"/>
        <w:jc w:val="both"/>
      </w:pPr>
    </w:p>
    <w:p w:rsidR="00ED0B59" w:rsidRDefault="00ED0B59" w:rsidP="00D82957">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(1) that he will suffer injury in fact which is of sufficient immediacy to entitle him to a Section 120.57, Florida Statutes, hearing, and (2) that </w:t>
      </w:r>
      <w:r>
        <w:lastRenderedPageBreak/>
        <w:t xml:space="preserve">this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3rd DCA 1990).  See also, </w:t>
      </w:r>
      <w:r>
        <w:rPr>
          <w:u w:val="single"/>
        </w:rPr>
        <w:t>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p w:rsidR="00ED0B59" w:rsidRDefault="00ED0B59" w:rsidP="00ED0B59">
      <w:pPr>
        <w:ind w:firstLine="720"/>
        <w:jc w:val="both"/>
      </w:pPr>
    </w:p>
    <w:p w:rsidR="00ED0B59" w:rsidRDefault="00ED0B59" w:rsidP="00ED0B59">
      <w:pPr>
        <w:jc w:val="both"/>
      </w:pPr>
      <w:r w:rsidRPr="00826D5E">
        <w:tab/>
      </w:r>
      <w:r w:rsidR="00CE7164">
        <w:t>As a retail customer of DEF</w:t>
      </w:r>
      <w:r w:rsidR="009B4554">
        <w:t>,</w:t>
      </w:r>
      <w:r w:rsidR="00CE7164">
        <w:t xml:space="preserve"> PCS </w:t>
      </w:r>
      <w:r>
        <w:t xml:space="preserve">meets the two-prong standing test established in </w:t>
      </w:r>
      <w:r>
        <w:rPr>
          <w:u w:val="single"/>
        </w:rPr>
        <w:t>Agrico</w:t>
      </w:r>
      <w:r w:rsidR="009B4554">
        <w:rPr>
          <w:u w:val="single"/>
        </w:rPr>
        <w:t>;</w:t>
      </w:r>
      <w:r w:rsidR="00CE7164">
        <w:t xml:space="preserve"> therefore,</w:t>
      </w:r>
      <w:r>
        <w:t xml:space="preserve"> </w:t>
      </w:r>
      <w:r w:rsidR="00CE7164">
        <w:t xml:space="preserve">its </w:t>
      </w:r>
      <w:r>
        <w:t xml:space="preserve">petition for intervention shall be granted.  </w:t>
      </w:r>
      <w:r w:rsidRPr="00826D5E">
        <w:t>Pursuant to Rule 25-22.039, F</w:t>
      </w:r>
      <w:r>
        <w:t>.A.C.,</w:t>
      </w:r>
      <w:r w:rsidRPr="00AC3978">
        <w:t xml:space="preserve"> </w:t>
      </w:r>
      <w:r w:rsidR="00CE7164">
        <w:t xml:space="preserve">PCS </w:t>
      </w:r>
      <w:r w:rsidRPr="00AC3978">
        <w:t>tak</w:t>
      </w:r>
      <w:r w:rsidRPr="00826D5E">
        <w:t>es the case as it finds it.</w:t>
      </w:r>
    </w:p>
    <w:p w:rsidR="00ED0B59" w:rsidRPr="00826D5E" w:rsidRDefault="00ED0B59" w:rsidP="00ED0B59">
      <w:pPr>
        <w:jc w:val="both"/>
      </w:pPr>
    </w:p>
    <w:p w:rsidR="00ED0B59" w:rsidRPr="00826D5E" w:rsidRDefault="00ED0B59" w:rsidP="00ED0B59">
      <w:pPr>
        <w:jc w:val="both"/>
      </w:pPr>
      <w:r w:rsidRPr="00826D5E">
        <w:tab/>
        <w:t>Therefore, it is</w:t>
      </w:r>
    </w:p>
    <w:p w:rsidR="00ED0B59" w:rsidRPr="00826D5E" w:rsidRDefault="00ED0B59" w:rsidP="00ED0B59">
      <w:pPr>
        <w:jc w:val="both"/>
      </w:pPr>
    </w:p>
    <w:p w:rsidR="00ED0B59" w:rsidRDefault="00ED0B59" w:rsidP="00ED0B59">
      <w:pPr>
        <w:jc w:val="both"/>
      </w:pPr>
      <w:r w:rsidRPr="00826D5E">
        <w:tab/>
      </w:r>
      <w:r>
        <w:t xml:space="preserve">ORDERED by Commissioner Ronald A. Brisé, as Prehearing Officer, that the Petition to Intervene filed by </w:t>
      </w:r>
      <w:r w:rsidR="00CE7164">
        <w:t xml:space="preserve">White Springs Agricultural Chemicals, Inc. d/b/a PCS Phosphate – White Springs, </w:t>
      </w:r>
      <w:r>
        <w:t>is hereby granted as set forth in the body of this Order.  It is further</w:t>
      </w:r>
    </w:p>
    <w:p w:rsidR="00ED0B59" w:rsidRPr="00826D5E" w:rsidRDefault="00ED0B59" w:rsidP="00ED0B59">
      <w:pPr>
        <w:jc w:val="both"/>
      </w:pPr>
    </w:p>
    <w:p w:rsidR="00ED0B59" w:rsidRDefault="00ED0B59" w:rsidP="00ED0B59">
      <w:pPr>
        <w:jc w:val="both"/>
      </w:pPr>
      <w:r w:rsidRPr="00826D5E">
        <w:tab/>
        <w:t>ORDERED that all parties to this proceeding shall furnish copies of all testimony, exhibits, pleadings and other documents which may hereinafter be filed in this proceeding, to:</w:t>
      </w:r>
    </w:p>
    <w:p w:rsidR="00ED0B59" w:rsidRDefault="00ED0B59" w:rsidP="00D82957"/>
    <w:p w:rsidR="00D82957" w:rsidRDefault="00D82957" w:rsidP="00D82957">
      <w:pPr>
        <w:ind w:left="2160" w:hanging="2160"/>
      </w:pPr>
      <w:r>
        <w:tab/>
        <w:t>James W. Brew</w:t>
      </w:r>
    </w:p>
    <w:p w:rsidR="00D82957" w:rsidRDefault="00D82957" w:rsidP="00D82957">
      <w:pPr>
        <w:ind w:left="2160" w:hanging="2160"/>
      </w:pPr>
      <w:r>
        <w:tab/>
        <w:t>Laura A. Wynn</w:t>
      </w:r>
    </w:p>
    <w:p w:rsidR="00D82957" w:rsidRDefault="00D82957" w:rsidP="00D82957">
      <w:pPr>
        <w:ind w:left="2160" w:hanging="2160"/>
      </w:pPr>
      <w:r>
        <w:tab/>
        <w:t>Stone Mattheis Xenopoulos &amp; Brew, PC</w:t>
      </w:r>
    </w:p>
    <w:p w:rsidR="00D82957" w:rsidRDefault="00D82957" w:rsidP="00D82957">
      <w:pPr>
        <w:ind w:left="2160" w:hanging="2160"/>
      </w:pPr>
      <w:r>
        <w:tab/>
        <w:t>1025 Thomas Jefferson Street, NW</w:t>
      </w:r>
    </w:p>
    <w:p w:rsidR="00D82957" w:rsidRDefault="00D82957" w:rsidP="00D82957">
      <w:pPr>
        <w:ind w:left="2160" w:hanging="2160"/>
      </w:pPr>
      <w:r>
        <w:tab/>
        <w:t>Eight Floor, West Tower</w:t>
      </w:r>
    </w:p>
    <w:p w:rsidR="00D82957" w:rsidRDefault="00D82957" w:rsidP="00D82957">
      <w:pPr>
        <w:ind w:left="2160" w:hanging="2160"/>
      </w:pPr>
      <w:r>
        <w:tab/>
        <w:t>Washington, DC 20007-5201</w:t>
      </w:r>
    </w:p>
    <w:p w:rsidR="00D82957" w:rsidRDefault="00D82957" w:rsidP="00D82957">
      <w:pPr>
        <w:ind w:left="2160" w:hanging="2160"/>
      </w:pPr>
      <w:r>
        <w:tab/>
        <w:t>Phone: (202) 342-0800</w:t>
      </w:r>
    </w:p>
    <w:p w:rsidR="00D82957" w:rsidRDefault="00D82957" w:rsidP="00D82957">
      <w:pPr>
        <w:ind w:left="2160" w:hanging="2160"/>
      </w:pPr>
      <w:r>
        <w:tab/>
        <w:t>Fax: (202)342-0807</w:t>
      </w:r>
    </w:p>
    <w:p w:rsidR="00D82957" w:rsidRDefault="00D82957" w:rsidP="00D82957">
      <w:pPr>
        <w:ind w:left="2160" w:hanging="2160"/>
      </w:pPr>
      <w:r>
        <w:tab/>
      </w:r>
      <w:hyperlink r:id="rId7" w:history="1">
        <w:r w:rsidRPr="00ED17AF">
          <w:rPr>
            <w:rStyle w:val="Hyperlink"/>
          </w:rPr>
          <w:t>jbrew@smxblaw.com</w:t>
        </w:r>
      </w:hyperlink>
    </w:p>
    <w:p w:rsidR="00D82957" w:rsidRDefault="00D82957" w:rsidP="00D82957">
      <w:pPr>
        <w:ind w:left="2160" w:hanging="2160"/>
      </w:pPr>
      <w:r>
        <w:tab/>
      </w:r>
      <w:hyperlink r:id="rId8" w:history="1">
        <w:r w:rsidRPr="00ED17AF">
          <w:rPr>
            <w:rStyle w:val="Hyperlink"/>
          </w:rPr>
          <w:t>law@smxblaw.com</w:t>
        </w:r>
      </w:hyperlink>
    </w:p>
    <w:p w:rsidR="00D82957" w:rsidRDefault="00D82957" w:rsidP="00D82957">
      <w:pPr>
        <w:ind w:left="2160" w:hanging="2160"/>
      </w:pPr>
    </w:p>
    <w:p w:rsidR="00D82957" w:rsidRDefault="00D82957" w:rsidP="00D82957">
      <w:pPr>
        <w:keepNext/>
        <w:keepLines/>
      </w:pPr>
      <w:r>
        <w:lastRenderedPageBreak/>
        <w:tab/>
        <w:t xml:space="preserve">By ORDER of Commissioner Ronald A. Brisé, as Prehearing Officer, this </w:t>
      </w:r>
      <w:bookmarkStart w:id="5" w:name="replaceDate"/>
      <w:bookmarkEnd w:id="5"/>
      <w:r w:rsidR="0094233A">
        <w:rPr>
          <w:u w:val="single"/>
        </w:rPr>
        <w:t>17th</w:t>
      </w:r>
      <w:r w:rsidR="0094233A">
        <w:t xml:space="preserve"> day of </w:t>
      </w:r>
      <w:r w:rsidR="0094233A">
        <w:rPr>
          <w:u w:val="single"/>
        </w:rPr>
        <w:t>May</w:t>
      </w:r>
      <w:r w:rsidR="0094233A">
        <w:t xml:space="preserve">, </w:t>
      </w:r>
      <w:r w:rsidR="0094233A">
        <w:rPr>
          <w:u w:val="single"/>
        </w:rPr>
        <w:t>2017</w:t>
      </w:r>
      <w:r w:rsidR="0094233A">
        <w:t>.</w:t>
      </w:r>
    </w:p>
    <w:p w:rsidR="0094233A" w:rsidRPr="0094233A" w:rsidRDefault="0094233A" w:rsidP="00D82957">
      <w:pPr>
        <w:keepNext/>
        <w:keepLines/>
      </w:pPr>
    </w:p>
    <w:tbl>
      <w:tblPr>
        <w:tblW w:w="4720" w:type="dxa"/>
        <w:tblInd w:w="3800" w:type="dxa"/>
        <w:tblLayout w:type="fixed"/>
        <w:tblLook w:val="0000" w:firstRow="0" w:lastRow="0" w:firstColumn="0" w:lastColumn="0" w:noHBand="0" w:noVBand="0"/>
      </w:tblPr>
      <w:tblGrid>
        <w:gridCol w:w="686"/>
        <w:gridCol w:w="4034"/>
      </w:tblGrid>
      <w:tr w:rsidR="00D82957" w:rsidTr="00D82957">
        <w:tc>
          <w:tcPr>
            <w:tcW w:w="686" w:type="dxa"/>
            <w:shd w:val="clear" w:color="auto" w:fill="auto"/>
          </w:tcPr>
          <w:p w:rsidR="00D82957" w:rsidRDefault="00D82957" w:rsidP="00D82957">
            <w:pPr>
              <w:keepNext/>
              <w:keepLines/>
            </w:pPr>
            <w:bookmarkStart w:id="6" w:name="bkmrkSignature" w:colFirst="0" w:colLast="0"/>
          </w:p>
        </w:tc>
        <w:tc>
          <w:tcPr>
            <w:tcW w:w="4034" w:type="dxa"/>
            <w:tcBorders>
              <w:bottom w:val="single" w:sz="4" w:space="0" w:color="auto"/>
            </w:tcBorders>
            <w:shd w:val="clear" w:color="auto" w:fill="auto"/>
          </w:tcPr>
          <w:p w:rsidR="00D82957" w:rsidRDefault="0094233A" w:rsidP="00D82957">
            <w:pPr>
              <w:keepNext/>
              <w:keepLines/>
            </w:pPr>
            <w:r>
              <w:t>/s/ Ronald A. Brisé</w:t>
            </w:r>
            <w:bookmarkStart w:id="7" w:name="_GoBack"/>
            <w:bookmarkEnd w:id="7"/>
          </w:p>
        </w:tc>
      </w:tr>
      <w:bookmarkEnd w:id="6"/>
      <w:tr w:rsidR="00D82957" w:rsidTr="00D82957">
        <w:tc>
          <w:tcPr>
            <w:tcW w:w="686" w:type="dxa"/>
            <w:shd w:val="clear" w:color="auto" w:fill="auto"/>
          </w:tcPr>
          <w:p w:rsidR="00D82957" w:rsidRDefault="00D82957" w:rsidP="00D82957">
            <w:pPr>
              <w:keepNext/>
              <w:keepLines/>
            </w:pPr>
          </w:p>
        </w:tc>
        <w:tc>
          <w:tcPr>
            <w:tcW w:w="4034" w:type="dxa"/>
            <w:tcBorders>
              <w:top w:val="single" w:sz="4" w:space="0" w:color="auto"/>
            </w:tcBorders>
            <w:shd w:val="clear" w:color="auto" w:fill="auto"/>
          </w:tcPr>
          <w:p w:rsidR="00D82957" w:rsidRDefault="00D82957" w:rsidP="00D82957">
            <w:pPr>
              <w:keepNext/>
              <w:keepLines/>
            </w:pPr>
            <w:r>
              <w:t>RONALD A. BRISÉ</w:t>
            </w:r>
          </w:p>
          <w:p w:rsidR="00D82957" w:rsidRDefault="00D82957" w:rsidP="00D82957">
            <w:pPr>
              <w:keepNext/>
              <w:keepLines/>
            </w:pPr>
            <w:r>
              <w:t>Commissioner and Prehearing Officer</w:t>
            </w:r>
          </w:p>
        </w:tc>
      </w:tr>
    </w:tbl>
    <w:p w:rsidR="00D82957" w:rsidRDefault="00D82957" w:rsidP="00D82957">
      <w:pPr>
        <w:pStyle w:val="OrderSigInfo"/>
        <w:keepNext/>
        <w:keepLines/>
      </w:pPr>
      <w:r>
        <w:t>Florida Public Service Commission</w:t>
      </w:r>
    </w:p>
    <w:p w:rsidR="00D82957" w:rsidRDefault="00D82957" w:rsidP="00D82957">
      <w:pPr>
        <w:pStyle w:val="OrderSigInfo"/>
        <w:keepNext/>
        <w:keepLines/>
      </w:pPr>
      <w:r>
        <w:t>2540 Shumard Oak Boulevard</w:t>
      </w:r>
    </w:p>
    <w:p w:rsidR="00D82957" w:rsidRDefault="00D82957" w:rsidP="00D82957">
      <w:pPr>
        <w:pStyle w:val="OrderSigInfo"/>
        <w:keepNext/>
        <w:keepLines/>
      </w:pPr>
      <w:r>
        <w:t>Tallahassee, Florida  32399</w:t>
      </w:r>
    </w:p>
    <w:p w:rsidR="00D82957" w:rsidRDefault="00D82957" w:rsidP="00D82957">
      <w:pPr>
        <w:pStyle w:val="OrderSigInfo"/>
        <w:keepNext/>
        <w:keepLines/>
      </w:pPr>
      <w:r>
        <w:t>(850) 413</w:t>
      </w:r>
      <w:r>
        <w:noBreakHyphen/>
        <w:t>6770</w:t>
      </w:r>
    </w:p>
    <w:p w:rsidR="00D82957" w:rsidRDefault="00D82957" w:rsidP="00D82957">
      <w:pPr>
        <w:pStyle w:val="OrderSigInfo"/>
        <w:keepNext/>
        <w:keepLines/>
      </w:pPr>
      <w:r>
        <w:t>www.floridapsc.com</w:t>
      </w:r>
    </w:p>
    <w:p w:rsidR="00D82957" w:rsidRDefault="00D82957" w:rsidP="00D82957">
      <w:pPr>
        <w:pStyle w:val="OrderSigInfo"/>
        <w:keepNext/>
        <w:keepLines/>
      </w:pPr>
    </w:p>
    <w:p w:rsidR="00D82957" w:rsidRDefault="00D82957" w:rsidP="00D82957">
      <w:pPr>
        <w:pStyle w:val="OrderSigInfo"/>
        <w:keepNext/>
        <w:keepLines/>
      </w:pPr>
      <w:r>
        <w:t>Copies furnished:  A copy of this document is provided to the parties of record at the time of issuance and, if applicable, interested persons.</w:t>
      </w:r>
    </w:p>
    <w:p w:rsidR="00D82957" w:rsidRDefault="00D82957" w:rsidP="00D82957">
      <w:pPr>
        <w:keepNext/>
        <w:keepLines/>
      </w:pPr>
      <w:r>
        <w:t>SBr</w:t>
      </w:r>
    </w:p>
    <w:p w:rsidR="00D82957" w:rsidRDefault="00D82957" w:rsidP="00D82957">
      <w:pPr>
        <w:keepNext/>
        <w:keepLines/>
      </w:pPr>
    </w:p>
    <w:p w:rsidR="00D82957" w:rsidRDefault="00D82957" w:rsidP="00D82957">
      <w:pPr>
        <w:pStyle w:val="CenterUnderline"/>
      </w:pPr>
      <w:r>
        <w:t>NOTICE OF FURTHER PROCEEDINGS OR JUDICIAL REVIEW</w:t>
      </w:r>
    </w:p>
    <w:p w:rsidR="00D82957" w:rsidRDefault="00D82957" w:rsidP="00D82957">
      <w:pPr>
        <w:pStyle w:val="CenterUnderline"/>
      </w:pPr>
    </w:p>
    <w:p w:rsidR="00D82957" w:rsidRDefault="00D82957" w:rsidP="00D829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2957" w:rsidRDefault="00D82957" w:rsidP="00D82957">
      <w:pPr>
        <w:pStyle w:val="OrderBody"/>
      </w:pPr>
    </w:p>
    <w:p w:rsidR="00D82957" w:rsidRDefault="00D82957" w:rsidP="00D82957">
      <w:pPr>
        <w:pStyle w:val="OrderBody"/>
      </w:pPr>
      <w:r>
        <w:tab/>
        <w:t>Mediation may be available on a case-by-case basis.  If mediation is conducted, it does not affect a substantially interested person's right to a hearing.</w:t>
      </w:r>
    </w:p>
    <w:p w:rsidR="00D82957" w:rsidRDefault="00D82957" w:rsidP="00D82957">
      <w:pPr>
        <w:pStyle w:val="OrderBody"/>
      </w:pPr>
    </w:p>
    <w:p w:rsidR="00D82957" w:rsidRDefault="00D82957" w:rsidP="00D829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2957" w:rsidRDefault="00D82957" w:rsidP="00D82957">
      <w:pPr>
        <w:pStyle w:val="OrderBody"/>
      </w:pPr>
    </w:p>
    <w:p w:rsidR="00D82957" w:rsidRDefault="00D82957" w:rsidP="00D82957">
      <w:pPr>
        <w:pStyle w:val="OrderBody"/>
      </w:pPr>
    </w:p>
    <w:p w:rsidR="00D82957" w:rsidRDefault="00D82957" w:rsidP="00D82957">
      <w:pPr>
        <w:pStyle w:val="OrderBody"/>
      </w:pPr>
    </w:p>
    <w:sectPr w:rsidR="00D829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59" w:rsidRDefault="00ED0B59">
      <w:r>
        <w:separator/>
      </w:r>
    </w:p>
  </w:endnote>
  <w:endnote w:type="continuationSeparator" w:id="0">
    <w:p w:rsidR="00ED0B59" w:rsidRDefault="00ED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59" w:rsidRDefault="00ED0B59">
      <w:r>
        <w:separator/>
      </w:r>
    </w:p>
  </w:footnote>
  <w:footnote w:type="continuationSeparator" w:id="0">
    <w:p w:rsidR="00ED0B59" w:rsidRDefault="00ED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1 ">
      <w:r w:rsidR="0094233A">
        <w:t>PSC-17-0181-PCO-EI</w:t>
      </w:r>
    </w:fldSimple>
  </w:p>
  <w:p w:rsidR="00FA6EFD" w:rsidRDefault="00ED0B59">
    <w:pPr>
      <w:pStyle w:val="OrderHeader"/>
    </w:pPr>
    <w:bookmarkStart w:id="8" w:name="HeaderDocketNo"/>
    <w:bookmarkEnd w:id="8"/>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33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ED0B59"/>
    <w:rsid w:val="0000111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155A"/>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2EB3"/>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85"/>
    <w:rsid w:val="008E26A5"/>
    <w:rsid w:val="008E42D2"/>
    <w:rsid w:val="009040EE"/>
    <w:rsid w:val="009057FD"/>
    <w:rsid w:val="00906FBA"/>
    <w:rsid w:val="00922A7F"/>
    <w:rsid w:val="00923A5E"/>
    <w:rsid w:val="00931C8C"/>
    <w:rsid w:val="0094233A"/>
    <w:rsid w:val="0094504B"/>
    <w:rsid w:val="009924CF"/>
    <w:rsid w:val="00994100"/>
    <w:rsid w:val="009B4554"/>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C5FF8"/>
    <w:rsid w:val="00BF6691"/>
    <w:rsid w:val="00C028FC"/>
    <w:rsid w:val="00C151A6"/>
    <w:rsid w:val="00C24098"/>
    <w:rsid w:val="00C30A4E"/>
    <w:rsid w:val="00C411F3"/>
    <w:rsid w:val="00C66692"/>
    <w:rsid w:val="00C91123"/>
    <w:rsid w:val="00CA71FF"/>
    <w:rsid w:val="00CB5276"/>
    <w:rsid w:val="00CB68D7"/>
    <w:rsid w:val="00CC7E68"/>
    <w:rsid w:val="00CD57FF"/>
    <w:rsid w:val="00CD7132"/>
    <w:rsid w:val="00CE0E6F"/>
    <w:rsid w:val="00CE56FC"/>
    <w:rsid w:val="00CE7164"/>
    <w:rsid w:val="00CF4CFE"/>
    <w:rsid w:val="00D02E0F"/>
    <w:rsid w:val="00D23FEA"/>
    <w:rsid w:val="00D269CA"/>
    <w:rsid w:val="00D30B48"/>
    <w:rsid w:val="00D46FAA"/>
    <w:rsid w:val="00D47A40"/>
    <w:rsid w:val="00D57BB2"/>
    <w:rsid w:val="00D57E57"/>
    <w:rsid w:val="00D829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D0B59"/>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D0B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D0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smxblaw.com" TargetMode="Externa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1021</Words>
  <Characters>5646</Characters>
  <Application>Microsoft Office Word</Application>
  <DocSecurity>0</DocSecurity>
  <Lines>120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2017-05-17T14:25:00Z</dcterms:created>
  <dcterms:modified xsi:type="dcterms:W3CDTF">2017-05-17T14:40:00Z</dcterms:modified>
</cp:coreProperties>
</file>