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8D092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154BE">
            <w:pPr>
              <w:jc w:val="center"/>
            </w:pPr>
            <w:r>
              <w:rPr>
                <w:noProof/>
              </w:rPr>
              <w:drawing>
                <wp:inline distT="0" distB="0" distL="0" distR="0">
                  <wp:extent cx="922655"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EE7FAE" w:rsidRDefault="007C0528">
            <w:pPr>
              <w:pStyle w:val="MastHeadMemorandum"/>
              <w:rPr>
                <w:lang w:val="es-MX"/>
              </w:rPr>
            </w:pPr>
            <w:r w:rsidRPr="00EE7FAE">
              <w:rPr>
                <w:lang w:val="es-MX"/>
              </w:rPr>
              <w:t>-M-E-M-O-R-A-N-D-U-M-</w:t>
            </w:r>
          </w:p>
          <w:p w:rsidR="007C0528" w:rsidRPr="00EE7FAE"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23532" w:rsidP="00A23532">
            <w:pPr>
              <w:pStyle w:val="MemoHeading"/>
            </w:pPr>
            <w:bookmarkStart w:id="1" w:name="FilingDate"/>
            <w:r>
              <w:t>May 24</w:t>
            </w:r>
            <w:r w:rsidR="002D14A1">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D14A1" w:rsidRDefault="002D14A1">
            <w:pPr>
              <w:pStyle w:val="MemoHeading"/>
            </w:pPr>
            <w:bookmarkStart w:id="2" w:name="From"/>
            <w:r>
              <w:t>Division of Economics (Rome</w:t>
            </w:r>
            <w:r w:rsidR="00730054">
              <w:t>, Draper</w:t>
            </w:r>
            <w:r>
              <w:t>)</w:t>
            </w:r>
          </w:p>
          <w:p w:rsidR="007C0528" w:rsidRDefault="002D14A1">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D14A1">
            <w:pPr>
              <w:pStyle w:val="MemoHeadingRe"/>
            </w:pPr>
            <w:bookmarkStart w:id="3" w:name="Re"/>
            <w:r>
              <w:t>Docket No. 170088-EI – Petition for approval of tariff modifications,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D14A1" w:rsidP="003C7B5D">
            <w:pPr>
              <w:pStyle w:val="MemoHeading"/>
            </w:pPr>
            <w:bookmarkStart w:id="4" w:name="AgendaDate"/>
            <w:r>
              <w:t>0</w:t>
            </w:r>
            <w:r w:rsidR="00A23532">
              <w:t>6</w:t>
            </w:r>
            <w:r>
              <w:t>/</w:t>
            </w:r>
            <w:r w:rsidR="00A23532">
              <w:t>0</w:t>
            </w:r>
            <w:r w:rsidR="003C7B5D">
              <w:t>5</w:t>
            </w:r>
            <w:r>
              <w:t>/17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D14A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D14A1">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91A98" w:rsidP="00391A98">
            <w:pPr>
              <w:pStyle w:val="MemoHeading"/>
            </w:pPr>
            <w:bookmarkStart w:id="9" w:name="CriticalDates"/>
            <w:r>
              <w:t>06</w:t>
            </w:r>
            <w:r w:rsidR="002D14A1">
              <w:t>/17/17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90352" w:rsidP="00391A98">
            <w:pPr>
              <w:pStyle w:val="MemoHeading"/>
            </w:pPr>
            <w:bookmarkStart w:id="10" w:name="SpecialInstructions"/>
            <w:r>
              <w:t>P</w:t>
            </w:r>
            <w:r w:rsidR="002D14A1">
              <w:t>lace prior to Docket No. 170090-GU</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8B4E37" w:rsidRDefault="00F8497C">
      <w:pPr>
        <w:pStyle w:val="BodyText"/>
      </w:pPr>
      <w:r>
        <w:t xml:space="preserve">On April 18, 2017, Tampa Electric Company (TECO or Company) filed a petition requesting Commission approval of </w:t>
      </w:r>
      <w:r w:rsidR="000137CE">
        <w:t xml:space="preserve">amendments to </w:t>
      </w:r>
      <w:r w:rsidR="00E932C6">
        <w:t>Tariff Sheet Nos. 5.135 (Deposits) and 6.030 (Residential Service)</w:t>
      </w:r>
      <w:r w:rsidR="00391A98">
        <w:t>.</w:t>
      </w:r>
      <w:r w:rsidR="00E932C6">
        <w:t xml:space="preserve"> </w:t>
      </w:r>
      <w:r w:rsidR="00EE7FAE">
        <w:t xml:space="preserve">During the 2015 session, the Florida Legislature enacted House Bill 7109 which was incorporated into Chapter 2015-129, Laws of Florida. Among other things, the legislation created </w:t>
      </w:r>
      <w:r w:rsidR="00183E32">
        <w:t>Section</w:t>
      </w:r>
      <w:r w:rsidR="00EE7FAE">
        <w:t xml:space="preserve"> 366.05(1</w:t>
      </w:r>
      <w:proofErr w:type="gramStart"/>
      <w:r w:rsidR="00EE7FAE">
        <w:t>)(</w:t>
      </w:r>
      <w:proofErr w:type="gramEnd"/>
      <w:r w:rsidR="00EE7FAE">
        <w:t xml:space="preserve">b) and (c), </w:t>
      </w:r>
      <w:r w:rsidR="001D71B4">
        <w:t>Florida Statutes (</w:t>
      </w:r>
      <w:r w:rsidR="00EE7FAE">
        <w:t>F.S.</w:t>
      </w:r>
      <w:r w:rsidR="001D71B4">
        <w:t>).</w:t>
      </w:r>
      <w:r w:rsidR="00EE7FAE">
        <w:t xml:space="preserve"> </w:t>
      </w:r>
      <w:r w:rsidR="00F15472">
        <w:t xml:space="preserve">Paragraph </w:t>
      </w:r>
      <w:r w:rsidR="006255A1">
        <w:t>(1</w:t>
      </w:r>
      <w:proofErr w:type="gramStart"/>
      <w:r w:rsidR="006255A1">
        <w:t>)(</w:t>
      </w:r>
      <w:proofErr w:type="gramEnd"/>
      <w:r w:rsidR="006255A1">
        <w:t xml:space="preserve">b) addresses billing periods and </w:t>
      </w:r>
      <w:r w:rsidR="00F15472">
        <w:t xml:space="preserve">Paragraph </w:t>
      </w:r>
      <w:r w:rsidR="006255A1">
        <w:t xml:space="preserve">(1)(c) addresses customer deposits. </w:t>
      </w:r>
      <w:r w:rsidR="00D371D7">
        <w:t>These laws became effective on July 1, 2015.</w:t>
      </w:r>
      <w:r w:rsidR="00CA148C">
        <w:t xml:space="preserve"> </w:t>
      </w:r>
      <w:r w:rsidR="00F16BCB">
        <w:t>T</w:t>
      </w:r>
      <w:r w:rsidR="00D371D7">
        <w:t>he Commission adopted amendments to Rules 25-6.100 (Customer Billings) and 25-6.097 (Customer Deposits),</w:t>
      </w:r>
      <w:r w:rsidR="00725B79">
        <w:t xml:space="preserve"> Florida Administrative Code (F.A.C.),</w:t>
      </w:r>
      <w:r w:rsidR="00D371D7">
        <w:t xml:space="preserve"> respectively</w:t>
      </w:r>
      <w:r w:rsidR="00F16BCB">
        <w:t xml:space="preserve">, to </w:t>
      </w:r>
      <w:r w:rsidR="00F15472">
        <w:t>implement</w:t>
      </w:r>
      <w:r w:rsidR="00F16BCB">
        <w:t xml:space="preserve"> the laws enacted in July 2015</w:t>
      </w:r>
      <w:r w:rsidR="00D371D7">
        <w:t>.</w:t>
      </w:r>
      <w:r w:rsidR="00817675">
        <w:rPr>
          <w:rStyle w:val="FootnoteReference"/>
        </w:rPr>
        <w:footnoteReference w:id="1"/>
      </w:r>
    </w:p>
    <w:p w:rsidR="00817675" w:rsidRDefault="00817675">
      <w:pPr>
        <w:pStyle w:val="BodyText"/>
      </w:pPr>
      <w:r>
        <w:lastRenderedPageBreak/>
        <w:t xml:space="preserve">TECO is requesting </w:t>
      </w:r>
      <w:r w:rsidR="00FB3AA1">
        <w:t>tariff modifications at this time to ensure that the Company’s tariff language continues to co</w:t>
      </w:r>
      <w:r w:rsidR="00D57476">
        <w:t>nform to</w:t>
      </w:r>
      <w:r w:rsidR="00FB3AA1">
        <w:t xml:space="preserve"> the applicable statutes and Commission rules. The Commission has jurisdiction in this matter pursuant to Sections 366.03, 366.05, and 366.06,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91A98" w:rsidRDefault="00391A98">
      <w:pPr>
        <w:pStyle w:val="IssueHeading"/>
        <w:rPr>
          <w:vanish/>
          <w:specVanish/>
        </w:rPr>
      </w:pPr>
      <w:r w:rsidRPr="004C3641">
        <w:t xml:space="preserve">Issue </w:t>
      </w:r>
      <w:r w:rsidR="002C717F">
        <w:fldChar w:fldCharType="begin"/>
      </w:r>
      <w:r w:rsidR="002C717F">
        <w:instrText xml:space="preserve"> SEQ Issue \* MERGEFORMAT </w:instrText>
      </w:r>
      <w:r w:rsidR="002C717F">
        <w:fldChar w:fldCharType="separate"/>
      </w:r>
      <w:r w:rsidR="000E663E">
        <w:rPr>
          <w:noProof/>
        </w:rPr>
        <w:t>1</w:t>
      </w:r>
      <w:r w:rsidR="002C717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E663E">
        <w:rPr>
          <w:noProof/>
        </w:rPr>
        <w:instrText>1</w:instrText>
      </w:r>
      <w:r>
        <w:fldChar w:fldCharType="end"/>
      </w:r>
      <w:r>
        <w:tab/>
        <w:instrText xml:space="preserve">(Rome)" \l 1 </w:instrText>
      </w:r>
      <w:r>
        <w:fldChar w:fldCharType="end"/>
      </w:r>
      <w:r>
        <w:t> </w:t>
      </w:r>
    </w:p>
    <w:p w:rsidR="00391A98" w:rsidRDefault="00391A98">
      <w:pPr>
        <w:pStyle w:val="BodyText"/>
      </w:pPr>
      <w:r>
        <w:t xml:space="preserve"> Should the Commission approve </w:t>
      </w:r>
      <w:r w:rsidR="00C45E40">
        <w:t>TECO’s proposed</w:t>
      </w:r>
      <w:r>
        <w:t xml:space="preserve"> tariff modifications?</w:t>
      </w:r>
    </w:p>
    <w:p w:rsidR="00391A98" w:rsidRPr="004C3641" w:rsidRDefault="00391A98">
      <w:pPr>
        <w:pStyle w:val="IssueSubsectionHeading"/>
        <w:rPr>
          <w:vanish/>
          <w:specVanish/>
        </w:rPr>
      </w:pPr>
      <w:r w:rsidRPr="004C3641">
        <w:t>Recommendation: </w:t>
      </w:r>
    </w:p>
    <w:p w:rsidR="00391A98" w:rsidRDefault="00391A98">
      <w:pPr>
        <w:pStyle w:val="BodyText"/>
      </w:pPr>
      <w:r>
        <w:t> Yes</w:t>
      </w:r>
      <w:r w:rsidR="008D7713">
        <w:t xml:space="preserve">, the Commission should approve TECO’s requested modifications to Tariff Sheet Nos. 5.135 and </w:t>
      </w:r>
      <w:r w:rsidR="002A7D2F">
        <w:t xml:space="preserve">6.030, as reflected in Attachment A, effective June </w:t>
      </w:r>
      <w:r w:rsidR="000E663E">
        <w:t>5</w:t>
      </w:r>
      <w:r w:rsidR="002A7D2F">
        <w:t>, 2017</w:t>
      </w:r>
      <w:r>
        <w:t>. (Rome</w:t>
      </w:r>
      <w:r w:rsidR="00730054">
        <w:t>, Draper</w:t>
      </w:r>
      <w:r>
        <w:t>)</w:t>
      </w:r>
    </w:p>
    <w:p w:rsidR="00391A98" w:rsidRPr="004C3641" w:rsidRDefault="00391A98">
      <w:pPr>
        <w:pStyle w:val="IssueSubsectionHeading"/>
        <w:rPr>
          <w:vanish/>
          <w:specVanish/>
        </w:rPr>
      </w:pPr>
      <w:r w:rsidRPr="004C3641">
        <w:t>Staff Analysis: </w:t>
      </w:r>
    </w:p>
    <w:p w:rsidR="00C45E40" w:rsidRDefault="00391A98">
      <w:pPr>
        <w:pStyle w:val="BodyText"/>
      </w:pPr>
      <w:r>
        <w:t> </w:t>
      </w:r>
      <w:r w:rsidR="003A352C">
        <w:t>TECO’s proposed tariff modifications are designed to conform TECO’s tariff to the applicable statutes and Commission rules. The two tariff modifications are discussed below.</w:t>
      </w:r>
    </w:p>
    <w:p w:rsidR="00C45E40" w:rsidRDefault="00C45E40" w:rsidP="00C45E40">
      <w:pPr>
        <w:pStyle w:val="First-LevelSubheading"/>
      </w:pPr>
      <w:r>
        <w:t>Billing Period</w:t>
      </w:r>
    </w:p>
    <w:p w:rsidR="00D015B2" w:rsidRDefault="00931E54">
      <w:pPr>
        <w:pStyle w:val="BodyText"/>
      </w:pPr>
      <w:r>
        <w:t>Section</w:t>
      </w:r>
      <w:r w:rsidR="005C089D">
        <w:t xml:space="preserve"> 366.05(1</w:t>
      </w:r>
      <w:proofErr w:type="gramStart"/>
      <w:r w:rsidR="005C089D">
        <w:t>)(</w:t>
      </w:r>
      <w:proofErr w:type="gramEnd"/>
      <w:r w:rsidR="005C089D">
        <w:t>b), F.S., provides that if the Commission authorizes a public utility to charge tiered rates based upon levels of usage and to vary its regular billing period, the utility may not charge a customer a higher rate because of an increase in usage attributable to an extension of the billing period; however, the regular meter reading date may not be advanced or postponed more than five days for routine operating reasons without prorating the billing for the period</w:t>
      </w:r>
      <w:r w:rsidR="00391A98">
        <w:t>.</w:t>
      </w:r>
      <w:r w:rsidR="005C089D">
        <w:t xml:space="preserve"> </w:t>
      </w:r>
      <w:r w:rsidR="009A68ED">
        <w:t xml:space="preserve">The Commission </w:t>
      </w:r>
      <w:r w:rsidR="00DB1482">
        <w:t>amended</w:t>
      </w:r>
      <w:r w:rsidR="009A68ED">
        <w:t xml:space="preserve"> Rule 25-6.100, F.A.C., to </w:t>
      </w:r>
      <w:r w:rsidR="00DB1482">
        <w:t>implement</w:t>
      </w:r>
      <w:r w:rsidR="009A68ED">
        <w:t xml:space="preserve"> with the statutory changes.</w:t>
      </w:r>
      <w:r w:rsidR="00296D4B">
        <w:rPr>
          <w:rStyle w:val="FootnoteReference"/>
        </w:rPr>
        <w:footnoteReference w:id="2"/>
      </w:r>
      <w:r w:rsidR="00D015B2">
        <w:t xml:space="preserve"> The prior rule specified that the regular meter reading date may be advanced or postponed not more than 5 days without a proration of the billing for the period, but did not address the application of tiered rates to extended billing periods. Tiered rates, such as TECO’s residential </w:t>
      </w:r>
      <w:r w:rsidR="000A2D60">
        <w:t>energy charges</w:t>
      </w:r>
      <w:r w:rsidR="00D015B2">
        <w:t xml:space="preserve">, apply a higher </w:t>
      </w:r>
      <w:r w:rsidR="00EE33B6">
        <w:t xml:space="preserve">energy </w:t>
      </w:r>
      <w:r w:rsidR="00D015B2">
        <w:t xml:space="preserve">charge to usage above 1,000 kilowatt hours. </w:t>
      </w:r>
    </w:p>
    <w:p w:rsidR="009A68ED" w:rsidRDefault="009A68ED">
      <w:pPr>
        <w:pStyle w:val="BodyText"/>
      </w:pPr>
      <w:r>
        <w:t xml:space="preserve">TECO </w:t>
      </w:r>
      <w:r w:rsidR="00931E54">
        <w:t xml:space="preserve">has </w:t>
      </w:r>
      <w:r>
        <w:t xml:space="preserve">proposed </w:t>
      </w:r>
      <w:r w:rsidR="00CA148C">
        <w:t>to add a paragraph</w:t>
      </w:r>
      <w:r>
        <w:t xml:space="preserve"> </w:t>
      </w:r>
      <w:r w:rsidR="00CA148C">
        <w:t>on</w:t>
      </w:r>
      <w:r>
        <w:t xml:space="preserve"> Tariff Sheet No. 6.030 to reflect the statutory requirements</w:t>
      </w:r>
      <w:r w:rsidR="008769ED">
        <w:t xml:space="preserve"> and to </w:t>
      </w:r>
      <w:r w:rsidR="006608C1">
        <w:t>include</w:t>
      </w:r>
      <w:r w:rsidR="008769ED">
        <w:t xml:space="preserve"> TECO’s current billing practices</w:t>
      </w:r>
      <w:r w:rsidR="006608C1">
        <w:t xml:space="preserve"> in </w:t>
      </w:r>
      <w:r w:rsidR="00DB1482">
        <w:t>its</w:t>
      </w:r>
      <w:r w:rsidR="006608C1">
        <w:t xml:space="preserve"> tariff</w:t>
      </w:r>
      <w:r>
        <w:t xml:space="preserve">. The </w:t>
      </w:r>
      <w:r w:rsidR="008769ED">
        <w:t>proposed</w:t>
      </w:r>
      <w:r>
        <w:t xml:space="preserve"> tariff language addresses both the proration of charges when billing periods are varied by more than five days</w:t>
      </w:r>
      <w:r w:rsidR="00725B79">
        <w:t>,</w:t>
      </w:r>
      <w:r>
        <w:t xml:space="preserve"> as well as the </w:t>
      </w:r>
      <w:r w:rsidR="008472F7">
        <w:t xml:space="preserve">prohibition </w:t>
      </w:r>
      <w:r w:rsidR="00725B79">
        <w:t>against</w:t>
      </w:r>
      <w:r w:rsidR="008472F7">
        <w:t xml:space="preserve"> charging higher tiered rates if the extension of a billing period of more than five days causes a customer’s energy consumption to exceed the Company’s tier threshold of 1,000 kilowatt-hours</w:t>
      </w:r>
      <w:r w:rsidR="00396219">
        <w:t>, based on average daily usage</w:t>
      </w:r>
      <w:r w:rsidR="008472F7">
        <w:t>.</w:t>
      </w:r>
      <w:r w:rsidR="008769ED">
        <w:t xml:space="preserve"> TECO </w:t>
      </w:r>
      <w:r w:rsidR="00725B79">
        <w:t xml:space="preserve">has </w:t>
      </w:r>
      <w:r w:rsidR="008769ED">
        <w:t xml:space="preserve">represented to staff that TECO historically has followed the bill proration practices outlined in </w:t>
      </w:r>
      <w:r w:rsidR="00931E54">
        <w:t>Section</w:t>
      </w:r>
      <w:r w:rsidR="008769ED">
        <w:t xml:space="preserve"> 366.05(1</w:t>
      </w:r>
      <w:proofErr w:type="gramStart"/>
      <w:r w:rsidR="008769ED">
        <w:t>)(</w:t>
      </w:r>
      <w:proofErr w:type="gramEnd"/>
      <w:r w:rsidR="008769ED">
        <w:t>b), F.S.</w:t>
      </w:r>
    </w:p>
    <w:p w:rsidR="00C45E40" w:rsidRDefault="00C45E40" w:rsidP="00C45E40">
      <w:pPr>
        <w:pStyle w:val="First-LevelSubheading"/>
      </w:pPr>
      <w:r>
        <w:t>Customer Deposits</w:t>
      </w:r>
    </w:p>
    <w:p w:rsidR="007637E5" w:rsidRDefault="00931E54">
      <w:pPr>
        <w:pStyle w:val="BodyText"/>
      </w:pPr>
      <w:r>
        <w:t>Section</w:t>
      </w:r>
      <w:r w:rsidR="007637E5">
        <w:t xml:space="preserve"> 366.05(1</w:t>
      </w:r>
      <w:proofErr w:type="gramStart"/>
      <w:r w:rsidR="007637E5">
        <w:t>)(</w:t>
      </w:r>
      <w:proofErr w:type="gramEnd"/>
      <w:r w:rsidR="007637E5">
        <w:t xml:space="preserve">c), F.S., provides </w:t>
      </w:r>
      <w:r w:rsidR="003A352C">
        <w:t>that for an existing account, the total deposit may not exceed two months of average actual charges</w:t>
      </w:r>
      <w:r w:rsidR="00C11220">
        <w:t xml:space="preserve">. </w:t>
      </w:r>
      <w:r w:rsidR="007F3F6A">
        <w:t>F</w:t>
      </w:r>
      <w:r w:rsidR="003A352C">
        <w:t>or a new service request, the total deposit may not exceed two months of projected charges.</w:t>
      </w:r>
      <w:r w:rsidR="00C11220">
        <w:t xml:space="preserve"> </w:t>
      </w:r>
      <w:r w:rsidR="00A1491A">
        <w:t>Once a new customer has had continuous service for a 12-month period, the amount of the deposit shall be recalculated using actual data. Any difference between the projected and actual amounts must be resolved by the customer paying the additional amount that may be billed by the utility or the utility returning any overcharge.</w:t>
      </w:r>
    </w:p>
    <w:p w:rsidR="007F3F6A" w:rsidRDefault="008F205E">
      <w:pPr>
        <w:pStyle w:val="BodyText"/>
      </w:pPr>
      <w:r>
        <w:t xml:space="preserve">The Commission </w:t>
      </w:r>
      <w:r w:rsidR="00DB1482">
        <w:t>amended</w:t>
      </w:r>
      <w:r>
        <w:t xml:space="preserve"> </w:t>
      </w:r>
      <w:r w:rsidR="00725B79">
        <w:t>Rule</w:t>
      </w:r>
      <w:r>
        <w:t xml:space="preserve"> 25-6.097(1), F.A.C., </w:t>
      </w:r>
      <w:r w:rsidR="00795A4F">
        <w:t xml:space="preserve">to state that the utility’s methodology for determining customer deposits for existing and new accounts shall conform to </w:t>
      </w:r>
      <w:r w:rsidR="00931E54">
        <w:t>Section</w:t>
      </w:r>
      <w:r w:rsidR="00CA148C">
        <w:t xml:space="preserve"> </w:t>
      </w:r>
      <w:r w:rsidR="00795A4F">
        <w:t>366.05(1</w:t>
      </w:r>
      <w:proofErr w:type="gramStart"/>
      <w:r w:rsidR="00795A4F">
        <w:t>)(</w:t>
      </w:r>
      <w:proofErr w:type="gramEnd"/>
      <w:r w:rsidR="00795A4F">
        <w:t>c), F.S.</w:t>
      </w:r>
      <w:r w:rsidR="00296D4B">
        <w:rPr>
          <w:rStyle w:val="FootnoteReference"/>
        </w:rPr>
        <w:footnoteReference w:id="3"/>
      </w:r>
      <w:r w:rsidR="00795A4F">
        <w:t xml:space="preserve"> </w:t>
      </w:r>
      <w:r w:rsidR="007F3F6A">
        <w:t xml:space="preserve">The prior rule language already required that the total amount of a deposit not </w:t>
      </w:r>
      <w:r w:rsidR="007F3F6A">
        <w:lastRenderedPageBreak/>
        <w:t xml:space="preserve">exceed </w:t>
      </w:r>
      <w:r w:rsidR="003B6B73">
        <w:t>twice the average monthly bill</w:t>
      </w:r>
      <w:r w:rsidR="007F3F6A">
        <w:t>; that provision is contained in TECO’s current tariff (Tariff Sheet No. 5.130) and TECO is not proposing to modify that tariff</w:t>
      </w:r>
      <w:r w:rsidR="001D71B4">
        <w:t xml:space="preserve"> sheet</w:t>
      </w:r>
      <w:r w:rsidR="007F3F6A">
        <w:t xml:space="preserve">. </w:t>
      </w:r>
    </w:p>
    <w:p w:rsidR="00A1491A" w:rsidRDefault="00795A4F">
      <w:pPr>
        <w:pStyle w:val="BodyText"/>
      </w:pPr>
      <w:r>
        <w:t xml:space="preserve">TECO’s proposed addition to Tariff Sheet No. 5.135 </w:t>
      </w:r>
      <w:r w:rsidR="00EE33B6">
        <w:t>conforms to</w:t>
      </w:r>
      <w:r w:rsidR="00E1636B">
        <w:t xml:space="preserve"> th</w:t>
      </w:r>
      <w:r w:rsidR="007F3F6A">
        <w:t>e</w:t>
      </w:r>
      <w:r w:rsidR="00E1636B">
        <w:t xml:space="preserve"> </w:t>
      </w:r>
      <w:r w:rsidR="007F3F6A">
        <w:t xml:space="preserve">new statutory </w:t>
      </w:r>
      <w:r w:rsidR="00E1636B">
        <w:t>language</w:t>
      </w:r>
      <w:r w:rsidR="007F3F6A">
        <w:t xml:space="preserve"> regarding the recalculation of the deposit after 12-months</w:t>
      </w:r>
      <w:r w:rsidR="00EE33B6">
        <w:t>.</w:t>
      </w:r>
      <w:r w:rsidR="00E1636B">
        <w:t xml:space="preserve"> </w:t>
      </w:r>
      <w:r w:rsidR="007F3F6A">
        <w:t xml:space="preserve">TECO’s proposed addition to Tariff Sheet No. 5.135 comports with this language </w:t>
      </w:r>
      <w:r w:rsidR="00E1636B">
        <w:t>by providing that: (a) if the recalculated deposit amount based on the previous 12-months billing history is less than the customer’s current deposit amount, the difference between the deposit amounts will be refunded or applied as a credit to the customer account</w:t>
      </w:r>
      <w:r w:rsidR="00931E54">
        <w:t>;</w:t>
      </w:r>
      <w:r w:rsidR="00E1636B">
        <w:t xml:space="preserve"> and (b) if the recalculated deposit amount exceeds the customer’s current deposit amount, the Company may request an additional deposit amount.</w:t>
      </w:r>
    </w:p>
    <w:p w:rsidR="00E1636B" w:rsidRDefault="00D51EDF">
      <w:pPr>
        <w:pStyle w:val="BodyText"/>
      </w:pPr>
      <w:r>
        <w:t>P</w:t>
      </w:r>
      <w:r w:rsidR="00E1636B">
        <w:t>ursuant to Rule 25-6.097</w:t>
      </w:r>
      <w:r w:rsidR="00593F3E">
        <w:t>(3), F.A.C., utility customers receive refunds of their deposits with interest after a period of 23 months of continuous service, assuming their payment record is satisfactory. Therefore, for the majority of utility customers, the deposit amount recalculation after a 12</w:t>
      </w:r>
      <w:r w:rsidR="0049303D">
        <w:t>-month period of continuous service occurs only once.</w:t>
      </w:r>
    </w:p>
    <w:p w:rsidR="0049303D" w:rsidRDefault="006B0AFC" w:rsidP="006B0AFC">
      <w:pPr>
        <w:pStyle w:val="First-LevelSubheading"/>
      </w:pPr>
      <w:r>
        <w:t>Conclusion</w:t>
      </w:r>
    </w:p>
    <w:p w:rsidR="006B0AFC" w:rsidRDefault="006B0AFC">
      <w:pPr>
        <w:pStyle w:val="BodyText"/>
      </w:pPr>
      <w:r>
        <w:t xml:space="preserve">Based on a review of the applicable statutes, Commission rules, and </w:t>
      </w:r>
      <w:r w:rsidR="00B176C7">
        <w:t xml:space="preserve">proposed tariffs filed by TECO, staff believes that the tariff sheet revisions conform to the applicable statutes and Commission rules. Therefore, staff recommends that the Commission approve TECO’s requested modifications to Tariff Sheet Nos. 5.135 and 6.030, as reflected in Attachment A, effective June </w:t>
      </w:r>
      <w:r w:rsidR="000E663E">
        <w:t>5</w:t>
      </w:r>
      <w:r w:rsidR="00B176C7">
        <w:t>, 2017.</w:t>
      </w:r>
    </w:p>
    <w:p w:rsidR="0049303D" w:rsidRDefault="0049303D">
      <w:pPr>
        <w:pStyle w:val="BodyText"/>
      </w:pPr>
    </w:p>
    <w:p w:rsidR="00391A98" w:rsidRDefault="00391A98">
      <w:pPr>
        <w:pStyle w:val="IssueHeading"/>
        <w:rPr>
          <w:vanish/>
          <w:specVanish/>
        </w:rPr>
      </w:pPr>
      <w:r w:rsidRPr="004C3641">
        <w:rPr>
          <w:b w:val="0"/>
          <w:i w:val="0"/>
        </w:rPr>
        <w:br w:type="page"/>
      </w:r>
      <w:r w:rsidRPr="004C3641">
        <w:lastRenderedPageBreak/>
        <w:t xml:space="preserve">Issue </w:t>
      </w:r>
      <w:r w:rsidR="002C717F">
        <w:fldChar w:fldCharType="begin"/>
      </w:r>
      <w:r w:rsidR="002C717F">
        <w:instrText xml:space="preserve"> SEQ Issue \* MERGEFORMAT </w:instrText>
      </w:r>
      <w:r w:rsidR="002C717F">
        <w:fldChar w:fldCharType="separate"/>
      </w:r>
      <w:r w:rsidR="000E663E">
        <w:rPr>
          <w:noProof/>
        </w:rPr>
        <w:t>2</w:t>
      </w:r>
      <w:r w:rsidR="002C717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E663E">
        <w:rPr>
          <w:noProof/>
        </w:rPr>
        <w:instrText>2</w:instrText>
      </w:r>
      <w:r>
        <w:fldChar w:fldCharType="end"/>
      </w:r>
      <w:r>
        <w:tab/>
        <w:instrText xml:space="preserve">(Brownless)" \l 1 </w:instrText>
      </w:r>
      <w:r>
        <w:fldChar w:fldCharType="end"/>
      </w:r>
      <w:r>
        <w:t> </w:t>
      </w:r>
    </w:p>
    <w:p w:rsidR="00391A98" w:rsidRDefault="00391A98">
      <w:pPr>
        <w:pStyle w:val="BodyText"/>
      </w:pPr>
      <w:r>
        <w:t> Should this docket be closed?</w:t>
      </w:r>
    </w:p>
    <w:p w:rsidR="00391A98" w:rsidRPr="004C3641" w:rsidRDefault="00391A98">
      <w:pPr>
        <w:pStyle w:val="IssueSubsectionHeading"/>
        <w:rPr>
          <w:vanish/>
          <w:specVanish/>
        </w:rPr>
      </w:pPr>
      <w:r w:rsidRPr="004C3641">
        <w:t>Recommendation: </w:t>
      </w:r>
    </w:p>
    <w:p w:rsidR="00391A98" w:rsidRDefault="00391A98">
      <w:pPr>
        <w:pStyle w:val="BodyText"/>
      </w:pPr>
      <w:r>
        <w:t> </w:t>
      </w:r>
      <w:r w:rsidR="00112F80">
        <w:t>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r>
        <w:t>. (Brownless)</w:t>
      </w:r>
    </w:p>
    <w:p w:rsidR="00391A98" w:rsidRPr="004C3641" w:rsidRDefault="00391A98">
      <w:pPr>
        <w:pStyle w:val="IssueSubsectionHeading"/>
        <w:rPr>
          <w:vanish/>
          <w:specVanish/>
        </w:rPr>
      </w:pPr>
      <w:r w:rsidRPr="004C3641">
        <w:t>Staff Analysis: </w:t>
      </w:r>
    </w:p>
    <w:p w:rsidR="00391A98" w:rsidRDefault="00391A98">
      <w:pPr>
        <w:pStyle w:val="BodyText"/>
      </w:pPr>
      <w:r>
        <w:t> </w:t>
      </w:r>
      <w:r w:rsidR="004A0AFF">
        <w:t>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E06484" w:rsidRDefault="00E06484" w:rsidP="00E275D8">
      <w:pPr>
        <w:pStyle w:val="BodyText"/>
      </w:pPr>
    </w:p>
    <w:p w:rsidR="00D21DBA" w:rsidRDefault="00D21DBA" w:rsidP="00E275D8">
      <w:pPr>
        <w:pStyle w:val="BodyText"/>
        <w:sectPr w:rsidR="00D21DB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260E89" w:rsidRDefault="00D21DBA" w:rsidP="00E275D8">
      <w:pPr>
        <w:pStyle w:val="BodyText"/>
        <w:sectPr w:rsidR="00260E89"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10065EC3" wp14:editId="1E2BAECE">
            <wp:extent cx="5943600" cy="7565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565390"/>
                    </a:xfrm>
                    <a:prstGeom prst="rect">
                      <a:avLst/>
                    </a:prstGeom>
                  </pic:spPr>
                </pic:pic>
              </a:graphicData>
            </a:graphic>
          </wp:inline>
        </w:drawing>
      </w:r>
    </w:p>
    <w:p w:rsidR="00432BCA" w:rsidRDefault="007C4CC6" w:rsidP="00E275D8">
      <w:pPr>
        <w:pStyle w:val="BodyText"/>
      </w:pPr>
      <w:r>
        <w:rPr>
          <w:noProof/>
        </w:rPr>
        <w:lastRenderedPageBreak/>
        <w:drawing>
          <wp:inline distT="0" distB="0" distL="0" distR="0" wp14:anchorId="3899D512" wp14:editId="58D13F7A">
            <wp:extent cx="5943600" cy="76758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7675880"/>
                    </a:xfrm>
                    <a:prstGeom prst="rect">
                      <a:avLst/>
                    </a:prstGeom>
                  </pic:spPr>
                </pic:pic>
              </a:graphicData>
            </a:graphic>
          </wp:inline>
        </w:drawing>
      </w:r>
    </w:p>
    <w:sectPr w:rsidR="00432BCA"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4A1" w:rsidRDefault="002D14A1">
      <w:r>
        <w:separator/>
      </w:r>
    </w:p>
  </w:endnote>
  <w:endnote w:type="continuationSeparator" w:id="0">
    <w:p w:rsidR="002D14A1" w:rsidRDefault="002D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A17BB">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4A1" w:rsidRDefault="002D14A1">
      <w:r>
        <w:separator/>
      </w:r>
    </w:p>
  </w:footnote>
  <w:footnote w:type="continuationSeparator" w:id="0">
    <w:p w:rsidR="002D14A1" w:rsidRDefault="002D14A1">
      <w:r>
        <w:continuationSeparator/>
      </w:r>
    </w:p>
  </w:footnote>
  <w:footnote w:id="1">
    <w:p w:rsidR="00817675" w:rsidRDefault="00817675">
      <w:pPr>
        <w:pStyle w:val="FootnoteText"/>
      </w:pPr>
      <w:r>
        <w:rPr>
          <w:rStyle w:val="FootnoteReference"/>
        </w:rPr>
        <w:footnoteRef/>
      </w:r>
      <w:r w:rsidR="007D59AA">
        <w:t xml:space="preserve"> </w:t>
      </w:r>
      <w:proofErr w:type="gramStart"/>
      <w:r>
        <w:t>Order No.</w:t>
      </w:r>
      <w:proofErr w:type="gramEnd"/>
      <w:r>
        <w:t xml:space="preserve"> PSC-16-0024-FOF-PU, issued January 12, 2016, in Docket No. 150241-PU, </w:t>
      </w:r>
      <w:r w:rsidRPr="007D59AA">
        <w:rPr>
          <w:i/>
        </w:rPr>
        <w:t>In re: Proposed amendments to Rules 25-6.093, Information to Customers; 25-6.097, Customer Deposits; 25-6.100, Customer Billings; 25-7.079, Information to Customers; 25-7.083, Customer Deposits; and 25-7.085, Customer Billing, F.A.C</w:t>
      </w:r>
      <w:r>
        <w:t>.</w:t>
      </w:r>
    </w:p>
  </w:footnote>
  <w:footnote w:id="2">
    <w:p w:rsidR="00296D4B" w:rsidRDefault="00296D4B">
      <w:pPr>
        <w:pStyle w:val="FootnoteText"/>
      </w:pPr>
      <w:r>
        <w:rPr>
          <w:rStyle w:val="FootnoteReference"/>
        </w:rPr>
        <w:footnoteRef/>
      </w:r>
      <w:r>
        <w:t xml:space="preserve"> </w:t>
      </w:r>
      <w:r w:rsidRPr="00296D4B">
        <w:rPr>
          <w:i/>
        </w:rPr>
        <w:t>Id</w:t>
      </w:r>
      <w:r>
        <w:t>.</w:t>
      </w:r>
    </w:p>
  </w:footnote>
  <w:footnote w:id="3">
    <w:p w:rsidR="00296D4B" w:rsidRDefault="00296D4B">
      <w:pPr>
        <w:pStyle w:val="FootnoteText"/>
      </w:pPr>
      <w:r>
        <w:rPr>
          <w:rStyle w:val="FootnoteReference"/>
        </w:rPr>
        <w:footnoteRef/>
      </w:r>
      <w:r>
        <w:t xml:space="preserve"> </w:t>
      </w:r>
      <w:r w:rsidRPr="00296D4B">
        <w:rPr>
          <w:i/>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D14A1"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170088-EI</w:t>
    </w:r>
    <w:bookmarkEnd w:id="15"/>
  </w:p>
  <w:p w:rsidR="00212B17" w:rsidRDefault="00212B17">
    <w:pPr>
      <w:pStyle w:val="Header"/>
    </w:pPr>
    <w:r>
      <w:t xml:space="preserve">Date: </w:t>
    </w:r>
    <w:r w:rsidR="002C717F">
      <w:fldChar w:fldCharType="begin"/>
    </w:r>
    <w:r w:rsidR="002C717F">
      <w:instrText xml:space="preserve"> REF FilingDate </w:instrText>
    </w:r>
    <w:r w:rsidR="002C717F">
      <w:fldChar w:fldCharType="separate"/>
    </w:r>
    <w:r w:rsidR="000E663E">
      <w:t>May 24, 2017</w:t>
    </w:r>
    <w:r w:rsidR="002C717F">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0E663E">
      <w:t>Docket No.</w:t>
    </w:r>
    <w:r>
      <w:fldChar w:fldCharType="end"/>
    </w:r>
    <w:r>
      <w:t xml:space="preserve"> </w:t>
    </w:r>
    <w:r>
      <w:fldChar w:fldCharType="begin"/>
    </w:r>
    <w:r>
      <w:instrText xml:space="preserve"> REF DocketList</w:instrText>
    </w:r>
    <w:r>
      <w:fldChar w:fldCharType="separate"/>
    </w:r>
    <w:r w:rsidR="000E663E">
      <w:t>170088-EI</w:t>
    </w:r>
    <w:r>
      <w:fldChar w:fldCharType="end"/>
    </w:r>
    <w:r>
      <w:tab/>
      <w:t xml:space="preserve">Issue </w:t>
    </w:r>
    <w:r w:rsidR="002C717F">
      <w:fldChar w:fldCharType="begin"/>
    </w:r>
    <w:r w:rsidR="002C717F">
      <w:instrText xml:space="preserve"> Seq Issue \c \* Arabic </w:instrText>
    </w:r>
    <w:r w:rsidR="002C717F">
      <w:fldChar w:fldCharType="separate"/>
    </w:r>
    <w:r w:rsidR="000A17BB">
      <w:rPr>
        <w:noProof/>
      </w:rPr>
      <w:t>2</w:t>
    </w:r>
    <w:r w:rsidR="002C717F">
      <w:rPr>
        <w:noProof/>
      </w:rPr>
      <w:fldChar w:fldCharType="end"/>
    </w:r>
  </w:p>
  <w:p w:rsidR="00212B17" w:rsidRDefault="00212B17">
    <w:pPr>
      <w:pStyle w:val="Header"/>
    </w:pPr>
    <w:r>
      <w:t xml:space="preserve">Date: </w:t>
    </w:r>
    <w:r w:rsidR="002C717F">
      <w:fldChar w:fldCharType="begin"/>
    </w:r>
    <w:r w:rsidR="002C717F">
      <w:instrText xml:space="preserve"> REF FilingDate </w:instrText>
    </w:r>
    <w:r w:rsidR="002C717F">
      <w:fldChar w:fldCharType="separate"/>
    </w:r>
    <w:r w:rsidR="000E663E">
      <w:t>May 24, 2017</w:t>
    </w:r>
    <w:r w:rsidR="002C717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DBA" w:rsidRDefault="00D21DBA" w:rsidP="00220732">
    <w:pPr>
      <w:pStyle w:val="Header"/>
      <w:tabs>
        <w:tab w:val="clear" w:pos="4320"/>
        <w:tab w:val="clear" w:pos="8640"/>
        <w:tab w:val="right" w:pos="9360"/>
      </w:tabs>
    </w:pPr>
    <w:r>
      <w:fldChar w:fldCharType="begin"/>
    </w:r>
    <w:r>
      <w:instrText xml:space="preserve"> REF DocketLabel</w:instrText>
    </w:r>
    <w:r>
      <w:fldChar w:fldCharType="separate"/>
    </w:r>
    <w:r w:rsidR="000E663E">
      <w:t>Docket No.</w:t>
    </w:r>
    <w:r>
      <w:fldChar w:fldCharType="end"/>
    </w:r>
    <w:r>
      <w:t xml:space="preserve"> </w:t>
    </w:r>
    <w:r>
      <w:fldChar w:fldCharType="begin"/>
    </w:r>
    <w:r>
      <w:instrText xml:space="preserve"> REF DocketList</w:instrText>
    </w:r>
    <w:r>
      <w:fldChar w:fldCharType="separate"/>
    </w:r>
    <w:r w:rsidR="000E663E">
      <w:t>170088-EI</w:t>
    </w:r>
    <w:r>
      <w:fldChar w:fldCharType="end"/>
    </w:r>
    <w:r>
      <w:tab/>
      <w:t>Attachment A</w:t>
    </w:r>
  </w:p>
  <w:p w:rsidR="00D21DBA" w:rsidRDefault="00D21DBA">
    <w:pPr>
      <w:pStyle w:val="Header"/>
    </w:pPr>
    <w:r>
      <w:t xml:space="preserve">Date: </w:t>
    </w:r>
    <w:r w:rsidR="002C717F">
      <w:fldChar w:fldCharType="begin"/>
    </w:r>
    <w:r w:rsidR="002C717F">
      <w:instrText xml:space="preserve"> REF FilingDate </w:instrText>
    </w:r>
    <w:r w:rsidR="002C717F">
      <w:fldChar w:fldCharType="separate"/>
    </w:r>
    <w:r w:rsidR="000E663E">
      <w:t>May 24, 2017</w:t>
    </w:r>
    <w:r w:rsidR="002C717F">
      <w:fldChar w:fldCharType="end"/>
    </w:r>
    <w:r>
      <w:t xml:space="preserve">                                                                                                     Page 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89" w:rsidRDefault="00260E89" w:rsidP="00220732">
    <w:pPr>
      <w:pStyle w:val="Header"/>
      <w:tabs>
        <w:tab w:val="clear" w:pos="4320"/>
        <w:tab w:val="clear" w:pos="8640"/>
        <w:tab w:val="right" w:pos="9360"/>
      </w:tabs>
    </w:pPr>
    <w:r>
      <w:fldChar w:fldCharType="begin"/>
    </w:r>
    <w:r>
      <w:instrText xml:space="preserve"> REF DocketLabel</w:instrText>
    </w:r>
    <w:r>
      <w:fldChar w:fldCharType="separate"/>
    </w:r>
    <w:r w:rsidR="000E663E">
      <w:t>Docket No.</w:t>
    </w:r>
    <w:r>
      <w:fldChar w:fldCharType="end"/>
    </w:r>
    <w:r>
      <w:t xml:space="preserve"> </w:t>
    </w:r>
    <w:r>
      <w:fldChar w:fldCharType="begin"/>
    </w:r>
    <w:r>
      <w:instrText xml:space="preserve"> REF DocketList</w:instrText>
    </w:r>
    <w:r>
      <w:fldChar w:fldCharType="separate"/>
    </w:r>
    <w:r w:rsidR="000E663E">
      <w:t>170088-EI</w:t>
    </w:r>
    <w:r>
      <w:fldChar w:fldCharType="end"/>
    </w:r>
    <w:r>
      <w:tab/>
      <w:t>Attachment A</w:t>
    </w:r>
  </w:p>
  <w:p w:rsidR="00260E89" w:rsidRDefault="00260E89">
    <w:pPr>
      <w:pStyle w:val="Header"/>
    </w:pPr>
    <w:r>
      <w:t xml:space="preserve">Date: </w:t>
    </w:r>
    <w:r w:rsidR="002C717F">
      <w:fldChar w:fldCharType="begin"/>
    </w:r>
    <w:r w:rsidR="002C717F">
      <w:instrText xml:space="preserve"> REF FilingDate </w:instrText>
    </w:r>
    <w:r w:rsidR="002C717F">
      <w:fldChar w:fldCharType="separate"/>
    </w:r>
    <w:r w:rsidR="000E663E">
      <w:t>May 24, 2017</w:t>
    </w:r>
    <w:r w:rsidR="002C717F">
      <w:fldChar w:fldCharType="end"/>
    </w:r>
    <w:r>
      <w:t xml:space="preserve">                                                                                                     Page 2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D14A1"/>
    <w:rsid w:val="000043D5"/>
    <w:rsid w:val="00010379"/>
    <w:rsid w:val="00010E37"/>
    <w:rsid w:val="000137CE"/>
    <w:rsid w:val="000154BE"/>
    <w:rsid w:val="000172DA"/>
    <w:rsid w:val="00021710"/>
    <w:rsid w:val="000247C5"/>
    <w:rsid w:val="000277C2"/>
    <w:rsid w:val="00035B48"/>
    <w:rsid w:val="00036CE2"/>
    <w:rsid w:val="000437FE"/>
    <w:rsid w:val="000513BE"/>
    <w:rsid w:val="00065A06"/>
    <w:rsid w:val="000666F3"/>
    <w:rsid w:val="00070DCB"/>
    <w:rsid w:val="00073120"/>
    <w:rsid w:val="000764D0"/>
    <w:rsid w:val="000828D3"/>
    <w:rsid w:val="000A17BB"/>
    <w:rsid w:val="000A2B57"/>
    <w:rsid w:val="000A2D60"/>
    <w:rsid w:val="000A418B"/>
    <w:rsid w:val="000C4431"/>
    <w:rsid w:val="000D1C06"/>
    <w:rsid w:val="000D4319"/>
    <w:rsid w:val="000E663E"/>
    <w:rsid w:val="000F374A"/>
    <w:rsid w:val="00112F80"/>
    <w:rsid w:val="00117C8C"/>
    <w:rsid w:val="00124E2E"/>
    <w:rsid w:val="00125ED4"/>
    <w:rsid w:val="001305E9"/>
    <w:rsid w:val="001307AF"/>
    <w:rsid w:val="00135687"/>
    <w:rsid w:val="00145D37"/>
    <w:rsid w:val="0015506E"/>
    <w:rsid w:val="00163031"/>
    <w:rsid w:val="00163AFC"/>
    <w:rsid w:val="00171A90"/>
    <w:rsid w:val="00180254"/>
    <w:rsid w:val="00183E32"/>
    <w:rsid w:val="00191E1F"/>
    <w:rsid w:val="00192943"/>
    <w:rsid w:val="001A7406"/>
    <w:rsid w:val="001B4FEE"/>
    <w:rsid w:val="001B51C5"/>
    <w:rsid w:val="001B6F3F"/>
    <w:rsid w:val="001C3D14"/>
    <w:rsid w:val="001C52B5"/>
    <w:rsid w:val="001D0D3E"/>
    <w:rsid w:val="001D71B4"/>
    <w:rsid w:val="001F2245"/>
    <w:rsid w:val="001F6DA1"/>
    <w:rsid w:val="002044E6"/>
    <w:rsid w:val="00205C82"/>
    <w:rsid w:val="00205DC2"/>
    <w:rsid w:val="0021030F"/>
    <w:rsid w:val="00212B17"/>
    <w:rsid w:val="002163B6"/>
    <w:rsid w:val="00220732"/>
    <w:rsid w:val="00221D32"/>
    <w:rsid w:val="00225C3F"/>
    <w:rsid w:val="00260E89"/>
    <w:rsid w:val="00263D44"/>
    <w:rsid w:val="002702AD"/>
    <w:rsid w:val="00292D82"/>
    <w:rsid w:val="002963CB"/>
    <w:rsid w:val="00296D4B"/>
    <w:rsid w:val="002A7D2F"/>
    <w:rsid w:val="002D14A1"/>
    <w:rsid w:val="002D226D"/>
    <w:rsid w:val="002F6030"/>
    <w:rsid w:val="003037E1"/>
    <w:rsid w:val="00307E51"/>
    <w:rsid w:val="003103EC"/>
    <w:rsid w:val="003144EF"/>
    <w:rsid w:val="00322F74"/>
    <w:rsid w:val="00330655"/>
    <w:rsid w:val="00340073"/>
    <w:rsid w:val="00372805"/>
    <w:rsid w:val="00373180"/>
    <w:rsid w:val="003755B0"/>
    <w:rsid w:val="00375AB9"/>
    <w:rsid w:val="003821A0"/>
    <w:rsid w:val="0038513C"/>
    <w:rsid w:val="00385B04"/>
    <w:rsid w:val="003864CF"/>
    <w:rsid w:val="00391A98"/>
    <w:rsid w:val="00396219"/>
    <w:rsid w:val="003A22A6"/>
    <w:rsid w:val="003A352C"/>
    <w:rsid w:val="003A5494"/>
    <w:rsid w:val="003B2510"/>
    <w:rsid w:val="003B6B73"/>
    <w:rsid w:val="003C2CC4"/>
    <w:rsid w:val="003C7B5D"/>
    <w:rsid w:val="003E0EFC"/>
    <w:rsid w:val="003E4A2B"/>
    <w:rsid w:val="003E76C2"/>
    <w:rsid w:val="003F1679"/>
    <w:rsid w:val="003F4A35"/>
    <w:rsid w:val="003F7FDD"/>
    <w:rsid w:val="00402481"/>
    <w:rsid w:val="004042B4"/>
    <w:rsid w:val="00412DAE"/>
    <w:rsid w:val="00431598"/>
    <w:rsid w:val="004319AD"/>
    <w:rsid w:val="00432BCA"/>
    <w:rsid w:val="004426B8"/>
    <w:rsid w:val="00444432"/>
    <w:rsid w:val="00471860"/>
    <w:rsid w:val="00491A77"/>
    <w:rsid w:val="0049303D"/>
    <w:rsid w:val="004A0AFF"/>
    <w:rsid w:val="004B60BD"/>
    <w:rsid w:val="004C3150"/>
    <w:rsid w:val="004C3641"/>
    <w:rsid w:val="004C4390"/>
    <w:rsid w:val="004C4AF7"/>
    <w:rsid w:val="004C70E3"/>
    <w:rsid w:val="004D2881"/>
    <w:rsid w:val="004D385F"/>
    <w:rsid w:val="004D5B39"/>
    <w:rsid w:val="004E330D"/>
    <w:rsid w:val="004E5147"/>
    <w:rsid w:val="004F5C43"/>
    <w:rsid w:val="0050652D"/>
    <w:rsid w:val="00506C03"/>
    <w:rsid w:val="00511A11"/>
    <w:rsid w:val="00516496"/>
    <w:rsid w:val="0052572A"/>
    <w:rsid w:val="00543CB3"/>
    <w:rsid w:val="00560FF0"/>
    <w:rsid w:val="005614BD"/>
    <w:rsid w:val="0057154F"/>
    <w:rsid w:val="00581CA3"/>
    <w:rsid w:val="00587A44"/>
    <w:rsid w:val="00593F3E"/>
    <w:rsid w:val="00597730"/>
    <w:rsid w:val="005977EC"/>
    <w:rsid w:val="00597DE7"/>
    <w:rsid w:val="005A4AA2"/>
    <w:rsid w:val="005B34B6"/>
    <w:rsid w:val="005B6C8F"/>
    <w:rsid w:val="005B6EC3"/>
    <w:rsid w:val="005C089D"/>
    <w:rsid w:val="005D0F74"/>
    <w:rsid w:val="005D2E7D"/>
    <w:rsid w:val="005D4A8F"/>
    <w:rsid w:val="005D561B"/>
    <w:rsid w:val="005D5ECF"/>
    <w:rsid w:val="005F468D"/>
    <w:rsid w:val="005F69A3"/>
    <w:rsid w:val="00604CC7"/>
    <w:rsid w:val="00615423"/>
    <w:rsid w:val="006165B2"/>
    <w:rsid w:val="00617276"/>
    <w:rsid w:val="0062527B"/>
    <w:rsid w:val="006255A1"/>
    <w:rsid w:val="00625D97"/>
    <w:rsid w:val="00625F1C"/>
    <w:rsid w:val="006279E1"/>
    <w:rsid w:val="00630CEB"/>
    <w:rsid w:val="00632264"/>
    <w:rsid w:val="006470BC"/>
    <w:rsid w:val="006554D3"/>
    <w:rsid w:val="006608C1"/>
    <w:rsid w:val="00667036"/>
    <w:rsid w:val="00673BDB"/>
    <w:rsid w:val="006771B8"/>
    <w:rsid w:val="006843B6"/>
    <w:rsid w:val="0068481F"/>
    <w:rsid w:val="00696F5D"/>
    <w:rsid w:val="00697249"/>
    <w:rsid w:val="006B0AFC"/>
    <w:rsid w:val="006B321C"/>
    <w:rsid w:val="006B3947"/>
    <w:rsid w:val="006B4293"/>
    <w:rsid w:val="006B624F"/>
    <w:rsid w:val="006C31E3"/>
    <w:rsid w:val="006D18D3"/>
    <w:rsid w:val="006E08CB"/>
    <w:rsid w:val="006E598D"/>
    <w:rsid w:val="006E62F5"/>
    <w:rsid w:val="0070437D"/>
    <w:rsid w:val="00704CF1"/>
    <w:rsid w:val="00705B04"/>
    <w:rsid w:val="00725B79"/>
    <w:rsid w:val="00730054"/>
    <w:rsid w:val="00734820"/>
    <w:rsid w:val="007349DC"/>
    <w:rsid w:val="0074365E"/>
    <w:rsid w:val="007515FD"/>
    <w:rsid w:val="00760D80"/>
    <w:rsid w:val="007637E5"/>
    <w:rsid w:val="00780C09"/>
    <w:rsid w:val="00780DDF"/>
    <w:rsid w:val="007834E9"/>
    <w:rsid w:val="00787DBC"/>
    <w:rsid w:val="0079019A"/>
    <w:rsid w:val="00792935"/>
    <w:rsid w:val="00795A4F"/>
    <w:rsid w:val="007A04A1"/>
    <w:rsid w:val="007A1840"/>
    <w:rsid w:val="007C0528"/>
    <w:rsid w:val="007C3D38"/>
    <w:rsid w:val="007C4CC6"/>
    <w:rsid w:val="007D0F35"/>
    <w:rsid w:val="007D4FEB"/>
    <w:rsid w:val="007D59AA"/>
    <w:rsid w:val="007D6146"/>
    <w:rsid w:val="007E0CE7"/>
    <w:rsid w:val="007E191C"/>
    <w:rsid w:val="007E2AB1"/>
    <w:rsid w:val="007F1193"/>
    <w:rsid w:val="007F3F6A"/>
    <w:rsid w:val="007F417F"/>
    <w:rsid w:val="008042BD"/>
    <w:rsid w:val="00816624"/>
    <w:rsid w:val="00817675"/>
    <w:rsid w:val="00822427"/>
    <w:rsid w:val="00822562"/>
    <w:rsid w:val="00823663"/>
    <w:rsid w:val="00832DDC"/>
    <w:rsid w:val="008472F7"/>
    <w:rsid w:val="00850BAC"/>
    <w:rsid w:val="00854A3E"/>
    <w:rsid w:val="00855D08"/>
    <w:rsid w:val="00874344"/>
    <w:rsid w:val="008769ED"/>
    <w:rsid w:val="00882155"/>
    <w:rsid w:val="0088233B"/>
    <w:rsid w:val="0088599E"/>
    <w:rsid w:val="00886C37"/>
    <w:rsid w:val="00892D99"/>
    <w:rsid w:val="008B4E37"/>
    <w:rsid w:val="008B62AE"/>
    <w:rsid w:val="008C04B5"/>
    <w:rsid w:val="008C14FA"/>
    <w:rsid w:val="008D0927"/>
    <w:rsid w:val="008D4057"/>
    <w:rsid w:val="008D7713"/>
    <w:rsid w:val="008E1F19"/>
    <w:rsid w:val="008F205E"/>
    <w:rsid w:val="008F2262"/>
    <w:rsid w:val="008F248B"/>
    <w:rsid w:val="008F7736"/>
    <w:rsid w:val="0090019E"/>
    <w:rsid w:val="00901086"/>
    <w:rsid w:val="00901C8A"/>
    <w:rsid w:val="00905886"/>
    <w:rsid w:val="009070D6"/>
    <w:rsid w:val="009076C6"/>
    <w:rsid w:val="0091019E"/>
    <w:rsid w:val="009106F1"/>
    <w:rsid w:val="00912404"/>
    <w:rsid w:val="009145D6"/>
    <w:rsid w:val="00920E64"/>
    <w:rsid w:val="00921133"/>
    <w:rsid w:val="00922002"/>
    <w:rsid w:val="00924020"/>
    <w:rsid w:val="009271A7"/>
    <w:rsid w:val="00931E54"/>
    <w:rsid w:val="0093658B"/>
    <w:rsid w:val="009429FF"/>
    <w:rsid w:val="009438D9"/>
    <w:rsid w:val="00945BD6"/>
    <w:rsid w:val="009479FB"/>
    <w:rsid w:val="00951C45"/>
    <w:rsid w:val="009656F2"/>
    <w:rsid w:val="00966A08"/>
    <w:rsid w:val="00971207"/>
    <w:rsid w:val="00975CB4"/>
    <w:rsid w:val="009863B0"/>
    <w:rsid w:val="00987DE1"/>
    <w:rsid w:val="00990571"/>
    <w:rsid w:val="0099673A"/>
    <w:rsid w:val="009A3330"/>
    <w:rsid w:val="009A68ED"/>
    <w:rsid w:val="009A7C96"/>
    <w:rsid w:val="009C3DB9"/>
    <w:rsid w:val="009D46E5"/>
    <w:rsid w:val="009D568A"/>
    <w:rsid w:val="009F04EC"/>
    <w:rsid w:val="009F2A7C"/>
    <w:rsid w:val="009F3B36"/>
    <w:rsid w:val="00A019B9"/>
    <w:rsid w:val="00A12508"/>
    <w:rsid w:val="00A1282B"/>
    <w:rsid w:val="00A13A27"/>
    <w:rsid w:val="00A1491A"/>
    <w:rsid w:val="00A175B6"/>
    <w:rsid w:val="00A21835"/>
    <w:rsid w:val="00A23532"/>
    <w:rsid w:val="00A2374B"/>
    <w:rsid w:val="00A27D6E"/>
    <w:rsid w:val="00A328EC"/>
    <w:rsid w:val="00A33A51"/>
    <w:rsid w:val="00A41CA6"/>
    <w:rsid w:val="00A44135"/>
    <w:rsid w:val="00A47927"/>
    <w:rsid w:val="00A47FFC"/>
    <w:rsid w:val="00A5442F"/>
    <w:rsid w:val="00A54FF9"/>
    <w:rsid w:val="00A56765"/>
    <w:rsid w:val="00A675AC"/>
    <w:rsid w:val="00A7581F"/>
    <w:rsid w:val="00A92FB1"/>
    <w:rsid w:val="00A95A0C"/>
    <w:rsid w:val="00AA2765"/>
    <w:rsid w:val="00AA77B5"/>
    <w:rsid w:val="00AB0A9F"/>
    <w:rsid w:val="00AB6C5D"/>
    <w:rsid w:val="00AC51A7"/>
    <w:rsid w:val="00AD444B"/>
    <w:rsid w:val="00AD6C78"/>
    <w:rsid w:val="00AE2EAB"/>
    <w:rsid w:val="00AF1FD2"/>
    <w:rsid w:val="00AF5F89"/>
    <w:rsid w:val="00AF73CB"/>
    <w:rsid w:val="00B002D6"/>
    <w:rsid w:val="00B05B51"/>
    <w:rsid w:val="00B14E5A"/>
    <w:rsid w:val="00B15370"/>
    <w:rsid w:val="00B16DA4"/>
    <w:rsid w:val="00B176C7"/>
    <w:rsid w:val="00B17BEB"/>
    <w:rsid w:val="00B21A3C"/>
    <w:rsid w:val="00B223C0"/>
    <w:rsid w:val="00B234ED"/>
    <w:rsid w:val="00B249B2"/>
    <w:rsid w:val="00B25CA3"/>
    <w:rsid w:val="00B2765A"/>
    <w:rsid w:val="00B57A6A"/>
    <w:rsid w:val="00B760F1"/>
    <w:rsid w:val="00B7669E"/>
    <w:rsid w:val="00B77DA1"/>
    <w:rsid w:val="00B858AE"/>
    <w:rsid w:val="00B85964"/>
    <w:rsid w:val="00B96250"/>
    <w:rsid w:val="00BA0D55"/>
    <w:rsid w:val="00BA37B3"/>
    <w:rsid w:val="00BA4CC6"/>
    <w:rsid w:val="00BB3493"/>
    <w:rsid w:val="00BB7468"/>
    <w:rsid w:val="00BC188A"/>
    <w:rsid w:val="00BD0F48"/>
    <w:rsid w:val="00BF5010"/>
    <w:rsid w:val="00C03D5F"/>
    <w:rsid w:val="00C11220"/>
    <w:rsid w:val="00C13791"/>
    <w:rsid w:val="00C21CB5"/>
    <w:rsid w:val="00C250EE"/>
    <w:rsid w:val="00C31BB3"/>
    <w:rsid w:val="00C36977"/>
    <w:rsid w:val="00C45E40"/>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48C"/>
    <w:rsid w:val="00CA2C8F"/>
    <w:rsid w:val="00CA30DA"/>
    <w:rsid w:val="00CA3A24"/>
    <w:rsid w:val="00CB1777"/>
    <w:rsid w:val="00CB33E9"/>
    <w:rsid w:val="00CB586E"/>
    <w:rsid w:val="00CC10A9"/>
    <w:rsid w:val="00CD6059"/>
    <w:rsid w:val="00CE2BF8"/>
    <w:rsid w:val="00CE484E"/>
    <w:rsid w:val="00CE656F"/>
    <w:rsid w:val="00CF0DA8"/>
    <w:rsid w:val="00CF2E25"/>
    <w:rsid w:val="00CF3438"/>
    <w:rsid w:val="00CF4453"/>
    <w:rsid w:val="00CF5D94"/>
    <w:rsid w:val="00CF7E0F"/>
    <w:rsid w:val="00D015B2"/>
    <w:rsid w:val="00D034D7"/>
    <w:rsid w:val="00D04BE4"/>
    <w:rsid w:val="00D12565"/>
    <w:rsid w:val="00D14127"/>
    <w:rsid w:val="00D21DBA"/>
    <w:rsid w:val="00D371D7"/>
    <w:rsid w:val="00D51EDF"/>
    <w:rsid w:val="00D57476"/>
    <w:rsid w:val="00D60B16"/>
    <w:rsid w:val="00D60F02"/>
    <w:rsid w:val="00D66E49"/>
    <w:rsid w:val="00D70D71"/>
    <w:rsid w:val="00D72F74"/>
    <w:rsid w:val="00D72FD7"/>
    <w:rsid w:val="00D81563"/>
    <w:rsid w:val="00D82A29"/>
    <w:rsid w:val="00D85907"/>
    <w:rsid w:val="00D9073E"/>
    <w:rsid w:val="00D9221D"/>
    <w:rsid w:val="00D958DF"/>
    <w:rsid w:val="00D96DA1"/>
    <w:rsid w:val="00DA51E7"/>
    <w:rsid w:val="00DB1482"/>
    <w:rsid w:val="00DB1C78"/>
    <w:rsid w:val="00DB7D96"/>
    <w:rsid w:val="00DC23FE"/>
    <w:rsid w:val="00DC59E6"/>
    <w:rsid w:val="00DD150B"/>
    <w:rsid w:val="00DD1BBB"/>
    <w:rsid w:val="00DD5025"/>
    <w:rsid w:val="00DF1510"/>
    <w:rsid w:val="00E02F1F"/>
    <w:rsid w:val="00E06484"/>
    <w:rsid w:val="00E1636B"/>
    <w:rsid w:val="00E20A7D"/>
    <w:rsid w:val="00E275D8"/>
    <w:rsid w:val="00E30F6A"/>
    <w:rsid w:val="00E375CA"/>
    <w:rsid w:val="00E567E8"/>
    <w:rsid w:val="00E64679"/>
    <w:rsid w:val="00E65EBC"/>
    <w:rsid w:val="00E73432"/>
    <w:rsid w:val="00E77B0C"/>
    <w:rsid w:val="00E77FB8"/>
    <w:rsid w:val="00E838B0"/>
    <w:rsid w:val="00E86A7C"/>
    <w:rsid w:val="00E878E1"/>
    <w:rsid w:val="00E87F2C"/>
    <w:rsid w:val="00E932C6"/>
    <w:rsid w:val="00E94A2A"/>
    <w:rsid w:val="00E95278"/>
    <w:rsid w:val="00E971DB"/>
    <w:rsid w:val="00EA2273"/>
    <w:rsid w:val="00EB2DB3"/>
    <w:rsid w:val="00EC3FBB"/>
    <w:rsid w:val="00EC6B7A"/>
    <w:rsid w:val="00ED3A87"/>
    <w:rsid w:val="00ED5B67"/>
    <w:rsid w:val="00EE33B6"/>
    <w:rsid w:val="00EE7FAE"/>
    <w:rsid w:val="00EF264C"/>
    <w:rsid w:val="00EF3FEE"/>
    <w:rsid w:val="00F04B59"/>
    <w:rsid w:val="00F11741"/>
    <w:rsid w:val="00F12B1C"/>
    <w:rsid w:val="00F13CF8"/>
    <w:rsid w:val="00F15472"/>
    <w:rsid w:val="00F15855"/>
    <w:rsid w:val="00F16BCB"/>
    <w:rsid w:val="00F32978"/>
    <w:rsid w:val="00F45CB2"/>
    <w:rsid w:val="00F544C0"/>
    <w:rsid w:val="00F55332"/>
    <w:rsid w:val="00F6504A"/>
    <w:rsid w:val="00F65519"/>
    <w:rsid w:val="00F713C0"/>
    <w:rsid w:val="00F75DDC"/>
    <w:rsid w:val="00F7792F"/>
    <w:rsid w:val="00F842AA"/>
    <w:rsid w:val="00F8476F"/>
    <w:rsid w:val="00F8497C"/>
    <w:rsid w:val="00F853E1"/>
    <w:rsid w:val="00F85604"/>
    <w:rsid w:val="00F90352"/>
    <w:rsid w:val="00F929AE"/>
    <w:rsid w:val="00F94B7A"/>
    <w:rsid w:val="00FA17AC"/>
    <w:rsid w:val="00FA32DE"/>
    <w:rsid w:val="00FA3382"/>
    <w:rsid w:val="00FA59CD"/>
    <w:rsid w:val="00FB1740"/>
    <w:rsid w:val="00FB3AA1"/>
    <w:rsid w:val="00FC31D1"/>
    <w:rsid w:val="00FC5469"/>
    <w:rsid w:val="00FC6D7D"/>
    <w:rsid w:val="00FD16B0"/>
    <w:rsid w:val="00FD4FED"/>
    <w:rsid w:val="00FE015E"/>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211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21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3C631-53F6-45FD-A880-7E4384CA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1049</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2017-05-23T14:47:00Z</cp:lastPrinted>
  <dcterms:created xsi:type="dcterms:W3CDTF">2017-05-24T14:44:00Z</dcterms:created>
  <dcterms:modified xsi:type="dcterms:W3CDTF">2017-05-24T14:44:00Z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170088-EI</vt:lpwstr>
  </property>
  <property fmtid="{D5CDD505-2E9C-101B-9397-08002B2CF9AE}" pid="3" name="MasterDocument">
    <vt:bool>false</vt:bool>
  </property>
</Properties>
</file>