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B0C7F">
            <w:pPr>
              <w:jc w:val="center"/>
            </w:pPr>
            <w:r>
              <w:rPr>
                <w:noProof/>
              </w:rPr>
              <w:drawing>
                <wp:inline distT="0" distB="0" distL="0" distR="0">
                  <wp:extent cx="91440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343B7">
            <w:pPr>
              <w:pStyle w:val="MemoHeading"/>
            </w:pPr>
            <w:bookmarkStart w:id="1" w:name="FilingDate"/>
            <w:r>
              <w:t>May 24</w:t>
            </w:r>
            <w:r w:rsidR="00AF2961">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F2961" w:rsidRDefault="00AF2961">
            <w:pPr>
              <w:pStyle w:val="MemoHeading"/>
            </w:pPr>
            <w:bookmarkStart w:id="2" w:name="From"/>
            <w:r>
              <w:t>Division of Accounting and Finance (Barrett, Vogel)</w:t>
            </w:r>
          </w:p>
          <w:p w:rsidR="00AF2961" w:rsidRDefault="00AF2961">
            <w:pPr>
              <w:pStyle w:val="MemoHeading"/>
            </w:pPr>
            <w:r>
              <w:t>Division of Economics (Draper, Guffey)</w:t>
            </w:r>
          </w:p>
          <w:p w:rsidR="007C0528" w:rsidRDefault="00AF2961">
            <w:pPr>
              <w:pStyle w:val="MemoHeading"/>
            </w:pPr>
            <w:r>
              <w:t>Office of the Ge</w:t>
            </w:r>
            <w:r w:rsidR="004142D0">
              <w:t>neral Counsel (Brownless</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F2961">
            <w:pPr>
              <w:pStyle w:val="MemoHeadingRe"/>
            </w:pPr>
            <w:bookmarkStart w:id="3" w:name="Re"/>
            <w:r>
              <w:t>Docket No. 170001-EI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19FF">
            <w:pPr>
              <w:pStyle w:val="MemoHeading"/>
            </w:pPr>
            <w:bookmarkStart w:id="4" w:name="AgendaDate"/>
            <w:r>
              <w:t>6/5</w:t>
            </w:r>
            <w:r w:rsidR="00AF2961">
              <w:t>/17</w:t>
            </w:r>
            <w:bookmarkEnd w:id="4"/>
            <w:r w:rsidR="007C0528">
              <w:t xml:space="preserve"> – </w:t>
            </w:r>
            <w:bookmarkStart w:id="5" w:name="PermittedStatus"/>
            <w:r w:rsidR="00AF2961">
              <w:t>Reg</w:t>
            </w:r>
            <w:r w:rsidR="00E14040">
              <w:t>ular Agenda – Parties</w:t>
            </w:r>
            <w:r w:rsidR="00AF2961">
              <w:t xml:space="preserve">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F296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F2961">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F296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F296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F2961" w:rsidRPr="00C42E1C" w:rsidRDefault="00AF2961" w:rsidP="00AF2961">
      <w:pPr>
        <w:pStyle w:val="BodyText"/>
      </w:pPr>
      <w:r>
        <w:t>On April 13, 2017, Duke Energy Florida, LLC (DEF</w:t>
      </w:r>
      <w:r w:rsidR="00EB6A43">
        <w:t xml:space="preserve"> or the Company</w:t>
      </w:r>
      <w:r w:rsidRPr="00C42E1C">
        <w:t xml:space="preserve">) filed </w:t>
      </w:r>
      <w:r w:rsidR="00417935">
        <w:t>a petition for mid-c</w:t>
      </w:r>
      <w:r>
        <w:t xml:space="preserve">ourse </w:t>
      </w:r>
      <w:r w:rsidR="00417935">
        <w:t>c</w:t>
      </w:r>
      <w:r>
        <w:t>orrection to its 2017</w:t>
      </w:r>
      <w:r w:rsidR="00417935">
        <w:t xml:space="preserve"> fuel a</w:t>
      </w:r>
      <w:r w:rsidRPr="00C42E1C">
        <w:t>djustmen</w:t>
      </w:r>
      <w:r w:rsidR="00F63A58">
        <w:t xml:space="preserve">t </w:t>
      </w:r>
      <w:r w:rsidR="00417935">
        <w:t>f</w:t>
      </w:r>
      <w:r>
        <w:t>actors (DEF Petition). The DEF Petition</w:t>
      </w:r>
      <w:r w:rsidRPr="00C42E1C">
        <w:t xml:space="preserve"> seek</w:t>
      </w:r>
      <w:r>
        <w:t>s</w:t>
      </w:r>
      <w:r w:rsidRPr="00C42E1C">
        <w:t xml:space="preserve"> </w:t>
      </w:r>
      <w:r w:rsidR="007054AC">
        <w:t>to increase the respective 2017</w:t>
      </w:r>
      <w:r w:rsidRPr="007054AC">
        <w:t xml:space="preserve"> fuel and purchased power cost recovery factors (fuel factors) approve</w:t>
      </w:r>
      <w:r w:rsidR="007054AC">
        <w:t>d in Order No. PSC-16-0547</w:t>
      </w:r>
      <w:r w:rsidRPr="007054AC">
        <w:t>-FOF-EI.</w:t>
      </w:r>
      <w:r w:rsidRPr="007054AC">
        <w:rPr>
          <w:vertAlign w:val="superscript"/>
        </w:rPr>
        <w:footnoteReference w:id="1"/>
      </w:r>
      <w:r w:rsidRPr="007054AC">
        <w:t xml:space="preserve"> </w:t>
      </w:r>
      <w:r w:rsidR="00804343">
        <w:t xml:space="preserve">The Company stated the </w:t>
      </w:r>
      <w:r w:rsidR="00804343" w:rsidRPr="007054AC">
        <w:t>increase is primarily due to flu</w:t>
      </w:r>
      <w:r w:rsidR="00804343">
        <w:t>ctuations in coal and natural gas prices, and</w:t>
      </w:r>
      <w:r w:rsidRPr="007054AC">
        <w:t xml:space="preserve"> has requested that the revised fuel factors become </w:t>
      </w:r>
      <w:r w:rsidR="003849A0">
        <w:t>effective with</w:t>
      </w:r>
      <w:r w:rsidRPr="007054AC">
        <w:t xml:space="preserve"> the July 2017 billing cycle</w:t>
      </w:r>
      <w:r w:rsidR="003849A0">
        <w:t>.</w:t>
      </w:r>
      <w:r w:rsidRPr="007054AC">
        <w:t xml:space="preserve"> </w:t>
      </w:r>
    </w:p>
    <w:p w:rsidR="00AF2961" w:rsidRDefault="00AF2961" w:rsidP="00AF2961">
      <w:pPr>
        <w:pStyle w:val="BodyText"/>
      </w:pPr>
      <w:r w:rsidRPr="00C42E1C">
        <w:t>Mid-course corrections are part of the fuel and purchased power cost recovery clause (fuel clause) proceeding, and such corrections are used by the Commission between fuel clause hearings whenever costs deviate from revenues by a significant margin</w:t>
      </w:r>
      <w:r>
        <w:t xml:space="preserve">. </w:t>
      </w:r>
      <w:r w:rsidRPr="00C42E1C">
        <w:t xml:space="preserve">Petitions for mid-course corrections to fuel factors are addressed by Rule 25-6.0424, Florida Administrative Code (F.A.C.). Under this rule, a utility must notify the Commission whenever it expects to experience </w:t>
      </w:r>
      <w:r w:rsidRPr="00C42E1C">
        <w:lastRenderedPageBreak/>
        <w:t>an under-recovery or over-recovery greater than 10</w:t>
      </w:r>
      <w:r w:rsidR="00294CC7">
        <w:t>.0</w:t>
      </w:r>
      <w:r w:rsidRPr="00C42E1C">
        <w:t xml:space="preserve"> percent.</w:t>
      </w:r>
      <w:r w:rsidRPr="00E05949">
        <w:t xml:space="preserve"> </w:t>
      </w:r>
      <w:r>
        <w:t xml:space="preserve">Pursuant to </w:t>
      </w:r>
      <w:r w:rsidRPr="00E05949">
        <w:t>Rule 25-6.0424, F.A.C., the mid-course percentage is the estimated end-of-period total net true-up amount divided by the current period’s total actual and estimated jurisdictional fuel revenue applicable to period amount.</w:t>
      </w:r>
      <w:r w:rsidR="00E8555B">
        <w:t xml:space="preserve"> In the instant case, </w:t>
      </w:r>
      <w:r w:rsidR="003849A0">
        <w:t xml:space="preserve">DEF estimates that </w:t>
      </w:r>
      <w:r w:rsidR="00E8555B">
        <w:t>the result</w:t>
      </w:r>
      <w:r w:rsidR="00EA5D57">
        <w:t>ing</w:t>
      </w:r>
      <w:r w:rsidR="00E8555B">
        <w:t xml:space="preserve"> mid-course calculation </w:t>
      </w:r>
      <w:r w:rsidR="00EA5D57">
        <w:t>reflects an under-recovery of</w:t>
      </w:r>
      <w:r w:rsidR="00294CC7">
        <w:t xml:space="preserve"> 13.6</w:t>
      </w:r>
      <w:r w:rsidR="00E8555B" w:rsidRPr="002A14AD">
        <w:t xml:space="preserve"> percent.</w:t>
      </w:r>
    </w:p>
    <w:p w:rsidR="00AF2961" w:rsidRPr="00C42E1C" w:rsidRDefault="00AF2961" w:rsidP="00AF2961">
      <w:pPr>
        <w:pStyle w:val="BodyText"/>
      </w:pPr>
      <w:r w:rsidRPr="00C42E1C">
        <w:t>Mid-course corrections are considered preliminary procedural decisions, and any over-recoveries or under-recoveries caused by or resulting from the new fuel factors adopted by the mid-course correction may be included in the following year’s fuel factors.</w:t>
      </w:r>
    </w:p>
    <w:p w:rsidR="00AF2961" w:rsidRDefault="00AF2961" w:rsidP="00AF2961">
      <w:pPr>
        <w:pStyle w:val="BodyText"/>
      </w:pPr>
      <w:r w:rsidRPr="00C42E1C">
        <w:t>The Commission’s jurisdiction to consider fuel clause proceedings derives from the Commission’s authority to set fair and reasonable rates, found in Section</w:t>
      </w:r>
      <w:r w:rsidR="00915B86">
        <w:t>s 366.04,</w:t>
      </w:r>
      <w:r w:rsidRPr="00C42E1C">
        <w:t xml:space="preserve"> 366.05,</w:t>
      </w:r>
      <w:r w:rsidR="00915B86">
        <w:t xml:space="preserve"> and 366.06,</w:t>
      </w:r>
      <w:r w:rsidRPr="00C42E1C">
        <w:t xml:space="preserve"> Florida Statutes.</w:t>
      </w:r>
    </w:p>
    <w:p w:rsidR="00AF2961" w:rsidRDefault="00AF2961" w:rsidP="00AF2961">
      <w:pPr>
        <w:pStyle w:val="BodyText"/>
        <w:sectPr w:rsidR="00AF2961" w:rsidSect="00EF0360">
          <w:headerReference w:type="default" r:id="rId10"/>
          <w:footerReference w:type="default" r:id="rId11"/>
          <w:type w:val="continuous"/>
          <w:pgSz w:w="12240" w:h="15840" w:code="1"/>
          <w:pgMar w:top="1584" w:right="1440" w:bottom="810" w:left="1440" w:header="720" w:footer="720" w:gutter="0"/>
          <w:cols w:space="720"/>
          <w:formProt w:val="0"/>
          <w:titlePg/>
          <w:docGrid w:linePitch="360"/>
        </w:sectPr>
      </w:pPr>
    </w:p>
    <w:bookmarkEnd w:id="12"/>
    <w:p w:rsidR="00EA2273" w:rsidRDefault="00EA2273">
      <w:pPr>
        <w:pStyle w:val="RecommendationMajorSectionHeading"/>
        <w:sectPr w:rsidR="00EA227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F2961" w:rsidRDefault="00AF2961">
      <w:pPr>
        <w:pStyle w:val="IssueHeading"/>
        <w:rPr>
          <w:vanish/>
          <w:specVanish/>
        </w:rPr>
      </w:pPr>
      <w:r w:rsidRPr="004C3641">
        <w:t xml:space="preserve">Issue </w:t>
      </w:r>
      <w:r w:rsidR="00717E2B">
        <w:fldChar w:fldCharType="begin"/>
      </w:r>
      <w:r w:rsidR="00717E2B">
        <w:instrText xml:space="preserve"> SEQ Issue \* MERGEFORMAT </w:instrText>
      </w:r>
      <w:r w:rsidR="00717E2B">
        <w:fldChar w:fldCharType="separate"/>
      </w:r>
      <w:r w:rsidR="006C6F78">
        <w:rPr>
          <w:noProof/>
        </w:rPr>
        <w:t>1</w:t>
      </w:r>
      <w:r w:rsidR="00717E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C6F78">
        <w:rPr>
          <w:noProof/>
        </w:rPr>
        <w:instrText>1</w:instrText>
      </w:r>
      <w:r>
        <w:fldChar w:fldCharType="end"/>
      </w:r>
      <w:r>
        <w:tab/>
        <w:instrText xml:space="preserve">(Barrett, Vogel)" \l 1 </w:instrText>
      </w:r>
      <w:r>
        <w:fldChar w:fldCharType="end"/>
      </w:r>
      <w:r>
        <w:t> </w:t>
      </w:r>
    </w:p>
    <w:p w:rsidR="00AF2961" w:rsidRDefault="00AF2961">
      <w:pPr>
        <w:pStyle w:val="BodyText"/>
      </w:pPr>
      <w:r>
        <w:t> Shoul</w:t>
      </w:r>
      <w:r w:rsidR="008E364F">
        <w:t>d the Commission approve DEF's Petition for a mid-course correction</w:t>
      </w:r>
      <w:r>
        <w:t xml:space="preserve"> to its 2017 fuel cost recovery factors and </w:t>
      </w:r>
      <w:r w:rsidR="00937298">
        <w:t xml:space="preserve">the </w:t>
      </w:r>
      <w:r>
        <w:t>associated tariff sheets?</w:t>
      </w:r>
    </w:p>
    <w:p w:rsidR="00AF2961" w:rsidRPr="004C3641" w:rsidRDefault="00AF2961">
      <w:pPr>
        <w:pStyle w:val="IssueSubsectionHeading"/>
        <w:rPr>
          <w:vanish/>
          <w:specVanish/>
        </w:rPr>
      </w:pPr>
      <w:r w:rsidRPr="004C3641">
        <w:t>Recommendation: </w:t>
      </w:r>
    </w:p>
    <w:p w:rsidR="00AF2961" w:rsidRDefault="00AF2961">
      <w:pPr>
        <w:pStyle w:val="BodyText"/>
      </w:pPr>
      <w:r>
        <w:t xml:space="preserve"> Yes. </w:t>
      </w:r>
      <w:r w:rsidRPr="00A305D3">
        <w:t>Staff reco</w:t>
      </w:r>
      <w:r>
        <w:t>mmends th</w:t>
      </w:r>
      <w:r w:rsidR="00E14040">
        <w:t>at th</w:t>
      </w:r>
      <w:r>
        <w:t>e Commission approve DEF’s</w:t>
      </w:r>
      <w:r w:rsidRPr="00A305D3">
        <w:t xml:space="preserve"> </w:t>
      </w:r>
      <w:r>
        <w:t>Petition for mid-course correction to its 2017 fuel cost recovery factors and the associated tariff sheets. T</w:t>
      </w:r>
      <w:r w:rsidRPr="000E7D60">
        <w:t xml:space="preserve">he revised fuel </w:t>
      </w:r>
      <w:r>
        <w:t xml:space="preserve">cost recovery </w:t>
      </w:r>
      <w:r w:rsidRPr="000E7D60">
        <w:t xml:space="preserve">factors </w:t>
      </w:r>
      <w:r w:rsidR="004F6D28">
        <w:t>and associated tariff sheets</w:t>
      </w:r>
      <w:r w:rsidRPr="000E7D60">
        <w:t xml:space="preserve"> should </w:t>
      </w:r>
      <w:r w:rsidR="003849A0">
        <w:t>become effective with</w:t>
      </w:r>
      <w:r w:rsidR="00762604" w:rsidRPr="007054AC">
        <w:t xml:space="preserve"> th</w:t>
      </w:r>
      <w:r w:rsidR="003849A0">
        <w:t>e July 2017 billing cycle and</w:t>
      </w:r>
      <w:r w:rsidR="008E364F">
        <w:t xml:space="preserve"> </w:t>
      </w:r>
      <w:r w:rsidR="00417935">
        <w:t xml:space="preserve">continue until the </w:t>
      </w:r>
      <w:r w:rsidR="003849A0">
        <w:t>generation base rate adjustment (GBRA) for the C</w:t>
      </w:r>
      <w:r w:rsidR="00294CC7">
        <w:t>itrus Unit 1 Combined Cycle</w:t>
      </w:r>
      <w:r w:rsidR="003849A0">
        <w:t xml:space="preserve"> facility (</w:t>
      </w:r>
      <w:r w:rsidR="00417935">
        <w:t>Citrus 1</w:t>
      </w:r>
      <w:r w:rsidR="003849A0">
        <w:t xml:space="preserve">) </w:t>
      </w:r>
      <w:r w:rsidR="00417935">
        <w:t>is placed into rates.</w:t>
      </w:r>
      <w:r w:rsidR="008E364F">
        <w:t xml:space="preserve"> </w:t>
      </w:r>
      <w:r w:rsidR="0083756F">
        <w:t>(Barrett, Vogel</w:t>
      </w:r>
      <w:r>
        <w:t>)</w:t>
      </w:r>
    </w:p>
    <w:p w:rsidR="00AF2961" w:rsidRPr="004C3641" w:rsidRDefault="00AF2961">
      <w:pPr>
        <w:pStyle w:val="IssueSubsectionHeading"/>
        <w:rPr>
          <w:vanish/>
          <w:specVanish/>
        </w:rPr>
      </w:pPr>
      <w:r w:rsidRPr="004C3641">
        <w:t>Staff Analysis: </w:t>
      </w:r>
    </w:p>
    <w:p w:rsidR="00CB02E4" w:rsidRDefault="00AF2961" w:rsidP="002B0C7F">
      <w:pPr>
        <w:pStyle w:val="BodyText"/>
      </w:pPr>
      <w:r>
        <w:t> </w:t>
      </w:r>
      <w:r w:rsidR="00D17935">
        <w:t>DEF</w:t>
      </w:r>
      <w:r w:rsidR="002B0C7F" w:rsidRPr="00C42E1C">
        <w:t xml:space="preserve">’s currently authorized </w:t>
      </w:r>
      <w:r w:rsidR="00D17935">
        <w:t>2017</w:t>
      </w:r>
      <w:r w:rsidR="002B0C7F" w:rsidRPr="00C42E1C">
        <w:t xml:space="preserve"> fuel factors were set by the Commission </w:t>
      </w:r>
      <w:r w:rsidR="002B0C7F">
        <w:t>following</w:t>
      </w:r>
      <w:r w:rsidR="002B0C7F" w:rsidRPr="00C42E1C">
        <w:t xml:space="preserve"> the </w:t>
      </w:r>
      <w:r w:rsidR="002B0C7F">
        <w:t>November 2</w:t>
      </w:r>
      <w:r w:rsidR="00D17935">
        <w:t>, 2016</w:t>
      </w:r>
      <w:r w:rsidR="002B0C7F" w:rsidRPr="00C42E1C">
        <w:t xml:space="preserve"> </w:t>
      </w:r>
      <w:r w:rsidR="002B0C7F">
        <w:t>fuel hearing, and codified</w:t>
      </w:r>
      <w:r w:rsidR="002B0C7F" w:rsidRPr="00C42E1C">
        <w:t xml:space="preserve"> in </w:t>
      </w:r>
      <w:r w:rsidR="00D17935">
        <w:t>Order No. PSC-16-0547</w:t>
      </w:r>
      <w:r w:rsidR="002B0C7F" w:rsidRPr="00C42E1C">
        <w:t>-FOF-EI.</w:t>
      </w:r>
      <w:r w:rsidR="002B0C7F">
        <w:rPr>
          <w:rStyle w:val="FootnoteReference"/>
        </w:rPr>
        <w:footnoteReference w:id="2"/>
      </w:r>
      <w:r w:rsidR="008D774D">
        <w:t xml:space="preserve"> These factors are based on the Company</w:t>
      </w:r>
      <w:r w:rsidR="00D17935">
        <w:t>’s projected fuel costs for 2017</w:t>
      </w:r>
      <w:r w:rsidR="002B0C7F" w:rsidRPr="00C42E1C">
        <w:t>, p</w:t>
      </w:r>
      <w:r w:rsidR="00D17935">
        <w:t xml:space="preserve">lus </w:t>
      </w:r>
      <w:r w:rsidR="00E8555B">
        <w:t>prior period tru</w:t>
      </w:r>
      <w:r w:rsidR="00D17935">
        <w:t>e-up amount</w:t>
      </w:r>
      <w:r w:rsidR="00E8555B">
        <w:t>s</w:t>
      </w:r>
      <w:r w:rsidR="002B0C7F" w:rsidRPr="00C42E1C">
        <w:t>.</w:t>
      </w:r>
      <w:r w:rsidR="00294CC7">
        <w:t xml:space="preserve"> </w:t>
      </w:r>
      <w:r w:rsidR="003849A0">
        <w:t>According to DEF,</w:t>
      </w:r>
      <w:r w:rsidR="00762604">
        <w:t xml:space="preserve"> </w:t>
      </w:r>
      <w:r w:rsidR="003027BE">
        <w:t>there are</w:t>
      </w:r>
      <w:r w:rsidR="006C7C79">
        <w:t xml:space="preserve"> </w:t>
      </w:r>
      <w:r w:rsidR="00A9785F">
        <w:t xml:space="preserve">two </w:t>
      </w:r>
      <w:r w:rsidR="006C7C79">
        <w:t>related</w:t>
      </w:r>
      <w:r w:rsidR="008D1A17">
        <w:t xml:space="preserve"> component</w:t>
      </w:r>
      <w:r w:rsidR="00CB02E4">
        <w:t xml:space="preserve">s that prompted this filing: </w:t>
      </w:r>
      <w:r w:rsidR="00A9785F">
        <w:t xml:space="preserve">the impact of </w:t>
      </w:r>
      <w:r w:rsidR="003849A0">
        <w:t xml:space="preserve">the </w:t>
      </w:r>
      <w:r w:rsidR="00294CC7">
        <w:t>final true-</w:t>
      </w:r>
      <w:r w:rsidR="00A9785F">
        <w:t>up</w:t>
      </w:r>
      <w:r w:rsidR="003849A0">
        <w:t xml:space="preserve"> amount </w:t>
      </w:r>
      <w:r w:rsidR="00A9785F">
        <w:t xml:space="preserve">from 2016, and </w:t>
      </w:r>
      <w:r w:rsidR="00CB02E4">
        <w:t xml:space="preserve">changes in fuel price </w:t>
      </w:r>
      <w:r w:rsidR="003027BE">
        <w:t xml:space="preserve">and sales </w:t>
      </w:r>
      <w:r w:rsidR="00CB02E4">
        <w:t>forecasts</w:t>
      </w:r>
      <w:r w:rsidR="006422EA">
        <w:t xml:space="preserve"> for 2017</w:t>
      </w:r>
      <w:r w:rsidR="00CB02E4">
        <w:t>,</w:t>
      </w:r>
      <w:r w:rsidR="00AB43E8">
        <w:t xml:space="preserve"> as detailed below.</w:t>
      </w:r>
    </w:p>
    <w:p w:rsidR="001B4776" w:rsidRPr="00CB02E4" w:rsidRDefault="001B4776" w:rsidP="001B4776">
      <w:pPr>
        <w:pStyle w:val="BodyText"/>
        <w:spacing w:after="0"/>
        <w:rPr>
          <w:rFonts w:ascii="Arial" w:hAnsi="Arial" w:cs="Arial"/>
          <w:b/>
        </w:rPr>
      </w:pPr>
      <w:r>
        <w:rPr>
          <w:rFonts w:ascii="Arial" w:hAnsi="Arial" w:cs="Arial"/>
          <w:b/>
        </w:rPr>
        <w:t xml:space="preserve">Impact </w:t>
      </w:r>
      <w:r w:rsidR="00294CC7">
        <w:rPr>
          <w:rFonts w:ascii="Arial" w:hAnsi="Arial" w:cs="Arial"/>
          <w:b/>
        </w:rPr>
        <w:t>of Final True-</w:t>
      </w:r>
      <w:r w:rsidR="008D1A17">
        <w:rPr>
          <w:rFonts w:ascii="Arial" w:hAnsi="Arial" w:cs="Arial"/>
          <w:b/>
        </w:rPr>
        <w:t>Up</w:t>
      </w:r>
      <w:r w:rsidR="003849A0">
        <w:rPr>
          <w:rFonts w:ascii="Arial" w:hAnsi="Arial" w:cs="Arial"/>
          <w:b/>
        </w:rPr>
        <w:t xml:space="preserve"> Amount</w:t>
      </w:r>
      <w:r w:rsidR="008D1A17">
        <w:rPr>
          <w:rFonts w:ascii="Arial" w:hAnsi="Arial" w:cs="Arial"/>
          <w:b/>
        </w:rPr>
        <w:t xml:space="preserve"> </w:t>
      </w:r>
      <w:r>
        <w:rPr>
          <w:rFonts w:ascii="Arial" w:hAnsi="Arial" w:cs="Arial"/>
          <w:b/>
        </w:rPr>
        <w:t>from 2016</w:t>
      </w:r>
    </w:p>
    <w:p w:rsidR="001B4776" w:rsidRDefault="001B4776" w:rsidP="001B4776">
      <w:pPr>
        <w:pStyle w:val="BodyText"/>
        <w:spacing w:after="0"/>
      </w:pPr>
      <w:r>
        <w:t>In the instant petition, DEF updated its 201</w:t>
      </w:r>
      <w:r w:rsidRPr="009C4CE9">
        <w:t xml:space="preserve">6 </w:t>
      </w:r>
      <w:r w:rsidR="003849A0">
        <w:t xml:space="preserve">actual/estimated </w:t>
      </w:r>
      <w:r w:rsidRPr="009C4CE9">
        <w:t xml:space="preserve">true-up amount to reflect twelve months of actual data (January through December 2016). Originally, the actual/estimated true-up </w:t>
      </w:r>
      <w:r w:rsidR="00294CC7">
        <w:t xml:space="preserve">amount </w:t>
      </w:r>
      <w:r w:rsidRPr="009C4CE9">
        <w:t>for 2016 was an under-reco</w:t>
      </w:r>
      <w:r w:rsidR="00294CC7">
        <w:t>very of $26,217,663. DEF’s true-</w:t>
      </w:r>
      <w:r w:rsidRPr="009C4CE9">
        <w:t>up filing and its mi</w:t>
      </w:r>
      <w:r w:rsidR="00294CC7">
        <w:t>d-course correction filing show the actual true-</w:t>
      </w:r>
      <w:r w:rsidRPr="009C4CE9">
        <w:t xml:space="preserve">up </w:t>
      </w:r>
      <w:r w:rsidR="00294CC7">
        <w:t xml:space="preserve">amount </w:t>
      </w:r>
      <w:r w:rsidRPr="009C4CE9">
        <w:t>for 2016 is an under-recovery of $85,111,174. The difference between the actual/estimated amount and the final actual amount</w:t>
      </w:r>
      <w:r>
        <w:t xml:space="preserve"> for 2016</w:t>
      </w:r>
      <w:r w:rsidRPr="009C4CE9">
        <w:t xml:space="preserve"> is </w:t>
      </w:r>
      <w:r>
        <w:t xml:space="preserve">an under-recovery of </w:t>
      </w:r>
      <w:r w:rsidRPr="001B4776">
        <w:t>$58,893,512.</w:t>
      </w:r>
      <w:r w:rsidRPr="009C4CE9">
        <w:t xml:space="preserve"> </w:t>
      </w:r>
      <w:r w:rsidR="00DC7ECB">
        <w:t>The principal driver</w:t>
      </w:r>
      <w:r w:rsidR="00E8555B">
        <w:t>s</w:t>
      </w:r>
      <w:r w:rsidR="00DC7ECB">
        <w:t xml:space="preserve"> of the</w:t>
      </w:r>
      <w:r w:rsidR="00813366">
        <w:t xml:space="preserve"> </w:t>
      </w:r>
      <w:r w:rsidR="005278AB">
        <w:t xml:space="preserve">under-recovery </w:t>
      </w:r>
      <w:r w:rsidR="00E8555B">
        <w:t>in 2016 were</w:t>
      </w:r>
      <w:r w:rsidR="005278AB">
        <w:t xml:space="preserve"> lower sales and higher across-the</w:t>
      </w:r>
      <w:r w:rsidR="00E8555B">
        <w:t>-board fuel costs than</w:t>
      </w:r>
      <w:r w:rsidR="003849A0">
        <w:t xml:space="preserve"> originally projected</w:t>
      </w:r>
      <w:r w:rsidR="005278AB">
        <w:t>.</w:t>
      </w:r>
    </w:p>
    <w:p w:rsidR="001B4776" w:rsidRDefault="001B4776" w:rsidP="00CB02E4">
      <w:pPr>
        <w:pStyle w:val="BodyText"/>
        <w:spacing w:after="0"/>
        <w:rPr>
          <w:rFonts w:ascii="Arial" w:hAnsi="Arial" w:cs="Arial"/>
          <w:b/>
        </w:rPr>
      </w:pPr>
    </w:p>
    <w:p w:rsidR="00CB02E4" w:rsidRPr="00CB02E4" w:rsidRDefault="008D1A17" w:rsidP="00CB02E4">
      <w:pPr>
        <w:pStyle w:val="BodyText"/>
        <w:spacing w:after="0"/>
        <w:rPr>
          <w:rFonts w:ascii="Arial" w:hAnsi="Arial" w:cs="Arial"/>
          <w:b/>
        </w:rPr>
      </w:pPr>
      <w:r>
        <w:rPr>
          <w:rFonts w:ascii="Arial" w:hAnsi="Arial" w:cs="Arial"/>
          <w:b/>
        </w:rPr>
        <w:t>Impact of Fuel Price changes</w:t>
      </w:r>
      <w:r w:rsidR="001B4776">
        <w:rPr>
          <w:rFonts w:ascii="Arial" w:hAnsi="Arial" w:cs="Arial"/>
          <w:b/>
        </w:rPr>
        <w:t xml:space="preserve"> (Actual and Estimated</w:t>
      </w:r>
      <w:r w:rsidR="003027BE">
        <w:rPr>
          <w:rFonts w:ascii="Arial" w:hAnsi="Arial" w:cs="Arial"/>
          <w:b/>
        </w:rPr>
        <w:t xml:space="preserve"> amounts for 2017)</w:t>
      </w:r>
    </w:p>
    <w:p w:rsidR="002B0C7F" w:rsidRDefault="00CB02E4" w:rsidP="00CB02E4">
      <w:pPr>
        <w:pStyle w:val="BodyText"/>
        <w:spacing w:after="0"/>
      </w:pPr>
      <w:r>
        <w:t xml:space="preserve">On September 1, 2016, DEF filed testimony and exhibits to </w:t>
      </w:r>
      <w:r w:rsidR="00AB43E8">
        <w:t xml:space="preserve">project what its forecasted fuel needs would be for 2017. As noted in DEF’s Petition, </w:t>
      </w:r>
      <w:r w:rsidR="003849A0">
        <w:t>in May</w:t>
      </w:r>
      <w:r w:rsidR="000F44DD">
        <w:t xml:space="preserve"> 2016, the Company prepared </w:t>
      </w:r>
      <w:r w:rsidR="00AB43E8">
        <w:t>fuel price</w:t>
      </w:r>
      <w:r w:rsidR="000F44DD">
        <w:t xml:space="preserve"> forecasts for the four fuel types the Company uses in its generating plants. In</w:t>
      </w:r>
      <w:r w:rsidR="00CE167D">
        <w:t xml:space="preserve"> mid-March </w:t>
      </w:r>
      <w:r w:rsidR="00AB43E8">
        <w:t xml:space="preserve">of 2017, DEF </w:t>
      </w:r>
      <w:r w:rsidR="000F44DD">
        <w:t xml:space="preserve">revised those </w:t>
      </w:r>
      <w:r w:rsidR="00AB43E8">
        <w:t>forecasts. The original and revised fuel price forecasts were for</w:t>
      </w:r>
      <w:r w:rsidR="008D774D">
        <w:t xml:space="preserve"> light oil</w:t>
      </w:r>
      <w:r w:rsidR="00AB43E8">
        <w:t>,</w:t>
      </w:r>
      <w:r w:rsidR="00CF6046">
        <w:t xml:space="preserve"> two</w:t>
      </w:r>
      <w:r w:rsidR="00915380">
        <w:t xml:space="preserve"> varieties of coal</w:t>
      </w:r>
      <w:r w:rsidR="006C7C79">
        <w:t>,</w:t>
      </w:r>
      <w:r w:rsidR="008D774D">
        <w:t xml:space="preserve"> and natural gas</w:t>
      </w:r>
      <w:r w:rsidR="00AB43E8">
        <w:t xml:space="preserve">. Staff notes that light oil is </w:t>
      </w:r>
      <w:r w:rsidR="004C30EC">
        <w:t xml:space="preserve">used </w:t>
      </w:r>
      <w:r w:rsidR="00AB43E8">
        <w:t>as a starter fuel, and</w:t>
      </w:r>
      <w:r w:rsidR="00915380">
        <w:t xml:space="preserve"> </w:t>
      </w:r>
      <w:r w:rsidR="00AB43E8">
        <w:t xml:space="preserve">the coal varieties and natural gas are used </w:t>
      </w:r>
      <w:r w:rsidR="00294CC7">
        <w:t>as principal</w:t>
      </w:r>
      <w:r w:rsidR="00915380">
        <w:t xml:space="preserve"> fuels</w:t>
      </w:r>
      <w:r w:rsidR="008D774D">
        <w:t>.</w:t>
      </w:r>
    </w:p>
    <w:p w:rsidR="00CB02E4" w:rsidRPr="00C42E1C" w:rsidRDefault="00CB02E4" w:rsidP="00CB02E4">
      <w:pPr>
        <w:pStyle w:val="BodyText"/>
        <w:spacing w:after="0"/>
      </w:pPr>
    </w:p>
    <w:p w:rsidR="00001A21" w:rsidRPr="00AB43E8" w:rsidRDefault="00001A21" w:rsidP="00AB43E8">
      <w:pPr>
        <w:pStyle w:val="BodyText"/>
        <w:spacing w:after="0"/>
        <w:ind w:firstLine="720"/>
        <w:rPr>
          <w:rFonts w:ascii="Arial" w:hAnsi="Arial" w:cs="Arial"/>
          <w:b/>
          <w:i/>
        </w:rPr>
      </w:pPr>
      <w:r w:rsidRPr="00AB43E8">
        <w:rPr>
          <w:rFonts w:ascii="Arial" w:hAnsi="Arial" w:cs="Arial"/>
          <w:b/>
          <w:i/>
        </w:rPr>
        <w:t>Light Oil</w:t>
      </w:r>
    </w:p>
    <w:p w:rsidR="002B0C7F" w:rsidRPr="00C42E1C" w:rsidRDefault="00D17935" w:rsidP="00001A21">
      <w:pPr>
        <w:pStyle w:val="BodyText"/>
        <w:spacing w:after="0"/>
      </w:pPr>
      <w:r>
        <w:t>DEF</w:t>
      </w:r>
      <w:r w:rsidR="00E9754F">
        <w:t xml:space="preserve"> states that its originally-</w:t>
      </w:r>
      <w:r w:rsidR="002B0C7F" w:rsidRPr="00C42E1C">
        <w:t xml:space="preserve">projected </w:t>
      </w:r>
      <w:r w:rsidR="00E9754F">
        <w:t xml:space="preserve">average </w:t>
      </w:r>
      <w:r w:rsidR="002B0C7F" w:rsidRPr="00C42E1C">
        <w:t xml:space="preserve">cost for </w:t>
      </w:r>
      <w:r w:rsidR="00F33D4E">
        <w:t>light oil f</w:t>
      </w:r>
      <w:r w:rsidR="00915380">
        <w:t>utures</w:t>
      </w:r>
      <w:r>
        <w:t xml:space="preserve"> for each month of 20</w:t>
      </w:r>
      <w:r w:rsidRPr="007C6BFF">
        <w:t>17</w:t>
      </w:r>
      <w:r w:rsidR="002B0C7F" w:rsidRPr="007C6BFF">
        <w:t xml:space="preserve"> </w:t>
      </w:r>
      <w:r w:rsidR="00F33D4E">
        <w:t>was $62.16 per barrel, or $10.73 per MMbtu.</w:t>
      </w:r>
      <w:r w:rsidR="00F33D4E">
        <w:rPr>
          <w:rStyle w:val="FootnoteReference"/>
        </w:rPr>
        <w:footnoteReference w:id="3"/>
      </w:r>
      <w:r w:rsidR="002B0C7F">
        <w:t xml:space="preserve"> </w:t>
      </w:r>
      <w:r w:rsidR="00E9754F">
        <w:t>These figures were based on the fuel cost forecast the Company prepared on May 13, 2016.</w:t>
      </w:r>
    </w:p>
    <w:p w:rsidR="00001A21" w:rsidRDefault="00001A21" w:rsidP="00001A21">
      <w:pPr>
        <w:pStyle w:val="BodyText"/>
        <w:spacing w:after="0"/>
      </w:pPr>
    </w:p>
    <w:p w:rsidR="002B0C7F" w:rsidRPr="007C6BFF" w:rsidRDefault="009236D5" w:rsidP="00915380">
      <w:pPr>
        <w:pStyle w:val="BodyText"/>
        <w:spacing w:after="0"/>
      </w:pPr>
      <w:r>
        <w:t xml:space="preserve">As noted in </w:t>
      </w:r>
      <w:r w:rsidR="00E9754F">
        <w:t>DEF</w:t>
      </w:r>
      <w:r>
        <w:t>’s</w:t>
      </w:r>
      <w:r w:rsidR="00E9754F">
        <w:t xml:space="preserve"> </w:t>
      </w:r>
      <w:r w:rsidR="002B0C7F" w:rsidRPr="00C42E1C">
        <w:t xml:space="preserve">Petition, </w:t>
      </w:r>
      <w:r w:rsidR="00E9754F">
        <w:t>the Company</w:t>
      </w:r>
      <w:r w:rsidR="002B0C7F" w:rsidRPr="00C42E1C">
        <w:t xml:space="preserve"> </w:t>
      </w:r>
      <w:r w:rsidR="00E9754F">
        <w:t xml:space="preserve">updated its fuel cost forecast </w:t>
      </w:r>
      <w:r w:rsidR="005642B7">
        <w:t xml:space="preserve">on March 16, 2017. In the revised forecast, the average </w:t>
      </w:r>
      <w:r w:rsidR="005642B7" w:rsidRPr="00C42E1C">
        <w:t xml:space="preserve">cost for </w:t>
      </w:r>
      <w:r w:rsidR="005642B7">
        <w:t>light oil f</w:t>
      </w:r>
      <w:r w:rsidR="005642B7" w:rsidRPr="00C42E1C">
        <w:t xml:space="preserve">utures </w:t>
      </w:r>
      <w:r w:rsidR="005642B7">
        <w:t>for each month of 20</w:t>
      </w:r>
      <w:r w:rsidR="005642B7" w:rsidRPr="007C6BFF">
        <w:t xml:space="preserve">17 </w:t>
      </w:r>
      <w:r w:rsidR="00294CC7">
        <w:t>i</w:t>
      </w:r>
      <w:r w:rsidR="005642B7">
        <w:t xml:space="preserve">s $62.92 per </w:t>
      </w:r>
      <w:r w:rsidR="005642B7">
        <w:lastRenderedPageBreak/>
        <w:t>barrel, or $10.85 per MMbt</w:t>
      </w:r>
      <w:r w:rsidR="00915380">
        <w:t>u. On a comparative basis</w:t>
      </w:r>
      <w:r w:rsidR="005642B7">
        <w:t>, the average price for light oil increased by $0.76</w:t>
      </w:r>
      <w:r w:rsidR="00915380">
        <w:t xml:space="preserve"> per barrel (1.22 percent), or $0.12</w:t>
      </w:r>
      <w:r w:rsidR="005642B7">
        <w:t xml:space="preserve"> per MMbtu</w:t>
      </w:r>
      <w:r w:rsidR="00D017D7">
        <w:t xml:space="preserve"> (1.19 percent)</w:t>
      </w:r>
      <w:r w:rsidR="005642B7">
        <w:t>.</w:t>
      </w:r>
      <w:r w:rsidR="00915380">
        <w:t xml:space="preserve"> </w:t>
      </w:r>
    </w:p>
    <w:p w:rsidR="00F33D4E" w:rsidRDefault="00F33D4E" w:rsidP="00F33D4E">
      <w:pPr>
        <w:pStyle w:val="BodyText"/>
        <w:spacing w:after="0"/>
      </w:pPr>
    </w:p>
    <w:p w:rsidR="00F33D4E" w:rsidRPr="00AB43E8" w:rsidRDefault="00D017D7" w:rsidP="00AB43E8">
      <w:pPr>
        <w:pStyle w:val="BodyText"/>
        <w:spacing w:after="0"/>
        <w:ind w:firstLine="720"/>
        <w:rPr>
          <w:rFonts w:ascii="Arial" w:hAnsi="Arial" w:cs="Arial"/>
          <w:b/>
          <w:i/>
        </w:rPr>
      </w:pPr>
      <w:r w:rsidRPr="00AB43E8">
        <w:rPr>
          <w:rFonts w:ascii="Arial" w:hAnsi="Arial" w:cs="Arial"/>
          <w:b/>
          <w:i/>
        </w:rPr>
        <w:t>Coal</w:t>
      </w:r>
    </w:p>
    <w:p w:rsidR="00F33D4E" w:rsidRDefault="002F3147" w:rsidP="002F3147">
      <w:pPr>
        <w:pStyle w:val="BodyText"/>
        <w:spacing w:after="0"/>
      </w:pPr>
      <w:r>
        <w:t xml:space="preserve">In its projection filing for 2017, DEF projected that coal as a fuel source would supply about 28 percent of the Company’s generating mix. </w:t>
      </w:r>
      <w:r w:rsidR="00D017D7">
        <w:t>At its Crystal River ge</w:t>
      </w:r>
      <w:r w:rsidR="00CF6046">
        <w:t>nerating station, DEF operates four</w:t>
      </w:r>
      <w:r w:rsidR="00D017D7">
        <w:t xml:space="preserve"> coal-burning units. Crystal River Units 1 and 2 </w:t>
      </w:r>
      <w:r w:rsidR="006919ED">
        <w:t>(CR 1 and 2) use</w:t>
      </w:r>
      <w:r w:rsidR="00D017D7">
        <w:t xml:space="preserve"> a different coal variety than Crystal River Units 4 and 5</w:t>
      </w:r>
      <w:r>
        <w:t xml:space="preserve"> (CR 4 and CR 5)</w:t>
      </w:r>
      <w:r w:rsidR="00D017D7">
        <w:t>.</w:t>
      </w:r>
      <w:r w:rsidR="00727E68">
        <w:rPr>
          <w:rStyle w:val="FootnoteReference"/>
        </w:rPr>
        <w:footnoteReference w:id="4"/>
      </w:r>
      <w:r w:rsidR="00D017D7">
        <w:t xml:space="preserve"> </w:t>
      </w:r>
      <w:r>
        <w:t>In its fuel cost forecasting, the coal prices are expressed for each variety.</w:t>
      </w:r>
      <w:r w:rsidR="00AB43E8">
        <w:t xml:space="preserve"> </w:t>
      </w:r>
      <w:r w:rsidR="003849A0">
        <w:t xml:space="preserve">Based on its May 2016 forecast, </w:t>
      </w:r>
      <w:r>
        <w:t>DEF</w:t>
      </w:r>
      <w:r w:rsidR="003849A0">
        <w:t xml:space="preserve">’s </w:t>
      </w:r>
      <w:r w:rsidRPr="00C42E1C">
        <w:t xml:space="preserve">projected </w:t>
      </w:r>
      <w:r>
        <w:t xml:space="preserve">average </w:t>
      </w:r>
      <w:r w:rsidRPr="00C42E1C">
        <w:t xml:space="preserve">cost for </w:t>
      </w:r>
      <w:r>
        <w:t>coal at CR 1 and 2 for each month of 20</w:t>
      </w:r>
      <w:r w:rsidRPr="007C6BFF">
        <w:t xml:space="preserve">17 </w:t>
      </w:r>
      <w:r w:rsidR="008248A8">
        <w:t>was $91.70 per ton, or $3.90</w:t>
      </w:r>
      <w:r>
        <w:t xml:space="preserve"> per MMbtu. </w:t>
      </w:r>
      <w:r w:rsidR="0045639D">
        <w:t>In the March 2017</w:t>
      </w:r>
      <w:r>
        <w:t xml:space="preserve"> forecast, the average </w:t>
      </w:r>
      <w:r w:rsidRPr="00C42E1C">
        <w:t xml:space="preserve">cost </w:t>
      </w:r>
      <w:r w:rsidR="008248A8" w:rsidRPr="00C42E1C">
        <w:t xml:space="preserve">for </w:t>
      </w:r>
      <w:r w:rsidR="008248A8">
        <w:t>coal at CR 1 and 2 for each month of 20</w:t>
      </w:r>
      <w:r w:rsidR="008248A8" w:rsidRPr="007C6BFF">
        <w:t xml:space="preserve">17 </w:t>
      </w:r>
      <w:r w:rsidR="00294CC7">
        <w:t>i</w:t>
      </w:r>
      <w:r w:rsidR="008248A8">
        <w:t>s $94.20 per ton, or $4.12 per MMbtu.</w:t>
      </w:r>
      <w:r>
        <w:t xml:space="preserve"> On a comparative basis, the average price for </w:t>
      </w:r>
      <w:r w:rsidR="008248A8">
        <w:t>this variety of coal increased by $2.50 per ton (2.73</w:t>
      </w:r>
      <w:r>
        <w:t xml:space="preserve"> percent), or $</w:t>
      </w:r>
      <w:r w:rsidR="008248A8">
        <w:t>0.2</w:t>
      </w:r>
      <w:r>
        <w:t>2 per MMbtu</w:t>
      </w:r>
      <w:r w:rsidR="008248A8">
        <w:t xml:space="preserve"> (5.64</w:t>
      </w:r>
      <w:r>
        <w:t xml:space="preserve"> percent).</w:t>
      </w:r>
    </w:p>
    <w:p w:rsidR="008248A8" w:rsidRDefault="008248A8" w:rsidP="00D017D7">
      <w:pPr>
        <w:pStyle w:val="BodyText"/>
        <w:spacing w:after="0"/>
        <w:rPr>
          <w:rFonts w:ascii="Arial" w:hAnsi="Arial" w:cs="Arial"/>
          <w:b/>
        </w:rPr>
      </w:pPr>
    </w:p>
    <w:p w:rsidR="008248A8" w:rsidRDefault="0045639D" w:rsidP="008248A8">
      <w:pPr>
        <w:pStyle w:val="BodyText"/>
        <w:spacing w:after="0"/>
      </w:pPr>
      <w:r>
        <w:t xml:space="preserve">Based on its May 2016 forecast, </w:t>
      </w:r>
      <w:r w:rsidR="008248A8">
        <w:t>DEF</w:t>
      </w:r>
      <w:r>
        <w:t xml:space="preserve">’s </w:t>
      </w:r>
      <w:r w:rsidR="008248A8" w:rsidRPr="00C42E1C">
        <w:t xml:space="preserve">projected </w:t>
      </w:r>
      <w:r w:rsidR="008248A8">
        <w:t xml:space="preserve">average </w:t>
      </w:r>
      <w:r w:rsidR="008248A8" w:rsidRPr="00C42E1C">
        <w:t xml:space="preserve">cost for </w:t>
      </w:r>
      <w:r w:rsidR="008248A8">
        <w:t>coal at CR 4 and 5 for each month of 20</w:t>
      </w:r>
      <w:r w:rsidR="008248A8" w:rsidRPr="007C6BFF">
        <w:t xml:space="preserve">17 </w:t>
      </w:r>
      <w:r w:rsidR="008248A8">
        <w:t xml:space="preserve">was $63.50 per ton, or $2.80 per MMbtu. </w:t>
      </w:r>
      <w:r>
        <w:t>In the March 2017</w:t>
      </w:r>
      <w:r w:rsidR="008248A8">
        <w:t xml:space="preserve"> forecast, the average </w:t>
      </w:r>
      <w:r w:rsidR="008248A8" w:rsidRPr="00C42E1C">
        <w:t xml:space="preserve">cost for </w:t>
      </w:r>
      <w:r w:rsidR="008248A8">
        <w:t>coal at CR 4 and 5 for each month of 20</w:t>
      </w:r>
      <w:r w:rsidR="008248A8" w:rsidRPr="007C6BFF">
        <w:t xml:space="preserve">17 </w:t>
      </w:r>
      <w:r w:rsidR="00294CC7">
        <w:t>i</w:t>
      </w:r>
      <w:r w:rsidR="008248A8">
        <w:t>s $70.21 per ton, or $3.04 per MMbtu. On a comparative basis, the average price for this variety of coal increased by $6.71 per ton (10.57 percent), or $0.24 per MMbtu (8.71 percent).</w:t>
      </w:r>
    </w:p>
    <w:p w:rsidR="00F33D4E" w:rsidRDefault="00F33D4E" w:rsidP="00F33D4E">
      <w:pPr>
        <w:pStyle w:val="BodyText"/>
        <w:spacing w:after="0"/>
      </w:pPr>
    </w:p>
    <w:p w:rsidR="00F33D4E" w:rsidRPr="000062F8" w:rsidRDefault="00D017D7" w:rsidP="000062F8">
      <w:pPr>
        <w:pStyle w:val="BodyText"/>
        <w:spacing w:after="0"/>
        <w:ind w:firstLine="720"/>
        <w:rPr>
          <w:rFonts w:ascii="Arial" w:hAnsi="Arial" w:cs="Arial"/>
          <w:b/>
          <w:i/>
        </w:rPr>
      </w:pPr>
      <w:r w:rsidRPr="000062F8">
        <w:rPr>
          <w:rFonts w:ascii="Arial" w:hAnsi="Arial" w:cs="Arial"/>
          <w:b/>
          <w:i/>
        </w:rPr>
        <w:t>Natural Gas</w:t>
      </w:r>
    </w:p>
    <w:p w:rsidR="00F33D4E" w:rsidRPr="00C42E1C" w:rsidRDefault="007117CD" w:rsidP="00F33D4E">
      <w:pPr>
        <w:pStyle w:val="BodyText"/>
        <w:spacing w:after="0"/>
      </w:pPr>
      <w:r>
        <w:t>In its projection filing f</w:t>
      </w:r>
      <w:r w:rsidR="001966AE">
        <w:t>or 2017, DEF projected that natural gas</w:t>
      </w:r>
      <w:r>
        <w:t xml:space="preserve"> as a f</w:t>
      </w:r>
      <w:r w:rsidR="001966AE">
        <w:t>uel source would supply about 72</w:t>
      </w:r>
      <w:r>
        <w:t xml:space="preserve"> percent of the Company’s generating mix. </w:t>
      </w:r>
      <w:r w:rsidR="00F33D4E">
        <w:t>DEF</w:t>
      </w:r>
      <w:r w:rsidR="00F33D4E" w:rsidRPr="00C42E1C">
        <w:t xml:space="preserve"> states that its original projected cost for natural gas used </w:t>
      </w:r>
      <w:r w:rsidR="00F33D4E">
        <w:t>the New York Mercantile Exchange</w:t>
      </w:r>
      <w:r w:rsidR="00F33D4E" w:rsidRPr="00C42E1C">
        <w:t xml:space="preserve"> </w:t>
      </w:r>
      <w:r w:rsidR="00F33D4E">
        <w:t>(</w:t>
      </w:r>
      <w:r w:rsidR="00F33D4E" w:rsidRPr="00C42E1C">
        <w:t>NYMEX</w:t>
      </w:r>
      <w:r w:rsidR="00F33D4E">
        <w:t>)</w:t>
      </w:r>
      <w:r w:rsidR="00F33D4E" w:rsidRPr="00C42E1C">
        <w:rPr>
          <w:vertAlign w:val="superscript"/>
        </w:rPr>
        <w:footnoteReference w:id="5"/>
      </w:r>
      <w:r w:rsidR="00F33D4E" w:rsidRPr="00C42E1C">
        <w:t xml:space="preserve"> futures contra</w:t>
      </w:r>
      <w:r w:rsidR="00F33D4E">
        <w:t>ct prices for each month of 20</w:t>
      </w:r>
      <w:r w:rsidR="00F33D4E" w:rsidRPr="007C6BFF">
        <w:t>17, based on a f</w:t>
      </w:r>
      <w:r w:rsidR="00F33D4E">
        <w:t>orward curve as of May 13, 2016</w:t>
      </w:r>
      <w:r w:rsidR="00F33D4E" w:rsidRPr="007C6BFF">
        <w:t xml:space="preserve">. </w:t>
      </w:r>
      <w:r w:rsidR="001966AE">
        <w:t>DEF states that its originally-</w:t>
      </w:r>
      <w:r w:rsidR="001966AE" w:rsidRPr="00C42E1C">
        <w:t xml:space="preserve">projected </w:t>
      </w:r>
      <w:r w:rsidR="001966AE">
        <w:t xml:space="preserve">average </w:t>
      </w:r>
      <w:r w:rsidR="001966AE" w:rsidRPr="00C42E1C">
        <w:t xml:space="preserve">cost for </w:t>
      </w:r>
      <w:r w:rsidR="001966AE">
        <w:t xml:space="preserve">natural gas for </w:t>
      </w:r>
      <w:r w:rsidR="00BB4EDD">
        <w:t>delivery</w:t>
      </w:r>
      <w:r w:rsidR="001966AE">
        <w:t xml:space="preserve"> in each month of 20</w:t>
      </w:r>
      <w:r w:rsidR="001966AE" w:rsidRPr="007C6BFF">
        <w:t xml:space="preserve">17 </w:t>
      </w:r>
      <w:r w:rsidR="001966AE">
        <w:t>was $2.92 per MMbtu.</w:t>
      </w:r>
    </w:p>
    <w:p w:rsidR="00F33D4E" w:rsidRDefault="00F33D4E" w:rsidP="00F33D4E">
      <w:pPr>
        <w:pStyle w:val="BodyText"/>
        <w:spacing w:after="0"/>
      </w:pPr>
    </w:p>
    <w:p w:rsidR="006C7C79" w:rsidRDefault="00F33D4E" w:rsidP="001B4776">
      <w:pPr>
        <w:pStyle w:val="BodyText"/>
      </w:pPr>
      <w:r w:rsidRPr="00C42E1C">
        <w:t xml:space="preserve">In its Petition, </w:t>
      </w:r>
      <w:r>
        <w:t>DEF</w:t>
      </w:r>
      <w:r w:rsidRPr="00C42E1C">
        <w:t xml:space="preserve"> noted that projected natural gas commodity prices have </w:t>
      </w:r>
      <w:r>
        <w:t>increased</w:t>
      </w:r>
      <w:r w:rsidRPr="00C42E1C">
        <w:t xml:space="preserve"> since its original projections were de</w:t>
      </w:r>
      <w:r w:rsidRPr="007C6BFF">
        <w:t>veloped. For its mid-course calculations, DEF used NYMEX futures contract prices based on a forward curve as of M</w:t>
      </w:r>
      <w:r w:rsidR="001966AE">
        <w:t>arch 16, 2017, reflecting a</w:t>
      </w:r>
      <w:r w:rsidR="00727E68">
        <w:t xml:space="preserve"> price of </w:t>
      </w:r>
      <w:r w:rsidR="001966AE">
        <w:t>$3.10 per MMbtu (</w:t>
      </w:r>
      <w:r w:rsidR="00727E68">
        <w:t xml:space="preserve">an increase of </w:t>
      </w:r>
      <w:r w:rsidR="001966AE">
        <w:t>6.16 percent)</w:t>
      </w:r>
      <w:r w:rsidR="001966AE" w:rsidRPr="001E27BB">
        <w:t>.</w:t>
      </w:r>
      <w:r w:rsidR="001E27BB" w:rsidRPr="001E27BB">
        <w:t xml:space="preserve"> </w:t>
      </w:r>
      <w:r w:rsidR="001E27BB">
        <w:t xml:space="preserve">Staff notes that because natural gas is the primary generating fuel DEF relies upon, an increase </w:t>
      </w:r>
      <w:r w:rsidR="001E27BB" w:rsidRPr="001E27BB">
        <w:t>i</w:t>
      </w:r>
      <w:r w:rsidR="009236D5">
        <w:t xml:space="preserve">n the projected cost of gas </w:t>
      </w:r>
      <w:r w:rsidR="001E27BB">
        <w:t>can significantly in</w:t>
      </w:r>
      <w:r w:rsidR="001E27BB" w:rsidRPr="001E27BB">
        <w:t>crease its fuel factors.</w:t>
      </w:r>
      <w:r w:rsidR="001E27BB" w:rsidRPr="00ED7F1F">
        <w:t xml:space="preserve"> </w:t>
      </w:r>
    </w:p>
    <w:p w:rsidR="00081CB4" w:rsidRPr="00CB02E4" w:rsidRDefault="008D1A17" w:rsidP="00081CB4">
      <w:pPr>
        <w:pStyle w:val="BodyText"/>
        <w:spacing w:after="0"/>
        <w:rPr>
          <w:rFonts w:ascii="Arial" w:hAnsi="Arial" w:cs="Arial"/>
          <w:b/>
        </w:rPr>
      </w:pPr>
      <w:r>
        <w:rPr>
          <w:rFonts w:ascii="Arial" w:hAnsi="Arial" w:cs="Arial"/>
          <w:b/>
        </w:rPr>
        <w:t>Impact of lower sales</w:t>
      </w:r>
      <w:r w:rsidR="00081CB4">
        <w:rPr>
          <w:rFonts w:ascii="Arial" w:hAnsi="Arial" w:cs="Arial"/>
          <w:b/>
        </w:rPr>
        <w:t xml:space="preserve"> (Actual and Estimated amounts for 2017)</w:t>
      </w:r>
    </w:p>
    <w:p w:rsidR="003C22BA" w:rsidRDefault="00727E68" w:rsidP="00F33D4E">
      <w:pPr>
        <w:pStyle w:val="BodyText"/>
        <w:spacing w:after="0"/>
      </w:pPr>
      <w:r>
        <w:t>In its</w:t>
      </w:r>
      <w:r w:rsidR="006C7C79">
        <w:t xml:space="preserve"> projection filing for 2017, DEF </w:t>
      </w:r>
      <w:r w:rsidR="00331540">
        <w:t xml:space="preserve">estimated its total </w:t>
      </w:r>
      <w:r w:rsidR="006422EA">
        <w:t>fuel and net pow</w:t>
      </w:r>
      <w:r>
        <w:t>er transactions, excluding true-</w:t>
      </w:r>
      <w:r w:rsidR="006422EA">
        <w:t xml:space="preserve">ups, </w:t>
      </w:r>
      <w:r w:rsidR="00752D19">
        <w:t>would be $1,</w:t>
      </w:r>
      <w:r w:rsidR="006422EA">
        <w:t>413,729,784</w:t>
      </w:r>
      <w:r w:rsidR="00331540">
        <w:t>. In the Company’</w:t>
      </w:r>
      <w:r w:rsidR="006919ED">
        <w:t xml:space="preserve">s revised projections for 2017, </w:t>
      </w:r>
      <w:r w:rsidR="00331540">
        <w:t>which include actual data through March</w:t>
      </w:r>
      <w:r w:rsidR="006919ED">
        <w:t xml:space="preserve"> </w:t>
      </w:r>
      <w:r w:rsidR="009236D5">
        <w:t xml:space="preserve">2017 </w:t>
      </w:r>
      <w:r w:rsidR="006919ED">
        <w:t>and estimated data for the remainder of 2017</w:t>
      </w:r>
      <w:r w:rsidR="003C22BA">
        <w:t>, the</w:t>
      </w:r>
      <w:r w:rsidR="00752D19">
        <w:t xml:space="preserve"> total is </w:t>
      </w:r>
      <w:r w:rsidR="003C22BA">
        <w:t xml:space="preserve">now </w:t>
      </w:r>
      <w:r w:rsidR="00752D19">
        <w:t>$1,468,975,926, a difference o</w:t>
      </w:r>
      <w:r w:rsidR="00752D19" w:rsidRPr="004C30EC">
        <w:t>f $55,246,142</w:t>
      </w:r>
      <w:r w:rsidR="00331540" w:rsidRPr="004C30EC">
        <w:t>.</w:t>
      </w:r>
      <w:r w:rsidR="00331540">
        <w:t xml:space="preserve"> </w:t>
      </w:r>
    </w:p>
    <w:p w:rsidR="003C22BA" w:rsidRDefault="003C22BA" w:rsidP="00F33D4E">
      <w:pPr>
        <w:pStyle w:val="BodyText"/>
        <w:spacing w:after="0"/>
      </w:pPr>
    </w:p>
    <w:p w:rsidR="006919ED" w:rsidRDefault="003027BE" w:rsidP="00F33D4E">
      <w:pPr>
        <w:pStyle w:val="BodyText"/>
        <w:spacing w:after="0"/>
      </w:pPr>
      <w:r w:rsidRPr="00FC7436">
        <w:lastRenderedPageBreak/>
        <w:t>In</w:t>
      </w:r>
      <w:r w:rsidR="00673039">
        <w:t xml:space="preserve"> a data request response, the Company stated that in</w:t>
      </w:r>
      <w:r w:rsidRPr="00FC7436">
        <w:t xml:space="preserve"> addition</w:t>
      </w:r>
      <w:r>
        <w:t xml:space="preserve"> to the changes in forecasted prices for the fuel types used in its generating plants, </w:t>
      </w:r>
      <w:r w:rsidR="00673039">
        <w:t xml:space="preserve">mild weather impacted </w:t>
      </w:r>
      <w:r>
        <w:t>s</w:t>
      </w:r>
      <w:r w:rsidR="004F6D28">
        <w:t xml:space="preserve">ales and revenues </w:t>
      </w:r>
      <w:r w:rsidR="00673039">
        <w:t xml:space="preserve">and </w:t>
      </w:r>
      <w:r>
        <w:t>contributed to the DEF mid-course correction.</w:t>
      </w:r>
      <w:r w:rsidR="000A66EB">
        <w:rPr>
          <w:rStyle w:val="FootnoteReference"/>
        </w:rPr>
        <w:footnoteReference w:id="6"/>
      </w:r>
      <w:r>
        <w:t xml:space="preserve"> As noted previously, the original projections for 2017 were filed on September 1, 2016. Based on Schedule E-1, line 21, from DEF’s Projection filing for 2017, the Company’s Jurisdictional Sales amount </w:t>
      </w:r>
      <w:r w:rsidR="00081CB4">
        <w:t xml:space="preserve">of $1,436,253,271 </w:t>
      </w:r>
      <w:r w:rsidR="004C30EC">
        <w:t>was</w:t>
      </w:r>
      <w:r>
        <w:t xml:space="preserve"> based on sales of 39,424,485 megawatt hours. In the Company’s revised projecti</w:t>
      </w:r>
      <w:r w:rsidR="0045639D">
        <w:t xml:space="preserve">ons for 2017, DEF </w:t>
      </w:r>
      <w:r w:rsidR="00E14040">
        <w:t xml:space="preserve">has </w:t>
      </w:r>
      <w:r w:rsidR="0045639D">
        <w:t xml:space="preserve">estimated </w:t>
      </w:r>
      <w:r>
        <w:t>Jurisdiction</w:t>
      </w:r>
      <w:r w:rsidR="004C30EC">
        <w:t xml:space="preserve">al Sales </w:t>
      </w:r>
      <w:r w:rsidR="00081CB4">
        <w:t>of $1,339,629,347</w:t>
      </w:r>
      <w:r>
        <w:t xml:space="preserve"> based on sales of 37,585,611 megawatt hours. On a comparative basis, the revised </w:t>
      </w:r>
      <w:r w:rsidR="00BB4EDD">
        <w:t>forecast</w:t>
      </w:r>
      <w:r>
        <w:t xml:space="preserve"> </w:t>
      </w:r>
      <w:r w:rsidR="00081CB4">
        <w:t>is lower in dollars and</w:t>
      </w:r>
      <w:r>
        <w:t xml:space="preserve"> megawatt hours</w:t>
      </w:r>
      <w:r w:rsidR="0045639D">
        <w:t>. T</w:t>
      </w:r>
      <w:r w:rsidR="00081CB4">
        <w:t>he lower revenue and sales figures</w:t>
      </w:r>
      <w:r w:rsidR="00E14040">
        <w:t>,</w:t>
      </w:r>
      <w:r w:rsidR="00081CB4">
        <w:t xml:space="preserve"> coupled with elevated fuel costs for 2017</w:t>
      </w:r>
      <w:r w:rsidR="00E14040">
        <w:t>,</w:t>
      </w:r>
      <w:r w:rsidR="00081CB4">
        <w:t xml:space="preserve"> are the principal drivers of the incremental under-recovery of $123,151,067.</w:t>
      </w:r>
      <w:r>
        <w:t xml:space="preserve"> </w:t>
      </w:r>
    </w:p>
    <w:p w:rsidR="001B4776" w:rsidRDefault="001B4776" w:rsidP="00F33D4E">
      <w:pPr>
        <w:pStyle w:val="BodyText"/>
        <w:spacing w:after="0"/>
      </w:pPr>
    </w:p>
    <w:p w:rsidR="00F33D4E" w:rsidRDefault="001B4776" w:rsidP="00F33D4E">
      <w:pPr>
        <w:pStyle w:val="BodyText"/>
        <w:spacing w:after="0"/>
      </w:pPr>
      <w:r>
        <w:t>When th</w:t>
      </w:r>
      <w:r w:rsidR="003C22BA">
        <w:t>e final true-</w:t>
      </w:r>
      <w:r w:rsidR="006977A3">
        <w:t xml:space="preserve">up amount from </w:t>
      </w:r>
      <w:r>
        <w:t xml:space="preserve">2016 (an under-recovery of $58,893,512) is added to the </w:t>
      </w:r>
      <w:r w:rsidR="003C22BA">
        <w:t>estimated true-</w:t>
      </w:r>
      <w:r w:rsidR="0045639D">
        <w:t>up amount for 2017</w:t>
      </w:r>
      <w:r>
        <w:t xml:space="preserve"> </w:t>
      </w:r>
      <w:r w:rsidR="0045639D">
        <w:t>(</w:t>
      </w:r>
      <w:r>
        <w:t>an under-recovery of $123,151,067</w:t>
      </w:r>
      <w:r w:rsidR="0045639D">
        <w:t>)</w:t>
      </w:r>
      <w:r w:rsidR="003C22BA">
        <w:t>, the total true-</w:t>
      </w:r>
      <w:r>
        <w:t>up balance is an under-recovery of $182,044,578.</w:t>
      </w:r>
      <w:r>
        <w:rPr>
          <w:rStyle w:val="FootnoteReference"/>
        </w:rPr>
        <w:footnoteReference w:id="7"/>
      </w:r>
      <w:r>
        <w:t xml:space="preserve"> </w:t>
      </w:r>
    </w:p>
    <w:p w:rsidR="009C4CE9" w:rsidRDefault="009C4CE9" w:rsidP="00630F95">
      <w:pPr>
        <w:pStyle w:val="BodyText"/>
        <w:spacing w:after="0"/>
        <w:rPr>
          <w:highlight w:val="yellow"/>
        </w:rPr>
      </w:pPr>
    </w:p>
    <w:p w:rsidR="001E27BB" w:rsidRPr="00CB02E4" w:rsidRDefault="001E27BB" w:rsidP="001E27BB">
      <w:pPr>
        <w:pStyle w:val="BodyText"/>
        <w:spacing w:after="0"/>
        <w:rPr>
          <w:rFonts w:ascii="Arial" w:hAnsi="Arial" w:cs="Arial"/>
          <w:b/>
        </w:rPr>
      </w:pPr>
      <w:r>
        <w:rPr>
          <w:rFonts w:ascii="Arial" w:hAnsi="Arial" w:cs="Arial"/>
          <w:b/>
        </w:rPr>
        <w:t>Calculation of Mid-Course Correction</w:t>
      </w:r>
      <w:r w:rsidR="00652DBE">
        <w:rPr>
          <w:rFonts w:ascii="Arial" w:hAnsi="Arial" w:cs="Arial"/>
          <w:b/>
        </w:rPr>
        <w:t xml:space="preserve"> Percentage</w:t>
      </w:r>
    </w:p>
    <w:p w:rsidR="00423D2B" w:rsidRDefault="002B0C7F" w:rsidP="00630F95">
      <w:pPr>
        <w:pStyle w:val="BodyText"/>
        <w:spacing w:after="0"/>
      </w:pPr>
      <w:r w:rsidRPr="002A14AD">
        <w:t xml:space="preserve">Based on Rule 25-6.0424, F.A.C., the mid-course percentage is the estimated end-of-period total </w:t>
      </w:r>
      <w:r w:rsidR="00690E1E">
        <w:t xml:space="preserve">net true-up amount </w:t>
      </w:r>
      <w:r w:rsidRPr="002A14AD">
        <w:t>divided by the current period’s total actual and estimated jurisdictional fuel revenue applicable to period amount</w:t>
      </w:r>
      <w:r w:rsidR="000A66EB">
        <w:t>. Schedule E1-B in DEF’s Petition shows that</w:t>
      </w:r>
      <w:r w:rsidR="00690E1E">
        <w:t xml:space="preserve"> the Company’s most current </w:t>
      </w:r>
      <w:r w:rsidR="001847E3">
        <w:t>actual and estimated j</w:t>
      </w:r>
      <w:r w:rsidR="00690E1E" w:rsidRPr="002A14AD">
        <w:t>urisdicti</w:t>
      </w:r>
      <w:r w:rsidR="009236D5">
        <w:t>onal fuel revenue applicable to</w:t>
      </w:r>
      <w:r w:rsidR="00690E1E">
        <w:t xml:space="preserve"> 2017 is</w:t>
      </w:r>
      <w:r w:rsidR="001847E3">
        <w:t xml:space="preserve"> projected to be</w:t>
      </w:r>
      <w:r w:rsidR="00690E1E">
        <w:t xml:space="preserve"> $1,339,629,347. </w:t>
      </w:r>
      <w:r w:rsidR="0045639D">
        <w:t>Dividing the total under-recovery of $182,044,578 by the total applicable revenue for the period of $1,339,629,347 results in an under-recovery percentage of</w:t>
      </w:r>
      <w:r w:rsidR="001847E3">
        <w:t xml:space="preserve"> 13.59</w:t>
      </w:r>
      <w:r w:rsidRPr="002A14AD">
        <w:t xml:space="preserve"> percent.</w:t>
      </w:r>
    </w:p>
    <w:p w:rsidR="00681DEC" w:rsidRDefault="00681DEC" w:rsidP="0083756F">
      <w:pPr>
        <w:pStyle w:val="BodyText"/>
        <w:spacing w:after="0"/>
      </w:pPr>
    </w:p>
    <w:p w:rsidR="00652DBE" w:rsidRPr="00652DBE" w:rsidRDefault="00652DBE" w:rsidP="00652DBE">
      <w:pPr>
        <w:pStyle w:val="BodyText"/>
        <w:spacing w:after="0"/>
        <w:rPr>
          <w:rFonts w:ascii="Arial" w:hAnsi="Arial" w:cs="Arial"/>
          <w:b/>
        </w:rPr>
      </w:pPr>
      <w:r w:rsidRPr="00652DBE">
        <w:rPr>
          <w:rFonts w:ascii="Arial" w:hAnsi="Arial" w:cs="Arial"/>
          <w:b/>
        </w:rPr>
        <w:t>Options For Implementing Mid-Course Correction</w:t>
      </w:r>
    </w:p>
    <w:p w:rsidR="009D3BB4" w:rsidRDefault="0045639D" w:rsidP="00652DBE">
      <w:pPr>
        <w:pStyle w:val="BodyText"/>
        <w:spacing w:after="0"/>
      </w:pPr>
      <w:r>
        <w:t>T</w:t>
      </w:r>
      <w:r w:rsidR="00652DBE">
        <w:t xml:space="preserve">he Company </w:t>
      </w:r>
      <w:r w:rsidR="00652DBE" w:rsidRPr="007054AC">
        <w:t>has requested that the revised fu</w:t>
      </w:r>
      <w:r>
        <w:t>el factors become effective with</w:t>
      </w:r>
      <w:r w:rsidR="00652DBE" w:rsidRPr="007054AC">
        <w:t xml:space="preserve"> th</w:t>
      </w:r>
      <w:r>
        <w:t>e July 2017 billing cycle</w:t>
      </w:r>
      <w:r w:rsidR="00652DBE">
        <w:t xml:space="preserve"> </w:t>
      </w:r>
      <w:r w:rsidR="001801B1">
        <w:t>and remain in-place until the Citrus 1 GBRA is placed into rates. Although the Company presented its calculation of the impact of this adjustment based on a 12-month period</w:t>
      </w:r>
      <w:r w:rsidR="00FE3E3E">
        <w:t xml:space="preserve">, </w:t>
      </w:r>
      <w:r>
        <w:t>the actual</w:t>
      </w:r>
      <w:r w:rsidR="00FE3E3E">
        <w:t xml:space="preserve"> duration of the mid-course adjustment may be </w:t>
      </w:r>
      <w:r>
        <w:t>more or less than</w:t>
      </w:r>
      <w:r w:rsidR="00FE3E3E">
        <w:t xml:space="preserve"> </w:t>
      </w:r>
      <w:r w:rsidR="00A36052">
        <w:t xml:space="preserve">a </w:t>
      </w:r>
      <w:r w:rsidR="00FE3E3E">
        <w:t>12 month</w:t>
      </w:r>
      <w:r w:rsidR="00A36052">
        <w:t xml:space="preserve"> period</w:t>
      </w:r>
      <w:r w:rsidR="00FE3E3E">
        <w:t xml:space="preserve">, </w:t>
      </w:r>
      <w:r w:rsidR="009D3BB4">
        <w:t xml:space="preserve">depending on the actual in-service date of Citrus 1. </w:t>
      </w:r>
      <w:r w:rsidR="00FE3E3E" w:rsidRPr="00FC7436">
        <w:t>In</w:t>
      </w:r>
      <w:r w:rsidR="00FE3E3E">
        <w:t xml:space="preserve"> a data request response, the Company stated that the “best case” scenario for when </w:t>
      </w:r>
      <w:r w:rsidR="009D3BB4">
        <w:t>Citrus 1 would enter commercial</w:t>
      </w:r>
      <w:r w:rsidR="00FE3E3E">
        <w:t xml:space="preserve"> service </w:t>
      </w:r>
      <w:r w:rsidR="009D3BB4">
        <w:t xml:space="preserve">is June </w:t>
      </w:r>
      <w:r w:rsidR="00FE3E3E">
        <w:t xml:space="preserve">2018, </w:t>
      </w:r>
      <w:r w:rsidR="009D3BB4">
        <w:t>and the “worse case” scenario is September</w:t>
      </w:r>
      <w:r w:rsidR="00FE3E3E">
        <w:t xml:space="preserve"> 2018.</w:t>
      </w:r>
      <w:r w:rsidR="00FE3E3E">
        <w:rPr>
          <w:rStyle w:val="FootnoteReference"/>
        </w:rPr>
        <w:footnoteReference w:id="8"/>
      </w:r>
      <w:r w:rsidR="00FE3E3E">
        <w:t xml:space="preserve"> </w:t>
      </w:r>
      <w:r w:rsidR="009D3BB4">
        <w:t>The Company noted that if the mid-course fa</w:t>
      </w:r>
      <w:r w:rsidR="00952CA3">
        <w:t>ctor remains</w:t>
      </w:r>
      <w:r w:rsidR="00482ABC">
        <w:t xml:space="preserve"> in place for greater than or less</w:t>
      </w:r>
      <w:r w:rsidR="009D3BB4">
        <w:t xml:space="preserve"> th</w:t>
      </w:r>
      <w:r w:rsidR="00E14040">
        <w:t>an 12 months, any over or under-</w:t>
      </w:r>
      <w:r w:rsidR="00952CA3">
        <w:t>recovered amounts will</w:t>
      </w:r>
      <w:r w:rsidR="00482ABC">
        <w:t xml:space="preserve"> be addressed in the 2018 fuel clause</w:t>
      </w:r>
      <w:r w:rsidR="009D3BB4">
        <w:t xml:space="preserve"> hearing.</w:t>
      </w:r>
    </w:p>
    <w:p w:rsidR="009D3BB4" w:rsidRDefault="009D3BB4" w:rsidP="00652DBE">
      <w:pPr>
        <w:pStyle w:val="BodyText"/>
        <w:spacing w:after="0"/>
      </w:pPr>
    </w:p>
    <w:p w:rsidR="001C072D" w:rsidRDefault="00652DBE" w:rsidP="00652DBE">
      <w:pPr>
        <w:pStyle w:val="BodyText"/>
        <w:spacing w:after="0"/>
      </w:pPr>
      <w:r>
        <w:t>Staff notes that DEF’s request is unique</w:t>
      </w:r>
      <w:r w:rsidR="00A36052">
        <w:t>, but not unprecedented. M</w:t>
      </w:r>
      <w:r>
        <w:t xml:space="preserve">id-course corrections to fuel cost recovery factors are </w:t>
      </w:r>
      <w:r w:rsidR="00F96B8F">
        <w:t xml:space="preserve">generally </w:t>
      </w:r>
      <w:r>
        <w:t xml:space="preserve">applied over the remaining months in a given year before such factors are re-set in </w:t>
      </w:r>
      <w:r w:rsidR="00E14040">
        <w:t>the annual fuel clause</w:t>
      </w:r>
      <w:r>
        <w:t xml:space="preserve"> hearing process.</w:t>
      </w:r>
      <w:r w:rsidR="000A66EB">
        <w:rPr>
          <w:rStyle w:val="FootnoteReference"/>
        </w:rPr>
        <w:footnoteReference w:id="9"/>
      </w:r>
      <w:r>
        <w:t xml:space="preserve"> </w:t>
      </w:r>
      <w:r w:rsidR="008D1A17">
        <w:t xml:space="preserve">In the instant case, DEF is </w:t>
      </w:r>
      <w:r w:rsidR="008D1A17">
        <w:lastRenderedPageBreak/>
        <w:t>requesting</w:t>
      </w:r>
      <w:r w:rsidR="00F96B8F">
        <w:t xml:space="preserve"> that the impact of this correction be</w:t>
      </w:r>
      <w:r w:rsidR="00BC105C">
        <w:t>gin in July of this y</w:t>
      </w:r>
      <w:r w:rsidR="00CF6046">
        <w:t>ea</w:t>
      </w:r>
      <w:r w:rsidR="00A36052">
        <w:t>r, and extend into</w:t>
      </w:r>
      <w:r w:rsidR="00BC105C">
        <w:t xml:space="preserve"> 2018</w:t>
      </w:r>
      <w:r w:rsidR="00F96B8F">
        <w:t>. Staff believes the Commission ha</w:t>
      </w:r>
      <w:r w:rsidR="00BC105C">
        <w:t xml:space="preserve">s the </w:t>
      </w:r>
      <w:r w:rsidR="009D3BB4">
        <w:t xml:space="preserve">discretion to approve </w:t>
      </w:r>
      <w:r w:rsidR="00BC105C">
        <w:t>recovery applied over the remaining months of this year, or in the manner</w:t>
      </w:r>
      <w:r w:rsidR="009D3BB4">
        <w:t xml:space="preserve"> requested by DEF.</w:t>
      </w:r>
      <w:r w:rsidR="00FF4344">
        <w:t xml:space="preserve"> </w:t>
      </w:r>
    </w:p>
    <w:p w:rsidR="00AB5A79" w:rsidRDefault="00AB5A79" w:rsidP="00652DBE">
      <w:pPr>
        <w:pStyle w:val="BodyText"/>
        <w:spacing w:after="0"/>
      </w:pPr>
    </w:p>
    <w:p w:rsidR="00482ABC" w:rsidRDefault="004142D0" w:rsidP="00652DBE">
      <w:pPr>
        <w:pStyle w:val="BodyText"/>
        <w:spacing w:after="0"/>
      </w:pPr>
      <w:r>
        <w:t>According to DEF, implementing this mid-course correction over a</w:t>
      </w:r>
      <w:r w:rsidR="00744F58">
        <w:t xml:space="preserve">n extended </w:t>
      </w:r>
      <w:r>
        <w:t xml:space="preserve">period </w:t>
      </w:r>
      <w:r w:rsidR="00744F58">
        <w:t xml:space="preserve">of time </w:t>
      </w:r>
      <w:r w:rsidR="009D3BB4">
        <w:t>w</w:t>
      </w:r>
      <w:r>
        <w:t xml:space="preserve">ill result in its customers seeing a smaller monthly increase in bills than if the </w:t>
      </w:r>
      <w:r w:rsidR="009D3BB4">
        <w:t xml:space="preserve">recovery period was shorter. </w:t>
      </w:r>
      <w:r w:rsidR="005E04F9">
        <w:t>DEF presented calculations based on a 12-month recovery period, but requests that the mid-course correction factors remain in-place until the Citrus 1 GBRA is place</w:t>
      </w:r>
      <w:r w:rsidR="002C0253">
        <w:t>d</w:t>
      </w:r>
      <w:r w:rsidR="005E04F9">
        <w:t xml:space="preserve"> into rates. </w:t>
      </w:r>
      <w:r w:rsidR="00CE167D">
        <w:t>As shown</w:t>
      </w:r>
      <w:r>
        <w:t xml:space="preserve"> in Schedule E10 in DEF’s Petition, the mid-course correction amount </w:t>
      </w:r>
      <w:r w:rsidR="00482ABC">
        <w:t>is</w:t>
      </w:r>
      <w:r>
        <w:t xml:space="preserve"> $4.70 for a residential customer using 1,000 kWh of electricity. </w:t>
      </w:r>
    </w:p>
    <w:p w:rsidR="00482ABC" w:rsidRDefault="00482ABC" w:rsidP="00652DBE">
      <w:pPr>
        <w:pStyle w:val="BodyText"/>
        <w:spacing w:after="0"/>
      </w:pPr>
    </w:p>
    <w:p w:rsidR="00652DBE" w:rsidRDefault="00652DBE" w:rsidP="00652DBE">
      <w:pPr>
        <w:pStyle w:val="BodyText"/>
        <w:spacing w:after="0"/>
      </w:pPr>
      <w:r>
        <w:t>In DEF’s Petition, the Company stated that when</w:t>
      </w:r>
      <w:r w:rsidR="002C0253">
        <w:t xml:space="preserve"> Citrus 1 </w:t>
      </w:r>
      <w:r>
        <w:t>is placed int</w:t>
      </w:r>
      <w:r w:rsidR="002C0253">
        <w:t>o service, DEF’s customers will</w:t>
      </w:r>
      <w:r>
        <w:t xml:space="preserve"> see</w:t>
      </w:r>
      <w:r w:rsidR="002C0253">
        <w:t xml:space="preserve"> a</w:t>
      </w:r>
      <w:r>
        <w:t xml:space="preserve"> base rate adjustment</w:t>
      </w:r>
      <w:r w:rsidR="001C072D">
        <w:t xml:space="preserve"> for the new plant being placed into service, and </w:t>
      </w:r>
      <w:r w:rsidR="002C0253">
        <w:t xml:space="preserve">the concurrent expiration of the </w:t>
      </w:r>
      <w:r w:rsidR="001C072D">
        <w:t>mid-course correction</w:t>
      </w:r>
      <w:r w:rsidR="002C0253">
        <w:t>.</w:t>
      </w:r>
      <w:r w:rsidR="00EC40FE">
        <w:t xml:space="preserve"> </w:t>
      </w:r>
      <w:r w:rsidR="00210E58">
        <w:t>DEF estimates that the Citrus 1 GB</w:t>
      </w:r>
      <w:r w:rsidR="002C0253">
        <w:t>RA adjustment to base rate will</w:t>
      </w:r>
      <w:r w:rsidR="00210E58">
        <w:t xml:space="preserve"> b</w:t>
      </w:r>
      <w:r w:rsidR="008D62D7">
        <w:t>e $4.25 per month for a residential customer using 1,000 kWh of electricity</w:t>
      </w:r>
      <w:r w:rsidR="00AE0231">
        <w:t>.</w:t>
      </w:r>
      <w:r w:rsidR="0099443D">
        <w:t xml:space="preserve"> </w:t>
      </w:r>
      <w:r w:rsidR="00210E58">
        <w:t xml:space="preserve">The Company believes </w:t>
      </w:r>
      <w:r w:rsidR="002C0253">
        <w:t xml:space="preserve">ending the mid-course correction adjustment at the same time </w:t>
      </w:r>
      <w:r w:rsidR="00EC40FE">
        <w:t>the Citrus 1 GBRA adjustment</w:t>
      </w:r>
      <w:r w:rsidR="002C0253">
        <w:t xml:space="preserve"> is implemented</w:t>
      </w:r>
      <w:r w:rsidR="00EC40FE">
        <w:t xml:space="preserve"> will</w:t>
      </w:r>
      <w:r w:rsidR="00210E58">
        <w:t xml:space="preserve"> </w:t>
      </w:r>
      <w:r w:rsidR="00482ABC">
        <w:t>offset</w:t>
      </w:r>
      <w:r w:rsidR="00210E58">
        <w:t xml:space="preserve"> the overall bi</w:t>
      </w:r>
      <w:r w:rsidR="004D7909">
        <w:t>ll impact for its customers, because</w:t>
      </w:r>
      <w:r w:rsidR="00210E58">
        <w:t xml:space="preserve"> both adjustments</w:t>
      </w:r>
      <w:r w:rsidR="00EC40FE">
        <w:t xml:space="preserve"> will</w:t>
      </w:r>
      <w:r>
        <w:t xml:space="preserve"> be addressed in a single billing adjustment.</w:t>
      </w:r>
    </w:p>
    <w:p w:rsidR="00652DBE" w:rsidRDefault="00652DBE" w:rsidP="00652DBE">
      <w:pPr>
        <w:pStyle w:val="BodyText"/>
        <w:spacing w:after="0"/>
      </w:pPr>
    </w:p>
    <w:p w:rsidR="000C4C13" w:rsidRDefault="000C4C13" w:rsidP="00652DBE">
      <w:pPr>
        <w:pStyle w:val="BodyText"/>
        <w:spacing w:after="0"/>
      </w:pPr>
      <w:r>
        <w:t xml:space="preserve">The total </w:t>
      </w:r>
      <w:r w:rsidR="00652DBE" w:rsidRPr="007B0571">
        <w:t>current</w:t>
      </w:r>
      <w:r>
        <w:t xml:space="preserve"> bill for a residential customer using</w:t>
      </w:r>
      <w:r w:rsidR="00652DBE" w:rsidRPr="007B0571">
        <w:t xml:space="preserve"> 1,000 kilowatt hour</w:t>
      </w:r>
      <w:r>
        <w:t>s</w:t>
      </w:r>
      <w:r w:rsidR="00652DBE" w:rsidRPr="007B0571">
        <w:t xml:space="preserve"> (</w:t>
      </w:r>
      <w:r w:rsidR="00652DBE">
        <w:t>kWh)</w:t>
      </w:r>
      <w:r>
        <w:t xml:space="preserve"> of electricity</w:t>
      </w:r>
      <w:r w:rsidR="00652DBE">
        <w:t xml:space="preserve"> is $117.24</w:t>
      </w:r>
      <w:r w:rsidR="00652DBE" w:rsidRPr="007B0571">
        <w:t xml:space="preserve"> per month with a fuel component of $</w:t>
      </w:r>
      <w:r w:rsidR="00652DBE">
        <w:t>33.77 per month</w:t>
      </w:r>
      <w:r w:rsidR="00652DBE" w:rsidRPr="007B0571">
        <w:t xml:space="preserve">. Assuming </w:t>
      </w:r>
      <w:r w:rsidR="00652DBE">
        <w:t>that its mid-course correction is approved</w:t>
      </w:r>
      <w:r w:rsidR="004B528E">
        <w:t xml:space="preserve"> a</w:t>
      </w:r>
      <w:r w:rsidR="0099443D">
        <w:t xml:space="preserve">s filed, </w:t>
      </w:r>
      <w:r w:rsidR="00652DBE" w:rsidRPr="007B0571">
        <w:t xml:space="preserve">the </w:t>
      </w:r>
      <w:r w:rsidR="00652DBE">
        <w:t>fuel portion</w:t>
      </w:r>
      <w:r w:rsidR="00652DBE" w:rsidRPr="007B0571">
        <w:t xml:space="preserve"> will</w:t>
      </w:r>
      <w:r w:rsidR="00652DBE">
        <w:t xml:space="preserve"> increase by $4.70 per month, to $38.47 per month. Staff notes that DEF’s Petition also</w:t>
      </w:r>
      <w:r w:rsidR="0099443D">
        <w:t xml:space="preserve"> identifies its separately requested</w:t>
      </w:r>
      <w:r w:rsidR="00652DBE">
        <w:t xml:space="preserve"> revision to the Asset Securitization Charge (ASC)</w:t>
      </w:r>
      <w:r w:rsidR="0099443D">
        <w:t>. The revision to the ASC</w:t>
      </w:r>
      <w:r w:rsidR="00652DBE">
        <w:t xml:space="preserve"> was incorporated into th</w:t>
      </w:r>
      <w:r w:rsidR="0099443D">
        <w:t>e tariff sheets with the</w:t>
      </w:r>
      <w:r w:rsidR="00652DBE">
        <w:t xml:space="preserve"> mid-course correction for administrative efficiency</w:t>
      </w:r>
      <w:r w:rsidR="00AE0231">
        <w:t xml:space="preserve"> because both charges will go into effect with the first billing cycle in July</w:t>
      </w:r>
      <w:r w:rsidR="00652DBE">
        <w:t>. The ASC portion of a</w:t>
      </w:r>
      <w:r w:rsidR="00652DBE" w:rsidRPr="007B0571">
        <w:t xml:space="preserve"> residential bill for 1,000 kWh of u</w:t>
      </w:r>
      <w:r w:rsidR="00652DBE">
        <w:t xml:space="preserve">sage </w:t>
      </w:r>
      <w:r w:rsidR="00652DBE" w:rsidRPr="007B0571">
        <w:t>will</w:t>
      </w:r>
      <w:r w:rsidR="0099443D">
        <w:t xml:space="preserve"> increase by $1.14 per month</w:t>
      </w:r>
      <w:r w:rsidR="00652DBE">
        <w:t>. Upon approval, the bill for a residential customer using 1,000 kilowatt hours</w:t>
      </w:r>
      <w:r w:rsidR="001674E0">
        <w:t xml:space="preserve"> of electricity</w:t>
      </w:r>
      <w:r w:rsidR="00652DBE">
        <w:t xml:space="preserve"> incre</w:t>
      </w:r>
      <w:r w:rsidR="00AE0231">
        <w:t>ases to $123.23 per month, a total</w:t>
      </w:r>
      <w:r w:rsidR="00652DBE">
        <w:t xml:space="preserve"> increase of</w:t>
      </w:r>
      <w:r w:rsidR="00482ABC">
        <w:t xml:space="preserve"> $5.99 per month (including gross receipts tax), </w:t>
      </w:r>
      <w:r w:rsidR="00AE0231">
        <w:t>effective with</w:t>
      </w:r>
      <w:r w:rsidR="00652DBE">
        <w:t xml:space="preserve"> the July billing cycle. </w:t>
      </w:r>
      <w:r w:rsidR="00CB57C7">
        <w:t>The</w:t>
      </w:r>
      <w:r w:rsidR="00CB57C7" w:rsidRPr="00A305D3">
        <w:t xml:space="preserve"> </w:t>
      </w:r>
      <w:r w:rsidR="00CB57C7">
        <w:t xml:space="preserve">proposed </w:t>
      </w:r>
      <w:r w:rsidR="00CB57C7" w:rsidRPr="00A305D3">
        <w:t xml:space="preserve">fuel </w:t>
      </w:r>
      <w:r w:rsidR="00CB57C7">
        <w:t xml:space="preserve">cost recovery </w:t>
      </w:r>
      <w:r w:rsidR="00CB57C7" w:rsidRPr="00A305D3">
        <w:t xml:space="preserve">factors </w:t>
      </w:r>
      <w:r w:rsidR="00CB57C7">
        <w:t xml:space="preserve">for </w:t>
      </w:r>
      <w:r w:rsidR="004B528E">
        <w:t xml:space="preserve">this implementation </w:t>
      </w:r>
      <w:r w:rsidR="00CB57C7" w:rsidRPr="00A305D3">
        <w:t xml:space="preserve">are presented in Attachment </w:t>
      </w:r>
      <w:r w:rsidR="00CB57C7">
        <w:t xml:space="preserve">A. </w:t>
      </w:r>
    </w:p>
    <w:p w:rsidR="004B528E" w:rsidRDefault="004B528E" w:rsidP="00652DBE">
      <w:pPr>
        <w:pStyle w:val="BodyText"/>
        <w:spacing w:after="0"/>
      </w:pPr>
    </w:p>
    <w:p w:rsidR="001674E0" w:rsidRDefault="001674E0" w:rsidP="001674E0">
      <w:pPr>
        <w:pStyle w:val="BodyText"/>
        <w:spacing w:after="0"/>
      </w:pPr>
      <w:r>
        <w:t>By implementing the mid-course adju</w:t>
      </w:r>
      <w:r w:rsidR="002F396F">
        <w:t>stment over</w:t>
      </w:r>
      <w:r w:rsidR="00AA7142">
        <w:t xml:space="preserve"> an extended</w:t>
      </w:r>
      <w:r>
        <w:t xml:space="preserve"> period, DEF’s cu</w:t>
      </w:r>
      <w:r w:rsidR="00835308">
        <w:t>stomers will see the following three</w:t>
      </w:r>
      <w:r>
        <w:t xml:space="preserve"> changes to fuel co</w:t>
      </w:r>
      <w:r w:rsidR="001E0353">
        <w:t>st recovery factors over the next</w:t>
      </w:r>
      <w:r>
        <w:t xml:space="preserve"> 1-year period:</w:t>
      </w:r>
    </w:p>
    <w:p w:rsidR="001674E0" w:rsidRDefault="001674E0" w:rsidP="001674E0">
      <w:pPr>
        <w:pStyle w:val="BodyText"/>
        <w:spacing w:after="0"/>
      </w:pPr>
    </w:p>
    <w:p w:rsidR="001674E0" w:rsidRDefault="001674E0" w:rsidP="001674E0">
      <w:pPr>
        <w:pStyle w:val="BodyText"/>
        <w:numPr>
          <w:ilvl w:val="0"/>
          <w:numId w:val="13"/>
        </w:numPr>
        <w:spacing w:after="0"/>
      </w:pPr>
      <w:r>
        <w:t>Effective with the first bill</w:t>
      </w:r>
      <w:r w:rsidR="001E0353">
        <w:t>ing cycle in July</w:t>
      </w:r>
      <w:r>
        <w:t xml:space="preserve"> 2017, the </w:t>
      </w:r>
      <w:r w:rsidR="000C4C13">
        <w:t xml:space="preserve">incremental adjustment on a </w:t>
      </w:r>
      <w:r>
        <w:t>total</w:t>
      </w:r>
      <w:r w:rsidR="000C4C13">
        <w:t xml:space="preserve"> bill</w:t>
      </w:r>
      <w:r>
        <w:t xml:space="preserve"> will be $5.99 for a residential customer using 1,000 kilowatt hours of electricity.</w:t>
      </w:r>
    </w:p>
    <w:p w:rsidR="002F396F" w:rsidRDefault="0032550D" w:rsidP="0032550D">
      <w:pPr>
        <w:pStyle w:val="BodyText"/>
        <w:numPr>
          <w:ilvl w:val="0"/>
          <w:numId w:val="13"/>
        </w:numPr>
        <w:spacing w:after="0"/>
      </w:pPr>
      <w:r>
        <w:t>Although the specific amount</w:t>
      </w:r>
      <w:r w:rsidR="001E0353">
        <w:t xml:space="preserve"> i</w:t>
      </w:r>
      <w:r>
        <w:t>s not known at this time, a billing change will be implemented e</w:t>
      </w:r>
      <w:r w:rsidR="001674E0">
        <w:t>ffective with the</w:t>
      </w:r>
      <w:r w:rsidR="001E0353">
        <w:t xml:space="preserve"> first billing cycle in January</w:t>
      </w:r>
      <w:r w:rsidR="001674E0">
        <w:t xml:space="preserve"> 2018,</w:t>
      </w:r>
      <w:r w:rsidR="001E0353">
        <w:t xml:space="preserve"> when</w:t>
      </w:r>
      <w:r w:rsidR="001674E0">
        <w:t xml:space="preserve"> all cost recovery factors</w:t>
      </w:r>
      <w:r>
        <w:t xml:space="preserve"> will </w:t>
      </w:r>
      <w:r w:rsidR="001E0353">
        <w:t>be</w:t>
      </w:r>
      <w:r w:rsidR="001674E0">
        <w:t xml:space="preserve"> re-set </w:t>
      </w:r>
      <w:r w:rsidR="00482ABC">
        <w:t>in the</w:t>
      </w:r>
      <w:r>
        <w:t xml:space="preserve"> annual </w:t>
      </w:r>
      <w:r w:rsidR="00482ABC">
        <w:t xml:space="preserve">fuel clause </w:t>
      </w:r>
      <w:r>
        <w:t>hearing</w:t>
      </w:r>
      <w:r w:rsidR="00482ABC">
        <w:t xml:space="preserve"> (scheduled for October 2017)</w:t>
      </w:r>
      <w:r>
        <w:t xml:space="preserve">. </w:t>
      </w:r>
      <w:r w:rsidR="00A31965">
        <w:t xml:space="preserve"> </w:t>
      </w:r>
    </w:p>
    <w:p w:rsidR="008E09AA" w:rsidRDefault="001674E0" w:rsidP="008E09AA">
      <w:pPr>
        <w:pStyle w:val="BodyText"/>
        <w:numPr>
          <w:ilvl w:val="0"/>
          <w:numId w:val="13"/>
        </w:numPr>
        <w:spacing w:after="0"/>
      </w:pPr>
      <w:r>
        <w:t xml:space="preserve">The third </w:t>
      </w:r>
      <w:r w:rsidR="00E54637">
        <w:t xml:space="preserve">billing </w:t>
      </w:r>
      <w:r>
        <w:t>change w</w:t>
      </w:r>
      <w:r w:rsidR="001E0353">
        <w:t>ill</w:t>
      </w:r>
      <w:r w:rsidR="003C7721">
        <w:t xml:space="preserve"> be effective with the in-ser</w:t>
      </w:r>
      <w:r>
        <w:t xml:space="preserve">vice date of the Citrus 1 generating facility. </w:t>
      </w:r>
    </w:p>
    <w:p w:rsidR="00AD500B" w:rsidRDefault="00AD500B" w:rsidP="00AD500B">
      <w:pPr>
        <w:pStyle w:val="BodyText"/>
        <w:spacing w:after="0"/>
      </w:pPr>
    </w:p>
    <w:p w:rsidR="00952CA3" w:rsidRDefault="00952CA3" w:rsidP="00AD500B">
      <w:pPr>
        <w:pStyle w:val="BodyText"/>
        <w:spacing w:after="0"/>
      </w:pPr>
    </w:p>
    <w:p w:rsidR="00952CA3" w:rsidRDefault="00952CA3" w:rsidP="00AD500B">
      <w:pPr>
        <w:pStyle w:val="BodyText"/>
        <w:spacing w:after="0"/>
      </w:pPr>
    </w:p>
    <w:p w:rsidR="00952CA3" w:rsidRDefault="00952CA3" w:rsidP="00AD500B">
      <w:pPr>
        <w:pStyle w:val="BodyText"/>
        <w:spacing w:after="0"/>
      </w:pPr>
    </w:p>
    <w:p w:rsidR="00952CA3" w:rsidRDefault="00952CA3" w:rsidP="00AD500B">
      <w:pPr>
        <w:pStyle w:val="BodyText"/>
        <w:spacing w:after="0"/>
      </w:pPr>
    </w:p>
    <w:p w:rsidR="00652DBE" w:rsidRPr="00652DBE" w:rsidRDefault="00AD500B" w:rsidP="00652DBE">
      <w:pPr>
        <w:pStyle w:val="BodyText"/>
        <w:spacing w:after="0"/>
        <w:ind w:firstLine="720"/>
        <w:rPr>
          <w:rFonts w:ascii="Arial" w:hAnsi="Arial" w:cs="Arial"/>
          <w:b/>
          <w:i/>
        </w:rPr>
      </w:pPr>
      <w:r>
        <w:rPr>
          <w:rFonts w:ascii="Arial" w:hAnsi="Arial" w:cs="Arial"/>
          <w:b/>
          <w:i/>
        </w:rPr>
        <w:lastRenderedPageBreak/>
        <w:t>Bil</w:t>
      </w:r>
      <w:r w:rsidR="00482ABC">
        <w:rPr>
          <w:rFonts w:ascii="Arial" w:hAnsi="Arial" w:cs="Arial"/>
          <w:b/>
          <w:i/>
        </w:rPr>
        <w:t>l Impact (6 Months versus 12 Months)</w:t>
      </w:r>
    </w:p>
    <w:p w:rsidR="00871556" w:rsidRDefault="001E0353" w:rsidP="00A37FB6">
      <w:pPr>
        <w:pStyle w:val="BodyText"/>
        <w:spacing w:after="0"/>
      </w:pPr>
      <w:r>
        <w:t>I</w:t>
      </w:r>
      <w:r w:rsidR="00E54637">
        <w:t>n t</w:t>
      </w:r>
      <w:r>
        <w:t>he t</w:t>
      </w:r>
      <w:r w:rsidR="00E54637">
        <w:t xml:space="preserve">wo </w:t>
      </w:r>
      <w:r>
        <w:t xml:space="preserve">most </w:t>
      </w:r>
      <w:r w:rsidR="00E54637">
        <w:t xml:space="preserve">recent </w:t>
      </w:r>
      <w:r w:rsidR="00652DBE">
        <w:t>mid-course correction</w:t>
      </w:r>
      <w:r w:rsidR="00E54637">
        <w:t xml:space="preserve"> petitions,</w:t>
      </w:r>
      <w:r w:rsidR="00652DBE">
        <w:t xml:space="preserve"> </w:t>
      </w:r>
      <w:r w:rsidR="00E54637">
        <w:t xml:space="preserve">the Commission ordered </w:t>
      </w:r>
      <w:r w:rsidR="00652DBE">
        <w:t xml:space="preserve">fuel cost recovery factors </w:t>
      </w:r>
      <w:r w:rsidR="00E54637">
        <w:t>be revised to apply the correction</w:t>
      </w:r>
      <w:r w:rsidR="00652DBE">
        <w:t xml:space="preserve"> over the rem</w:t>
      </w:r>
      <w:r>
        <w:t>aining months in that</w:t>
      </w:r>
      <w:r w:rsidR="00652DBE">
        <w:t xml:space="preserve"> year.</w:t>
      </w:r>
      <w:r w:rsidR="00E54637">
        <w:rPr>
          <w:rStyle w:val="FootnoteReference"/>
        </w:rPr>
        <w:footnoteReference w:id="10"/>
      </w:r>
      <w:r w:rsidR="00652DBE">
        <w:t xml:space="preserve"> For the instant case, implementation </w:t>
      </w:r>
      <w:r w:rsidR="008E09AA">
        <w:t>in this manner would mean increase</w:t>
      </w:r>
      <w:r w:rsidR="00652DBE">
        <w:t xml:space="preserve">d </w:t>
      </w:r>
      <w:r w:rsidR="00E54637">
        <w:t>fue</w:t>
      </w:r>
      <w:r w:rsidR="008E09AA">
        <w:t xml:space="preserve">l factors for July-December </w:t>
      </w:r>
      <w:r w:rsidR="00652DBE">
        <w:t>2017</w:t>
      </w:r>
      <w:r w:rsidR="001A45CE">
        <w:t xml:space="preserve">. </w:t>
      </w:r>
      <w:r w:rsidR="002F396F">
        <w:t xml:space="preserve">DEF’s customers will </w:t>
      </w:r>
      <w:r w:rsidR="00AA7142">
        <w:t xml:space="preserve">still experience </w:t>
      </w:r>
      <w:r w:rsidR="00835308">
        <w:t>three</w:t>
      </w:r>
      <w:r w:rsidR="002F396F">
        <w:t xml:space="preserve"> changes to </w:t>
      </w:r>
      <w:r w:rsidR="00BF3509">
        <w:t xml:space="preserve">their total bills and to </w:t>
      </w:r>
      <w:r w:rsidR="002F396F">
        <w:t>fuel cost recovery factors over about a 1-year period</w:t>
      </w:r>
      <w:r w:rsidR="00A059D0">
        <w:t>.</w:t>
      </w:r>
      <w:r w:rsidR="008D0BE4">
        <w:t xml:space="preserve"> </w:t>
      </w:r>
      <w:r w:rsidR="00A059D0">
        <w:t>The</w:t>
      </w:r>
      <w:r w:rsidR="00A059D0" w:rsidRPr="00A305D3">
        <w:t xml:space="preserve"> </w:t>
      </w:r>
      <w:r w:rsidR="00A059D0">
        <w:t xml:space="preserve">proposed </w:t>
      </w:r>
      <w:r w:rsidR="00A059D0" w:rsidRPr="00A305D3">
        <w:t xml:space="preserve">fuel </w:t>
      </w:r>
      <w:r w:rsidR="00A059D0">
        <w:t xml:space="preserve">cost recovery </w:t>
      </w:r>
      <w:r w:rsidR="00A059D0" w:rsidRPr="00A305D3">
        <w:t xml:space="preserve">factors </w:t>
      </w:r>
      <w:r w:rsidR="00A059D0">
        <w:t xml:space="preserve">for this implementation </w:t>
      </w:r>
      <w:r w:rsidR="00A059D0" w:rsidRPr="00A305D3">
        <w:t xml:space="preserve">are presented in Attachment </w:t>
      </w:r>
      <w:r w:rsidR="00A059D0">
        <w:t>B.</w:t>
      </w:r>
      <w:r w:rsidR="00871556">
        <w:t xml:space="preserve"> </w:t>
      </w:r>
    </w:p>
    <w:p w:rsidR="00871556" w:rsidRDefault="00871556" w:rsidP="00A37FB6">
      <w:pPr>
        <w:pStyle w:val="BodyText"/>
        <w:spacing w:after="0"/>
      </w:pPr>
    </w:p>
    <w:p w:rsidR="001B233B" w:rsidRDefault="001B233B" w:rsidP="008E09AA">
      <w:pPr>
        <w:pStyle w:val="BodyText"/>
        <w:spacing w:after="0"/>
      </w:pPr>
      <w:r>
        <w:t xml:space="preserve">As noted earlier, if the mid-course correction is recovered as requested by the Company, the incremental increase for fuel cost recovery is $4.70 for a residential customer using 1,000 kilowatt hours of electricity per month. If the mid course correction is fully recovered in 2017, </w:t>
      </w:r>
      <w:r w:rsidR="008E09AA">
        <w:t xml:space="preserve">the </w:t>
      </w:r>
      <w:r>
        <w:t>comparative amount for fuel cost recovery is $8.73 for a residential customer using 1,000 kilowatt hours of electricity per month. Table 1-1 below presents a comparison</w:t>
      </w:r>
      <w:r w:rsidR="00ED26FE">
        <w:t xml:space="preserve"> of the bill impact of recovering the mid-course correction </w:t>
      </w:r>
      <w:r w:rsidR="008E09AA">
        <w:t>over 6 months and 12 months.</w:t>
      </w:r>
    </w:p>
    <w:p w:rsidR="008E09AA" w:rsidRDefault="008E09AA"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Default="00AD500B" w:rsidP="008E09AA">
      <w:pPr>
        <w:pStyle w:val="BodyText"/>
        <w:spacing w:after="0"/>
      </w:pPr>
    </w:p>
    <w:p w:rsidR="00AD500B" w:rsidRPr="008E09AA" w:rsidRDefault="00AD500B" w:rsidP="008E09AA">
      <w:pPr>
        <w:pStyle w:val="BodyText"/>
        <w:spacing w:after="0"/>
      </w:pPr>
    </w:p>
    <w:p w:rsidR="00DC173D" w:rsidRDefault="00F14E63" w:rsidP="00F14E63">
      <w:pPr>
        <w:pStyle w:val="BodyText"/>
        <w:spacing w:after="0"/>
        <w:jc w:val="center"/>
        <w:rPr>
          <w:rFonts w:ascii="Arial" w:hAnsi="Arial" w:cs="Arial"/>
          <w:b/>
        </w:rPr>
      </w:pPr>
      <w:r>
        <w:rPr>
          <w:rFonts w:ascii="Arial" w:hAnsi="Arial" w:cs="Arial"/>
          <w:b/>
        </w:rPr>
        <w:lastRenderedPageBreak/>
        <w:t>Table 1-1</w:t>
      </w:r>
    </w:p>
    <w:p w:rsidR="00F14E63" w:rsidRPr="00F14E63" w:rsidRDefault="00F14E63" w:rsidP="00F14E63">
      <w:pPr>
        <w:autoSpaceDE w:val="0"/>
        <w:autoSpaceDN w:val="0"/>
        <w:adjustRightInd w:val="0"/>
        <w:jc w:val="center"/>
        <w:rPr>
          <w:rFonts w:ascii="Arial" w:hAnsi="Arial" w:cs="Arial"/>
          <w:b/>
        </w:rPr>
      </w:pPr>
      <w:r w:rsidRPr="00F14E63">
        <w:rPr>
          <w:rFonts w:ascii="Arial" w:hAnsi="Arial" w:cs="Arial"/>
          <w:b/>
        </w:rPr>
        <w:t>Comparison of 1,000 kWh Residential Bill</w:t>
      </w:r>
      <w:r w:rsidR="006757C3">
        <w:rPr>
          <w:rFonts w:ascii="Arial" w:hAnsi="Arial" w:cs="Arial"/>
          <w:b/>
        </w:rPr>
        <w:t xml:space="preserve"> Impacts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1980"/>
        <w:gridCol w:w="2340"/>
      </w:tblGrid>
      <w:tr w:rsidR="001B233B" w:rsidRPr="00E165E2" w:rsidTr="00AD500B">
        <w:trPr>
          <w:trHeight w:val="848"/>
        </w:trPr>
        <w:tc>
          <w:tcPr>
            <w:tcW w:w="3420" w:type="dxa"/>
            <w:shd w:val="clear" w:color="auto" w:fill="auto"/>
            <w:vAlign w:val="center"/>
          </w:tcPr>
          <w:p w:rsidR="001B233B" w:rsidRPr="008E09AA" w:rsidRDefault="001B233B" w:rsidP="003849A0">
            <w:pPr>
              <w:autoSpaceDE w:val="0"/>
              <w:autoSpaceDN w:val="0"/>
              <w:adjustRightInd w:val="0"/>
              <w:jc w:val="center"/>
            </w:pPr>
            <w:r w:rsidRPr="008E09AA">
              <w:t>Component</w:t>
            </w:r>
          </w:p>
        </w:tc>
        <w:tc>
          <w:tcPr>
            <w:tcW w:w="1620" w:type="dxa"/>
            <w:shd w:val="clear" w:color="auto" w:fill="auto"/>
            <w:vAlign w:val="center"/>
          </w:tcPr>
          <w:p w:rsidR="001B233B" w:rsidRPr="008E09AA" w:rsidRDefault="001B233B" w:rsidP="003849A0">
            <w:pPr>
              <w:autoSpaceDE w:val="0"/>
              <w:autoSpaceDN w:val="0"/>
              <w:adjustRightInd w:val="0"/>
              <w:jc w:val="center"/>
            </w:pPr>
            <w:r w:rsidRPr="008E09AA">
              <w:t>April 2017 (Current)</w:t>
            </w:r>
          </w:p>
        </w:tc>
        <w:tc>
          <w:tcPr>
            <w:tcW w:w="1980" w:type="dxa"/>
            <w:shd w:val="clear" w:color="auto" w:fill="auto"/>
            <w:vAlign w:val="center"/>
          </w:tcPr>
          <w:p w:rsidR="001B233B" w:rsidRPr="008E09AA" w:rsidRDefault="001B233B" w:rsidP="003849A0">
            <w:pPr>
              <w:autoSpaceDE w:val="0"/>
              <w:autoSpaceDN w:val="0"/>
              <w:adjustRightInd w:val="0"/>
              <w:jc w:val="center"/>
            </w:pPr>
            <w:r w:rsidRPr="008E09AA">
              <w:t>July 2017 – June 2018</w:t>
            </w:r>
          </w:p>
          <w:p w:rsidR="001B233B" w:rsidRPr="008E09AA" w:rsidRDefault="001B233B" w:rsidP="003849A0">
            <w:pPr>
              <w:autoSpaceDE w:val="0"/>
              <w:autoSpaceDN w:val="0"/>
              <w:adjustRightInd w:val="0"/>
              <w:jc w:val="center"/>
            </w:pPr>
            <w:r w:rsidRPr="008E09AA">
              <w:t xml:space="preserve"> (recovery over an extended period)</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July – Dec. 2017</w:t>
            </w:r>
          </w:p>
          <w:p w:rsidR="001B233B" w:rsidRPr="008E09AA" w:rsidRDefault="001B233B" w:rsidP="00765DC4">
            <w:pPr>
              <w:autoSpaceDE w:val="0"/>
              <w:autoSpaceDN w:val="0"/>
              <w:adjustRightInd w:val="0"/>
              <w:jc w:val="center"/>
            </w:pPr>
            <w:r w:rsidRPr="008E09AA">
              <w:t>(recovery within 2017)</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Base Charge</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$60.47</w:t>
            </w:r>
          </w:p>
        </w:tc>
        <w:tc>
          <w:tcPr>
            <w:tcW w:w="1980" w:type="dxa"/>
            <w:vAlign w:val="center"/>
          </w:tcPr>
          <w:p w:rsidR="001B233B" w:rsidRPr="008E09AA" w:rsidRDefault="001B233B" w:rsidP="003849A0">
            <w:pPr>
              <w:autoSpaceDE w:val="0"/>
              <w:autoSpaceDN w:val="0"/>
              <w:adjustRightInd w:val="0"/>
              <w:jc w:val="center"/>
            </w:pPr>
            <w:r w:rsidRPr="008E09AA">
              <w:t>$60.47</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$60.47</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Fuel Cost Recovery</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$33.77</w:t>
            </w:r>
          </w:p>
        </w:tc>
        <w:tc>
          <w:tcPr>
            <w:tcW w:w="1980" w:type="dxa"/>
            <w:vAlign w:val="center"/>
          </w:tcPr>
          <w:p w:rsidR="001B233B" w:rsidRPr="008E09AA" w:rsidRDefault="001B233B" w:rsidP="003849A0">
            <w:pPr>
              <w:autoSpaceDE w:val="0"/>
              <w:autoSpaceDN w:val="0"/>
              <w:adjustRightInd w:val="0"/>
              <w:jc w:val="center"/>
            </w:pPr>
            <w:r w:rsidRPr="008E09AA">
              <w:t>$38.47</w:t>
            </w:r>
          </w:p>
        </w:tc>
        <w:tc>
          <w:tcPr>
            <w:tcW w:w="2340" w:type="dxa"/>
            <w:shd w:val="clear" w:color="auto" w:fill="auto"/>
            <w:vAlign w:val="center"/>
          </w:tcPr>
          <w:p w:rsidR="001B233B" w:rsidRPr="008E09AA" w:rsidRDefault="001B233B" w:rsidP="00765DC4">
            <w:pPr>
              <w:autoSpaceDE w:val="0"/>
              <w:autoSpaceDN w:val="0"/>
              <w:adjustRightInd w:val="0"/>
              <w:jc w:val="center"/>
            </w:pPr>
            <w:r w:rsidRPr="008E09AA">
              <w:t>$42.50</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Capacity Cost Recovery</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$11.38</w:t>
            </w:r>
          </w:p>
        </w:tc>
        <w:tc>
          <w:tcPr>
            <w:tcW w:w="1980" w:type="dxa"/>
            <w:vAlign w:val="center"/>
          </w:tcPr>
          <w:p w:rsidR="001B233B" w:rsidRPr="008E09AA" w:rsidRDefault="001B233B" w:rsidP="003849A0">
            <w:pPr>
              <w:autoSpaceDE w:val="0"/>
              <w:autoSpaceDN w:val="0"/>
              <w:adjustRightInd w:val="0"/>
              <w:jc w:val="center"/>
            </w:pPr>
            <w:r w:rsidRPr="008E09AA">
              <w:t>$11.38</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$11.38</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Energy Conservation Cost Recovery</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$3.17</w:t>
            </w:r>
          </w:p>
        </w:tc>
        <w:tc>
          <w:tcPr>
            <w:tcW w:w="1980" w:type="dxa"/>
            <w:vAlign w:val="center"/>
          </w:tcPr>
          <w:p w:rsidR="001B233B" w:rsidRPr="008E09AA" w:rsidRDefault="001B233B" w:rsidP="003849A0">
            <w:pPr>
              <w:autoSpaceDE w:val="0"/>
              <w:autoSpaceDN w:val="0"/>
              <w:adjustRightInd w:val="0"/>
              <w:jc w:val="center"/>
            </w:pPr>
            <w:r w:rsidRPr="008E09AA">
              <w:t>$3.17</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$3.17</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Environmental Cost Recovery</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$1.51</w:t>
            </w:r>
          </w:p>
        </w:tc>
        <w:tc>
          <w:tcPr>
            <w:tcW w:w="1980" w:type="dxa"/>
            <w:vAlign w:val="center"/>
          </w:tcPr>
          <w:p w:rsidR="001B233B" w:rsidRPr="008E09AA" w:rsidRDefault="001B233B" w:rsidP="003849A0">
            <w:pPr>
              <w:autoSpaceDE w:val="0"/>
              <w:autoSpaceDN w:val="0"/>
              <w:adjustRightInd w:val="0"/>
              <w:jc w:val="center"/>
            </w:pPr>
            <w:r w:rsidRPr="008E09AA">
              <w:t>$1.51</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$1.51</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Nuclear - CR3 Uprate</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$1.56</w:t>
            </w:r>
          </w:p>
        </w:tc>
        <w:tc>
          <w:tcPr>
            <w:tcW w:w="1980" w:type="dxa"/>
            <w:vAlign w:val="center"/>
          </w:tcPr>
          <w:p w:rsidR="001B233B" w:rsidRPr="008E09AA" w:rsidRDefault="001B233B" w:rsidP="003849A0">
            <w:pPr>
              <w:autoSpaceDE w:val="0"/>
              <w:autoSpaceDN w:val="0"/>
              <w:adjustRightInd w:val="0"/>
              <w:jc w:val="center"/>
            </w:pPr>
            <w:r w:rsidRPr="008E09AA">
              <w:t>$1.56</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$1.56</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Nuclear - Levy</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$0</w:t>
            </w:r>
          </w:p>
        </w:tc>
        <w:tc>
          <w:tcPr>
            <w:tcW w:w="1980" w:type="dxa"/>
            <w:vAlign w:val="center"/>
          </w:tcPr>
          <w:p w:rsidR="001B233B" w:rsidRPr="008E09AA" w:rsidRDefault="001B233B" w:rsidP="003849A0">
            <w:pPr>
              <w:autoSpaceDE w:val="0"/>
              <w:autoSpaceDN w:val="0"/>
              <w:adjustRightInd w:val="0"/>
              <w:jc w:val="center"/>
            </w:pPr>
            <w:r w:rsidRPr="008E09AA">
              <w:t>$0</w:t>
            </w:r>
          </w:p>
        </w:tc>
        <w:tc>
          <w:tcPr>
            <w:tcW w:w="2340" w:type="dxa"/>
            <w:shd w:val="clear" w:color="auto" w:fill="auto"/>
            <w:vAlign w:val="center"/>
          </w:tcPr>
          <w:p w:rsidR="001B233B" w:rsidRPr="008E09AA" w:rsidRDefault="001B233B" w:rsidP="003849A0">
            <w:pPr>
              <w:autoSpaceDE w:val="0"/>
              <w:autoSpaceDN w:val="0"/>
              <w:adjustRightInd w:val="0"/>
              <w:jc w:val="center"/>
            </w:pPr>
            <w:r w:rsidRPr="008E09AA">
              <w:t>$0</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Asset Securitization Charge</w:t>
            </w:r>
            <w:r w:rsidRPr="008E09AA">
              <w:rPr>
                <w:rStyle w:val="FootnoteReference"/>
              </w:rPr>
              <w:footnoteReference w:id="11"/>
            </w:r>
          </w:p>
        </w:tc>
        <w:tc>
          <w:tcPr>
            <w:tcW w:w="1620" w:type="dxa"/>
            <w:shd w:val="clear" w:color="auto" w:fill="auto"/>
            <w:vAlign w:val="center"/>
          </w:tcPr>
          <w:p w:rsidR="001B233B" w:rsidRPr="008E09AA" w:rsidRDefault="001B233B" w:rsidP="00765DC4">
            <w:pPr>
              <w:autoSpaceDE w:val="0"/>
              <w:autoSpaceDN w:val="0"/>
              <w:adjustRightInd w:val="0"/>
              <w:jc w:val="center"/>
              <w:rPr>
                <w:u w:val="single"/>
              </w:rPr>
            </w:pPr>
            <w:r w:rsidRPr="008E09AA">
              <w:rPr>
                <w:u w:val="single"/>
              </w:rPr>
              <w:t>$2.45</w:t>
            </w:r>
          </w:p>
        </w:tc>
        <w:tc>
          <w:tcPr>
            <w:tcW w:w="1980" w:type="dxa"/>
            <w:vAlign w:val="center"/>
          </w:tcPr>
          <w:p w:rsidR="001B233B" w:rsidRPr="008E09AA" w:rsidRDefault="001B233B" w:rsidP="003849A0">
            <w:pPr>
              <w:autoSpaceDE w:val="0"/>
              <w:autoSpaceDN w:val="0"/>
              <w:adjustRightInd w:val="0"/>
              <w:jc w:val="center"/>
              <w:rPr>
                <w:u w:val="single"/>
              </w:rPr>
            </w:pPr>
            <w:r w:rsidRPr="008E09AA">
              <w:rPr>
                <w:u w:val="single"/>
              </w:rPr>
              <w:t>$3.59</w:t>
            </w:r>
          </w:p>
        </w:tc>
        <w:tc>
          <w:tcPr>
            <w:tcW w:w="2340" w:type="dxa"/>
            <w:shd w:val="clear" w:color="auto" w:fill="auto"/>
            <w:vAlign w:val="center"/>
          </w:tcPr>
          <w:p w:rsidR="001B233B" w:rsidRPr="008E09AA" w:rsidRDefault="001B233B" w:rsidP="003849A0">
            <w:pPr>
              <w:autoSpaceDE w:val="0"/>
              <w:autoSpaceDN w:val="0"/>
              <w:adjustRightInd w:val="0"/>
              <w:jc w:val="center"/>
              <w:rPr>
                <w:u w:val="single"/>
              </w:rPr>
            </w:pPr>
            <w:r w:rsidRPr="008E09AA">
              <w:rPr>
                <w:u w:val="single"/>
              </w:rPr>
              <w:t>$3.59</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Subtotal</w:t>
            </w:r>
          </w:p>
        </w:tc>
        <w:tc>
          <w:tcPr>
            <w:tcW w:w="1620" w:type="dxa"/>
            <w:shd w:val="clear" w:color="auto" w:fill="auto"/>
            <w:vAlign w:val="center"/>
          </w:tcPr>
          <w:p w:rsidR="001B233B" w:rsidRPr="008E09AA" w:rsidRDefault="001B233B" w:rsidP="00765DC4">
            <w:pPr>
              <w:autoSpaceDE w:val="0"/>
              <w:autoSpaceDN w:val="0"/>
              <w:adjustRightInd w:val="0"/>
              <w:jc w:val="center"/>
            </w:pPr>
            <w:r w:rsidRPr="008E09AA">
              <w:t>$114.31</w:t>
            </w:r>
          </w:p>
        </w:tc>
        <w:tc>
          <w:tcPr>
            <w:tcW w:w="1980" w:type="dxa"/>
            <w:vAlign w:val="center"/>
          </w:tcPr>
          <w:p w:rsidR="001B233B" w:rsidRPr="008E09AA" w:rsidRDefault="001B233B" w:rsidP="003849A0">
            <w:pPr>
              <w:autoSpaceDE w:val="0"/>
              <w:autoSpaceDN w:val="0"/>
              <w:adjustRightInd w:val="0"/>
              <w:jc w:val="center"/>
            </w:pPr>
            <w:r w:rsidRPr="008E09AA">
              <w:t>$120.15</w:t>
            </w:r>
          </w:p>
        </w:tc>
        <w:tc>
          <w:tcPr>
            <w:tcW w:w="2340" w:type="dxa"/>
            <w:shd w:val="clear" w:color="auto" w:fill="auto"/>
            <w:vAlign w:val="center"/>
          </w:tcPr>
          <w:p w:rsidR="001B233B" w:rsidRPr="008E09AA" w:rsidRDefault="001B233B" w:rsidP="00765DC4">
            <w:pPr>
              <w:autoSpaceDE w:val="0"/>
              <w:autoSpaceDN w:val="0"/>
              <w:adjustRightInd w:val="0"/>
              <w:jc w:val="center"/>
            </w:pPr>
            <w:r w:rsidRPr="008E09AA">
              <w:t>$124.18</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pPr>
            <w:r w:rsidRPr="008E09AA">
              <w:t>Gross Receipts Tax</w:t>
            </w:r>
          </w:p>
        </w:tc>
        <w:tc>
          <w:tcPr>
            <w:tcW w:w="1620" w:type="dxa"/>
            <w:shd w:val="clear" w:color="auto" w:fill="auto"/>
            <w:vAlign w:val="center"/>
          </w:tcPr>
          <w:p w:rsidR="001B233B" w:rsidRPr="008E09AA" w:rsidRDefault="001B233B" w:rsidP="00765DC4">
            <w:pPr>
              <w:autoSpaceDE w:val="0"/>
              <w:autoSpaceDN w:val="0"/>
              <w:adjustRightInd w:val="0"/>
              <w:jc w:val="center"/>
              <w:rPr>
                <w:u w:val="single"/>
              </w:rPr>
            </w:pPr>
            <w:r w:rsidRPr="008E09AA">
              <w:rPr>
                <w:u w:val="single"/>
              </w:rPr>
              <w:t>$2.93</w:t>
            </w:r>
          </w:p>
        </w:tc>
        <w:tc>
          <w:tcPr>
            <w:tcW w:w="1980" w:type="dxa"/>
            <w:vAlign w:val="center"/>
          </w:tcPr>
          <w:p w:rsidR="001B233B" w:rsidRPr="008E09AA" w:rsidRDefault="001B233B" w:rsidP="003849A0">
            <w:pPr>
              <w:autoSpaceDE w:val="0"/>
              <w:autoSpaceDN w:val="0"/>
              <w:adjustRightInd w:val="0"/>
              <w:jc w:val="center"/>
              <w:rPr>
                <w:u w:val="single"/>
              </w:rPr>
            </w:pPr>
            <w:r w:rsidRPr="008E09AA">
              <w:rPr>
                <w:u w:val="single"/>
              </w:rPr>
              <w:t>$3.08</w:t>
            </w:r>
          </w:p>
        </w:tc>
        <w:tc>
          <w:tcPr>
            <w:tcW w:w="2340" w:type="dxa"/>
            <w:shd w:val="clear" w:color="auto" w:fill="auto"/>
            <w:vAlign w:val="center"/>
          </w:tcPr>
          <w:p w:rsidR="001B233B" w:rsidRPr="008E09AA" w:rsidRDefault="001B233B" w:rsidP="003849A0">
            <w:pPr>
              <w:autoSpaceDE w:val="0"/>
              <w:autoSpaceDN w:val="0"/>
              <w:adjustRightInd w:val="0"/>
              <w:jc w:val="center"/>
              <w:rPr>
                <w:u w:val="single"/>
              </w:rPr>
            </w:pPr>
            <w:r w:rsidRPr="008E09AA">
              <w:rPr>
                <w:u w:val="single"/>
              </w:rPr>
              <w:t>$3.18</w:t>
            </w:r>
          </w:p>
        </w:tc>
      </w:tr>
      <w:tr w:rsidR="001B233B" w:rsidRPr="00E165E2" w:rsidTr="00AD500B">
        <w:trPr>
          <w:trHeight w:val="562"/>
        </w:trPr>
        <w:tc>
          <w:tcPr>
            <w:tcW w:w="3420" w:type="dxa"/>
            <w:shd w:val="clear" w:color="auto" w:fill="auto"/>
            <w:vAlign w:val="center"/>
          </w:tcPr>
          <w:p w:rsidR="001B233B" w:rsidRPr="008E09AA" w:rsidRDefault="001B233B" w:rsidP="003849A0">
            <w:pPr>
              <w:autoSpaceDE w:val="0"/>
              <w:autoSpaceDN w:val="0"/>
              <w:adjustRightInd w:val="0"/>
              <w:jc w:val="center"/>
              <w:rPr>
                <w:b/>
              </w:rPr>
            </w:pPr>
            <w:r w:rsidRPr="008E09AA">
              <w:rPr>
                <w:b/>
              </w:rPr>
              <w:t>Totals</w:t>
            </w:r>
          </w:p>
        </w:tc>
        <w:tc>
          <w:tcPr>
            <w:tcW w:w="1620" w:type="dxa"/>
            <w:shd w:val="clear" w:color="auto" w:fill="auto"/>
            <w:vAlign w:val="center"/>
          </w:tcPr>
          <w:p w:rsidR="001B233B" w:rsidRPr="008E09AA" w:rsidRDefault="001B233B" w:rsidP="00765DC4">
            <w:pPr>
              <w:autoSpaceDE w:val="0"/>
              <w:autoSpaceDN w:val="0"/>
              <w:adjustRightInd w:val="0"/>
              <w:jc w:val="center"/>
              <w:rPr>
                <w:b/>
                <w:u w:val="double"/>
              </w:rPr>
            </w:pPr>
            <w:r w:rsidRPr="008E09AA">
              <w:rPr>
                <w:b/>
                <w:u w:val="double"/>
              </w:rPr>
              <w:t>$117.24</w:t>
            </w:r>
          </w:p>
        </w:tc>
        <w:tc>
          <w:tcPr>
            <w:tcW w:w="1980" w:type="dxa"/>
            <w:vAlign w:val="center"/>
          </w:tcPr>
          <w:p w:rsidR="001B233B" w:rsidRPr="008E09AA" w:rsidRDefault="001B233B" w:rsidP="003849A0">
            <w:pPr>
              <w:autoSpaceDE w:val="0"/>
              <w:autoSpaceDN w:val="0"/>
              <w:adjustRightInd w:val="0"/>
              <w:jc w:val="center"/>
              <w:rPr>
                <w:b/>
                <w:u w:val="double"/>
              </w:rPr>
            </w:pPr>
            <w:r w:rsidRPr="008E09AA">
              <w:rPr>
                <w:b/>
                <w:u w:val="double"/>
              </w:rPr>
              <w:t>$123.23</w:t>
            </w:r>
          </w:p>
        </w:tc>
        <w:tc>
          <w:tcPr>
            <w:tcW w:w="2340" w:type="dxa"/>
            <w:shd w:val="clear" w:color="auto" w:fill="auto"/>
            <w:vAlign w:val="center"/>
          </w:tcPr>
          <w:p w:rsidR="001B233B" w:rsidRPr="008E09AA" w:rsidRDefault="001B233B" w:rsidP="00765DC4">
            <w:pPr>
              <w:autoSpaceDE w:val="0"/>
              <w:autoSpaceDN w:val="0"/>
              <w:adjustRightInd w:val="0"/>
              <w:jc w:val="center"/>
              <w:rPr>
                <w:b/>
                <w:u w:val="double"/>
              </w:rPr>
            </w:pPr>
            <w:r w:rsidRPr="008E09AA">
              <w:rPr>
                <w:b/>
                <w:u w:val="double"/>
              </w:rPr>
              <w:t>$127.36</w:t>
            </w:r>
          </w:p>
        </w:tc>
      </w:tr>
    </w:tbl>
    <w:p w:rsidR="004B528E" w:rsidRDefault="00BD393E" w:rsidP="00652DBE">
      <w:pPr>
        <w:pStyle w:val="BodyText"/>
        <w:spacing w:after="0"/>
        <w:rPr>
          <w:rFonts w:ascii="Arial" w:hAnsi="Arial" w:cs="Arial"/>
          <w:b/>
        </w:rPr>
      </w:pPr>
      <w:r w:rsidRPr="00BD393E">
        <w:t>Source</w:t>
      </w:r>
      <w:r>
        <w:rPr>
          <w:rFonts w:ascii="Arial" w:hAnsi="Arial" w:cs="Arial"/>
          <w:b/>
        </w:rPr>
        <w:t xml:space="preserve">: </w:t>
      </w:r>
      <w:r>
        <w:t>Schedule E-10s from DEF pleadings (FPSC Document Nos. 04213-17 and 04533-17)</w:t>
      </w:r>
    </w:p>
    <w:p w:rsidR="00ED26FE" w:rsidRDefault="001B233B" w:rsidP="00A81348">
      <w:pPr>
        <w:pStyle w:val="BodyText"/>
        <w:spacing w:after="0"/>
        <w:rPr>
          <w:rFonts w:ascii="Arial" w:hAnsi="Arial" w:cs="Arial"/>
          <w:b/>
        </w:rPr>
      </w:pPr>
      <w:r>
        <w:rPr>
          <w:rFonts w:ascii="Arial" w:hAnsi="Arial" w:cs="Arial"/>
          <w:b/>
        </w:rPr>
        <w:t xml:space="preserve"> </w:t>
      </w:r>
    </w:p>
    <w:p w:rsidR="00BD393E" w:rsidRDefault="001B233B" w:rsidP="00A81348">
      <w:pPr>
        <w:pStyle w:val="BodyText"/>
        <w:spacing w:after="0"/>
        <w:rPr>
          <w:rFonts w:ascii="Arial" w:hAnsi="Arial" w:cs="Arial"/>
          <w:b/>
        </w:rPr>
      </w:pPr>
      <w:r>
        <w:t xml:space="preserve">Whether the mid-course correction is implemented over the remaining months in 2017 or </w:t>
      </w:r>
      <w:r w:rsidR="00A04F2B">
        <w:t>is extended</w:t>
      </w:r>
      <w:r>
        <w:t xml:space="preserve"> into 2018 as requested by the Company, a carrying charge on the unrecovered balance will be incurred. In both instances, the 30-day commercial paper rate is used for the calculations. As reflected on Schedule E1-B, DEF included $1,147,272 in carrying costs for the proposed recovery period. For comparative purposes, if the mid-course correction is fully recovered in 2017, the carrying cost would be approximately $763,000.</w:t>
      </w:r>
      <w:r>
        <w:rPr>
          <w:rStyle w:val="FootnoteReference"/>
        </w:rPr>
        <w:footnoteReference w:id="12"/>
      </w:r>
      <w:r>
        <w:t xml:space="preserve"> </w:t>
      </w:r>
    </w:p>
    <w:p w:rsidR="00A81348" w:rsidRDefault="00A81348" w:rsidP="0009352F">
      <w:pPr>
        <w:pStyle w:val="BodyText"/>
        <w:spacing w:after="0"/>
        <w:rPr>
          <w:rFonts w:ascii="Arial" w:hAnsi="Arial" w:cs="Arial"/>
          <w:b/>
        </w:rPr>
      </w:pPr>
    </w:p>
    <w:p w:rsidR="0009352F" w:rsidRDefault="0009352F" w:rsidP="0009352F">
      <w:pPr>
        <w:pStyle w:val="BodyText"/>
        <w:spacing w:after="0"/>
      </w:pPr>
      <w:r>
        <w:rPr>
          <w:rFonts w:ascii="Arial" w:hAnsi="Arial" w:cs="Arial"/>
          <w:b/>
        </w:rPr>
        <w:lastRenderedPageBreak/>
        <w:t>C</w:t>
      </w:r>
      <w:r w:rsidRPr="00CC1D12">
        <w:rPr>
          <w:rFonts w:ascii="Arial" w:hAnsi="Arial" w:cs="Arial"/>
          <w:b/>
        </w:rPr>
        <w:t>onclusion</w:t>
      </w:r>
      <w:r>
        <w:t xml:space="preserve"> </w:t>
      </w:r>
    </w:p>
    <w:p w:rsidR="008A561F" w:rsidRDefault="00ED26FE" w:rsidP="003774B7">
      <w:pPr>
        <w:pStyle w:val="BodyText"/>
        <w:spacing w:after="0"/>
      </w:pPr>
      <w:r>
        <w:t>S</w:t>
      </w:r>
      <w:r w:rsidR="00F51321" w:rsidRPr="00A305D3">
        <w:t xml:space="preserve">taff </w:t>
      </w:r>
      <w:r>
        <w:t>believes implementing the</w:t>
      </w:r>
      <w:r w:rsidR="00F51321">
        <w:t xml:space="preserve"> mid-course correction </w:t>
      </w:r>
      <w:r w:rsidR="00A04F2B">
        <w:t>as proposed by DEF is</w:t>
      </w:r>
      <w:r w:rsidR="003774B7">
        <w:t xml:space="preserve"> reasonable in this instance</w:t>
      </w:r>
      <w:r w:rsidR="004669A0">
        <w:t>.</w:t>
      </w:r>
      <w:r w:rsidR="008A561F">
        <w:t xml:space="preserve"> DEF’s proposed methodology provides for a lower bill to customers in the near term compared to recovering the costs over a shorter period. </w:t>
      </w:r>
    </w:p>
    <w:p w:rsidR="008A561F" w:rsidRDefault="008A561F" w:rsidP="003774B7">
      <w:pPr>
        <w:pStyle w:val="BodyText"/>
        <w:spacing w:after="0"/>
      </w:pPr>
    </w:p>
    <w:p w:rsidR="0083756F" w:rsidRDefault="000A0A5D" w:rsidP="003774B7">
      <w:pPr>
        <w:pStyle w:val="BodyText"/>
        <w:spacing w:after="0"/>
      </w:pPr>
      <w:r w:rsidRPr="00A305D3">
        <w:t>Staff reco</w:t>
      </w:r>
      <w:r>
        <w:t>mmends th</w:t>
      </w:r>
      <w:r w:rsidR="007B75A2">
        <w:t>at th</w:t>
      </w:r>
      <w:r>
        <w:t>e Commission approve DEF’s</w:t>
      </w:r>
      <w:r w:rsidRPr="00A305D3">
        <w:t xml:space="preserve"> </w:t>
      </w:r>
      <w:r w:rsidR="001A45CE">
        <w:t>Petition for Mid-Course C</w:t>
      </w:r>
      <w:r>
        <w:t>orrection to its 2017 fuel cost recovery factors and the associated tariff sheets. T</w:t>
      </w:r>
      <w:r w:rsidRPr="000E7D60">
        <w:t xml:space="preserve">he revised fuel </w:t>
      </w:r>
      <w:r>
        <w:t xml:space="preserve">cost recovery </w:t>
      </w:r>
      <w:r w:rsidRPr="000E7D60">
        <w:t xml:space="preserve">factors </w:t>
      </w:r>
      <w:r>
        <w:t>and associated tariffs</w:t>
      </w:r>
      <w:r w:rsidRPr="000E7D60">
        <w:t xml:space="preserve"> should </w:t>
      </w:r>
      <w:r w:rsidR="003774B7">
        <w:t>become effective with</w:t>
      </w:r>
      <w:r w:rsidR="00A37FB6" w:rsidRPr="007054AC">
        <w:t xml:space="preserve"> th</w:t>
      </w:r>
      <w:r w:rsidR="003774B7">
        <w:t>e July 2017 billing cycle and</w:t>
      </w:r>
      <w:r w:rsidR="00A37FB6">
        <w:t xml:space="preserve"> continue until the Citrus 1 GBRA is placed into rates.</w:t>
      </w:r>
      <w:r>
        <w:t xml:space="preserve"> </w:t>
      </w:r>
    </w:p>
    <w:p w:rsidR="0083756F" w:rsidRDefault="0083756F"/>
    <w:p w:rsidR="00EF0360" w:rsidRDefault="00EF0360">
      <w:pPr>
        <w:sectPr w:rsidR="00EF0360" w:rsidSect="0068481F">
          <w:head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p w:rsidR="007B75A2" w:rsidRDefault="007B75A2">
      <w:pPr>
        <w:rPr>
          <w:rFonts w:ascii="Arial" w:hAnsi="Arial" w:cs="Arial"/>
          <w:b/>
          <w:bCs/>
          <w:i/>
          <w:kern w:val="32"/>
          <w:szCs w:val="32"/>
        </w:rPr>
      </w:pPr>
      <w:r>
        <w:lastRenderedPageBreak/>
        <w:br w:type="page"/>
      </w:r>
    </w:p>
    <w:p w:rsidR="00756F39" w:rsidRDefault="00756F39">
      <w:pPr>
        <w:pStyle w:val="IssueHeading"/>
        <w:rPr>
          <w:vanish/>
          <w:specVanish/>
        </w:rPr>
      </w:pPr>
      <w:r w:rsidRPr="004C3641">
        <w:lastRenderedPageBreak/>
        <w:t xml:space="preserve">Issue </w:t>
      </w:r>
      <w:r w:rsidR="00717E2B">
        <w:fldChar w:fldCharType="begin"/>
      </w:r>
      <w:r w:rsidR="00717E2B">
        <w:instrText xml:space="preserve"> SEQ Issue \* MERGEFORMAT </w:instrText>
      </w:r>
      <w:r w:rsidR="00717E2B">
        <w:fldChar w:fldCharType="separate"/>
      </w:r>
      <w:r w:rsidR="006C6F78">
        <w:rPr>
          <w:noProof/>
        </w:rPr>
        <w:t>2</w:t>
      </w:r>
      <w:r w:rsidR="00717E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C6F78">
        <w:rPr>
          <w:noProof/>
        </w:rPr>
        <w:instrText>2</w:instrText>
      </w:r>
      <w:r>
        <w:fldChar w:fldCharType="end"/>
      </w:r>
      <w:r>
        <w:tab/>
        <w:instrText xml:space="preserve">" \l 1 </w:instrText>
      </w:r>
      <w:r>
        <w:fldChar w:fldCharType="end"/>
      </w:r>
      <w:r>
        <w:t> </w:t>
      </w:r>
    </w:p>
    <w:p w:rsidR="00756F39" w:rsidRDefault="0083756F">
      <w:pPr>
        <w:pStyle w:val="BodyText"/>
      </w:pPr>
      <w:r>
        <w:t> </w:t>
      </w:r>
      <w:r w:rsidR="00221F4B">
        <w:t>S</w:t>
      </w:r>
      <w:r w:rsidR="00221F4B" w:rsidRPr="00FC696F">
        <w:t xml:space="preserve">hould the Commission approve DEF’s proposed </w:t>
      </w:r>
      <w:r w:rsidR="00221F4B">
        <w:t>fuel cost recovery factors</w:t>
      </w:r>
      <w:r>
        <w:t>?</w:t>
      </w:r>
    </w:p>
    <w:p w:rsidR="00756F39" w:rsidRPr="004C3641" w:rsidRDefault="00756F39">
      <w:pPr>
        <w:pStyle w:val="IssueSubsectionHeading"/>
        <w:rPr>
          <w:vanish/>
          <w:specVanish/>
        </w:rPr>
      </w:pPr>
      <w:r w:rsidRPr="004C3641">
        <w:t>Recommendation: </w:t>
      </w:r>
    </w:p>
    <w:p w:rsidR="00756F39" w:rsidRDefault="00756F39" w:rsidP="00A42A13">
      <w:pPr>
        <w:jc w:val="both"/>
      </w:pPr>
      <w:r>
        <w:t> </w:t>
      </w:r>
      <w:r w:rsidR="00B74B1E">
        <w:t xml:space="preserve">Yes. </w:t>
      </w:r>
      <w:r w:rsidR="00221F4B">
        <w:t xml:space="preserve">The </w:t>
      </w:r>
      <w:r w:rsidR="00221F4B" w:rsidRPr="000A7F08">
        <w:t xml:space="preserve">Commission should give staff administrative authority to approve tariffs and associated </w:t>
      </w:r>
      <w:r w:rsidR="00221F4B">
        <w:t>fuel factors</w:t>
      </w:r>
      <w:r w:rsidR="00221F4B" w:rsidRPr="000A7F08">
        <w:t xml:space="preserve"> that implement the Commission vote</w:t>
      </w:r>
      <w:r w:rsidR="00221F4B" w:rsidRPr="000E4632">
        <w:t xml:space="preserve"> </w:t>
      </w:r>
      <w:r w:rsidR="00221F4B">
        <w:t xml:space="preserve">in Issue 1. </w:t>
      </w:r>
      <w:r w:rsidR="00221F4B" w:rsidRPr="000A7F08">
        <w:t xml:space="preserve">The charges should go into effect with the first billing cycle </w:t>
      </w:r>
      <w:r w:rsidR="00221F4B">
        <w:t>of</w:t>
      </w:r>
      <w:r w:rsidR="00221F4B" w:rsidRPr="000A7F08">
        <w:t xml:space="preserve"> </w:t>
      </w:r>
      <w:r w:rsidR="00221F4B">
        <w:t>July</w:t>
      </w:r>
      <w:r w:rsidR="00221F4B" w:rsidRPr="000A7F08">
        <w:t xml:space="preserve"> 2017</w:t>
      </w:r>
      <w:r w:rsidR="00221F4B">
        <w:t xml:space="preserve">. </w:t>
      </w:r>
      <w:r w:rsidR="00221F4B" w:rsidRPr="000A7F08">
        <w:t>(</w:t>
      </w:r>
      <w:r w:rsidR="00221F4B">
        <w:t xml:space="preserve">Draper, </w:t>
      </w:r>
      <w:r w:rsidR="00221F4B" w:rsidRPr="000A7F08">
        <w:t>Guffey)</w:t>
      </w:r>
    </w:p>
    <w:p w:rsidR="00A42A13" w:rsidRDefault="00A42A13" w:rsidP="00A42A13">
      <w:pPr>
        <w:pStyle w:val="IssueSubsectionHeading"/>
        <w:spacing w:after="0"/>
      </w:pPr>
    </w:p>
    <w:p w:rsidR="00756F39" w:rsidRPr="004C3641" w:rsidRDefault="00756F39" w:rsidP="00A42A13">
      <w:pPr>
        <w:pStyle w:val="IssueSubsectionHeading"/>
        <w:spacing w:after="0"/>
        <w:rPr>
          <w:vanish/>
          <w:specVanish/>
        </w:rPr>
      </w:pPr>
      <w:r w:rsidRPr="004C3641">
        <w:t>Staff Analysis: </w:t>
      </w:r>
    </w:p>
    <w:p w:rsidR="00221F4B" w:rsidRPr="002B4550" w:rsidRDefault="00756F39" w:rsidP="00221F4B">
      <w:pPr>
        <w:pStyle w:val="BodyText"/>
      </w:pPr>
      <w:r>
        <w:t> </w:t>
      </w:r>
      <w:r w:rsidR="00221F4B">
        <w:t xml:space="preserve">As discussed in Issue 1, DEF has requested Commission approval of its mid-course correction to its 2017 fuel cost recovery factors and associated tariff Sheet No. 6.105. DEF </w:t>
      </w:r>
      <w:r w:rsidR="007B75A2">
        <w:t xml:space="preserve">has </w:t>
      </w:r>
      <w:r w:rsidR="00221F4B">
        <w:t xml:space="preserve">requested that the tariffs become effective with the first billing cycle of </w:t>
      </w:r>
      <w:r w:rsidR="00221F4B" w:rsidRPr="002B4550">
        <w:t>July 2017.</w:t>
      </w:r>
    </w:p>
    <w:p w:rsidR="004669A0" w:rsidRDefault="004669A0" w:rsidP="004669A0">
      <w:pPr>
        <w:jc w:val="both"/>
      </w:pPr>
      <w:r w:rsidRPr="00C42E1C">
        <w:t xml:space="preserve">This case is scheduled to be voted </w:t>
      </w:r>
      <w:r>
        <w:t xml:space="preserve">on at the June </w:t>
      </w:r>
      <w:r w:rsidR="000C1351">
        <w:t>5</w:t>
      </w:r>
      <w:r>
        <w:t>, 2017 Commission C</w:t>
      </w:r>
      <w:r w:rsidRPr="00C42E1C">
        <w:t>onference</w:t>
      </w:r>
      <w:r w:rsidR="000C1351">
        <w:t xml:space="preserve">, which is </w:t>
      </w:r>
      <w:r w:rsidR="00024E8E">
        <w:t xml:space="preserve">23 </w:t>
      </w:r>
      <w:r w:rsidRPr="00C42E1C">
        <w:t>days</w:t>
      </w:r>
      <w:r>
        <w:t xml:space="preserve"> before the July 2017</w:t>
      </w:r>
      <w:r w:rsidRPr="00C42E1C">
        <w:t xml:space="preserve"> billing cycle begins.</w:t>
      </w:r>
      <w:r>
        <w:rPr>
          <w:rStyle w:val="FootnoteReference"/>
        </w:rPr>
        <w:footnoteReference w:id="13"/>
      </w:r>
      <w:r w:rsidRPr="00C42E1C">
        <w:t xml:space="preserve"> Typically, effective dates are set a minimum of 30 days after a Commission vote modifying charges as the result of a mid-course correction.</w:t>
      </w:r>
      <w:r w:rsidRPr="00C42E1C">
        <w:rPr>
          <w:vertAlign w:val="superscript"/>
        </w:rPr>
        <w:footnoteReference w:id="14"/>
      </w:r>
      <w:r w:rsidRPr="00C42E1C">
        <w:t xml:space="preserve"> This time limit is imposed in order </w:t>
      </w:r>
      <w:r>
        <w:t>to avoid</w:t>
      </w:r>
      <w:r w:rsidRPr="00C42E1C">
        <w:t xml:space="preserve"> new rates applied to energy consumed before the effective date of the Commission’s action, i.e., the date of the vote. </w:t>
      </w:r>
      <w:r>
        <w:t>However, the Commission has</w:t>
      </w:r>
      <w:r w:rsidRPr="00C42E1C">
        <w:t xml:space="preserve"> implemented </w:t>
      </w:r>
      <w:r>
        <w:t xml:space="preserve">new </w:t>
      </w:r>
      <w:r w:rsidRPr="00C42E1C">
        <w:t>charges in less than 30 days when circumstances warrant.</w:t>
      </w:r>
      <w:r w:rsidRPr="00C42E1C">
        <w:rPr>
          <w:vertAlign w:val="superscript"/>
        </w:rPr>
        <w:footnoteReference w:id="15"/>
      </w:r>
      <w:r>
        <w:t xml:space="preserve"> In this instance, </w:t>
      </w:r>
      <w:r w:rsidRPr="00C42E1C">
        <w:t xml:space="preserve">the </w:t>
      </w:r>
      <w:r>
        <w:t xml:space="preserve">interval between the </w:t>
      </w:r>
      <w:r w:rsidRPr="00C42E1C">
        <w:t>Commission</w:t>
      </w:r>
      <w:r w:rsidR="008C19FF">
        <w:t>’s vote on this matter (June 5</w:t>
      </w:r>
      <w:r>
        <w:t>, 2017) and the proposed im</w:t>
      </w:r>
      <w:r w:rsidR="008C19FF">
        <w:t>plementation date is 23</w:t>
      </w:r>
      <w:r w:rsidR="008A561F">
        <w:t xml:space="preserve"> days</w:t>
      </w:r>
      <w:r>
        <w:t>.</w:t>
      </w:r>
    </w:p>
    <w:p w:rsidR="004669A0" w:rsidRDefault="004669A0" w:rsidP="00952CA3">
      <w:pPr>
        <w:pStyle w:val="BodyText"/>
        <w:spacing w:after="0"/>
      </w:pPr>
    </w:p>
    <w:p w:rsidR="00221F4B" w:rsidRPr="002B4550" w:rsidRDefault="00221F4B" w:rsidP="00952CA3">
      <w:pPr>
        <w:pStyle w:val="BodyText"/>
        <w:spacing w:after="0"/>
      </w:pPr>
      <w:r w:rsidRPr="002B4550">
        <w:t xml:space="preserve">In </w:t>
      </w:r>
      <w:r w:rsidR="00432C32">
        <w:t>DEF’s Response to Staff’s First Data Request, the Company</w:t>
      </w:r>
      <w:r w:rsidRPr="002B4550">
        <w:t xml:space="preserve"> </w:t>
      </w:r>
      <w:r w:rsidR="007B75A2">
        <w:t xml:space="preserve">has </w:t>
      </w:r>
      <w:r w:rsidRPr="002B4550">
        <w:t xml:space="preserve">stated that customers will be notified of the rate changes via bill inserts, DEF website, press releases in Tampa, Orlando, Lakeland, Winter Haven, and Gainesville, and </w:t>
      </w:r>
      <w:r w:rsidR="007B75A2">
        <w:t xml:space="preserve">that </w:t>
      </w:r>
      <w:r>
        <w:t>customer care representatives will be available to respond to inquiries</w:t>
      </w:r>
      <w:r w:rsidRPr="002B4550">
        <w:t>.</w:t>
      </w:r>
      <w:r w:rsidR="00432C32">
        <w:rPr>
          <w:rStyle w:val="FootnoteReference"/>
        </w:rPr>
        <w:footnoteReference w:id="16"/>
      </w:r>
      <w:r>
        <w:t xml:space="preserve"> In addition, DEF will include a bill insert notifying customers of </w:t>
      </w:r>
      <w:r w:rsidR="00024E8E">
        <w:t>its rates as of July 2017 in</w:t>
      </w:r>
      <w:r>
        <w:t xml:space="preserve"> July bills.</w:t>
      </w:r>
    </w:p>
    <w:p w:rsidR="00952CA3" w:rsidRDefault="00952CA3" w:rsidP="00221F4B">
      <w:pPr>
        <w:pStyle w:val="First-LevelSubheading"/>
      </w:pPr>
    </w:p>
    <w:p w:rsidR="00221F4B" w:rsidRDefault="00221F4B" w:rsidP="00221F4B">
      <w:pPr>
        <w:pStyle w:val="First-LevelSubheading"/>
      </w:pPr>
      <w:r>
        <w:t>Conclusion</w:t>
      </w:r>
    </w:p>
    <w:p w:rsidR="00221F4B" w:rsidRDefault="00221F4B" w:rsidP="00221F4B">
      <w:pPr>
        <w:jc w:val="both"/>
      </w:pPr>
      <w:r>
        <w:t>The Commission should give staff administrative authority to approve fuel cost recovery f</w:t>
      </w:r>
      <w:r w:rsidR="00024E8E">
        <w:t>actors that</w:t>
      </w:r>
      <w:r>
        <w:t xml:space="preserve"> implement the Commission vote in Issue 1 effective with the first billing cycle of July 2017.</w:t>
      </w:r>
    </w:p>
    <w:p w:rsidR="00652DBE" w:rsidRDefault="00652DBE" w:rsidP="0083756F">
      <w:pPr>
        <w:pStyle w:val="BodyText"/>
      </w:pPr>
    </w:p>
    <w:p w:rsidR="00360048" w:rsidRDefault="00360048" w:rsidP="003B3DA9">
      <w:pPr>
        <w:pStyle w:val="BodyText"/>
        <w:sectPr w:rsidR="00360048" w:rsidSect="00756F39">
          <w:headerReference w:type="default" r:id="rId21"/>
          <w:type w:val="continuous"/>
          <w:pgSz w:w="12240" w:h="15840" w:code="1"/>
          <w:pgMar w:top="1584" w:right="1440" w:bottom="1440" w:left="1440" w:header="720" w:footer="720" w:gutter="0"/>
          <w:cols w:space="720"/>
          <w:formProt w:val="0"/>
          <w:docGrid w:linePitch="360"/>
        </w:sectPr>
      </w:pPr>
    </w:p>
    <w:p w:rsidR="007525FA" w:rsidRDefault="007525FA" w:rsidP="003B3DA9">
      <w:pPr>
        <w:pStyle w:val="BodyText"/>
        <w:sectPr w:rsidR="007525FA" w:rsidSect="00756F39">
          <w:type w:val="continuous"/>
          <w:pgSz w:w="12240" w:h="15840" w:code="1"/>
          <w:pgMar w:top="1584" w:right="1440" w:bottom="1440" w:left="1440" w:header="720" w:footer="720" w:gutter="0"/>
          <w:cols w:space="720"/>
          <w:formProt w:val="0"/>
          <w:docGrid w:linePitch="360"/>
        </w:sectPr>
      </w:pPr>
    </w:p>
    <w:p w:rsidR="00AF2961" w:rsidRDefault="00AF2961">
      <w:pPr>
        <w:pStyle w:val="IssueHeading"/>
        <w:rPr>
          <w:vanish/>
          <w:specVanish/>
        </w:rPr>
      </w:pPr>
      <w:r w:rsidRPr="004C3641">
        <w:lastRenderedPageBreak/>
        <w:t xml:space="preserve">Issue </w:t>
      </w:r>
      <w:r w:rsidR="00756F39">
        <w:t>3</w:t>
      </w:r>
      <w:r w:rsidRPr="004C3641">
        <w:t>:</w:t>
      </w:r>
      <w:r>
        <w:fldChar w:fldCharType="begin"/>
      </w:r>
      <w:r>
        <w:instrText xml:space="preserve"> TC "</w:instrText>
      </w:r>
      <w:r>
        <w:fldChar w:fldCharType="begin"/>
      </w:r>
      <w:r>
        <w:instrText xml:space="preserve"> SEQ issue \c </w:instrText>
      </w:r>
      <w:r>
        <w:fldChar w:fldCharType="separate"/>
      </w:r>
      <w:r w:rsidR="006C6F78">
        <w:rPr>
          <w:noProof/>
        </w:rPr>
        <w:instrText>2</w:instrText>
      </w:r>
      <w:r>
        <w:fldChar w:fldCharType="end"/>
      </w:r>
      <w:r>
        <w:tab/>
        <w:instrText xml:space="preserve">(Brownless, Janjic)" \l 1 </w:instrText>
      </w:r>
      <w:r>
        <w:fldChar w:fldCharType="end"/>
      </w:r>
      <w:r>
        <w:t> </w:t>
      </w:r>
    </w:p>
    <w:p w:rsidR="00AF2961" w:rsidRDefault="00AF2961">
      <w:pPr>
        <w:pStyle w:val="BodyText"/>
      </w:pPr>
      <w:r>
        <w:t> Should this docket be closed?</w:t>
      </w:r>
    </w:p>
    <w:p w:rsidR="00AF2961" w:rsidRPr="004C3641" w:rsidRDefault="00AF2961">
      <w:pPr>
        <w:pStyle w:val="IssueSubsectionHeading"/>
        <w:rPr>
          <w:vanish/>
          <w:specVanish/>
        </w:rPr>
      </w:pPr>
      <w:r w:rsidRPr="004C3641">
        <w:t>Recommendation: </w:t>
      </w:r>
    </w:p>
    <w:p w:rsidR="00AF2961" w:rsidRDefault="00AF2961">
      <w:pPr>
        <w:pStyle w:val="BodyText"/>
      </w:pPr>
      <w:r>
        <w:t> </w:t>
      </w:r>
      <w:r w:rsidR="00835308">
        <w:t xml:space="preserve">No. </w:t>
      </w:r>
      <w:r w:rsidR="002B0C7F" w:rsidRPr="00C42E1C">
        <w:t>The fuel docket is on-going and should remain open.</w:t>
      </w:r>
      <w:r w:rsidR="00952CA3">
        <w:t xml:space="preserve"> (Brownless</w:t>
      </w:r>
      <w:r>
        <w:t>)</w:t>
      </w:r>
    </w:p>
    <w:p w:rsidR="00AF2961" w:rsidRPr="004C3641" w:rsidRDefault="00AF2961">
      <w:pPr>
        <w:pStyle w:val="IssueSubsectionHeading"/>
        <w:rPr>
          <w:vanish/>
          <w:specVanish/>
        </w:rPr>
      </w:pPr>
      <w:r w:rsidRPr="004C3641">
        <w:t>Staff Analysis: </w:t>
      </w:r>
    </w:p>
    <w:p w:rsidR="00AF2961" w:rsidRDefault="00AF2961">
      <w:pPr>
        <w:pStyle w:val="BodyText"/>
      </w:pPr>
      <w:r>
        <w:t> </w:t>
      </w:r>
      <w:r w:rsidR="002B0C7F" w:rsidRPr="00C42E1C">
        <w:t>The fuel docket is on-going and should remain open.</w:t>
      </w:r>
    </w:p>
    <w:p w:rsidR="00E165E2" w:rsidRDefault="00E165E2" w:rsidP="00E275D8">
      <w:pPr>
        <w:pStyle w:val="BodyText"/>
        <w:sectPr w:rsidR="00E165E2" w:rsidSect="007525FA">
          <w:headerReference w:type="default" r:id="rId22"/>
          <w:pgSz w:w="12240" w:h="15840" w:code="1"/>
          <w:pgMar w:top="1584" w:right="1440" w:bottom="1440" w:left="1440" w:header="720" w:footer="720" w:gutter="0"/>
          <w:cols w:space="720"/>
          <w:formProt w:val="0"/>
          <w:docGrid w:linePitch="360"/>
        </w:sectPr>
      </w:pPr>
    </w:p>
    <w:p w:rsidR="00E165E2" w:rsidRDefault="00E165E2">
      <w:r>
        <w:lastRenderedPageBreak/>
        <w:br w:type="page"/>
      </w:r>
    </w:p>
    <w:tbl>
      <w:tblPr>
        <w:tblStyle w:val="TableGrid1"/>
        <w:tblW w:w="0" w:type="auto"/>
        <w:tblLook w:val="04A0" w:firstRow="1" w:lastRow="0" w:firstColumn="1" w:lastColumn="0" w:noHBand="0" w:noVBand="1"/>
      </w:tblPr>
      <w:tblGrid>
        <w:gridCol w:w="1638"/>
        <w:gridCol w:w="1710"/>
        <w:gridCol w:w="1710"/>
        <w:gridCol w:w="2160"/>
        <w:gridCol w:w="2070"/>
      </w:tblGrid>
      <w:tr w:rsidR="00206DB8" w:rsidRPr="00E165E2" w:rsidTr="00012B81">
        <w:tc>
          <w:tcPr>
            <w:tcW w:w="9288" w:type="dxa"/>
            <w:gridSpan w:val="5"/>
          </w:tcPr>
          <w:p w:rsidR="00206DB8" w:rsidRPr="00E165E2" w:rsidRDefault="00206DB8" w:rsidP="00915B86">
            <w:pPr>
              <w:autoSpaceDE w:val="0"/>
              <w:autoSpaceDN w:val="0"/>
              <w:adjustRightInd w:val="0"/>
              <w:jc w:val="center"/>
              <w:rPr>
                <w:b/>
              </w:rPr>
            </w:pPr>
            <w:r>
              <w:lastRenderedPageBreak/>
              <w:br w:type="page"/>
            </w:r>
            <w:r w:rsidRPr="00E165E2">
              <w:rPr>
                <w:b/>
              </w:rPr>
              <w:t>DEF’s Proposed Mid-Course Correction</w:t>
            </w:r>
          </w:p>
          <w:p w:rsidR="00206DB8" w:rsidRPr="00E165E2" w:rsidRDefault="009554A2" w:rsidP="00915B86">
            <w:pPr>
              <w:autoSpaceDE w:val="0"/>
              <w:autoSpaceDN w:val="0"/>
              <w:adjustRightInd w:val="0"/>
              <w:jc w:val="center"/>
              <w:rPr>
                <w:b/>
              </w:rPr>
            </w:pPr>
            <w:r>
              <w:rPr>
                <w:b/>
              </w:rPr>
              <w:t xml:space="preserve">Fuel </w:t>
            </w:r>
            <w:r w:rsidR="00206DB8" w:rsidRPr="00E165E2">
              <w:rPr>
                <w:b/>
              </w:rPr>
              <w:t>Cost Recovery Factors</w:t>
            </w:r>
          </w:p>
          <w:p w:rsidR="00206DB8" w:rsidRPr="00E165E2" w:rsidRDefault="00206DB8" w:rsidP="00915B86">
            <w:pPr>
              <w:jc w:val="center"/>
            </w:pPr>
            <w:r>
              <w:rPr>
                <w:b/>
              </w:rPr>
              <w:t>July 2017 – June</w:t>
            </w:r>
            <w:r w:rsidRPr="00E165E2">
              <w:rPr>
                <w:b/>
              </w:rPr>
              <w:t xml:space="preserve"> 201</w:t>
            </w:r>
            <w:r>
              <w:rPr>
                <w:b/>
              </w:rPr>
              <w:t>8</w:t>
            </w:r>
          </w:p>
        </w:tc>
      </w:tr>
      <w:tr w:rsidR="00206DB8" w:rsidRPr="00E165E2" w:rsidTr="00012B81">
        <w:tc>
          <w:tcPr>
            <w:tcW w:w="9288" w:type="dxa"/>
            <w:gridSpan w:val="5"/>
          </w:tcPr>
          <w:p w:rsidR="00206DB8" w:rsidRPr="00E165E2" w:rsidRDefault="00206DB8" w:rsidP="00F51321">
            <w:pPr>
              <w:jc w:val="center"/>
            </w:pPr>
            <w:r w:rsidRPr="00E165E2">
              <w:t>Cost Recovery Factors</w:t>
            </w:r>
            <w:r>
              <w:t xml:space="preserve"> with an extended recovery period</w:t>
            </w:r>
          </w:p>
        </w:tc>
      </w:tr>
      <w:tr w:rsidR="00206DB8" w:rsidRPr="00E165E2" w:rsidTr="00915B86">
        <w:tc>
          <w:tcPr>
            <w:tcW w:w="1638" w:type="dxa"/>
            <w:vMerge w:val="restart"/>
            <w:shd w:val="clear" w:color="auto" w:fill="auto"/>
            <w:vAlign w:val="center"/>
          </w:tcPr>
          <w:p w:rsidR="00206DB8" w:rsidRPr="00E165E2" w:rsidRDefault="00206DB8" w:rsidP="00E165E2">
            <w:pPr>
              <w:keepNext/>
              <w:keepLines/>
              <w:jc w:val="center"/>
            </w:pPr>
            <w:r w:rsidRPr="00E165E2">
              <w:t>Rate Schedule</w:t>
            </w:r>
          </w:p>
        </w:tc>
        <w:tc>
          <w:tcPr>
            <w:tcW w:w="1710" w:type="dxa"/>
            <w:vMerge w:val="restart"/>
            <w:shd w:val="clear" w:color="auto" w:fill="auto"/>
            <w:vAlign w:val="center"/>
          </w:tcPr>
          <w:p w:rsidR="00206DB8" w:rsidRPr="00E165E2" w:rsidRDefault="00206DB8" w:rsidP="00E165E2">
            <w:pPr>
              <w:keepNext/>
              <w:keepLines/>
              <w:jc w:val="center"/>
            </w:pPr>
            <w:r w:rsidRPr="00E165E2">
              <w:t>Delivery</w:t>
            </w:r>
          </w:p>
          <w:p w:rsidR="00206DB8" w:rsidRPr="00E165E2" w:rsidRDefault="00206DB8" w:rsidP="00E165E2">
            <w:pPr>
              <w:keepNext/>
              <w:keepLines/>
              <w:jc w:val="center"/>
            </w:pPr>
            <w:r w:rsidRPr="00E165E2">
              <w:t>Voltage Level</w:t>
            </w:r>
          </w:p>
        </w:tc>
        <w:tc>
          <w:tcPr>
            <w:tcW w:w="5940" w:type="dxa"/>
            <w:gridSpan w:val="3"/>
            <w:shd w:val="clear" w:color="auto" w:fill="auto"/>
            <w:vAlign w:val="center"/>
          </w:tcPr>
          <w:p w:rsidR="00206DB8" w:rsidRPr="00E165E2" w:rsidRDefault="00206DB8" w:rsidP="00E165E2">
            <w:pPr>
              <w:keepNext/>
              <w:keepLines/>
              <w:jc w:val="center"/>
            </w:pPr>
            <w:r w:rsidRPr="00E165E2">
              <w:t>Fuel Cost Recovery</w:t>
            </w:r>
          </w:p>
        </w:tc>
      </w:tr>
      <w:tr w:rsidR="00206DB8" w:rsidRPr="00E165E2" w:rsidTr="00206DB8">
        <w:tc>
          <w:tcPr>
            <w:tcW w:w="1638" w:type="dxa"/>
            <w:vMerge/>
            <w:shd w:val="clear" w:color="auto" w:fill="auto"/>
            <w:vAlign w:val="center"/>
          </w:tcPr>
          <w:p w:rsidR="00206DB8" w:rsidRPr="00E165E2" w:rsidRDefault="00206DB8" w:rsidP="00E165E2">
            <w:pPr>
              <w:keepNext/>
              <w:keepLines/>
              <w:jc w:val="center"/>
            </w:pPr>
          </w:p>
        </w:tc>
        <w:tc>
          <w:tcPr>
            <w:tcW w:w="1710" w:type="dxa"/>
            <w:vMerge/>
            <w:shd w:val="clear" w:color="auto" w:fill="auto"/>
            <w:vAlign w:val="center"/>
          </w:tcPr>
          <w:p w:rsidR="00206DB8" w:rsidRPr="00E165E2" w:rsidRDefault="00206DB8" w:rsidP="00E165E2">
            <w:pPr>
              <w:keepNext/>
              <w:keepLines/>
              <w:jc w:val="center"/>
            </w:pPr>
          </w:p>
        </w:tc>
        <w:tc>
          <w:tcPr>
            <w:tcW w:w="1710" w:type="dxa"/>
            <w:shd w:val="clear" w:color="auto" w:fill="auto"/>
            <w:vAlign w:val="center"/>
          </w:tcPr>
          <w:p w:rsidR="00206DB8" w:rsidRPr="00E165E2" w:rsidRDefault="00206DB8" w:rsidP="00E165E2">
            <w:pPr>
              <w:keepNext/>
              <w:keepLines/>
              <w:jc w:val="center"/>
            </w:pPr>
            <w:r w:rsidRPr="00E165E2">
              <w:t xml:space="preserve">Levelized </w:t>
            </w:r>
            <w:r>
              <w:t xml:space="preserve">    </w:t>
            </w:r>
            <w:r w:rsidRPr="00E165E2">
              <w:t>(c/ kWh)</w:t>
            </w:r>
          </w:p>
        </w:tc>
        <w:tc>
          <w:tcPr>
            <w:tcW w:w="2160" w:type="dxa"/>
            <w:shd w:val="clear" w:color="auto" w:fill="auto"/>
            <w:vAlign w:val="center"/>
          </w:tcPr>
          <w:p w:rsidR="00206DB8" w:rsidRPr="00E165E2" w:rsidRDefault="00206DB8" w:rsidP="00E165E2">
            <w:pPr>
              <w:keepNext/>
              <w:keepLines/>
              <w:jc w:val="center"/>
            </w:pPr>
            <w:r w:rsidRPr="00E165E2">
              <w:t xml:space="preserve">On-Peak </w:t>
            </w:r>
            <w:r>
              <w:t xml:space="preserve">              </w:t>
            </w:r>
            <w:r w:rsidRPr="00E165E2">
              <w:t>(c/ kWh)</w:t>
            </w:r>
          </w:p>
        </w:tc>
        <w:tc>
          <w:tcPr>
            <w:tcW w:w="2070" w:type="dxa"/>
            <w:shd w:val="clear" w:color="auto" w:fill="auto"/>
            <w:vAlign w:val="center"/>
          </w:tcPr>
          <w:p w:rsidR="00206DB8" w:rsidRPr="00E165E2" w:rsidRDefault="00206DB8" w:rsidP="00E165E2">
            <w:pPr>
              <w:keepNext/>
              <w:keepLines/>
              <w:jc w:val="center"/>
            </w:pPr>
            <w:r w:rsidRPr="00E165E2">
              <w:t xml:space="preserve">Off-Peak </w:t>
            </w:r>
            <w:r>
              <w:t xml:space="preserve">               </w:t>
            </w:r>
            <w:r w:rsidRPr="00E165E2">
              <w:t>(c/ kWh)</w:t>
            </w:r>
          </w:p>
        </w:tc>
      </w:tr>
      <w:tr w:rsidR="00206DB8" w:rsidRPr="00E165E2" w:rsidTr="00206DB8">
        <w:tc>
          <w:tcPr>
            <w:tcW w:w="1638" w:type="dxa"/>
            <w:vAlign w:val="center"/>
          </w:tcPr>
          <w:p w:rsidR="00206DB8" w:rsidRPr="00E165E2" w:rsidRDefault="00206DB8" w:rsidP="00E165E2">
            <w:pPr>
              <w:jc w:val="center"/>
            </w:pPr>
            <w:r w:rsidRPr="00E165E2">
              <w:t>RS-1, RST-1, RSL-1, RSL-2, RSS-1</w:t>
            </w:r>
          </w:p>
        </w:tc>
        <w:tc>
          <w:tcPr>
            <w:tcW w:w="1710" w:type="dxa"/>
            <w:vMerge w:val="restart"/>
            <w:vAlign w:val="center"/>
          </w:tcPr>
          <w:p w:rsidR="00206DB8" w:rsidRPr="00E165E2" w:rsidRDefault="00206DB8" w:rsidP="00E165E2">
            <w:pPr>
              <w:jc w:val="center"/>
            </w:pPr>
            <w:r w:rsidRPr="00E165E2">
              <w:t xml:space="preserve"> Secondary</w:t>
            </w:r>
          </w:p>
        </w:tc>
        <w:tc>
          <w:tcPr>
            <w:tcW w:w="1710" w:type="dxa"/>
            <w:shd w:val="clear" w:color="auto" w:fill="F2F2F2" w:themeFill="background1" w:themeFillShade="F2"/>
            <w:vAlign w:val="center"/>
          </w:tcPr>
          <w:p w:rsidR="00206DB8" w:rsidRPr="00E165E2" w:rsidRDefault="00206DB8" w:rsidP="00E165E2">
            <w:pPr>
              <w:jc w:val="center"/>
            </w:pPr>
          </w:p>
        </w:tc>
        <w:tc>
          <w:tcPr>
            <w:tcW w:w="2160" w:type="dxa"/>
            <w:vAlign w:val="center"/>
          </w:tcPr>
          <w:p w:rsidR="00206DB8" w:rsidRPr="00E165E2" w:rsidRDefault="00206DB8" w:rsidP="00E165E2">
            <w:pPr>
              <w:jc w:val="center"/>
            </w:pPr>
            <w:r>
              <w:t>5.313</w:t>
            </w:r>
          </w:p>
        </w:tc>
        <w:tc>
          <w:tcPr>
            <w:tcW w:w="2070" w:type="dxa"/>
            <w:vAlign w:val="center"/>
          </w:tcPr>
          <w:p w:rsidR="00206DB8" w:rsidRPr="00E165E2" w:rsidRDefault="00206DB8" w:rsidP="00E165E2">
            <w:pPr>
              <w:jc w:val="center"/>
            </w:pPr>
            <w:r>
              <w:t>3.568</w:t>
            </w:r>
          </w:p>
        </w:tc>
      </w:tr>
      <w:tr w:rsidR="00206DB8" w:rsidRPr="00E165E2" w:rsidTr="00206DB8">
        <w:tc>
          <w:tcPr>
            <w:tcW w:w="1638" w:type="dxa"/>
            <w:vAlign w:val="center"/>
          </w:tcPr>
          <w:p w:rsidR="00206DB8" w:rsidRPr="00E165E2" w:rsidRDefault="00206DB8" w:rsidP="00E165E2">
            <w:pPr>
              <w:jc w:val="center"/>
            </w:pPr>
            <w:r w:rsidRPr="00E165E2">
              <w:t>&lt; 1,000</w:t>
            </w:r>
          </w:p>
        </w:tc>
        <w:tc>
          <w:tcPr>
            <w:tcW w:w="1710"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t>3.847</w:t>
            </w:r>
          </w:p>
        </w:tc>
        <w:tc>
          <w:tcPr>
            <w:tcW w:w="2160" w:type="dxa"/>
            <w:vMerge w:val="restart"/>
            <w:shd w:val="clear" w:color="auto" w:fill="F2F2F2" w:themeFill="background1" w:themeFillShade="F2"/>
          </w:tcPr>
          <w:p w:rsidR="00206DB8" w:rsidRPr="00E165E2" w:rsidRDefault="00206DB8" w:rsidP="00E165E2">
            <w:pPr>
              <w:jc w:val="center"/>
            </w:pPr>
          </w:p>
        </w:tc>
        <w:tc>
          <w:tcPr>
            <w:tcW w:w="2070" w:type="dxa"/>
            <w:vMerge w:val="restart"/>
            <w:shd w:val="clear" w:color="auto" w:fill="F2F2F2" w:themeFill="background1" w:themeFillShade="F2"/>
          </w:tcPr>
          <w:p w:rsidR="00206DB8" w:rsidRPr="00E165E2" w:rsidRDefault="00206DB8" w:rsidP="00E165E2">
            <w:pPr>
              <w:jc w:val="center"/>
            </w:pPr>
          </w:p>
        </w:tc>
      </w:tr>
      <w:tr w:rsidR="00206DB8" w:rsidRPr="00E165E2" w:rsidTr="00206DB8">
        <w:tc>
          <w:tcPr>
            <w:tcW w:w="1638" w:type="dxa"/>
            <w:vAlign w:val="center"/>
          </w:tcPr>
          <w:p w:rsidR="00206DB8" w:rsidRPr="00E165E2" w:rsidRDefault="00206DB8" w:rsidP="00E165E2">
            <w:pPr>
              <w:jc w:val="center"/>
            </w:pPr>
            <w:r w:rsidRPr="00E165E2">
              <w:t>&gt; 1,000</w:t>
            </w:r>
          </w:p>
        </w:tc>
        <w:tc>
          <w:tcPr>
            <w:tcW w:w="1710"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t>4.847</w:t>
            </w:r>
          </w:p>
        </w:tc>
        <w:tc>
          <w:tcPr>
            <w:tcW w:w="2160" w:type="dxa"/>
            <w:vMerge/>
            <w:shd w:val="clear" w:color="auto" w:fill="F2F2F2" w:themeFill="background1" w:themeFillShade="F2"/>
          </w:tcPr>
          <w:p w:rsidR="00206DB8" w:rsidRPr="00E165E2" w:rsidRDefault="00206DB8" w:rsidP="00E165E2">
            <w:pPr>
              <w:jc w:val="center"/>
            </w:pPr>
          </w:p>
        </w:tc>
        <w:tc>
          <w:tcPr>
            <w:tcW w:w="2070" w:type="dxa"/>
            <w:vMerge/>
            <w:shd w:val="clear" w:color="auto" w:fill="F2F2F2" w:themeFill="background1" w:themeFillShade="F2"/>
          </w:tcPr>
          <w:p w:rsidR="00206DB8" w:rsidRPr="00E165E2" w:rsidRDefault="00206DB8" w:rsidP="00E165E2">
            <w:pPr>
              <w:jc w:val="center"/>
            </w:pPr>
          </w:p>
        </w:tc>
      </w:tr>
      <w:tr w:rsidR="00206DB8" w:rsidRPr="00E165E2" w:rsidTr="00206DB8">
        <w:tc>
          <w:tcPr>
            <w:tcW w:w="1638" w:type="dxa"/>
            <w:vMerge w:val="restart"/>
            <w:vAlign w:val="center"/>
          </w:tcPr>
          <w:p w:rsidR="00206DB8" w:rsidRPr="00E165E2" w:rsidRDefault="00206DB8" w:rsidP="00E165E2">
            <w:pPr>
              <w:jc w:val="center"/>
            </w:pPr>
            <w:r w:rsidRPr="00E165E2">
              <w:t>GS-1, GST-1</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4.144</w:t>
            </w:r>
          </w:p>
        </w:tc>
        <w:tc>
          <w:tcPr>
            <w:tcW w:w="2160" w:type="dxa"/>
            <w:vAlign w:val="center"/>
          </w:tcPr>
          <w:p w:rsidR="00206DB8" w:rsidRPr="00E165E2" w:rsidRDefault="00206DB8" w:rsidP="00E165E2">
            <w:pPr>
              <w:jc w:val="center"/>
            </w:pPr>
            <w:r>
              <w:t>5.313</w:t>
            </w:r>
          </w:p>
        </w:tc>
        <w:tc>
          <w:tcPr>
            <w:tcW w:w="2070" w:type="dxa"/>
            <w:vAlign w:val="center"/>
          </w:tcPr>
          <w:p w:rsidR="00206DB8" w:rsidRPr="00E165E2" w:rsidRDefault="00206DB8" w:rsidP="00E165E2">
            <w:pPr>
              <w:jc w:val="center"/>
            </w:pPr>
            <w:r>
              <w:t>3.568</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rsidRPr="00E165E2">
              <w:t>Primary</w:t>
            </w:r>
          </w:p>
        </w:tc>
        <w:tc>
          <w:tcPr>
            <w:tcW w:w="1710" w:type="dxa"/>
            <w:vAlign w:val="center"/>
          </w:tcPr>
          <w:p w:rsidR="00206DB8" w:rsidRPr="00E165E2" w:rsidRDefault="00206DB8" w:rsidP="00E165E2">
            <w:pPr>
              <w:jc w:val="center"/>
            </w:pPr>
            <w:r>
              <w:t>4.103</w:t>
            </w:r>
          </w:p>
        </w:tc>
        <w:tc>
          <w:tcPr>
            <w:tcW w:w="2160" w:type="dxa"/>
            <w:vAlign w:val="center"/>
          </w:tcPr>
          <w:p w:rsidR="00206DB8" w:rsidRPr="00E165E2" w:rsidRDefault="00206DB8" w:rsidP="00E165E2">
            <w:pPr>
              <w:jc w:val="center"/>
            </w:pPr>
            <w:r>
              <w:t>5.259</w:t>
            </w:r>
          </w:p>
        </w:tc>
        <w:tc>
          <w:tcPr>
            <w:tcW w:w="2070" w:type="dxa"/>
            <w:vAlign w:val="center"/>
          </w:tcPr>
          <w:p w:rsidR="00206DB8" w:rsidRPr="00E165E2" w:rsidRDefault="00206DB8" w:rsidP="00E165E2">
            <w:pPr>
              <w:jc w:val="center"/>
            </w:pPr>
            <w:r>
              <w:t>3.532</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keepNext/>
              <w:keepLines/>
              <w:jc w:val="center"/>
            </w:pPr>
            <w:r w:rsidRPr="00E165E2">
              <w:t>Transmission</w:t>
            </w:r>
          </w:p>
        </w:tc>
        <w:tc>
          <w:tcPr>
            <w:tcW w:w="1710" w:type="dxa"/>
          </w:tcPr>
          <w:p w:rsidR="00206DB8" w:rsidRPr="00E165E2" w:rsidRDefault="00206DB8" w:rsidP="00E165E2">
            <w:pPr>
              <w:jc w:val="center"/>
            </w:pPr>
            <w:r>
              <w:t>4.061</w:t>
            </w:r>
          </w:p>
        </w:tc>
        <w:tc>
          <w:tcPr>
            <w:tcW w:w="2160" w:type="dxa"/>
          </w:tcPr>
          <w:p w:rsidR="00206DB8" w:rsidRPr="00E165E2" w:rsidRDefault="00206DB8" w:rsidP="00E165E2">
            <w:pPr>
              <w:jc w:val="center"/>
            </w:pPr>
            <w:r>
              <w:t>5.206</w:t>
            </w:r>
          </w:p>
        </w:tc>
        <w:tc>
          <w:tcPr>
            <w:tcW w:w="2070" w:type="dxa"/>
          </w:tcPr>
          <w:p w:rsidR="00206DB8" w:rsidRPr="00E165E2" w:rsidRDefault="00206DB8" w:rsidP="00E165E2">
            <w:pPr>
              <w:jc w:val="center"/>
            </w:pPr>
            <w:r>
              <w:t>3.497</w:t>
            </w:r>
          </w:p>
        </w:tc>
      </w:tr>
      <w:tr w:rsidR="00206DB8" w:rsidRPr="00E165E2" w:rsidTr="004E0804">
        <w:tc>
          <w:tcPr>
            <w:tcW w:w="1638" w:type="dxa"/>
            <w:vAlign w:val="center"/>
          </w:tcPr>
          <w:p w:rsidR="00206DB8" w:rsidRPr="00E165E2" w:rsidRDefault="00206DB8" w:rsidP="00E165E2">
            <w:pPr>
              <w:jc w:val="center"/>
            </w:pPr>
            <w:r w:rsidRPr="00E165E2">
              <w:t>GS-2</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4.144</w:t>
            </w:r>
          </w:p>
        </w:tc>
        <w:tc>
          <w:tcPr>
            <w:tcW w:w="4230" w:type="dxa"/>
            <w:gridSpan w:val="2"/>
            <w:shd w:val="clear" w:color="auto" w:fill="F2F2F2" w:themeFill="background1" w:themeFillShade="F2"/>
          </w:tcPr>
          <w:p w:rsidR="00206DB8" w:rsidRPr="00E165E2" w:rsidRDefault="00206DB8" w:rsidP="00E165E2">
            <w:pPr>
              <w:jc w:val="center"/>
            </w:pPr>
          </w:p>
        </w:tc>
      </w:tr>
      <w:tr w:rsidR="00206DB8" w:rsidRPr="00E165E2" w:rsidTr="00206DB8">
        <w:tc>
          <w:tcPr>
            <w:tcW w:w="1638" w:type="dxa"/>
            <w:vMerge w:val="restart"/>
            <w:vAlign w:val="center"/>
          </w:tcPr>
          <w:p w:rsidR="00206DB8" w:rsidRPr="00E165E2" w:rsidRDefault="00206DB8" w:rsidP="00E165E2">
            <w:pPr>
              <w:jc w:val="center"/>
            </w:pPr>
            <w:r w:rsidRPr="00E165E2">
              <w:t>GSD-1, GSDT-1, SS-1</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4.144</w:t>
            </w:r>
          </w:p>
        </w:tc>
        <w:tc>
          <w:tcPr>
            <w:tcW w:w="2160" w:type="dxa"/>
            <w:shd w:val="clear" w:color="auto" w:fill="FFFFFF" w:themeFill="background1"/>
          </w:tcPr>
          <w:p w:rsidR="00206DB8" w:rsidRPr="00E165E2" w:rsidRDefault="00206DB8" w:rsidP="00E165E2">
            <w:pPr>
              <w:jc w:val="center"/>
            </w:pPr>
            <w:r>
              <w:t>5.313</w:t>
            </w:r>
          </w:p>
        </w:tc>
        <w:tc>
          <w:tcPr>
            <w:tcW w:w="2070" w:type="dxa"/>
            <w:shd w:val="clear" w:color="auto" w:fill="FFFFFF" w:themeFill="background1"/>
          </w:tcPr>
          <w:p w:rsidR="00206DB8" w:rsidRPr="00E165E2" w:rsidRDefault="00206DB8" w:rsidP="00E165E2">
            <w:pPr>
              <w:jc w:val="center"/>
            </w:pPr>
            <w:r>
              <w:t>3.568</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rsidRPr="00E165E2">
              <w:t>Primary</w:t>
            </w:r>
          </w:p>
        </w:tc>
        <w:tc>
          <w:tcPr>
            <w:tcW w:w="1710" w:type="dxa"/>
            <w:vAlign w:val="center"/>
          </w:tcPr>
          <w:p w:rsidR="00206DB8" w:rsidRPr="00E165E2" w:rsidRDefault="00206DB8" w:rsidP="00E165E2">
            <w:pPr>
              <w:keepNext/>
              <w:keepLines/>
              <w:jc w:val="center"/>
            </w:pPr>
            <w:r>
              <w:t>4.103</w:t>
            </w:r>
          </w:p>
        </w:tc>
        <w:tc>
          <w:tcPr>
            <w:tcW w:w="2160" w:type="dxa"/>
            <w:shd w:val="clear" w:color="auto" w:fill="FFFFFF" w:themeFill="background1"/>
            <w:vAlign w:val="center"/>
          </w:tcPr>
          <w:p w:rsidR="00206DB8" w:rsidRPr="00E165E2" w:rsidRDefault="00206DB8" w:rsidP="00E165E2">
            <w:pPr>
              <w:keepNext/>
              <w:keepLines/>
              <w:jc w:val="center"/>
            </w:pPr>
            <w:r>
              <w:t>5.259</w:t>
            </w:r>
          </w:p>
        </w:tc>
        <w:tc>
          <w:tcPr>
            <w:tcW w:w="2070" w:type="dxa"/>
            <w:shd w:val="clear" w:color="auto" w:fill="FFFFFF" w:themeFill="background1"/>
            <w:vAlign w:val="center"/>
          </w:tcPr>
          <w:p w:rsidR="00206DB8" w:rsidRPr="00E165E2" w:rsidRDefault="00206DB8" w:rsidP="00E165E2">
            <w:pPr>
              <w:keepNext/>
              <w:keepLines/>
              <w:jc w:val="center"/>
            </w:pPr>
            <w:r>
              <w:t>3.532</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keepNext/>
              <w:keepLines/>
              <w:jc w:val="center"/>
            </w:pPr>
            <w:r w:rsidRPr="00E165E2">
              <w:t>Transmission</w:t>
            </w:r>
          </w:p>
        </w:tc>
        <w:tc>
          <w:tcPr>
            <w:tcW w:w="1710" w:type="dxa"/>
            <w:vAlign w:val="center"/>
          </w:tcPr>
          <w:p w:rsidR="00206DB8" w:rsidRPr="00E165E2" w:rsidRDefault="00206DB8" w:rsidP="00E165E2">
            <w:pPr>
              <w:keepNext/>
              <w:keepLines/>
              <w:jc w:val="center"/>
            </w:pPr>
            <w:r>
              <w:t>4.061</w:t>
            </w:r>
          </w:p>
        </w:tc>
        <w:tc>
          <w:tcPr>
            <w:tcW w:w="2160" w:type="dxa"/>
            <w:shd w:val="clear" w:color="auto" w:fill="FFFFFF" w:themeFill="background1"/>
            <w:vAlign w:val="center"/>
          </w:tcPr>
          <w:p w:rsidR="00206DB8" w:rsidRPr="00E165E2" w:rsidRDefault="00206DB8" w:rsidP="00E165E2">
            <w:pPr>
              <w:keepNext/>
              <w:keepLines/>
              <w:jc w:val="center"/>
            </w:pPr>
            <w:r>
              <w:t>5.206</w:t>
            </w:r>
          </w:p>
        </w:tc>
        <w:tc>
          <w:tcPr>
            <w:tcW w:w="2070" w:type="dxa"/>
            <w:shd w:val="clear" w:color="auto" w:fill="FFFFFF" w:themeFill="background1"/>
            <w:vAlign w:val="center"/>
          </w:tcPr>
          <w:p w:rsidR="00206DB8" w:rsidRPr="00E165E2" w:rsidRDefault="00206DB8" w:rsidP="00E165E2">
            <w:pPr>
              <w:keepNext/>
              <w:keepLines/>
              <w:jc w:val="center"/>
            </w:pPr>
            <w:r>
              <w:t>3.497</w:t>
            </w:r>
          </w:p>
        </w:tc>
      </w:tr>
      <w:tr w:rsidR="00206DB8" w:rsidRPr="00E165E2" w:rsidTr="00206DB8">
        <w:tc>
          <w:tcPr>
            <w:tcW w:w="1638" w:type="dxa"/>
            <w:vMerge w:val="restart"/>
            <w:vAlign w:val="center"/>
          </w:tcPr>
          <w:p w:rsidR="00206DB8" w:rsidRPr="00E165E2" w:rsidRDefault="00206DB8" w:rsidP="00E165E2">
            <w:pPr>
              <w:keepNext/>
              <w:keepLines/>
              <w:jc w:val="center"/>
            </w:pPr>
            <w:r w:rsidRPr="00E165E2">
              <w:t>CS-1, CST-1, CS-2, CST-2, CS-3,</w:t>
            </w:r>
          </w:p>
          <w:p w:rsidR="00206DB8" w:rsidRPr="00E165E2" w:rsidRDefault="00206DB8" w:rsidP="00E165E2">
            <w:pPr>
              <w:jc w:val="center"/>
            </w:pPr>
            <w:r w:rsidRPr="00E165E2">
              <w:t>CST-3, SS-3</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4.144</w:t>
            </w:r>
          </w:p>
        </w:tc>
        <w:tc>
          <w:tcPr>
            <w:tcW w:w="2160" w:type="dxa"/>
            <w:shd w:val="clear" w:color="auto" w:fill="FFFFFF" w:themeFill="background1"/>
          </w:tcPr>
          <w:p w:rsidR="00206DB8" w:rsidRPr="00E165E2" w:rsidRDefault="00206DB8" w:rsidP="00E165E2">
            <w:pPr>
              <w:jc w:val="center"/>
            </w:pPr>
            <w:r>
              <w:t>5.313</w:t>
            </w:r>
          </w:p>
        </w:tc>
        <w:tc>
          <w:tcPr>
            <w:tcW w:w="2070" w:type="dxa"/>
            <w:shd w:val="clear" w:color="auto" w:fill="FFFFFF" w:themeFill="background1"/>
          </w:tcPr>
          <w:p w:rsidR="00206DB8" w:rsidRPr="00E165E2" w:rsidRDefault="00206DB8" w:rsidP="00E165E2">
            <w:pPr>
              <w:jc w:val="center"/>
            </w:pPr>
            <w:r>
              <w:t>3.568</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rsidRPr="00E165E2">
              <w:t>Primary</w:t>
            </w:r>
          </w:p>
        </w:tc>
        <w:tc>
          <w:tcPr>
            <w:tcW w:w="1710" w:type="dxa"/>
            <w:vAlign w:val="center"/>
          </w:tcPr>
          <w:p w:rsidR="00206DB8" w:rsidRPr="00E165E2" w:rsidRDefault="00206DB8" w:rsidP="00E165E2">
            <w:pPr>
              <w:keepNext/>
              <w:keepLines/>
              <w:jc w:val="center"/>
            </w:pPr>
            <w:r>
              <w:t>4.103</w:t>
            </w:r>
          </w:p>
        </w:tc>
        <w:tc>
          <w:tcPr>
            <w:tcW w:w="2160" w:type="dxa"/>
            <w:shd w:val="clear" w:color="auto" w:fill="FFFFFF" w:themeFill="background1"/>
            <w:vAlign w:val="center"/>
          </w:tcPr>
          <w:p w:rsidR="00206DB8" w:rsidRPr="00E165E2" w:rsidRDefault="00206DB8" w:rsidP="00E165E2">
            <w:pPr>
              <w:keepNext/>
              <w:keepLines/>
              <w:jc w:val="center"/>
            </w:pPr>
            <w:r>
              <w:t>5.259</w:t>
            </w:r>
          </w:p>
        </w:tc>
        <w:tc>
          <w:tcPr>
            <w:tcW w:w="2070" w:type="dxa"/>
            <w:shd w:val="clear" w:color="auto" w:fill="FFFFFF" w:themeFill="background1"/>
            <w:vAlign w:val="center"/>
          </w:tcPr>
          <w:p w:rsidR="00206DB8" w:rsidRPr="00E165E2" w:rsidRDefault="00206DB8" w:rsidP="00E165E2">
            <w:pPr>
              <w:keepNext/>
              <w:keepLines/>
              <w:jc w:val="center"/>
            </w:pPr>
            <w:r>
              <w:t>3.532</w:t>
            </w:r>
          </w:p>
        </w:tc>
      </w:tr>
      <w:tr w:rsidR="00206DB8" w:rsidRPr="00E165E2" w:rsidTr="00206DB8">
        <w:trPr>
          <w:trHeight w:val="20"/>
        </w:trPr>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keepNext/>
              <w:keepLines/>
              <w:jc w:val="center"/>
            </w:pPr>
            <w:r w:rsidRPr="00E165E2">
              <w:t>Transmission</w:t>
            </w:r>
          </w:p>
        </w:tc>
        <w:tc>
          <w:tcPr>
            <w:tcW w:w="1710" w:type="dxa"/>
            <w:vAlign w:val="center"/>
          </w:tcPr>
          <w:p w:rsidR="00206DB8" w:rsidRPr="00E165E2" w:rsidRDefault="00206DB8" w:rsidP="00E165E2">
            <w:pPr>
              <w:keepNext/>
              <w:keepLines/>
              <w:jc w:val="center"/>
            </w:pPr>
            <w:r>
              <w:t>4.061</w:t>
            </w:r>
          </w:p>
        </w:tc>
        <w:tc>
          <w:tcPr>
            <w:tcW w:w="2160" w:type="dxa"/>
            <w:shd w:val="clear" w:color="auto" w:fill="FFFFFF" w:themeFill="background1"/>
            <w:vAlign w:val="center"/>
          </w:tcPr>
          <w:p w:rsidR="00206DB8" w:rsidRPr="00E165E2" w:rsidRDefault="00206DB8" w:rsidP="00E165E2">
            <w:pPr>
              <w:keepNext/>
              <w:keepLines/>
              <w:jc w:val="center"/>
            </w:pPr>
            <w:r>
              <w:t>5.206</w:t>
            </w:r>
          </w:p>
        </w:tc>
        <w:tc>
          <w:tcPr>
            <w:tcW w:w="2070" w:type="dxa"/>
            <w:shd w:val="clear" w:color="auto" w:fill="FFFFFF" w:themeFill="background1"/>
            <w:vAlign w:val="center"/>
          </w:tcPr>
          <w:p w:rsidR="00206DB8" w:rsidRPr="00E165E2" w:rsidRDefault="00206DB8" w:rsidP="00E165E2">
            <w:pPr>
              <w:keepNext/>
              <w:keepLines/>
              <w:jc w:val="center"/>
            </w:pPr>
            <w:r>
              <w:t>3.497</w:t>
            </w:r>
          </w:p>
        </w:tc>
      </w:tr>
      <w:tr w:rsidR="00206DB8" w:rsidRPr="00E165E2" w:rsidTr="00206DB8">
        <w:tc>
          <w:tcPr>
            <w:tcW w:w="1638" w:type="dxa"/>
            <w:vMerge w:val="restart"/>
            <w:vAlign w:val="center"/>
          </w:tcPr>
          <w:p w:rsidR="00206DB8" w:rsidRPr="00E165E2" w:rsidRDefault="00206DB8" w:rsidP="00E165E2">
            <w:pPr>
              <w:jc w:val="center"/>
            </w:pPr>
            <w:r w:rsidRPr="00E165E2">
              <w:t>IS-1, IST-1, IS-2, IST-2, SS-2</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4.144</w:t>
            </w:r>
          </w:p>
        </w:tc>
        <w:tc>
          <w:tcPr>
            <w:tcW w:w="2160" w:type="dxa"/>
            <w:shd w:val="clear" w:color="auto" w:fill="FFFFFF" w:themeFill="background1"/>
          </w:tcPr>
          <w:p w:rsidR="00206DB8" w:rsidRPr="00E165E2" w:rsidRDefault="00206DB8" w:rsidP="00E165E2">
            <w:pPr>
              <w:jc w:val="center"/>
            </w:pPr>
            <w:r>
              <w:t>5.313</w:t>
            </w:r>
          </w:p>
        </w:tc>
        <w:tc>
          <w:tcPr>
            <w:tcW w:w="2070" w:type="dxa"/>
            <w:shd w:val="clear" w:color="auto" w:fill="FFFFFF" w:themeFill="background1"/>
          </w:tcPr>
          <w:p w:rsidR="00206DB8" w:rsidRPr="00E165E2" w:rsidRDefault="00206DB8" w:rsidP="00E165E2">
            <w:pPr>
              <w:jc w:val="center"/>
            </w:pPr>
            <w:r>
              <w:t>3.568</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jc w:val="center"/>
            </w:pPr>
            <w:r w:rsidRPr="00E165E2">
              <w:t>Primary</w:t>
            </w:r>
          </w:p>
        </w:tc>
        <w:tc>
          <w:tcPr>
            <w:tcW w:w="1710" w:type="dxa"/>
            <w:vAlign w:val="center"/>
          </w:tcPr>
          <w:p w:rsidR="00206DB8" w:rsidRPr="00E165E2" w:rsidRDefault="00206DB8" w:rsidP="00E165E2">
            <w:pPr>
              <w:keepNext/>
              <w:keepLines/>
              <w:jc w:val="center"/>
            </w:pPr>
            <w:r>
              <w:t>4.103</w:t>
            </w:r>
          </w:p>
        </w:tc>
        <w:tc>
          <w:tcPr>
            <w:tcW w:w="2160" w:type="dxa"/>
            <w:shd w:val="clear" w:color="auto" w:fill="FFFFFF" w:themeFill="background1"/>
            <w:vAlign w:val="center"/>
          </w:tcPr>
          <w:p w:rsidR="00206DB8" w:rsidRPr="00E165E2" w:rsidRDefault="00206DB8" w:rsidP="00E165E2">
            <w:pPr>
              <w:keepNext/>
              <w:keepLines/>
              <w:jc w:val="center"/>
            </w:pPr>
            <w:r>
              <w:t>5.259</w:t>
            </w:r>
          </w:p>
        </w:tc>
        <w:tc>
          <w:tcPr>
            <w:tcW w:w="2070" w:type="dxa"/>
            <w:shd w:val="clear" w:color="auto" w:fill="FFFFFF" w:themeFill="background1"/>
            <w:vAlign w:val="center"/>
          </w:tcPr>
          <w:p w:rsidR="00206DB8" w:rsidRPr="00E165E2" w:rsidRDefault="00206DB8" w:rsidP="00E165E2">
            <w:pPr>
              <w:keepNext/>
              <w:keepLines/>
              <w:jc w:val="center"/>
            </w:pPr>
            <w:r>
              <w:t>3.532</w:t>
            </w:r>
          </w:p>
        </w:tc>
      </w:tr>
      <w:tr w:rsidR="00206DB8" w:rsidRPr="00E165E2" w:rsidTr="00206DB8">
        <w:tc>
          <w:tcPr>
            <w:tcW w:w="1638" w:type="dxa"/>
            <w:vMerge/>
            <w:vAlign w:val="center"/>
          </w:tcPr>
          <w:p w:rsidR="00206DB8" w:rsidRPr="00E165E2" w:rsidRDefault="00206DB8" w:rsidP="00E165E2">
            <w:pPr>
              <w:jc w:val="center"/>
            </w:pPr>
          </w:p>
        </w:tc>
        <w:tc>
          <w:tcPr>
            <w:tcW w:w="1710" w:type="dxa"/>
            <w:vAlign w:val="center"/>
          </w:tcPr>
          <w:p w:rsidR="00206DB8" w:rsidRPr="00E165E2" w:rsidRDefault="00206DB8" w:rsidP="00E165E2">
            <w:pPr>
              <w:keepNext/>
              <w:keepLines/>
              <w:jc w:val="center"/>
            </w:pPr>
            <w:r w:rsidRPr="00E165E2">
              <w:t>Transmission</w:t>
            </w:r>
          </w:p>
        </w:tc>
        <w:tc>
          <w:tcPr>
            <w:tcW w:w="1710" w:type="dxa"/>
            <w:vAlign w:val="center"/>
          </w:tcPr>
          <w:p w:rsidR="00206DB8" w:rsidRPr="00E165E2" w:rsidRDefault="00206DB8" w:rsidP="00E165E2">
            <w:pPr>
              <w:keepNext/>
              <w:keepLines/>
              <w:jc w:val="center"/>
            </w:pPr>
            <w:r>
              <w:t>4.061</w:t>
            </w:r>
          </w:p>
        </w:tc>
        <w:tc>
          <w:tcPr>
            <w:tcW w:w="2160" w:type="dxa"/>
            <w:shd w:val="clear" w:color="auto" w:fill="FFFFFF" w:themeFill="background1"/>
            <w:vAlign w:val="center"/>
          </w:tcPr>
          <w:p w:rsidR="00206DB8" w:rsidRPr="00E165E2" w:rsidRDefault="00206DB8" w:rsidP="00E165E2">
            <w:pPr>
              <w:keepNext/>
              <w:keepLines/>
              <w:jc w:val="center"/>
            </w:pPr>
            <w:r>
              <w:t>5.206</w:t>
            </w:r>
          </w:p>
        </w:tc>
        <w:tc>
          <w:tcPr>
            <w:tcW w:w="2070" w:type="dxa"/>
            <w:shd w:val="clear" w:color="auto" w:fill="FFFFFF" w:themeFill="background1"/>
            <w:vAlign w:val="center"/>
          </w:tcPr>
          <w:p w:rsidR="00206DB8" w:rsidRPr="00E165E2" w:rsidRDefault="00206DB8" w:rsidP="00E165E2">
            <w:pPr>
              <w:keepNext/>
              <w:keepLines/>
              <w:jc w:val="center"/>
            </w:pPr>
            <w:r>
              <w:t>3.497</w:t>
            </w:r>
          </w:p>
        </w:tc>
      </w:tr>
      <w:tr w:rsidR="00206DB8" w:rsidRPr="00E165E2" w:rsidTr="004E0804">
        <w:tc>
          <w:tcPr>
            <w:tcW w:w="1638" w:type="dxa"/>
            <w:vAlign w:val="center"/>
          </w:tcPr>
          <w:p w:rsidR="00206DB8" w:rsidRPr="00E165E2" w:rsidRDefault="00206DB8" w:rsidP="00E165E2">
            <w:pPr>
              <w:jc w:val="center"/>
            </w:pPr>
            <w:r w:rsidRPr="00E165E2">
              <w:t>LS-1</w:t>
            </w:r>
          </w:p>
        </w:tc>
        <w:tc>
          <w:tcPr>
            <w:tcW w:w="1710" w:type="dxa"/>
            <w:vAlign w:val="center"/>
          </w:tcPr>
          <w:p w:rsidR="00206DB8" w:rsidRPr="00E165E2" w:rsidRDefault="00206DB8" w:rsidP="00E165E2">
            <w:pPr>
              <w:jc w:val="center"/>
            </w:pPr>
            <w:r w:rsidRPr="00E165E2">
              <w:t>Secondary</w:t>
            </w:r>
          </w:p>
        </w:tc>
        <w:tc>
          <w:tcPr>
            <w:tcW w:w="1710" w:type="dxa"/>
            <w:vAlign w:val="center"/>
          </w:tcPr>
          <w:p w:rsidR="00206DB8" w:rsidRPr="00E165E2" w:rsidRDefault="00206DB8" w:rsidP="00E165E2">
            <w:pPr>
              <w:jc w:val="center"/>
            </w:pPr>
            <w:r>
              <w:t>3.894</w:t>
            </w:r>
          </w:p>
        </w:tc>
        <w:tc>
          <w:tcPr>
            <w:tcW w:w="4230" w:type="dxa"/>
            <w:gridSpan w:val="2"/>
            <w:shd w:val="clear" w:color="auto" w:fill="F2F2F2" w:themeFill="background1" w:themeFillShade="F2"/>
          </w:tcPr>
          <w:p w:rsidR="00206DB8" w:rsidRPr="00E165E2" w:rsidRDefault="00206DB8" w:rsidP="00E165E2">
            <w:pPr>
              <w:jc w:val="center"/>
            </w:pPr>
          </w:p>
        </w:tc>
      </w:tr>
    </w:tbl>
    <w:p w:rsidR="00E165E2" w:rsidRDefault="00E165E2" w:rsidP="00E275D8">
      <w:pPr>
        <w:pStyle w:val="BodyText"/>
        <w:sectPr w:rsidR="00E165E2" w:rsidSect="00E165E2">
          <w:headerReference w:type="default" r:id="rId23"/>
          <w:type w:val="continuous"/>
          <w:pgSz w:w="12240" w:h="15840" w:code="1"/>
          <w:pgMar w:top="1584" w:right="1440" w:bottom="1440" w:left="1440" w:header="720" w:footer="720" w:gutter="0"/>
          <w:cols w:space="720"/>
          <w:formProt w:val="0"/>
          <w:docGrid w:linePitch="360"/>
        </w:sectPr>
      </w:pPr>
    </w:p>
    <w:p w:rsidR="009554A2" w:rsidRDefault="009554A2" w:rsidP="009554A2">
      <w:pPr>
        <w:pStyle w:val="BodyText"/>
        <w:spacing w:after="0"/>
        <w:ind w:left="-90"/>
        <w:rPr>
          <w:rFonts w:ascii="Arial" w:hAnsi="Arial" w:cs="Arial"/>
          <w:b/>
        </w:rPr>
      </w:pPr>
      <w:r w:rsidRPr="00BD393E">
        <w:lastRenderedPageBreak/>
        <w:t>Source</w:t>
      </w:r>
      <w:r>
        <w:rPr>
          <w:rFonts w:ascii="Arial" w:hAnsi="Arial" w:cs="Arial"/>
          <w:b/>
        </w:rPr>
        <w:t xml:space="preserve">: </w:t>
      </w:r>
      <w:r>
        <w:t>DEF’s Rate Schedule BA-1, from FPSC Document No. 04216-17</w:t>
      </w:r>
    </w:p>
    <w:p w:rsidR="00E165E2" w:rsidRDefault="00E165E2" w:rsidP="009554A2">
      <w:pPr>
        <w:sectPr w:rsidR="00E165E2" w:rsidSect="00E165E2">
          <w:headerReference w:type="default" r:id="rId24"/>
          <w:type w:val="continuous"/>
          <w:pgSz w:w="12240" w:h="15840" w:code="1"/>
          <w:pgMar w:top="1584" w:right="1440" w:bottom="1440" w:left="1440" w:header="720" w:footer="720" w:gutter="0"/>
          <w:cols w:space="720"/>
          <w:formProt w:val="0"/>
          <w:docGrid w:linePitch="360"/>
        </w:sectPr>
      </w:pPr>
      <w:r>
        <w:br w:type="page"/>
      </w:r>
    </w:p>
    <w:p w:rsidR="009B22A7" w:rsidRDefault="009B22A7" w:rsidP="009B22A7">
      <w:pPr>
        <w:pStyle w:val="BodyText"/>
        <w:sectPr w:rsidR="009B22A7" w:rsidSect="00756F39">
          <w:headerReference w:type="default" r:id="rId25"/>
          <w:type w:val="continuous"/>
          <w:pgSz w:w="12240" w:h="15840" w:code="1"/>
          <w:pgMar w:top="1584" w:right="1440" w:bottom="1440" w:left="1440" w:header="720" w:footer="720" w:gutter="0"/>
          <w:cols w:space="720"/>
          <w:formProt w:val="0"/>
          <w:docGrid w:linePitch="360"/>
        </w:sectPr>
      </w:pPr>
    </w:p>
    <w:tbl>
      <w:tblPr>
        <w:tblStyle w:val="TableGrid1"/>
        <w:tblW w:w="0" w:type="auto"/>
        <w:tblLook w:val="04A0" w:firstRow="1" w:lastRow="0" w:firstColumn="1" w:lastColumn="0" w:noHBand="0" w:noVBand="1"/>
      </w:tblPr>
      <w:tblGrid>
        <w:gridCol w:w="1631"/>
        <w:gridCol w:w="1807"/>
        <w:gridCol w:w="1691"/>
        <w:gridCol w:w="2089"/>
        <w:gridCol w:w="2070"/>
      </w:tblGrid>
      <w:tr w:rsidR="009B22A7" w:rsidRPr="00E165E2" w:rsidTr="00206DB8">
        <w:tc>
          <w:tcPr>
            <w:tcW w:w="9288" w:type="dxa"/>
            <w:gridSpan w:val="5"/>
          </w:tcPr>
          <w:p w:rsidR="009B22A7" w:rsidRPr="00E165E2" w:rsidRDefault="009B22A7" w:rsidP="007D71D6">
            <w:pPr>
              <w:autoSpaceDE w:val="0"/>
              <w:autoSpaceDN w:val="0"/>
              <w:adjustRightInd w:val="0"/>
              <w:jc w:val="center"/>
              <w:rPr>
                <w:b/>
              </w:rPr>
            </w:pPr>
            <w:r>
              <w:lastRenderedPageBreak/>
              <w:br w:type="page"/>
            </w:r>
            <w:r w:rsidRPr="00E165E2">
              <w:rPr>
                <w:b/>
              </w:rPr>
              <w:t>DEF’s Proposed Mid-Course Correction</w:t>
            </w:r>
          </w:p>
          <w:p w:rsidR="009B22A7" w:rsidRPr="00E165E2" w:rsidRDefault="009554A2" w:rsidP="007D71D6">
            <w:pPr>
              <w:autoSpaceDE w:val="0"/>
              <w:autoSpaceDN w:val="0"/>
              <w:adjustRightInd w:val="0"/>
              <w:jc w:val="center"/>
              <w:rPr>
                <w:b/>
              </w:rPr>
            </w:pPr>
            <w:r>
              <w:rPr>
                <w:b/>
              </w:rPr>
              <w:t xml:space="preserve">Fuel </w:t>
            </w:r>
            <w:r w:rsidR="009B22A7" w:rsidRPr="00E165E2">
              <w:rPr>
                <w:b/>
              </w:rPr>
              <w:t>Cost Recovery Factors</w:t>
            </w:r>
          </w:p>
          <w:p w:rsidR="009B22A7" w:rsidRPr="00E165E2" w:rsidRDefault="009B22A7" w:rsidP="007D71D6">
            <w:pPr>
              <w:jc w:val="center"/>
            </w:pPr>
            <w:r>
              <w:rPr>
                <w:b/>
              </w:rPr>
              <w:t>July 2017</w:t>
            </w:r>
            <w:r w:rsidRPr="00E165E2">
              <w:rPr>
                <w:b/>
              </w:rPr>
              <w:t xml:space="preserve"> – December 201</w:t>
            </w:r>
            <w:r>
              <w:rPr>
                <w:b/>
              </w:rPr>
              <w:t>7</w:t>
            </w:r>
          </w:p>
        </w:tc>
      </w:tr>
      <w:tr w:rsidR="004E0804" w:rsidRPr="00E165E2" w:rsidTr="00206DB8">
        <w:tc>
          <w:tcPr>
            <w:tcW w:w="9288" w:type="dxa"/>
            <w:gridSpan w:val="5"/>
          </w:tcPr>
          <w:p w:rsidR="004E0804" w:rsidRPr="00E165E2" w:rsidRDefault="004E0804" w:rsidP="00515E29">
            <w:pPr>
              <w:jc w:val="center"/>
            </w:pPr>
            <w:r w:rsidRPr="00E165E2">
              <w:t>Cost Recovery Factors</w:t>
            </w:r>
            <w:r>
              <w:t xml:space="preserve"> with a July-December 2017 recovery period</w:t>
            </w:r>
          </w:p>
        </w:tc>
      </w:tr>
      <w:tr w:rsidR="004E0804" w:rsidRPr="00E165E2" w:rsidTr="00206DB8">
        <w:tc>
          <w:tcPr>
            <w:tcW w:w="1631" w:type="dxa"/>
            <w:vMerge w:val="restart"/>
            <w:shd w:val="clear" w:color="auto" w:fill="auto"/>
            <w:vAlign w:val="center"/>
          </w:tcPr>
          <w:p w:rsidR="004E0804" w:rsidRPr="00E67CBA" w:rsidRDefault="004E0804" w:rsidP="007D71D6">
            <w:pPr>
              <w:keepNext/>
              <w:keepLines/>
              <w:jc w:val="center"/>
            </w:pPr>
            <w:r w:rsidRPr="00E67CBA">
              <w:t>Rate Schedule</w:t>
            </w:r>
          </w:p>
        </w:tc>
        <w:tc>
          <w:tcPr>
            <w:tcW w:w="1807" w:type="dxa"/>
            <w:vMerge w:val="restart"/>
            <w:shd w:val="clear" w:color="auto" w:fill="auto"/>
            <w:vAlign w:val="center"/>
          </w:tcPr>
          <w:p w:rsidR="004E0804" w:rsidRPr="00E67CBA" w:rsidRDefault="004E0804" w:rsidP="007D71D6">
            <w:pPr>
              <w:keepNext/>
              <w:keepLines/>
              <w:jc w:val="center"/>
            </w:pPr>
            <w:r w:rsidRPr="00E67CBA">
              <w:t>Delivery</w:t>
            </w:r>
          </w:p>
          <w:p w:rsidR="004E0804" w:rsidRPr="00E67CBA" w:rsidRDefault="004E0804" w:rsidP="007D71D6">
            <w:pPr>
              <w:keepNext/>
              <w:keepLines/>
              <w:jc w:val="center"/>
            </w:pPr>
            <w:r w:rsidRPr="00E67CBA">
              <w:t>Voltage Level</w:t>
            </w:r>
          </w:p>
        </w:tc>
        <w:tc>
          <w:tcPr>
            <w:tcW w:w="5850" w:type="dxa"/>
            <w:gridSpan w:val="3"/>
            <w:shd w:val="clear" w:color="auto" w:fill="auto"/>
            <w:vAlign w:val="center"/>
          </w:tcPr>
          <w:p w:rsidR="004E0804" w:rsidRPr="00E67CBA" w:rsidRDefault="004E0804" w:rsidP="007D71D6">
            <w:pPr>
              <w:keepNext/>
              <w:keepLines/>
              <w:jc w:val="center"/>
            </w:pPr>
            <w:r w:rsidRPr="00E67CBA">
              <w:t>Fuel Cost Recovery</w:t>
            </w:r>
          </w:p>
        </w:tc>
      </w:tr>
      <w:tr w:rsidR="004E0804" w:rsidRPr="00E165E2" w:rsidTr="00206DB8">
        <w:tc>
          <w:tcPr>
            <w:tcW w:w="1631" w:type="dxa"/>
            <w:vMerge/>
            <w:shd w:val="clear" w:color="auto" w:fill="auto"/>
            <w:vAlign w:val="center"/>
          </w:tcPr>
          <w:p w:rsidR="004E0804" w:rsidRPr="00E67CBA" w:rsidRDefault="004E0804" w:rsidP="007D71D6">
            <w:pPr>
              <w:keepNext/>
              <w:keepLines/>
              <w:jc w:val="center"/>
            </w:pPr>
          </w:p>
        </w:tc>
        <w:tc>
          <w:tcPr>
            <w:tcW w:w="1807" w:type="dxa"/>
            <w:vMerge/>
            <w:shd w:val="clear" w:color="auto" w:fill="auto"/>
            <w:vAlign w:val="center"/>
          </w:tcPr>
          <w:p w:rsidR="004E0804" w:rsidRPr="00E67CBA" w:rsidRDefault="004E0804" w:rsidP="007D71D6">
            <w:pPr>
              <w:keepNext/>
              <w:keepLines/>
              <w:jc w:val="center"/>
            </w:pPr>
          </w:p>
        </w:tc>
        <w:tc>
          <w:tcPr>
            <w:tcW w:w="1691" w:type="dxa"/>
            <w:shd w:val="clear" w:color="auto" w:fill="auto"/>
            <w:vAlign w:val="center"/>
          </w:tcPr>
          <w:p w:rsidR="004E0804" w:rsidRPr="00E67CBA" w:rsidRDefault="004E0804" w:rsidP="007D71D6">
            <w:pPr>
              <w:keepNext/>
              <w:keepLines/>
              <w:jc w:val="center"/>
            </w:pPr>
            <w:r w:rsidRPr="00E67CBA">
              <w:t xml:space="preserve">Levelized </w:t>
            </w:r>
            <w:r>
              <w:t xml:space="preserve">    </w:t>
            </w:r>
            <w:r w:rsidRPr="00E67CBA">
              <w:t>(c/ kWh)</w:t>
            </w:r>
          </w:p>
        </w:tc>
        <w:tc>
          <w:tcPr>
            <w:tcW w:w="2089" w:type="dxa"/>
            <w:shd w:val="clear" w:color="auto" w:fill="auto"/>
            <w:vAlign w:val="center"/>
          </w:tcPr>
          <w:p w:rsidR="004E0804" w:rsidRPr="00E67CBA" w:rsidRDefault="004E0804" w:rsidP="007D71D6">
            <w:pPr>
              <w:keepNext/>
              <w:keepLines/>
              <w:jc w:val="center"/>
            </w:pPr>
            <w:r w:rsidRPr="00E67CBA">
              <w:t xml:space="preserve">On-Peak </w:t>
            </w:r>
            <w:r>
              <w:t xml:space="preserve">             </w:t>
            </w:r>
            <w:r w:rsidRPr="00E67CBA">
              <w:t>(c/ kWh)</w:t>
            </w:r>
          </w:p>
        </w:tc>
        <w:tc>
          <w:tcPr>
            <w:tcW w:w="2070" w:type="dxa"/>
            <w:shd w:val="clear" w:color="auto" w:fill="auto"/>
            <w:vAlign w:val="center"/>
          </w:tcPr>
          <w:p w:rsidR="004E0804" w:rsidRPr="00E67CBA" w:rsidRDefault="004E0804" w:rsidP="007D71D6">
            <w:pPr>
              <w:keepNext/>
              <w:keepLines/>
              <w:jc w:val="center"/>
            </w:pPr>
            <w:r w:rsidRPr="00E67CBA">
              <w:t xml:space="preserve">Off-Peak </w:t>
            </w:r>
            <w:r w:rsidR="00206DB8">
              <w:t xml:space="preserve">                </w:t>
            </w:r>
            <w:r w:rsidRPr="00E67CBA">
              <w:t>(c/ kWh)</w:t>
            </w:r>
          </w:p>
        </w:tc>
      </w:tr>
      <w:tr w:rsidR="004E0804" w:rsidRPr="00E165E2" w:rsidTr="00206DB8">
        <w:tc>
          <w:tcPr>
            <w:tcW w:w="1631" w:type="dxa"/>
            <w:vAlign w:val="center"/>
          </w:tcPr>
          <w:p w:rsidR="004E0804" w:rsidRPr="00E165E2" w:rsidRDefault="004E0804" w:rsidP="007D71D6">
            <w:pPr>
              <w:jc w:val="center"/>
            </w:pPr>
            <w:r w:rsidRPr="00E165E2">
              <w:t>RS-1, RST-1, RSL-1, RSL-2, RSS-1</w:t>
            </w:r>
          </w:p>
        </w:tc>
        <w:tc>
          <w:tcPr>
            <w:tcW w:w="1807" w:type="dxa"/>
            <w:vMerge w:val="restart"/>
            <w:vAlign w:val="center"/>
          </w:tcPr>
          <w:p w:rsidR="004E0804" w:rsidRPr="00E165E2" w:rsidRDefault="004E0804" w:rsidP="007D71D6">
            <w:pPr>
              <w:jc w:val="center"/>
            </w:pPr>
            <w:r w:rsidRPr="00E165E2">
              <w:t xml:space="preserve"> Secondary</w:t>
            </w:r>
          </w:p>
        </w:tc>
        <w:tc>
          <w:tcPr>
            <w:tcW w:w="1691" w:type="dxa"/>
            <w:shd w:val="clear" w:color="auto" w:fill="F2F2F2" w:themeFill="background1" w:themeFillShade="F2"/>
            <w:vAlign w:val="center"/>
          </w:tcPr>
          <w:p w:rsidR="004E0804" w:rsidRPr="00E165E2" w:rsidRDefault="004E0804" w:rsidP="007D71D6">
            <w:pPr>
              <w:jc w:val="center"/>
            </w:pPr>
          </w:p>
        </w:tc>
        <w:tc>
          <w:tcPr>
            <w:tcW w:w="2089" w:type="dxa"/>
            <w:vAlign w:val="center"/>
          </w:tcPr>
          <w:p w:rsidR="004E0804" w:rsidRPr="00E165E2" w:rsidRDefault="004E0804" w:rsidP="007D71D6">
            <w:pPr>
              <w:jc w:val="center"/>
            </w:pPr>
            <w:r>
              <w:t>5.829</w:t>
            </w:r>
          </w:p>
        </w:tc>
        <w:tc>
          <w:tcPr>
            <w:tcW w:w="2070" w:type="dxa"/>
            <w:vAlign w:val="center"/>
          </w:tcPr>
          <w:p w:rsidR="004E0804" w:rsidRPr="00E165E2" w:rsidRDefault="004E0804" w:rsidP="007D71D6">
            <w:pPr>
              <w:jc w:val="center"/>
            </w:pPr>
            <w:r>
              <w:t>3.915</w:t>
            </w:r>
          </w:p>
        </w:tc>
      </w:tr>
      <w:tr w:rsidR="004E0804" w:rsidRPr="00E165E2" w:rsidTr="00206DB8">
        <w:tc>
          <w:tcPr>
            <w:tcW w:w="1631" w:type="dxa"/>
            <w:vAlign w:val="center"/>
          </w:tcPr>
          <w:p w:rsidR="004E0804" w:rsidRPr="00E165E2" w:rsidRDefault="004E0804" w:rsidP="007D71D6">
            <w:pPr>
              <w:jc w:val="center"/>
            </w:pPr>
            <w:r w:rsidRPr="00E165E2">
              <w:t>&lt; 1,000</w:t>
            </w:r>
          </w:p>
        </w:tc>
        <w:tc>
          <w:tcPr>
            <w:tcW w:w="1807" w:type="dxa"/>
            <w:vMerge/>
            <w:vAlign w:val="center"/>
          </w:tcPr>
          <w:p w:rsidR="004E0804" w:rsidRPr="00E165E2" w:rsidRDefault="004E0804" w:rsidP="007D71D6">
            <w:pPr>
              <w:jc w:val="center"/>
            </w:pPr>
          </w:p>
        </w:tc>
        <w:tc>
          <w:tcPr>
            <w:tcW w:w="1691" w:type="dxa"/>
            <w:vAlign w:val="center"/>
          </w:tcPr>
          <w:p w:rsidR="004E0804" w:rsidRPr="00E165E2" w:rsidRDefault="004E0804" w:rsidP="007D71D6">
            <w:pPr>
              <w:jc w:val="center"/>
            </w:pPr>
            <w:r>
              <w:t>4.250</w:t>
            </w:r>
          </w:p>
        </w:tc>
        <w:tc>
          <w:tcPr>
            <w:tcW w:w="2089" w:type="dxa"/>
            <w:vMerge w:val="restart"/>
            <w:shd w:val="clear" w:color="auto" w:fill="F2F2F2" w:themeFill="background1" w:themeFillShade="F2"/>
          </w:tcPr>
          <w:p w:rsidR="004E0804" w:rsidRPr="00E165E2" w:rsidRDefault="004E0804" w:rsidP="007D71D6">
            <w:pPr>
              <w:jc w:val="center"/>
            </w:pPr>
          </w:p>
        </w:tc>
        <w:tc>
          <w:tcPr>
            <w:tcW w:w="2070" w:type="dxa"/>
            <w:vMerge w:val="restart"/>
            <w:shd w:val="clear" w:color="auto" w:fill="F2F2F2" w:themeFill="background1" w:themeFillShade="F2"/>
          </w:tcPr>
          <w:p w:rsidR="004E0804" w:rsidRPr="00E165E2" w:rsidRDefault="004E0804" w:rsidP="007D71D6">
            <w:pPr>
              <w:jc w:val="center"/>
            </w:pPr>
          </w:p>
        </w:tc>
      </w:tr>
      <w:tr w:rsidR="004E0804" w:rsidRPr="00E165E2" w:rsidTr="00206DB8">
        <w:tc>
          <w:tcPr>
            <w:tcW w:w="1631" w:type="dxa"/>
            <w:vAlign w:val="center"/>
          </w:tcPr>
          <w:p w:rsidR="004E0804" w:rsidRPr="00E165E2" w:rsidRDefault="004E0804" w:rsidP="007D71D6">
            <w:pPr>
              <w:jc w:val="center"/>
            </w:pPr>
            <w:r w:rsidRPr="00E165E2">
              <w:t>&gt; 1,000</w:t>
            </w:r>
          </w:p>
        </w:tc>
        <w:tc>
          <w:tcPr>
            <w:tcW w:w="1807" w:type="dxa"/>
            <w:vMerge/>
            <w:vAlign w:val="center"/>
          </w:tcPr>
          <w:p w:rsidR="004E0804" w:rsidRPr="00E165E2" w:rsidRDefault="004E0804" w:rsidP="007D71D6">
            <w:pPr>
              <w:jc w:val="center"/>
            </w:pPr>
          </w:p>
        </w:tc>
        <w:tc>
          <w:tcPr>
            <w:tcW w:w="1691" w:type="dxa"/>
            <w:vAlign w:val="center"/>
          </w:tcPr>
          <w:p w:rsidR="004E0804" w:rsidRPr="00E165E2" w:rsidRDefault="004E0804" w:rsidP="007D71D6">
            <w:pPr>
              <w:jc w:val="center"/>
            </w:pPr>
            <w:r>
              <w:t>5.250</w:t>
            </w:r>
          </w:p>
        </w:tc>
        <w:tc>
          <w:tcPr>
            <w:tcW w:w="2089" w:type="dxa"/>
            <w:vMerge/>
            <w:shd w:val="clear" w:color="auto" w:fill="F2F2F2" w:themeFill="background1" w:themeFillShade="F2"/>
          </w:tcPr>
          <w:p w:rsidR="004E0804" w:rsidRPr="00E165E2" w:rsidRDefault="004E0804" w:rsidP="007D71D6">
            <w:pPr>
              <w:jc w:val="center"/>
            </w:pPr>
          </w:p>
        </w:tc>
        <w:tc>
          <w:tcPr>
            <w:tcW w:w="2070" w:type="dxa"/>
            <w:vMerge/>
            <w:shd w:val="clear" w:color="auto" w:fill="F2F2F2" w:themeFill="background1" w:themeFillShade="F2"/>
          </w:tcPr>
          <w:p w:rsidR="004E0804" w:rsidRPr="00E165E2" w:rsidRDefault="004E0804" w:rsidP="007D71D6">
            <w:pPr>
              <w:jc w:val="center"/>
            </w:pPr>
          </w:p>
        </w:tc>
      </w:tr>
      <w:tr w:rsidR="004E0804" w:rsidRPr="00E165E2" w:rsidTr="00206DB8">
        <w:tc>
          <w:tcPr>
            <w:tcW w:w="1631" w:type="dxa"/>
            <w:vMerge w:val="restart"/>
            <w:vAlign w:val="center"/>
          </w:tcPr>
          <w:p w:rsidR="004E0804" w:rsidRPr="00E165E2" w:rsidRDefault="004E0804" w:rsidP="007D71D6">
            <w:pPr>
              <w:jc w:val="center"/>
            </w:pPr>
            <w:r w:rsidRPr="00E165E2">
              <w:t>GS-1, GST-1</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7D71D6">
            <w:pPr>
              <w:jc w:val="center"/>
            </w:pPr>
            <w:r>
              <w:t>4.547</w:t>
            </w:r>
          </w:p>
        </w:tc>
        <w:tc>
          <w:tcPr>
            <w:tcW w:w="2089" w:type="dxa"/>
            <w:vAlign w:val="center"/>
          </w:tcPr>
          <w:p w:rsidR="004E0804" w:rsidRPr="00E165E2" w:rsidRDefault="004E0804" w:rsidP="007D71D6">
            <w:pPr>
              <w:jc w:val="center"/>
            </w:pPr>
            <w:r>
              <w:t>5.829</w:t>
            </w:r>
          </w:p>
        </w:tc>
        <w:tc>
          <w:tcPr>
            <w:tcW w:w="2070" w:type="dxa"/>
            <w:vAlign w:val="center"/>
          </w:tcPr>
          <w:p w:rsidR="004E0804" w:rsidRPr="00E165E2" w:rsidRDefault="004E0804" w:rsidP="007D71D6">
            <w:pPr>
              <w:jc w:val="center"/>
            </w:pPr>
            <w:r>
              <w:t>3.915</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jc w:val="center"/>
            </w:pPr>
            <w:r w:rsidRPr="00E165E2">
              <w:t>Primary</w:t>
            </w:r>
          </w:p>
        </w:tc>
        <w:tc>
          <w:tcPr>
            <w:tcW w:w="1691" w:type="dxa"/>
            <w:vAlign w:val="center"/>
          </w:tcPr>
          <w:p w:rsidR="004E0804" w:rsidRPr="00E165E2" w:rsidRDefault="004E0804" w:rsidP="007D71D6">
            <w:pPr>
              <w:jc w:val="center"/>
            </w:pPr>
            <w:r>
              <w:t>4.502</w:t>
            </w:r>
          </w:p>
        </w:tc>
        <w:tc>
          <w:tcPr>
            <w:tcW w:w="2089" w:type="dxa"/>
            <w:vAlign w:val="center"/>
          </w:tcPr>
          <w:p w:rsidR="004E0804" w:rsidRPr="00E165E2" w:rsidRDefault="004E0804" w:rsidP="007D71D6">
            <w:pPr>
              <w:jc w:val="center"/>
            </w:pPr>
            <w:r>
              <w:t>5.771</w:t>
            </w:r>
          </w:p>
        </w:tc>
        <w:tc>
          <w:tcPr>
            <w:tcW w:w="2070" w:type="dxa"/>
            <w:vAlign w:val="center"/>
          </w:tcPr>
          <w:p w:rsidR="004E0804" w:rsidRPr="00E165E2" w:rsidRDefault="004E0804" w:rsidP="007D71D6">
            <w:pPr>
              <w:jc w:val="center"/>
            </w:pPr>
            <w:r>
              <w:t>3.876</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keepNext/>
              <w:keepLines/>
              <w:jc w:val="center"/>
            </w:pPr>
            <w:r w:rsidRPr="00E165E2">
              <w:t>Transmission</w:t>
            </w:r>
          </w:p>
        </w:tc>
        <w:tc>
          <w:tcPr>
            <w:tcW w:w="1691" w:type="dxa"/>
          </w:tcPr>
          <w:p w:rsidR="004E0804" w:rsidRPr="00E165E2" w:rsidRDefault="004E0804" w:rsidP="007D71D6">
            <w:pPr>
              <w:jc w:val="center"/>
            </w:pPr>
            <w:r>
              <w:t>4.456</w:t>
            </w:r>
          </w:p>
        </w:tc>
        <w:tc>
          <w:tcPr>
            <w:tcW w:w="2089" w:type="dxa"/>
          </w:tcPr>
          <w:p w:rsidR="004E0804" w:rsidRPr="00E165E2" w:rsidRDefault="004E0804" w:rsidP="007D71D6">
            <w:pPr>
              <w:jc w:val="center"/>
            </w:pPr>
            <w:r>
              <w:t>5.713</w:t>
            </w:r>
          </w:p>
        </w:tc>
        <w:tc>
          <w:tcPr>
            <w:tcW w:w="2070" w:type="dxa"/>
          </w:tcPr>
          <w:p w:rsidR="004E0804" w:rsidRPr="00E165E2" w:rsidRDefault="004E0804" w:rsidP="007D71D6">
            <w:pPr>
              <w:jc w:val="center"/>
            </w:pPr>
            <w:r>
              <w:t>3.837</w:t>
            </w:r>
          </w:p>
        </w:tc>
      </w:tr>
      <w:tr w:rsidR="004E0804" w:rsidRPr="00E165E2" w:rsidTr="00206DB8">
        <w:tc>
          <w:tcPr>
            <w:tcW w:w="1631" w:type="dxa"/>
            <w:vAlign w:val="center"/>
          </w:tcPr>
          <w:p w:rsidR="004E0804" w:rsidRPr="00E165E2" w:rsidRDefault="004E0804" w:rsidP="007D71D6">
            <w:pPr>
              <w:jc w:val="center"/>
            </w:pPr>
            <w:r w:rsidRPr="00E165E2">
              <w:t>GS-2</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7D71D6">
            <w:pPr>
              <w:jc w:val="center"/>
            </w:pPr>
            <w:r>
              <w:t>4.547</w:t>
            </w:r>
          </w:p>
        </w:tc>
        <w:tc>
          <w:tcPr>
            <w:tcW w:w="4159" w:type="dxa"/>
            <w:gridSpan w:val="2"/>
            <w:shd w:val="clear" w:color="auto" w:fill="F2F2F2" w:themeFill="background1" w:themeFillShade="F2"/>
          </w:tcPr>
          <w:p w:rsidR="004E0804" w:rsidRPr="00E165E2" w:rsidRDefault="004E0804" w:rsidP="007D71D6">
            <w:pPr>
              <w:jc w:val="center"/>
            </w:pPr>
          </w:p>
        </w:tc>
      </w:tr>
      <w:tr w:rsidR="004E0804" w:rsidRPr="00E165E2" w:rsidTr="00206DB8">
        <w:tc>
          <w:tcPr>
            <w:tcW w:w="1631" w:type="dxa"/>
            <w:vMerge w:val="restart"/>
            <w:vAlign w:val="center"/>
          </w:tcPr>
          <w:p w:rsidR="004E0804" w:rsidRPr="00E165E2" w:rsidRDefault="004E0804" w:rsidP="007D71D6">
            <w:pPr>
              <w:jc w:val="center"/>
            </w:pPr>
            <w:r w:rsidRPr="00E165E2">
              <w:t>GSD-1, GSDT-1, SS-1</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EA5D57">
            <w:pPr>
              <w:jc w:val="center"/>
            </w:pPr>
            <w:r>
              <w:t>4.547</w:t>
            </w:r>
          </w:p>
        </w:tc>
        <w:tc>
          <w:tcPr>
            <w:tcW w:w="2089" w:type="dxa"/>
            <w:shd w:val="clear" w:color="auto" w:fill="FFFFFF" w:themeFill="background1"/>
            <w:vAlign w:val="center"/>
          </w:tcPr>
          <w:p w:rsidR="004E0804" w:rsidRPr="00E165E2" w:rsidRDefault="004E0804" w:rsidP="00EA5D57">
            <w:pPr>
              <w:jc w:val="center"/>
            </w:pPr>
            <w:r>
              <w:t>5.829</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3.915</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jc w:val="center"/>
            </w:pPr>
            <w:r w:rsidRPr="00E165E2">
              <w:t>Primary</w:t>
            </w:r>
          </w:p>
        </w:tc>
        <w:tc>
          <w:tcPr>
            <w:tcW w:w="1691" w:type="dxa"/>
            <w:vAlign w:val="center"/>
          </w:tcPr>
          <w:p w:rsidR="004E0804" w:rsidRPr="00E165E2" w:rsidRDefault="004E0804" w:rsidP="00EA5D57">
            <w:pPr>
              <w:jc w:val="center"/>
            </w:pPr>
            <w:r>
              <w:t>4.502</w:t>
            </w:r>
          </w:p>
        </w:tc>
        <w:tc>
          <w:tcPr>
            <w:tcW w:w="2089" w:type="dxa"/>
            <w:shd w:val="clear" w:color="auto" w:fill="FFFFFF" w:themeFill="background1"/>
            <w:vAlign w:val="center"/>
          </w:tcPr>
          <w:p w:rsidR="004E0804" w:rsidRPr="00E165E2" w:rsidRDefault="004E0804" w:rsidP="00EA5D57">
            <w:pPr>
              <w:jc w:val="center"/>
            </w:pPr>
            <w:r>
              <w:t>5.771</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3.876</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keepNext/>
              <w:keepLines/>
              <w:jc w:val="center"/>
            </w:pPr>
            <w:r w:rsidRPr="00E165E2">
              <w:t>Transmission</w:t>
            </w:r>
          </w:p>
        </w:tc>
        <w:tc>
          <w:tcPr>
            <w:tcW w:w="1691" w:type="dxa"/>
          </w:tcPr>
          <w:p w:rsidR="004E0804" w:rsidRPr="00E165E2" w:rsidRDefault="004E0804" w:rsidP="00EA5D57">
            <w:pPr>
              <w:jc w:val="center"/>
            </w:pPr>
            <w:r>
              <w:t>4.456</w:t>
            </w:r>
          </w:p>
        </w:tc>
        <w:tc>
          <w:tcPr>
            <w:tcW w:w="2089" w:type="dxa"/>
            <w:shd w:val="clear" w:color="auto" w:fill="FFFFFF" w:themeFill="background1"/>
          </w:tcPr>
          <w:p w:rsidR="004E0804" w:rsidRPr="00E165E2" w:rsidRDefault="004E0804" w:rsidP="00EA5D57">
            <w:pPr>
              <w:jc w:val="center"/>
            </w:pPr>
            <w:r>
              <w:t>5.713</w:t>
            </w:r>
          </w:p>
        </w:tc>
        <w:tc>
          <w:tcPr>
            <w:tcW w:w="2070" w:type="dxa"/>
            <w:shd w:val="clear" w:color="auto" w:fill="FFFFFF" w:themeFill="background1"/>
          </w:tcPr>
          <w:p w:rsidR="004E0804" w:rsidRPr="00E165E2" w:rsidRDefault="004E0804" w:rsidP="007D71D6">
            <w:pPr>
              <w:autoSpaceDE w:val="0"/>
              <w:autoSpaceDN w:val="0"/>
              <w:adjustRightInd w:val="0"/>
              <w:jc w:val="center"/>
              <w:rPr>
                <w:bCs/>
              </w:rPr>
            </w:pPr>
            <w:r>
              <w:t>3.837</w:t>
            </w:r>
          </w:p>
        </w:tc>
      </w:tr>
      <w:tr w:rsidR="004E0804" w:rsidRPr="00E165E2" w:rsidTr="00206DB8">
        <w:tc>
          <w:tcPr>
            <w:tcW w:w="1631" w:type="dxa"/>
            <w:vMerge w:val="restart"/>
            <w:vAlign w:val="center"/>
          </w:tcPr>
          <w:p w:rsidR="004E0804" w:rsidRPr="00E165E2" w:rsidRDefault="004E0804" w:rsidP="007D71D6">
            <w:pPr>
              <w:keepNext/>
              <w:keepLines/>
              <w:jc w:val="center"/>
            </w:pPr>
            <w:r w:rsidRPr="00E165E2">
              <w:t>CS-1, CST-1, CS-2, CST-2, CS-3,</w:t>
            </w:r>
          </w:p>
          <w:p w:rsidR="004E0804" w:rsidRPr="00E165E2" w:rsidRDefault="004E0804" w:rsidP="007D71D6">
            <w:pPr>
              <w:jc w:val="center"/>
            </w:pPr>
            <w:r w:rsidRPr="00E165E2">
              <w:t>CST-3, SS-3</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EA5D57">
            <w:pPr>
              <w:jc w:val="center"/>
            </w:pPr>
            <w:r>
              <w:t>4.547</w:t>
            </w:r>
          </w:p>
        </w:tc>
        <w:tc>
          <w:tcPr>
            <w:tcW w:w="2089" w:type="dxa"/>
            <w:shd w:val="clear" w:color="auto" w:fill="FFFFFF" w:themeFill="background1"/>
            <w:vAlign w:val="center"/>
          </w:tcPr>
          <w:p w:rsidR="004E0804" w:rsidRPr="00E165E2" w:rsidRDefault="004E0804" w:rsidP="00EA5D57">
            <w:pPr>
              <w:jc w:val="center"/>
            </w:pPr>
            <w:r>
              <w:t>5.829</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3.915</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jc w:val="center"/>
            </w:pPr>
            <w:r w:rsidRPr="00E165E2">
              <w:t>Primary</w:t>
            </w:r>
          </w:p>
        </w:tc>
        <w:tc>
          <w:tcPr>
            <w:tcW w:w="1691" w:type="dxa"/>
            <w:vAlign w:val="center"/>
          </w:tcPr>
          <w:p w:rsidR="004E0804" w:rsidRPr="00E165E2" w:rsidRDefault="004E0804" w:rsidP="00EA5D57">
            <w:pPr>
              <w:jc w:val="center"/>
            </w:pPr>
            <w:r>
              <w:t>4.502</w:t>
            </w:r>
          </w:p>
        </w:tc>
        <w:tc>
          <w:tcPr>
            <w:tcW w:w="2089" w:type="dxa"/>
            <w:shd w:val="clear" w:color="auto" w:fill="FFFFFF" w:themeFill="background1"/>
            <w:vAlign w:val="center"/>
          </w:tcPr>
          <w:p w:rsidR="004E0804" w:rsidRPr="00E165E2" w:rsidRDefault="004E0804" w:rsidP="00EA5D57">
            <w:pPr>
              <w:jc w:val="center"/>
            </w:pPr>
            <w:r>
              <w:t>5.771</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3.876</w:t>
            </w:r>
          </w:p>
        </w:tc>
      </w:tr>
      <w:tr w:rsidR="004E0804" w:rsidRPr="00E165E2" w:rsidTr="00206DB8">
        <w:trPr>
          <w:trHeight w:val="20"/>
        </w:trPr>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keepNext/>
              <w:keepLines/>
              <w:jc w:val="center"/>
            </w:pPr>
            <w:r w:rsidRPr="00E165E2">
              <w:t>Transmission</w:t>
            </w:r>
          </w:p>
        </w:tc>
        <w:tc>
          <w:tcPr>
            <w:tcW w:w="1691" w:type="dxa"/>
            <w:vAlign w:val="center"/>
          </w:tcPr>
          <w:p w:rsidR="004E0804" w:rsidRPr="00E165E2" w:rsidRDefault="004E0804" w:rsidP="00D96E47">
            <w:pPr>
              <w:jc w:val="center"/>
            </w:pPr>
            <w:r>
              <w:t>4.456</w:t>
            </w:r>
          </w:p>
        </w:tc>
        <w:tc>
          <w:tcPr>
            <w:tcW w:w="2089" w:type="dxa"/>
            <w:shd w:val="clear" w:color="auto" w:fill="FFFFFF" w:themeFill="background1"/>
            <w:vAlign w:val="center"/>
          </w:tcPr>
          <w:p w:rsidR="004E0804" w:rsidRPr="00E165E2" w:rsidRDefault="004E0804" w:rsidP="00D96E47">
            <w:pPr>
              <w:jc w:val="center"/>
            </w:pPr>
            <w:r>
              <w:t>5.713</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3.837</w:t>
            </w:r>
          </w:p>
        </w:tc>
      </w:tr>
      <w:tr w:rsidR="004E0804" w:rsidRPr="00E165E2" w:rsidTr="00206DB8">
        <w:tc>
          <w:tcPr>
            <w:tcW w:w="1631" w:type="dxa"/>
            <w:vMerge w:val="restart"/>
            <w:vAlign w:val="center"/>
          </w:tcPr>
          <w:p w:rsidR="004E0804" w:rsidRPr="00E165E2" w:rsidRDefault="004E0804" w:rsidP="007D71D6">
            <w:pPr>
              <w:jc w:val="center"/>
            </w:pPr>
            <w:r w:rsidRPr="00E165E2">
              <w:t>IS-1, IST-1, IS-2, IST-2, SS-2</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EA5D57">
            <w:pPr>
              <w:jc w:val="center"/>
            </w:pPr>
            <w:r>
              <w:t>4.547</w:t>
            </w:r>
          </w:p>
        </w:tc>
        <w:tc>
          <w:tcPr>
            <w:tcW w:w="2089" w:type="dxa"/>
            <w:shd w:val="clear" w:color="auto" w:fill="FFFFFF" w:themeFill="background1"/>
            <w:vAlign w:val="center"/>
          </w:tcPr>
          <w:p w:rsidR="004E0804" w:rsidRPr="00E165E2" w:rsidRDefault="004E0804" w:rsidP="00EA5D57">
            <w:pPr>
              <w:jc w:val="center"/>
            </w:pPr>
            <w:r>
              <w:t>5.829</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3.915</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jc w:val="center"/>
            </w:pPr>
            <w:r w:rsidRPr="00E165E2">
              <w:t>Primary</w:t>
            </w:r>
          </w:p>
        </w:tc>
        <w:tc>
          <w:tcPr>
            <w:tcW w:w="1691" w:type="dxa"/>
            <w:vAlign w:val="center"/>
          </w:tcPr>
          <w:p w:rsidR="004E0804" w:rsidRPr="00E165E2" w:rsidRDefault="004E0804" w:rsidP="00EA5D57">
            <w:pPr>
              <w:jc w:val="center"/>
            </w:pPr>
            <w:r>
              <w:t>4.502</w:t>
            </w:r>
          </w:p>
        </w:tc>
        <w:tc>
          <w:tcPr>
            <w:tcW w:w="2089" w:type="dxa"/>
            <w:shd w:val="clear" w:color="auto" w:fill="FFFFFF" w:themeFill="background1"/>
            <w:vAlign w:val="center"/>
          </w:tcPr>
          <w:p w:rsidR="004E0804" w:rsidRPr="00E165E2" w:rsidRDefault="004E0804" w:rsidP="00EA5D57">
            <w:pPr>
              <w:jc w:val="center"/>
            </w:pPr>
            <w:r>
              <w:t>5.771</w:t>
            </w:r>
          </w:p>
        </w:tc>
        <w:tc>
          <w:tcPr>
            <w:tcW w:w="2070" w:type="dxa"/>
            <w:shd w:val="clear" w:color="auto" w:fill="FFFFFF" w:themeFill="background1"/>
            <w:vAlign w:val="center"/>
          </w:tcPr>
          <w:p w:rsidR="004E0804" w:rsidRPr="00E165E2" w:rsidRDefault="004E0804" w:rsidP="007D71D6">
            <w:pPr>
              <w:autoSpaceDE w:val="0"/>
              <w:autoSpaceDN w:val="0"/>
              <w:adjustRightInd w:val="0"/>
              <w:jc w:val="center"/>
              <w:rPr>
                <w:bCs/>
              </w:rPr>
            </w:pPr>
            <w:r>
              <w:t>3.876</w:t>
            </w:r>
          </w:p>
        </w:tc>
      </w:tr>
      <w:tr w:rsidR="004E0804" w:rsidRPr="00E165E2" w:rsidTr="00206DB8">
        <w:tc>
          <w:tcPr>
            <w:tcW w:w="1631" w:type="dxa"/>
            <w:vMerge/>
            <w:vAlign w:val="center"/>
          </w:tcPr>
          <w:p w:rsidR="004E0804" w:rsidRPr="00E165E2" w:rsidRDefault="004E0804" w:rsidP="007D71D6">
            <w:pPr>
              <w:jc w:val="center"/>
            </w:pPr>
          </w:p>
        </w:tc>
        <w:tc>
          <w:tcPr>
            <w:tcW w:w="1807" w:type="dxa"/>
            <w:vAlign w:val="center"/>
          </w:tcPr>
          <w:p w:rsidR="004E0804" w:rsidRPr="00E165E2" w:rsidRDefault="004E0804" w:rsidP="007D71D6">
            <w:pPr>
              <w:keepNext/>
              <w:keepLines/>
              <w:jc w:val="center"/>
            </w:pPr>
            <w:r w:rsidRPr="00E165E2">
              <w:t>Transmission</w:t>
            </w:r>
          </w:p>
        </w:tc>
        <w:tc>
          <w:tcPr>
            <w:tcW w:w="1691" w:type="dxa"/>
          </w:tcPr>
          <w:p w:rsidR="004E0804" w:rsidRPr="00E165E2" w:rsidRDefault="004E0804" w:rsidP="00EA5D57">
            <w:pPr>
              <w:jc w:val="center"/>
            </w:pPr>
            <w:r>
              <w:t>4.456</w:t>
            </w:r>
          </w:p>
        </w:tc>
        <w:tc>
          <w:tcPr>
            <w:tcW w:w="2089" w:type="dxa"/>
            <w:shd w:val="clear" w:color="auto" w:fill="FFFFFF" w:themeFill="background1"/>
          </w:tcPr>
          <w:p w:rsidR="004E0804" w:rsidRPr="00E165E2" w:rsidRDefault="004E0804" w:rsidP="00EA5D57">
            <w:pPr>
              <w:jc w:val="center"/>
            </w:pPr>
            <w:r>
              <w:t>5.713</w:t>
            </w:r>
          </w:p>
        </w:tc>
        <w:tc>
          <w:tcPr>
            <w:tcW w:w="2070" w:type="dxa"/>
            <w:shd w:val="clear" w:color="auto" w:fill="FFFFFF" w:themeFill="background1"/>
          </w:tcPr>
          <w:p w:rsidR="004E0804" w:rsidRPr="00E165E2" w:rsidRDefault="004E0804" w:rsidP="007D71D6">
            <w:pPr>
              <w:autoSpaceDE w:val="0"/>
              <w:autoSpaceDN w:val="0"/>
              <w:adjustRightInd w:val="0"/>
              <w:jc w:val="center"/>
              <w:rPr>
                <w:bCs/>
              </w:rPr>
            </w:pPr>
            <w:r>
              <w:t>3.837</w:t>
            </w:r>
          </w:p>
        </w:tc>
      </w:tr>
      <w:tr w:rsidR="004E0804" w:rsidRPr="00E165E2" w:rsidTr="00206DB8">
        <w:tc>
          <w:tcPr>
            <w:tcW w:w="1631" w:type="dxa"/>
            <w:vAlign w:val="center"/>
          </w:tcPr>
          <w:p w:rsidR="004E0804" w:rsidRPr="00E165E2" w:rsidRDefault="004E0804" w:rsidP="007D71D6">
            <w:pPr>
              <w:jc w:val="center"/>
            </w:pPr>
            <w:r w:rsidRPr="00E165E2">
              <w:t>LS-1</w:t>
            </w:r>
          </w:p>
        </w:tc>
        <w:tc>
          <w:tcPr>
            <w:tcW w:w="1807" w:type="dxa"/>
            <w:vAlign w:val="center"/>
          </w:tcPr>
          <w:p w:rsidR="004E0804" w:rsidRPr="00E165E2" w:rsidRDefault="004E0804" w:rsidP="007D71D6">
            <w:pPr>
              <w:jc w:val="center"/>
            </w:pPr>
            <w:r w:rsidRPr="00E165E2">
              <w:t>Secondary</w:t>
            </w:r>
          </w:p>
        </w:tc>
        <w:tc>
          <w:tcPr>
            <w:tcW w:w="1691" w:type="dxa"/>
            <w:vAlign w:val="center"/>
          </w:tcPr>
          <w:p w:rsidR="004E0804" w:rsidRPr="00E165E2" w:rsidRDefault="004E0804" w:rsidP="007D71D6">
            <w:pPr>
              <w:jc w:val="center"/>
            </w:pPr>
            <w:r>
              <w:t>4.273</w:t>
            </w:r>
          </w:p>
        </w:tc>
        <w:tc>
          <w:tcPr>
            <w:tcW w:w="4159" w:type="dxa"/>
            <w:gridSpan w:val="2"/>
            <w:shd w:val="clear" w:color="auto" w:fill="F2F2F2" w:themeFill="background1" w:themeFillShade="F2"/>
          </w:tcPr>
          <w:p w:rsidR="004E0804" w:rsidRPr="00E165E2" w:rsidRDefault="004E0804" w:rsidP="007D71D6">
            <w:pPr>
              <w:jc w:val="center"/>
            </w:pPr>
          </w:p>
        </w:tc>
      </w:tr>
    </w:tbl>
    <w:p w:rsidR="009B22A7" w:rsidRDefault="009B22A7" w:rsidP="009B22A7">
      <w:pPr>
        <w:pStyle w:val="BodyText"/>
        <w:sectPr w:rsidR="009B22A7" w:rsidSect="00E165E2">
          <w:headerReference w:type="default" r:id="rId26"/>
          <w:type w:val="continuous"/>
          <w:pgSz w:w="12240" w:h="15840" w:code="1"/>
          <w:pgMar w:top="1584" w:right="1440" w:bottom="1440" w:left="1440" w:header="720" w:footer="720" w:gutter="0"/>
          <w:cols w:space="720"/>
          <w:formProt w:val="0"/>
          <w:docGrid w:linePitch="360"/>
        </w:sectPr>
      </w:pPr>
    </w:p>
    <w:p w:rsidR="009554A2" w:rsidRDefault="009554A2" w:rsidP="009554A2">
      <w:pPr>
        <w:pStyle w:val="BodyText"/>
        <w:spacing w:after="0"/>
        <w:ind w:left="-90"/>
        <w:rPr>
          <w:rFonts w:ascii="Arial" w:hAnsi="Arial" w:cs="Arial"/>
          <w:b/>
        </w:rPr>
      </w:pPr>
      <w:r w:rsidRPr="00BD393E">
        <w:lastRenderedPageBreak/>
        <w:t>Source</w:t>
      </w:r>
      <w:r>
        <w:rPr>
          <w:rFonts w:ascii="Arial" w:hAnsi="Arial" w:cs="Arial"/>
          <w:b/>
        </w:rPr>
        <w:t xml:space="preserve">: </w:t>
      </w:r>
      <w:r>
        <w:t>DEF’s Rate Schedule BA-1, from FPSC Document No. 04533-17</w:t>
      </w:r>
    </w:p>
    <w:p w:rsidR="009554A2" w:rsidRDefault="009554A2" w:rsidP="009554A2">
      <w:pPr>
        <w:pStyle w:val="BodyText"/>
        <w:spacing w:after="0"/>
        <w:rPr>
          <w:rFonts w:ascii="Arial" w:hAnsi="Arial" w:cs="Arial"/>
          <w:b/>
        </w:rPr>
      </w:pPr>
    </w:p>
    <w:p w:rsidR="00227EFA" w:rsidRPr="00E165E2" w:rsidRDefault="00227EFA" w:rsidP="00515E29"/>
    <w:sectPr w:rsidR="00227EFA" w:rsidRPr="00E165E2" w:rsidSect="00E165E2">
      <w:headerReference w:type="default" r:id="rId27"/>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86" w:rsidRDefault="00915B86">
      <w:r>
        <w:separator/>
      </w:r>
    </w:p>
  </w:endnote>
  <w:endnote w:type="continuationSeparator" w:id="0">
    <w:p w:rsidR="00915B86" w:rsidRDefault="0091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35437"/>
      <w:docPartObj>
        <w:docPartGallery w:val="Page Numbers (Bottom of Page)"/>
        <w:docPartUnique/>
      </w:docPartObj>
    </w:sdtPr>
    <w:sdtEndPr>
      <w:rPr>
        <w:noProof/>
      </w:rPr>
    </w:sdtEndPr>
    <w:sdtContent>
      <w:p w:rsidR="00915B86" w:rsidRDefault="00915B86">
        <w:pPr>
          <w:pStyle w:val="Footer"/>
          <w:jc w:val="center"/>
        </w:pPr>
        <w:r>
          <w:fldChar w:fldCharType="begin"/>
        </w:r>
        <w:r>
          <w:instrText xml:space="preserve"> PAGE   \* MERGEFORMAT </w:instrText>
        </w:r>
        <w:r>
          <w:fldChar w:fldCharType="separate"/>
        </w:r>
        <w:r w:rsidR="008612D6">
          <w:rPr>
            <w:noProof/>
          </w:rPr>
          <w:t>2</w:t>
        </w:r>
        <w:r>
          <w:rPr>
            <w:noProof/>
          </w:rPr>
          <w:fldChar w:fldCharType="end"/>
        </w:r>
      </w:p>
    </w:sdtContent>
  </w:sdt>
  <w:p w:rsidR="00915B86" w:rsidRDefault="00915B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12D6">
      <w:rPr>
        <w:rStyle w:val="PageNumber"/>
        <w:noProof/>
      </w:rPr>
      <w:t>13</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86" w:rsidRDefault="00915B86">
      <w:r>
        <w:separator/>
      </w:r>
    </w:p>
  </w:footnote>
  <w:footnote w:type="continuationSeparator" w:id="0">
    <w:p w:rsidR="00915B86" w:rsidRDefault="00915B86">
      <w:r>
        <w:continuationSeparator/>
      </w:r>
    </w:p>
  </w:footnote>
  <w:footnote w:id="1">
    <w:p w:rsidR="00915B86" w:rsidRPr="00ED0216" w:rsidRDefault="00915B86" w:rsidP="00AF2961">
      <w:pPr>
        <w:pStyle w:val="FootnoteText"/>
      </w:pPr>
      <w:r>
        <w:rPr>
          <w:rStyle w:val="FootnoteReference"/>
        </w:rPr>
        <w:footnoteRef/>
      </w:r>
      <w:r>
        <w:t xml:space="preserve">Order No. PSC-16-0547-FOF-EI, issued December 5, 2016, in Docket No. 160001-EI, </w:t>
      </w:r>
      <w:r w:rsidRPr="00C30694">
        <w:rPr>
          <w:i/>
        </w:rPr>
        <w:t>In re: Fuel and Purchased Power Cost Recovery Clause with Generating Performance Incentive Factor</w:t>
      </w:r>
      <w:r>
        <w:t>.</w:t>
      </w:r>
    </w:p>
  </w:footnote>
  <w:footnote w:id="2">
    <w:p w:rsidR="00915B86" w:rsidRDefault="00915B86" w:rsidP="002B0C7F">
      <w:pPr>
        <w:pStyle w:val="FootnoteText"/>
      </w:pPr>
      <w:r>
        <w:rPr>
          <w:rStyle w:val="FootnoteReference"/>
        </w:rPr>
        <w:footnoteRef/>
      </w:r>
      <w:r>
        <w:t xml:space="preserve">Order No. PSC-16-0547-FOF-EI, issued December 5, 2016, in Docket No. 160001-EI, </w:t>
      </w:r>
      <w:r w:rsidRPr="00C30694">
        <w:rPr>
          <w:i/>
        </w:rPr>
        <w:t>In re: Fuel and Purchased Power Cost Recovery Clause with Generating Performance Incentive Factor</w:t>
      </w:r>
      <w:r>
        <w:t>.</w:t>
      </w:r>
    </w:p>
  </w:footnote>
  <w:footnote w:id="3">
    <w:p w:rsidR="00915B86" w:rsidRDefault="00915B86">
      <w:pPr>
        <w:pStyle w:val="FootnoteText"/>
      </w:pPr>
      <w:r>
        <w:rPr>
          <w:rStyle w:val="FootnoteReference"/>
        </w:rPr>
        <w:footnoteRef/>
      </w:r>
      <w:r>
        <w:t xml:space="preserve">MMbtu is an acronym for one million British thermal units, a term used in the energy industry as a unit of measure. </w:t>
      </w:r>
    </w:p>
  </w:footnote>
  <w:footnote w:id="4">
    <w:p w:rsidR="00915B86" w:rsidRDefault="00915B86">
      <w:pPr>
        <w:pStyle w:val="FootnoteText"/>
      </w:pPr>
      <w:r>
        <w:rPr>
          <w:rStyle w:val="FootnoteReference"/>
        </w:rPr>
        <w:footnoteRef/>
      </w:r>
      <w:r>
        <w:t>CR 1 and 2 were constructed in the 1960’s and are designed to burn coal varieties with a low sulfur content. The CR 4 and 5 units were built in the 1980’s and  have different design characteristics than the older units, and use coal varieties with higher sulfur content.</w:t>
      </w:r>
    </w:p>
  </w:footnote>
  <w:footnote w:id="5">
    <w:p w:rsidR="00915B86" w:rsidRDefault="00915B86" w:rsidP="00F33D4E">
      <w:pPr>
        <w:pStyle w:val="FootnoteText"/>
      </w:pPr>
      <w:r>
        <w:rPr>
          <w:rStyle w:val="FootnoteReference"/>
        </w:rPr>
        <w:footnoteRef/>
      </w:r>
      <w:r>
        <w:t xml:space="preserve">The New York Mercantile Exchange (NYMEX) is a commodities futures exchange widely used by the electric industry for pricing natural gas. </w:t>
      </w:r>
      <w:r w:rsidRPr="001966AE">
        <w:t>Forward curve prices represent the price of gas for delivery in a particular month in the future. Futures contracts are actively traded and the prices can change hour-by-hour throughout a trading day.</w:t>
      </w:r>
    </w:p>
  </w:footnote>
  <w:footnote w:id="6">
    <w:p w:rsidR="00915B86" w:rsidRDefault="00915B86">
      <w:pPr>
        <w:pStyle w:val="FootnoteText"/>
      </w:pPr>
      <w:r>
        <w:rPr>
          <w:rStyle w:val="FootnoteReference"/>
        </w:rPr>
        <w:footnoteRef/>
      </w:r>
      <w:r>
        <w:t>DEF’s Response to Staff‘s First Data Request No. 2.</w:t>
      </w:r>
    </w:p>
  </w:footnote>
  <w:footnote w:id="7">
    <w:p w:rsidR="00915B86" w:rsidRDefault="00915B86" w:rsidP="001B4776">
      <w:pPr>
        <w:pStyle w:val="FootnoteText"/>
      </w:pPr>
      <w:r>
        <w:rPr>
          <w:rStyle w:val="FootnoteReference"/>
        </w:rPr>
        <w:footnoteRef/>
      </w:r>
      <w:r>
        <w:t>In the Response to Staff ‘s First Data Request No. 1A, the Company stated the total under-recovery true-up balance of $182,044,578 is based on actual data through March, and estimated amounts for the remainder of 2017.</w:t>
      </w:r>
    </w:p>
  </w:footnote>
  <w:footnote w:id="8">
    <w:p w:rsidR="00915B86" w:rsidRDefault="00915B86" w:rsidP="00FE3E3E">
      <w:pPr>
        <w:pStyle w:val="FootnoteText"/>
      </w:pPr>
      <w:r>
        <w:rPr>
          <w:rStyle w:val="FootnoteReference"/>
        </w:rPr>
        <w:footnoteRef/>
      </w:r>
      <w:r>
        <w:t>DEF’s Response to Staff‘s First Data Request Nos. 7 and 8.</w:t>
      </w:r>
    </w:p>
  </w:footnote>
  <w:footnote w:id="9">
    <w:p w:rsidR="00915B86" w:rsidRDefault="00915B86">
      <w:pPr>
        <w:pStyle w:val="FootnoteText"/>
      </w:pPr>
      <w:r>
        <w:rPr>
          <w:rStyle w:val="FootnoteReference"/>
        </w:rPr>
        <w:footnoteRef/>
      </w:r>
      <w:r>
        <w:t xml:space="preserve">In the Commission’s most recent mid-course correction pleadings (2016), the impacts of mid-course corrections were recovered over the remaining months of the year. See Order No. PSC-16-0120-PCO-EI, issued March 21, 2016, in Docket No. 160001-EI, </w:t>
      </w:r>
      <w:r w:rsidRPr="00C30694">
        <w:rPr>
          <w:i/>
        </w:rPr>
        <w:t>In re: Fuel and Purchased Power Cost Recovery Clause with Generating Performance Incentive Factor</w:t>
      </w:r>
      <w:r>
        <w:t xml:space="preserve">. </w:t>
      </w:r>
    </w:p>
  </w:footnote>
  <w:footnote w:id="10">
    <w:p w:rsidR="00915B86" w:rsidRDefault="00915B86">
      <w:pPr>
        <w:pStyle w:val="FootnoteText"/>
      </w:pPr>
      <w:r>
        <w:rPr>
          <w:rStyle w:val="FootnoteReference"/>
        </w:rPr>
        <w:footnoteRef/>
      </w:r>
      <w:r>
        <w:t xml:space="preserve">Order No. PSC-16-0120-PCO-EI, issued March 21, 2016, in Docket No. 160001-EI, </w:t>
      </w:r>
      <w:r w:rsidRPr="00C30694">
        <w:rPr>
          <w:i/>
        </w:rPr>
        <w:t>In re: Fuel and Purchased Power Cost Recovery Clause with Generating Performance Incentive Factor</w:t>
      </w:r>
      <w:r>
        <w:t>.</w:t>
      </w:r>
    </w:p>
  </w:footnote>
  <w:footnote w:id="11">
    <w:p w:rsidR="00915B86" w:rsidRDefault="00915B86" w:rsidP="004B528E">
      <w:pPr>
        <w:pStyle w:val="FootnoteText"/>
      </w:pPr>
      <w:r>
        <w:rPr>
          <w:rStyle w:val="FootnoteReference"/>
        </w:rPr>
        <w:footnoteRef/>
      </w:r>
      <w:r>
        <w:t>On Schedule E-10, DEF states that the July-December 2017 period includes a revision to the Asset Securitization Charge, which is being filed separately with the Commission in Docket No. 150171-EI, for Staff’s administrative approval.</w:t>
      </w:r>
    </w:p>
  </w:footnote>
  <w:footnote w:id="12">
    <w:p w:rsidR="00915B86" w:rsidRPr="00D1698C" w:rsidRDefault="00915B86" w:rsidP="001B233B">
      <w:pPr>
        <w:pStyle w:val="BodyText"/>
        <w:rPr>
          <w:sz w:val="20"/>
          <w:szCs w:val="20"/>
        </w:rPr>
      </w:pPr>
      <w:r w:rsidRPr="00D1698C">
        <w:rPr>
          <w:rStyle w:val="FootnoteReference"/>
          <w:sz w:val="20"/>
          <w:szCs w:val="20"/>
        </w:rPr>
        <w:footnoteRef/>
      </w:r>
      <w:r w:rsidRPr="00D1698C">
        <w:rPr>
          <w:sz w:val="20"/>
          <w:szCs w:val="20"/>
        </w:rPr>
        <w:t xml:space="preserve">DEF’s Response </w:t>
      </w:r>
      <w:r>
        <w:rPr>
          <w:sz w:val="20"/>
          <w:szCs w:val="20"/>
        </w:rPr>
        <w:t xml:space="preserve">to Staff‘s Second Data Request </w:t>
      </w:r>
      <w:r w:rsidRPr="00D1698C">
        <w:rPr>
          <w:sz w:val="20"/>
          <w:szCs w:val="20"/>
        </w:rPr>
        <w:t xml:space="preserve">No. 2B. </w:t>
      </w:r>
      <w:r>
        <w:rPr>
          <w:sz w:val="20"/>
          <w:szCs w:val="20"/>
        </w:rPr>
        <w:t>The response notes that a</w:t>
      </w:r>
      <w:r w:rsidRPr="00D1698C">
        <w:rPr>
          <w:sz w:val="20"/>
          <w:szCs w:val="20"/>
        </w:rPr>
        <w:t>lthough the carrying costs for the longer implementation period are somewhat higher in comparison to the shorter period, the difference between the values equates to about $0.01 on a residential bill for 1,000 kWh of usage.</w:t>
      </w:r>
    </w:p>
    <w:p w:rsidR="00915B86" w:rsidRDefault="00915B86" w:rsidP="001B233B">
      <w:pPr>
        <w:pStyle w:val="FootnoteText"/>
      </w:pPr>
    </w:p>
  </w:footnote>
  <w:footnote w:id="13">
    <w:p w:rsidR="00915B86" w:rsidRDefault="00915B86" w:rsidP="004669A0">
      <w:pPr>
        <w:pStyle w:val="FootnoteText"/>
      </w:pPr>
      <w:r>
        <w:rPr>
          <w:rStyle w:val="FootnoteReference"/>
        </w:rPr>
        <w:footnoteRef/>
      </w:r>
      <w:r>
        <w:t>In a data request respon</w:t>
      </w:r>
      <w:r w:rsidR="00BA7CA3">
        <w:t>se, the Company stated the July</w:t>
      </w:r>
      <w:r>
        <w:t xml:space="preserve"> 2017 billing cycle begins on June 28, 2017.</w:t>
      </w:r>
    </w:p>
  </w:footnote>
  <w:footnote w:id="14">
    <w:p w:rsidR="00915B86" w:rsidRPr="000C268A" w:rsidRDefault="00915B86" w:rsidP="004669A0">
      <w:pPr>
        <w:pStyle w:val="FootnoteText"/>
        <w:rPr>
          <w:u w:val="single"/>
        </w:rPr>
      </w:pPr>
      <w:r>
        <w:rPr>
          <w:rStyle w:val="FootnoteReference"/>
        </w:rPr>
        <w:footnoteRef/>
      </w:r>
      <w:r>
        <w:rPr>
          <w:u w:val="single"/>
        </w:rPr>
        <w:t>Gulf Power Co. v. Cresse</w:t>
      </w:r>
      <w:r>
        <w:t xml:space="preserve">, 410 So.2d 492 (Fla. 1982); Order No. PSC-96-0907-FOF-EI, issued on July 15, 1996, in Docket No. Docket No. 960001-EI, </w:t>
      </w:r>
      <w:r>
        <w:rPr>
          <w:i/>
        </w:rPr>
        <w:t>In re: Fuel and P</w:t>
      </w:r>
      <w:r w:rsidRPr="00C30694">
        <w:rPr>
          <w:i/>
        </w:rPr>
        <w:t>urchased</w:t>
      </w:r>
      <w:r>
        <w:rPr>
          <w:i/>
        </w:rPr>
        <w:t xml:space="preserve"> Power Cost Recovery Clause and Generating Performance Incentive F</w:t>
      </w:r>
      <w:r w:rsidRPr="00C30694">
        <w:rPr>
          <w:i/>
        </w:rPr>
        <w:t>actor</w:t>
      </w:r>
      <w:r>
        <w:t xml:space="preserve">; Order No. 96-0908-FOF-EI, issued July 15, 1996, in Docket No. 960001-EI, </w:t>
      </w:r>
      <w:r w:rsidRPr="00C30694">
        <w:rPr>
          <w:i/>
        </w:rPr>
        <w:t xml:space="preserve">In re: Fuel and </w:t>
      </w:r>
      <w:r>
        <w:rPr>
          <w:i/>
        </w:rPr>
        <w:t>Purchased Power Cost Recovery Clause and Generating Performance Incentive F</w:t>
      </w:r>
      <w:r w:rsidRPr="00C30694">
        <w:rPr>
          <w:i/>
        </w:rPr>
        <w:t>actor</w:t>
      </w:r>
      <w:r>
        <w:t xml:space="preserve">; Order No. PSC-97-0021-FOF-EI, issued on January 6, 1997, in Docket No. 970001-EI, </w:t>
      </w:r>
      <w:r>
        <w:rPr>
          <w:i/>
        </w:rPr>
        <w:t>In re: Fuel and P</w:t>
      </w:r>
      <w:r w:rsidRPr="00C30694">
        <w:rPr>
          <w:i/>
        </w:rPr>
        <w:t xml:space="preserve">urchased </w:t>
      </w:r>
      <w:r>
        <w:rPr>
          <w:i/>
        </w:rPr>
        <w:t>Power Cost Recovery Clause and Generating Performance Incentive F</w:t>
      </w:r>
      <w:r w:rsidRPr="00C30694">
        <w:rPr>
          <w:i/>
        </w:rPr>
        <w:t>actor</w:t>
      </w:r>
      <w:r>
        <w:t>.</w:t>
      </w:r>
    </w:p>
  </w:footnote>
  <w:footnote w:id="15">
    <w:p w:rsidR="00915B86" w:rsidRDefault="00915B86" w:rsidP="004669A0">
      <w:pPr>
        <w:pStyle w:val="FootnoteText"/>
      </w:pPr>
      <w:r>
        <w:rPr>
          <w:rStyle w:val="FootnoteReference"/>
        </w:rPr>
        <w:footnoteRef/>
      </w:r>
      <w:r>
        <w:t xml:space="preserve">Order No. PSC-01-0963-PCO-EI, issued April 18, 2001, in Docket No. 010001-EI, </w:t>
      </w:r>
      <w:r w:rsidRPr="00C30694">
        <w:rPr>
          <w:i/>
        </w:rPr>
        <w:t>In re: Fu</w:t>
      </w:r>
      <w:r>
        <w:rPr>
          <w:i/>
        </w:rPr>
        <w:t>el and Purchased Power Cost Recovery Clause and Generating Performance Incentive F</w:t>
      </w:r>
      <w:r w:rsidRPr="00C30694">
        <w:rPr>
          <w:i/>
        </w:rPr>
        <w:t>actor,</w:t>
      </w:r>
      <w:r>
        <w:t xml:space="preserve"> (allowing recovery of increase in fuel factor in order to decrease the carrying costs and therefore the total amount ratepayers were ultimately required to repay.); Order No. PSC-00-2383-FOF-GU, issued December 12, 2000, in Docket No. 000003-GU, </w:t>
      </w:r>
      <w:r>
        <w:rPr>
          <w:i/>
        </w:rPr>
        <w:t>In re: Purchased G</w:t>
      </w:r>
      <w:r w:rsidRPr="00C30694">
        <w:rPr>
          <w:i/>
        </w:rPr>
        <w:t xml:space="preserve">as </w:t>
      </w:r>
      <w:r>
        <w:rPr>
          <w:i/>
        </w:rPr>
        <w:t>A</w:t>
      </w:r>
      <w:r w:rsidRPr="00C30694">
        <w:rPr>
          <w:i/>
        </w:rPr>
        <w:t>djustment (PGA) true-up</w:t>
      </w:r>
      <w:r>
        <w:rPr>
          <w:i/>
        </w:rPr>
        <w:t>,</w:t>
      </w:r>
      <w:r w:rsidRPr="00C30694">
        <w:rPr>
          <w:i/>
        </w:rPr>
        <w:t xml:space="preserve"> (</w:t>
      </w:r>
      <w:r w:rsidRPr="00C81DF7">
        <w:t>allowing recovery of an increased gas fuel factor due to drastic increases in natural gas prices in winter of 2000-2001</w:t>
      </w:r>
      <w:r w:rsidRPr="00C30694">
        <w:rPr>
          <w:i/>
        </w:rPr>
        <w:t>.)</w:t>
      </w:r>
      <w:r>
        <w:t xml:space="preserve">; Order No. PSC-15-0161-PCO-EI, issued April 30, 2015, in Docket No. 150001-EI, </w:t>
      </w:r>
      <w:r>
        <w:rPr>
          <w:i/>
        </w:rPr>
        <w:t>In re: Fuel and Purchased Power C</w:t>
      </w:r>
      <w:r w:rsidRPr="00C30694">
        <w:rPr>
          <w:i/>
        </w:rPr>
        <w:t xml:space="preserve">ost </w:t>
      </w:r>
      <w:r>
        <w:rPr>
          <w:i/>
        </w:rPr>
        <w:t>Recovery Clause with Generating Performance Incentive F</w:t>
      </w:r>
      <w:r w:rsidRPr="00C30694">
        <w:rPr>
          <w:i/>
        </w:rPr>
        <w:t>actor</w:t>
      </w:r>
      <w:r>
        <w:t xml:space="preserve">, (approving FPL’s petition for a mid-course correction, thereby reducing fuel factors </w:t>
      </w:r>
      <w:r w:rsidR="00FA2450">
        <w:t>with less than 30 days notice).</w:t>
      </w:r>
    </w:p>
  </w:footnote>
  <w:footnote w:id="16">
    <w:p w:rsidR="00915B86" w:rsidRDefault="00915B86">
      <w:pPr>
        <w:pStyle w:val="FootnoteText"/>
      </w:pPr>
      <w:r>
        <w:rPr>
          <w:rStyle w:val="FootnoteReference"/>
        </w:rPr>
        <w:footnoteRef/>
      </w:r>
      <w:r>
        <w:t>DEF’s Response to Staff‘s First Data Request Nos. 11 and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t>Docket No. 170001-EI</w:t>
    </w:r>
  </w:p>
  <w:p w:rsidR="00915B86" w:rsidRDefault="00915B86">
    <w:pPr>
      <w:pStyle w:val="Header"/>
    </w:pPr>
    <w:r>
      <w:t>Date: May 24, 2017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Attachment B</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Attachment B</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Attachment A</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r>
      <w:tab/>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bookmarkStart w:id="14" w:name="DocketLabel"/>
    <w:r>
      <w:t>Docket No.</w:t>
    </w:r>
    <w:bookmarkEnd w:id="14"/>
    <w:r>
      <w:t xml:space="preserve"> </w:t>
    </w:r>
    <w:bookmarkStart w:id="15" w:name="DocketList"/>
    <w:r>
      <w:t>170001-EI</w:t>
    </w:r>
    <w:bookmarkEnd w:id="15"/>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Issue 1</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Issue 2</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Issue 3</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86" w:rsidRDefault="00915B86" w:rsidP="00220732">
    <w:pPr>
      <w:pStyle w:val="Header"/>
      <w:tabs>
        <w:tab w:val="clear" w:pos="4320"/>
        <w:tab w:val="clear" w:pos="8640"/>
        <w:tab w:val="right" w:pos="9360"/>
      </w:tabs>
    </w:pPr>
    <w:r>
      <w:fldChar w:fldCharType="begin"/>
    </w:r>
    <w:r>
      <w:instrText xml:space="preserve"> REF DocketLabel</w:instrText>
    </w:r>
    <w:r>
      <w:fldChar w:fldCharType="separate"/>
    </w:r>
    <w:r w:rsidR="006C6F78">
      <w:t>Docket No.</w:t>
    </w:r>
    <w:r>
      <w:fldChar w:fldCharType="end"/>
    </w:r>
    <w:r>
      <w:t xml:space="preserve"> </w:t>
    </w:r>
    <w:r>
      <w:fldChar w:fldCharType="begin"/>
    </w:r>
    <w:r>
      <w:instrText xml:space="preserve"> REF DocketList</w:instrText>
    </w:r>
    <w:r>
      <w:fldChar w:fldCharType="separate"/>
    </w:r>
    <w:r w:rsidR="006C6F78">
      <w:t>170001-EI</w:t>
    </w:r>
    <w:r>
      <w:fldChar w:fldCharType="end"/>
    </w:r>
    <w:r>
      <w:tab/>
      <w:t>Attachment A</w:t>
    </w:r>
  </w:p>
  <w:p w:rsidR="00915B86" w:rsidRDefault="00915B86">
    <w:pPr>
      <w:pStyle w:val="Header"/>
    </w:pPr>
    <w:r>
      <w:t xml:space="preserve">Date: </w:t>
    </w:r>
    <w:r w:rsidR="00717E2B">
      <w:fldChar w:fldCharType="begin"/>
    </w:r>
    <w:r w:rsidR="00717E2B">
      <w:instrText xml:space="preserve"> REF FilingDate </w:instrText>
    </w:r>
    <w:r w:rsidR="00717E2B">
      <w:fldChar w:fldCharType="separate"/>
    </w:r>
    <w:r w:rsidR="006C6F78">
      <w:t>May 24, 2017</w:t>
    </w:r>
    <w:r w:rsidR="00717E2B">
      <w:fldChar w:fldCharType="end"/>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1611EC8"/>
    <w:multiLevelType w:val="hybridMultilevel"/>
    <w:tmpl w:val="579A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D0A81"/>
    <w:multiLevelType w:val="hybridMultilevel"/>
    <w:tmpl w:val="579A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40278"/>
    <w:multiLevelType w:val="hybridMultilevel"/>
    <w:tmpl w:val="579A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F86028"/>
    <w:multiLevelType w:val="hybridMultilevel"/>
    <w:tmpl w:val="579A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F2961"/>
    <w:rsid w:val="00001A21"/>
    <w:rsid w:val="000043D5"/>
    <w:rsid w:val="000062F8"/>
    <w:rsid w:val="00010E37"/>
    <w:rsid w:val="00012B81"/>
    <w:rsid w:val="000172DA"/>
    <w:rsid w:val="000247C5"/>
    <w:rsid w:val="00024E8E"/>
    <w:rsid w:val="000277C2"/>
    <w:rsid w:val="000325B0"/>
    <w:rsid w:val="00033114"/>
    <w:rsid w:val="00035B48"/>
    <w:rsid w:val="00036CE2"/>
    <w:rsid w:val="000437FE"/>
    <w:rsid w:val="000513BE"/>
    <w:rsid w:val="000527EE"/>
    <w:rsid w:val="00065A06"/>
    <w:rsid w:val="000666F3"/>
    <w:rsid w:val="00070DCB"/>
    <w:rsid w:val="00073120"/>
    <w:rsid w:val="00075025"/>
    <w:rsid w:val="000764D0"/>
    <w:rsid w:val="00081CB4"/>
    <w:rsid w:val="000828D3"/>
    <w:rsid w:val="0009352F"/>
    <w:rsid w:val="000A0A5D"/>
    <w:rsid w:val="000A170C"/>
    <w:rsid w:val="000A2B57"/>
    <w:rsid w:val="000A418B"/>
    <w:rsid w:val="000A66EB"/>
    <w:rsid w:val="000C1351"/>
    <w:rsid w:val="000C4431"/>
    <w:rsid w:val="000C4C13"/>
    <w:rsid w:val="000D1C06"/>
    <w:rsid w:val="000D3170"/>
    <w:rsid w:val="000D4319"/>
    <w:rsid w:val="000F374A"/>
    <w:rsid w:val="000F44DD"/>
    <w:rsid w:val="00100EE1"/>
    <w:rsid w:val="00117C8C"/>
    <w:rsid w:val="00123066"/>
    <w:rsid w:val="00123DD7"/>
    <w:rsid w:val="00124E2E"/>
    <w:rsid w:val="00125ED4"/>
    <w:rsid w:val="001305E9"/>
    <w:rsid w:val="001307AF"/>
    <w:rsid w:val="00135687"/>
    <w:rsid w:val="0015506E"/>
    <w:rsid w:val="0016032C"/>
    <w:rsid w:val="00163031"/>
    <w:rsid w:val="001674E0"/>
    <w:rsid w:val="00171A90"/>
    <w:rsid w:val="001801B1"/>
    <w:rsid w:val="00180254"/>
    <w:rsid w:val="001847E3"/>
    <w:rsid w:val="00191E1F"/>
    <w:rsid w:val="00192943"/>
    <w:rsid w:val="001966AE"/>
    <w:rsid w:val="001A45CE"/>
    <w:rsid w:val="001A7406"/>
    <w:rsid w:val="001B233B"/>
    <w:rsid w:val="001B4776"/>
    <w:rsid w:val="001B4DE2"/>
    <w:rsid w:val="001B4FEE"/>
    <w:rsid w:val="001B51C5"/>
    <w:rsid w:val="001B6F3F"/>
    <w:rsid w:val="001C072D"/>
    <w:rsid w:val="001C130F"/>
    <w:rsid w:val="001C38AA"/>
    <w:rsid w:val="001C52B5"/>
    <w:rsid w:val="001D0D3E"/>
    <w:rsid w:val="001E0353"/>
    <w:rsid w:val="001E27BB"/>
    <w:rsid w:val="001F058A"/>
    <w:rsid w:val="001F2245"/>
    <w:rsid w:val="001F6DA1"/>
    <w:rsid w:val="001F7CD5"/>
    <w:rsid w:val="002044E6"/>
    <w:rsid w:val="00205C82"/>
    <w:rsid w:val="00205DC2"/>
    <w:rsid w:val="00206DB8"/>
    <w:rsid w:val="00210E58"/>
    <w:rsid w:val="00212B17"/>
    <w:rsid w:val="002163B6"/>
    <w:rsid w:val="00220732"/>
    <w:rsid w:val="00221D32"/>
    <w:rsid w:val="00221F4B"/>
    <w:rsid w:val="00225C3F"/>
    <w:rsid w:val="00225E6A"/>
    <w:rsid w:val="00227EFA"/>
    <w:rsid w:val="00242202"/>
    <w:rsid w:val="00263D44"/>
    <w:rsid w:val="002702AD"/>
    <w:rsid w:val="00276E1E"/>
    <w:rsid w:val="00292D82"/>
    <w:rsid w:val="00294CC7"/>
    <w:rsid w:val="002963CB"/>
    <w:rsid w:val="002A14AD"/>
    <w:rsid w:val="002B0C7F"/>
    <w:rsid w:val="002C0253"/>
    <w:rsid w:val="002D226D"/>
    <w:rsid w:val="002D7AB0"/>
    <w:rsid w:val="002F3147"/>
    <w:rsid w:val="002F396F"/>
    <w:rsid w:val="002F6030"/>
    <w:rsid w:val="002F6487"/>
    <w:rsid w:val="003027BE"/>
    <w:rsid w:val="00303201"/>
    <w:rsid w:val="003037E1"/>
    <w:rsid w:val="00307E51"/>
    <w:rsid w:val="003103EC"/>
    <w:rsid w:val="003144EF"/>
    <w:rsid w:val="00322F74"/>
    <w:rsid w:val="0032550D"/>
    <w:rsid w:val="00331540"/>
    <w:rsid w:val="00340073"/>
    <w:rsid w:val="003435CC"/>
    <w:rsid w:val="00345B64"/>
    <w:rsid w:val="00360048"/>
    <w:rsid w:val="00372805"/>
    <w:rsid w:val="00373180"/>
    <w:rsid w:val="003757D9"/>
    <w:rsid w:val="00375AB9"/>
    <w:rsid w:val="003774B7"/>
    <w:rsid w:val="003821A0"/>
    <w:rsid w:val="00384256"/>
    <w:rsid w:val="003849A0"/>
    <w:rsid w:val="00385B04"/>
    <w:rsid w:val="003864CF"/>
    <w:rsid w:val="00396DE8"/>
    <w:rsid w:val="003A22A6"/>
    <w:rsid w:val="003A30A3"/>
    <w:rsid w:val="003A5494"/>
    <w:rsid w:val="003B2510"/>
    <w:rsid w:val="003B3DA9"/>
    <w:rsid w:val="003C22BA"/>
    <w:rsid w:val="003C2CC4"/>
    <w:rsid w:val="003C7721"/>
    <w:rsid w:val="003D1D1D"/>
    <w:rsid w:val="003E0EFC"/>
    <w:rsid w:val="003E2328"/>
    <w:rsid w:val="003E4A2B"/>
    <w:rsid w:val="003E76C2"/>
    <w:rsid w:val="003F1679"/>
    <w:rsid w:val="003F4A35"/>
    <w:rsid w:val="003F7FDD"/>
    <w:rsid w:val="00402481"/>
    <w:rsid w:val="004042B4"/>
    <w:rsid w:val="00412DAE"/>
    <w:rsid w:val="004142D0"/>
    <w:rsid w:val="00416979"/>
    <w:rsid w:val="00417935"/>
    <w:rsid w:val="00423D2B"/>
    <w:rsid w:val="00431598"/>
    <w:rsid w:val="004319AD"/>
    <w:rsid w:val="00432C32"/>
    <w:rsid w:val="004426B8"/>
    <w:rsid w:val="00444432"/>
    <w:rsid w:val="0045639D"/>
    <w:rsid w:val="004669A0"/>
    <w:rsid w:val="00471860"/>
    <w:rsid w:val="00473302"/>
    <w:rsid w:val="00476949"/>
    <w:rsid w:val="00482ABC"/>
    <w:rsid w:val="004A12A6"/>
    <w:rsid w:val="004B528E"/>
    <w:rsid w:val="004B60BD"/>
    <w:rsid w:val="004C30EC"/>
    <w:rsid w:val="004C3150"/>
    <w:rsid w:val="004C3641"/>
    <w:rsid w:val="004C4390"/>
    <w:rsid w:val="004C4AF7"/>
    <w:rsid w:val="004C6E17"/>
    <w:rsid w:val="004D1A6B"/>
    <w:rsid w:val="004D2881"/>
    <w:rsid w:val="004D385F"/>
    <w:rsid w:val="004D5B39"/>
    <w:rsid w:val="004D7909"/>
    <w:rsid w:val="004E0804"/>
    <w:rsid w:val="004E330D"/>
    <w:rsid w:val="004E5147"/>
    <w:rsid w:val="004E65BF"/>
    <w:rsid w:val="004F0B51"/>
    <w:rsid w:val="004F5C43"/>
    <w:rsid w:val="004F6D28"/>
    <w:rsid w:val="00505B70"/>
    <w:rsid w:val="0050652D"/>
    <w:rsid w:val="00506C03"/>
    <w:rsid w:val="005113AB"/>
    <w:rsid w:val="00511A11"/>
    <w:rsid w:val="00512CC0"/>
    <w:rsid w:val="00515E29"/>
    <w:rsid w:val="00516496"/>
    <w:rsid w:val="00517019"/>
    <w:rsid w:val="0052572A"/>
    <w:rsid w:val="005278AB"/>
    <w:rsid w:val="00543CB3"/>
    <w:rsid w:val="00555FA8"/>
    <w:rsid w:val="00560FF0"/>
    <w:rsid w:val="005614BD"/>
    <w:rsid w:val="005642B7"/>
    <w:rsid w:val="0057154F"/>
    <w:rsid w:val="00581CA3"/>
    <w:rsid w:val="00587A44"/>
    <w:rsid w:val="00597730"/>
    <w:rsid w:val="005977EC"/>
    <w:rsid w:val="00597DE7"/>
    <w:rsid w:val="005A4AA2"/>
    <w:rsid w:val="005B34B6"/>
    <w:rsid w:val="005B6C8F"/>
    <w:rsid w:val="005B6EC3"/>
    <w:rsid w:val="005C6250"/>
    <w:rsid w:val="005D0F74"/>
    <w:rsid w:val="005D2E7D"/>
    <w:rsid w:val="005D4A8F"/>
    <w:rsid w:val="005D561B"/>
    <w:rsid w:val="005D5ECF"/>
    <w:rsid w:val="005E04F9"/>
    <w:rsid w:val="005F468D"/>
    <w:rsid w:val="005F4764"/>
    <w:rsid w:val="005F69A3"/>
    <w:rsid w:val="00604CC7"/>
    <w:rsid w:val="00615423"/>
    <w:rsid w:val="006165B2"/>
    <w:rsid w:val="00617276"/>
    <w:rsid w:val="00624A3B"/>
    <w:rsid w:val="0062527B"/>
    <w:rsid w:val="00625D97"/>
    <w:rsid w:val="00625F1C"/>
    <w:rsid w:val="006279E1"/>
    <w:rsid w:val="00630CEB"/>
    <w:rsid w:val="00630F95"/>
    <w:rsid w:val="00632264"/>
    <w:rsid w:val="006422EA"/>
    <w:rsid w:val="006470BC"/>
    <w:rsid w:val="00652DBE"/>
    <w:rsid w:val="006554D3"/>
    <w:rsid w:val="0065731B"/>
    <w:rsid w:val="00667036"/>
    <w:rsid w:val="00673039"/>
    <w:rsid w:val="00673BDB"/>
    <w:rsid w:val="006757C3"/>
    <w:rsid w:val="006771B8"/>
    <w:rsid w:val="00681DEC"/>
    <w:rsid w:val="006843B6"/>
    <w:rsid w:val="0068481F"/>
    <w:rsid w:val="00690E1E"/>
    <w:rsid w:val="006919ED"/>
    <w:rsid w:val="006925F7"/>
    <w:rsid w:val="006943C0"/>
    <w:rsid w:val="00696F5D"/>
    <w:rsid w:val="00697249"/>
    <w:rsid w:val="006977A3"/>
    <w:rsid w:val="006B3947"/>
    <w:rsid w:val="006B4293"/>
    <w:rsid w:val="006B624F"/>
    <w:rsid w:val="006C31E3"/>
    <w:rsid w:val="006C6F78"/>
    <w:rsid w:val="006C7C79"/>
    <w:rsid w:val="006D18D3"/>
    <w:rsid w:val="006E08CB"/>
    <w:rsid w:val="006E598D"/>
    <w:rsid w:val="0070437D"/>
    <w:rsid w:val="00704CF1"/>
    <w:rsid w:val="007054AC"/>
    <w:rsid w:val="00705B04"/>
    <w:rsid w:val="007117CD"/>
    <w:rsid w:val="00724CE2"/>
    <w:rsid w:val="00727E68"/>
    <w:rsid w:val="00734820"/>
    <w:rsid w:val="007349DC"/>
    <w:rsid w:val="0074365E"/>
    <w:rsid w:val="00744F58"/>
    <w:rsid w:val="007515FD"/>
    <w:rsid w:val="007525FA"/>
    <w:rsid w:val="00752D19"/>
    <w:rsid w:val="00756B84"/>
    <w:rsid w:val="00756F39"/>
    <w:rsid w:val="00760D80"/>
    <w:rsid w:val="00762604"/>
    <w:rsid w:val="00765DC4"/>
    <w:rsid w:val="00780C09"/>
    <w:rsid w:val="00780DDF"/>
    <w:rsid w:val="007834E9"/>
    <w:rsid w:val="00787DBC"/>
    <w:rsid w:val="0079019A"/>
    <w:rsid w:val="00792935"/>
    <w:rsid w:val="007A04A1"/>
    <w:rsid w:val="007A1840"/>
    <w:rsid w:val="007A3655"/>
    <w:rsid w:val="007A7A93"/>
    <w:rsid w:val="007B1746"/>
    <w:rsid w:val="007B75A2"/>
    <w:rsid w:val="007C0528"/>
    <w:rsid w:val="007C3D38"/>
    <w:rsid w:val="007C6BFF"/>
    <w:rsid w:val="007D0F35"/>
    <w:rsid w:val="007D4FEB"/>
    <w:rsid w:val="007D6146"/>
    <w:rsid w:val="007D71D6"/>
    <w:rsid w:val="007E0CE7"/>
    <w:rsid w:val="007F1193"/>
    <w:rsid w:val="007F417F"/>
    <w:rsid w:val="008042BD"/>
    <w:rsid w:val="00804343"/>
    <w:rsid w:val="00813366"/>
    <w:rsid w:val="00816624"/>
    <w:rsid w:val="00822427"/>
    <w:rsid w:val="00822562"/>
    <w:rsid w:val="00823663"/>
    <w:rsid w:val="00824129"/>
    <w:rsid w:val="008248A8"/>
    <w:rsid w:val="00832DDC"/>
    <w:rsid w:val="00835308"/>
    <w:rsid w:val="0083756F"/>
    <w:rsid w:val="0084560F"/>
    <w:rsid w:val="00850BAC"/>
    <w:rsid w:val="00854A3E"/>
    <w:rsid w:val="00855A60"/>
    <w:rsid w:val="00855D08"/>
    <w:rsid w:val="008612D6"/>
    <w:rsid w:val="00871556"/>
    <w:rsid w:val="00874344"/>
    <w:rsid w:val="00882155"/>
    <w:rsid w:val="0088233B"/>
    <w:rsid w:val="00883ED5"/>
    <w:rsid w:val="0088599E"/>
    <w:rsid w:val="008869B8"/>
    <w:rsid w:val="00886C37"/>
    <w:rsid w:val="00892D99"/>
    <w:rsid w:val="008A2374"/>
    <w:rsid w:val="008A561F"/>
    <w:rsid w:val="008A56E1"/>
    <w:rsid w:val="008B62AE"/>
    <w:rsid w:val="008C04B5"/>
    <w:rsid w:val="008C14FA"/>
    <w:rsid w:val="008C19FF"/>
    <w:rsid w:val="008D0BE4"/>
    <w:rsid w:val="008D1A17"/>
    <w:rsid w:val="008D4057"/>
    <w:rsid w:val="008D62D7"/>
    <w:rsid w:val="008D75A9"/>
    <w:rsid w:val="008D774D"/>
    <w:rsid w:val="008E09AA"/>
    <w:rsid w:val="008E1F19"/>
    <w:rsid w:val="008E364F"/>
    <w:rsid w:val="008F2262"/>
    <w:rsid w:val="008F7736"/>
    <w:rsid w:val="0090019E"/>
    <w:rsid w:val="00901086"/>
    <w:rsid w:val="00901C8A"/>
    <w:rsid w:val="00905886"/>
    <w:rsid w:val="009070D6"/>
    <w:rsid w:val="009076C6"/>
    <w:rsid w:val="0091019E"/>
    <w:rsid w:val="009106F1"/>
    <w:rsid w:val="00912404"/>
    <w:rsid w:val="009145D6"/>
    <w:rsid w:val="00915380"/>
    <w:rsid w:val="00915B86"/>
    <w:rsid w:val="00920E64"/>
    <w:rsid w:val="00922002"/>
    <w:rsid w:val="009220BF"/>
    <w:rsid w:val="009236D5"/>
    <w:rsid w:val="00924020"/>
    <w:rsid w:val="009271A7"/>
    <w:rsid w:val="00932DB4"/>
    <w:rsid w:val="0093658B"/>
    <w:rsid w:val="00937298"/>
    <w:rsid w:val="009429FF"/>
    <w:rsid w:val="00945BD6"/>
    <w:rsid w:val="009479FB"/>
    <w:rsid w:val="00951C45"/>
    <w:rsid w:val="00952CA3"/>
    <w:rsid w:val="009554A2"/>
    <w:rsid w:val="009656F2"/>
    <w:rsid w:val="00966A08"/>
    <w:rsid w:val="00971207"/>
    <w:rsid w:val="00975CB4"/>
    <w:rsid w:val="009863B0"/>
    <w:rsid w:val="00987DE1"/>
    <w:rsid w:val="00990571"/>
    <w:rsid w:val="0099443D"/>
    <w:rsid w:val="0099673A"/>
    <w:rsid w:val="009A3330"/>
    <w:rsid w:val="009A7C96"/>
    <w:rsid w:val="009B22A7"/>
    <w:rsid w:val="009C3DB9"/>
    <w:rsid w:val="009C4CE9"/>
    <w:rsid w:val="009D3BB4"/>
    <w:rsid w:val="009D46E5"/>
    <w:rsid w:val="009D568A"/>
    <w:rsid w:val="009F04EC"/>
    <w:rsid w:val="009F2A7C"/>
    <w:rsid w:val="009F3B36"/>
    <w:rsid w:val="00A019B9"/>
    <w:rsid w:val="00A047E2"/>
    <w:rsid w:val="00A04F2B"/>
    <w:rsid w:val="00A059D0"/>
    <w:rsid w:val="00A12508"/>
    <w:rsid w:val="00A1282B"/>
    <w:rsid w:val="00A13A27"/>
    <w:rsid w:val="00A175B6"/>
    <w:rsid w:val="00A21835"/>
    <w:rsid w:val="00A2374B"/>
    <w:rsid w:val="00A27D6E"/>
    <w:rsid w:val="00A31965"/>
    <w:rsid w:val="00A328EC"/>
    <w:rsid w:val="00A33A51"/>
    <w:rsid w:val="00A36052"/>
    <w:rsid w:val="00A37FB6"/>
    <w:rsid w:val="00A41CA6"/>
    <w:rsid w:val="00A42A13"/>
    <w:rsid w:val="00A47927"/>
    <w:rsid w:val="00A47FFC"/>
    <w:rsid w:val="00A5442F"/>
    <w:rsid w:val="00A54FF9"/>
    <w:rsid w:val="00A56765"/>
    <w:rsid w:val="00A675AC"/>
    <w:rsid w:val="00A7581F"/>
    <w:rsid w:val="00A77871"/>
    <w:rsid w:val="00A81348"/>
    <w:rsid w:val="00A92FB1"/>
    <w:rsid w:val="00A93147"/>
    <w:rsid w:val="00A95A0C"/>
    <w:rsid w:val="00A9785F"/>
    <w:rsid w:val="00AA2765"/>
    <w:rsid w:val="00AA3860"/>
    <w:rsid w:val="00AA7142"/>
    <w:rsid w:val="00AA77B5"/>
    <w:rsid w:val="00AB43E8"/>
    <w:rsid w:val="00AB5A79"/>
    <w:rsid w:val="00AB6C5D"/>
    <w:rsid w:val="00AC51A7"/>
    <w:rsid w:val="00AD444B"/>
    <w:rsid w:val="00AD500B"/>
    <w:rsid w:val="00AD6C78"/>
    <w:rsid w:val="00AE0231"/>
    <w:rsid w:val="00AE2EAB"/>
    <w:rsid w:val="00AF2961"/>
    <w:rsid w:val="00AF5F89"/>
    <w:rsid w:val="00AF646E"/>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3A89"/>
    <w:rsid w:val="00B74B1E"/>
    <w:rsid w:val="00B760F1"/>
    <w:rsid w:val="00B7669E"/>
    <w:rsid w:val="00B77DA1"/>
    <w:rsid w:val="00B8528A"/>
    <w:rsid w:val="00B858AE"/>
    <w:rsid w:val="00B85964"/>
    <w:rsid w:val="00B96250"/>
    <w:rsid w:val="00BA08A5"/>
    <w:rsid w:val="00BA0D55"/>
    <w:rsid w:val="00BA37B3"/>
    <w:rsid w:val="00BA4CC6"/>
    <w:rsid w:val="00BA7CA3"/>
    <w:rsid w:val="00BB3122"/>
    <w:rsid w:val="00BB3493"/>
    <w:rsid w:val="00BB4EDD"/>
    <w:rsid w:val="00BB7468"/>
    <w:rsid w:val="00BC105C"/>
    <w:rsid w:val="00BC188A"/>
    <w:rsid w:val="00BD0F48"/>
    <w:rsid w:val="00BD393E"/>
    <w:rsid w:val="00BF3509"/>
    <w:rsid w:val="00BF5010"/>
    <w:rsid w:val="00C03D5F"/>
    <w:rsid w:val="00C13791"/>
    <w:rsid w:val="00C16AEE"/>
    <w:rsid w:val="00C31BB3"/>
    <w:rsid w:val="00C36977"/>
    <w:rsid w:val="00C467DA"/>
    <w:rsid w:val="00C477D9"/>
    <w:rsid w:val="00C54965"/>
    <w:rsid w:val="00C60BA3"/>
    <w:rsid w:val="00C623F7"/>
    <w:rsid w:val="00C72529"/>
    <w:rsid w:val="00C75BC5"/>
    <w:rsid w:val="00C76CF4"/>
    <w:rsid w:val="00C81670"/>
    <w:rsid w:val="00C81773"/>
    <w:rsid w:val="00C82861"/>
    <w:rsid w:val="00C841BD"/>
    <w:rsid w:val="00C86896"/>
    <w:rsid w:val="00C907A8"/>
    <w:rsid w:val="00C93211"/>
    <w:rsid w:val="00C942EC"/>
    <w:rsid w:val="00C96047"/>
    <w:rsid w:val="00C979D0"/>
    <w:rsid w:val="00CA0818"/>
    <w:rsid w:val="00CA2C8F"/>
    <w:rsid w:val="00CA30DA"/>
    <w:rsid w:val="00CA3A24"/>
    <w:rsid w:val="00CB02E4"/>
    <w:rsid w:val="00CB1777"/>
    <w:rsid w:val="00CB1C16"/>
    <w:rsid w:val="00CB33E9"/>
    <w:rsid w:val="00CB57C7"/>
    <w:rsid w:val="00CC10A9"/>
    <w:rsid w:val="00CE167D"/>
    <w:rsid w:val="00CE2BF8"/>
    <w:rsid w:val="00CE484E"/>
    <w:rsid w:val="00CE656F"/>
    <w:rsid w:val="00CF0DA8"/>
    <w:rsid w:val="00CF2E25"/>
    <w:rsid w:val="00CF4453"/>
    <w:rsid w:val="00CF5D94"/>
    <w:rsid w:val="00CF6046"/>
    <w:rsid w:val="00CF7E0F"/>
    <w:rsid w:val="00D017D7"/>
    <w:rsid w:val="00D034D7"/>
    <w:rsid w:val="00D04BE4"/>
    <w:rsid w:val="00D12565"/>
    <w:rsid w:val="00D14127"/>
    <w:rsid w:val="00D1698C"/>
    <w:rsid w:val="00D17935"/>
    <w:rsid w:val="00D3776C"/>
    <w:rsid w:val="00D45447"/>
    <w:rsid w:val="00D60B16"/>
    <w:rsid w:val="00D60F02"/>
    <w:rsid w:val="00D62287"/>
    <w:rsid w:val="00D66E49"/>
    <w:rsid w:val="00D70D71"/>
    <w:rsid w:val="00D72F74"/>
    <w:rsid w:val="00D81563"/>
    <w:rsid w:val="00D85907"/>
    <w:rsid w:val="00D9073E"/>
    <w:rsid w:val="00D9221D"/>
    <w:rsid w:val="00D958DF"/>
    <w:rsid w:val="00D96DA1"/>
    <w:rsid w:val="00D96E47"/>
    <w:rsid w:val="00DA2991"/>
    <w:rsid w:val="00DA51E7"/>
    <w:rsid w:val="00DB1C78"/>
    <w:rsid w:val="00DB7D96"/>
    <w:rsid w:val="00DC173D"/>
    <w:rsid w:val="00DC23FE"/>
    <w:rsid w:val="00DC59E6"/>
    <w:rsid w:val="00DC7ECB"/>
    <w:rsid w:val="00DD150B"/>
    <w:rsid w:val="00DD4C3A"/>
    <w:rsid w:val="00DD4CD5"/>
    <w:rsid w:val="00DD5025"/>
    <w:rsid w:val="00DF1510"/>
    <w:rsid w:val="00E010D7"/>
    <w:rsid w:val="00E02F1F"/>
    <w:rsid w:val="00E06484"/>
    <w:rsid w:val="00E14040"/>
    <w:rsid w:val="00E165E2"/>
    <w:rsid w:val="00E20A7D"/>
    <w:rsid w:val="00E275D8"/>
    <w:rsid w:val="00E30F6A"/>
    <w:rsid w:val="00E375CA"/>
    <w:rsid w:val="00E406B6"/>
    <w:rsid w:val="00E54637"/>
    <w:rsid w:val="00E567E8"/>
    <w:rsid w:val="00E64679"/>
    <w:rsid w:val="00E65EBC"/>
    <w:rsid w:val="00E6752F"/>
    <w:rsid w:val="00E67CBA"/>
    <w:rsid w:val="00E73432"/>
    <w:rsid w:val="00E73F22"/>
    <w:rsid w:val="00E75FDE"/>
    <w:rsid w:val="00E77B0C"/>
    <w:rsid w:val="00E77F41"/>
    <w:rsid w:val="00E77FB8"/>
    <w:rsid w:val="00E838B0"/>
    <w:rsid w:val="00E8555B"/>
    <w:rsid w:val="00E86A7C"/>
    <w:rsid w:val="00E878E1"/>
    <w:rsid w:val="00E87F2C"/>
    <w:rsid w:val="00E94305"/>
    <w:rsid w:val="00E95278"/>
    <w:rsid w:val="00E9754F"/>
    <w:rsid w:val="00EA2273"/>
    <w:rsid w:val="00EA2400"/>
    <w:rsid w:val="00EA5D57"/>
    <w:rsid w:val="00EB2DB3"/>
    <w:rsid w:val="00EB36EF"/>
    <w:rsid w:val="00EB6A43"/>
    <w:rsid w:val="00EC3FBB"/>
    <w:rsid w:val="00EC40FE"/>
    <w:rsid w:val="00EC6B7A"/>
    <w:rsid w:val="00ED26FE"/>
    <w:rsid w:val="00ED3A87"/>
    <w:rsid w:val="00ED5B67"/>
    <w:rsid w:val="00EF0360"/>
    <w:rsid w:val="00EF264C"/>
    <w:rsid w:val="00EF3FEE"/>
    <w:rsid w:val="00EF4705"/>
    <w:rsid w:val="00EF61C9"/>
    <w:rsid w:val="00F04B59"/>
    <w:rsid w:val="00F11741"/>
    <w:rsid w:val="00F12B1C"/>
    <w:rsid w:val="00F13CF8"/>
    <w:rsid w:val="00F14E63"/>
    <w:rsid w:val="00F15855"/>
    <w:rsid w:val="00F32978"/>
    <w:rsid w:val="00F33D4E"/>
    <w:rsid w:val="00F343B7"/>
    <w:rsid w:val="00F45CB2"/>
    <w:rsid w:val="00F51321"/>
    <w:rsid w:val="00F544C0"/>
    <w:rsid w:val="00F55332"/>
    <w:rsid w:val="00F63A58"/>
    <w:rsid w:val="00F6504A"/>
    <w:rsid w:val="00F65519"/>
    <w:rsid w:val="00F713C0"/>
    <w:rsid w:val="00F75DDC"/>
    <w:rsid w:val="00F7792F"/>
    <w:rsid w:val="00F842AA"/>
    <w:rsid w:val="00F8476F"/>
    <w:rsid w:val="00F853E1"/>
    <w:rsid w:val="00F85604"/>
    <w:rsid w:val="00F86D68"/>
    <w:rsid w:val="00F94B7A"/>
    <w:rsid w:val="00F96B8F"/>
    <w:rsid w:val="00FA17AC"/>
    <w:rsid w:val="00FA2450"/>
    <w:rsid w:val="00FA32DE"/>
    <w:rsid w:val="00FA3382"/>
    <w:rsid w:val="00FA59CD"/>
    <w:rsid w:val="00FB1740"/>
    <w:rsid w:val="00FC5469"/>
    <w:rsid w:val="00FC6D7D"/>
    <w:rsid w:val="00FC7120"/>
    <w:rsid w:val="00FD16B0"/>
    <w:rsid w:val="00FD4FED"/>
    <w:rsid w:val="00FE0577"/>
    <w:rsid w:val="00FE3E3E"/>
    <w:rsid w:val="00FE59EC"/>
    <w:rsid w:val="00FE5B67"/>
    <w:rsid w:val="00FF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AF2961"/>
    <w:rPr>
      <w:vertAlign w:val="superscript"/>
    </w:rPr>
  </w:style>
  <w:style w:type="character" w:customStyle="1" w:styleId="HeaderChar">
    <w:name w:val="Header Char"/>
    <w:link w:val="Header"/>
    <w:uiPriority w:val="99"/>
    <w:rsid w:val="00AF2961"/>
    <w:rPr>
      <w:sz w:val="24"/>
      <w:szCs w:val="24"/>
    </w:rPr>
  </w:style>
  <w:style w:type="character" w:customStyle="1" w:styleId="FooterChar">
    <w:name w:val="Footer Char"/>
    <w:link w:val="Footer"/>
    <w:uiPriority w:val="99"/>
    <w:rsid w:val="00AF2961"/>
    <w:rPr>
      <w:sz w:val="24"/>
      <w:szCs w:val="24"/>
    </w:rPr>
  </w:style>
  <w:style w:type="table" w:customStyle="1" w:styleId="TableGrid1">
    <w:name w:val="Table Grid1"/>
    <w:basedOn w:val="TableNormal"/>
    <w:next w:val="TableGrid"/>
    <w:rsid w:val="00E1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165E2"/>
    <w:pPr>
      <w:numPr>
        <w:numId w:val="11"/>
      </w:numPr>
    </w:pPr>
  </w:style>
  <w:style w:type="character" w:customStyle="1" w:styleId="FootnoteTextChar">
    <w:name w:val="Footnote Text Char"/>
    <w:basedOn w:val="DefaultParagraphFont"/>
    <w:link w:val="FootnoteText"/>
    <w:uiPriority w:val="99"/>
    <w:rsid w:val="00466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AF2961"/>
    <w:rPr>
      <w:vertAlign w:val="superscript"/>
    </w:rPr>
  </w:style>
  <w:style w:type="character" w:customStyle="1" w:styleId="HeaderChar">
    <w:name w:val="Header Char"/>
    <w:link w:val="Header"/>
    <w:uiPriority w:val="99"/>
    <w:rsid w:val="00AF2961"/>
    <w:rPr>
      <w:sz w:val="24"/>
      <w:szCs w:val="24"/>
    </w:rPr>
  </w:style>
  <w:style w:type="character" w:customStyle="1" w:styleId="FooterChar">
    <w:name w:val="Footer Char"/>
    <w:link w:val="Footer"/>
    <w:uiPriority w:val="99"/>
    <w:rsid w:val="00AF2961"/>
    <w:rPr>
      <w:sz w:val="24"/>
      <w:szCs w:val="24"/>
    </w:rPr>
  </w:style>
  <w:style w:type="table" w:customStyle="1" w:styleId="TableGrid1">
    <w:name w:val="Table Grid1"/>
    <w:basedOn w:val="TableNormal"/>
    <w:next w:val="TableGrid"/>
    <w:rsid w:val="00E1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165E2"/>
    <w:pPr>
      <w:numPr>
        <w:numId w:val="11"/>
      </w:numPr>
    </w:pPr>
  </w:style>
  <w:style w:type="character" w:customStyle="1" w:styleId="FootnoteTextChar">
    <w:name w:val="Footnote Text Char"/>
    <w:basedOn w:val="DefaultParagraphFont"/>
    <w:link w:val="FootnoteText"/>
    <w:uiPriority w:val="99"/>
    <w:rsid w:val="0046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EABD0-EBC9-4E8E-B052-42FD234D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3312</Words>
  <Characters>18308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Michael Barrett</dc:creator>
  <cp:lastModifiedBy>Lisa Ray</cp:lastModifiedBy>
  <cp:revision>2</cp:revision>
  <cp:lastPrinted>2017-05-23T19:18:00Z</cp:lastPrinted>
  <dcterms:created xsi:type="dcterms:W3CDTF">2017-05-24T15:18:00Z</dcterms:created>
  <dcterms:modified xsi:type="dcterms:W3CDTF">2017-05-24T15:18:00Z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170001-EI</vt:lpwstr>
  </property>
  <property fmtid="{D5CDD505-2E9C-101B-9397-08002B2CF9AE}" pid="3" name="MasterDocument">
    <vt:bool>false</vt:bool>
  </property>
</Properties>
</file>