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B6AA4" w:rsidRDefault="00875A56" w:rsidP="00875A56">
      <w:pPr>
        <w:pStyle w:val="OrderHeading"/>
      </w:pPr>
      <w:r w:rsidRPr="003B6AA4">
        <w:t>BEFORE THE FLORIDA PUBLIC SERVICE COMMISSION</w:t>
      </w:r>
    </w:p>
    <w:p w:rsidR="00875A56" w:rsidRPr="003B6AA4" w:rsidRDefault="00875A56" w:rsidP="00875A56">
      <w:pPr>
        <w:pStyle w:val="OrderHeading"/>
      </w:pPr>
    </w:p>
    <w:p w:rsidR="00875A56" w:rsidRPr="003B6AA4" w:rsidRDefault="00875A56" w:rsidP="00875A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5A56" w:rsidRPr="003B6AA4" w:rsidTr="00C63FCF">
        <w:trPr>
          <w:trHeight w:val="828"/>
        </w:trPr>
        <w:tc>
          <w:tcPr>
            <w:tcW w:w="4788" w:type="dxa"/>
            <w:tcBorders>
              <w:bottom w:val="single" w:sz="8" w:space="0" w:color="auto"/>
              <w:right w:val="double" w:sz="6" w:space="0" w:color="auto"/>
            </w:tcBorders>
            <w:shd w:val="clear" w:color="auto" w:fill="auto"/>
          </w:tcPr>
          <w:p w:rsidR="00875A56" w:rsidRPr="003B6AA4" w:rsidRDefault="00875A56" w:rsidP="00C63FCF">
            <w:pPr>
              <w:pStyle w:val="OrderBody"/>
              <w:tabs>
                <w:tab w:val="center" w:pos="4320"/>
                <w:tab w:val="right" w:pos="8640"/>
              </w:tabs>
              <w:jc w:val="left"/>
            </w:pPr>
            <w:r w:rsidRPr="003B6AA4">
              <w:t xml:space="preserve">In re: </w:t>
            </w:r>
            <w:bookmarkStart w:id="0" w:name="SSInRe"/>
            <w:bookmarkEnd w:id="0"/>
            <w:r w:rsidRPr="003B6AA4">
              <w:t>Petition to amend energy education, awareness and agency outreach program, by Tampa Electric Company.</w:t>
            </w:r>
          </w:p>
        </w:tc>
        <w:tc>
          <w:tcPr>
            <w:tcW w:w="4788" w:type="dxa"/>
            <w:tcBorders>
              <w:left w:val="double" w:sz="6" w:space="0" w:color="auto"/>
            </w:tcBorders>
            <w:shd w:val="clear" w:color="auto" w:fill="auto"/>
          </w:tcPr>
          <w:p w:rsidR="00875A56" w:rsidRPr="003B6AA4" w:rsidRDefault="00875A56" w:rsidP="00875A56">
            <w:pPr>
              <w:pStyle w:val="OrderBody"/>
            </w:pPr>
            <w:r w:rsidRPr="003B6AA4">
              <w:t xml:space="preserve">DOCKET NO. </w:t>
            </w:r>
            <w:bookmarkStart w:id="1" w:name="SSDocketNo"/>
            <w:bookmarkEnd w:id="1"/>
            <w:r w:rsidRPr="003B6AA4">
              <w:t>170015-EI</w:t>
            </w:r>
          </w:p>
          <w:p w:rsidR="00875A56" w:rsidRPr="003B6AA4" w:rsidRDefault="00875A56" w:rsidP="00C63FCF">
            <w:pPr>
              <w:pStyle w:val="OrderBody"/>
              <w:tabs>
                <w:tab w:val="center" w:pos="4320"/>
                <w:tab w:val="right" w:pos="8640"/>
              </w:tabs>
              <w:jc w:val="left"/>
            </w:pPr>
            <w:r w:rsidRPr="003B6AA4">
              <w:t xml:space="preserve">ORDER NO. </w:t>
            </w:r>
            <w:bookmarkStart w:id="2" w:name="OrderNo0206"/>
            <w:r w:rsidR="00FA384D">
              <w:t>PSC-17-0206-PAA-EI</w:t>
            </w:r>
            <w:bookmarkEnd w:id="2"/>
          </w:p>
          <w:p w:rsidR="00875A56" w:rsidRPr="003B6AA4" w:rsidRDefault="00875A56" w:rsidP="00C63FCF">
            <w:pPr>
              <w:pStyle w:val="OrderBody"/>
              <w:tabs>
                <w:tab w:val="center" w:pos="4320"/>
                <w:tab w:val="right" w:pos="8640"/>
              </w:tabs>
              <w:jc w:val="left"/>
            </w:pPr>
            <w:r w:rsidRPr="003B6AA4">
              <w:t xml:space="preserve">ISSUED: </w:t>
            </w:r>
            <w:r w:rsidR="00FA384D">
              <w:t>May 24, 2017</w:t>
            </w:r>
          </w:p>
        </w:tc>
      </w:tr>
    </w:tbl>
    <w:p w:rsidR="00875A56" w:rsidRPr="003B6AA4" w:rsidRDefault="00875A56" w:rsidP="00875A56"/>
    <w:p w:rsidR="00875A56" w:rsidRPr="003B6AA4" w:rsidRDefault="00875A56" w:rsidP="00875A56"/>
    <w:p w:rsidR="00875A56" w:rsidRPr="003B6AA4" w:rsidRDefault="00875A56">
      <w:pPr>
        <w:ind w:firstLine="720"/>
        <w:jc w:val="both"/>
      </w:pPr>
      <w:bookmarkStart w:id="3" w:name="Commissioners"/>
      <w:bookmarkEnd w:id="3"/>
      <w:r w:rsidRPr="003B6AA4">
        <w:t>The following Commissioners participated in the disposition of this matter:</w:t>
      </w:r>
    </w:p>
    <w:p w:rsidR="00875A56" w:rsidRPr="003B6AA4" w:rsidRDefault="00875A56"/>
    <w:p w:rsidR="00875A56" w:rsidRPr="003B6AA4" w:rsidRDefault="00875A56">
      <w:pPr>
        <w:jc w:val="center"/>
      </w:pPr>
      <w:r w:rsidRPr="003B6AA4">
        <w:t>JULIE I. BROWN, Chairman</w:t>
      </w:r>
    </w:p>
    <w:p w:rsidR="00875A56" w:rsidRPr="003B6AA4" w:rsidRDefault="00875A56">
      <w:pPr>
        <w:jc w:val="center"/>
      </w:pPr>
      <w:r w:rsidRPr="003B6AA4">
        <w:t>ART GRAHAM</w:t>
      </w:r>
    </w:p>
    <w:p w:rsidR="00875A56" w:rsidRPr="003B6AA4" w:rsidRDefault="00875A56">
      <w:pPr>
        <w:jc w:val="center"/>
      </w:pPr>
      <w:r w:rsidRPr="003B6AA4">
        <w:t>RONALD A. BRISÉ</w:t>
      </w:r>
    </w:p>
    <w:p w:rsidR="00875A56" w:rsidRPr="003B6AA4" w:rsidRDefault="00875A56">
      <w:pPr>
        <w:jc w:val="center"/>
      </w:pPr>
      <w:r w:rsidRPr="003B6AA4">
        <w:t>JIMMY PATRONIS</w:t>
      </w:r>
    </w:p>
    <w:p w:rsidR="00875A56" w:rsidRPr="003B6AA4" w:rsidRDefault="00875A56">
      <w:pPr>
        <w:jc w:val="center"/>
      </w:pPr>
      <w:r w:rsidRPr="003B6AA4">
        <w:t>DONALD J. POLMANN</w:t>
      </w:r>
    </w:p>
    <w:p w:rsidR="00875A56" w:rsidRPr="003B6AA4" w:rsidRDefault="00875A56" w:rsidP="00875A56">
      <w:pPr>
        <w:pStyle w:val="OrderBody"/>
      </w:pPr>
    </w:p>
    <w:p w:rsidR="00875A56" w:rsidRPr="003B6AA4" w:rsidRDefault="00875A56" w:rsidP="00875A56">
      <w:pPr>
        <w:pStyle w:val="OrderBody"/>
      </w:pPr>
    </w:p>
    <w:bookmarkStart w:id="4" w:name="OrderText"/>
    <w:bookmarkEnd w:id="4"/>
    <w:p w:rsidR="00E044B1" w:rsidRPr="003B6AA4" w:rsidRDefault="00875A56">
      <w:pPr>
        <w:pStyle w:val="OrderBody"/>
        <w:jc w:val="center"/>
        <w:rPr>
          <w:u w:val="single"/>
        </w:rPr>
      </w:pPr>
      <w:r w:rsidRPr="003B6AA4">
        <w:rPr>
          <w:u w:val="single"/>
          <w:lang w:val="en-CA"/>
        </w:rPr>
        <w:fldChar w:fldCharType="begin"/>
      </w:r>
      <w:r w:rsidRPr="003B6AA4">
        <w:rPr>
          <w:u w:val="single"/>
          <w:lang w:val="en-CA"/>
        </w:rPr>
        <w:instrText xml:space="preserve"> SEQ CHAPTER \h \r 1</w:instrText>
      </w:r>
      <w:r w:rsidRPr="003B6AA4">
        <w:rPr>
          <w:u w:val="single"/>
        </w:rPr>
        <w:fldChar w:fldCharType="end"/>
      </w:r>
      <w:r w:rsidRPr="003B6AA4">
        <w:rPr>
          <w:u w:val="single"/>
        </w:rPr>
        <w:t>NOTICE OF PROPOSED AGENCY ACTION</w:t>
      </w:r>
      <w:r w:rsidR="008006D9">
        <w:rPr>
          <w:u w:val="single"/>
        </w:rPr>
        <w:t xml:space="preserve"> </w:t>
      </w:r>
      <w:r w:rsidRPr="003B6AA4">
        <w:rPr>
          <w:u w:val="single"/>
        </w:rPr>
        <w:t>ORDER</w:t>
      </w:r>
      <w:bookmarkStart w:id="5" w:name="OrderTitle"/>
      <w:r w:rsidRPr="003B6AA4">
        <w:rPr>
          <w:u w:val="single"/>
        </w:rPr>
        <w:t xml:space="preserve"> </w:t>
      </w:r>
      <w:bookmarkEnd w:id="5"/>
      <w:r w:rsidR="00E044B1" w:rsidRPr="003B6AA4">
        <w:rPr>
          <w:u w:val="single"/>
        </w:rPr>
        <w:t xml:space="preserve">APPROVING </w:t>
      </w:r>
    </w:p>
    <w:p w:rsidR="002D7331" w:rsidRPr="003B6AA4" w:rsidRDefault="00E044B1">
      <w:pPr>
        <w:pStyle w:val="OrderBody"/>
        <w:jc w:val="center"/>
        <w:rPr>
          <w:u w:val="single"/>
        </w:rPr>
      </w:pPr>
      <w:r w:rsidRPr="003B6AA4">
        <w:rPr>
          <w:u w:val="single"/>
        </w:rPr>
        <w:t xml:space="preserve">TAMPA ELECTRIC COMPANY’S REVISED PETITION TO AMEND </w:t>
      </w:r>
      <w:r w:rsidR="002D7331" w:rsidRPr="003B6AA4">
        <w:rPr>
          <w:u w:val="single"/>
        </w:rPr>
        <w:t xml:space="preserve">ITS </w:t>
      </w:r>
    </w:p>
    <w:p w:rsidR="00875A56" w:rsidRPr="003B6AA4" w:rsidRDefault="00E044B1">
      <w:pPr>
        <w:pStyle w:val="OrderBody"/>
        <w:jc w:val="center"/>
        <w:rPr>
          <w:u w:val="single"/>
        </w:rPr>
      </w:pPr>
      <w:r w:rsidRPr="003B6AA4">
        <w:rPr>
          <w:u w:val="single"/>
        </w:rPr>
        <w:t xml:space="preserve">ENERGY EDUCATION, AWARENESS, AND AGENCY OUTREACH PROGRAM </w:t>
      </w:r>
    </w:p>
    <w:p w:rsidR="00875A56" w:rsidRPr="003B6AA4" w:rsidRDefault="00875A56">
      <w:pPr>
        <w:pStyle w:val="OrderBody"/>
      </w:pPr>
    </w:p>
    <w:p w:rsidR="00875A56" w:rsidRPr="003B6AA4" w:rsidRDefault="00875A56">
      <w:pPr>
        <w:pStyle w:val="OrderBody"/>
      </w:pPr>
    </w:p>
    <w:p w:rsidR="00875A56" w:rsidRPr="003B6AA4" w:rsidRDefault="00875A56">
      <w:pPr>
        <w:pStyle w:val="OrderBody"/>
      </w:pPr>
      <w:r w:rsidRPr="003B6AA4">
        <w:t>BY THE COMMISSION:</w:t>
      </w:r>
    </w:p>
    <w:p w:rsidR="00875A56" w:rsidRPr="003B6AA4" w:rsidRDefault="00875A56">
      <w:pPr>
        <w:pStyle w:val="OrderBody"/>
      </w:pPr>
    </w:p>
    <w:p w:rsidR="00875A56" w:rsidRPr="003B6AA4" w:rsidRDefault="00875A56">
      <w:pPr>
        <w:pStyle w:val="OrderBody"/>
      </w:pPr>
      <w:r w:rsidRPr="003B6AA4">
        <w:tab/>
        <w:t>NOTICE is hereby given by the Florida Public Service Commission</w:t>
      </w:r>
      <w:r w:rsidR="003B6AA4">
        <w:t xml:space="preserve"> (Commission)</w:t>
      </w:r>
      <w:r w:rsidRPr="003B6AA4">
        <w:t xml:space="preserve"> that the action discussed herein is preliminary in nature and will become final unless a person whose interests are substantially affected files a petition for a formal proceeding, pursuant to Rule 25-22.029, Florida Administrative Code (F.A.C.).</w:t>
      </w:r>
    </w:p>
    <w:p w:rsidR="00875A56" w:rsidRPr="003B6AA4" w:rsidRDefault="00875A56" w:rsidP="00875A56">
      <w:pPr>
        <w:rPr>
          <w:b/>
          <w:bCs/>
          <w:color w:val="0A0A0A"/>
          <w:w w:val="104"/>
          <w:sz w:val="23"/>
          <w:szCs w:val="23"/>
        </w:rPr>
      </w:pPr>
    </w:p>
    <w:p w:rsidR="007E6929" w:rsidRPr="002B26F0" w:rsidRDefault="00F12E19" w:rsidP="001A2C24">
      <w:pPr>
        <w:jc w:val="center"/>
      </w:pPr>
      <w:r w:rsidRPr="002B26F0">
        <w:t>BACKGROUND</w:t>
      </w:r>
    </w:p>
    <w:p w:rsidR="00F12E19" w:rsidRDefault="00F12E19" w:rsidP="001A2C24">
      <w:pPr>
        <w:ind w:firstLine="720"/>
        <w:jc w:val="both"/>
      </w:pPr>
    </w:p>
    <w:p w:rsidR="001A2C24" w:rsidRPr="003B6AA4" w:rsidRDefault="00FC2BF8" w:rsidP="001A2C24">
      <w:pPr>
        <w:ind w:firstLine="720"/>
        <w:jc w:val="both"/>
      </w:pPr>
      <w:r w:rsidRPr="003B6AA4">
        <w:t>On August 11, 2015, this</w:t>
      </w:r>
      <w:r w:rsidR="007E6929" w:rsidRPr="003B6AA4">
        <w:t xml:space="preserve"> Commission </w:t>
      </w:r>
      <w:r w:rsidR="00527A63">
        <w:t>approved</w:t>
      </w:r>
      <w:r w:rsidR="007E6929" w:rsidRPr="003B6AA4">
        <w:t xml:space="preserve"> Tampa Electric Company’s (TECO or Utility</w:t>
      </w:r>
      <w:r w:rsidR="00527A63">
        <w:t>) Demand-Side Management (DSM) p</w:t>
      </w:r>
      <w:r w:rsidR="007E6929" w:rsidRPr="003B6AA4">
        <w:t>lan.</w:t>
      </w:r>
      <w:r w:rsidR="007E6929" w:rsidRPr="00E97A1A">
        <w:rPr>
          <w:vertAlign w:val="superscript"/>
        </w:rPr>
        <w:footnoteReference w:id="1"/>
      </w:r>
      <w:r w:rsidR="002112FD">
        <w:t xml:space="preserve"> The plan includes</w:t>
      </w:r>
      <w:r w:rsidR="007E6929" w:rsidRPr="003B6AA4">
        <w:t xml:space="preserve"> the Utility’s Energy Education, Awareness</w:t>
      </w:r>
      <w:r w:rsidR="008006D9">
        <w:t>,</w:t>
      </w:r>
      <w:r w:rsidR="007E6929" w:rsidRPr="003B6AA4">
        <w:t xml:space="preserve"> and Agency Outreach Program (Education Program), which had an original start date of March 2010. The Education Program includes three conservation initiatives: public energy education, energy awareness, and agency outreach. The energy education and awareness initiatives are </w:t>
      </w:r>
      <w:r w:rsidR="00E97A1A">
        <w:t>intended</w:t>
      </w:r>
      <w:r w:rsidR="00DE4A14">
        <w:t xml:space="preserve"> to</w:t>
      </w:r>
      <w:r w:rsidR="00E97A1A">
        <w:t xml:space="preserve"> engage</w:t>
      </w:r>
      <w:r w:rsidR="007E6929" w:rsidRPr="003B6AA4">
        <w:t xml:space="preserve"> groups of customers and students in discussions related to energy efficiency. The </w:t>
      </w:r>
      <w:r w:rsidR="00751FB1">
        <w:t>utility’s</w:t>
      </w:r>
      <w:r w:rsidR="007E6929" w:rsidRPr="003B6AA4">
        <w:t xml:space="preserve"> outreach initiative </w:t>
      </w:r>
      <w:r w:rsidR="00E97A1A">
        <w:t>provides</w:t>
      </w:r>
      <w:r w:rsidR="007E6929" w:rsidRPr="003B6AA4">
        <w:t xml:space="preserve"> for</w:t>
      </w:r>
      <w:r w:rsidR="00E97A1A">
        <w:t xml:space="preserve"> the</w:t>
      </w:r>
      <w:r w:rsidR="007E6929" w:rsidRPr="003B6AA4">
        <w:t xml:space="preserve"> delivery of</w:t>
      </w:r>
      <w:r w:rsidR="001A2C24" w:rsidRPr="003B6AA4">
        <w:t xml:space="preserve"> energy efficiency kits that will help educate ratepayers on practices that help reduce energy consumption. These kits contain the following: (1) four compact fluorescent lamps; (2) two low-flow faucet aerators; (3) an air filter whistle to remind residents to clean or change their filter monthly; (4) a hot water temperature card to check the water heater’s temperature setting for opportunity for turn down; (5) a wall plate thermometer to check the accuracy of their existing thermostat setting; and (6) no-cost energy efficiency recommendations that can be immediately </w:t>
      </w:r>
      <w:r w:rsidR="001A2C24" w:rsidRPr="003B6AA4">
        <w:lastRenderedPageBreak/>
        <w:t xml:space="preserve">adopted. In 2016, </w:t>
      </w:r>
      <w:r w:rsidR="00E97A1A">
        <w:t xml:space="preserve">the use of </w:t>
      </w:r>
      <w:r w:rsidR="001A2C24" w:rsidRPr="003B6AA4">
        <w:t>these kits produced an estimated annual energy savings of 166,491 kilowatt-hours (kWh) at the generator and contributed towards TECO</w:t>
      </w:r>
      <w:r w:rsidRPr="003B6AA4">
        <w:t>’s conservation goals set by this</w:t>
      </w:r>
      <w:r w:rsidR="001A2C24" w:rsidRPr="003B6AA4">
        <w:t xml:space="preserve"> Commission. </w:t>
      </w:r>
    </w:p>
    <w:p w:rsidR="001A2C24" w:rsidRPr="003B6AA4" w:rsidRDefault="001A2C24" w:rsidP="001A2C24">
      <w:pPr>
        <w:jc w:val="both"/>
      </w:pPr>
    </w:p>
    <w:p w:rsidR="001A2C24" w:rsidRPr="003B6AA4" w:rsidRDefault="001A2C24" w:rsidP="00527A63">
      <w:pPr>
        <w:ind w:firstLine="720"/>
        <w:jc w:val="both"/>
      </w:pPr>
      <w:r w:rsidRPr="003B6AA4">
        <w:t>On January 10, 2017, TECO filed a petition to amend its Education Program</w:t>
      </w:r>
      <w:r w:rsidR="00846E18">
        <w:t xml:space="preserve"> (Amendment)</w:t>
      </w:r>
      <w:r w:rsidRPr="003B6AA4">
        <w:t xml:space="preserve"> to offer select high school students</w:t>
      </w:r>
      <w:r w:rsidR="00DE4A14">
        <w:t xml:space="preserve"> energy</w:t>
      </w:r>
      <w:r w:rsidR="00E97A1A">
        <w:t xml:space="preserve"> education regarding</w:t>
      </w:r>
      <w:r w:rsidR="00527A63">
        <w:t xml:space="preserve"> electric vehicles (EV</w:t>
      </w:r>
      <w:r w:rsidRPr="003B6AA4">
        <w:t>)</w:t>
      </w:r>
      <w:r w:rsidR="00527A63">
        <w:t>.</w:t>
      </w:r>
      <w:r w:rsidRPr="003B6AA4">
        <w:t xml:space="preserve"> The estimated total cost for </w:t>
      </w:r>
      <w:r w:rsidR="00E97A1A">
        <w:t xml:space="preserve">TECO’s </w:t>
      </w:r>
      <w:r w:rsidR="00846E18">
        <w:t>A</w:t>
      </w:r>
      <w:r w:rsidRPr="003B6AA4">
        <w:t>mendment was approximately $1.8 million through the year 2020.</w:t>
      </w:r>
      <w:r w:rsidR="00527A63">
        <w:t xml:space="preserve"> </w:t>
      </w:r>
      <w:r w:rsidR="00DC6D6E" w:rsidRPr="003B6AA4">
        <w:t xml:space="preserve">The </w:t>
      </w:r>
      <w:r w:rsidR="00846E18">
        <w:t xml:space="preserve">Amendment’s </w:t>
      </w:r>
      <w:r w:rsidR="00DC6D6E" w:rsidRPr="003B6AA4">
        <w:t xml:space="preserve">Program Participation Standards were submitted concurrently with the </w:t>
      </w:r>
      <w:r w:rsidR="00846E18">
        <w:t>Amendment</w:t>
      </w:r>
      <w:r w:rsidR="00DC6D6E" w:rsidRPr="003B6AA4">
        <w:t>.</w:t>
      </w:r>
      <w:r w:rsidR="00DC6D6E">
        <w:t xml:space="preserve"> </w:t>
      </w:r>
      <w:r w:rsidRPr="003B6AA4">
        <w:t xml:space="preserve">On April 10, 2017, </w:t>
      </w:r>
      <w:r w:rsidR="00E97A1A">
        <w:t xml:space="preserve">our </w:t>
      </w:r>
      <w:r w:rsidRPr="003B6AA4">
        <w:t>staff held an informal meeting with the Utility to discuss the</w:t>
      </w:r>
      <w:r w:rsidR="00846E18">
        <w:t xml:space="preserve"> A</w:t>
      </w:r>
      <w:r w:rsidRPr="003B6AA4">
        <w:t xml:space="preserve">mendment. During the meeting, staff expressed its concerns that the </w:t>
      </w:r>
      <w:r w:rsidR="00846E18">
        <w:t>A</w:t>
      </w:r>
      <w:r w:rsidRPr="003B6AA4">
        <w:t>mendment was initially a load building program that contained a relatively large amount of capital costs</w:t>
      </w:r>
      <w:r w:rsidR="002372BC">
        <w:t>,</w:t>
      </w:r>
      <w:r w:rsidRPr="003B6AA4">
        <w:t xml:space="preserve"> which are not normally associated with an education program. </w:t>
      </w:r>
    </w:p>
    <w:p w:rsidR="001A2C24" w:rsidRPr="003B6AA4" w:rsidRDefault="001A2C24" w:rsidP="001A2C24">
      <w:pPr>
        <w:jc w:val="both"/>
      </w:pPr>
    </w:p>
    <w:p w:rsidR="001A2C24" w:rsidRPr="003B6AA4" w:rsidRDefault="001A2C24" w:rsidP="001A2C24">
      <w:pPr>
        <w:ind w:firstLine="720"/>
        <w:jc w:val="both"/>
      </w:pPr>
      <w:r w:rsidRPr="003B6AA4">
        <w:t xml:space="preserve">On April 19, 2017, the Utility filed a revised petition for its </w:t>
      </w:r>
      <w:r w:rsidR="00846E18">
        <w:t>A</w:t>
      </w:r>
      <w:r w:rsidRPr="003B6AA4">
        <w:t>mendment</w:t>
      </w:r>
      <w:r w:rsidR="00846E18">
        <w:t xml:space="preserve"> (Revised Amendment)</w:t>
      </w:r>
      <w:r w:rsidRPr="003B6AA4">
        <w:t xml:space="preserve">. This revision substantially reduced the capital cost previously associated with the </w:t>
      </w:r>
      <w:r w:rsidR="00846E18">
        <w:t>A</w:t>
      </w:r>
      <w:r w:rsidRPr="003B6AA4">
        <w:t>mendment. T</w:t>
      </w:r>
      <w:r w:rsidR="00846E18">
        <w:t>he estimated total cost of the Revised A</w:t>
      </w:r>
      <w:r w:rsidRPr="003B6AA4">
        <w:t>mendment is $439,800 through the year 2020.</w:t>
      </w:r>
      <w:r w:rsidR="00DC6D6E" w:rsidRPr="00DC6D6E">
        <w:t xml:space="preserve"> </w:t>
      </w:r>
      <w:r w:rsidR="00DC6D6E">
        <w:t>Revised</w:t>
      </w:r>
      <w:r w:rsidR="00DC6D6E" w:rsidRPr="003B6AA4">
        <w:t xml:space="preserve"> Program Participation Standards were submitted concurrently with the </w:t>
      </w:r>
      <w:r w:rsidR="00846E18">
        <w:t>R</w:t>
      </w:r>
      <w:r w:rsidR="00DC6D6E">
        <w:t xml:space="preserve">evised </w:t>
      </w:r>
      <w:r w:rsidR="00846E18">
        <w:t>Amendment</w:t>
      </w:r>
      <w:r w:rsidR="00DC6D6E" w:rsidRPr="003B6AA4">
        <w:t>.</w:t>
      </w:r>
      <w:r w:rsidR="009A5942">
        <w:t xml:space="preserve"> </w:t>
      </w:r>
      <w:r w:rsidRPr="003B6AA4">
        <w:t xml:space="preserve">The Utility requested a decision by May 4, 2017, so that the </w:t>
      </w:r>
      <w:r w:rsidR="00846E18">
        <w:t xml:space="preserve">Revised Amendment </w:t>
      </w:r>
      <w:r w:rsidR="00E97A1A">
        <w:t>could</w:t>
      </w:r>
      <w:r w:rsidR="00970C5A">
        <w:t xml:space="preserve"> be implemented by F</w:t>
      </w:r>
      <w:r w:rsidRPr="003B6AA4">
        <w:t>all</w:t>
      </w:r>
      <w:r w:rsidR="00970C5A">
        <w:t xml:space="preserve"> of the</w:t>
      </w:r>
      <w:r w:rsidRPr="003B6AA4">
        <w:t xml:space="preserve"> 2017 school year.</w:t>
      </w:r>
    </w:p>
    <w:p w:rsidR="001A2C24" w:rsidRPr="003B6AA4" w:rsidRDefault="001A2C24" w:rsidP="001A2C24">
      <w:pPr>
        <w:jc w:val="both"/>
      </w:pPr>
    </w:p>
    <w:p w:rsidR="007E6929" w:rsidRPr="003B6AA4" w:rsidRDefault="00FC2BF8" w:rsidP="001A2C24">
      <w:pPr>
        <w:ind w:firstLine="720"/>
        <w:jc w:val="both"/>
      </w:pPr>
      <w:r w:rsidRPr="003B6AA4">
        <w:t>This</w:t>
      </w:r>
      <w:r w:rsidR="001A2C24" w:rsidRPr="003B6AA4">
        <w:t xml:space="preserve"> Commission has jurisdiction over this matter pursuant to Sections 366.80 through 366.83 and 403.519, Florida Statutes (F.S.), collectively known as the Florida Energy Efficiency and Conservation Act (FEECA).</w:t>
      </w:r>
    </w:p>
    <w:p w:rsidR="00D57E57" w:rsidRPr="003B6AA4" w:rsidRDefault="00D57E57" w:rsidP="00D57E57"/>
    <w:p w:rsidR="001A2C24" w:rsidRPr="002B26F0" w:rsidRDefault="00F12E19" w:rsidP="00E23606">
      <w:pPr>
        <w:pStyle w:val="First-LevelSubheading"/>
        <w:jc w:val="center"/>
        <w:rPr>
          <w:rFonts w:ascii="Times New Roman" w:hAnsi="Times New Roman" w:cs="Times New Roman"/>
          <w:b w:val="0"/>
        </w:rPr>
      </w:pPr>
      <w:r w:rsidRPr="002B26F0">
        <w:rPr>
          <w:rFonts w:ascii="Times New Roman" w:hAnsi="Times New Roman" w:cs="Times New Roman"/>
          <w:b w:val="0"/>
        </w:rPr>
        <w:t>REVIEW</w:t>
      </w:r>
    </w:p>
    <w:p w:rsidR="00F12E19" w:rsidRDefault="003B6AA4" w:rsidP="001A2C24">
      <w:pPr>
        <w:jc w:val="both"/>
      </w:pPr>
      <w:r w:rsidRPr="003B6AA4">
        <w:tab/>
      </w:r>
    </w:p>
    <w:p w:rsidR="001A2C24" w:rsidRPr="003B6AA4" w:rsidRDefault="00F12E19" w:rsidP="001A2C24">
      <w:pPr>
        <w:jc w:val="both"/>
      </w:pPr>
      <w:r>
        <w:tab/>
      </w:r>
      <w:r w:rsidR="00B47EE1" w:rsidRPr="003B6AA4">
        <w:t xml:space="preserve">The </w:t>
      </w:r>
      <w:r w:rsidR="002112FD">
        <w:t>criteria</w:t>
      </w:r>
      <w:r w:rsidR="00B47EE1" w:rsidRPr="003B6AA4">
        <w:t xml:space="preserve"> used by this</w:t>
      </w:r>
      <w:r w:rsidR="001A2C24" w:rsidRPr="003B6AA4">
        <w:t xml:space="preserve"> Commission to review the appropriateness of DSM programs are: (1) whether the program advances the policy objectives of FEECA and its implementing rules; (2) whether the program is directly monitorable and yields measurable results; and (3) whether the program is cost-effective.</w:t>
      </w:r>
      <w:r w:rsidR="001A2C24" w:rsidRPr="00E97A1A">
        <w:rPr>
          <w:vertAlign w:val="superscript"/>
        </w:rPr>
        <w:footnoteReference w:id="2"/>
      </w:r>
      <w:r w:rsidR="001A2C24" w:rsidRPr="003B6AA4">
        <w:t xml:space="preserve"> However, education programs are behavioral and it may not be poss</w:t>
      </w:r>
      <w:r w:rsidR="00FC2CF2">
        <w:t xml:space="preserve">ible for </w:t>
      </w:r>
      <w:r w:rsidR="00527A63">
        <w:t>such</w:t>
      </w:r>
      <w:r w:rsidR="00FC2CF2">
        <w:t xml:space="preserve"> program</w:t>
      </w:r>
      <w:r w:rsidR="00527A63">
        <w:t>s</w:t>
      </w:r>
      <w:r w:rsidR="00FC2CF2">
        <w:t xml:space="preserve"> to pass </w:t>
      </w:r>
      <w:r w:rsidR="001A2C24" w:rsidRPr="003B6AA4">
        <w:t xml:space="preserve">cost-effectiveness tests due to the difficulty of measuring the </w:t>
      </w:r>
      <w:r w:rsidR="002372BC">
        <w:t xml:space="preserve">amount of </w:t>
      </w:r>
      <w:r w:rsidR="001A2C24" w:rsidRPr="003B6AA4">
        <w:t xml:space="preserve">savings. </w:t>
      </w:r>
      <w:r w:rsidR="00095627">
        <w:t>As discussed below, we</w:t>
      </w:r>
      <w:r w:rsidR="00E97A1A">
        <w:t xml:space="preserve"> have</w:t>
      </w:r>
      <w:r w:rsidR="001A2C24" w:rsidRPr="003B6AA4">
        <w:t xml:space="preserve"> reviewed TECO’s </w:t>
      </w:r>
      <w:r w:rsidR="00846E18">
        <w:t>Revised Amendment</w:t>
      </w:r>
      <w:r w:rsidR="001A2C24" w:rsidRPr="003B6AA4">
        <w:t xml:space="preserve"> and </w:t>
      </w:r>
      <w:r w:rsidR="00AD268C" w:rsidRPr="003B6AA4">
        <w:t xml:space="preserve">associated </w:t>
      </w:r>
      <w:r w:rsidR="00846E18">
        <w:t>R</w:t>
      </w:r>
      <w:r w:rsidR="00D17AC6">
        <w:t xml:space="preserve">evised </w:t>
      </w:r>
      <w:r w:rsidR="00AD268C">
        <w:t>Program</w:t>
      </w:r>
      <w:r w:rsidR="001A2C24" w:rsidRPr="003B6AA4">
        <w:t xml:space="preserve"> Participation Standards and </w:t>
      </w:r>
      <w:r w:rsidR="00E97A1A">
        <w:t>find</w:t>
      </w:r>
      <w:r w:rsidR="001A2C24" w:rsidRPr="003B6AA4">
        <w:t xml:space="preserve"> that</w:t>
      </w:r>
      <w:r w:rsidR="00095627">
        <w:t xml:space="preserve"> they</w:t>
      </w:r>
      <w:r w:rsidR="00DE4A14">
        <w:t xml:space="preserve"> </w:t>
      </w:r>
      <w:r w:rsidR="00846E18">
        <w:t>meet</w:t>
      </w:r>
      <w:r w:rsidR="00527A63">
        <w:t xml:space="preserve"> the criteria </w:t>
      </w:r>
      <w:r w:rsidR="002112FD">
        <w:t>as</w:t>
      </w:r>
      <w:r w:rsidR="00527A63">
        <w:t xml:space="preserve"> a DSM</w:t>
      </w:r>
      <w:r w:rsidR="001A2C24" w:rsidRPr="003B6AA4">
        <w:t xml:space="preserve"> education program.</w:t>
      </w:r>
    </w:p>
    <w:p w:rsidR="001A2C24" w:rsidRPr="003B6AA4" w:rsidRDefault="001A2C24" w:rsidP="001A2C24">
      <w:pPr>
        <w:jc w:val="both"/>
      </w:pPr>
    </w:p>
    <w:p w:rsidR="001A2C24" w:rsidRPr="002B26F0" w:rsidRDefault="001A2C24" w:rsidP="001A2C24">
      <w:pPr>
        <w:pStyle w:val="First-LevelSubheading"/>
        <w:keepNext/>
        <w:rPr>
          <w:rFonts w:ascii="Times New Roman" w:hAnsi="Times New Roman" w:cs="Times New Roman"/>
          <w:b w:val="0"/>
          <w:u w:val="single"/>
        </w:rPr>
      </w:pPr>
      <w:r w:rsidRPr="002B26F0">
        <w:rPr>
          <w:rFonts w:ascii="Times New Roman" w:hAnsi="Times New Roman" w:cs="Times New Roman"/>
          <w:b w:val="0"/>
          <w:u w:val="single"/>
        </w:rPr>
        <w:t>Program Description</w:t>
      </w:r>
    </w:p>
    <w:p w:rsidR="00E97A1A" w:rsidRDefault="00E97A1A" w:rsidP="001A2C24">
      <w:pPr>
        <w:ind w:firstLine="720"/>
        <w:jc w:val="both"/>
      </w:pPr>
    </w:p>
    <w:p w:rsidR="008F286B" w:rsidRDefault="00846E18" w:rsidP="008F286B">
      <w:pPr>
        <w:ind w:firstLine="720"/>
        <w:jc w:val="both"/>
      </w:pPr>
      <w:r>
        <w:t>By its Revised Amendment, TECO proposes to</w:t>
      </w:r>
      <w:r w:rsidR="001A2C24" w:rsidRPr="003B6AA4">
        <w:t xml:space="preserve"> offer</w:t>
      </w:r>
      <w:r w:rsidR="00E97A1A">
        <w:t xml:space="preserve"> select high school students within its service territory</w:t>
      </w:r>
      <w:r w:rsidR="001A2C24" w:rsidRPr="003B6AA4">
        <w:t xml:space="preserve"> energy education </w:t>
      </w:r>
      <w:r w:rsidR="00135FEE">
        <w:t>relating to</w:t>
      </w:r>
      <w:r w:rsidR="001A2C24" w:rsidRPr="003B6AA4">
        <w:t xml:space="preserve"> the operation, maintenance, and ownership considerations of EVs. The Utility will partner with a limited number of high schools’ driver</w:t>
      </w:r>
      <w:r w:rsidR="00DE4A14">
        <w:t xml:space="preserve">’s education training programs, </w:t>
      </w:r>
      <w:r w:rsidR="001A2C24" w:rsidRPr="003B6AA4">
        <w:t>on</w:t>
      </w:r>
      <w:r w:rsidR="00970C5A">
        <w:t>e in the F</w:t>
      </w:r>
      <w:r w:rsidR="00DE4A14">
        <w:t xml:space="preserve">all semester of 2017 and </w:t>
      </w:r>
      <w:r w:rsidR="001A2C24" w:rsidRPr="003B6AA4">
        <w:t>expanding to a maximum of five thr</w:t>
      </w:r>
      <w:r w:rsidR="00135FEE">
        <w:t>ough 2020</w:t>
      </w:r>
      <w:r w:rsidR="001A2C24" w:rsidRPr="003B6AA4">
        <w:t>.</w:t>
      </w:r>
      <w:r w:rsidR="00135FEE">
        <w:t xml:space="preserve"> </w:t>
      </w:r>
      <w:r w:rsidR="001A2C24" w:rsidRPr="003B6AA4">
        <w:t xml:space="preserve">TECO states that: </w:t>
      </w:r>
    </w:p>
    <w:p w:rsidR="001A2C24" w:rsidRPr="003B6AA4" w:rsidRDefault="001A2C24" w:rsidP="004307AC">
      <w:pPr>
        <w:ind w:right="720" w:firstLine="720"/>
        <w:jc w:val="both"/>
      </w:pPr>
      <w:r w:rsidRPr="003B6AA4">
        <w:lastRenderedPageBreak/>
        <w:t xml:space="preserve">This new aspect of the company’s program will offer students the </w:t>
      </w:r>
      <w:r w:rsidR="009D0460">
        <w:tab/>
      </w:r>
      <w:r w:rsidR="00AD268C" w:rsidRPr="003B6AA4">
        <w:t>opportunity</w:t>
      </w:r>
      <w:r w:rsidRPr="003B6AA4">
        <w:t xml:space="preserve"> to </w:t>
      </w:r>
      <w:r w:rsidR="008F286B">
        <w:tab/>
      </w:r>
      <w:r w:rsidRPr="003B6AA4">
        <w:t xml:space="preserve">learn: </w:t>
      </w:r>
      <w:r w:rsidR="002372BC">
        <w:tab/>
      </w:r>
      <w:r w:rsidRPr="003B6AA4">
        <w:t xml:space="preserve">the proper driving skills needed to maximize energy efficient driving with </w:t>
      </w:r>
      <w:r w:rsidR="008F286B">
        <w:tab/>
      </w:r>
      <w:r w:rsidRPr="003B6AA4">
        <w:t xml:space="preserve">EV; types, characteristics and operations of different EV charging </w:t>
      </w:r>
      <w:r w:rsidR="008F286B">
        <w:tab/>
      </w:r>
      <w:r w:rsidR="004307AC">
        <w:t xml:space="preserve">technologies; </w:t>
      </w:r>
      <w:r w:rsidR="004307AC">
        <w:tab/>
      </w:r>
      <w:r w:rsidRPr="003B6AA4">
        <w:t xml:space="preserve">considerations </w:t>
      </w:r>
      <w:r w:rsidR="004307AC">
        <w:t xml:space="preserve"> </w:t>
      </w:r>
      <w:r w:rsidRPr="003B6AA4">
        <w:t xml:space="preserve">of </w:t>
      </w:r>
      <w:r w:rsidR="004307AC">
        <w:t xml:space="preserve"> </w:t>
      </w:r>
      <w:r w:rsidRPr="003B6AA4">
        <w:t xml:space="preserve">EV </w:t>
      </w:r>
      <w:r w:rsidR="004307AC">
        <w:t xml:space="preserve"> </w:t>
      </w:r>
      <w:r w:rsidRPr="003B6AA4">
        <w:t>ownership</w:t>
      </w:r>
      <w:r w:rsidR="004307AC">
        <w:t xml:space="preserve"> </w:t>
      </w:r>
      <w:r w:rsidRPr="003B6AA4">
        <w:t xml:space="preserve"> </w:t>
      </w:r>
      <w:r w:rsidR="008F286B">
        <w:t xml:space="preserve">which </w:t>
      </w:r>
      <w:r w:rsidR="004307AC">
        <w:t xml:space="preserve"> </w:t>
      </w:r>
      <w:r w:rsidR="008F286B">
        <w:t xml:space="preserve">will </w:t>
      </w:r>
      <w:r w:rsidR="004307AC">
        <w:t xml:space="preserve"> </w:t>
      </w:r>
      <w:r w:rsidRPr="003B6AA4">
        <w:t xml:space="preserve">help </w:t>
      </w:r>
      <w:r w:rsidR="004307AC">
        <w:t xml:space="preserve"> </w:t>
      </w:r>
      <w:r w:rsidRPr="003B6AA4">
        <w:t>reduce</w:t>
      </w:r>
      <w:r w:rsidR="004307AC">
        <w:t xml:space="preserve">   </w:t>
      </w:r>
      <w:r w:rsidRPr="003B6AA4">
        <w:t xml:space="preserve"> the </w:t>
      </w:r>
      <w:r w:rsidR="008F286B">
        <w:tab/>
      </w:r>
      <w:r w:rsidR="004307AC">
        <w:t xml:space="preserve">   </w:t>
      </w:r>
      <w:r w:rsidR="008F286B">
        <w:t>anxiety</w:t>
      </w:r>
      <w:r w:rsidR="004307AC">
        <w:t xml:space="preserve"> </w:t>
      </w:r>
      <w:r w:rsidR="008F286B">
        <w:t xml:space="preserve">of </w:t>
      </w:r>
      <w:r w:rsidR="008F286B">
        <w:tab/>
      </w:r>
      <w:r w:rsidRPr="003B6AA4">
        <w:t xml:space="preserve">maintaining and operating an </w:t>
      </w:r>
      <w:r w:rsidR="008F286B">
        <w:tab/>
      </w:r>
      <w:r w:rsidRPr="003B6AA4">
        <w:t xml:space="preserve">EV; about electric rates and when charging the EV </w:t>
      </w:r>
      <w:r w:rsidR="008F286B">
        <w:tab/>
      </w:r>
      <w:r w:rsidRPr="003B6AA4">
        <w:t xml:space="preserve">is the least expensive; and the importance of reducing the total energy usage </w:t>
      </w:r>
      <w:r w:rsidR="008F286B">
        <w:tab/>
      </w:r>
      <w:r w:rsidRPr="003B6AA4">
        <w:t>consumed while owning an E</w:t>
      </w:r>
      <w:r w:rsidR="00526C47">
        <w:t xml:space="preserve">V. </w:t>
      </w:r>
    </w:p>
    <w:p w:rsidR="001A2C24" w:rsidRPr="003B6AA4" w:rsidRDefault="001A2C24" w:rsidP="001A2C24">
      <w:pPr>
        <w:ind w:firstLine="720"/>
        <w:jc w:val="both"/>
      </w:pPr>
    </w:p>
    <w:p w:rsidR="001A2C24" w:rsidRPr="003B6AA4" w:rsidRDefault="001A2C24" w:rsidP="001A2C24">
      <w:pPr>
        <w:ind w:firstLine="720"/>
        <w:jc w:val="both"/>
      </w:pPr>
      <w:r w:rsidRPr="003B6AA4">
        <w:t xml:space="preserve">TECO originally proposed to provide six EVs, three charger stations, and other supplemental supplies to each participating high school as a part of the driver’s education program. </w:t>
      </w:r>
      <w:r w:rsidR="00527A63">
        <w:t>However</w:t>
      </w:r>
      <w:r w:rsidRPr="003B6AA4">
        <w:t xml:space="preserve">, </w:t>
      </w:r>
      <w:r w:rsidR="00CE29B3">
        <w:t xml:space="preserve">by its Revised Amendment, </w:t>
      </w:r>
      <w:r w:rsidRPr="003B6AA4">
        <w:t xml:space="preserve">the Utility substantially reduced the capital cost previously associated with the </w:t>
      </w:r>
      <w:r w:rsidR="00CE29B3">
        <w:t>A</w:t>
      </w:r>
      <w:r w:rsidRPr="003B6AA4">
        <w:t xml:space="preserve">mendment. As a part of the revision, the Utility reduced the number of EVs and charging stations to one </w:t>
      </w:r>
      <w:r w:rsidR="007F0DE7">
        <w:t>per</w:t>
      </w:r>
      <w:r w:rsidRPr="003B6AA4">
        <w:t xml:space="preserve"> school, and will only fund the incremental costs to lease or purchase the EV. The Utility</w:t>
      </w:r>
      <w:r w:rsidR="002112FD">
        <w:t xml:space="preserve"> will seek</w:t>
      </w:r>
      <w:r w:rsidRPr="003B6AA4">
        <w:t xml:space="preserve"> to recover</w:t>
      </w:r>
      <w:r w:rsidR="002112FD">
        <w:t xml:space="preserve">, through the Energy Conservation Cost Recovery (ECCR) clause, </w:t>
      </w:r>
      <w:r w:rsidRPr="003B6AA4">
        <w:t xml:space="preserve"> </w:t>
      </w:r>
      <w:r w:rsidR="00E97A1A">
        <w:t xml:space="preserve">(1) </w:t>
      </w:r>
      <w:r w:rsidRPr="003B6AA4">
        <w:t xml:space="preserve">the incremental costs, above the cost of a traditional gasoline-fueled vehicle, necessary to lease or purchase </w:t>
      </w:r>
      <w:r w:rsidR="002112FD">
        <w:t>the required number of EVs</w:t>
      </w:r>
      <w:r w:rsidRPr="003B6AA4">
        <w:t xml:space="preserve"> and </w:t>
      </w:r>
      <w:r w:rsidR="00E97A1A">
        <w:t xml:space="preserve">(2) </w:t>
      </w:r>
      <w:r w:rsidRPr="003B6AA4">
        <w:t xml:space="preserve">the total cost to purchase and install </w:t>
      </w:r>
      <w:r w:rsidR="002112FD">
        <w:t>the required</w:t>
      </w:r>
      <w:r w:rsidRPr="003B6AA4">
        <w:t xml:space="preserve"> charging station</w:t>
      </w:r>
      <w:r w:rsidR="002112FD">
        <w:t>s</w:t>
      </w:r>
      <w:r w:rsidRPr="003B6AA4">
        <w:t xml:space="preserve">. </w:t>
      </w:r>
      <w:r w:rsidR="00E97A1A">
        <w:t>TECO’s</w:t>
      </w:r>
      <w:r w:rsidRPr="003B6AA4">
        <w:t xml:space="preserve"> revision reduced the cost to the minimum level required to full</w:t>
      </w:r>
      <w:r w:rsidR="002372BC">
        <w:t xml:space="preserve">y implement the </w:t>
      </w:r>
      <w:r w:rsidR="00CE29B3">
        <w:t>Revised A</w:t>
      </w:r>
      <w:r w:rsidR="002372BC">
        <w:t>mendment</w:t>
      </w:r>
      <w:r w:rsidRPr="003B6AA4">
        <w:t xml:space="preserve">. The Utility estimates that the </w:t>
      </w:r>
      <w:r w:rsidR="00CE29B3">
        <w:t>Revised Amendment</w:t>
      </w:r>
      <w:r w:rsidRPr="003B6AA4">
        <w:t xml:space="preserve"> will cost</w:t>
      </w:r>
      <w:r w:rsidR="003E52C4">
        <w:t xml:space="preserve"> $439,8</w:t>
      </w:r>
      <w:r w:rsidRPr="003B6AA4">
        <w:t xml:space="preserve">00 through the year 2020. </w:t>
      </w:r>
    </w:p>
    <w:p w:rsidR="001A2C24" w:rsidRPr="003B6AA4" w:rsidRDefault="001A2C24" w:rsidP="001A2C24">
      <w:pPr>
        <w:ind w:firstLine="720"/>
        <w:jc w:val="both"/>
      </w:pPr>
    </w:p>
    <w:p w:rsidR="001A2C24" w:rsidRPr="002B26F0" w:rsidRDefault="001A2C24" w:rsidP="001A2C24">
      <w:pPr>
        <w:pStyle w:val="First-LevelSubheading"/>
        <w:keepNext/>
        <w:rPr>
          <w:rFonts w:ascii="Times New Roman" w:hAnsi="Times New Roman" w:cs="Times New Roman"/>
          <w:b w:val="0"/>
          <w:u w:val="single"/>
        </w:rPr>
      </w:pPr>
      <w:r w:rsidRPr="002B26F0">
        <w:rPr>
          <w:rFonts w:ascii="Times New Roman" w:hAnsi="Times New Roman" w:cs="Times New Roman"/>
          <w:b w:val="0"/>
          <w:u w:val="single"/>
        </w:rPr>
        <w:t>Program Advancement of FEECA Objectives</w:t>
      </w:r>
    </w:p>
    <w:p w:rsidR="007F293C" w:rsidRDefault="007F293C" w:rsidP="001A2C24">
      <w:pPr>
        <w:pStyle w:val="BodyText"/>
      </w:pPr>
    </w:p>
    <w:p w:rsidR="001A2C24" w:rsidRPr="003B6AA4" w:rsidRDefault="003B6AA4" w:rsidP="001A2C24">
      <w:pPr>
        <w:pStyle w:val="BodyText"/>
      </w:pPr>
      <w:r w:rsidRPr="003B6AA4">
        <w:tab/>
      </w:r>
      <w:r w:rsidR="001A2C24" w:rsidRPr="003B6AA4">
        <w:t xml:space="preserve">The Utility states that the </w:t>
      </w:r>
      <w:r w:rsidR="00CE29B3">
        <w:t>Revised</w:t>
      </w:r>
      <w:r w:rsidR="001A2C24" w:rsidRPr="003B6AA4">
        <w:t xml:space="preserve"> </w:t>
      </w:r>
      <w:r w:rsidR="00CE29B3">
        <w:t>Amendment</w:t>
      </w:r>
      <w:r w:rsidR="001A2C24" w:rsidRPr="003B6AA4">
        <w:t xml:space="preserve"> is</w:t>
      </w:r>
      <w:r w:rsidR="00540F7E">
        <w:t>,</w:t>
      </w:r>
      <w:r w:rsidR="001A2C24" w:rsidRPr="003B6AA4">
        <w:t xml:space="preserve"> </w:t>
      </w:r>
    </w:p>
    <w:p w:rsidR="00095627" w:rsidRDefault="00187A40" w:rsidP="00095627">
      <w:pPr>
        <w:ind w:right="1440"/>
        <w:jc w:val="both"/>
      </w:pPr>
      <w:r>
        <w:tab/>
      </w:r>
    </w:p>
    <w:p w:rsidR="001A2C24" w:rsidRDefault="001A2C24" w:rsidP="008F286B">
      <w:pPr>
        <w:ind w:left="720" w:right="720"/>
        <w:jc w:val="both"/>
      </w:pPr>
      <w:r w:rsidRPr="003B6AA4">
        <w:t>consistent with the Commission’s past</w:t>
      </w:r>
      <w:r w:rsidR="008F286B">
        <w:t xml:space="preserve"> practice of focusing on energy </w:t>
      </w:r>
      <w:r w:rsidRPr="003B6AA4">
        <w:t>education and making customers aware of energy efficie</w:t>
      </w:r>
      <w:r w:rsidR="00527A63">
        <w:t xml:space="preserve">nt technologies </w:t>
      </w:r>
      <w:r w:rsidR="009D0460">
        <w:t xml:space="preserve">while </w:t>
      </w:r>
      <w:r w:rsidR="00527A63">
        <w:t>expanding</w:t>
      </w:r>
      <w:r w:rsidR="009D0460">
        <w:t xml:space="preserve"> </w:t>
      </w:r>
      <w:r w:rsidRPr="003B6AA4">
        <w:t>it to place em</w:t>
      </w:r>
      <w:r w:rsidR="009D0460">
        <w:t>p</w:t>
      </w:r>
      <w:r w:rsidR="00095627">
        <w:t xml:space="preserve">hasis on decreasing the energy </w:t>
      </w:r>
      <w:r w:rsidRPr="003B6AA4">
        <w:t>consumption from the resultant use of an EV as well as educating the driver when to charge the EV to minimize any concurrent peak demand impacts to the company.</w:t>
      </w:r>
    </w:p>
    <w:p w:rsidR="00095627" w:rsidRPr="003B6AA4" w:rsidRDefault="00095627" w:rsidP="00095627">
      <w:pPr>
        <w:ind w:right="1440"/>
        <w:jc w:val="both"/>
      </w:pPr>
    </w:p>
    <w:p w:rsidR="001A2C24" w:rsidRPr="003B6AA4" w:rsidRDefault="001A2C24" w:rsidP="001A2C24">
      <w:pPr>
        <w:jc w:val="both"/>
      </w:pPr>
    </w:p>
    <w:p w:rsidR="00095627" w:rsidRDefault="001A2C24" w:rsidP="001A2C24">
      <w:pPr>
        <w:ind w:firstLine="720"/>
        <w:jc w:val="both"/>
      </w:pPr>
      <w:r w:rsidRPr="003B6AA4">
        <w:t xml:space="preserve">Education programs </w:t>
      </w:r>
      <w:r w:rsidR="007F293C">
        <w:t>are intended</w:t>
      </w:r>
      <w:r w:rsidRPr="003B6AA4">
        <w:t xml:space="preserve"> to inform ratepayers about the impact of electric</w:t>
      </w:r>
      <w:r w:rsidR="00095627">
        <w:t>ity-</w:t>
      </w:r>
      <w:r w:rsidRPr="003B6AA4">
        <w:t xml:space="preserve">consuming devices and appliances on the electric system, </w:t>
      </w:r>
      <w:r w:rsidR="00527A63">
        <w:t>the ratepayers’</w:t>
      </w:r>
      <w:r w:rsidRPr="003B6AA4">
        <w:t xml:space="preserve"> role</w:t>
      </w:r>
      <w:r w:rsidR="00527A63">
        <w:t>s</w:t>
      </w:r>
      <w:r w:rsidRPr="003B6AA4">
        <w:t xml:space="preserve"> as consumers of electricity, and actions that could help conserve energy or reduce peak demand. </w:t>
      </w:r>
      <w:r w:rsidR="007F0DE7">
        <w:t>In</w:t>
      </w:r>
      <w:r w:rsidR="007F293C">
        <w:t xml:space="preserve"> its</w:t>
      </w:r>
      <w:r w:rsidRPr="003B6AA4">
        <w:t xml:space="preserve"> revised petition</w:t>
      </w:r>
      <w:r w:rsidR="007F0DE7">
        <w:t>,</w:t>
      </w:r>
      <w:r w:rsidR="007F293C">
        <w:t xml:space="preserve"> the Utility</w:t>
      </w:r>
      <w:r w:rsidRPr="003B6AA4">
        <w:t xml:space="preserve"> addresses </w:t>
      </w:r>
      <w:r w:rsidR="007F293C">
        <w:t>the</w:t>
      </w:r>
      <w:r w:rsidR="007F0DE7">
        <w:t>se</w:t>
      </w:r>
      <w:r w:rsidR="007F293C">
        <w:t xml:space="preserve"> purposes </w:t>
      </w:r>
      <w:r w:rsidRPr="003B6AA4">
        <w:t xml:space="preserve">by providing education associated with EVs. </w:t>
      </w:r>
      <w:r w:rsidR="007F293C">
        <w:t>Although we have</w:t>
      </w:r>
      <w:r w:rsidRPr="003B6AA4">
        <w:t xml:space="preserve"> concerns </w:t>
      </w:r>
      <w:r w:rsidR="007F0DE7">
        <w:t>with</w:t>
      </w:r>
      <w:r w:rsidRPr="003B6AA4">
        <w:t xml:space="preserve"> the potential load building role of E</w:t>
      </w:r>
      <w:r w:rsidR="007F0DE7">
        <w:t>V</w:t>
      </w:r>
      <w:r w:rsidRPr="003B6AA4">
        <w:t>s</w:t>
      </w:r>
      <w:r w:rsidR="007F293C">
        <w:t>, we find that</w:t>
      </w:r>
      <w:r w:rsidRPr="003B6AA4">
        <w:t xml:space="preserve"> providing general information regarding the impact of EVs on the electric system</w:t>
      </w:r>
      <w:r w:rsidR="00095627">
        <w:t>,</w:t>
      </w:r>
      <w:r w:rsidRPr="003B6AA4">
        <w:t xml:space="preserve"> and </w:t>
      </w:r>
      <w:r w:rsidR="00BB6BFD">
        <w:t xml:space="preserve">the </w:t>
      </w:r>
      <w:r w:rsidRPr="003B6AA4">
        <w:t xml:space="preserve">efficient use of </w:t>
      </w:r>
      <w:r w:rsidR="00BB6BFD">
        <w:t>EVs</w:t>
      </w:r>
      <w:r w:rsidRPr="003B6AA4">
        <w:t xml:space="preserve"> is consistent with the policy objectives of FEECA.</w:t>
      </w:r>
    </w:p>
    <w:p w:rsidR="00095627" w:rsidRDefault="00095627" w:rsidP="001A2C24">
      <w:pPr>
        <w:ind w:firstLine="720"/>
        <w:jc w:val="both"/>
      </w:pPr>
    </w:p>
    <w:p w:rsidR="00095627" w:rsidRPr="002B26F0" w:rsidRDefault="00095627" w:rsidP="00095627">
      <w:pPr>
        <w:ind w:left="-720" w:firstLine="720"/>
        <w:jc w:val="both"/>
        <w:rPr>
          <w:u w:val="single"/>
        </w:rPr>
      </w:pPr>
      <w:r w:rsidRPr="002B26F0">
        <w:rPr>
          <w:u w:val="single"/>
        </w:rPr>
        <w:t xml:space="preserve">Program Cost </w:t>
      </w:r>
    </w:p>
    <w:p w:rsidR="00095627" w:rsidRDefault="00095627" w:rsidP="001A2C24">
      <w:pPr>
        <w:ind w:firstLine="720"/>
        <w:jc w:val="both"/>
      </w:pPr>
    </w:p>
    <w:p w:rsidR="001A2C24" w:rsidRPr="003B6AA4" w:rsidRDefault="001A2C24" w:rsidP="001A2C24">
      <w:pPr>
        <w:ind w:firstLine="720"/>
        <w:jc w:val="both"/>
      </w:pPr>
      <w:r w:rsidRPr="003B6AA4">
        <w:t xml:space="preserve">While the costs of implementing the </w:t>
      </w:r>
      <w:r w:rsidR="00CE29B3">
        <w:t>Revised A</w:t>
      </w:r>
      <w:r w:rsidR="007F0DE7">
        <w:t>mendment</w:t>
      </w:r>
      <w:r w:rsidRPr="003B6AA4">
        <w:t xml:space="preserve"> include</w:t>
      </w:r>
      <w:r w:rsidR="002372BC">
        <w:t>s</w:t>
      </w:r>
      <w:r w:rsidRPr="003B6AA4">
        <w:t xml:space="preserve"> more capital items than other educational programs, </w:t>
      </w:r>
      <w:r w:rsidR="007F0DE7">
        <w:t>through</w:t>
      </w:r>
      <w:r w:rsidR="00E92026">
        <w:t xml:space="preserve"> its</w:t>
      </w:r>
      <w:r w:rsidRPr="003B6AA4">
        <w:t xml:space="preserve"> revised petition</w:t>
      </w:r>
      <w:r w:rsidR="00E92026">
        <w:t xml:space="preserve"> TECO</w:t>
      </w:r>
      <w:r w:rsidRPr="003B6AA4">
        <w:t xml:space="preserve"> seeks to minimize the</w:t>
      </w:r>
      <w:r w:rsidR="002372BC">
        <w:t xml:space="preserve"> amount of</w:t>
      </w:r>
      <w:r w:rsidRPr="003B6AA4">
        <w:t xml:space="preserve"> capital needed. As shown in </w:t>
      </w:r>
      <w:r w:rsidR="00E92026">
        <w:t>the table below,</w:t>
      </w:r>
      <w:r w:rsidRPr="003B6AA4">
        <w:t xml:space="preserve"> 26.3 percent</w:t>
      </w:r>
      <w:r w:rsidR="00E92026">
        <w:t xml:space="preserve"> of the proposed cost</w:t>
      </w:r>
      <w:r w:rsidRPr="003B6AA4">
        <w:t xml:space="preserve"> is </w:t>
      </w:r>
      <w:r w:rsidRPr="003B6AA4">
        <w:lastRenderedPageBreak/>
        <w:t xml:space="preserve">allocated to educational purposes. Capital projects and </w:t>
      </w:r>
      <w:r w:rsidR="00024A04" w:rsidRPr="003B6AA4">
        <w:t>the</w:t>
      </w:r>
      <w:r w:rsidR="00024A04">
        <w:t xml:space="preserve"> associated maintenance</w:t>
      </w:r>
      <w:r w:rsidR="00E92026">
        <w:t xml:space="preserve"> </w:t>
      </w:r>
      <w:r w:rsidRPr="003B6AA4">
        <w:t xml:space="preserve">make up 57.5 percent of the </w:t>
      </w:r>
      <w:r w:rsidR="00CE29B3">
        <w:t>Revised Amendment</w:t>
      </w:r>
      <w:r w:rsidRPr="003B6AA4">
        <w:t>’s incremental costs</w:t>
      </w:r>
      <w:r w:rsidR="00E92026">
        <w:t>;</w:t>
      </w:r>
      <w:r w:rsidRPr="003B6AA4">
        <w:t xml:space="preserve"> </w:t>
      </w:r>
      <w:r w:rsidR="00E92026">
        <w:t>this</w:t>
      </w:r>
      <w:r w:rsidRPr="003B6AA4">
        <w:t xml:space="preserve"> includes the lease of EVs, installation of chargers, and annual inspections.</w:t>
      </w:r>
    </w:p>
    <w:p w:rsidR="001A2C24" w:rsidRPr="003B6AA4" w:rsidRDefault="001A2C24" w:rsidP="001A2C24">
      <w:pPr>
        <w:ind w:firstLine="720"/>
        <w:jc w:val="both"/>
      </w:pPr>
    </w:p>
    <w:p w:rsidR="001A2C24" w:rsidRPr="003B6AA4" w:rsidRDefault="001A2C24" w:rsidP="001A2C24">
      <w:pPr>
        <w:ind w:firstLine="720"/>
        <w:jc w:val="both"/>
      </w:pPr>
    </w:p>
    <w:p w:rsidR="001A2C24" w:rsidRPr="002B26F0" w:rsidRDefault="00CE29B3" w:rsidP="001A2C24">
      <w:pPr>
        <w:pStyle w:val="TableTitle"/>
        <w:keepNext/>
        <w:rPr>
          <w:rFonts w:ascii="Times New Roman" w:hAnsi="Times New Roman"/>
        </w:rPr>
      </w:pPr>
      <w:r w:rsidRPr="002B26F0">
        <w:rPr>
          <w:rFonts w:ascii="Times New Roman" w:hAnsi="Times New Roman"/>
        </w:rPr>
        <w:t>Revised Amendment</w:t>
      </w:r>
      <w:r w:rsidR="001A2C24" w:rsidRPr="002B26F0">
        <w:rPr>
          <w:rFonts w:ascii="Times New Roman" w:hAnsi="Times New Roman"/>
        </w:rPr>
        <w:t xml:space="preserve"> Cost Breakdown</w:t>
      </w:r>
    </w:p>
    <w:tbl>
      <w:tblPr>
        <w:tblStyle w:val="TableGrid"/>
        <w:tblW w:w="0" w:type="auto"/>
        <w:tblLayout w:type="fixed"/>
        <w:tblLook w:val="04A0" w:firstRow="1" w:lastRow="0" w:firstColumn="1" w:lastColumn="0" w:noHBand="0" w:noVBand="1"/>
      </w:tblPr>
      <w:tblGrid>
        <w:gridCol w:w="2538"/>
        <w:gridCol w:w="1170"/>
        <w:gridCol w:w="1170"/>
        <w:gridCol w:w="1170"/>
        <w:gridCol w:w="1170"/>
        <w:gridCol w:w="1350"/>
        <w:gridCol w:w="1008"/>
      </w:tblGrid>
      <w:tr w:rsidR="001A2C24" w:rsidRPr="003B6AA4" w:rsidTr="00350F85">
        <w:tc>
          <w:tcPr>
            <w:tcW w:w="2538" w:type="dxa"/>
          </w:tcPr>
          <w:p w:rsidR="001A2C24" w:rsidRPr="003B6AA4" w:rsidRDefault="001A2C24" w:rsidP="00350F85">
            <w:pPr>
              <w:keepNext/>
            </w:pPr>
          </w:p>
        </w:tc>
        <w:tc>
          <w:tcPr>
            <w:tcW w:w="1170" w:type="dxa"/>
            <w:vAlign w:val="center"/>
          </w:tcPr>
          <w:p w:rsidR="001A2C24" w:rsidRPr="003B6AA4" w:rsidRDefault="001A2C24" w:rsidP="00350F85">
            <w:pPr>
              <w:keepNext/>
              <w:jc w:val="center"/>
              <w:rPr>
                <w:b/>
              </w:rPr>
            </w:pPr>
            <w:r w:rsidRPr="003B6AA4">
              <w:rPr>
                <w:b/>
              </w:rPr>
              <w:t>2017</w:t>
            </w:r>
          </w:p>
        </w:tc>
        <w:tc>
          <w:tcPr>
            <w:tcW w:w="1170" w:type="dxa"/>
            <w:vAlign w:val="center"/>
          </w:tcPr>
          <w:p w:rsidR="001A2C24" w:rsidRPr="003B6AA4" w:rsidRDefault="001A2C24" w:rsidP="00350F85">
            <w:pPr>
              <w:keepNext/>
              <w:jc w:val="center"/>
              <w:rPr>
                <w:b/>
              </w:rPr>
            </w:pPr>
            <w:r w:rsidRPr="003B6AA4">
              <w:rPr>
                <w:b/>
              </w:rPr>
              <w:t>2018</w:t>
            </w:r>
          </w:p>
        </w:tc>
        <w:tc>
          <w:tcPr>
            <w:tcW w:w="1170" w:type="dxa"/>
            <w:vAlign w:val="center"/>
          </w:tcPr>
          <w:p w:rsidR="001A2C24" w:rsidRPr="003B6AA4" w:rsidRDefault="001A2C24" w:rsidP="00350F85">
            <w:pPr>
              <w:keepNext/>
              <w:jc w:val="center"/>
              <w:rPr>
                <w:b/>
              </w:rPr>
            </w:pPr>
            <w:r w:rsidRPr="003B6AA4">
              <w:rPr>
                <w:b/>
              </w:rPr>
              <w:t>2019</w:t>
            </w:r>
          </w:p>
        </w:tc>
        <w:tc>
          <w:tcPr>
            <w:tcW w:w="1170" w:type="dxa"/>
            <w:vAlign w:val="center"/>
          </w:tcPr>
          <w:p w:rsidR="001A2C24" w:rsidRPr="003B6AA4" w:rsidRDefault="001A2C24" w:rsidP="00350F85">
            <w:pPr>
              <w:keepNext/>
              <w:jc w:val="center"/>
              <w:rPr>
                <w:b/>
              </w:rPr>
            </w:pPr>
            <w:r w:rsidRPr="003B6AA4">
              <w:rPr>
                <w:b/>
              </w:rPr>
              <w:t>2020</w:t>
            </w:r>
          </w:p>
        </w:tc>
        <w:tc>
          <w:tcPr>
            <w:tcW w:w="1350" w:type="dxa"/>
            <w:vAlign w:val="center"/>
          </w:tcPr>
          <w:p w:rsidR="001A2C24" w:rsidRPr="003B6AA4" w:rsidRDefault="001A2C24" w:rsidP="00350F85">
            <w:pPr>
              <w:keepNext/>
              <w:jc w:val="center"/>
              <w:rPr>
                <w:b/>
              </w:rPr>
            </w:pPr>
            <w:r w:rsidRPr="003B6AA4">
              <w:rPr>
                <w:b/>
              </w:rPr>
              <w:t>Total</w:t>
            </w:r>
          </w:p>
        </w:tc>
        <w:tc>
          <w:tcPr>
            <w:tcW w:w="1008" w:type="dxa"/>
            <w:vAlign w:val="center"/>
          </w:tcPr>
          <w:p w:rsidR="001A2C24" w:rsidRPr="003B6AA4" w:rsidRDefault="001A2C24" w:rsidP="00350F85">
            <w:pPr>
              <w:keepNext/>
              <w:jc w:val="center"/>
              <w:rPr>
                <w:b/>
              </w:rPr>
            </w:pPr>
            <w:r w:rsidRPr="003B6AA4">
              <w:rPr>
                <w:b/>
              </w:rPr>
              <w:t>% of Grand Total</w:t>
            </w:r>
          </w:p>
        </w:tc>
      </w:tr>
      <w:tr w:rsidR="001A2C24" w:rsidRPr="003B6AA4" w:rsidTr="00350F85">
        <w:tc>
          <w:tcPr>
            <w:tcW w:w="2538" w:type="dxa"/>
          </w:tcPr>
          <w:p w:rsidR="001A2C24" w:rsidRPr="003B6AA4" w:rsidRDefault="001A2C24" w:rsidP="00350F85">
            <w:pPr>
              <w:keepNext/>
              <w:rPr>
                <w:b/>
              </w:rPr>
            </w:pPr>
            <w:r w:rsidRPr="003B6AA4">
              <w:rPr>
                <w:b/>
              </w:rPr>
              <w:t>Electric Vehicles</w:t>
            </w:r>
          </w:p>
        </w:tc>
        <w:tc>
          <w:tcPr>
            <w:tcW w:w="1170" w:type="dxa"/>
            <w:vAlign w:val="center"/>
          </w:tcPr>
          <w:p w:rsidR="001A2C24" w:rsidRPr="003B6AA4" w:rsidRDefault="001A2C24" w:rsidP="00350F85">
            <w:pPr>
              <w:keepNext/>
              <w:jc w:val="right"/>
            </w:pPr>
            <w:r w:rsidRPr="003B6AA4">
              <w:t>$3,000</w:t>
            </w:r>
          </w:p>
        </w:tc>
        <w:tc>
          <w:tcPr>
            <w:tcW w:w="1170" w:type="dxa"/>
            <w:vAlign w:val="center"/>
          </w:tcPr>
          <w:p w:rsidR="001A2C24" w:rsidRPr="003B6AA4" w:rsidRDefault="001A2C24" w:rsidP="00350F85">
            <w:pPr>
              <w:keepNext/>
              <w:jc w:val="right"/>
            </w:pPr>
            <w:r w:rsidRPr="003B6AA4">
              <w:t>$18,000</w:t>
            </w:r>
          </w:p>
        </w:tc>
        <w:tc>
          <w:tcPr>
            <w:tcW w:w="1170" w:type="dxa"/>
            <w:vAlign w:val="center"/>
          </w:tcPr>
          <w:p w:rsidR="001A2C24" w:rsidRPr="003B6AA4" w:rsidRDefault="001A2C24" w:rsidP="00350F85">
            <w:pPr>
              <w:keepNext/>
              <w:jc w:val="right"/>
            </w:pPr>
            <w:r w:rsidRPr="003B6AA4">
              <w:t>$24,000</w:t>
            </w:r>
          </w:p>
        </w:tc>
        <w:tc>
          <w:tcPr>
            <w:tcW w:w="1170" w:type="dxa"/>
            <w:vAlign w:val="center"/>
          </w:tcPr>
          <w:p w:rsidR="001A2C24" w:rsidRPr="003B6AA4" w:rsidRDefault="001A2C24" w:rsidP="00350F85">
            <w:pPr>
              <w:keepNext/>
              <w:jc w:val="right"/>
            </w:pPr>
            <w:r w:rsidRPr="003B6AA4">
              <w:t>$24,000</w:t>
            </w:r>
          </w:p>
        </w:tc>
        <w:tc>
          <w:tcPr>
            <w:tcW w:w="1350" w:type="dxa"/>
            <w:vAlign w:val="center"/>
          </w:tcPr>
          <w:p w:rsidR="001A2C24" w:rsidRPr="003B6AA4" w:rsidRDefault="001A2C24" w:rsidP="00350F85">
            <w:pPr>
              <w:keepNext/>
              <w:jc w:val="right"/>
            </w:pPr>
            <w:r w:rsidRPr="003B6AA4">
              <w:t>$69,000</w:t>
            </w:r>
          </w:p>
        </w:tc>
        <w:tc>
          <w:tcPr>
            <w:tcW w:w="1008" w:type="dxa"/>
            <w:vAlign w:val="center"/>
          </w:tcPr>
          <w:p w:rsidR="001A2C24" w:rsidRPr="003B6AA4" w:rsidRDefault="001A2C24" w:rsidP="00350F85">
            <w:pPr>
              <w:keepNext/>
              <w:jc w:val="right"/>
            </w:pPr>
            <w:r w:rsidRPr="003B6AA4">
              <w:t>15.7%</w:t>
            </w:r>
          </w:p>
        </w:tc>
      </w:tr>
      <w:tr w:rsidR="001A2C24" w:rsidRPr="003B6AA4" w:rsidTr="00350F85">
        <w:tc>
          <w:tcPr>
            <w:tcW w:w="2538" w:type="dxa"/>
          </w:tcPr>
          <w:p w:rsidR="001A2C24" w:rsidRPr="003B6AA4" w:rsidRDefault="001A2C24" w:rsidP="00350F85">
            <w:pPr>
              <w:keepNext/>
              <w:rPr>
                <w:b/>
              </w:rPr>
            </w:pPr>
            <w:r w:rsidRPr="003B6AA4">
              <w:rPr>
                <w:b/>
              </w:rPr>
              <w:t>Charger</w:t>
            </w:r>
          </w:p>
        </w:tc>
        <w:tc>
          <w:tcPr>
            <w:tcW w:w="1170" w:type="dxa"/>
            <w:vAlign w:val="center"/>
          </w:tcPr>
          <w:p w:rsidR="001A2C24" w:rsidRPr="003B6AA4" w:rsidRDefault="001A2C24" w:rsidP="00350F85">
            <w:pPr>
              <w:keepNext/>
              <w:jc w:val="right"/>
            </w:pPr>
            <w:r w:rsidRPr="003B6AA4">
              <w:t>$8,000</w:t>
            </w:r>
          </w:p>
        </w:tc>
        <w:tc>
          <w:tcPr>
            <w:tcW w:w="1170" w:type="dxa"/>
            <w:vAlign w:val="center"/>
          </w:tcPr>
          <w:p w:rsidR="001A2C24" w:rsidRPr="003B6AA4" w:rsidRDefault="001A2C24" w:rsidP="00350F85">
            <w:pPr>
              <w:keepNext/>
              <w:jc w:val="right"/>
            </w:pPr>
            <w:r w:rsidRPr="003B6AA4">
              <w:t>$32,000</w:t>
            </w:r>
          </w:p>
        </w:tc>
        <w:tc>
          <w:tcPr>
            <w:tcW w:w="1170" w:type="dxa"/>
            <w:vAlign w:val="center"/>
          </w:tcPr>
          <w:p w:rsidR="001A2C24" w:rsidRPr="003B6AA4" w:rsidRDefault="001A2C24" w:rsidP="00350F85">
            <w:pPr>
              <w:keepNext/>
              <w:jc w:val="right"/>
            </w:pPr>
            <w:r w:rsidRPr="003B6AA4">
              <w:t>$0</w:t>
            </w:r>
          </w:p>
        </w:tc>
        <w:tc>
          <w:tcPr>
            <w:tcW w:w="1170" w:type="dxa"/>
            <w:vAlign w:val="center"/>
          </w:tcPr>
          <w:p w:rsidR="001A2C24" w:rsidRPr="003B6AA4" w:rsidRDefault="001A2C24" w:rsidP="00350F85">
            <w:pPr>
              <w:keepNext/>
              <w:jc w:val="right"/>
            </w:pPr>
            <w:r w:rsidRPr="003B6AA4">
              <w:t>$0</w:t>
            </w:r>
          </w:p>
        </w:tc>
        <w:tc>
          <w:tcPr>
            <w:tcW w:w="1350" w:type="dxa"/>
            <w:vAlign w:val="center"/>
          </w:tcPr>
          <w:p w:rsidR="001A2C24" w:rsidRPr="003B6AA4" w:rsidRDefault="001A2C24" w:rsidP="00350F85">
            <w:pPr>
              <w:keepNext/>
              <w:jc w:val="right"/>
            </w:pPr>
            <w:r w:rsidRPr="003B6AA4">
              <w:t>$40,000</w:t>
            </w:r>
          </w:p>
        </w:tc>
        <w:tc>
          <w:tcPr>
            <w:tcW w:w="1008" w:type="dxa"/>
            <w:vAlign w:val="center"/>
          </w:tcPr>
          <w:p w:rsidR="001A2C24" w:rsidRPr="003B6AA4" w:rsidRDefault="001A2C24" w:rsidP="00350F85">
            <w:pPr>
              <w:keepNext/>
              <w:jc w:val="right"/>
            </w:pPr>
            <w:r w:rsidRPr="003B6AA4">
              <w:t>9.1%</w:t>
            </w:r>
          </w:p>
        </w:tc>
      </w:tr>
      <w:tr w:rsidR="001A2C24" w:rsidRPr="003B6AA4" w:rsidTr="00350F85">
        <w:tc>
          <w:tcPr>
            <w:tcW w:w="2538" w:type="dxa"/>
          </w:tcPr>
          <w:p w:rsidR="001A2C24" w:rsidRPr="003B6AA4" w:rsidRDefault="001A2C24" w:rsidP="00350F85">
            <w:pPr>
              <w:keepNext/>
              <w:rPr>
                <w:b/>
              </w:rPr>
            </w:pPr>
            <w:r w:rsidRPr="003B6AA4">
              <w:rPr>
                <w:b/>
              </w:rPr>
              <w:t>Charger Installation</w:t>
            </w:r>
          </w:p>
        </w:tc>
        <w:tc>
          <w:tcPr>
            <w:tcW w:w="1170" w:type="dxa"/>
            <w:vAlign w:val="center"/>
          </w:tcPr>
          <w:p w:rsidR="001A2C24" w:rsidRPr="003B6AA4" w:rsidRDefault="001A2C24" w:rsidP="00350F85">
            <w:pPr>
              <w:keepNext/>
              <w:jc w:val="right"/>
            </w:pPr>
            <w:r w:rsidRPr="003B6AA4">
              <w:t>$27,000</w:t>
            </w:r>
          </w:p>
        </w:tc>
        <w:tc>
          <w:tcPr>
            <w:tcW w:w="1170" w:type="dxa"/>
            <w:vAlign w:val="center"/>
          </w:tcPr>
          <w:p w:rsidR="001A2C24" w:rsidRPr="003B6AA4" w:rsidRDefault="001A2C24" w:rsidP="00350F85">
            <w:pPr>
              <w:keepNext/>
              <w:jc w:val="right"/>
            </w:pPr>
            <w:r w:rsidRPr="003B6AA4">
              <w:t>$108,000</w:t>
            </w:r>
          </w:p>
        </w:tc>
        <w:tc>
          <w:tcPr>
            <w:tcW w:w="1170" w:type="dxa"/>
            <w:vAlign w:val="center"/>
          </w:tcPr>
          <w:p w:rsidR="001A2C24" w:rsidRPr="003B6AA4" w:rsidRDefault="001A2C24" w:rsidP="00350F85">
            <w:pPr>
              <w:keepNext/>
              <w:jc w:val="right"/>
            </w:pPr>
            <w:r w:rsidRPr="003B6AA4">
              <w:t>$0</w:t>
            </w:r>
          </w:p>
        </w:tc>
        <w:tc>
          <w:tcPr>
            <w:tcW w:w="1170" w:type="dxa"/>
            <w:vAlign w:val="center"/>
          </w:tcPr>
          <w:p w:rsidR="001A2C24" w:rsidRPr="003B6AA4" w:rsidRDefault="001A2C24" w:rsidP="00350F85">
            <w:pPr>
              <w:keepNext/>
              <w:jc w:val="right"/>
            </w:pPr>
            <w:r w:rsidRPr="003B6AA4">
              <w:t>$0</w:t>
            </w:r>
          </w:p>
        </w:tc>
        <w:tc>
          <w:tcPr>
            <w:tcW w:w="1350" w:type="dxa"/>
            <w:vAlign w:val="center"/>
          </w:tcPr>
          <w:p w:rsidR="001A2C24" w:rsidRPr="003B6AA4" w:rsidRDefault="001A2C24" w:rsidP="00350F85">
            <w:pPr>
              <w:keepNext/>
              <w:jc w:val="right"/>
            </w:pPr>
            <w:r w:rsidRPr="003B6AA4">
              <w:t>$135,000</w:t>
            </w:r>
          </w:p>
        </w:tc>
        <w:tc>
          <w:tcPr>
            <w:tcW w:w="1008" w:type="dxa"/>
            <w:vAlign w:val="center"/>
          </w:tcPr>
          <w:p w:rsidR="001A2C24" w:rsidRPr="003B6AA4" w:rsidRDefault="001A2C24" w:rsidP="00350F85">
            <w:pPr>
              <w:keepNext/>
              <w:jc w:val="right"/>
            </w:pPr>
            <w:r w:rsidRPr="003B6AA4">
              <w:t>30.7%</w:t>
            </w:r>
          </w:p>
        </w:tc>
      </w:tr>
      <w:tr w:rsidR="001A2C24" w:rsidRPr="003B6AA4" w:rsidTr="00350F85">
        <w:tc>
          <w:tcPr>
            <w:tcW w:w="2538" w:type="dxa"/>
          </w:tcPr>
          <w:p w:rsidR="001A2C24" w:rsidRPr="003B6AA4" w:rsidRDefault="001A2C24" w:rsidP="00350F85">
            <w:pPr>
              <w:keepNext/>
              <w:rPr>
                <w:b/>
              </w:rPr>
            </w:pPr>
            <w:r w:rsidRPr="003B6AA4">
              <w:rPr>
                <w:b/>
              </w:rPr>
              <w:t>Charger Inspections</w:t>
            </w:r>
          </w:p>
        </w:tc>
        <w:tc>
          <w:tcPr>
            <w:tcW w:w="1170" w:type="dxa"/>
            <w:vAlign w:val="center"/>
          </w:tcPr>
          <w:p w:rsidR="001A2C24" w:rsidRPr="003B6AA4" w:rsidRDefault="001A2C24" w:rsidP="00350F85">
            <w:pPr>
              <w:keepNext/>
              <w:jc w:val="right"/>
            </w:pPr>
            <w:r w:rsidRPr="003B6AA4">
              <w:t>$0</w:t>
            </w:r>
          </w:p>
        </w:tc>
        <w:tc>
          <w:tcPr>
            <w:tcW w:w="1170" w:type="dxa"/>
            <w:vAlign w:val="center"/>
          </w:tcPr>
          <w:p w:rsidR="001A2C24" w:rsidRPr="003B6AA4" w:rsidRDefault="001A2C24" w:rsidP="00350F85">
            <w:pPr>
              <w:keepNext/>
              <w:jc w:val="right"/>
            </w:pPr>
            <w:r w:rsidRPr="003B6AA4">
              <w:t>$800</w:t>
            </w:r>
          </w:p>
        </w:tc>
        <w:tc>
          <w:tcPr>
            <w:tcW w:w="1170" w:type="dxa"/>
            <w:vAlign w:val="center"/>
          </w:tcPr>
          <w:p w:rsidR="001A2C24" w:rsidRPr="003B6AA4" w:rsidRDefault="001A2C24" w:rsidP="00350F85">
            <w:pPr>
              <w:keepNext/>
              <w:jc w:val="right"/>
            </w:pPr>
            <w:r w:rsidRPr="003B6AA4">
              <w:t>$4,000</w:t>
            </w:r>
          </w:p>
        </w:tc>
        <w:tc>
          <w:tcPr>
            <w:tcW w:w="1170" w:type="dxa"/>
            <w:vAlign w:val="center"/>
          </w:tcPr>
          <w:p w:rsidR="001A2C24" w:rsidRPr="003B6AA4" w:rsidRDefault="001A2C24" w:rsidP="00350F85">
            <w:pPr>
              <w:keepNext/>
              <w:jc w:val="right"/>
            </w:pPr>
            <w:r w:rsidRPr="003B6AA4">
              <w:t>$4,000</w:t>
            </w:r>
          </w:p>
        </w:tc>
        <w:tc>
          <w:tcPr>
            <w:tcW w:w="1350" w:type="dxa"/>
            <w:vAlign w:val="center"/>
          </w:tcPr>
          <w:p w:rsidR="001A2C24" w:rsidRPr="003B6AA4" w:rsidRDefault="001A2C24" w:rsidP="00350F85">
            <w:pPr>
              <w:keepNext/>
              <w:jc w:val="right"/>
            </w:pPr>
            <w:r w:rsidRPr="003B6AA4">
              <w:t>$8,800</w:t>
            </w:r>
          </w:p>
        </w:tc>
        <w:tc>
          <w:tcPr>
            <w:tcW w:w="1008" w:type="dxa"/>
            <w:vAlign w:val="center"/>
          </w:tcPr>
          <w:p w:rsidR="001A2C24" w:rsidRPr="003B6AA4" w:rsidRDefault="001A2C24" w:rsidP="00350F85">
            <w:pPr>
              <w:keepNext/>
              <w:jc w:val="right"/>
            </w:pPr>
            <w:r w:rsidRPr="003B6AA4">
              <w:t>2.0%</w:t>
            </w:r>
          </w:p>
        </w:tc>
      </w:tr>
      <w:tr w:rsidR="001A2C24" w:rsidRPr="003B6AA4" w:rsidTr="00350F85">
        <w:tc>
          <w:tcPr>
            <w:tcW w:w="2538" w:type="dxa"/>
          </w:tcPr>
          <w:p w:rsidR="001A2C24" w:rsidRPr="003B6AA4" w:rsidRDefault="001A2C24" w:rsidP="00350F85">
            <w:pPr>
              <w:keepNext/>
              <w:rPr>
                <w:b/>
              </w:rPr>
            </w:pPr>
            <w:r w:rsidRPr="003B6AA4">
              <w:rPr>
                <w:b/>
              </w:rPr>
              <w:t>Program Manager</w:t>
            </w:r>
          </w:p>
        </w:tc>
        <w:tc>
          <w:tcPr>
            <w:tcW w:w="1170" w:type="dxa"/>
            <w:vAlign w:val="center"/>
          </w:tcPr>
          <w:p w:rsidR="001A2C24" w:rsidRPr="003B6AA4" w:rsidRDefault="001A2C24" w:rsidP="00350F85">
            <w:pPr>
              <w:keepNext/>
              <w:jc w:val="right"/>
            </w:pPr>
            <w:r w:rsidRPr="003B6AA4">
              <w:t>$10,000</w:t>
            </w:r>
          </w:p>
        </w:tc>
        <w:tc>
          <w:tcPr>
            <w:tcW w:w="1170" w:type="dxa"/>
            <w:vAlign w:val="center"/>
          </w:tcPr>
          <w:p w:rsidR="001A2C24" w:rsidRPr="003B6AA4" w:rsidRDefault="001A2C24" w:rsidP="00350F85">
            <w:pPr>
              <w:keepNext/>
              <w:jc w:val="right"/>
            </w:pPr>
            <w:r w:rsidRPr="003B6AA4">
              <w:t>$15,000</w:t>
            </w:r>
          </w:p>
        </w:tc>
        <w:tc>
          <w:tcPr>
            <w:tcW w:w="1170" w:type="dxa"/>
            <w:vAlign w:val="center"/>
          </w:tcPr>
          <w:p w:rsidR="001A2C24" w:rsidRPr="003B6AA4" w:rsidRDefault="001A2C24" w:rsidP="00350F85">
            <w:pPr>
              <w:keepNext/>
              <w:jc w:val="right"/>
            </w:pPr>
            <w:r w:rsidRPr="003B6AA4">
              <w:t>$15,000</w:t>
            </w:r>
          </w:p>
        </w:tc>
        <w:tc>
          <w:tcPr>
            <w:tcW w:w="1170" w:type="dxa"/>
            <w:vAlign w:val="center"/>
          </w:tcPr>
          <w:p w:rsidR="001A2C24" w:rsidRPr="003B6AA4" w:rsidRDefault="001A2C24" w:rsidP="00350F85">
            <w:pPr>
              <w:keepNext/>
              <w:jc w:val="right"/>
            </w:pPr>
            <w:r w:rsidRPr="003B6AA4">
              <w:t>$15,000</w:t>
            </w:r>
          </w:p>
        </w:tc>
        <w:tc>
          <w:tcPr>
            <w:tcW w:w="1350" w:type="dxa"/>
            <w:vAlign w:val="center"/>
          </w:tcPr>
          <w:p w:rsidR="001A2C24" w:rsidRPr="003B6AA4" w:rsidRDefault="001A2C24" w:rsidP="00350F85">
            <w:pPr>
              <w:keepNext/>
              <w:jc w:val="right"/>
            </w:pPr>
            <w:r w:rsidRPr="003B6AA4">
              <w:t>$55,000</w:t>
            </w:r>
          </w:p>
        </w:tc>
        <w:tc>
          <w:tcPr>
            <w:tcW w:w="1008" w:type="dxa"/>
            <w:vAlign w:val="center"/>
          </w:tcPr>
          <w:p w:rsidR="001A2C24" w:rsidRPr="003B6AA4" w:rsidRDefault="001A2C24" w:rsidP="00350F85">
            <w:pPr>
              <w:keepNext/>
              <w:jc w:val="right"/>
            </w:pPr>
            <w:r w:rsidRPr="003B6AA4">
              <w:t>12.5%</w:t>
            </w:r>
          </w:p>
        </w:tc>
      </w:tr>
      <w:tr w:rsidR="001A2C24" w:rsidRPr="003B6AA4" w:rsidTr="00350F85">
        <w:tc>
          <w:tcPr>
            <w:tcW w:w="2538" w:type="dxa"/>
          </w:tcPr>
          <w:p w:rsidR="001A2C24" w:rsidRPr="003B6AA4" w:rsidRDefault="001A2C24" w:rsidP="00350F85">
            <w:pPr>
              <w:keepNext/>
              <w:rPr>
                <w:b/>
              </w:rPr>
            </w:pPr>
            <w:r w:rsidRPr="003B6AA4">
              <w:rPr>
                <w:b/>
              </w:rPr>
              <w:t>Materials</w:t>
            </w:r>
          </w:p>
        </w:tc>
        <w:tc>
          <w:tcPr>
            <w:tcW w:w="1170" w:type="dxa"/>
            <w:vAlign w:val="center"/>
          </w:tcPr>
          <w:p w:rsidR="001A2C24" w:rsidRPr="003B6AA4" w:rsidRDefault="001A2C24" w:rsidP="00350F85">
            <w:pPr>
              <w:keepNext/>
              <w:jc w:val="right"/>
            </w:pPr>
            <w:r w:rsidRPr="003B6AA4">
              <w:t>$8,000</w:t>
            </w:r>
          </w:p>
        </w:tc>
        <w:tc>
          <w:tcPr>
            <w:tcW w:w="1170" w:type="dxa"/>
            <w:vAlign w:val="center"/>
          </w:tcPr>
          <w:p w:rsidR="001A2C24" w:rsidRPr="003B6AA4" w:rsidRDefault="001A2C24" w:rsidP="00350F85">
            <w:pPr>
              <w:keepNext/>
              <w:jc w:val="right"/>
            </w:pPr>
            <w:r w:rsidRPr="003B6AA4">
              <w:t>$16,000</w:t>
            </w:r>
          </w:p>
        </w:tc>
        <w:tc>
          <w:tcPr>
            <w:tcW w:w="1170" w:type="dxa"/>
            <w:vAlign w:val="center"/>
          </w:tcPr>
          <w:p w:rsidR="001A2C24" w:rsidRPr="003B6AA4" w:rsidRDefault="001A2C24" w:rsidP="00350F85">
            <w:pPr>
              <w:keepNext/>
              <w:jc w:val="right"/>
            </w:pPr>
            <w:r w:rsidRPr="003B6AA4">
              <w:t>$16,000</w:t>
            </w:r>
          </w:p>
        </w:tc>
        <w:tc>
          <w:tcPr>
            <w:tcW w:w="1170" w:type="dxa"/>
            <w:vAlign w:val="center"/>
          </w:tcPr>
          <w:p w:rsidR="001A2C24" w:rsidRPr="003B6AA4" w:rsidRDefault="001A2C24" w:rsidP="00350F85">
            <w:pPr>
              <w:keepNext/>
              <w:jc w:val="right"/>
            </w:pPr>
            <w:r w:rsidRPr="003B6AA4">
              <w:t>$16,000</w:t>
            </w:r>
          </w:p>
        </w:tc>
        <w:tc>
          <w:tcPr>
            <w:tcW w:w="1350" w:type="dxa"/>
            <w:vAlign w:val="center"/>
          </w:tcPr>
          <w:p w:rsidR="001A2C24" w:rsidRPr="003B6AA4" w:rsidRDefault="001A2C24" w:rsidP="00350F85">
            <w:pPr>
              <w:keepNext/>
              <w:jc w:val="right"/>
            </w:pPr>
            <w:r w:rsidRPr="003B6AA4">
              <w:t>$56,000</w:t>
            </w:r>
          </w:p>
        </w:tc>
        <w:tc>
          <w:tcPr>
            <w:tcW w:w="1008" w:type="dxa"/>
            <w:vAlign w:val="center"/>
          </w:tcPr>
          <w:p w:rsidR="001A2C24" w:rsidRPr="003B6AA4" w:rsidRDefault="001A2C24" w:rsidP="00350F85">
            <w:pPr>
              <w:keepNext/>
              <w:jc w:val="right"/>
            </w:pPr>
            <w:r w:rsidRPr="003B6AA4">
              <w:t>12.7%</w:t>
            </w:r>
          </w:p>
        </w:tc>
      </w:tr>
      <w:tr w:rsidR="001A2C24" w:rsidRPr="003B6AA4" w:rsidTr="00350F85">
        <w:tc>
          <w:tcPr>
            <w:tcW w:w="2538" w:type="dxa"/>
          </w:tcPr>
          <w:p w:rsidR="001A2C24" w:rsidRPr="003B6AA4" w:rsidRDefault="001A2C24" w:rsidP="00350F85">
            <w:pPr>
              <w:keepNext/>
              <w:rPr>
                <w:b/>
              </w:rPr>
            </w:pPr>
            <w:r w:rsidRPr="003B6AA4">
              <w:rPr>
                <w:b/>
              </w:rPr>
              <w:t>Program Curriculum</w:t>
            </w:r>
          </w:p>
        </w:tc>
        <w:tc>
          <w:tcPr>
            <w:tcW w:w="1170" w:type="dxa"/>
            <w:vAlign w:val="center"/>
          </w:tcPr>
          <w:p w:rsidR="001A2C24" w:rsidRPr="003B6AA4" w:rsidRDefault="001A2C24" w:rsidP="00350F85">
            <w:pPr>
              <w:keepNext/>
              <w:jc w:val="right"/>
            </w:pPr>
            <w:r w:rsidRPr="003B6AA4">
              <w:t>$60,000</w:t>
            </w:r>
          </w:p>
        </w:tc>
        <w:tc>
          <w:tcPr>
            <w:tcW w:w="1170" w:type="dxa"/>
            <w:vAlign w:val="center"/>
          </w:tcPr>
          <w:p w:rsidR="001A2C24" w:rsidRPr="003B6AA4" w:rsidRDefault="001A2C24" w:rsidP="00350F85">
            <w:pPr>
              <w:keepNext/>
              <w:jc w:val="right"/>
            </w:pPr>
            <w:r w:rsidRPr="003B6AA4">
              <w:t>$0</w:t>
            </w:r>
          </w:p>
        </w:tc>
        <w:tc>
          <w:tcPr>
            <w:tcW w:w="1170" w:type="dxa"/>
            <w:vAlign w:val="center"/>
          </w:tcPr>
          <w:p w:rsidR="001A2C24" w:rsidRPr="003B6AA4" w:rsidRDefault="001A2C24" w:rsidP="00350F85">
            <w:pPr>
              <w:keepNext/>
              <w:jc w:val="right"/>
            </w:pPr>
            <w:r w:rsidRPr="003B6AA4">
              <w:t>$0</w:t>
            </w:r>
          </w:p>
        </w:tc>
        <w:tc>
          <w:tcPr>
            <w:tcW w:w="1170" w:type="dxa"/>
            <w:vAlign w:val="center"/>
          </w:tcPr>
          <w:p w:rsidR="001A2C24" w:rsidRPr="003B6AA4" w:rsidRDefault="001A2C24" w:rsidP="00350F85">
            <w:pPr>
              <w:keepNext/>
              <w:jc w:val="right"/>
            </w:pPr>
            <w:r w:rsidRPr="003B6AA4">
              <w:t>$0</w:t>
            </w:r>
          </w:p>
        </w:tc>
        <w:tc>
          <w:tcPr>
            <w:tcW w:w="1350" w:type="dxa"/>
            <w:vAlign w:val="center"/>
          </w:tcPr>
          <w:p w:rsidR="001A2C24" w:rsidRPr="003B6AA4" w:rsidRDefault="001A2C24" w:rsidP="00350F85">
            <w:pPr>
              <w:keepNext/>
              <w:jc w:val="right"/>
            </w:pPr>
            <w:r w:rsidRPr="003B6AA4">
              <w:t>$60,000</w:t>
            </w:r>
          </w:p>
        </w:tc>
        <w:tc>
          <w:tcPr>
            <w:tcW w:w="1008" w:type="dxa"/>
            <w:vAlign w:val="center"/>
          </w:tcPr>
          <w:p w:rsidR="001A2C24" w:rsidRPr="003B6AA4" w:rsidRDefault="001A2C24" w:rsidP="00350F85">
            <w:pPr>
              <w:keepNext/>
              <w:jc w:val="right"/>
            </w:pPr>
            <w:r w:rsidRPr="003B6AA4">
              <w:t>13.6%</w:t>
            </w:r>
          </w:p>
        </w:tc>
      </w:tr>
      <w:tr w:rsidR="001A2C24" w:rsidRPr="003B6AA4" w:rsidTr="00350F85">
        <w:tc>
          <w:tcPr>
            <w:tcW w:w="2538" w:type="dxa"/>
          </w:tcPr>
          <w:p w:rsidR="001A2C24" w:rsidRPr="003B6AA4" w:rsidRDefault="001A2C24" w:rsidP="00350F85">
            <w:pPr>
              <w:keepNext/>
              <w:rPr>
                <w:b/>
              </w:rPr>
            </w:pPr>
            <w:r w:rsidRPr="003B6AA4">
              <w:rPr>
                <w:b/>
              </w:rPr>
              <w:t>Advertising</w:t>
            </w:r>
          </w:p>
        </w:tc>
        <w:tc>
          <w:tcPr>
            <w:tcW w:w="1170" w:type="dxa"/>
            <w:vAlign w:val="center"/>
          </w:tcPr>
          <w:p w:rsidR="001A2C24" w:rsidRPr="003B6AA4" w:rsidRDefault="001A2C24" w:rsidP="00350F85">
            <w:pPr>
              <w:keepNext/>
              <w:jc w:val="right"/>
            </w:pPr>
            <w:r w:rsidRPr="003B6AA4">
              <w:t>$4,000</w:t>
            </w:r>
          </w:p>
        </w:tc>
        <w:tc>
          <w:tcPr>
            <w:tcW w:w="1170" w:type="dxa"/>
            <w:vAlign w:val="center"/>
          </w:tcPr>
          <w:p w:rsidR="001A2C24" w:rsidRPr="003B6AA4" w:rsidRDefault="001A2C24" w:rsidP="00350F85">
            <w:pPr>
              <w:keepNext/>
              <w:jc w:val="right"/>
            </w:pPr>
            <w:r w:rsidRPr="003B6AA4">
              <w:t>$4,000</w:t>
            </w:r>
          </w:p>
        </w:tc>
        <w:tc>
          <w:tcPr>
            <w:tcW w:w="1170" w:type="dxa"/>
            <w:vAlign w:val="center"/>
          </w:tcPr>
          <w:p w:rsidR="001A2C24" w:rsidRPr="003B6AA4" w:rsidRDefault="001A2C24" w:rsidP="00350F85">
            <w:pPr>
              <w:keepNext/>
              <w:jc w:val="right"/>
            </w:pPr>
            <w:r w:rsidRPr="003B6AA4">
              <w:t>$4,000</w:t>
            </w:r>
          </w:p>
        </w:tc>
        <w:tc>
          <w:tcPr>
            <w:tcW w:w="1170" w:type="dxa"/>
            <w:vAlign w:val="center"/>
          </w:tcPr>
          <w:p w:rsidR="001A2C24" w:rsidRPr="003B6AA4" w:rsidRDefault="001A2C24" w:rsidP="00350F85">
            <w:pPr>
              <w:keepNext/>
              <w:jc w:val="right"/>
            </w:pPr>
            <w:r w:rsidRPr="003B6AA4">
              <w:t>$4,000</w:t>
            </w:r>
          </w:p>
        </w:tc>
        <w:tc>
          <w:tcPr>
            <w:tcW w:w="1350" w:type="dxa"/>
            <w:vAlign w:val="center"/>
          </w:tcPr>
          <w:p w:rsidR="001A2C24" w:rsidRPr="003B6AA4" w:rsidRDefault="001A2C24" w:rsidP="00350F85">
            <w:pPr>
              <w:keepNext/>
              <w:jc w:val="right"/>
            </w:pPr>
            <w:r w:rsidRPr="003B6AA4">
              <w:t>$16,000</w:t>
            </w:r>
          </w:p>
        </w:tc>
        <w:tc>
          <w:tcPr>
            <w:tcW w:w="1008" w:type="dxa"/>
            <w:vAlign w:val="center"/>
          </w:tcPr>
          <w:p w:rsidR="001A2C24" w:rsidRPr="003B6AA4" w:rsidRDefault="001A2C24" w:rsidP="00350F85">
            <w:pPr>
              <w:keepNext/>
              <w:jc w:val="right"/>
            </w:pPr>
            <w:r w:rsidRPr="003B6AA4">
              <w:t>3.6%</w:t>
            </w:r>
          </w:p>
        </w:tc>
      </w:tr>
      <w:tr w:rsidR="001A2C24" w:rsidRPr="003B6AA4" w:rsidTr="00350F85">
        <w:trPr>
          <w:trHeight w:val="332"/>
        </w:trPr>
        <w:tc>
          <w:tcPr>
            <w:tcW w:w="2538" w:type="dxa"/>
          </w:tcPr>
          <w:p w:rsidR="001A2C24" w:rsidRPr="003B6AA4" w:rsidRDefault="001A2C24" w:rsidP="00350F85">
            <w:pPr>
              <w:keepNext/>
              <w:rPr>
                <w:b/>
              </w:rPr>
            </w:pPr>
            <w:r w:rsidRPr="003B6AA4">
              <w:rPr>
                <w:b/>
              </w:rPr>
              <w:t>Annual Total</w:t>
            </w:r>
          </w:p>
        </w:tc>
        <w:tc>
          <w:tcPr>
            <w:tcW w:w="1170" w:type="dxa"/>
            <w:vAlign w:val="center"/>
          </w:tcPr>
          <w:p w:rsidR="001A2C24" w:rsidRPr="003B6AA4" w:rsidRDefault="001A2C24" w:rsidP="00350F85">
            <w:pPr>
              <w:keepNext/>
              <w:jc w:val="right"/>
            </w:pPr>
            <w:r w:rsidRPr="003B6AA4">
              <w:t>$120,000</w:t>
            </w:r>
          </w:p>
        </w:tc>
        <w:tc>
          <w:tcPr>
            <w:tcW w:w="1170" w:type="dxa"/>
            <w:vAlign w:val="center"/>
          </w:tcPr>
          <w:p w:rsidR="001A2C24" w:rsidRPr="003B6AA4" w:rsidRDefault="001A2C24" w:rsidP="00350F85">
            <w:pPr>
              <w:keepNext/>
              <w:jc w:val="right"/>
            </w:pPr>
            <w:r w:rsidRPr="003B6AA4">
              <w:t>$193,800</w:t>
            </w:r>
          </w:p>
        </w:tc>
        <w:tc>
          <w:tcPr>
            <w:tcW w:w="1170" w:type="dxa"/>
            <w:vAlign w:val="center"/>
          </w:tcPr>
          <w:p w:rsidR="001A2C24" w:rsidRPr="003B6AA4" w:rsidRDefault="001A2C24" w:rsidP="00350F85">
            <w:pPr>
              <w:keepNext/>
              <w:jc w:val="right"/>
            </w:pPr>
            <w:r w:rsidRPr="003B6AA4">
              <w:t>$63,000</w:t>
            </w:r>
          </w:p>
        </w:tc>
        <w:tc>
          <w:tcPr>
            <w:tcW w:w="1170" w:type="dxa"/>
            <w:vAlign w:val="center"/>
          </w:tcPr>
          <w:p w:rsidR="001A2C24" w:rsidRPr="003B6AA4" w:rsidRDefault="001A2C24" w:rsidP="00350F85">
            <w:pPr>
              <w:keepNext/>
              <w:jc w:val="right"/>
            </w:pPr>
            <w:r w:rsidRPr="003B6AA4">
              <w:t>$63,000</w:t>
            </w:r>
          </w:p>
        </w:tc>
        <w:tc>
          <w:tcPr>
            <w:tcW w:w="1350" w:type="dxa"/>
            <w:vAlign w:val="center"/>
          </w:tcPr>
          <w:p w:rsidR="001A2C24" w:rsidRPr="003B6AA4" w:rsidRDefault="001A2C24" w:rsidP="00350F85">
            <w:pPr>
              <w:keepNext/>
              <w:jc w:val="center"/>
            </w:pPr>
          </w:p>
        </w:tc>
        <w:tc>
          <w:tcPr>
            <w:tcW w:w="1008" w:type="dxa"/>
            <w:vAlign w:val="center"/>
          </w:tcPr>
          <w:p w:rsidR="001A2C24" w:rsidRPr="003B6AA4" w:rsidRDefault="001A2C24" w:rsidP="00350F85">
            <w:pPr>
              <w:keepNext/>
              <w:jc w:val="right"/>
            </w:pPr>
          </w:p>
        </w:tc>
      </w:tr>
      <w:tr w:rsidR="001A2C24" w:rsidRPr="003B6AA4" w:rsidTr="00350F85">
        <w:tc>
          <w:tcPr>
            <w:tcW w:w="7218" w:type="dxa"/>
            <w:gridSpan w:val="5"/>
            <w:vAlign w:val="center"/>
          </w:tcPr>
          <w:p w:rsidR="001A2C24" w:rsidRPr="003B6AA4" w:rsidRDefault="001A2C24" w:rsidP="00350F85">
            <w:pPr>
              <w:keepNext/>
              <w:jc w:val="right"/>
              <w:rPr>
                <w:b/>
              </w:rPr>
            </w:pPr>
            <w:r w:rsidRPr="003B6AA4">
              <w:rPr>
                <w:b/>
              </w:rPr>
              <w:t>Projected Grand Total</w:t>
            </w:r>
          </w:p>
        </w:tc>
        <w:tc>
          <w:tcPr>
            <w:tcW w:w="1350" w:type="dxa"/>
            <w:vAlign w:val="center"/>
          </w:tcPr>
          <w:p w:rsidR="001A2C24" w:rsidRPr="003B6AA4" w:rsidRDefault="001A2C24" w:rsidP="00350F85">
            <w:pPr>
              <w:keepNext/>
              <w:jc w:val="right"/>
            </w:pPr>
            <w:r w:rsidRPr="003B6AA4">
              <w:t>$439,800</w:t>
            </w:r>
          </w:p>
        </w:tc>
        <w:tc>
          <w:tcPr>
            <w:tcW w:w="1008" w:type="dxa"/>
            <w:vAlign w:val="center"/>
          </w:tcPr>
          <w:p w:rsidR="001A2C24" w:rsidRPr="003B6AA4" w:rsidRDefault="001A2C24" w:rsidP="00350F85">
            <w:pPr>
              <w:keepNext/>
              <w:jc w:val="right"/>
            </w:pPr>
            <w:r w:rsidRPr="003B6AA4">
              <w:t>100%</w:t>
            </w:r>
          </w:p>
        </w:tc>
      </w:tr>
    </w:tbl>
    <w:p w:rsidR="00E92026" w:rsidRDefault="00E92026" w:rsidP="001A2C24">
      <w:pPr>
        <w:ind w:firstLine="720"/>
        <w:jc w:val="both"/>
      </w:pPr>
    </w:p>
    <w:p w:rsidR="001A2C24" w:rsidRPr="003B6AA4" w:rsidRDefault="00BB6BFD" w:rsidP="001A2C24">
      <w:pPr>
        <w:ind w:firstLine="720"/>
        <w:jc w:val="both"/>
      </w:pPr>
      <w:r>
        <w:t>T</w:t>
      </w:r>
      <w:r w:rsidR="001A2C24" w:rsidRPr="003B6AA4">
        <w:t xml:space="preserve">he Utility expects approximately 350 participants </w:t>
      </w:r>
      <w:r w:rsidR="00095627">
        <w:t>in</w:t>
      </w:r>
      <w:r w:rsidR="001A2C24" w:rsidRPr="003B6AA4">
        <w:t xml:space="preserve"> the first year and 1,750 participants each year thereafter</w:t>
      </w:r>
      <w:r w:rsidR="002372BC">
        <w:t>,</w:t>
      </w:r>
      <w:r w:rsidR="001A2C24" w:rsidRPr="003B6AA4">
        <w:t xml:space="preserve"> for a total of 5,600 drivers over three years. Given the projected $439,800 in total costs, this equates to a cost of approximately $79 per participating student. By comparison, the Utility’s projected 2016 costs for its existing Education Program </w:t>
      </w:r>
      <w:r>
        <w:t>were</w:t>
      </w:r>
      <w:r w:rsidR="001A2C24" w:rsidRPr="003B6AA4">
        <w:t xml:space="preserve"> $75,632, which equates to approximately $99 per energy kit provided. </w:t>
      </w:r>
    </w:p>
    <w:p w:rsidR="001A2C24" w:rsidRPr="003B6AA4" w:rsidRDefault="001A2C24" w:rsidP="001A2C24">
      <w:pPr>
        <w:jc w:val="both"/>
      </w:pPr>
    </w:p>
    <w:p w:rsidR="001A2C24" w:rsidRPr="003B6AA4" w:rsidRDefault="00AD268C" w:rsidP="003E52C4">
      <w:pPr>
        <w:ind w:firstLine="720"/>
        <w:jc w:val="both"/>
      </w:pPr>
      <w:r>
        <w:t>T</w:t>
      </w:r>
      <w:r w:rsidRPr="003B6AA4">
        <w:t>he</w:t>
      </w:r>
      <w:r w:rsidR="001A2C24" w:rsidRPr="003B6AA4">
        <w:t xml:space="preserve"> Utility</w:t>
      </w:r>
      <w:r w:rsidR="00E92026">
        <w:t xml:space="preserve"> also</w:t>
      </w:r>
      <w:r w:rsidR="001A2C24" w:rsidRPr="003B6AA4">
        <w:t xml:space="preserve"> intends to pursue a partnership w</w:t>
      </w:r>
      <w:r w:rsidR="007F0DE7">
        <w:t>ith an EV manufacturing company</w:t>
      </w:r>
      <w:r w:rsidR="001A2C24" w:rsidRPr="003B6AA4">
        <w:t xml:space="preserve"> after the first year of </w:t>
      </w:r>
      <w:r w:rsidR="00095627">
        <w:t xml:space="preserve">implementing </w:t>
      </w:r>
      <w:r w:rsidR="001A2C24" w:rsidRPr="003B6AA4">
        <w:t xml:space="preserve">the </w:t>
      </w:r>
      <w:r w:rsidR="00CE29B3">
        <w:t>Revised Amendment</w:t>
      </w:r>
      <w:r w:rsidR="001A2C24" w:rsidRPr="003B6AA4">
        <w:t xml:space="preserve">, in hopes that the capital costs of the EVs </w:t>
      </w:r>
      <w:r w:rsidR="00BB6BFD">
        <w:t>can</w:t>
      </w:r>
      <w:r w:rsidR="001A2C24" w:rsidRPr="003B6AA4">
        <w:t xml:space="preserve"> be eliminated. </w:t>
      </w:r>
      <w:r w:rsidR="00553CED">
        <w:t>We encourage</w:t>
      </w:r>
      <w:r w:rsidR="001A2C24" w:rsidRPr="003B6AA4">
        <w:t xml:space="preserve"> the Utility to pursue these partnerships in order to reduce ratepayer expenses </w:t>
      </w:r>
      <w:r w:rsidR="00CE29B3">
        <w:t>associated with the Revised Amendment</w:t>
      </w:r>
      <w:r w:rsidR="001A2C24" w:rsidRPr="003B6AA4">
        <w:t>.</w:t>
      </w:r>
    </w:p>
    <w:p w:rsidR="00CC7F1D" w:rsidRDefault="00CC7F1D" w:rsidP="001A2C24">
      <w:pPr>
        <w:pStyle w:val="First-LevelSubheading"/>
        <w:keepNext/>
        <w:rPr>
          <w:rFonts w:ascii="Times New Roman" w:hAnsi="Times New Roman" w:cs="Times New Roman"/>
          <w:u w:val="single"/>
        </w:rPr>
      </w:pPr>
    </w:p>
    <w:p w:rsidR="001A2C24" w:rsidRPr="002B26F0" w:rsidRDefault="001A2C24" w:rsidP="001A2C24">
      <w:pPr>
        <w:pStyle w:val="First-LevelSubheading"/>
        <w:keepNext/>
        <w:rPr>
          <w:rFonts w:ascii="Times New Roman" w:hAnsi="Times New Roman" w:cs="Times New Roman"/>
          <w:b w:val="0"/>
          <w:u w:val="single"/>
        </w:rPr>
      </w:pPr>
      <w:r w:rsidRPr="002B26F0">
        <w:rPr>
          <w:rFonts w:ascii="Times New Roman" w:hAnsi="Times New Roman" w:cs="Times New Roman"/>
          <w:b w:val="0"/>
          <w:u w:val="single"/>
        </w:rPr>
        <w:t>Program Monitoring and Evaluation</w:t>
      </w:r>
    </w:p>
    <w:p w:rsidR="00CC7F1D" w:rsidRDefault="00CC7F1D" w:rsidP="001A2C24">
      <w:pPr>
        <w:ind w:firstLine="720"/>
        <w:jc w:val="both"/>
      </w:pPr>
    </w:p>
    <w:p w:rsidR="001A2C24" w:rsidRPr="003B6AA4" w:rsidRDefault="001A2C24" w:rsidP="001A2C24">
      <w:pPr>
        <w:ind w:firstLine="720"/>
        <w:jc w:val="both"/>
      </w:pPr>
      <w:r w:rsidRPr="003B6AA4">
        <w:t xml:space="preserve">In order to monitor the effectiveness of the </w:t>
      </w:r>
      <w:r w:rsidR="00CE29B3">
        <w:t>Revised Amendment,</w:t>
      </w:r>
      <w:r w:rsidRPr="003B6AA4">
        <w:t xml:space="preserve"> TECO </w:t>
      </w:r>
      <w:r w:rsidR="00024A04" w:rsidRPr="003B6AA4">
        <w:t xml:space="preserve">plans </w:t>
      </w:r>
      <w:r w:rsidR="00024A04">
        <w:t>for</w:t>
      </w:r>
      <w:r w:rsidR="00553CED">
        <w:t xml:space="preserve"> </w:t>
      </w:r>
      <w:r w:rsidRPr="003B6AA4">
        <w:t>regular collaboration with the</w:t>
      </w:r>
      <w:r w:rsidR="00BB6BFD">
        <w:t xml:space="preserve"> participating</w:t>
      </w:r>
      <w:r w:rsidRPr="003B6AA4">
        <w:t xml:space="preserve"> schools, teachers</w:t>
      </w:r>
      <w:r w:rsidR="00553CED">
        <w:t>,</w:t>
      </w:r>
      <w:r w:rsidRPr="003B6AA4">
        <w:t xml:space="preserve"> and students</w:t>
      </w:r>
      <w:r w:rsidR="00BB6BFD">
        <w:t>.</w:t>
      </w:r>
      <w:r w:rsidRPr="003B6AA4">
        <w:t xml:space="preserve"> </w:t>
      </w:r>
      <w:r w:rsidR="00553CED">
        <w:t>TECO</w:t>
      </w:r>
      <w:r w:rsidRPr="003B6AA4">
        <w:t xml:space="preserve"> also plans</w:t>
      </w:r>
      <w:r w:rsidR="007F0DE7">
        <w:t xml:space="preserve"> </w:t>
      </w:r>
      <w:r w:rsidRPr="003B6AA4">
        <w:t xml:space="preserve">to conduct surveys of both the teachers and students. </w:t>
      </w:r>
      <w:r w:rsidR="00553CED">
        <w:t>Because</w:t>
      </w:r>
      <w:r w:rsidRPr="003B6AA4">
        <w:t xml:space="preserve"> the Utility does not expect</w:t>
      </w:r>
      <w:r w:rsidR="00BB6BFD">
        <w:t xml:space="preserve"> immediate</w:t>
      </w:r>
      <w:r w:rsidRPr="003B6AA4">
        <w:t xml:space="preserve"> annual energy consumption savings, no verification of savings data </w:t>
      </w:r>
      <w:r w:rsidR="00553CED">
        <w:t>is</w:t>
      </w:r>
      <w:r w:rsidRPr="003B6AA4">
        <w:t xml:space="preserve"> necessary.</w:t>
      </w:r>
    </w:p>
    <w:p w:rsidR="001A2C24" w:rsidRPr="003B6AA4" w:rsidRDefault="001A2C24" w:rsidP="001A2C24">
      <w:pPr>
        <w:ind w:firstLine="720"/>
        <w:jc w:val="both"/>
      </w:pPr>
    </w:p>
    <w:p w:rsidR="001A2C24" w:rsidRPr="002B26F0" w:rsidRDefault="001A2C24" w:rsidP="001A2C24">
      <w:pPr>
        <w:pStyle w:val="First-LevelSubheading"/>
        <w:keepNext/>
        <w:rPr>
          <w:rFonts w:ascii="Times New Roman" w:hAnsi="Times New Roman" w:cs="Times New Roman"/>
          <w:b w:val="0"/>
          <w:u w:val="single"/>
        </w:rPr>
      </w:pPr>
      <w:r w:rsidRPr="002B26F0">
        <w:rPr>
          <w:rFonts w:ascii="Times New Roman" w:hAnsi="Times New Roman" w:cs="Times New Roman"/>
          <w:b w:val="0"/>
          <w:u w:val="single"/>
        </w:rPr>
        <w:t>Cost-Effectiveness Review</w:t>
      </w:r>
    </w:p>
    <w:p w:rsidR="00553CED" w:rsidRDefault="00553CED" w:rsidP="004D3272">
      <w:pPr>
        <w:ind w:firstLine="720"/>
        <w:jc w:val="both"/>
      </w:pPr>
    </w:p>
    <w:p w:rsidR="001A2C24" w:rsidRPr="003B6AA4" w:rsidRDefault="00553CED" w:rsidP="004D3272">
      <w:pPr>
        <w:ind w:firstLine="720"/>
        <w:jc w:val="both"/>
      </w:pPr>
      <w:r>
        <w:t>T</w:t>
      </w:r>
      <w:r w:rsidR="001A2C24" w:rsidRPr="003B6AA4">
        <w:t xml:space="preserve">here are no demand or energy savings associated with the </w:t>
      </w:r>
      <w:r w:rsidR="00CE29B3">
        <w:t>Revised Amendment</w:t>
      </w:r>
      <w:r w:rsidR="001A2C24" w:rsidRPr="003B6AA4">
        <w:t xml:space="preserve">. </w:t>
      </w:r>
      <w:r w:rsidR="00AD268C">
        <w:t>Consistent</w:t>
      </w:r>
      <w:r w:rsidR="00BB6BFD">
        <w:t xml:space="preserve"> with other education programs</w:t>
      </w:r>
      <w:r w:rsidR="001A2C24" w:rsidRPr="003B6AA4">
        <w:t xml:space="preserve">, it may not be possible for the </w:t>
      </w:r>
      <w:r w:rsidR="00D27865">
        <w:t>Revised Amendment</w:t>
      </w:r>
      <w:r w:rsidR="001A2C24" w:rsidRPr="003B6AA4">
        <w:t xml:space="preserve"> to pass </w:t>
      </w:r>
      <w:r w:rsidR="00FC2BF8" w:rsidRPr="003B6AA4">
        <w:t>this</w:t>
      </w:r>
      <w:r w:rsidR="001A2C24" w:rsidRPr="003B6AA4">
        <w:t xml:space="preserve"> Commission’s cost-effectiveness tests due to the difficulty of measuring the results. The current </w:t>
      </w:r>
      <w:r w:rsidR="00D27865">
        <w:t>Education Program</w:t>
      </w:r>
      <w:r w:rsidR="001A2C24" w:rsidRPr="003B6AA4">
        <w:t xml:space="preserve"> passed the Total Resource Cost (TRC) and Participant Tests and </w:t>
      </w:r>
      <w:r w:rsidR="001A2C24" w:rsidRPr="003B6AA4">
        <w:lastRenderedPageBreak/>
        <w:t xml:space="preserve">complied with the requirements to assist and educate low-income customers. The current </w:t>
      </w:r>
      <w:r w:rsidR="00D27865">
        <w:t>Education Program</w:t>
      </w:r>
      <w:r w:rsidR="001A2C24" w:rsidRPr="003B6AA4">
        <w:t xml:space="preserve"> failed</w:t>
      </w:r>
      <w:r w:rsidR="00DC6D6E">
        <w:t xml:space="preserve"> the Rate Impact Measure (RIM) t</w:t>
      </w:r>
      <w:r w:rsidR="001A2C24" w:rsidRPr="003B6AA4">
        <w:t>est</w:t>
      </w:r>
      <w:r w:rsidR="002372BC">
        <w:t>,</w:t>
      </w:r>
      <w:r w:rsidR="001A2C24" w:rsidRPr="003B6AA4">
        <w:t xml:space="preserve"> but includes minimal costs associated with energy efficiency kits. TECO provided a cost-effectiveness analysis of the </w:t>
      </w:r>
      <w:r w:rsidR="00095627">
        <w:t>R</w:t>
      </w:r>
      <w:r w:rsidR="00D27865">
        <w:t>evised Amendment</w:t>
      </w:r>
      <w:r w:rsidR="001A2C24" w:rsidRPr="003B6AA4">
        <w:t xml:space="preserve"> which showed a reduction in all three cost-effectiveness tests but still maintained passing results for the TRC and Participant Tests.</w:t>
      </w:r>
    </w:p>
    <w:p w:rsidR="00E23606" w:rsidRDefault="00E23606" w:rsidP="00A631B2">
      <w:pPr>
        <w:ind w:firstLine="720"/>
        <w:jc w:val="center"/>
        <w:rPr>
          <w:b/>
        </w:rPr>
      </w:pPr>
    </w:p>
    <w:p w:rsidR="004D3272" w:rsidRPr="002B26F0" w:rsidRDefault="00F12E19" w:rsidP="00E23606">
      <w:pPr>
        <w:pStyle w:val="First-LevelSubheading"/>
        <w:jc w:val="center"/>
        <w:rPr>
          <w:rFonts w:ascii="Times New Roman" w:hAnsi="Times New Roman" w:cs="Times New Roman"/>
          <w:b w:val="0"/>
        </w:rPr>
      </w:pPr>
      <w:r w:rsidRPr="002B26F0">
        <w:rPr>
          <w:rFonts w:ascii="Times New Roman" w:hAnsi="Times New Roman" w:cs="Times New Roman"/>
          <w:b w:val="0"/>
        </w:rPr>
        <w:t>DECISION</w:t>
      </w:r>
    </w:p>
    <w:p w:rsidR="00F12E19" w:rsidRDefault="00F12E19" w:rsidP="001A2C24">
      <w:pPr>
        <w:ind w:firstLine="720"/>
        <w:jc w:val="both"/>
      </w:pPr>
    </w:p>
    <w:p w:rsidR="000E76E5" w:rsidRDefault="006E4652" w:rsidP="001A2C24">
      <w:pPr>
        <w:ind w:firstLine="720"/>
        <w:jc w:val="both"/>
      </w:pPr>
      <w:r>
        <w:t xml:space="preserve">We find </w:t>
      </w:r>
      <w:r w:rsidR="00553CED">
        <w:t>that</w:t>
      </w:r>
      <w:r w:rsidR="001A2C24" w:rsidRPr="003B6AA4">
        <w:t xml:space="preserve"> </w:t>
      </w:r>
      <w:r>
        <w:t xml:space="preserve">TECO’s </w:t>
      </w:r>
      <w:r w:rsidR="00D27865">
        <w:t>Revised Amendment</w:t>
      </w:r>
      <w:r w:rsidR="001A2C24" w:rsidRPr="003B6AA4">
        <w:t xml:space="preserve"> advances the policy objectives of F</w:t>
      </w:r>
      <w:r w:rsidR="00553CED">
        <w:t>EECA and its implementing rules</w:t>
      </w:r>
      <w:r>
        <w:t xml:space="preserve">. </w:t>
      </w:r>
      <w:r w:rsidR="00095627">
        <w:t>By its</w:t>
      </w:r>
      <w:r>
        <w:t xml:space="preserve"> </w:t>
      </w:r>
      <w:r w:rsidR="00D27865">
        <w:t>Revised Amendment</w:t>
      </w:r>
      <w:r w:rsidR="00095627">
        <w:t>, TECO</w:t>
      </w:r>
      <w:r>
        <w:t xml:space="preserve"> will educate ratepayers on energy efficient technologies and energy conservation. Upon review, we </w:t>
      </w:r>
      <w:r w:rsidR="00DC6D6E">
        <w:t>grant</w:t>
      </w:r>
      <w:r>
        <w:t xml:space="preserve"> TECO’s </w:t>
      </w:r>
      <w:r w:rsidR="000E76E5">
        <w:t>revised petition t</w:t>
      </w:r>
      <w:r w:rsidR="00B96375">
        <w:t>o amend its Education P</w:t>
      </w:r>
      <w:r w:rsidR="000E76E5">
        <w:t xml:space="preserve">rogram.  </w:t>
      </w:r>
    </w:p>
    <w:p w:rsidR="00DC6D6E" w:rsidRDefault="00DC6D6E" w:rsidP="001A2C24">
      <w:pPr>
        <w:ind w:firstLine="720"/>
        <w:jc w:val="both"/>
      </w:pPr>
    </w:p>
    <w:p w:rsidR="001A2C24" w:rsidRPr="003B6AA4" w:rsidRDefault="000E76E5" w:rsidP="001A2C24">
      <w:pPr>
        <w:ind w:firstLine="720"/>
        <w:jc w:val="both"/>
      </w:pPr>
      <w:r w:rsidRPr="003B6AA4">
        <w:t xml:space="preserve">The </w:t>
      </w:r>
      <w:r w:rsidR="00D27865">
        <w:t>R</w:t>
      </w:r>
      <w:r w:rsidR="009D0460">
        <w:t xml:space="preserve">evised </w:t>
      </w:r>
      <w:r w:rsidR="00FD698F">
        <w:t xml:space="preserve">Program </w:t>
      </w:r>
      <w:r w:rsidRPr="003B6AA4">
        <w:t xml:space="preserve">Participation Standards were submitted concurrently with the </w:t>
      </w:r>
      <w:r w:rsidR="00D27865">
        <w:t>Revised Amendment</w:t>
      </w:r>
      <w:r w:rsidRPr="003B6AA4">
        <w:t>.</w:t>
      </w:r>
      <w:r w:rsidR="00553CED">
        <w:t xml:space="preserve"> </w:t>
      </w:r>
      <w:r>
        <w:t>We have review</w:t>
      </w:r>
      <w:r w:rsidR="00B96375">
        <w:t xml:space="preserve">ed these standards and find them to be sufficient. Therefore, the costs associated with the </w:t>
      </w:r>
      <w:r w:rsidR="00D27865">
        <w:t>Revised Amendment</w:t>
      </w:r>
      <w:r w:rsidR="00B96375">
        <w:t xml:space="preserve"> </w:t>
      </w:r>
      <w:r w:rsidR="00553CED">
        <w:t>shall be</w:t>
      </w:r>
      <w:r w:rsidR="001A2C24" w:rsidRPr="003B6AA4">
        <w:t xml:space="preserve"> eligible for cost recovery through the ECCR clause. </w:t>
      </w:r>
    </w:p>
    <w:p w:rsidR="001A2C24" w:rsidRPr="003B6AA4" w:rsidRDefault="001A2C24" w:rsidP="001A2C24">
      <w:pPr>
        <w:jc w:val="both"/>
      </w:pPr>
    </w:p>
    <w:p w:rsidR="001A2C24" w:rsidRPr="003B6AA4" w:rsidRDefault="001A2C24" w:rsidP="00970C5A">
      <w:pPr>
        <w:ind w:firstLine="720"/>
        <w:jc w:val="both"/>
      </w:pPr>
      <w:r w:rsidRPr="003B6AA4">
        <w:t xml:space="preserve">While the </w:t>
      </w:r>
      <w:r w:rsidR="00D27865">
        <w:t>Revised Amendment</w:t>
      </w:r>
      <w:r w:rsidRPr="003B6AA4">
        <w:t xml:space="preserve"> advances the policy objectives of FEECA and its implementing rules, the </w:t>
      </w:r>
      <w:r w:rsidR="00DC6D6E">
        <w:t>addition of E</w:t>
      </w:r>
      <w:r w:rsidR="00AD268C">
        <w:t>V</w:t>
      </w:r>
      <w:r w:rsidR="00DC6D6E">
        <w:t>s to the grid</w:t>
      </w:r>
      <w:r w:rsidRPr="003B6AA4">
        <w:t xml:space="preserve"> will initially increase overall energy consumption. The potential for future energy savings resulting from the </w:t>
      </w:r>
      <w:r w:rsidR="00D27865">
        <w:t>Revised Amendment</w:t>
      </w:r>
      <w:r w:rsidRPr="003B6AA4">
        <w:t xml:space="preserve"> are speculative and</w:t>
      </w:r>
      <w:r w:rsidR="00CC7F1D">
        <w:t>, therefore,</w:t>
      </w:r>
      <w:r w:rsidRPr="003B6AA4">
        <w:t xml:space="preserve"> </w:t>
      </w:r>
      <w:r w:rsidR="00553CED">
        <w:t>must</w:t>
      </w:r>
      <w:r w:rsidRPr="003B6AA4">
        <w:t xml:space="preserve"> be carefully cons</w:t>
      </w:r>
      <w:r w:rsidR="00D27865">
        <w:t xml:space="preserve">idered before expansion of this, </w:t>
      </w:r>
      <w:r w:rsidRPr="003B6AA4">
        <w:t>or similar</w:t>
      </w:r>
      <w:r w:rsidR="00D27865">
        <w:t>,</w:t>
      </w:r>
      <w:r w:rsidRPr="003B6AA4">
        <w:t xml:space="preserve"> programs.</w:t>
      </w:r>
    </w:p>
    <w:p w:rsidR="00C52F25" w:rsidRPr="003B6AA4" w:rsidRDefault="00C52F25" w:rsidP="001A2C24">
      <w:pPr>
        <w:autoSpaceDE w:val="0"/>
        <w:autoSpaceDN w:val="0"/>
        <w:adjustRightInd w:val="0"/>
        <w:jc w:val="both"/>
      </w:pPr>
    </w:p>
    <w:p w:rsidR="00C52F25" w:rsidRPr="003B6AA4" w:rsidRDefault="00C52F25" w:rsidP="00C52F25">
      <w:pPr>
        <w:pStyle w:val="OrderBody"/>
      </w:pPr>
      <w:r w:rsidRPr="003B6AA4">
        <w:tab/>
        <w:t>Based on the foregoing, it is</w:t>
      </w:r>
    </w:p>
    <w:p w:rsidR="00C52F25" w:rsidRPr="003B6AA4" w:rsidRDefault="00C52F25" w:rsidP="00C52F25">
      <w:pPr>
        <w:pStyle w:val="OrderBody"/>
      </w:pPr>
    </w:p>
    <w:p w:rsidR="00B47EE1" w:rsidRDefault="00C52F25" w:rsidP="00C36ED4">
      <w:pPr>
        <w:pStyle w:val="OrderBody"/>
      </w:pPr>
      <w:r w:rsidRPr="003B6AA4">
        <w:tab/>
        <w:t>ORDERED by the Florida Public Service Commission that</w:t>
      </w:r>
      <w:r w:rsidR="00C7374F" w:rsidRPr="003B6AA4">
        <w:t xml:space="preserve"> </w:t>
      </w:r>
      <w:r w:rsidR="00C36ED4" w:rsidRPr="003B6AA4">
        <w:t>Tampa Electric Company’s revised petition to amend its Energy Education, Awareness, and Agency Outreach Program</w:t>
      </w:r>
      <w:r w:rsidR="00B96375">
        <w:t xml:space="preserve"> </w:t>
      </w:r>
      <w:r w:rsidR="00553CED">
        <w:t>is hereby</w:t>
      </w:r>
      <w:r w:rsidR="004D3272">
        <w:t xml:space="preserve"> </w:t>
      </w:r>
      <w:r w:rsidR="00DC6D6E">
        <w:t>granted</w:t>
      </w:r>
      <w:r w:rsidR="004D3272">
        <w:t xml:space="preserve"> </w:t>
      </w:r>
      <w:r w:rsidR="003B6AA4">
        <w:t>as set forth in the bod</w:t>
      </w:r>
      <w:r w:rsidR="00553CED">
        <w:t>y of this Order</w:t>
      </w:r>
      <w:r w:rsidR="00E23606">
        <w:t>. I</w:t>
      </w:r>
      <w:r w:rsidR="003B6AA4">
        <w:t xml:space="preserve">t is further </w:t>
      </w:r>
    </w:p>
    <w:p w:rsidR="00B96375" w:rsidRDefault="00B96375" w:rsidP="00C36ED4">
      <w:pPr>
        <w:pStyle w:val="OrderBody"/>
      </w:pPr>
    </w:p>
    <w:p w:rsidR="00B96375" w:rsidRPr="003B6AA4" w:rsidRDefault="00B96375" w:rsidP="00B96375">
      <w:pPr>
        <w:jc w:val="both"/>
      </w:pPr>
      <w:r>
        <w:tab/>
        <w:t xml:space="preserve">ORDERED that costs associated with the </w:t>
      </w:r>
      <w:r w:rsidR="00095627">
        <w:t>R</w:t>
      </w:r>
      <w:r w:rsidR="009D0460">
        <w:t xml:space="preserve">evised </w:t>
      </w:r>
      <w:r w:rsidR="00095627">
        <w:t>A</w:t>
      </w:r>
      <w:r>
        <w:t>mendment to the Energy Education, Awareness, and Agency Outreach Program shall be eligible for cost recovery through Tampa Electric Company’s Energy Conservation Cost Recovery factor. It is further</w:t>
      </w:r>
    </w:p>
    <w:p w:rsidR="00C36ED4" w:rsidRPr="003B6AA4" w:rsidRDefault="00B47EE1" w:rsidP="00C52F25">
      <w:pPr>
        <w:pStyle w:val="OrderBody"/>
      </w:pPr>
      <w:r w:rsidRPr="003B6AA4">
        <w:tab/>
      </w:r>
    </w:p>
    <w:p w:rsidR="00C52F25" w:rsidRPr="003B6AA4" w:rsidRDefault="00C36ED4" w:rsidP="00C52F25">
      <w:pPr>
        <w:pStyle w:val="OrderBody"/>
      </w:pPr>
      <w:r w:rsidRPr="003B6AA4">
        <w:tab/>
      </w:r>
      <w:r w:rsidR="00C52F25" w:rsidRPr="003B6AA4">
        <w:t>ORDERED that the provisions of this Order, issued as proposed agency action, shall become final and effective upon the issuance of a Consummating Order unless an appropriate petition, in the form provided by Rule 28-106.201, Florida Adminis</w:t>
      </w:r>
      <w:r w:rsidR="00FC2BF8" w:rsidRPr="003B6AA4">
        <w:t>trative Code, is received by the</w:t>
      </w:r>
      <w:r w:rsidR="00C52F25" w:rsidRPr="003B6AA4">
        <w:t xml:space="preserve"> Commission Clerk, 2540 Shumard Oak Boulevard, Tallahassee, Florida 32399-0850, by the close of business on the date set forth in the “Notice of Further Proceedings” attached hereto.  It is further</w:t>
      </w:r>
    </w:p>
    <w:p w:rsidR="00C52F25" w:rsidRPr="003B6AA4" w:rsidRDefault="00C52F25" w:rsidP="00C52F25">
      <w:pPr>
        <w:pStyle w:val="OrderBody"/>
      </w:pPr>
    </w:p>
    <w:p w:rsidR="00C52F25" w:rsidRPr="003B6AA4" w:rsidRDefault="00C52F25" w:rsidP="00C52F25">
      <w:pPr>
        <w:pStyle w:val="OrderBody"/>
      </w:pPr>
      <w:r w:rsidRPr="003B6AA4">
        <w:tab/>
        <w:t>ORDERED that in the event this Order becomes final, this docket shall be closed.</w:t>
      </w:r>
    </w:p>
    <w:p w:rsidR="00C52F25" w:rsidRPr="003B6AA4" w:rsidRDefault="00C52F25" w:rsidP="00C52F25">
      <w:pPr>
        <w:pStyle w:val="OrderBody"/>
      </w:pPr>
    </w:p>
    <w:p w:rsidR="00C52F25" w:rsidRPr="003B6AA4" w:rsidRDefault="00C52F25" w:rsidP="00C52F25">
      <w:pPr>
        <w:pStyle w:val="OrderBody"/>
      </w:pPr>
    </w:p>
    <w:p w:rsidR="00C52F25" w:rsidRDefault="00C52F25" w:rsidP="00C52F25">
      <w:pPr>
        <w:pStyle w:val="OrderBody"/>
        <w:keepNext/>
        <w:keepLines/>
      </w:pPr>
      <w:r w:rsidRPr="003B6AA4">
        <w:lastRenderedPageBreak/>
        <w:tab/>
        <w:t xml:space="preserve">By ORDER of the Florida Public Service Commission this </w:t>
      </w:r>
      <w:bookmarkStart w:id="6" w:name="replaceDate"/>
      <w:bookmarkEnd w:id="6"/>
      <w:r w:rsidR="00FA384D">
        <w:rPr>
          <w:u w:val="single"/>
        </w:rPr>
        <w:t>24th</w:t>
      </w:r>
      <w:r w:rsidR="00FA384D">
        <w:t xml:space="preserve"> day of </w:t>
      </w:r>
      <w:r w:rsidR="00FA384D">
        <w:rPr>
          <w:u w:val="single"/>
        </w:rPr>
        <w:t>May</w:t>
      </w:r>
      <w:r w:rsidR="00FA384D">
        <w:t xml:space="preserve">, </w:t>
      </w:r>
      <w:r w:rsidR="00FA384D">
        <w:rPr>
          <w:u w:val="single"/>
        </w:rPr>
        <w:t>2017</w:t>
      </w:r>
      <w:r w:rsidR="00FA384D">
        <w:t>.</w:t>
      </w:r>
    </w:p>
    <w:p w:rsidR="00FA384D" w:rsidRPr="00FA384D" w:rsidRDefault="00FA384D" w:rsidP="00C52F25">
      <w:pPr>
        <w:pStyle w:val="OrderBody"/>
        <w:keepNext/>
        <w:keepLines/>
      </w:pPr>
    </w:p>
    <w:p w:rsidR="00C52F25" w:rsidRPr="003B6AA4" w:rsidRDefault="00C52F25" w:rsidP="00C52F25">
      <w:pPr>
        <w:pStyle w:val="OrderBody"/>
        <w:keepNext/>
        <w:keepLines/>
      </w:pPr>
    </w:p>
    <w:p w:rsidR="00C52F25" w:rsidRPr="003B6AA4" w:rsidRDefault="00C52F25" w:rsidP="00C52F2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52F25" w:rsidRPr="003B6AA4" w:rsidTr="00C52F25">
        <w:tc>
          <w:tcPr>
            <w:tcW w:w="720" w:type="dxa"/>
            <w:shd w:val="clear" w:color="auto" w:fill="auto"/>
          </w:tcPr>
          <w:p w:rsidR="00C52F25" w:rsidRPr="003B6AA4" w:rsidRDefault="00C52F25" w:rsidP="00C52F25">
            <w:pPr>
              <w:pStyle w:val="OrderBody"/>
              <w:keepNext/>
              <w:keepLines/>
            </w:pPr>
            <w:bookmarkStart w:id="7" w:name="bkmrkSignature" w:colFirst="0" w:colLast="0"/>
          </w:p>
        </w:tc>
        <w:tc>
          <w:tcPr>
            <w:tcW w:w="4320" w:type="dxa"/>
            <w:tcBorders>
              <w:bottom w:val="single" w:sz="4" w:space="0" w:color="auto"/>
            </w:tcBorders>
            <w:shd w:val="clear" w:color="auto" w:fill="auto"/>
          </w:tcPr>
          <w:p w:rsidR="00C52F25" w:rsidRPr="003B6AA4" w:rsidRDefault="00FA384D" w:rsidP="00C52F25">
            <w:pPr>
              <w:pStyle w:val="OrderBody"/>
              <w:keepNext/>
              <w:keepLines/>
            </w:pPr>
            <w:r>
              <w:t>/s/ Carlotta S. Stauffer</w:t>
            </w:r>
            <w:bookmarkStart w:id="8" w:name="_GoBack"/>
            <w:bookmarkEnd w:id="8"/>
          </w:p>
        </w:tc>
      </w:tr>
      <w:bookmarkEnd w:id="7"/>
      <w:tr w:rsidR="00C52F25" w:rsidRPr="003B6AA4" w:rsidTr="00C52F25">
        <w:tc>
          <w:tcPr>
            <w:tcW w:w="720" w:type="dxa"/>
            <w:shd w:val="clear" w:color="auto" w:fill="auto"/>
          </w:tcPr>
          <w:p w:rsidR="00C52F25" w:rsidRPr="003B6AA4" w:rsidRDefault="00C52F25" w:rsidP="00C52F25">
            <w:pPr>
              <w:pStyle w:val="OrderBody"/>
              <w:keepNext/>
              <w:keepLines/>
            </w:pPr>
          </w:p>
        </w:tc>
        <w:tc>
          <w:tcPr>
            <w:tcW w:w="4320" w:type="dxa"/>
            <w:tcBorders>
              <w:top w:val="single" w:sz="4" w:space="0" w:color="auto"/>
            </w:tcBorders>
            <w:shd w:val="clear" w:color="auto" w:fill="auto"/>
          </w:tcPr>
          <w:p w:rsidR="00C52F25" w:rsidRPr="003B6AA4" w:rsidRDefault="00C52F25" w:rsidP="00C52F25">
            <w:pPr>
              <w:pStyle w:val="OrderBody"/>
              <w:keepNext/>
              <w:keepLines/>
            </w:pPr>
            <w:r w:rsidRPr="003B6AA4">
              <w:t>CARLOTTA S. STAUFFER</w:t>
            </w:r>
          </w:p>
          <w:p w:rsidR="00C52F25" w:rsidRPr="003B6AA4" w:rsidRDefault="00C52F25" w:rsidP="00C52F25">
            <w:pPr>
              <w:pStyle w:val="OrderBody"/>
              <w:keepNext/>
              <w:keepLines/>
            </w:pPr>
            <w:r w:rsidRPr="003B6AA4">
              <w:t>Commission Clerk</w:t>
            </w:r>
          </w:p>
        </w:tc>
      </w:tr>
    </w:tbl>
    <w:p w:rsidR="00C52F25" w:rsidRPr="003B6AA4" w:rsidRDefault="00C52F25" w:rsidP="00C52F25">
      <w:pPr>
        <w:pStyle w:val="OrderSigInfo"/>
        <w:keepNext/>
        <w:keepLines/>
      </w:pPr>
      <w:r w:rsidRPr="003B6AA4">
        <w:t>Florida Public Service Commission</w:t>
      </w:r>
    </w:p>
    <w:p w:rsidR="00C52F25" w:rsidRPr="003B6AA4" w:rsidRDefault="00C52F25" w:rsidP="00C52F25">
      <w:pPr>
        <w:pStyle w:val="OrderSigInfo"/>
        <w:keepNext/>
        <w:keepLines/>
      </w:pPr>
      <w:r w:rsidRPr="003B6AA4">
        <w:t>2540 Shumard Oak Boulevard</w:t>
      </w:r>
    </w:p>
    <w:p w:rsidR="00C52F25" w:rsidRPr="003B6AA4" w:rsidRDefault="00C52F25" w:rsidP="00C52F25">
      <w:pPr>
        <w:pStyle w:val="OrderSigInfo"/>
        <w:keepNext/>
        <w:keepLines/>
      </w:pPr>
      <w:r w:rsidRPr="003B6AA4">
        <w:t>Tallahassee, Florida  32399</w:t>
      </w:r>
    </w:p>
    <w:p w:rsidR="00C52F25" w:rsidRPr="003B6AA4" w:rsidRDefault="00C52F25" w:rsidP="00C52F25">
      <w:pPr>
        <w:pStyle w:val="OrderSigInfo"/>
        <w:keepNext/>
        <w:keepLines/>
      </w:pPr>
      <w:r w:rsidRPr="003B6AA4">
        <w:t>(850) 413</w:t>
      </w:r>
      <w:r w:rsidRPr="003B6AA4">
        <w:noBreakHyphen/>
        <w:t>6770</w:t>
      </w:r>
    </w:p>
    <w:p w:rsidR="00C52F25" w:rsidRPr="003B6AA4" w:rsidRDefault="00C52F25" w:rsidP="00C52F25">
      <w:pPr>
        <w:pStyle w:val="OrderSigInfo"/>
        <w:keepNext/>
        <w:keepLines/>
      </w:pPr>
      <w:r w:rsidRPr="003B6AA4">
        <w:t>www.floridapsc.com</w:t>
      </w:r>
    </w:p>
    <w:p w:rsidR="00C52F25" w:rsidRPr="003B6AA4" w:rsidRDefault="00C52F25" w:rsidP="00C52F25">
      <w:pPr>
        <w:pStyle w:val="OrderSigInfo"/>
        <w:keepNext/>
        <w:keepLines/>
      </w:pPr>
    </w:p>
    <w:p w:rsidR="00C52F25" w:rsidRPr="003B6AA4" w:rsidRDefault="00C52F25" w:rsidP="00C52F25">
      <w:pPr>
        <w:pStyle w:val="OrderSigInfo"/>
        <w:keepNext/>
        <w:keepLines/>
      </w:pPr>
      <w:r w:rsidRPr="003B6AA4">
        <w:t>Copies furnished:  A copy of this document is provided to the parties of record at the time of issuance and, if applicable, interested persons.</w:t>
      </w:r>
    </w:p>
    <w:p w:rsidR="00C52F25" w:rsidRPr="003B6AA4" w:rsidRDefault="00C52F25" w:rsidP="00C52F25">
      <w:pPr>
        <w:pStyle w:val="OrderBody"/>
        <w:keepNext/>
        <w:keepLines/>
      </w:pPr>
    </w:p>
    <w:p w:rsidR="00C52F25" w:rsidRPr="003B6AA4" w:rsidRDefault="00C52F25" w:rsidP="00C52F25">
      <w:pPr>
        <w:pStyle w:val="OrderBody"/>
        <w:keepNext/>
        <w:keepLines/>
      </w:pPr>
    </w:p>
    <w:p w:rsidR="00C52F25" w:rsidRPr="003B6AA4" w:rsidRDefault="003B6AA4" w:rsidP="00C52F25">
      <w:pPr>
        <w:pStyle w:val="OrderBody"/>
        <w:keepNext/>
        <w:keepLines/>
      </w:pPr>
      <w:r w:rsidRPr="003B6AA4">
        <w:t>SAC</w:t>
      </w:r>
    </w:p>
    <w:p w:rsidR="00C52F25" w:rsidRDefault="00C52F25" w:rsidP="00C52F25">
      <w:pPr>
        <w:pStyle w:val="OrderBody"/>
      </w:pPr>
    </w:p>
    <w:p w:rsidR="00C52F25" w:rsidRDefault="00C52F25" w:rsidP="00C52F25">
      <w:pPr>
        <w:pStyle w:val="OrderBody"/>
      </w:pPr>
    </w:p>
    <w:p w:rsidR="00452B62" w:rsidRDefault="00452B62" w:rsidP="008F4C36">
      <w:pPr>
        <w:pStyle w:val="CenterUnderline"/>
        <w:rPr>
          <w:u w:val="none"/>
        </w:rPr>
      </w:pPr>
    </w:p>
    <w:p w:rsidR="00024A04" w:rsidRDefault="00024A04" w:rsidP="008F4C36">
      <w:pPr>
        <w:pStyle w:val="CenterUnderline"/>
      </w:pPr>
    </w:p>
    <w:p w:rsidR="00024A04" w:rsidRDefault="00024A04" w:rsidP="008F4C36">
      <w:pPr>
        <w:pStyle w:val="CenterUnderline"/>
      </w:pPr>
    </w:p>
    <w:p w:rsidR="00B96375" w:rsidRDefault="00B96375"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964CBF" w:rsidRDefault="00964CBF" w:rsidP="008F4C36">
      <w:pPr>
        <w:pStyle w:val="CenterUnderline"/>
      </w:pPr>
    </w:p>
    <w:p w:rsidR="00C527F3" w:rsidRDefault="00C527F3" w:rsidP="008F4C36">
      <w:pPr>
        <w:pStyle w:val="CenterUnderline"/>
      </w:pPr>
    </w:p>
    <w:p w:rsidR="00FA384D" w:rsidRDefault="00FA384D" w:rsidP="008F4C36">
      <w:pPr>
        <w:pStyle w:val="CenterUnderline"/>
      </w:pPr>
    </w:p>
    <w:p w:rsidR="00FA384D" w:rsidRDefault="00FA384D" w:rsidP="008F4C36">
      <w:pPr>
        <w:pStyle w:val="CenterUnderline"/>
      </w:pPr>
    </w:p>
    <w:p w:rsidR="008F4C36" w:rsidRDefault="008F4C36" w:rsidP="008F4C36">
      <w:pPr>
        <w:pStyle w:val="CenterUnderline"/>
      </w:pPr>
      <w:r>
        <w:lastRenderedPageBreak/>
        <w:t>NOTICE OF FURTHER PROCEEDINGS OR JUDICIAL REVIEW</w:t>
      </w:r>
    </w:p>
    <w:p w:rsidR="008F4C36" w:rsidRDefault="008F4C36" w:rsidP="008F4C36">
      <w:pPr>
        <w:pStyle w:val="CenterUnderline"/>
      </w:pPr>
    </w:p>
    <w:p w:rsidR="008F4C36" w:rsidRDefault="008F4C36" w:rsidP="008F4C3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F4C36" w:rsidRDefault="008F4C36" w:rsidP="008F4C36">
      <w:pPr>
        <w:pStyle w:val="OrderBody"/>
      </w:pPr>
    </w:p>
    <w:p w:rsidR="008F4C36" w:rsidRDefault="008F4C36" w:rsidP="008F4C36">
      <w:pPr>
        <w:pStyle w:val="OrderBody"/>
      </w:pPr>
      <w:r>
        <w:tab/>
        <w:t>Mediation may be available on a case-by-case basis.  If mediation is conducted, it does not affect a substantially interested person's right to a hearing.</w:t>
      </w:r>
    </w:p>
    <w:p w:rsidR="008F4C36" w:rsidRDefault="008F4C36" w:rsidP="008F4C36">
      <w:pPr>
        <w:pStyle w:val="OrderBody"/>
      </w:pPr>
    </w:p>
    <w:p w:rsidR="008F4C36" w:rsidRDefault="008F4C36" w:rsidP="008F4C3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A384D">
        <w:rPr>
          <w:u w:val="single"/>
        </w:rPr>
        <w:t>June 14, 2017</w:t>
      </w:r>
      <w:r>
        <w:t>.</w:t>
      </w:r>
    </w:p>
    <w:p w:rsidR="008F4C36" w:rsidRDefault="008F4C36" w:rsidP="008F4C36">
      <w:pPr>
        <w:pStyle w:val="OrderBody"/>
      </w:pPr>
    </w:p>
    <w:p w:rsidR="008F4C36" w:rsidRDefault="008F4C36" w:rsidP="008F4C36">
      <w:pPr>
        <w:pStyle w:val="OrderBody"/>
      </w:pPr>
      <w:r>
        <w:tab/>
        <w:t>In the absence of such a petition, this order shall become final and effective upon the issuance of a Consummating Order.</w:t>
      </w:r>
    </w:p>
    <w:p w:rsidR="008F4C36" w:rsidRDefault="008F4C36" w:rsidP="008F4C36">
      <w:pPr>
        <w:pStyle w:val="OrderBody"/>
      </w:pPr>
    </w:p>
    <w:p w:rsidR="008F4C36" w:rsidRDefault="008F4C36" w:rsidP="008F4C36">
      <w:pPr>
        <w:pStyle w:val="OrderBody"/>
      </w:pPr>
      <w:r>
        <w:tab/>
        <w:t>Any objection or protest filed in this/these docket(s) before the issuance date of this order is considered abandoned unless it satisfies the foregoing conditions and is renewed within the specified protest period.</w:t>
      </w:r>
    </w:p>
    <w:p w:rsidR="008F4C36" w:rsidRDefault="008F4C36" w:rsidP="008F4C36">
      <w:pPr>
        <w:pStyle w:val="OrderBody"/>
      </w:pPr>
    </w:p>
    <w:p w:rsidR="008F4C36" w:rsidRDefault="008F4C36" w:rsidP="008F4C36">
      <w:pPr>
        <w:pStyle w:val="OrderBody"/>
      </w:pPr>
    </w:p>
    <w:p w:rsidR="008F4C36" w:rsidRPr="008F4C36" w:rsidRDefault="008F4C36" w:rsidP="008F4C36">
      <w:pPr>
        <w:pStyle w:val="OrderBody"/>
      </w:pPr>
    </w:p>
    <w:sectPr w:rsidR="008F4C36" w:rsidRPr="008F4C3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56" w:rsidRDefault="00875A56">
      <w:r>
        <w:separator/>
      </w:r>
    </w:p>
  </w:endnote>
  <w:endnote w:type="continuationSeparator" w:id="0">
    <w:p w:rsidR="00875A56" w:rsidRDefault="0087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56" w:rsidRDefault="00056E4C">
      <w:r>
        <w:t>____________________</w:t>
      </w:r>
    </w:p>
  </w:footnote>
  <w:footnote w:type="continuationSeparator" w:id="0">
    <w:p w:rsidR="00875A56" w:rsidRDefault="00875A56">
      <w:r>
        <w:continuationSeparator/>
      </w:r>
    </w:p>
  </w:footnote>
  <w:footnote w:id="1">
    <w:p w:rsidR="007E6929" w:rsidRDefault="007E6929" w:rsidP="007E6929">
      <w:pPr>
        <w:pStyle w:val="FootnoteText"/>
      </w:pPr>
      <w:r>
        <w:rPr>
          <w:rStyle w:val="FootnoteReference"/>
        </w:rPr>
        <w:footnoteRef/>
      </w:r>
      <w:r>
        <w:t xml:space="preserve">Order No. PSC-15-0323-PAA-EG, issued </w:t>
      </w:r>
      <w:r w:rsidRPr="00EF6527">
        <w:t>August 11, 2015</w:t>
      </w:r>
      <w:r>
        <w:t xml:space="preserve">, in Docket No. 150081-EG, </w:t>
      </w:r>
      <w:r>
        <w:rPr>
          <w:i/>
        </w:rPr>
        <w:t>In r</w:t>
      </w:r>
      <w:r w:rsidRPr="00450C25">
        <w:rPr>
          <w:i/>
        </w:rPr>
        <w:t>e: Petition of Appr</w:t>
      </w:r>
      <w:r>
        <w:rPr>
          <w:i/>
        </w:rPr>
        <w:t>oval of Demand-Side Management P</w:t>
      </w:r>
      <w:r w:rsidRPr="00450C25">
        <w:rPr>
          <w:i/>
        </w:rPr>
        <w:t>lan of Tampa Electric Company</w:t>
      </w:r>
      <w:r>
        <w:rPr>
          <w:i/>
        </w:rPr>
        <w:t>.</w:t>
      </w:r>
    </w:p>
  </w:footnote>
  <w:footnote w:id="2">
    <w:p w:rsidR="001A2C24" w:rsidRDefault="001A2C24" w:rsidP="001A2C24">
      <w:pPr>
        <w:pStyle w:val="FootnoteText"/>
      </w:pPr>
      <w:r>
        <w:rPr>
          <w:rStyle w:val="FootnoteReference"/>
        </w:rPr>
        <w:footnoteRef/>
      </w:r>
      <w:r w:rsidR="00BA5C8D" w:rsidRPr="001F6CD5">
        <w:rPr>
          <w:i/>
        </w:rPr>
        <w:t>See e.g</w:t>
      </w:r>
      <w:r w:rsidRPr="001F6CD5">
        <w:rPr>
          <w:i/>
        </w:rPr>
        <w:t>.</w:t>
      </w:r>
      <w:r w:rsidR="001F6CD5">
        <w:rPr>
          <w:i/>
        </w:rPr>
        <w:t xml:space="preserve"> </w:t>
      </w:r>
      <w:r w:rsidR="001F6CD5" w:rsidRPr="001F6CD5">
        <w:t>Order No. PSC-15-0323-PAA-EG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6 ">
      <w:r w:rsidR="00FA384D">
        <w:t>PSC-17-0206-PAA-EI</w:t>
      </w:r>
    </w:fldSimple>
  </w:p>
  <w:p w:rsidR="00FA6EFD" w:rsidRDefault="00875A56">
    <w:pPr>
      <w:pStyle w:val="OrderHeader"/>
    </w:pPr>
    <w:bookmarkStart w:id="9" w:name="HeaderDocketNo"/>
    <w:bookmarkEnd w:id="9"/>
    <w:r>
      <w:t>DOCKET NO. 170015-EI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84D">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15-EI"/>
  </w:docVars>
  <w:rsids>
    <w:rsidRoot w:val="00875A56"/>
    <w:rsid w:val="000022B8"/>
    <w:rsid w:val="00024A04"/>
    <w:rsid w:val="00053AB9"/>
    <w:rsid w:val="00056229"/>
    <w:rsid w:val="00056E4C"/>
    <w:rsid w:val="00065FC2"/>
    <w:rsid w:val="00090AFC"/>
    <w:rsid w:val="00095627"/>
    <w:rsid w:val="000D02B8"/>
    <w:rsid w:val="000D06E8"/>
    <w:rsid w:val="000E20F0"/>
    <w:rsid w:val="000E344D"/>
    <w:rsid w:val="000E76E5"/>
    <w:rsid w:val="000F3B2C"/>
    <w:rsid w:val="000F648A"/>
    <w:rsid w:val="000F7BE3"/>
    <w:rsid w:val="001107B3"/>
    <w:rsid w:val="001114B1"/>
    <w:rsid w:val="00116AD3"/>
    <w:rsid w:val="00121957"/>
    <w:rsid w:val="00126593"/>
    <w:rsid w:val="00134223"/>
    <w:rsid w:val="00135FEE"/>
    <w:rsid w:val="00142A96"/>
    <w:rsid w:val="00187A40"/>
    <w:rsid w:val="00187E32"/>
    <w:rsid w:val="00194E81"/>
    <w:rsid w:val="001A15E7"/>
    <w:rsid w:val="001A2C24"/>
    <w:rsid w:val="001A33C9"/>
    <w:rsid w:val="001A58F3"/>
    <w:rsid w:val="001D008A"/>
    <w:rsid w:val="001E0FF5"/>
    <w:rsid w:val="001F6CD5"/>
    <w:rsid w:val="002002ED"/>
    <w:rsid w:val="002112FD"/>
    <w:rsid w:val="002170E5"/>
    <w:rsid w:val="0022721A"/>
    <w:rsid w:val="00230BB9"/>
    <w:rsid w:val="002372BC"/>
    <w:rsid w:val="00241CEF"/>
    <w:rsid w:val="00252B30"/>
    <w:rsid w:val="0026544B"/>
    <w:rsid w:val="002A11AC"/>
    <w:rsid w:val="002A6F30"/>
    <w:rsid w:val="002B26F0"/>
    <w:rsid w:val="002B3111"/>
    <w:rsid w:val="002C7908"/>
    <w:rsid w:val="002D391B"/>
    <w:rsid w:val="002D7331"/>
    <w:rsid w:val="002D7D15"/>
    <w:rsid w:val="002E1B2E"/>
    <w:rsid w:val="002E27EB"/>
    <w:rsid w:val="00303FDE"/>
    <w:rsid w:val="003140E8"/>
    <w:rsid w:val="003231C7"/>
    <w:rsid w:val="003270C4"/>
    <w:rsid w:val="00331ED0"/>
    <w:rsid w:val="00332B0A"/>
    <w:rsid w:val="00333A41"/>
    <w:rsid w:val="0035495B"/>
    <w:rsid w:val="00360BDB"/>
    <w:rsid w:val="003744F5"/>
    <w:rsid w:val="00390DD8"/>
    <w:rsid w:val="00394DC6"/>
    <w:rsid w:val="00397C3E"/>
    <w:rsid w:val="003B6AA4"/>
    <w:rsid w:val="003D4CCA"/>
    <w:rsid w:val="003D52A6"/>
    <w:rsid w:val="003D6416"/>
    <w:rsid w:val="003E1D48"/>
    <w:rsid w:val="003E52C4"/>
    <w:rsid w:val="00411DF2"/>
    <w:rsid w:val="0042527B"/>
    <w:rsid w:val="004307AC"/>
    <w:rsid w:val="00452B62"/>
    <w:rsid w:val="00457DC7"/>
    <w:rsid w:val="00472BCC"/>
    <w:rsid w:val="004806B8"/>
    <w:rsid w:val="004A25CD"/>
    <w:rsid w:val="004A26CC"/>
    <w:rsid w:val="004B0F4C"/>
    <w:rsid w:val="004B2108"/>
    <w:rsid w:val="004B3A2B"/>
    <w:rsid w:val="004B70D3"/>
    <w:rsid w:val="004D2D1B"/>
    <w:rsid w:val="004D3272"/>
    <w:rsid w:val="004E469D"/>
    <w:rsid w:val="004F2DDE"/>
    <w:rsid w:val="0050097F"/>
    <w:rsid w:val="00514B1F"/>
    <w:rsid w:val="00525E93"/>
    <w:rsid w:val="0052671D"/>
    <w:rsid w:val="00526C47"/>
    <w:rsid w:val="00527A63"/>
    <w:rsid w:val="00540F7E"/>
    <w:rsid w:val="0054577F"/>
    <w:rsid w:val="00553CE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E4652"/>
    <w:rsid w:val="00700898"/>
    <w:rsid w:val="00704C5D"/>
    <w:rsid w:val="007072BC"/>
    <w:rsid w:val="00715275"/>
    <w:rsid w:val="00733B6B"/>
    <w:rsid w:val="007467C4"/>
    <w:rsid w:val="00751FB1"/>
    <w:rsid w:val="0076170F"/>
    <w:rsid w:val="0076669C"/>
    <w:rsid w:val="007865E9"/>
    <w:rsid w:val="00792383"/>
    <w:rsid w:val="007A060F"/>
    <w:rsid w:val="007D3D20"/>
    <w:rsid w:val="007E3AFD"/>
    <w:rsid w:val="007E6929"/>
    <w:rsid w:val="007F0DE7"/>
    <w:rsid w:val="007F293C"/>
    <w:rsid w:val="008006D9"/>
    <w:rsid w:val="00801DAD"/>
    <w:rsid w:val="00803189"/>
    <w:rsid w:val="00804E7A"/>
    <w:rsid w:val="00805FBB"/>
    <w:rsid w:val="008169A4"/>
    <w:rsid w:val="008278FE"/>
    <w:rsid w:val="00832598"/>
    <w:rsid w:val="0083397E"/>
    <w:rsid w:val="0083534B"/>
    <w:rsid w:val="00842602"/>
    <w:rsid w:val="00846E18"/>
    <w:rsid w:val="00863A66"/>
    <w:rsid w:val="00874429"/>
    <w:rsid w:val="00875A56"/>
    <w:rsid w:val="00883D9A"/>
    <w:rsid w:val="008919EF"/>
    <w:rsid w:val="008A12EC"/>
    <w:rsid w:val="008C21C8"/>
    <w:rsid w:val="008C6375"/>
    <w:rsid w:val="008C6A5B"/>
    <w:rsid w:val="008E26A5"/>
    <w:rsid w:val="008E42D2"/>
    <w:rsid w:val="008F286B"/>
    <w:rsid w:val="008F4C36"/>
    <w:rsid w:val="009040EE"/>
    <w:rsid w:val="009057FD"/>
    <w:rsid w:val="00906FBA"/>
    <w:rsid w:val="00922A7F"/>
    <w:rsid w:val="00923A5E"/>
    <w:rsid w:val="00931C8C"/>
    <w:rsid w:val="0094504B"/>
    <w:rsid w:val="00964CBF"/>
    <w:rsid w:val="00970C5A"/>
    <w:rsid w:val="009924CF"/>
    <w:rsid w:val="00994100"/>
    <w:rsid w:val="009A5942"/>
    <w:rsid w:val="009D0460"/>
    <w:rsid w:val="009D4C29"/>
    <w:rsid w:val="00A62DAB"/>
    <w:rsid w:val="00A631B2"/>
    <w:rsid w:val="00A726A6"/>
    <w:rsid w:val="00A97535"/>
    <w:rsid w:val="00AA73F1"/>
    <w:rsid w:val="00AB0E1A"/>
    <w:rsid w:val="00AB1A30"/>
    <w:rsid w:val="00AD1ED3"/>
    <w:rsid w:val="00AD268C"/>
    <w:rsid w:val="00B0777D"/>
    <w:rsid w:val="00B30EF1"/>
    <w:rsid w:val="00B4057A"/>
    <w:rsid w:val="00B40894"/>
    <w:rsid w:val="00B45E75"/>
    <w:rsid w:val="00B47EE1"/>
    <w:rsid w:val="00B50876"/>
    <w:rsid w:val="00B55EE5"/>
    <w:rsid w:val="00B6071E"/>
    <w:rsid w:val="00B73DE6"/>
    <w:rsid w:val="00B86EF0"/>
    <w:rsid w:val="00B96375"/>
    <w:rsid w:val="00B96969"/>
    <w:rsid w:val="00B97900"/>
    <w:rsid w:val="00BA1229"/>
    <w:rsid w:val="00BA44A8"/>
    <w:rsid w:val="00BA5C8D"/>
    <w:rsid w:val="00BB1A76"/>
    <w:rsid w:val="00BB6BFD"/>
    <w:rsid w:val="00BF6691"/>
    <w:rsid w:val="00C028FC"/>
    <w:rsid w:val="00C151A6"/>
    <w:rsid w:val="00C23C38"/>
    <w:rsid w:val="00C24098"/>
    <w:rsid w:val="00C26D02"/>
    <w:rsid w:val="00C30A4E"/>
    <w:rsid w:val="00C36ED4"/>
    <w:rsid w:val="00C411F3"/>
    <w:rsid w:val="00C527F3"/>
    <w:rsid w:val="00C52F25"/>
    <w:rsid w:val="00C66692"/>
    <w:rsid w:val="00C7374F"/>
    <w:rsid w:val="00C91123"/>
    <w:rsid w:val="00CA71FF"/>
    <w:rsid w:val="00CB5276"/>
    <w:rsid w:val="00CB68D7"/>
    <w:rsid w:val="00CC7E68"/>
    <w:rsid w:val="00CC7F1D"/>
    <w:rsid w:val="00CD7132"/>
    <w:rsid w:val="00CE0E6F"/>
    <w:rsid w:val="00CE29B3"/>
    <w:rsid w:val="00CE56FC"/>
    <w:rsid w:val="00CF4CFE"/>
    <w:rsid w:val="00D02E0F"/>
    <w:rsid w:val="00D17AC6"/>
    <w:rsid w:val="00D23FEA"/>
    <w:rsid w:val="00D269CA"/>
    <w:rsid w:val="00D27865"/>
    <w:rsid w:val="00D30B48"/>
    <w:rsid w:val="00D40B03"/>
    <w:rsid w:val="00D46FAA"/>
    <w:rsid w:val="00D47A40"/>
    <w:rsid w:val="00D57BB2"/>
    <w:rsid w:val="00D57E57"/>
    <w:rsid w:val="00D8560E"/>
    <w:rsid w:val="00D8758F"/>
    <w:rsid w:val="00DB69BA"/>
    <w:rsid w:val="00DC1D94"/>
    <w:rsid w:val="00DC6D6E"/>
    <w:rsid w:val="00DE057F"/>
    <w:rsid w:val="00DE2082"/>
    <w:rsid w:val="00DE2289"/>
    <w:rsid w:val="00DE4A14"/>
    <w:rsid w:val="00E03A76"/>
    <w:rsid w:val="00E04410"/>
    <w:rsid w:val="00E044B1"/>
    <w:rsid w:val="00E11351"/>
    <w:rsid w:val="00E23606"/>
    <w:rsid w:val="00E707F4"/>
    <w:rsid w:val="00E92026"/>
    <w:rsid w:val="00E97A1A"/>
    <w:rsid w:val="00EA172C"/>
    <w:rsid w:val="00EA259B"/>
    <w:rsid w:val="00EA35A3"/>
    <w:rsid w:val="00EA3E6A"/>
    <w:rsid w:val="00EB18EF"/>
    <w:rsid w:val="00EE17DF"/>
    <w:rsid w:val="00EF4621"/>
    <w:rsid w:val="00F12E19"/>
    <w:rsid w:val="00F234A7"/>
    <w:rsid w:val="00F277B6"/>
    <w:rsid w:val="00F51569"/>
    <w:rsid w:val="00F54380"/>
    <w:rsid w:val="00F54B47"/>
    <w:rsid w:val="00F6702E"/>
    <w:rsid w:val="00F70E84"/>
    <w:rsid w:val="00FA092B"/>
    <w:rsid w:val="00FA384D"/>
    <w:rsid w:val="00FA6EFD"/>
    <w:rsid w:val="00FB74EA"/>
    <w:rsid w:val="00FC2BF8"/>
    <w:rsid w:val="00FC2CF2"/>
    <w:rsid w:val="00FD2C9E"/>
    <w:rsid w:val="00FD4786"/>
    <w:rsid w:val="00FD616C"/>
    <w:rsid w:val="00FD698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E6929"/>
    <w:pPr>
      <w:jc w:val="center"/>
    </w:pPr>
    <w:rPr>
      <w:rFonts w:ascii="Arial" w:hAnsi="Arial"/>
      <w:b/>
    </w:rPr>
  </w:style>
  <w:style w:type="character" w:customStyle="1" w:styleId="FootnoteTextChar">
    <w:name w:val="Footnote Text Char"/>
    <w:link w:val="FootnoteText"/>
    <w:rsid w:val="007E6929"/>
  </w:style>
  <w:style w:type="paragraph" w:customStyle="1" w:styleId="IssueHeading">
    <w:name w:val="Issue Heading"/>
    <w:basedOn w:val="Heading1"/>
    <w:next w:val="BodyText"/>
    <w:link w:val="IssueHeadingChar"/>
    <w:qFormat/>
    <w:rsid w:val="001A2C24"/>
    <w:pPr>
      <w:keepNext w:val="0"/>
    </w:pPr>
    <w:rPr>
      <w:rFonts w:ascii="Arial" w:hAnsi="Arial"/>
      <w:b/>
      <w:i/>
    </w:rPr>
  </w:style>
  <w:style w:type="character" w:customStyle="1" w:styleId="IssueHeadingChar">
    <w:name w:val="Issue Heading Char"/>
    <w:link w:val="IssueHeading"/>
    <w:rsid w:val="001A2C24"/>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A2C24"/>
    <w:pPr>
      <w:keepNext w:val="0"/>
    </w:pPr>
    <w:rPr>
      <w:rFonts w:ascii="Arial" w:hAnsi="Arial"/>
      <w:b/>
      <w:i/>
    </w:rPr>
  </w:style>
  <w:style w:type="character" w:customStyle="1" w:styleId="IssueSubsectionHeadingChar">
    <w:name w:val="Issue Subsection Heading Char"/>
    <w:link w:val="IssueSubsectionHeading"/>
    <w:rsid w:val="001A2C24"/>
    <w:rPr>
      <w:rFonts w:ascii="Arial" w:hAnsi="Arial" w:cs="Arial"/>
      <w:b/>
      <w:bCs/>
      <w:i/>
      <w:iCs/>
      <w:sz w:val="24"/>
      <w:szCs w:val="28"/>
    </w:rPr>
  </w:style>
  <w:style w:type="paragraph" w:customStyle="1" w:styleId="First-LevelSubheading">
    <w:name w:val="First-Level Subheading"/>
    <w:basedOn w:val="IssueSubsectionHeading"/>
    <w:next w:val="BodyText"/>
    <w:qFormat/>
    <w:rsid w:val="001A2C24"/>
    <w:pPr>
      <w:spacing w:after="0"/>
      <w:outlineLvl w:val="2"/>
    </w:pPr>
    <w:rPr>
      <w:i w:val="0"/>
    </w:rPr>
  </w:style>
  <w:style w:type="paragraph" w:customStyle="1" w:styleId="Second-LevelSubheading">
    <w:name w:val="Second-Level Subheading"/>
    <w:basedOn w:val="First-LevelSubheading"/>
    <w:next w:val="BodyText"/>
    <w:qFormat/>
    <w:rsid w:val="001A2C24"/>
    <w:pPr>
      <w:ind w:left="720"/>
      <w:outlineLvl w:val="3"/>
    </w:pPr>
    <w:rPr>
      <w:i/>
    </w:rPr>
  </w:style>
  <w:style w:type="paragraph" w:customStyle="1" w:styleId="TableNumber">
    <w:name w:val="Table Number"/>
    <w:basedOn w:val="BodyText"/>
    <w:next w:val="BodyText"/>
    <w:qFormat/>
    <w:rsid w:val="001A2C24"/>
    <w:pPr>
      <w:spacing w:before="480" w:after="0"/>
      <w:jc w:val="center"/>
    </w:pPr>
    <w:rPr>
      <w:rFonts w:ascii="Arial" w:hAnsi="Arial"/>
      <w:b/>
    </w:rPr>
  </w:style>
  <w:style w:type="paragraph" w:customStyle="1" w:styleId="TableTitle">
    <w:name w:val="Table Title"/>
    <w:basedOn w:val="BodyText"/>
    <w:next w:val="BodyText"/>
    <w:qFormat/>
    <w:rsid w:val="001A2C24"/>
    <w:pPr>
      <w:spacing w:after="0"/>
      <w:jc w:val="center"/>
    </w:pPr>
    <w:rPr>
      <w:rFonts w:ascii="Arial" w:hAnsi="Arial"/>
      <w:b/>
    </w:rPr>
  </w:style>
  <w:style w:type="paragraph" w:customStyle="1" w:styleId="TableSource">
    <w:name w:val="Table Source"/>
    <w:basedOn w:val="BodyText"/>
    <w:next w:val="BodyText"/>
    <w:qFormat/>
    <w:rsid w:val="001A2C24"/>
    <w:pPr>
      <w:spacing w:after="480"/>
      <w:jc w:val="both"/>
    </w:pPr>
  </w:style>
  <w:style w:type="paragraph" w:styleId="BalloonText">
    <w:name w:val="Balloon Text"/>
    <w:basedOn w:val="Normal"/>
    <w:link w:val="BalloonTextChar"/>
    <w:rsid w:val="00E23606"/>
    <w:rPr>
      <w:rFonts w:ascii="Tahoma" w:hAnsi="Tahoma" w:cs="Tahoma"/>
      <w:sz w:val="16"/>
      <w:szCs w:val="16"/>
    </w:rPr>
  </w:style>
  <w:style w:type="character" w:customStyle="1" w:styleId="BalloonTextChar">
    <w:name w:val="Balloon Text Char"/>
    <w:basedOn w:val="DefaultParagraphFont"/>
    <w:link w:val="BalloonText"/>
    <w:rsid w:val="00E23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E6929"/>
    <w:pPr>
      <w:jc w:val="center"/>
    </w:pPr>
    <w:rPr>
      <w:rFonts w:ascii="Arial" w:hAnsi="Arial"/>
      <w:b/>
    </w:rPr>
  </w:style>
  <w:style w:type="character" w:customStyle="1" w:styleId="FootnoteTextChar">
    <w:name w:val="Footnote Text Char"/>
    <w:link w:val="FootnoteText"/>
    <w:rsid w:val="007E6929"/>
  </w:style>
  <w:style w:type="paragraph" w:customStyle="1" w:styleId="IssueHeading">
    <w:name w:val="Issue Heading"/>
    <w:basedOn w:val="Heading1"/>
    <w:next w:val="BodyText"/>
    <w:link w:val="IssueHeadingChar"/>
    <w:qFormat/>
    <w:rsid w:val="001A2C24"/>
    <w:pPr>
      <w:keepNext w:val="0"/>
    </w:pPr>
    <w:rPr>
      <w:rFonts w:ascii="Arial" w:hAnsi="Arial"/>
      <w:b/>
      <w:i/>
    </w:rPr>
  </w:style>
  <w:style w:type="character" w:customStyle="1" w:styleId="IssueHeadingChar">
    <w:name w:val="Issue Heading Char"/>
    <w:link w:val="IssueHeading"/>
    <w:rsid w:val="001A2C24"/>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A2C24"/>
    <w:pPr>
      <w:keepNext w:val="0"/>
    </w:pPr>
    <w:rPr>
      <w:rFonts w:ascii="Arial" w:hAnsi="Arial"/>
      <w:b/>
      <w:i/>
    </w:rPr>
  </w:style>
  <w:style w:type="character" w:customStyle="1" w:styleId="IssueSubsectionHeadingChar">
    <w:name w:val="Issue Subsection Heading Char"/>
    <w:link w:val="IssueSubsectionHeading"/>
    <w:rsid w:val="001A2C24"/>
    <w:rPr>
      <w:rFonts w:ascii="Arial" w:hAnsi="Arial" w:cs="Arial"/>
      <w:b/>
      <w:bCs/>
      <w:i/>
      <w:iCs/>
      <w:sz w:val="24"/>
      <w:szCs w:val="28"/>
    </w:rPr>
  </w:style>
  <w:style w:type="paragraph" w:customStyle="1" w:styleId="First-LevelSubheading">
    <w:name w:val="First-Level Subheading"/>
    <w:basedOn w:val="IssueSubsectionHeading"/>
    <w:next w:val="BodyText"/>
    <w:qFormat/>
    <w:rsid w:val="001A2C24"/>
    <w:pPr>
      <w:spacing w:after="0"/>
      <w:outlineLvl w:val="2"/>
    </w:pPr>
    <w:rPr>
      <w:i w:val="0"/>
    </w:rPr>
  </w:style>
  <w:style w:type="paragraph" w:customStyle="1" w:styleId="Second-LevelSubheading">
    <w:name w:val="Second-Level Subheading"/>
    <w:basedOn w:val="First-LevelSubheading"/>
    <w:next w:val="BodyText"/>
    <w:qFormat/>
    <w:rsid w:val="001A2C24"/>
    <w:pPr>
      <w:ind w:left="720"/>
      <w:outlineLvl w:val="3"/>
    </w:pPr>
    <w:rPr>
      <w:i/>
    </w:rPr>
  </w:style>
  <w:style w:type="paragraph" w:customStyle="1" w:styleId="TableNumber">
    <w:name w:val="Table Number"/>
    <w:basedOn w:val="BodyText"/>
    <w:next w:val="BodyText"/>
    <w:qFormat/>
    <w:rsid w:val="001A2C24"/>
    <w:pPr>
      <w:spacing w:before="480" w:after="0"/>
      <w:jc w:val="center"/>
    </w:pPr>
    <w:rPr>
      <w:rFonts w:ascii="Arial" w:hAnsi="Arial"/>
      <w:b/>
    </w:rPr>
  </w:style>
  <w:style w:type="paragraph" w:customStyle="1" w:styleId="TableTitle">
    <w:name w:val="Table Title"/>
    <w:basedOn w:val="BodyText"/>
    <w:next w:val="BodyText"/>
    <w:qFormat/>
    <w:rsid w:val="001A2C24"/>
    <w:pPr>
      <w:spacing w:after="0"/>
      <w:jc w:val="center"/>
    </w:pPr>
    <w:rPr>
      <w:rFonts w:ascii="Arial" w:hAnsi="Arial"/>
      <w:b/>
    </w:rPr>
  </w:style>
  <w:style w:type="paragraph" w:customStyle="1" w:styleId="TableSource">
    <w:name w:val="Table Source"/>
    <w:basedOn w:val="BodyText"/>
    <w:next w:val="BodyText"/>
    <w:qFormat/>
    <w:rsid w:val="001A2C24"/>
    <w:pPr>
      <w:spacing w:after="480"/>
      <w:jc w:val="both"/>
    </w:pPr>
  </w:style>
  <w:style w:type="paragraph" w:styleId="BalloonText">
    <w:name w:val="Balloon Text"/>
    <w:basedOn w:val="Normal"/>
    <w:link w:val="BalloonTextChar"/>
    <w:rsid w:val="00E23606"/>
    <w:rPr>
      <w:rFonts w:ascii="Tahoma" w:hAnsi="Tahoma" w:cs="Tahoma"/>
      <w:sz w:val="16"/>
      <w:szCs w:val="16"/>
    </w:rPr>
  </w:style>
  <w:style w:type="character" w:customStyle="1" w:styleId="BalloonTextChar">
    <w:name w:val="Balloon Text Char"/>
    <w:basedOn w:val="DefaultParagraphFont"/>
    <w:link w:val="BalloonText"/>
    <w:rsid w:val="00E23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04EA-42DA-4640-A011-406C9CEA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7</Pages>
  <Words>2130</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2017-05-24T15:08:00Z</dcterms:created>
  <dcterms:modified xsi:type="dcterms:W3CDTF">2017-05-24T15:18:00Z</dcterms:modified>
</cp:coreProperties>
</file>