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AA12A2" w:rsidRDefault="00A321B7" w:rsidP="00A321B7">
      <w:pPr>
        <w:pStyle w:val="OrderHeading"/>
      </w:pPr>
      <w:r w:rsidRPr="00AA12A2">
        <w:t>BEFORE THE FLORIDA PUBLIC SERVICE COMMISSION</w:t>
      </w:r>
    </w:p>
    <w:p w:rsidR="00A321B7" w:rsidRPr="00AA12A2" w:rsidRDefault="00A321B7" w:rsidP="00A321B7">
      <w:pPr>
        <w:pStyle w:val="OrderHeading"/>
      </w:pPr>
    </w:p>
    <w:p w:rsidR="00A321B7" w:rsidRPr="00AA12A2" w:rsidRDefault="00A321B7" w:rsidP="00A321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21B7" w:rsidRPr="00AA12A2" w:rsidTr="00C63FCF">
        <w:trPr>
          <w:trHeight w:val="828"/>
        </w:trPr>
        <w:tc>
          <w:tcPr>
            <w:tcW w:w="4788" w:type="dxa"/>
            <w:tcBorders>
              <w:bottom w:val="single" w:sz="8" w:space="0" w:color="auto"/>
              <w:right w:val="double" w:sz="6" w:space="0" w:color="auto"/>
            </w:tcBorders>
            <w:shd w:val="clear" w:color="auto" w:fill="auto"/>
          </w:tcPr>
          <w:p w:rsidR="00A321B7" w:rsidRPr="00AA12A2" w:rsidRDefault="00A321B7" w:rsidP="00C63FCF">
            <w:pPr>
              <w:pStyle w:val="OrderBody"/>
              <w:tabs>
                <w:tab w:val="center" w:pos="4320"/>
                <w:tab w:val="right" w:pos="8640"/>
              </w:tabs>
              <w:jc w:val="left"/>
            </w:pPr>
            <w:r w:rsidRPr="00AA12A2">
              <w:t xml:space="preserve">In re: </w:t>
            </w:r>
            <w:bookmarkStart w:id="0" w:name="SSInRe"/>
            <w:bookmarkEnd w:id="0"/>
            <w:r w:rsidRPr="00AA12A2">
              <w:t>Petition for approval of ENERGY STAR program for new multi-family residences, by Tampa Electric Company.</w:t>
            </w:r>
          </w:p>
        </w:tc>
        <w:tc>
          <w:tcPr>
            <w:tcW w:w="4788" w:type="dxa"/>
            <w:tcBorders>
              <w:left w:val="double" w:sz="6" w:space="0" w:color="auto"/>
            </w:tcBorders>
            <w:shd w:val="clear" w:color="auto" w:fill="auto"/>
          </w:tcPr>
          <w:p w:rsidR="00A321B7" w:rsidRPr="00AA12A2" w:rsidRDefault="00A321B7" w:rsidP="00A321B7">
            <w:pPr>
              <w:pStyle w:val="OrderBody"/>
            </w:pPr>
            <w:r w:rsidRPr="00AA12A2">
              <w:t xml:space="preserve">DOCKET NO. </w:t>
            </w:r>
            <w:bookmarkStart w:id="1" w:name="SSDocketNo"/>
            <w:bookmarkEnd w:id="1"/>
            <w:r w:rsidRPr="00AA12A2">
              <w:t>170014-EI</w:t>
            </w:r>
          </w:p>
          <w:p w:rsidR="00A321B7" w:rsidRPr="00AA12A2" w:rsidRDefault="00A321B7" w:rsidP="00C63FCF">
            <w:pPr>
              <w:pStyle w:val="OrderBody"/>
              <w:tabs>
                <w:tab w:val="center" w:pos="4320"/>
                <w:tab w:val="right" w:pos="8640"/>
              </w:tabs>
              <w:jc w:val="left"/>
            </w:pPr>
            <w:r w:rsidRPr="00AA12A2">
              <w:t xml:space="preserve">ORDER NO. </w:t>
            </w:r>
            <w:bookmarkStart w:id="2" w:name="OrderNo0207"/>
            <w:r w:rsidR="000D44FF">
              <w:t>PSC-17-0207-PAA-EI</w:t>
            </w:r>
            <w:bookmarkEnd w:id="2"/>
          </w:p>
          <w:p w:rsidR="00A321B7" w:rsidRPr="00AA12A2" w:rsidRDefault="00A321B7" w:rsidP="00C63FCF">
            <w:pPr>
              <w:pStyle w:val="OrderBody"/>
              <w:tabs>
                <w:tab w:val="center" w:pos="4320"/>
                <w:tab w:val="right" w:pos="8640"/>
              </w:tabs>
              <w:jc w:val="left"/>
            </w:pPr>
            <w:r w:rsidRPr="00AA12A2">
              <w:t xml:space="preserve">ISSUED: </w:t>
            </w:r>
            <w:r w:rsidR="000D44FF">
              <w:t>May 24, 2017</w:t>
            </w:r>
          </w:p>
        </w:tc>
      </w:tr>
    </w:tbl>
    <w:p w:rsidR="00A321B7" w:rsidRPr="00AA12A2" w:rsidRDefault="00A321B7" w:rsidP="00A321B7"/>
    <w:p w:rsidR="00A321B7" w:rsidRPr="00AA12A2" w:rsidRDefault="00A321B7" w:rsidP="00A321B7"/>
    <w:p w:rsidR="00A321B7" w:rsidRPr="00AA12A2" w:rsidRDefault="00A321B7">
      <w:pPr>
        <w:ind w:firstLine="720"/>
        <w:jc w:val="both"/>
      </w:pPr>
      <w:bookmarkStart w:id="3" w:name="Commissioners"/>
      <w:bookmarkEnd w:id="3"/>
      <w:r w:rsidRPr="00AA12A2">
        <w:t>The following Commissioners participated in the disposition of this matter:</w:t>
      </w:r>
    </w:p>
    <w:p w:rsidR="00A321B7" w:rsidRPr="00AA12A2" w:rsidRDefault="00A321B7"/>
    <w:p w:rsidR="00A321B7" w:rsidRPr="00AA12A2" w:rsidRDefault="00A321B7">
      <w:pPr>
        <w:jc w:val="center"/>
      </w:pPr>
      <w:r w:rsidRPr="00AA12A2">
        <w:t>JULIE I. BROWN, Chairman</w:t>
      </w:r>
    </w:p>
    <w:p w:rsidR="00A321B7" w:rsidRPr="00AA12A2" w:rsidRDefault="00A321B7">
      <w:pPr>
        <w:jc w:val="center"/>
      </w:pPr>
      <w:r w:rsidRPr="00AA12A2">
        <w:t>ART GRAHAM</w:t>
      </w:r>
    </w:p>
    <w:p w:rsidR="00A321B7" w:rsidRPr="00AA12A2" w:rsidRDefault="00A321B7">
      <w:pPr>
        <w:jc w:val="center"/>
      </w:pPr>
      <w:r w:rsidRPr="00AA12A2">
        <w:t>RONALD A. BRISÉ</w:t>
      </w:r>
    </w:p>
    <w:p w:rsidR="00A321B7" w:rsidRPr="00AA12A2" w:rsidRDefault="00A321B7">
      <w:pPr>
        <w:jc w:val="center"/>
      </w:pPr>
      <w:r w:rsidRPr="00AA12A2">
        <w:t>JIMMY PATRONIS</w:t>
      </w:r>
    </w:p>
    <w:p w:rsidR="00A321B7" w:rsidRPr="00AA12A2" w:rsidRDefault="00A321B7">
      <w:pPr>
        <w:jc w:val="center"/>
      </w:pPr>
      <w:r w:rsidRPr="00AA12A2">
        <w:t>DONALD J. POLMANN</w:t>
      </w:r>
    </w:p>
    <w:p w:rsidR="00A321B7" w:rsidRPr="00AA12A2" w:rsidRDefault="00A321B7"/>
    <w:p w:rsidR="00A321B7" w:rsidRPr="00AA12A2" w:rsidRDefault="00A321B7" w:rsidP="00A321B7">
      <w:pPr>
        <w:pStyle w:val="OrderBody"/>
      </w:pPr>
    </w:p>
    <w:bookmarkStart w:id="4" w:name="OrderText"/>
    <w:bookmarkEnd w:id="4"/>
    <w:p w:rsidR="00A321B7" w:rsidRPr="00AA12A2" w:rsidRDefault="00A321B7">
      <w:pPr>
        <w:pStyle w:val="OrderBody"/>
        <w:jc w:val="center"/>
        <w:rPr>
          <w:u w:val="single"/>
        </w:rPr>
      </w:pPr>
      <w:r w:rsidRPr="00AA12A2">
        <w:rPr>
          <w:lang w:val="en-CA"/>
        </w:rPr>
        <w:fldChar w:fldCharType="begin"/>
      </w:r>
      <w:r w:rsidRPr="00AA12A2">
        <w:rPr>
          <w:lang w:val="en-CA"/>
        </w:rPr>
        <w:instrText xml:space="preserve"> SEQ CHAPTER \h \r 1</w:instrText>
      </w:r>
      <w:r w:rsidRPr="00AA12A2">
        <w:fldChar w:fldCharType="end"/>
      </w:r>
      <w:r w:rsidRPr="00AA12A2">
        <w:rPr>
          <w:u w:val="single"/>
        </w:rPr>
        <w:t>NOTICE OF PROPOSED AGENCY ACTION</w:t>
      </w:r>
    </w:p>
    <w:p w:rsidR="00AE4633" w:rsidRDefault="00A321B7" w:rsidP="00AA12A2">
      <w:pPr>
        <w:pStyle w:val="OrderBody"/>
        <w:jc w:val="center"/>
        <w:rPr>
          <w:u w:val="single"/>
        </w:rPr>
      </w:pPr>
      <w:r w:rsidRPr="00AA12A2">
        <w:rPr>
          <w:u w:val="single"/>
        </w:rPr>
        <w:t>ORDER</w:t>
      </w:r>
      <w:bookmarkStart w:id="5" w:name="OrderTitle"/>
      <w:r w:rsidR="00AA12A2">
        <w:rPr>
          <w:u w:val="single"/>
        </w:rPr>
        <w:t xml:space="preserve"> APPROVING TAMPA ELECTRIC COMPANY’</w:t>
      </w:r>
      <w:r w:rsidR="00AA12A2" w:rsidRPr="00AE4633">
        <w:rPr>
          <w:u w:val="single"/>
        </w:rPr>
        <w:t xml:space="preserve">S </w:t>
      </w:r>
    </w:p>
    <w:p w:rsidR="00A321B7" w:rsidRPr="00AE4633" w:rsidRDefault="00AA12A2" w:rsidP="00AA12A2">
      <w:pPr>
        <w:pStyle w:val="OrderBody"/>
        <w:jc w:val="center"/>
        <w:rPr>
          <w:u w:val="single"/>
        </w:rPr>
      </w:pPr>
      <w:r w:rsidRPr="00AE4633">
        <w:rPr>
          <w:u w:val="single"/>
        </w:rPr>
        <w:t>ENERGY STAR PROGRAM FOR NEW MULTI-FAMILY RESIDENCES</w:t>
      </w:r>
      <w:bookmarkEnd w:id="5"/>
    </w:p>
    <w:p w:rsidR="00A321B7" w:rsidRPr="00AA12A2" w:rsidRDefault="00A321B7">
      <w:pPr>
        <w:pStyle w:val="OrderBody"/>
      </w:pPr>
    </w:p>
    <w:p w:rsidR="00A321B7" w:rsidRPr="00AA12A2" w:rsidRDefault="00A321B7">
      <w:pPr>
        <w:pStyle w:val="OrderBody"/>
      </w:pPr>
      <w:r w:rsidRPr="00AA12A2">
        <w:t>BY THE COMMISSION:</w:t>
      </w:r>
    </w:p>
    <w:p w:rsidR="00A321B7" w:rsidRPr="00AA12A2" w:rsidRDefault="00A321B7">
      <w:pPr>
        <w:pStyle w:val="OrderBody"/>
      </w:pPr>
    </w:p>
    <w:p w:rsidR="00A321B7" w:rsidRPr="00AA12A2" w:rsidRDefault="00A321B7">
      <w:pPr>
        <w:pStyle w:val="OrderBody"/>
      </w:pPr>
      <w:r w:rsidRPr="00AA12A2">
        <w:tab/>
        <w:t xml:space="preserve">NOTICE is hereby given by the Florida Public Service Commission </w:t>
      </w:r>
      <w:r w:rsidR="00AA12A2">
        <w:t xml:space="preserve">(Commission) </w:t>
      </w:r>
      <w:r w:rsidRPr="00AA12A2">
        <w:t>that the action discussed herein is preliminary in nature and will become final unless a person whose interests are substantially affected files a petition for a formal proceeding, pursuant to Rule 25-22.029, Florida Administrative Code (F.A.C.).</w:t>
      </w:r>
    </w:p>
    <w:p w:rsidR="00CB5276" w:rsidRPr="00AA12A2" w:rsidRDefault="00CB5276" w:rsidP="00A321B7"/>
    <w:p w:rsidR="00AA12A2" w:rsidRDefault="00AA12A2" w:rsidP="00A413DF">
      <w:pPr>
        <w:jc w:val="center"/>
        <w:rPr>
          <w:u w:val="single"/>
        </w:rPr>
      </w:pPr>
      <w:r w:rsidRPr="00F53790">
        <w:rPr>
          <w:u w:val="single"/>
        </w:rPr>
        <w:t>BACKGROUND</w:t>
      </w:r>
    </w:p>
    <w:p w:rsidR="000200F3" w:rsidRPr="00F53790" w:rsidRDefault="000200F3" w:rsidP="00A413DF">
      <w:pPr>
        <w:jc w:val="center"/>
        <w:rPr>
          <w:u w:val="single"/>
        </w:rPr>
      </w:pPr>
    </w:p>
    <w:p w:rsidR="00D57E57" w:rsidRPr="00AA12A2" w:rsidRDefault="00A321B7" w:rsidP="00A413DF">
      <w:pPr>
        <w:ind w:firstLine="720"/>
        <w:jc w:val="both"/>
      </w:pPr>
      <w:r w:rsidRPr="00AA12A2">
        <w:t xml:space="preserve">On August 11, 2015, </w:t>
      </w:r>
      <w:r w:rsidR="00AA12A2">
        <w:t xml:space="preserve">we approved </w:t>
      </w:r>
      <w:r w:rsidRPr="00AA12A2">
        <w:t>Tampa Electric Company’s (TECO or Utility) Demand-Side Management (DSM) Plan.</w:t>
      </w:r>
      <w:r w:rsidR="00AA12A2" w:rsidRPr="00AE4633">
        <w:rPr>
          <w:rStyle w:val="FootnoteReference"/>
        </w:rPr>
        <w:footnoteReference w:id="1"/>
      </w:r>
      <w:r w:rsidR="00AA12A2" w:rsidRPr="00AE4633">
        <w:rPr>
          <w:vertAlign w:val="superscript"/>
        </w:rPr>
        <w:t xml:space="preserve"> </w:t>
      </w:r>
      <w:r w:rsidRPr="00AA12A2">
        <w:t xml:space="preserve">The plan included TECO’s ENERGY STAR Program for New Homes (New Homes Program) </w:t>
      </w:r>
      <w:r w:rsidR="00561B42">
        <w:t xml:space="preserve">by which, the Utility </w:t>
      </w:r>
      <w:r w:rsidRPr="00AA12A2">
        <w:t>offers an $850 rebate to encourage builders to construct new single-family homes t</w:t>
      </w:r>
      <w:r w:rsidR="00561B42">
        <w:t>hat</w:t>
      </w:r>
      <w:r w:rsidRPr="00AA12A2">
        <w:t xml:space="preserve"> meet ENERGY STAR </w:t>
      </w:r>
      <w:r w:rsidR="00561B42">
        <w:t>certification requirements</w:t>
      </w:r>
      <w:r w:rsidRPr="00AA12A2">
        <w:t>. By meeting the ENERGY STAR requirements, the new home uses less energy which helps reduce the growth of TECO’s peak demand. Th</w:t>
      </w:r>
      <w:r w:rsidR="00561B42">
        <w:t>e New Homes Program</w:t>
      </w:r>
      <w:r w:rsidRPr="00AA12A2">
        <w:t xml:space="preserve"> began in November 2015</w:t>
      </w:r>
      <w:r w:rsidR="00AA12A2">
        <w:t>. I</w:t>
      </w:r>
      <w:r w:rsidRPr="00AA12A2">
        <w:t>n 2016, the New Homes Program produced savings of 1,059,239 kWh at the generator and contributed towards TECO’s conservation goals set by th</w:t>
      </w:r>
      <w:r w:rsidR="00AA12A2">
        <w:t>is</w:t>
      </w:r>
      <w:r w:rsidRPr="00AA12A2">
        <w:t xml:space="preserve"> Commission.</w:t>
      </w:r>
    </w:p>
    <w:p w:rsidR="00A321B7" w:rsidRPr="00AA12A2" w:rsidRDefault="00A321B7" w:rsidP="0008736D">
      <w:pPr>
        <w:jc w:val="both"/>
      </w:pPr>
    </w:p>
    <w:p w:rsidR="00A321B7" w:rsidRPr="00AA12A2" w:rsidRDefault="00A321B7" w:rsidP="0008736D">
      <w:pPr>
        <w:ind w:firstLine="720"/>
        <w:jc w:val="both"/>
      </w:pPr>
      <w:r w:rsidRPr="00AA12A2">
        <w:t xml:space="preserve">On January 10, 2017, TECO petitioned </w:t>
      </w:r>
      <w:r w:rsidR="00AA12A2">
        <w:t xml:space="preserve">this </w:t>
      </w:r>
      <w:r w:rsidRPr="00AA12A2">
        <w:t xml:space="preserve">Commission for approval of </w:t>
      </w:r>
      <w:r w:rsidR="00AE0E73">
        <w:t xml:space="preserve">an </w:t>
      </w:r>
      <w:r w:rsidRPr="00AA12A2">
        <w:t xml:space="preserve">ENERGY STAR Program for New Multi-Family Residences (Multi-Family Program). </w:t>
      </w:r>
      <w:r w:rsidR="00AE0E73">
        <w:t>By the</w:t>
      </w:r>
      <w:r w:rsidRPr="00AA12A2">
        <w:t xml:space="preserve"> Multi-Family Program </w:t>
      </w:r>
      <w:r w:rsidR="00AE0E73">
        <w:t xml:space="preserve">the Utility proposes to </w:t>
      </w:r>
      <w:r w:rsidRPr="00AA12A2">
        <w:t>offer a $325 rebate to builders of new multi-family residences</w:t>
      </w:r>
      <w:r w:rsidR="00AE0E73">
        <w:t xml:space="preserve"> in order </w:t>
      </w:r>
      <w:r w:rsidRPr="00AA12A2">
        <w:t xml:space="preserve">to encourage construction of multi-family residences that meet the ENERGY STAR </w:t>
      </w:r>
      <w:r w:rsidRPr="00AA12A2">
        <w:lastRenderedPageBreak/>
        <w:t>requirements. By meeting these requirements, the new residence</w:t>
      </w:r>
      <w:r w:rsidR="00AE0E73">
        <w:t>s</w:t>
      </w:r>
      <w:r w:rsidRPr="00AA12A2">
        <w:t xml:space="preserve"> will use less energy</w:t>
      </w:r>
      <w:r w:rsidR="002A73AF">
        <w:t xml:space="preserve">, thereby </w:t>
      </w:r>
      <w:r w:rsidRPr="00AA12A2">
        <w:t xml:space="preserve"> helping to reduce the growth of TECO’s peak demand and helping future tenants </w:t>
      </w:r>
      <w:r w:rsidR="002A73AF">
        <w:t xml:space="preserve">to </w:t>
      </w:r>
      <w:r w:rsidRPr="00AA12A2">
        <w:t>save on their electric bills</w:t>
      </w:r>
      <w:r w:rsidR="002A73AF">
        <w:t>.</w:t>
      </w:r>
    </w:p>
    <w:p w:rsidR="00A321B7" w:rsidRPr="00AA12A2" w:rsidRDefault="00A321B7" w:rsidP="0008736D"/>
    <w:p w:rsidR="000200F3" w:rsidRDefault="00AE4633" w:rsidP="000200F3">
      <w:pPr>
        <w:ind w:firstLine="720"/>
        <w:jc w:val="both"/>
      </w:pPr>
      <w:r>
        <w:t xml:space="preserve">We have </w:t>
      </w:r>
      <w:r w:rsidR="00A321B7" w:rsidRPr="00AA12A2">
        <w:t>jurisdiction over this matter pursuant to Sections 366.80 through 366.83 and 403.519, Florida Statutes (F.S.), collectively known as the Florida Energy Efficiency and Conservation Act (FEECA).</w:t>
      </w:r>
    </w:p>
    <w:p w:rsidR="000200F3" w:rsidRDefault="000200F3" w:rsidP="000200F3">
      <w:pPr>
        <w:ind w:firstLine="720"/>
        <w:jc w:val="both"/>
      </w:pPr>
    </w:p>
    <w:p w:rsidR="000200F3" w:rsidRPr="000200F3" w:rsidRDefault="000200F3" w:rsidP="000200F3">
      <w:pPr>
        <w:ind w:firstLine="720"/>
        <w:jc w:val="both"/>
        <w:rPr>
          <w:u w:val="single"/>
        </w:rPr>
      </w:pPr>
      <w:r>
        <w:tab/>
      </w:r>
      <w:r>
        <w:tab/>
      </w:r>
      <w:r>
        <w:tab/>
      </w:r>
      <w:r>
        <w:tab/>
      </w:r>
      <w:r>
        <w:tab/>
      </w:r>
      <w:r w:rsidRPr="000200F3">
        <w:rPr>
          <w:u w:val="single"/>
        </w:rPr>
        <w:t>REVIEW</w:t>
      </w:r>
    </w:p>
    <w:p w:rsidR="000200F3" w:rsidRDefault="000200F3" w:rsidP="000200F3">
      <w:pPr>
        <w:ind w:firstLine="720"/>
        <w:jc w:val="both"/>
      </w:pPr>
    </w:p>
    <w:p w:rsidR="000200F3" w:rsidRPr="00AA12A2" w:rsidRDefault="000200F3" w:rsidP="000200F3">
      <w:pPr>
        <w:ind w:firstLine="720"/>
        <w:jc w:val="both"/>
        <w:rPr>
          <w:vanish/>
          <w:specVanish/>
        </w:rPr>
      </w:pPr>
    </w:p>
    <w:p w:rsidR="0008736D" w:rsidRDefault="00A321B7" w:rsidP="007461AB">
      <w:pPr>
        <w:jc w:val="both"/>
      </w:pPr>
      <w:r w:rsidRPr="00AA12A2">
        <w:t> </w:t>
      </w:r>
      <w:r w:rsidR="007461AB">
        <w:tab/>
      </w:r>
      <w:r w:rsidRPr="00AA12A2">
        <w:t>The criteria used to review the appropriateness of DSM programs are: (1) whether the program advances the policy objectives of FEECA and its implementing rules; (2) whether the program is directly monitorable and yields measurable results; and (3) whether the program is cost-effective.</w:t>
      </w:r>
      <w:r w:rsidRPr="00AE4633">
        <w:rPr>
          <w:vertAlign w:val="superscript"/>
        </w:rPr>
        <w:footnoteReference w:id="2"/>
      </w:r>
      <w:r w:rsidRPr="00AA12A2">
        <w:t xml:space="preserve"> </w:t>
      </w:r>
      <w:r w:rsidR="00AE4633">
        <w:t xml:space="preserve"> </w:t>
      </w:r>
    </w:p>
    <w:p w:rsidR="004F3C47" w:rsidRPr="00AA12A2" w:rsidRDefault="004F3C47" w:rsidP="0008736D"/>
    <w:p w:rsidR="00A321B7" w:rsidRPr="00F53790" w:rsidRDefault="00A321B7" w:rsidP="00A321B7">
      <w:pPr>
        <w:pStyle w:val="First-LevelSubheading"/>
        <w:rPr>
          <w:rFonts w:ascii="Times New Roman" w:hAnsi="Times New Roman" w:cs="Times New Roman"/>
          <w:b w:val="0"/>
          <w:szCs w:val="24"/>
          <w:u w:val="single"/>
        </w:rPr>
      </w:pPr>
      <w:r w:rsidRPr="00F53790">
        <w:rPr>
          <w:rFonts w:ascii="Times New Roman" w:hAnsi="Times New Roman" w:cs="Times New Roman"/>
          <w:b w:val="0"/>
          <w:szCs w:val="24"/>
          <w:u w:val="single"/>
        </w:rPr>
        <w:t>Program Description</w:t>
      </w:r>
    </w:p>
    <w:p w:rsidR="00AA12A2" w:rsidRPr="00AA12A2" w:rsidRDefault="00AA12A2" w:rsidP="00AA12A2">
      <w:pPr>
        <w:pStyle w:val="BodyText"/>
      </w:pPr>
    </w:p>
    <w:p w:rsidR="00A8749D" w:rsidRDefault="004F3C47" w:rsidP="0008736D">
      <w:pPr>
        <w:ind w:firstLine="720"/>
        <w:jc w:val="both"/>
      </w:pPr>
      <w:r>
        <w:t xml:space="preserve">By its petition, </w:t>
      </w:r>
      <w:r w:rsidR="00A321B7" w:rsidRPr="004F3C47">
        <w:t>TECO</w:t>
      </w:r>
      <w:r w:rsidR="00A321B7" w:rsidRPr="00AA12A2">
        <w:t xml:space="preserve"> </w:t>
      </w:r>
      <w:r>
        <w:t xml:space="preserve">seeks </w:t>
      </w:r>
      <w:r w:rsidR="00A321B7" w:rsidRPr="00AA12A2">
        <w:t xml:space="preserve">approval of a new residential conservation program </w:t>
      </w:r>
      <w:r w:rsidR="00410020">
        <w:t>to offer</w:t>
      </w:r>
      <w:r w:rsidR="00A321B7" w:rsidRPr="00AA12A2">
        <w:t xml:space="preserve"> rebates to the builders of </w:t>
      </w:r>
      <w:r w:rsidR="00DC4212">
        <w:t xml:space="preserve">new </w:t>
      </w:r>
      <w:r w:rsidR="00A321B7" w:rsidRPr="00AA12A2">
        <w:t xml:space="preserve">multi-family residential units </w:t>
      </w:r>
      <w:r w:rsidR="00DC4212">
        <w:t xml:space="preserve">as an incentive to meet </w:t>
      </w:r>
      <w:r w:rsidR="00A321B7" w:rsidRPr="00AA12A2">
        <w:t xml:space="preserve">ENERGY STAR </w:t>
      </w:r>
      <w:r w:rsidR="00DC4212">
        <w:t xml:space="preserve">standards. </w:t>
      </w:r>
      <w:r w:rsidR="00A8749D">
        <w:t>The Program Participation Standards were submitted concurrently with the proposed Multi-Family Program description.</w:t>
      </w:r>
    </w:p>
    <w:p w:rsidR="00A8749D" w:rsidRDefault="00A8749D" w:rsidP="0008736D">
      <w:pPr>
        <w:ind w:firstLine="720"/>
        <w:jc w:val="both"/>
      </w:pPr>
    </w:p>
    <w:p w:rsidR="00A321B7" w:rsidRPr="00AA12A2" w:rsidRDefault="00EE6CE7" w:rsidP="0008736D">
      <w:pPr>
        <w:ind w:firstLine="720"/>
        <w:jc w:val="both"/>
      </w:pPr>
      <w:r>
        <w:t xml:space="preserve">TECO asserts that </w:t>
      </w:r>
      <w:r w:rsidR="00A321B7" w:rsidRPr="00AA12A2">
        <w:t>this program w</w:t>
      </w:r>
      <w:r>
        <w:t>ill</w:t>
      </w:r>
      <w:r w:rsidR="00A321B7" w:rsidRPr="00AA12A2">
        <w:t xml:space="preserve"> be cost-effective if the rebate is set at $325 for each multi-family unit that receives </w:t>
      </w:r>
      <w:r w:rsidR="00410020">
        <w:t>the</w:t>
      </w:r>
      <w:r w:rsidR="00A321B7" w:rsidRPr="00AA12A2">
        <w:t xml:space="preserve"> ENERGY STAR </w:t>
      </w:r>
      <w:r w:rsidR="00410020" w:rsidRPr="00AA12A2">
        <w:t xml:space="preserve">Apartments and Condominiums </w:t>
      </w:r>
      <w:r w:rsidR="00A321B7" w:rsidRPr="00AA12A2">
        <w:t>certification.</w:t>
      </w:r>
      <w:r w:rsidR="00DC4212" w:rsidRPr="00DC4212">
        <w:t xml:space="preserve"> </w:t>
      </w:r>
      <w:r w:rsidR="00A321B7" w:rsidRPr="00AA12A2">
        <w:t xml:space="preserve">Similar to the New Homes Program, this residential new construction conservation program </w:t>
      </w:r>
      <w:r>
        <w:t xml:space="preserve">is </w:t>
      </w:r>
      <w:r w:rsidR="00A321B7" w:rsidRPr="00AA12A2">
        <w:t xml:space="preserve">designed to reduce the growth of peak demand and energy. </w:t>
      </w:r>
      <w:r>
        <w:t>A</w:t>
      </w:r>
      <w:r w:rsidRPr="00AA12A2">
        <w:t>s shown in the table below</w:t>
      </w:r>
      <w:r>
        <w:t>, t</w:t>
      </w:r>
      <w:r w:rsidR="00A321B7" w:rsidRPr="00AA12A2">
        <w:t xml:space="preserve">he Utility estimates </w:t>
      </w:r>
      <w:r>
        <w:t xml:space="preserve">that the </w:t>
      </w:r>
      <w:r w:rsidR="00A321B7" w:rsidRPr="00AA12A2">
        <w:t>annual number of program participants</w:t>
      </w:r>
      <w:r w:rsidR="002A73AF">
        <w:t>,</w:t>
      </w:r>
      <w:r w:rsidR="00A321B7" w:rsidRPr="00AA12A2">
        <w:t xml:space="preserve"> for the period 2017 through 2024 </w:t>
      </w:r>
      <w:r>
        <w:t xml:space="preserve">will </w:t>
      </w:r>
      <w:r w:rsidR="00A321B7" w:rsidRPr="00AA12A2">
        <w:t>range from 600 through 1,000</w:t>
      </w:r>
      <w:r w:rsidR="002A73AF">
        <w:t>.</w:t>
      </w:r>
      <w:r w:rsidR="00A321B7" w:rsidRPr="00AA12A2">
        <w:t xml:space="preserve"> </w:t>
      </w:r>
    </w:p>
    <w:p w:rsidR="00A321B7" w:rsidRPr="00AA12A2" w:rsidRDefault="00D830EB" w:rsidP="00A321B7">
      <w:r>
        <w:t xml:space="preserve"> </w:t>
      </w:r>
    </w:p>
    <w:p w:rsidR="00A321B7" w:rsidRPr="00AA12A2" w:rsidRDefault="00A321B7" w:rsidP="00A321B7">
      <w:pPr>
        <w:pStyle w:val="TableTitle"/>
        <w:keepNext/>
        <w:rPr>
          <w:rFonts w:ascii="Times New Roman" w:hAnsi="Times New Roman"/>
        </w:rPr>
      </w:pPr>
      <w:r w:rsidRPr="00AA12A2">
        <w:rPr>
          <w:rFonts w:ascii="Times New Roman" w:hAnsi="Times New Roman"/>
        </w:rPr>
        <w:t>Estimated Program Participation</w:t>
      </w:r>
    </w:p>
    <w:tbl>
      <w:tblPr>
        <w:tblStyle w:val="TableGrid"/>
        <w:tblW w:w="0" w:type="auto"/>
        <w:jc w:val="center"/>
        <w:tblInd w:w="-945" w:type="dxa"/>
        <w:tblLook w:val="04A0" w:firstRow="1" w:lastRow="0" w:firstColumn="1" w:lastColumn="0" w:noHBand="0" w:noVBand="1"/>
      </w:tblPr>
      <w:tblGrid>
        <w:gridCol w:w="773"/>
        <w:gridCol w:w="1440"/>
        <w:gridCol w:w="1350"/>
        <w:gridCol w:w="1470"/>
        <w:gridCol w:w="1470"/>
      </w:tblGrid>
      <w:tr w:rsidR="00A321B7" w:rsidRPr="00AA12A2" w:rsidTr="00A31E47">
        <w:trPr>
          <w:jc w:val="center"/>
        </w:trPr>
        <w:tc>
          <w:tcPr>
            <w:tcW w:w="773" w:type="dxa"/>
            <w:vAlign w:val="center"/>
          </w:tcPr>
          <w:p w:rsidR="00A321B7" w:rsidRPr="00AA12A2" w:rsidRDefault="00A321B7" w:rsidP="00A31E47">
            <w:pPr>
              <w:jc w:val="center"/>
              <w:rPr>
                <w:b/>
              </w:rPr>
            </w:pPr>
            <w:r w:rsidRPr="00AA12A2">
              <w:rPr>
                <w:b/>
              </w:rPr>
              <w:t>Year</w:t>
            </w:r>
          </w:p>
        </w:tc>
        <w:tc>
          <w:tcPr>
            <w:tcW w:w="1440" w:type="dxa"/>
            <w:vAlign w:val="center"/>
          </w:tcPr>
          <w:p w:rsidR="00A321B7" w:rsidRPr="00AA12A2" w:rsidRDefault="00A321B7" w:rsidP="00A31E47">
            <w:pPr>
              <w:jc w:val="center"/>
              <w:rPr>
                <w:b/>
              </w:rPr>
            </w:pPr>
            <w:r w:rsidRPr="00AA12A2">
              <w:rPr>
                <w:b/>
              </w:rPr>
              <w:t>Total Number of Customers</w:t>
            </w:r>
          </w:p>
        </w:tc>
        <w:tc>
          <w:tcPr>
            <w:tcW w:w="1350" w:type="dxa"/>
            <w:vAlign w:val="center"/>
          </w:tcPr>
          <w:p w:rsidR="00A321B7" w:rsidRPr="00AA12A2" w:rsidRDefault="00A321B7" w:rsidP="00A31E47">
            <w:pPr>
              <w:jc w:val="center"/>
              <w:rPr>
                <w:b/>
              </w:rPr>
            </w:pPr>
            <w:r w:rsidRPr="00AA12A2">
              <w:rPr>
                <w:b/>
              </w:rPr>
              <w:t>Total Number of Eligible Customers</w:t>
            </w:r>
          </w:p>
        </w:tc>
        <w:tc>
          <w:tcPr>
            <w:tcW w:w="1470" w:type="dxa"/>
            <w:vAlign w:val="center"/>
          </w:tcPr>
          <w:p w:rsidR="00A321B7" w:rsidRPr="00AA12A2" w:rsidRDefault="00A321B7" w:rsidP="00A31E47">
            <w:pPr>
              <w:jc w:val="center"/>
              <w:rPr>
                <w:b/>
              </w:rPr>
            </w:pPr>
            <w:r w:rsidRPr="00AA12A2">
              <w:rPr>
                <w:b/>
              </w:rPr>
              <w:t>Annual Number of Program Participants</w:t>
            </w:r>
          </w:p>
        </w:tc>
        <w:tc>
          <w:tcPr>
            <w:tcW w:w="1470" w:type="dxa"/>
            <w:vAlign w:val="center"/>
          </w:tcPr>
          <w:p w:rsidR="00A321B7" w:rsidRPr="00AA12A2" w:rsidRDefault="00A321B7" w:rsidP="00A31E47">
            <w:pPr>
              <w:jc w:val="center"/>
              <w:rPr>
                <w:b/>
              </w:rPr>
            </w:pPr>
            <w:r w:rsidRPr="00AA12A2">
              <w:rPr>
                <w:b/>
              </w:rPr>
              <w:t>Cumulative Number of Program Participants</w:t>
            </w:r>
          </w:p>
        </w:tc>
      </w:tr>
      <w:tr w:rsidR="00A321B7" w:rsidRPr="00AA12A2" w:rsidTr="00A31E47">
        <w:trPr>
          <w:jc w:val="center"/>
        </w:trPr>
        <w:tc>
          <w:tcPr>
            <w:tcW w:w="773" w:type="dxa"/>
          </w:tcPr>
          <w:p w:rsidR="00A321B7" w:rsidRPr="00AA12A2" w:rsidRDefault="00A321B7" w:rsidP="00A31E47">
            <w:r w:rsidRPr="00AA12A2">
              <w:t>2017</w:t>
            </w:r>
          </w:p>
        </w:tc>
        <w:tc>
          <w:tcPr>
            <w:tcW w:w="1440" w:type="dxa"/>
            <w:vAlign w:val="center"/>
          </w:tcPr>
          <w:p w:rsidR="00A321B7" w:rsidRPr="00AA12A2" w:rsidRDefault="00A321B7" w:rsidP="00A31E47">
            <w:pPr>
              <w:jc w:val="right"/>
            </w:pPr>
            <w:r w:rsidRPr="00AA12A2">
              <w:t>201,074</w:t>
            </w:r>
          </w:p>
        </w:tc>
        <w:tc>
          <w:tcPr>
            <w:tcW w:w="1350" w:type="dxa"/>
            <w:vAlign w:val="center"/>
          </w:tcPr>
          <w:p w:rsidR="00A321B7" w:rsidRPr="00AA12A2" w:rsidRDefault="00A321B7" w:rsidP="00A31E47">
            <w:pPr>
              <w:jc w:val="right"/>
            </w:pPr>
            <w:r w:rsidRPr="00AA12A2">
              <w:t>3,820</w:t>
            </w:r>
          </w:p>
        </w:tc>
        <w:tc>
          <w:tcPr>
            <w:tcW w:w="1470" w:type="dxa"/>
            <w:vAlign w:val="center"/>
          </w:tcPr>
          <w:p w:rsidR="00A321B7" w:rsidRPr="00AA12A2" w:rsidRDefault="00A321B7" w:rsidP="00A31E47">
            <w:pPr>
              <w:jc w:val="right"/>
            </w:pPr>
            <w:r w:rsidRPr="00AA12A2">
              <w:t>600</w:t>
            </w:r>
          </w:p>
        </w:tc>
        <w:tc>
          <w:tcPr>
            <w:tcW w:w="1470" w:type="dxa"/>
            <w:vAlign w:val="center"/>
          </w:tcPr>
          <w:p w:rsidR="00A321B7" w:rsidRPr="00AA12A2" w:rsidRDefault="00A321B7" w:rsidP="00A31E47">
            <w:pPr>
              <w:jc w:val="right"/>
            </w:pPr>
            <w:r w:rsidRPr="00AA12A2">
              <w:t>600</w:t>
            </w:r>
          </w:p>
        </w:tc>
      </w:tr>
      <w:tr w:rsidR="00A321B7" w:rsidRPr="00AA12A2" w:rsidTr="00A31E47">
        <w:trPr>
          <w:jc w:val="center"/>
        </w:trPr>
        <w:tc>
          <w:tcPr>
            <w:tcW w:w="773" w:type="dxa"/>
          </w:tcPr>
          <w:p w:rsidR="00A321B7" w:rsidRPr="00AA12A2" w:rsidRDefault="00A321B7" w:rsidP="00A31E47">
            <w:r w:rsidRPr="00AA12A2">
              <w:t>2018</w:t>
            </w:r>
          </w:p>
        </w:tc>
        <w:tc>
          <w:tcPr>
            <w:tcW w:w="1440" w:type="dxa"/>
            <w:vAlign w:val="center"/>
          </w:tcPr>
          <w:p w:rsidR="00A321B7" w:rsidRPr="00AA12A2" w:rsidRDefault="00A321B7" w:rsidP="00A31E47">
            <w:pPr>
              <w:jc w:val="right"/>
            </w:pPr>
            <w:r w:rsidRPr="00AA12A2">
              <w:t>204,894</w:t>
            </w:r>
          </w:p>
        </w:tc>
        <w:tc>
          <w:tcPr>
            <w:tcW w:w="1350" w:type="dxa"/>
            <w:vAlign w:val="center"/>
          </w:tcPr>
          <w:p w:rsidR="00A321B7" w:rsidRPr="00AA12A2" w:rsidRDefault="00A321B7" w:rsidP="00A31E47">
            <w:pPr>
              <w:jc w:val="right"/>
            </w:pPr>
            <w:r w:rsidRPr="00AA12A2">
              <w:t>3,893</w:t>
            </w:r>
          </w:p>
        </w:tc>
        <w:tc>
          <w:tcPr>
            <w:tcW w:w="1470" w:type="dxa"/>
            <w:vAlign w:val="center"/>
          </w:tcPr>
          <w:p w:rsidR="00A321B7" w:rsidRPr="00AA12A2" w:rsidRDefault="00A321B7" w:rsidP="00A31E47">
            <w:pPr>
              <w:jc w:val="right"/>
            </w:pPr>
            <w:r w:rsidRPr="00AA12A2">
              <w:t>600</w:t>
            </w:r>
          </w:p>
        </w:tc>
        <w:tc>
          <w:tcPr>
            <w:tcW w:w="1470" w:type="dxa"/>
            <w:vAlign w:val="center"/>
          </w:tcPr>
          <w:p w:rsidR="00A321B7" w:rsidRPr="00AA12A2" w:rsidRDefault="00A321B7" w:rsidP="00A31E47">
            <w:pPr>
              <w:jc w:val="right"/>
            </w:pPr>
            <w:r w:rsidRPr="00AA12A2">
              <w:t>1,200</w:t>
            </w:r>
          </w:p>
        </w:tc>
      </w:tr>
      <w:tr w:rsidR="00A321B7" w:rsidRPr="00AA12A2" w:rsidTr="00A31E47">
        <w:trPr>
          <w:jc w:val="center"/>
        </w:trPr>
        <w:tc>
          <w:tcPr>
            <w:tcW w:w="773" w:type="dxa"/>
          </w:tcPr>
          <w:p w:rsidR="00A321B7" w:rsidRPr="00AA12A2" w:rsidRDefault="00A321B7" w:rsidP="00A31E47">
            <w:r w:rsidRPr="00AA12A2">
              <w:t>2019</w:t>
            </w:r>
          </w:p>
        </w:tc>
        <w:tc>
          <w:tcPr>
            <w:tcW w:w="1440" w:type="dxa"/>
            <w:vAlign w:val="center"/>
          </w:tcPr>
          <w:p w:rsidR="00A321B7" w:rsidRPr="00AA12A2" w:rsidRDefault="00A321B7" w:rsidP="00A31E47">
            <w:pPr>
              <w:jc w:val="right"/>
            </w:pPr>
            <w:r w:rsidRPr="00AA12A2">
              <w:t>208,787</w:t>
            </w:r>
          </w:p>
        </w:tc>
        <w:tc>
          <w:tcPr>
            <w:tcW w:w="1350" w:type="dxa"/>
            <w:vAlign w:val="center"/>
          </w:tcPr>
          <w:p w:rsidR="00A321B7" w:rsidRPr="00AA12A2" w:rsidRDefault="00A321B7" w:rsidP="00A31E47">
            <w:pPr>
              <w:jc w:val="right"/>
            </w:pPr>
            <w:r w:rsidRPr="00AA12A2">
              <w:t>3,967</w:t>
            </w:r>
          </w:p>
        </w:tc>
        <w:tc>
          <w:tcPr>
            <w:tcW w:w="1470" w:type="dxa"/>
            <w:vAlign w:val="center"/>
          </w:tcPr>
          <w:p w:rsidR="00A321B7" w:rsidRPr="00AA12A2" w:rsidRDefault="00A321B7" w:rsidP="00A31E47">
            <w:pPr>
              <w:jc w:val="right"/>
            </w:pPr>
            <w:r w:rsidRPr="00AA12A2">
              <w:t>800</w:t>
            </w:r>
          </w:p>
        </w:tc>
        <w:tc>
          <w:tcPr>
            <w:tcW w:w="1470" w:type="dxa"/>
            <w:vAlign w:val="center"/>
          </w:tcPr>
          <w:p w:rsidR="00A321B7" w:rsidRPr="00AA12A2" w:rsidRDefault="00A321B7" w:rsidP="00A31E47">
            <w:pPr>
              <w:jc w:val="right"/>
            </w:pPr>
            <w:r w:rsidRPr="00AA12A2">
              <w:t>2,000</w:t>
            </w:r>
          </w:p>
        </w:tc>
      </w:tr>
      <w:tr w:rsidR="00A321B7" w:rsidRPr="00AA12A2" w:rsidTr="00A31E47">
        <w:trPr>
          <w:jc w:val="center"/>
        </w:trPr>
        <w:tc>
          <w:tcPr>
            <w:tcW w:w="773" w:type="dxa"/>
          </w:tcPr>
          <w:p w:rsidR="00A321B7" w:rsidRPr="00AA12A2" w:rsidRDefault="00A321B7" w:rsidP="00A31E47">
            <w:r w:rsidRPr="00AA12A2">
              <w:t>2020</w:t>
            </w:r>
          </w:p>
        </w:tc>
        <w:tc>
          <w:tcPr>
            <w:tcW w:w="1440" w:type="dxa"/>
            <w:vAlign w:val="center"/>
          </w:tcPr>
          <w:p w:rsidR="00A321B7" w:rsidRPr="00AA12A2" w:rsidRDefault="00A321B7" w:rsidP="00A31E47">
            <w:pPr>
              <w:jc w:val="right"/>
            </w:pPr>
            <w:r w:rsidRPr="00AA12A2">
              <w:t>212,754</w:t>
            </w:r>
          </w:p>
        </w:tc>
        <w:tc>
          <w:tcPr>
            <w:tcW w:w="1350" w:type="dxa"/>
            <w:vAlign w:val="center"/>
          </w:tcPr>
          <w:p w:rsidR="00A321B7" w:rsidRPr="00AA12A2" w:rsidRDefault="00A321B7" w:rsidP="00A31E47">
            <w:pPr>
              <w:jc w:val="right"/>
            </w:pPr>
            <w:r w:rsidRPr="00AA12A2">
              <w:t>4,042</w:t>
            </w:r>
          </w:p>
        </w:tc>
        <w:tc>
          <w:tcPr>
            <w:tcW w:w="1470" w:type="dxa"/>
            <w:vAlign w:val="center"/>
          </w:tcPr>
          <w:p w:rsidR="00A321B7" w:rsidRPr="00AA12A2" w:rsidRDefault="00A321B7" w:rsidP="00A31E47">
            <w:pPr>
              <w:jc w:val="right"/>
            </w:pPr>
            <w:r w:rsidRPr="00AA12A2">
              <w:t>800</w:t>
            </w:r>
          </w:p>
        </w:tc>
        <w:tc>
          <w:tcPr>
            <w:tcW w:w="1470" w:type="dxa"/>
            <w:vAlign w:val="center"/>
          </w:tcPr>
          <w:p w:rsidR="00A321B7" w:rsidRPr="00AA12A2" w:rsidRDefault="00A321B7" w:rsidP="00A31E47">
            <w:pPr>
              <w:jc w:val="right"/>
            </w:pPr>
            <w:r w:rsidRPr="00AA12A2">
              <w:t>2,800</w:t>
            </w:r>
          </w:p>
        </w:tc>
      </w:tr>
      <w:tr w:rsidR="00A321B7" w:rsidRPr="00AA12A2" w:rsidTr="00A31E47">
        <w:trPr>
          <w:jc w:val="center"/>
        </w:trPr>
        <w:tc>
          <w:tcPr>
            <w:tcW w:w="773" w:type="dxa"/>
          </w:tcPr>
          <w:p w:rsidR="00A321B7" w:rsidRPr="00AA12A2" w:rsidRDefault="00A321B7" w:rsidP="00A31E47">
            <w:r w:rsidRPr="00AA12A2">
              <w:t>2021</w:t>
            </w:r>
          </w:p>
        </w:tc>
        <w:tc>
          <w:tcPr>
            <w:tcW w:w="1440" w:type="dxa"/>
            <w:vAlign w:val="center"/>
          </w:tcPr>
          <w:p w:rsidR="00A321B7" w:rsidRPr="00AA12A2" w:rsidRDefault="00A321B7" w:rsidP="00A31E47">
            <w:pPr>
              <w:jc w:val="right"/>
            </w:pPr>
            <w:r w:rsidRPr="00AA12A2">
              <w:t>216,797</w:t>
            </w:r>
          </w:p>
        </w:tc>
        <w:tc>
          <w:tcPr>
            <w:tcW w:w="1350" w:type="dxa"/>
            <w:vAlign w:val="center"/>
          </w:tcPr>
          <w:p w:rsidR="00A321B7" w:rsidRPr="00AA12A2" w:rsidRDefault="00A321B7" w:rsidP="00A31E47">
            <w:pPr>
              <w:jc w:val="right"/>
            </w:pPr>
            <w:r w:rsidRPr="00AA12A2">
              <w:t>4,119</w:t>
            </w:r>
          </w:p>
        </w:tc>
        <w:tc>
          <w:tcPr>
            <w:tcW w:w="1470" w:type="dxa"/>
            <w:vAlign w:val="center"/>
          </w:tcPr>
          <w:p w:rsidR="00A321B7" w:rsidRPr="00AA12A2" w:rsidRDefault="00A321B7" w:rsidP="00A31E47">
            <w:pPr>
              <w:jc w:val="right"/>
            </w:pPr>
            <w:r w:rsidRPr="00AA12A2">
              <w:t>800</w:t>
            </w:r>
          </w:p>
        </w:tc>
        <w:tc>
          <w:tcPr>
            <w:tcW w:w="1470" w:type="dxa"/>
            <w:vAlign w:val="center"/>
          </w:tcPr>
          <w:p w:rsidR="00A321B7" w:rsidRPr="00AA12A2" w:rsidRDefault="00A321B7" w:rsidP="00A31E47">
            <w:pPr>
              <w:jc w:val="right"/>
            </w:pPr>
            <w:r w:rsidRPr="00AA12A2">
              <w:t>3,600</w:t>
            </w:r>
          </w:p>
        </w:tc>
      </w:tr>
      <w:tr w:rsidR="00A321B7" w:rsidRPr="00AA12A2" w:rsidTr="00A31E47">
        <w:trPr>
          <w:jc w:val="center"/>
        </w:trPr>
        <w:tc>
          <w:tcPr>
            <w:tcW w:w="773" w:type="dxa"/>
          </w:tcPr>
          <w:p w:rsidR="00A321B7" w:rsidRPr="00AA12A2" w:rsidRDefault="00A321B7" w:rsidP="00A31E47">
            <w:r w:rsidRPr="00AA12A2">
              <w:t>2022</w:t>
            </w:r>
          </w:p>
        </w:tc>
        <w:tc>
          <w:tcPr>
            <w:tcW w:w="1440" w:type="dxa"/>
            <w:vAlign w:val="center"/>
          </w:tcPr>
          <w:p w:rsidR="00A321B7" w:rsidRPr="00AA12A2" w:rsidRDefault="00A321B7" w:rsidP="00A31E47">
            <w:pPr>
              <w:jc w:val="right"/>
            </w:pPr>
            <w:r w:rsidRPr="00AA12A2">
              <w:t>220,916</w:t>
            </w:r>
          </w:p>
        </w:tc>
        <w:tc>
          <w:tcPr>
            <w:tcW w:w="1350" w:type="dxa"/>
            <w:vAlign w:val="center"/>
          </w:tcPr>
          <w:p w:rsidR="00A321B7" w:rsidRPr="00AA12A2" w:rsidRDefault="00A321B7" w:rsidP="00A31E47">
            <w:pPr>
              <w:jc w:val="right"/>
            </w:pPr>
            <w:r w:rsidRPr="00AA12A2">
              <w:t>4,197</w:t>
            </w:r>
          </w:p>
        </w:tc>
        <w:tc>
          <w:tcPr>
            <w:tcW w:w="1470" w:type="dxa"/>
            <w:vAlign w:val="center"/>
          </w:tcPr>
          <w:p w:rsidR="00A321B7" w:rsidRPr="00AA12A2" w:rsidRDefault="00A321B7" w:rsidP="00A31E47">
            <w:pPr>
              <w:jc w:val="right"/>
            </w:pPr>
            <w:r w:rsidRPr="00AA12A2">
              <w:t>1,000</w:t>
            </w:r>
          </w:p>
        </w:tc>
        <w:tc>
          <w:tcPr>
            <w:tcW w:w="1470" w:type="dxa"/>
            <w:vAlign w:val="center"/>
          </w:tcPr>
          <w:p w:rsidR="00A321B7" w:rsidRPr="00AA12A2" w:rsidRDefault="00A321B7" w:rsidP="00A31E47">
            <w:pPr>
              <w:jc w:val="right"/>
            </w:pPr>
            <w:r w:rsidRPr="00AA12A2">
              <w:t>4,600</w:t>
            </w:r>
          </w:p>
        </w:tc>
      </w:tr>
      <w:tr w:rsidR="00A321B7" w:rsidRPr="00AA12A2" w:rsidTr="00A31E47">
        <w:trPr>
          <w:jc w:val="center"/>
        </w:trPr>
        <w:tc>
          <w:tcPr>
            <w:tcW w:w="773" w:type="dxa"/>
          </w:tcPr>
          <w:p w:rsidR="00A321B7" w:rsidRPr="00AA12A2" w:rsidRDefault="00A321B7" w:rsidP="00A31E47">
            <w:r w:rsidRPr="00AA12A2">
              <w:t>2023</w:t>
            </w:r>
          </w:p>
        </w:tc>
        <w:tc>
          <w:tcPr>
            <w:tcW w:w="1440" w:type="dxa"/>
            <w:vAlign w:val="center"/>
          </w:tcPr>
          <w:p w:rsidR="00A321B7" w:rsidRPr="00AA12A2" w:rsidRDefault="00A321B7" w:rsidP="00A31E47">
            <w:pPr>
              <w:jc w:val="right"/>
            </w:pPr>
            <w:r w:rsidRPr="00AA12A2">
              <w:t>225,113</w:t>
            </w:r>
          </w:p>
        </w:tc>
        <w:tc>
          <w:tcPr>
            <w:tcW w:w="1350" w:type="dxa"/>
            <w:vAlign w:val="center"/>
          </w:tcPr>
          <w:p w:rsidR="00A321B7" w:rsidRPr="00AA12A2" w:rsidRDefault="00A321B7" w:rsidP="00A31E47">
            <w:pPr>
              <w:jc w:val="right"/>
            </w:pPr>
            <w:r w:rsidRPr="00AA12A2">
              <w:t>4,277</w:t>
            </w:r>
          </w:p>
        </w:tc>
        <w:tc>
          <w:tcPr>
            <w:tcW w:w="1470" w:type="dxa"/>
            <w:vAlign w:val="center"/>
          </w:tcPr>
          <w:p w:rsidR="00A321B7" w:rsidRPr="00AA12A2" w:rsidRDefault="00A321B7" w:rsidP="00A31E47">
            <w:pPr>
              <w:jc w:val="right"/>
            </w:pPr>
            <w:r w:rsidRPr="00AA12A2">
              <w:t>1,000</w:t>
            </w:r>
          </w:p>
        </w:tc>
        <w:tc>
          <w:tcPr>
            <w:tcW w:w="1470" w:type="dxa"/>
            <w:vAlign w:val="center"/>
          </w:tcPr>
          <w:p w:rsidR="00A321B7" w:rsidRPr="00AA12A2" w:rsidRDefault="00A321B7" w:rsidP="00A31E47">
            <w:pPr>
              <w:jc w:val="right"/>
            </w:pPr>
            <w:r w:rsidRPr="00AA12A2">
              <w:t>5,600</w:t>
            </w:r>
          </w:p>
        </w:tc>
      </w:tr>
      <w:tr w:rsidR="00A321B7" w:rsidRPr="00AA12A2" w:rsidTr="00A31E47">
        <w:trPr>
          <w:jc w:val="center"/>
        </w:trPr>
        <w:tc>
          <w:tcPr>
            <w:tcW w:w="773" w:type="dxa"/>
          </w:tcPr>
          <w:p w:rsidR="00A321B7" w:rsidRPr="00AA12A2" w:rsidRDefault="00A321B7" w:rsidP="00A31E47">
            <w:r w:rsidRPr="00AA12A2">
              <w:t>2024</w:t>
            </w:r>
          </w:p>
        </w:tc>
        <w:tc>
          <w:tcPr>
            <w:tcW w:w="1440" w:type="dxa"/>
            <w:vAlign w:val="center"/>
          </w:tcPr>
          <w:p w:rsidR="00A321B7" w:rsidRPr="00AA12A2" w:rsidRDefault="00A321B7" w:rsidP="00A31E47">
            <w:pPr>
              <w:jc w:val="right"/>
            </w:pPr>
            <w:r w:rsidRPr="00AA12A2">
              <w:t>229,390</w:t>
            </w:r>
          </w:p>
        </w:tc>
        <w:tc>
          <w:tcPr>
            <w:tcW w:w="1350" w:type="dxa"/>
            <w:vAlign w:val="center"/>
          </w:tcPr>
          <w:p w:rsidR="00A321B7" w:rsidRPr="00AA12A2" w:rsidRDefault="00A321B7" w:rsidP="00A31E47">
            <w:pPr>
              <w:jc w:val="right"/>
            </w:pPr>
            <w:r w:rsidRPr="00AA12A2">
              <w:t>4,358</w:t>
            </w:r>
          </w:p>
        </w:tc>
        <w:tc>
          <w:tcPr>
            <w:tcW w:w="1470" w:type="dxa"/>
            <w:vAlign w:val="center"/>
          </w:tcPr>
          <w:p w:rsidR="00A321B7" w:rsidRPr="00AA12A2" w:rsidRDefault="00A321B7" w:rsidP="00A31E47">
            <w:pPr>
              <w:jc w:val="right"/>
            </w:pPr>
            <w:r w:rsidRPr="00AA12A2">
              <w:t>1,000</w:t>
            </w:r>
          </w:p>
        </w:tc>
        <w:tc>
          <w:tcPr>
            <w:tcW w:w="1470" w:type="dxa"/>
            <w:vAlign w:val="center"/>
          </w:tcPr>
          <w:p w:rsidR="00A321B7" w:rsidRPr="00AA12A2" w:rsidRDefault="00A321B7" w:rsidP="00A31E47">
            <w:pPr>
              <w:jc w:val="right"/>
            </w:pPr>
            <w:r w:rsidRPr="00AA12A2">
              <w:t>6,600</w:t>
            </w:r>
          </w:p>
        </w:tc>
      </w:tr>
    </w:tbl>
    <w:p w:rsidR="00A321B7" w:rsidRPr="00AA12A2" w:rsidRDefault="00A321B7" w:rsidP="0008736D">
      <w:pPr>
        <w:ind w:firstLine="720"/>
        <w:jc w:val="both"/>
      </w:pPr>
      <w:r w:rsidRPr="00AA12A2">
        <w:lastRenderedPageBreak/>
        <w:t xml:space="preserve">To earn the ENERGY STAR certification, a building must meet the qualifications outlined in the ENERGY STAR Multifamily High Rise National Performance Path Requirements. Standards include providing ENERGY STAR certified heating and cooling equipment, building envelope, ventilation and infiltration, domestic water heating, and lighting. ENERGY STAR certified appliances such as refrigerators, dishwashers, ceiling fans, and clothes washers are </w:t>
      </w:r>
      <w:r w:rsidR="00A81215">
        <w:t xml:space="preserve">also </w:t>
      </w:r>
      <w:r w:rsidRPr="00AA12A2">
        <w:t>included. TECO states that many multi-family residences are being planned for construction in its service area. The</w:t>
      </w:r>
      <w:r w:rsidR="006D1724">
        <w:t xml:space="preserve"> Utility asserts that </w:t>
      </w:r>
      <w:r w:rsidR="00F53790">
        <w:t xml:space="preserve">the </w:t>
      </w:r>
      <w:r w:rsidR="006D1724">
        <w:t xml:space="preserve">proposed </w:t>
      </w:r>
      <w:r w:rsidRPr="00AA12A2">
        <w:t xml:space="preserve">Multi-Family Program </w:t>
      </w:r>
      <w:r w:rsidR="00F53790">
        <w:t xml:space="preserve">will provide </w:t>
      </w:r>
      <w:r w:rsidRPr="00AA12A2">
        <w:t xml:space="preserve">an opportunity </w:t>
      </w:r>
      <w:r w:rsidR="00F53790">
        <w:t xml:space="preserve">for the Utility </w:t>
      </w:r>
      <w:r w:rsidRPr="00AA12A2">
        <w:t xml:space="preserve">to reduce its electric peak demand and </w:t>
      </w:r>
      <w:r w:rsidR="00F53790">
        <w:t xml:space="preserve">for </w:t>
      </w:r>
      <w:r w:rsidRPr="00AA12A2">
        <w:t xml:space="preserve">residents to save on their electricity bills. </w:t>
      </w:r>
    </w:p>
    <w:p w:rsidR="0008736D" w:rsidRPr="00AA12A2" w:rsidRDefault="0008736D" w:rsidP="0008736D"/>
    <w:p w:rsidR="00A321B7" w:rsidRPr="00F53790" w:rsidRDefault="00A321B7" w:rsidP="00A321B7">
      <w:pPr>
        <w:pStyle w:val="First-LevelSubheading"/>
        <w:rPr>
          <w:rFonts w:ascii="Times New Roman" w:hAnsi="Times New Roman" w:cs="Times New Roman"/>
          <w:b w:val="0"/>
          <w:szCs w:val="24"/>
          <w:u w:val="single"/>
        </w:rPr>
      </w:pPr>
      <w:r w:rsidRPr="00F53790">
        <w:rPr>
          <w:rFonts w:ascii="Times New Roman" w:hAnsi="Times New Roman" w:cs="Times New Roman"/>
          <w:b w:val="0"/>
          <w:szCs w:val="24"/>
          <w:u w:val="single"/>
        </w:rPr>
        <w:t>FEECA Objectives</w:t>
      </w:r>
    </w:p>
    <w:p w:rsidR="00AA12A2" w:rsidRPr="00AA12A2" w:rsidRDefault="00AA12A2" w:rsidP="00AA12A2">
      <w:pPr>
        <w:pStyle w:val="BodyText"/>
      </w:pPr>
    </w:p>
    <w:p w:rsidR="00A321B7" w:rsidRPr="00AA12A2" w:rsidRDefault="00A321B7" w:rsidP="0008736D">
      <w:pPr>
        <w:pStyle w:val="BodyText"/>
        <w:ind w:firstLine="720"/>
        <w:jc w:val="both"/>
      </w:pPr>
      <w:r w:rsidRPr="00AA12A2">
        <w:t xml:space="preserve">FEECA emphasizes reducing the growth rate of peak demand and reducing and controlling the growth rates of electricity </w:t>
      </w:r>
      <w:r w:rsidR="00C01038" w:rsidRPr="00AA12A2">
        <w:t>consumption. The</w:t>
      </w:r>
      <w:r w:rsidRPr="00AA12A2">
        <w:t xml:space="preserve"> Multi-Family Program </w:t>
      </w:r>
      <w:r w:rsidR="00F53790">
        <w:t xml:space="preserve">provides an incentive for </w:t>
      </w:r>
      <w:r w:rsidRPr="00AA12A2">
        <w:t xml:space="preserve">builders to </w:t>
      </w:r>
      <w:r w:rsidR="00F53790">
        <w:t xml:space="preserve">build ENERGY STAR compliant multi-family residences. </w:t>
      </w:r>
      <w:r w:rsidR="00F53790" w:rsidRPr="00AA12A2">
        <w:t>By meeting the ENERGY STAR requirements, the new residence</w:t>
      </w:r>
      <w:r w:rsidR="00F53790">
        <w:t>s</w:t>
      </w:r>
      <w:r w:rsidR="00F53790" w:rsidRPr="00AA12A2">
        <w:t xml:space="preserve"> will use less energy which w</w:t>
      </w:r>
      <w:r w:rsidR="00F53790">
        <w:t>ill</w:t>
      </w:r>
      <w:r w:rsidR="00F53790" w:rsidRPr="00AA12A2">
        <w:t xml:space="preserve"> help reduce the growth of TECO’s electric peak demand</w:t>
      </w:r>
      <w:r w:rsidR="00F53790">
        <w:t xml:space="preserve">. Upon review, we find that </w:t>
      </w:r>
      <w:r w:rsidRPr="00AA12A2">
        <w:t>the Multi-Family Program aligns with FEECA’s goal of conservation.</w:t>
      </w:r>
    </w:p>
    <w:p w:rsidR="00F53790" w:rsidRDefault="00F53790" w:rsidP="00A321B7">
      <w:pPr>
        <w:pStyle w:val="First-LevelSubheading"/>
        <w:rPr>
          <w:rFonts w:ascii="Times New Roman" w:hAnsi="Times New Roman" w:cs="Times New Roman"/>
          <w:szCs w:val="24"/>
        </w:rPr>
      </w:pPr>
    </w:p>
    <w:p w:rsidR="00A321B7" w:rsidRPr="008F7201" w:rsidRDefault="00A321B7" w:rsidP="00A321B7">
      <w:pPr>
        <w:pStyle w:val="First-LevelSubheading"/>
        <w:rPr>
          <w:rFonts w:ascii="Times New Roman" w:hAnsi="Times New Roman" w:cs="Times New Roman"/>
          <w:b w:val="0"/>
          <w:szCs w:val="24"/>
          <w:u w:val="single"/>
        </w:rPr>
      </w:pPr>
      <w:r w:rsidRPr="008F7201">
        <w:rPr>
          <w:rFonts w:ascii="Times New Roman" w:hAnsi="Times New Roman" w:cs="Times New Roman"/>
          <w:b w:val="0"/>
          <w:szCs w:val="24"/>
          <w:u w:val="single"/>
        </w:rPr>
        <w:t>Program Monitoring and Evaluation</w:t>
      </w:r>
    </w:p>
    <w:p w:rsidR="00AA12A2" w:rsidRPr="00AA12A2" w:rsidRDefault="00AA12A2" w:rsidP="00AA12A2">
      <w:pPr>
        <w:pStyle w:val="BodyText"/>
      </w:pPr>
    </w:p>
    <w:p w:rsidR="008F7201" w:rsidRDefault="008F7201" w:rsidP="008F7201">
      <w:pPr>
        <w:ind w:firstLine="720"/>
        <w:jc w:val="both"/>
      </w:pPr>
      <w:r w:rsidRPr="00AA12A2">
        <w:t xml:space="preserve">TECO </w:t>
      </w:r>
      <w:r>
        <w:t xml:space="preserve">will </w:t>
      </w:r>
      <w:r w:rsidRPr="00AA12A2">
        <w:t xml:space="preserve">monitor and evaluate its </w:t>
      </w:r>
      <w:r w:rsidR="006D1724">
        <w:t xml:space="preserve">proposed </w:t>
      </w:r>
      <w:r w:rsidRPr="00AA12A2">
        <w:t>Multi-Family Program</w:t>
      </w:r>
      <w:r>
        <w:t xml:space="preserve"> c</w:t>
      </w:r>
      <w:r w:rsidR="00A321B7" w:rsidRPr="00AA12A2">
        <w:t>onsistent with the monitoring and evaluation standards for the New Homes Program approved</w:t>
      </w:r>
      <w:r w:rsidR="006D1724">
        <w:t xml:space="preserve"> by</w:t>
      </w:r>
      <w:r w:rsidR="00A321B7" w:rsidRPr="00AA12A2">
        <w:t xml:space="preserve"> Order No. PSC-15-0323-PAA-EG and Commission Rules, such as Rule 25-17.003(10)(b), Florida Administrative Code</w:t>
      </w:r>
      <w:r w:rsidRPr="008F7201">
        <w:t xml:space="preserve"> </w:t>
      </w:r>
      <w:r w:rsidR="00A321B7" w:rsidRPr="00AA12A2">
        <w:t>(F.A.C.)</w:t>
      </w:r>
      <w:r>
        <w:t xml:space="preserve">. </w:t>
      </w:r>
      <w:r w:rsidR="00A321B7" w:rsidRPr="00AA12A2">
        <w:t>This Rule require</w:t>
      </w:r>
      <w:r w:rsidR="006D1724">
        <w:t>s</w:t>
      </w:r>
      <w:r w:rsidR="00A321B7" w:rsidRPr="00AA12A2">
        <w:t xml:space="preserve"> post-audit inspections of 10 percent of each type of energy conservation measure installed as a result of the </w:t>
      </w:r>
      <w:r w:rsidRPr="00AA12A2">
        <w:t>Multi-Family Program</w:t>
      </w:r>
      <w:r>
        <w:t xml:space="preserve">. </w:t>
      </w:r>
    </w:p>
    <w:p w:rsidR="008F7201" w:rsidRDefault="008F7201" w:rsidP="008F7201">
      <w:pPr>
        <w:ind w:firstLine="720"/>
        <w:jc w:val="both"/>
      </w:pPr>
    </w:p>
    <w:p w:rsidR="00A321B7" w:rsidRPr="00AA12A2" w:rsidRDefault="00A321B7" w:rsidP="008F7201">
      <w:pPr>
        <w:ind w:firstLine="720"/>
        <w:jc w:val="both"/>
      </w:pPr>
      <w:r w:rsidRPr="00AA12A2">
        <w:t xml:space="preserve">To estimate savings, TECO utilized the energy and economic software program EnergyGauge from the University of Central Florida’s Solar Energy Center. The estimated savings per customer participant are shown in </w:t>
      </w:r>
      <w:r w:rsidR="00AA12A2" w:rsidRPr="00AA12A2">
        <w:t>the table</w:t>
      </w:r>
      <w:r w:rsidRPr="00AA12A2">
        <w:t xml:space="preserve"> below.</w:t>
      </w:r>
    </w:p>
    <w:p w:rsidR="00AA12A2" w:rsidRPr="00AA12A2" w:rsidRDefault="00AA12A2" w:rsidP="0008736D">
      <w:pPr>
        <w:pStyle w:val="BodyText"/>
        <w:ind w:firstLine="720"/>
        <w:jc w:val="both"/>
      </w:pPr>
    </w:p>
    <w:p w:rsidR="00A321B7" w:rsidRPr="00AA12A2" w:rsidRDefault="00A321B7" w:rsidP="00A321B7">
      <w:pPr>
        <w:pStyle w:val="TableTitle"/>
        <w:keepNext/>
        <w:rPr>
          <w:rFonts w:ascii="Times New Roman" w:hAnsi="Times New Roman"/>
        </w:rPr>
      </w:pPr>
      <w:r w:rsidRPr="00AA12A2">
        <w:rPr>
          <w:rFonts w:ascii="Times New Roman" w:hAnsi="Times New Roman"/>
        </w:rPr>
        <w:t>Estimated Program Savings per Participant</w:t>
      </w:r>
    </w:p>
    <w:tbl>
      <w:tblPr>
        <w:tblStyle w:val="TableGrid"/>
        <w:tblW w:w="0" w:type="auto"/>
        <w:tblLook w:val="04A0" w:firstRow="1" w:lastRow="0" w:firstColumn="1" w:lastColumn="0" w:noHBand="0" w:noVBand="1"/>
      </w:tblPr>
      <w:tblGrid>
        <w:gridCol w:w="3192"/>
        <w:gridCol w:w="3192"/>
        <w:gridCol w:w="3192"/>
      </w:tblGrid>
      <w:tr w:rsidR="00A321B7" w:rsidRPr="00AA12A2" w:rsidTr="00A31E47">
        <w:tc>
          <w:tcPr>
            <w:tcW w:w="3192" w:type="dxa"/>
            <w:vAlign w:val="center"/>
          </w:tcPr>
          <w:p w:rsidR="00A321B7" w:rsidRPr="00AA12A2" w:rsidRDefault="00A321B7" w:rsidP="00A31E47">
            <w:pPr>
              <w:jc w:val="center"/>
              <w:rPr>
                <w:b/>
              </w:rPr>
            </w:pPr>
            <w:r w:rsidRPr="00AA12A2">
              <w:rPr>
                <w:b/>
              </w:rPr>
              <w:t>Summer Demand (kW)</w:t>
            </w:r>
          </w:p>
        </w:tc>
        <w:tc>
          <w:tcPr>
            <w:tcW w:w="3192" w:type="dxa"/>
            <w:vAlign w:val="center"/>
          </w:tcPr>
          <w:p w:rsidR="00A321B7" w:rsidRPr="00AA12A2" w:rsidRDefault="00A321B7" w:rsidP="00A31E47">
            <w:pPr>
              <w:jc w:val="center"/>
              <w:rPr>
                <w:b/>
              </w:rPr>
            </w:pPr>
            <w:r w:rsidRPr="00AA12A2">
              <w:rPr>
                <w:b/>
              </w:rPr>
              <w:t>Winter Demand (kW)</w:t>
            </w:r>
          </w:p>
        </w:tc>
        <w:tc>
          <w:tcPr>
            <w:tcW w:w="3192" w:type="dxa"/>
            <w:vAlign w:val="center"/>
          </w:tcPr>
          <w:p w:rsidR="00A321B7" w:rsidRPr="00AA12A2" w:rsidRDefault="00A321B7" w:rsidP="00A31E47">
            <w:pPr>
              <w:jc w:val="center"/>
              <w:rPr>
                <w:b/>
              </w:rPr>
            </w:pPr>
            <w:r w:rsidRPr="00AA12A2">
              <w:rPr>
                <w:b/>
              </w:rPr>
              <w:t>Annual Energy (kWh)</w:t>
            </w:r>
          </w:p>
        </w:tc>
      </w:tr>
      <w:tr w:rsidR="00A321B7" w:rsidRPr="00AA12A2" w:rsidTr="00A31E47">
        <w:tc>
          <w:tcPr>
            <w:tcW w:w="3192" w:type="dxa"/>
            <w:vAlign w:val="center"/>
          </w:tcPr>
          <w:p w:rsidR="00A321B7" w:rsidRPr="00AA12A2" w:rsidRDefault="00A321B7" w:rsidP="00A31E47">
            <w:pPr>
              <w:jc w:val="center"/>
            </w:pPr>
            <w:r w:rsidRPr="00AA12A2">
              <w:t>0.361</w:t>
            </w:r>
          </w:p>
        </w:tc>
        <w:tc>
          <w:tcPr>
            <w:tcW w:w="3192" w:type="dxa"/>
            <w:vAlign w:val="center"/>
          </w:tcPr>
          <w:p w:rsidR="00A321B7" w:rsidRPr="00AA12A2" w:rsidRDefault="00A321B7" w:rsidP="00A31E47">
            <w:pPr>
              <w:jc w:val="center"/>
            </w:pPr>
            <w:r w:rsidRPr="00AA12A2">
              <w:t>0.242</w:t>
            </w:r>
          </w:p>
        </w:tc>
        <w:tc>
          <w:tcPr>
            <w:tcW w:w="3192" w:type="dxa"/>
            <w:vAlign w:val="center"/>
          </w:tcPr>
          <w:p w:rsidR="00A321B7" w:rsidRPr="00AA12A2" w:rsidRDefault="00A321B7" w:rsidP="00A31E47">
            <w:pPr>
              <w:jc w:val="center"/>
            </w:pPr>
            <w:r w:rsidRPr="00AA12A2">
              <w:t>1,239</w:t>
            </w:r>
          </w:p>
        </w:tc>
      </w:tr>
    </w:tbl>
    <w:p w:rsidR="00AA12A2" w:rsidRPr="00AA12A2" w:rsidRDefault="00AA12A2" w:rsidP="00A321B7">
      <w:pPr>
        <w:pStyle w:val="First-LevelSubheading"/>
        <w:rPr>
          <w:rFonts w:ascii="Times New Roman" w:hAnsi="Times New Roman" w:cs="Times New Roman"/>
          <w:szCs w:val="24"/>
        </w:rPr>
      </w:pPr>
    </w:p>
    <w:p w:rsidR="008F7201" w:rsidRDefault="008F7201" w:rsidP="00A321B7">
      <w:pPr>
        <w:pStyle w:val="First-LevelSubheading"/>
        <w:rPr>
          <w:rFonts w:ascii="Times New Roman" w:hAnsi="Times New Roman" w:cs="Times New Roman"/>
          <w:b w:val="0"/>
          <w:szCs w:val="24"/>
          <w:u w:val="single"/>
        </w:rPr>
      </w:pPr>
    </w:p>
    <w:p w:rsidR="00A321B7" w:rsidRPr="00F53790" w:rsidRDefault="00A321B7" w:rsidP="00A321B7">
      <w:pPr>
        <w:pStyle w:val="First-LevelSubheading"/>
        <w:rPr>
          <w:rFonts w:ascii="Times New Roman" w:hAnsi="Times New Roman" w:cs="Times New Roman"/>
          <w:b w:val="0"/>
          <w:szCs w:val="24"/>
          <w:u w:val="single"/>
        </w:rPr>
      </w:pPr>
      <w:r w:rsidRPr="00F42F49">
        <w:rPr>
          <w:rFonts w:ascii="Times New Roman" w:hAnsi="Times New Roman" w:cs="Times New Roman"/>
          <w:b w:val="0"/>
          <w:szCs w:val="24"/>
          <w:u w:val="single"/>
        </w:rPr>
        <w:t>Cost-Effectiveness Review</w:t>
      </w:r>
    </w:p>
    <w:p w:rsidR="00AA12A2" w:rsidRPr="00AA12A2" w:rsidRDefault="00AA12A2" w:rsidP="00AA12A2">
      <w:pPr>
        <w:pStyle w:val="BodyText"/>
      </w:pPr>
    </w:p>
    <w:p w:rsidR="00A321B7" w:rsidRPr="00AA12A2" w:rsidRDefault="00F42F49" w:rsidP="00EC1A84">
      <w:pPr>
        <w:jc w:val="both"/>
      </w:pPr>
      <w:r>
        <w:tab/>
      </w:r>
      <w:r w:rsidR="00A321B7" w:rsidRPr="00AA12A2">
        <w:t xml:space="preserve">Pursuant to Rule 25-17.008, F.A.C., TECO provided a cost-effectiveness analysis of the program using the Participant Test, the Rate Impact Measure (RIM) Test, and the Total Resource Cost (TRC) Test. The Participant Test analyzes the cost and benefits from a program participant’s point of view. The RIM Test ensures that all ratepayers will benefit from a proposed DSM program, not just the program participants. The TRC Test measures the overall economic </w:t>
      </w:r>
      <w:r w:rsidR="00A321B7" w:rsidRPr="00AA12A2">
        <w:lastRenderedPageBreak/>
        <w:t xml:space="preserve">efficiency of a </w:t>
      </w:r>
      <w:r w:rsidR="00A321B7" w:rsidRPr="00F42F49">
        <w:t xml:space="preserve">DSM </w:t>
      </w:r>
      <w:r w:rsidRPr="00F42F49">
        <w:t>p</w:t>
      </w:r>
      <w:r w:rsidR="00A321B7" w:rsidRPr="00F42F49">
        <w:t>rogram</w:t>
      </w:r>
      <w:r w:rsidR="00A321B7" w:rsidRPr="00AA12A2">
        <w:t xml:space="preserve"> from a social perspective. Each test </w:t>
      </w:r>
      <w:r>
        <w:t>measures the</w:t>
      </w:r>
      <w:r w:rsidR="00A321B7" w:rsidRPr="00AA12A2">
        <w:t xml:space="preserve"> ratio of benefit and cost</w:t>
      </w:r>
      <w:r>
        <w:t xml:space="preserve">; a </w:t>
      </w:r>
      <w:r w:rsidR="00A321B7" w:rsidRPr="00AA12A2">
        <w:t xml:space="preserve">program is determined to be cost-effective if that ratio is greater than one. </w:t>
      </w:r>
      <w:r>
        <w:t xml:space="preserve">We </w:t>
      </w:r>
      <w:r w:rsidR="00C01038">
        <w:t xml:space="preserve">have </w:t>
      </w:r>
      <w:r w:rsidR="00C01038" w:rsidRPr="00AA12A2">
        <w:t>reviewed</w:t>
      </w:r>
      <w:r w:rsidR="00A321B7" w:rsidRPr="00AA12A2">
        <w:t xml:space="preserve"> the assumptions associated with TECO’s program savings and </w:t>
      </w:r>
      <w:r>
        <w:t xml:space="preserve">find that they </w:t>
      </w:r>
      <w:r w:rsidR="00C01038">
        <w:t xml:space="preserve">are </w:t>
      </w:r>
      <w:r w:rsidR="00C01038" w:rsidRPr="00AA12A2">
        <w:t>reasonable</w:t>
      </w:r>
      <w:r w:rsidR="00A321B7" w:rsidRPr="00AA12A2">
        <w:t xml:space="preserve">. The results for the </w:t>
      </w:r>
      <w:r>
        <w:t xml:space="preserve">proposed </w:t>
      </w:r>
      <w:r w:rsidR="00A321B7" w:rsidRPr="00AA12A2">
        <w:t>Multi-Family Program are</w:t>
      </w:r>
      <w:r w:rsidR="00EC1A84">
        <w:t xml:space="preserve">: Participant Test: 1.51; RIM Test: 1.01; and TRC Test 0.97. </w:t>
      </w:r>
      <w:r w:rsidR="00A321B7" w:rsidRPr="00AA12A2">
        <w:t xml:space="preserve">Based on these results, the Multi-Family Program passed the Participant and RIM Tests and failed the TRC Test by a minimal amount. While a higher TRC value would be </w:t>
      </w:r>
      <w:r>
        <w:t xml:space="preserve">optimal, </w:t>
      </w:r>
      <w:r w:rsidR="00A321B7" w:rsidRPr="00AA12A2">
        <w:t xml:space="preserve">the Participant and RIM Tests show that the Utility, participants, and the general body of ratepayers will benefit from the implementation of this program. </w:t>
      </w:r>
      <w:r>
        <w:t xml:space="preserve">We find that </w:t>
      </w:r>
      <w:r w:rsidR="00A321B7" w:rsidRPr="00AA12A2">
        <w:t xml:space="preserve">the program is beneficial in meeting the goals of FEECA. </w:t>
      </w:r>
    </w:p>
    <w:p w:rsidR="0008736D" w:rsidRPr="00AA12A2" w:rsidRDefault="0008736D" w:rsidP="0008736D"/>
    <w:p w:rsidR="00A321B7" w:rsidRPr="000200F3" w:rsidRDefault="00AA12A2" w:rsidP="00AA12A2">
      <w:pPr>
        <w:pStyle w:val="First-LevelSubheading"/>
        <w:jc w:val="center"/>
        <w:rPr>
          <w:rFonts w:ascii="Times New Roman" w:hAnsi="Times New Roman" w:cs="Times New Roman"/>
          <w:b w:val="0"/>
          <w:szCs w:val="24"/>
          <w:u w:val="single"/>
        </w:rPr>
      </w:pPr>
      <w:r w:rsidRPr="000200F3">
        <w:rPr>
          <w:rFonts w:ascii="Times New Roman" w:hAnsi="Times New Roman" w:cs="Times New Roman"/>
          <w:b w:val="0"/>
          <w:szCs w:val="24"/>
          <w:u w:val="single"/>
        </w:rPr>
        <w:t>DECISION</w:t>
      </w:r>
    </w:p>
    <w:p w:rsidR="00AA12A2" w:rsidRDefault="00AA12A2" w:rsidP="006D1724">
      <w:pPr>
        <w:ind w:firstLine="720"/>
        <w:jc w:val="both"/>
      </w:pPr>
    </w:p>
    <w:p w:rsidR="00A321B7" w:rsidRPr="00AA12A2" w:rsidRDefault="00F42F49" w:rsidP="006D1724">
      <w:pPr>
        <w:jc w:val="both"/>
      </w:pPr>
      <w:r>
        <w:tab/>
      </w:r>
      <w:r w:rsidR="00A321B7" w:rsidRPr="00AA12A2">
        <w:t xml:space="preserve">TECO’s </w:t>
      </w:r>
      <w:r>
        <w:t xml:space="preserve">proposed </w:t>
      </w:r>
      <w:r w:rsidR="00A321B7" w:rsidRPr="00AA12A2">
        <w:t>Multi-Family Program advances the policy objectives of FEECA and its implementing rules</w:t>
      </w:r>
      <w:r>
        <w:t>.</w:t>
      </w:r>
      <w:r w:rsidR="00A321B7" w:rsidRPr="00AA12A2">
        <w:t xml:space="preserve"> The program is directly monitorable</w:t>
      </w:r>
      <w:r w:rsidR="006D1724">
        <w:t xml:space="preserve">, </w:t>
      </w:r>
      <w:r w:rsidR="00A321B7" w:rsidRPr="00AA12A2">
        <w:t>yields measurable results</w:t>
      </w:r>
      <w:r w:rsidR="006D1724">
        <w:t xml:space="preserve">, and </w:t>
      </w:r>
      <w:r w:rsidR="00A321B7" w:rsidRPr="00AA12A2">
        <w:t xml:space="preserve">is cost-effective. </w:t>
      </w:r>
      <w:r>
        <w:t xml:space="preserve">Upon review, we </w:t>
      </w:r>
      <w:r w:rsidR="00D56797">
        <w:t>shall grant</w:t>
      </w:r>
      <w:r w:rsidR="00A321B7" w:rsidRPr="00AA12A2">
        <w:t xml:space="preserve"> TECO’s petition for approval of its ENERGY STAR Program for New Multi-Family Residences.</w:t>
      </w:r>
      <w:r w:rsidR="00A8749D">
        <w:t xml:space="preserve"> </w:t>
      </w:r>
    </w:p>
    <w:p w:rsidR="00A321B7" w:rsidRDefault="00A321B7" w:rsidP="0008736D">
      <w:pPr>
        <w:jc w:val="both"/>
      </w:pPr>
    </w:p>
    <w:p w:rsidR="00A8749D" w:rsidRDefault="00A8749D" w:rsidP="0008736D">
      <w:pPr>
        <w:jc w:val="both"/>
      </w:pPr>
      <w:r>
        <w:tab/>
        <w:t>The Program Participation Standards were submitted concurrently with the proposed Multi-Family Program description. We have reviewed these standards and find that they are sufficient. Therefore, costs associated with the Multi-Family Program shall be eligible for cost recovery through TECO’s Energy Conservation Cost Recovery factor.</w:t>
      </w:r>
    </w:p>
    <w:p w:rsidR="00A321B7" w:rsidRPr="00AA12A2" w:rsidRDefault="00A321B7" w:rsidP="00A321B7"/>
    <w:p w:rsidR="00A321B7" w:rsidRPr="00AA12A2" w:rsidRDefault="00A321B7" w:rsidP="00A321B7">
      <w:pPr>
        <w:pStyle w:val="OrderBody"/>
      </w:pPr>
      <w:r w:rsidRPr="00AA12A2">
        <w:tab/>
        <w:t>Based on the foregoing, it is</w:t>
      </w:r>
    </w:p>
    <w:p w:rsidR="00A321B7" w:rsidRPr="00AA12A2" w:rsidRDefault="00A321B7" w:rsidP="00A321B7">
      <w:pPr>
        <w:pStyle w:val="OrderBody"/>
      </w:pPr>
    </w:p>
    <w:p w:rsidR="00AE4633" w:rsidRDefault="00A321B7" w:rsidP="00AE4633">
      <w:pPr>
        <w:ind w:firstLine="720"/>
        <w:jc w:val="both"/>
      </w:pPr>
      <w:r w:rsidRPr="00AA12A2">
        <w:t>ORDERED by the Florida Public Service Commission that</w:t>
      </w:r>
      <w:r w:rsidR="00AE4633">
        <w:t xml:space="preserve"> Tampa Electric Company’s </w:t>
      </w:r>
      <w:r w:rsidR="00AE4633" w:rsidRPr="00AA12A2">
        <w:t>petition for approval of its ENERGY STAR Program for New Multi-Family Residences</w:t>
      </w:r>
      <w:r w:rsidR="00AE4633">
        <w:t xml:space="preserve"> is hereby</w:t>
      </w:r>
      <w:r w:rsidR="00D56797">
        <w:t xml:space="preserve"> granted </w:t>
      </w:r>
      <w:r w:rsidR="00A8749D">
        <w:t>as set forth in the body of this Order</w:t>
      </w:r>
      <w:r w:rsidR="00AE4633">
        <w:t>.  It is further</w:t>
      </w:r>
    </w:p>
    <w:p w:rsidR="00A8749D" w:rsidRDefault="00A8749D" w:rsidP="00AE4633">
      <w:pPr>
        <w:ind w:firstLine="720"/>
        <w:jc w:val="both"/>
      </w:pPr>
    </w:p>
    <w:p w:rsidR="00A8749D" w:rsidRDefault="00FE5DAC" w:rsidP="00A8749D">
      <w:pPr>
        <w:jc w:val="both"/>
      </w:pPr>
      <w:r>
        <w:tab/>
      </w:r>
      <w:r w:rsidR="00A8749D">
        <w:t>ORDERED that costs associated with the Multi-Family Program shall be eligible for cost recovery through TECO’s Energy Conservation Cost Recovery factor. It is further</w:t>
      </w:r>
    </w:p>
    <w:p w:rsidR="00A321B7" w:rsidRPr="00AA12A2" w:rsidRDefault="00A321B7" w:rsidP="00A321B7"/>
    <w:p w:rsidR="00A321B7" w:rsidRPr="00AA12A2" w:rsidRDefault="00A321B7" w:rsidP="00A321B7">
      <w:pPr>
        <w:pStyle w:val="OrderBody"/>
      </w:pPr>
      <w:r w:rsidRPr="00AA12A2">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321B7" w:rsidRPr="00AA12A2" w:rsidRDefault="00A321B7" w:rsidP="00A321B7">
      <w:pPr>
        <w:pStyle w:val="OrderBody"/>
      </w:pPr>
    </w:p>
    <w:p w:rsidR="00A321B7" w:rsidRPr="00AA12A2" w:rsidRDefault="00A321B7" w:rsidP="00A321B7">
      <w:pPr>
        <w:pStyle w:val="OrderBody"/>
      </w:pPr>
      <w:r w:rsidRPr="00AA12A2">
        <w:tab/>
        <w:t>ORDERED that in the event this Order becomes final, this docket shall be closed.</w:t>
      </w:r>
    </w:p>
    <w:p w:rsidR="00A321B7" w:rsidRPr="00AA12A2" w:rsidRDefault="00A321B7" w:rsidP="00A321B7">
      <w:pPr>
        <w:pStyle w:val="OrderBody"/>
      </w:pPr>
    </w:p>
    <w:p w:rsidR="00A321B7" w:rsidRDefault="00A321B7" w:rsidP="00A321B7">
      <w:pPr>
        <w:pStyle w:val="OrderBody"/>
        <w:keepNext/>
        <w:keepLines/>
      </w:pPr>
      <w:r w:rsidRPr="00AA12A2">
        <w:lastRenderedPageBreak/>
        <w:tab/>
        <w:t xml:space="preserve">By ORDER of the Florida Public Service Commission this </w:t>
      </w:r>
      <w:bookmarkStart w:id="6" w:name="replaceDate"/>
      <w:bookmarkEnd w:id="6"/>
      <w:r w:rsidR="000D44FF">
        <w:rPr>
          <w:u w:val="single"/>
        </w:rPr>
        <w:t>24th</w:t>
      </w:r>
      <w:r w:rsidR="000D44FF">
        <w:t xml:space="preserve"> day of </w:t>
      </w:r>
      <w:r w:rsidR="000D44FF">
        <w:rPr>
          <w:u w:val="single"/>
        </w:rPr>
        <w:t>May</w:t>
      </w:r>
      <w:r w:rsidR="000D44FF">
        <w:t xml:space="preserve">, </w:t>
      </w:r>
      <w:r w:rsidR="000D44FF">
        <w:rPr>
          <w:u w:val="single"/>
        </w:rPr>
        <w:t>2017</w:t>
      </w:r>
      <w:r w:rsidR="000D44FF">
        <w:t>.</w:t>
      </w:r>
    </w:p>
    <w:p w:rsidR="000D44FF" w:rsidRPr="000D44FF" w:rsidRDefault="000D44FF" w:rsidP="00A321B7">
      <w:pPr>
        <w:pStyle w:val="OrderBody"/>
        <w:keepNext/>
        <w:keepLines/>
      </w:pPr>
    </w:p>
    <w:p w:rsidR="00A321B7" w:rsidRPr="00AA12A2" w:rsidRDefault="00A321B7" w:rsidP="00A321B7">
      <w:pPr>
        <w:pStyle w:val="OrderBody"/>
        <w:keepNext/>
        <w:keepLines/>
      </w:pPr>
    </w:p>
    <w:p w:rsidR="00A321B7" w:rsidRPr="00AA12A2" w:rsidRDefault="00A321B7" w:rsidP="00A321B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321B7" w:rsidRPr="00AA12A2" w:rsidTr="00A321B7">
        <w:tc>
          <w:tcPr>
            <w:tcW w:w="720" w:type="dxa"/>
            <w:shd w:val="clear" w:color="auto" w:fill="auto"/>
          </w:tcPr>
          <w:p w:rsidR="00A321B7" w:rsidRPr="00AA12A2" w:rsidRDefault="00A321B7" w:rsidP="00A321B7">
            <w:pPr>
              <w:pStyle w:val="OrderBody"/>
              <w:keepNext/>
              <w:keepLines/>
            </w:pPr>
            <w:bookmarkStart w:id="7" w:name="bkmrkSignature" w:colFirst="0" w:colLast="0"/>
          </w:p>
        </w:tc>
        <w:tc>
          <w:tcPr>
            <w:tcW w:w="4320" w:type="dxa"/>
            <w:tcBorders>
              <w:bottom w:val="single" w:sz="4" w:space="0" w:color="auto"/>
            </w:tcBorders>
            <w:shd w:val="clear" w:color="auto" w:fill="auto"/>
          </w:tcPr>
          <w:p w:rsidR="00A321B7" w:rsidRPr="00AA12A2" w:rsidRDefault="000D44FF" w:rsidP="00A321B7">
            <w:pPr>
              <w:pStyle w:val="OrderBody"/>
              <w:keepNext/>
              <w:keepLines/>
            </w:pPr>
            <w:r>
              <w:t>/s/ Carlotta S. Stauffer</w:t>
            </w:r>
            <w:bookmarkStart w:id="8" w:name="_GoBack"/>
            <w:bookmarkEnd w:id="8"/>
          </w:p>
        </w:tc>
      </w:tr>
      <w:bookmarkEnd w:id="7"/>
      <w:tr w:rsidR="00A321B7" w:rsidRPr="00AA12A2" w:rsidTr="00A321B7">
        <w:tc>
          <w:tcPr>
            <w:tcW w:w="720" w:type="dxa"/>
            <w:shd w:val="clear" w:color="auto" w:fill="auto"/>
          </w:tcPr>
          <w:p w:rsidR="00A321B7" w:rsidRPr="00AA12A2" w:rsidRDefault="00A321B7" w:rsidP="00A321B7">
            <w:pPr>
              <w:pStyle w:val="OrderBody"/>
              <w:keepNext/>
              <w:keepLines/>
            </w:pPr>
          </w:p>
        </w:tc>
        <w:tc>
          <w:tcPr>
            <w:tcW w:w="4320" w:type="dxa"/>
            <w:tcBorders>
              <w:top w:val="single" w:sz="4" w:space="0" w:color="auto"/>
            </w:tcBorders>
            <w:shd w:val="clear" w:color="auto" w:fill="auto"/>
          </w:tcPr>
          <w:p w:rsidR="00A321B7" w:rsidRPr="00AA12A2" w:rsidRDefault="00A321B7" w:rsidP="00A321B7">
            <w:pPr>
              <w:pStyle w:val="OrderBody"/>
              <w:keepNext/>
              <w:keepLines/>
            </w:pPr>
            <w:r w:rsidRPr="00AA12A2">
              <w:t>CARLOTTA S. STAUFFER</w:t>
            </w:r>
          </w:p>
          <w:p w:rsidR="00A321B7" w:rsidRPr="00AA12A2" w:rsidRDefault="00A321B7" w:rsidP="00A321B7">
            <w:pPr>
              <w:pStyle w:val="OrderBody"/>
              <w:keepNext/>
              <w:keepLines/>
            </w:pPr>
            <w:r w:rsidRPr="00AA12A2">
              <w:t>Commission Clerk</w:t>
            </w:r>
          </w:p>
        </w:tc>
      </w:tr>
    </w:tbl>
    <w:p w:rsidR="00A321B7" w:rsidRPr="00AA12A2" w:rsidRDefault="00A321B7" w:rsidP="00A321B7">
      <w:pPr>
        <w:pStyle w:val="OrderSigInfo"/>
        <w:keepNext/>
        <w:keepLines/>
        <w:rPr>
          <w:szCs w:val="24"/>
        </w:rPr>
      </w:pPr>
      <w:r w:rsidRPr="00AA12A2">
        <w:rPr>
          <w:szCs w:val="24"/>
        </w:rPr>
        <w:t>Florida Public Service Commission</w:t>
      </w:r>
    </w:p>
    <w:p w:rsidR="00A321B7" w:rsidRPr="00AA12A2" w:rsidRDefault="00A321B7" w:rsidP="00A321B7">
      <w:pPr>
        <w:pStyle w:val="OrderSigInfo"/>
        <w:keepNext/>
        <w:keepLines/>
        <w:rPr>
          <w:szCs w:val="24"/>
        </w:rPr>
      </w:pPr>
      <w:r w:rsidRPr="00AA12A2">
        <w:rPr>
          <w:szCs w:val="24"/>
        </w:rPr>
        <w:t>2540 Shumard Oak Boulevard</w:t>
      </w:r>
    </w:p>
    <w:p w:rsidR="00A321B7" w:rsidRPr="00AA12A2" w:rsidRDefault="00A321B7" w:rsidP="00A321B7">
      <w:pPr>
        <w:pStyle w:val="OrderSigInfo"/>
        <w:keepNext/>
        <w:keepLines/>
        <w:rPr>
          <w:szCs w:val="24"/>
        </w:rPr>
      </w:pPr>
      <w:r w:rsidRPr="00AA12A2">
        <w:rPr>
          <w:szCs w:val="24"/>
        </w:rPr>
        <w:t>Tallahassee, Florida  32399</w:t>
      </w:r>
    </w:p>
    <w:p w:rsidR="00A321B7" w:rsidRPr="00AA12A2" w:rsidRDefault="00A321B7" w:rsidP="00A321B7">
      <w:pPr>
        <w:pStyle w:val="OrderSigInfo"/>
        <w:keepNext/>
        <w:keepLines/>
        <w:rPr>
          <w:szCs w:val="24"/>
        </w:rPr>
      </w:pPr>
      <w:r w:rsidRPr="00AA12A2">
        <w:rPr>
          <w:szCs w:val="24"/>
        </w:rPr>
        <w:t>(850) 413</w:t>
      </w:r>
      <w:r w:rsidRPr="00AA12A2">
        <w:rPr>
          <w:szCs w:val="24"/>
        </w:rPr>
        <w:noBreakHyphen/>
        <w:t>6770</w:t>
      </w:r>
    </w:p>
    <w:p w:rsidR="00A321B7" w:rsidRPr="00AA12A2" w:rsidRDefault="00A321B7" w:rsidP="00A321B7">
      <w:pPr>
        <w:pStyle w:val="OrderSigInfo"/>
        <w:keepNext/>
        <w:keepLines/>
        <w:rPr>
          <w:szCs w:val="24"/>
        </w:rPr>
      </w:pPr>
      <w:r w:rsidRPr="00AA12A2">
        <w:rPr>
          <w:szCs w:val="24"/>
        </w:rPr>
        <w:t>www.floridapsc.com</w:t>
      </w:r>
    </w:p>
    <w:p w:rsidR="00A321B7" w:rsidRPr="00AA12A2" w:rsidRDefault="00A321B7" w:rsidP="00A321B7">
      <w:pPr>
        <w:pStyle w:val="OrderSigInfo"/>
        <w:keepNext/>
        <w:keepLines/>
        <w:rPr>
          <w:szCs w:val="24"/>
        </w:rPr>
      </w:pPr>
    </w:p>
    <w:p w:rsidR="00A321B7" w:rsidRPr="00AA12A2" w:rsidRDefault="00A321B7" w:rsidP="00A321B7">
      <w:pPr>
        <w:pStyle w:val="OrderSigInfo"/>
        <w:keepNext/>
        <w:keepLines/>
        <w:rPr>
          <w:szCs w:val="24"/>
        </w:rPr>
      </w:pPr>
      <w:r w:rsidRPr="00AA12A2">
        <w:rPr>
          <w:szCs w:val="24"/>
        </w:rPr>
        <w:t>Copies furnished:  A copy of this document is provided to the parties of record at the time of issuance and, if applicable, interested persons.</w:t>
      </w:r>
    </w:p>
    <w:p w:rsidR="00A321B7" w:rsidRPr="00AA12A2" w:rsidRDefault="00A321B7" w:rsidP="00A321B7">
      <w:pPr>
        <w:pStyle w:val="OrderBody"/>
        <w:keepNext/>
        <w:keepLines/>
      </w:pPr>
    </w:p>
    <w:p w:rsidR="00A321B7" w:rsidRPr="00AA12A2" w:rsidRDefault="00A321B7" w:rsidP="00A321B7">
      <w:pPr>
        <w:pStyle w:val="OrderBody"/>
        <w:keepNext/>
        <w:keepLines/>
      </w:pPr>
    </w:p>
    <w:p w:rsidR="00A321B7" w:rsidRPr="00AA12A2" w:rsidRDefault="00A321B7" w:rsidP="00A321B7">
      <w:pPr>
        <w:pStyle w:val="OrderBody"/>
        <w:keepNext/>
        <w:keepLines/>
      </w:pPr>
      <w:r w:rsidRPr="00AA12A2">
        <w:t>CWM</w:t>
      </w:r>
    </w:p>
    <w:p w:rsidR="00A321B7" w:rsidRPr="00AA12A2" w:rsidRDefault="00A321B7" w:rsidP="00A321B7">
      <w:pPr>
        <w:pStyle w:val="OrderBody"/>
      </w:pPr>
    </w:p>
    <w:p w:rsidR="00A321B7" w:rsidRDefault="00A321B7" w:rsidP="00A321B7">
      <w:pPr>
        <w:pStyle w:val="OrderBody"/>
      </w:pPr>
    </w:p>
    <w:p w:rsidR="00196A0A" w:rsidRDefault="00196A0A" w:rsidP="00A321B7">
      <w:pPr>
        <w:pStyle w:val="OrderBody"/>
      </w:pPr>
    </w:p>
    <w:p w:rsidR="00196A0A" w:rsidRPr="00AA12A2" w:rsidRDefault="00196A0A" w:rsidP="00A321B7">
      <w:pPr>
        <w:pStyle w:val="OrderBody"/>
      </w:pPr>
    </w:p>
    <w:p w:rsidR="00196A0A" w:rsidRDefault="00196A0A" w:rsidP="00196A0A">
      <w:pPr>
        <w:pStyle w:val="CenterUnderline"/>
      </w:pPr>
      <w:r>
        <w:t>NOTICE OF FURTHER PROCEEDINGS OR JUDICIAL REVIEW</w:t>
      </w:r>
    </w:p>
    <w:p w:rsidR="00A321B7" w:rsidRDefault="00A321B7" w:rsidP="00196A0A">
      <w:pPr>
        <w:pStyle w:val="CenterUnderline"/>
      </w:pPr>
    </w:p>
    <w:p w:rsidR="00196A0A" w:rsidRDefault="00196A0A" w:rsidP="00196A0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96A0A" w:rsidRDefault="00196A0A" w:rsidP="00196A0A">
      <w:pPr>
        <w:pStyle w:val="OrderBody"/>
      </w:pPr>
    </w:p>
    <w:p w:rsidR="00196A0A" w:rsidRDefault="00196A0A" w:rsidP="00196A0A">
      <w:pPr>
        <w:pStyle w:val="OrderBody"/>
      </w:pPr>
      <w:r>
        <w:tab/>
        <w:t>Mediation may be available on a case-by-case basis.  If mediation is conducted, it does not affect a substantially interested person's right to a hearing.</w:t>
      </w:r>
    </w:p>
    <w:p w:rsidR="00196A0A" w:rsidRDefault="00196A0A" w:rsidP="00196A0A">
      <w:pPr>
        <w:pStyle w:val="OrderBody"/>
      </w:pPr>
    </w:p>
    <w:p w:rsidR="00196A0A" w:rsidRDefault="00196A0A" w:rsidP="00196A0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D44FF">
        <w:rPr>
          <w:u w:val="single"/>
        </w:rPr>
        <w:t>June 14, 2017</w:t>
      </w:r>
      <w:r>
        <w:t>.</w:t>
      </w:r>
    </w:p>
    <w:p w:rsidR="00196A0A" w:rsidRDefault="00196A0A" w:rsidP="00196A0A">
      <w:pPr>
        <w:pStyle w:val="OrderBody"/>
      </w:pPr>
    </w:p>
    <w:p w:rsidR="00196A0A" w:rsidRDefault="00196A0A" w:rsidP="00196A0A">
      <w:pPr>
        <w:pStyle w:val="OrderBody"/>
      </w:pPr>
      <w:r>
        <w:tab/>
        <w:t>In the absence of such a petition, this order shall become final and effective upon the issuance of a Consummating Order.</w:t>
      </w:r>
    </w:p>
    <w:p w:rsidR="00196A0A" w:rsidRDefault="00196A0A" w:rsidP="00196A0A">
      <w:pPr>
        <w:pStyle w:val="OrderBody"/>
      </w:pPr>
    </w:p>
    <w:p w:rsidR="00196A0A" w:rsidRDefault="00196A0A" w:rsidP="00196A0A">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196A0A" w:rsidRDefault="00196A0A" w:rsidP="00196A0A">
      <w:pPr>
        <w:pStyle w:val="OrderBody"/>
      </w:pPr>
    </w:p>
    <w:p w:rsidR="00196A0A" w:rsidRDefault="00196A0A" w:rsidP="00196A0A">
      <w:pPr>
        <w:pStyle w:val="OrderBody"/>
      </w:pPr>
    </w:p>
    <w:p w:rsidR="00196A0A" w:rsidRPr="00196A0A" w:rsidRDefault="00196A0A" w:rsidP="00196A0A">
      <w:pPr>
        <w:pStyle w:val="OrderBody"/>
      </w:pPr>
    </w:p>
    <w:sectPr w:rsidR="00196A0A" w:rsidRPr="00196A0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B7" w:rsidRDefault="00A321B7">
      <w:r>
        <w:separator/>
      </w:r>
    </w:p>
  </w:endnote>
  <w:endnote w:type="continuationSeparator" w:id="0">
    <w:p w:rsidR="00A321B7" w:rsidRDefault="00A3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B7" w:rsidRDefault="00A321B7">
      <w:r>
        <w:separator/>
      </w:r>
    </w:p>
  </w:footnote>
  <w:footnote w:type="continuationSeparator" w:id="0">
    <w:p w:rsidR="00A321B7" w:rsidRDefault="00A321B7">
      <w:r>
        <w:continuationSeparator/>
      </w:r>
    </w:p>
  </w:footnote>
  <w:footnote w:id="1">
    <w:p w:rsidR="00AA12A2" w:rsidRPr="00803032" w:rsidRDefault="00AA12A2" w:rsidP="00AA12A2">
      <w:pPr>
        <w:pStyle w:val="FootnoteText"/>
        <w:rPr>
          <w:i/>
        </w:rPr>
      </w:pPr>
      <w:r>
        <w:rPr>
          <w:rStyle w:val="FootnoteReference"/>
        </w:rPr>
        <w:footnoteRef/>
      </w:r>
      <w:r>
        <w:t xml:space="preserve"> Order No. PSC-15-0323-PAA-EG, issued August 11, 2015, in Docket No. 150081-EG, </w:t>
      </w:r>
      <w:r w:rsidRPr="00803032">
        <w:rPr>
          <w:i/>
        </w:rPr>
        <w:t>In re: Petition for Approval of Demand-Side Management Plan of Tampa Electric Company.</w:t>
      </w:r>
    </w:p>
    <w:p w:rsidR="00AA12A2" w:rsidRDefault="00AA12A2">
      <w:pPr>
        <w:pStyle w:val="FootnoteText"/>
      </w:pPr>
    </w:p>
  </w:footnote>
  <w:footnote w:id="2">
    <w:p w:rsidR="00A321B7" w:rsidRDefault="00A321B7" w:rsidP="00A321B7">
      <w:pPr>
        <w:pStyle w:val="FootnoteText"/>
      </w:pPr>
      <w:r>
        <w:rPr>
          <w:rStyle w:val="FootnoteReference"/>
        </w:rPr>
        <w:footnoteRef/>
      </w:r>
      <w:r w:rsidR="00AE4633" w:rsidRPr="00AE4633">
        <w:rPr>
          <w:i/>
        </w:rPr>
        <w:t>See e.g</w:t>
      </w:r>
      <w:r w:rsidR="00AE4633">
        <w:t xml:space="preserve">., </w:t>
      </w:r>
      <w:r>
        <w:t xml:space="preserve">Order No. PSC-15-0323-PAA-EG, issued August 11, 2015, in Docket No. 150081-EG, </w:t>
      </w:r>
      <w:r w:rsidRPr="00803032">
        <w:rPr>
          <w:i/>
        </w:rPr>
        <w:t>In re: Petition for pproval of Demand-Side Management Plan of Tampa Electric Company</w:t>
      </w:r>
      <w:r>
        <w:rPr>
          <w:i/>
        </w:rPr>
        <w:t>,</w:t>
      </w:r>
      <w:r>
        <w:t xml:space="preserve"> p. 2</w:t>
      </w:r>
      <w:r w:rsidRPr="0080303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7 ">
      <w:r w:rsidR="000D44FF">
        <w:t>PSC-17-0207-PAA-EI</w:t>
      </w:r>
    </w:fldSimple>
  </w:p>
  <w:p w:rsidR="00FA6EFD" w:rsidRDefault="00A321B7">
    <w:pPr>
      <w:pStyle w:val="OrderHeader"/>
    </w:pPr>
    <w:bookmarkStart w:id="9" w:name="HeaderDocketNo"/>
    <w:bookmarkEnd w:id="9"/>
    <w:r>
      <w:t>DOCKET NO. 170014-EI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44F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14-EI"/>
  </w:docVars>
  <w:rsids>
    <w:rsidRoot w:val="00A321B7"/>
    <w:rsid w:val="000022B8"/>
    <w:rsid w:val="000200F3"/>
    <w:rsid w:val="00053AB9"/>
    <w:rsid w:val="00056229"/>
    <w:rsid w:val="00065FC2"/>
    <w:rsid w:val="0008736D"/>
    <w:rsid w:val="00090AFC"/>
    <w:rsid w:val="000D02B8"/>
    <w:rsid w:val="000D06E8"/>
    <w:rsid w:val="000D44FF"/>
    <w:rsid w:val="000E20F0"/>
    <w:rsid w:val="000E344D"/>
    <w:rsid w:val="000F3B2C"/>
    <w:rsid w:val="000F648A"/>
    <w:rsid w:val="000F7BE3"/>
    <w:rsid w:val="001107B3"/>
    <w:rsid w:val="001114B1"/>
    <w:rsid w:val="00116AD3"/>
    <w:rsid w:val="00121957"/>
    <w:rsid w:val="00126593"/>
    <w:rsid w:val="00142A96"/>
    <w:rsid w:val="00187E32"/>
    <w:rsid w:val="00194E81"/>
    <w:rsid w:val="00196A0A"/>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A73AF"/>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F2930"/>
    <w:rsid w:val="00410020"/>
    <w:rsid w:val="00411DF2"/>
    <w:rsid w:val="0042527B"/>
    <w:rsid w:val="00457DC7"/>
    <w:rsid w:val="00472BCC"/>
    <w:rsid w:val="004A25CD"/>
    <w:rsid w:val="004A26CC"/>
    <w:rsid w:val="004B2108"/>
    <w:rsid w:val="004B3A2B"/>
    <w:rsid w:val="004B70D3"/>
    <w:rsid w:val="004D2D1B"/>
    <w:rsid w:val="004E469D"/>
    <w:rsid w:val="004F2DDE"/>
    <w:rsid w:val="004F3C47"/>
    <w:rsid w:val="0050097F"/>
    <w:rsid w:val="00514B1F"/>
    <w:rsid w:val="00525E93"/>
    <w:rsid w:val="0052671D"/>
    <w:rsid w:val="00556A10"/>
    <w:rsid w:val="00561B42"/>
    <w:rsid w:val="005747C9"/>
    <w:rsid w:val="005963C2"/>
    <w:rsid w:val="005B45F7"/>
    <w:rsid w:val="005B63EA"/>
    <w:rsid w:val="005C1A88"/>
    <w:rsid w:val="005C5033"/>
    <w:rsid w:val="00610E73"/>
    <w:rsid w:val="006371AD"/>
    <w:rsid w:val="00637775"/>
    <w:rsid w:val="00660774"/>
    <w:rsid w:val="0066389A"/>
    <w:rsid w:val="0066495C"/>
    <w:rsid w:val="00665CC7"/>
    <w:rsid w:val="00672612"/>
    <w:rsid w:val="006A0BF3"/>
    <w:rsid w:val="006B0DA6"/>
    <w:rsid w:val="006C547E"/>
    <w:rsid w:val="006D1724"/>
    <w:rsid w:val="00704C5D"/>
    <w:rsid w:val="007072BC"/>
    <w:rsid w:val="00715275"/>
    <w:rsid w:val="00733B6B"/>
    <w:rsid w:val="007461A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8F7201"/>
    <w:rsid w:val="009040EE"/>
    <w:rsid w:val="009057FD"/>
    <w:rsid w:val="00906FBA"/>
    <w:rsid w:val="00922A7F"/>
    <w:rsid w:val="00923A5E"/>
    <w:rsid w:val="00931C8C"/>
    <w:rsid w:val="0094504B"/>
    <w:rsid w:val="009924CF"/>
    <w:rsid w:val="00994100"/>
    <w:rsid w:val="009D4C29"/>
    <w:rsid w:val="00A321B7"/>
    <w:rsid w:val="00A413DF"/>
    <w:rsid w:val="00A62DAB"/>
    <w:rsid w:val="00A726A6"/>
    <w:rsid w:val="00A81215"/>
    <w:rsid w:val="00A8749D"/>
    <w:rsid w:val="00A97535"/>
    <w:rsid w:val="00AA12A2"/>
    <w:rsid w:val="00AA73F1"/>
    <w:rsid w:val="00AB0E1A"/>
    <w:rsid w:val="00AB1A30"/>
    <w:rsid w:val="00AD1ED3"/>
    <w:rsid w:val="00AE0E73"/>
    <w:rsid w:val="00AE4633"/>
    <w:rsid w:val="00B0777D"/>
    <w:rsid w:val="00B4057A"/>
    <w:rsid w:val="00B40894"/>
    <w:rsid w:val="00B45E75"/>
    <w:rsid w:val="00B50876"/>
    <w:rsid w:val="00B55EE5"/>
    <w:rsid w:val="00B73DE6"/>
    <w:rsid w:val="00B86EF0"/>
    <w:rsid w:val="00B96969"/>
    <w:rsid w:val="00B97900"/>
    <w:rsid w:val="00BA1229"/>
    <w:rsid w:val="00BA44A8"/>
    <w:rsid w:val="00BD5D7B"/>
    <w:rsid w:val="00BF6691"/>
    <w:rsid w:val="00C01038"/>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5CF"/>
    <w:rsid w:val="00D23FEA"/>
    <w:rsid w:val="00D269CA"/>
    <w:rsid w:val="00D30B48"/>
    <w:rsid w:val="00D46FAA"/>
    <w:rsid w:val="00D47A40"/>
    <w:rsid w:val="00D56797"/>
    <w:rsid w:val="00D57BB2"/>
    <w:rsid w:val="00D57E57"/>
    <w:rsid w:val="00D830EB"/>
    <w:rsid w:val="00D8560E"/>
    <w:rsid w:val="00D8758F"/>
    <w:rsid w:val="00DC1D94"/>
    <w:rsid w:val="00DC4212"/>
    <w:rsid w:val="00DE057F"/>
    <w:rsid w:val="00DE2082"/>
    <w:rsid w:val="00DE2289"/>
    <w:rsid w:val="00E03A76"/>
    <w:rsid w:val="00E04410"/>
    <w:rsid w:val="00E11351"/>
    <w:rsid w:val="00EA172C"/>
    <w:rsid w:val="00EA259B"/>
    <w:rsid w:val="00EA35A3"/>
    <w:rsid w:val="00EA3E6A"/>
    <w:rsid w:val="00EB18EF"/>
    <w:rsid w:val="00EC1A84"/>
    <w:rsid w:val="00EE17DF"/>
    <w:rsid w:val="00EE6CE7"/>
    <w:rsid w:val="00EF4621"/>
    <w:rsid w:val="00F234A7"/>
    <w:rsid w:val="00F277B6"/>
    <w:rsid w:val="00F42F49"/>
    <w:rsid w:val="00F53790"/>
    <w:rsid w:val="00F54380"/>
    <w:rsid w:val="00F54B47"/>
    <w:rsid w:val="00F6702E"/>
    <w:rsid w:val="00F70E84"/>
    <w:rsid w:val="00FA092B"/>
    <w:rsid w:val="00FA6EFD"/>
    <w:rsid w:val="00FB74EA"/>
    <w:rsid w:val="00FD2C9E"/>
    <w:rsid w:val="00FD4786"/>
    <w:rsid w:val="00FD616C"/>
    <w:rsid w:val="00FE53F2"/>
    <w:rsid w:val="00FE5DAC"/>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321B7"/>
    <w:pPr>
      <w:jc w:val="center"/>
    </w:pPr>
    <w:rPr>
      <w:rFonts w:ascii="Arial" w:hAnsi="Arial"/>
      <w:b/>
    </w:rPr>
  </w:style>
  <w:style w:type="paragraph" w:customStyle="1" w:styleId="IssueHeading">
    <w:name w:val="Issue Heading"/>
    <w:basedOn w:val="Heading1"/>
    <w:next w:val="BodyText"/>
    <w:link w:val="IssueHeadingChar"/>
    <w:qFormat/>
    <w:rsid w:val="00A321B7"/>
    <w:pPr>
      <w:keepNext w:val="0"/>
    </w:pPr>
    <w:rPr>
      <w:rFonts w:ascii="Arial" w:hAnsi="Arial"/>
      <w:b/>
      <w:i/>
    </w:rPr>
  </w:style>
  <w:style w:type="character" w:customStyle="1" w:styleId="IssueHeadingChar">
    <w:name w:val="Issue Heading Char"/>
    <w:link w:val="IssueHeading"/>
    <w:rsid w:val="00A321B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321B7"/>
    <w:pPr>
      <w:keepNext w:val="0"/>
    </w:pPr>
    <w:rPr>
      <w:rFonts w:ascii="Arial" w:hAnsi="Arial"/>
      <w:b/>
      <w:i/>
    </w:rPr>
  </w:style>
  <w:style w:type="character" w:customStyle="1" w:styleId="IssueSubsectionHeadingChar">
    <w:name w:val="Issue Subsection Heading Char"/>
    <w:link w:val="IssueSubsectionHeading"/>
    <w:rsid w:val="00A321B7"/>
    <w:rPr>
      <w:rFonts w:ascii="Arial" w:hAnsi="Arial" w:cs="Arial"/>
      <w:b/>
      <w:bCs/>
      <w:i/>
      <w:iCs/>
      <w:sz w:val="24"/>
      <w:szCs w:val="28"/>
    </w:rPr>
  </w:style>
  <w:style w:type="paragraph" w:customStyle="1" w:styleId="First-LevelSubheading">
    <w:name w:val="First-Level Subheading"/>
    <w:basedOn w:val="IssueSubsectionHeading"/>
    <w:next w:val="BodyText"/>
    <w:qFormat/>
    <w:rsid w:val="00A321B7"/>
    <w:pPr>
      <w:spacing w:after="0"/>
      <w:outlineLvl w:val="2"/>
    </w:pPr>
    <w:rPr>
      <w:i w:val="0"/>
    </w:rPr>
  </w:style>
  <w:style w:type="paragraph" w:customStyle="1" w:styleId="TableNumber">
    <w:name w:val="Table Number"/>
    <w:basedOn w:val="BodyText"/>
    <w:next w:val="BodyText"/>
    <w:qFormat/>
    <w:rsid w:val="00A321B7"/>
    <w:pPr>
      <w:spacing w:before="480" w:after="0"/>
      <w:jc w:val="center"/>
    </w:pPr>
    <w:rPr>
      <w:rFonts w:ascii="Arial" w:hAnsi="Arial"/>
      <w:b/>
    </w:rPr>
  </w:style>
  <w:style w:type="paragraph" w:customStyle="1" w:styleId="TableTitle">
    <w:name w:val="Table Title"/>
    <w:basedOn w:val="BodyText"/>
    <w:next w:val="BodyText"/>
    <w:qFormat/>
    <w:rsid w:val="00A321B7"/>
    <w:pPr>
      <w:spacing w:after="0"/>
      <w:jc w:val="center"/>
    </w:pPr>
    <w:rPr>
      <w:rFonts w:ascii="Arial" w:hAnsi="Arial"/>
      <w:b/>
    </w:rPr>
  </w:style>
  <w:style w:type="paragraph" w:customStyle="1" w:styleId="TableSource">
    <w:name w:val="Table Source"/>
    <w:basedOn w:val="BodyText"/>
    <w:next w:val="BodyText"/>
    <w:qFormat/>
    <w:rsid w:val="00A321B7"/>
    <w:pPr>
      <w:spacing w:after="480"/>
      <w:jc w:val="both"/>
    </w:pPr>
  </w:style>
  <w:style w:type="paragraph" w:styleId="BalloonText">
    <w:name w:val="Balloon Text"/>
    <w:basedOn w:val="Normal"/>
    <w:link w:val="BalloonTextChar"/>
    <w:rsid w:val="000200F3"/>
    <w:rPr>
      <w:rFonts w:ascii="Tahoma" w:hAnsi="Tahoma" w:cs="Tahoma"/>
      <w:sz w:val="16"/>
      <w:szCs w:val="16"/>
    </w:rPr>
  </w:style>
  <w:style w:type="character" w:customStyle="1" w:styleId="BalloonTextChar">
    <w:name w:val="Balloon Text Char"/>
    <w:basedOn w:val="DefaultParagraphFont"/>
    <w:link w:val="BalloonText"/>
    <w:rsid w:val="00020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321B7"/>
    <w:pPr>
      <w:jc w:val="center"/>
    </w:pPr>
    <w:rPr>
      <w:rFonts w:ascii="Arial" w:hAnsi="Arial"/>
      <w:b/>
    </w:rPr>
  </w:style>
  <w:style w:type="paragraph" w:customStyle="1" w:styleId="IssueHeading">
    <w:name w:val="Issue Heading"/>
    <w:basedOn w:val="Heading1"/>
    <w:next w:val="BodyText"/>
    <w:link w:val="IssueHeadingChar"/>
    <w:qFormat/>
    <w:rsid w:val="00A321B7"/>
    <w:pPr>
      <w:keepNext w:val="0"/>
    </w:pPr>
    <w:rPr>
      <w:rFonts w:ascii="Arial" w:hAnsi="Arial"/>
      <w:b/>
      <w:i/>
    </w:rPr>
  </w:style>
  <w:style w:type="character" w:customStyle="1" w:styleId="IssueHeadingChar">
    <w:name w:val="Issue Heading Char"/>
    <w:link w:val="IssueHeading"/>
    <w:rsid w:val="00A321B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321B7"/>
    <w:pPr>
      <w:keepNext w:val="0"/>
    </w:pPr>
    <w:rPr>
      <w:rFonts w:ascii="Arial" w:hAnsi="Arial"/>
      <w:b/>
      <w:i/>
    </w:rPr>
  </w:style>
  <w:style w:type="character" w:customStyle="1" w:styleId="IssueSubsectionHeadingChar">
    <w:name w:val="Issue Subsection Heading Char"/>
    <w:link w:val="IssueSubsectionHeading"/>
    <w:rsid w:val="00A321B7"/>
    <w:rPr>
      <w:rFonts w:ascii="Arial" w:hAnsi="Arial" w:cs="Arial"/>
      <w:b/>
      <w:bCs/>
      <w:i/>
      <w:iCs/>
      <w:sz w:val="24"/>
      <w:szCs w:val="28"/>
    </w:rPr>
  </w:style>
  <w:style w:type="paragraph" w:customStyle="1" w:styleId="First-LevelSubheading">
    <w:name w:val="First-Level Subheading"/>
    <w:basedOn w:val="IssueSubsectionHeading"/>
    <w:next w:val="BodyText"/>
    <w:qFormat/>
    <w:rsid w:val="00A321B7"/>
    <w:pPr>
      <w:spacing w:after="0"/>
      <w:outlineLvl w:val="2"/>
    </w:pPr>
    <w:rPr>
      <w:i w:val="0"/>
    </w:rPr>
  </w:style>
  <w:style w:type="paragraph" w:customStyle="1" w:styleId="TableNumber">
    <w:name w:val="Table Number"/>
    <w:basedOn w:val="BodyText"/>
    <w:next w:val="BodyText"/>
    <w:qFormat/>
    <w:rsid w:val="00A321B7"/>
    <w:pPr>
      <w:spacing w:before="480" w:after="0"/>
      <w:jc w:val="center"/>
    </w:pPr>
    <w:rPr>
      <w:rFonts w:ascii="Arial" w:hAnsi="Arial"/>
      <w:b/>
    </w:rPr>
  </w:style>
  <w:style w:type="paragraph" w:customStyle="1" w:styleId="TableTitle">
    <w:name w:val="Table Title"/>
    <w:basedOn w:val="BodyText"/>
    <w:next w:val="BodyText"/>
    <w:qFormat/>
    <w:rsid w:val="00A321B7"/>
    <w:pPr>
      <w:spacing w:after="0"/>
      <w:jc w:val="center"/>
    </w:pPr>
    <w:rPr>
      <w:rFonts w:ascii="Arial" w:hAnsi="Arial"/>
      <w:b/>
    </w:rPr>
  </w:style>
  <w:style w:type="paragraph" w:customStyle="1" w:styleId="TableSource">
    <w:name w:val="Table Source"/>
    <w:basedOn w:val="BodyText"/>
    <w:next w:val="BodyText"/>
    <w:qFormat/>
    <w:rsid w:val="00A321B7"/>
    <w:pPr>
      <w:spacing w:after="480"/>
      <w:jc w:val="both"/>
    </w:pPr>
  </w:style>
  <w:style w:type="paragraph" w:styleId="BalloonText">
    <w:name w:val="Balloon Text"/>
    <w:basedOn w:val="Normal"/>
    <w:link w:val="BalloonTextChar"/>
    <w:rsid w:val="000200F3"/>
    <w:rPr>
      <w:rFonts w:ascii="Tahoma" w:hAnsi="Tahoma" w:cs="Tahoma"/>
      <w:sz w:val="16"/>
      <w:szCs w:val="16"/>
    </w:rPr>
  </w:style>
  <w:style w:type="character" w:customStyle="1" w:styleId="BalloonTextChar">
    <w:name w:val="Balloon Text Char"/>
    <w:basedOn w:val="DefaultParagraphFont"/>
    <w:link w:val="BalloonText"/>
    <w:rsid w:val="00020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AF2D-C563-4A8E-AE43-F8DE5005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6</Pages>
  <Words>1587</Words>
  <Characters>9130</Characters>
  <Application>Microsoft Office Word</Application>
  <DocSecurity>0</DocSecurity>
  <Lines>268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2017-05-24T15:10:00Z</dcterms:created>
  <dcterms:modified xsi:type="dcterms:W3CDTF">2017-05-24T15:19:00Z</dcterms:modified>
</cp:coreProperties>
</file>