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60BAE" w:rsidP="00C60BAE">
      <w:pPr>
        <w:pStyle w:val="OrderHeading"/>
      </w:pPr>
      <w:r>
        <w:t>BEFORE THE FLORIDA PUBLIC SERVICE COMMISSION</w:t>
      </w:r>
    </w:p>
    <w:p w:rsidR="00C60BAE" w:rsidRDefault="00C60BAE" w:rsidP="00C60BA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60BAE" w:rsidRPr="00C63FCF" w:rsidTr="00C63FCF">
        <w:trPr>
          <w:trHeight w:val="828"/>
        </w:trPr>
        <w:tc>
          <w:tcPr>
            <w:tcW w:w="4788" w:type="dxa"/>
            <w:tcBorders>
              <w:bottom w:val="single" w:sz="8" w:space="0" w:color="auto"/>
              <w:right w:val="double" w:sz="6" w:space="0" w:color="auto"/>
            </w:tcBorders>
            <w:shd w:val="clear" w:color="auto" w:fill="auto"/>
          </w:tcPr>
          <w:p w:rsidR="00C60BAE" w:rsidRDefault="00C60BAE" w:rsidP="00C63FCF">
            <w:pPr>
              <w:pStyle w:val="OrderBody"/>
              <w:tabs>
                <w:tab w:val="center" w:pos="4320"/>
                <w:tab w:val="right" w:pos="8640"/>
              </w:tabs>
              <w:jc w:val="left"/>
            </w:pPr>
            <w:r>
              <w:t xml:space="preserve">In re: </w:t>
            </w:r>
            <w:bookmarkStart w:id="0" w:name="SSInRe"/>
            <w:bookmarkEnd w:id="0"/>
            <w:r>
              <w:t>Petition for approval of a new depreciation class and rate for energy storage equipment, by Florida Power &amp; Light Company.</w:t>
            </w:r>
          </w:p>
        </w:tc>
        <w:tc>
          <w:tcPr>
            <w:tcW w:w="4788" w:type="dxa"/>
            <w:tcBorders>
              <w:left w:val="double" w:sz="6" w:space="0" w:color="auto"/>
            </w:tcBorders>
            <w:shd w:val="clear" w:color="auto" w:fill="auto"/>
          </w:tcPr>
          <w:p w:rsidR="00C60BAE" w:rsidRDefault="00C60BAE" w:rsidP="00C60BAE">
            <w:pPr>
              <w:pStyle w:val="OrderBody"/>
            </w:pPr>
            <w:r>
              <w:t xml:space="preserve">DOCKET NO. </w:t>
            </w:r>
            <w:bookmarkStart w:id="1" w:name="SSDocketNo"/>
            <w:bookmarkEnd w:id="1"/>
            <w:r>
              <w:t>20170097-EI</w:t>
            </w:r>
          </w:p>
          <w:p w:rsidR="00C60BAE" w:rsidRDefault="00C60BAE" w:rsidP="00C63FCF">
            <w:pPr>
              <w:pStyle w:val="OrderBody"/>
              <w:tabs>
                <w:tab w:val="center" w:pos="4320"/>
                <w:tab w:val="right" w:pos="8640"/>
              </w:tabs>
              <w:jc w:val="left"/>
            </w:pPr>
            <w:r>
              <w:t xml:space="preserve">ORDER NO. </w:t>
            </w:r>
            <w:bookmarkStart w:id="2" w:name="OrderNo0359"/>
            <w:r w:rsidR="00725A87">
              <w:t>PSC-2017-0359-PAA-EI</w:t>
            </w:r>
            <w:bookmarkEnd w:id="2"/>
          </w:p>
          <w:p w:rsidR="00C60BAE" w:rsidRDefault="00C60BAE" w:rsidP="00C63FCF">
            <w:pPr>
              <w:pStyle w:val="OrderBody"/>
              <w:tabs>
                <w:tab w:val="center" w:pos="4320"/>
                <w:tab w:val="right" w:pos="8640"/>
              </w:tabs>
              <w:jc w:val="left"/>
            </w:pPr>
            <w:r>
              <w:t xml:space="preserve">ISSUED: </w:t>
            </w:r>
            <w:r w:rsidR="00725A87">
              <w:t>September 20, 2017</w:t>
            </w:r>
          </w:p>
        </w:tc>
      </w:tr>
    </w:tbl>
    <w:p w:rsidR="00C60BAE" w:rsidRDefault="00C60BAE" w:rsidP="00C60BAE"/>
    <w:p w:rsidR="00C60BAE" w:rsidRDefault="00C60BAE">
      <w:pPr>
        <w:ind w:firstLine="720"/>
        <w:jc w:val="both"/>
      </w:pPr>
      <w:bookmarkStart w:id="3" w:name="Commissioners"/>
      <w:bookmarkEnd w:id="3"/>
      <w:r>
        <w:t>The following Commissioners participated in the disposition of this matter:</w:t>
      </w:r>
    </w:p>
    <w:p w:rsidR="00C60BAE" w:rsidRDefault="00C60BAE"/>
    <w:p w:rsidR="00C60BAE" w:rsidRDefault="00C60BAE">
      <w:pPr>
        <w:jc w:val="center"/>
      </w:pPr>
      <w:r>
        <w:t>JULIE I. BROWN, Chairman</w:t>
      </w:r>
    </w:p>
    <w:p w:rsidR="00C60BAE" w:rsidRDefault="00C60BAE">
      <w:pPr>
        <w:jc w:val="center"/>
      </w:pPr>
      <w:r>
        <w:t>ART GRAHAM</w:t>
      </w:r>
    </w:p>
    <w:p w:rsidR="00C60BAE" w:rsidRDefault="00C60BAE">
      <w:pPr>
        <w:jc w:val="center"/>
      </w:pPr>
      <w:r>
        <w:t>RONALD A. BRISÉ</w:t>
      </w:r>
    </w:p>
    <w:p w:rsidR="00C60BAE" w:rsidRDefault="00C60BAE">
      <w:pPr>
        <w:jc w:val="center"/>
      </w:pPr>
      <w:r>
        <w:t>DONALD J. POLMANN</w:t>
      </w:r>
    </w:p>
    <w:p w:rsidR="00C60BAE" w:rsidRDefault="00C60BAE" w:rsidP="00C60BAE">
      <w:pPr>
        <w:pStyle w:val="OrderBody"/>
      </w:pPr>
    </w:p>
    <w:bookmarkStart w:id="4" w:name="OrderText"/>
    <w:bookmarkEnd w:id="4"/>
    <w:p w:rsidR="00C60BAE" w:rsidRPr="003E4B2D" w:rsidRDefault="00C60BAE">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354E2B" w:rsidRDefault="00C60BAE">
      <w:pPr>
        <w:pStyle w:val="OrderBody"/>
        <w:jc w:val="center"/>
        <w:rPr>
          <w:u w:val="single"/>
        </w:rPr>
      </w:pPr>
      <w:r w:rsidRPr="003E4B2D">
        <w:rPr>
          <w:u w:val="single"/>
        </w:rPr>
        <w:t>ORDER</w:t>
      </w:r>
      <w:r w:rsidR="00354E2B">
        <w:rPr>
          <w:u w:val="single"/>
        </w:rPr>
        <w:t xml:space="preserve"> APPROVING FLORIDA POWER &amp; LIGHT COMPANY’S</w:t>
      </w:r>
    </w:p>
    <w:p w:rsidR="00C60BAE" w:rsidRPr="003E4B2D" w:rsidRDefault="00354E2B">
      <w:pPr>
        <w:pStyle w:val="OrderBody"/>
        <w:jc w:val="center"/>
        <w:rPr>
          <w:u w:val="single"/>
        </w:rPr>
      </w:pPr>
      <w:r>
        <w:rPr>
          <w:u w:val="single"/>
        </w:rPr>
        <w:t xml:space="preserve">DEPRECIATION CLASS AND RATE FOR ENERGY STORAGE EQUIPMENT </w:t>
      </w:r>
    </w:p>
    <w:p w:rsidR="00C60BAE" w:rsidRPr="003E4B2D" w:rsidRDefault="00C60BAE">
      <w:pPr>
        <w:pStyle w:val="OrderBody"/>
      </w:pPr>
    </w:p>
    <w:p w:rsidR="00C60BAE" w:rsidRPr="003E4B2D" w:rsidRDefault="00C60BAE">
      <w:pPr>
        <w:pStyle w:val="OrderBody"/>
      </w:pPr>
      <w:r w:rsidRPr="003E4B2D">
        <w:t>BY THE COMMISSION:</w:t>
      </w:r>
    </w:p>
    <w:p w:rsidR="00C60BAE" w:rsidRPr="003E4B2D" w:rsidRDefault="00C60BAE">
      <w:pPr>
        <w:pStyle w:val="OrderBody"/>
      </w:pPr>
    </w:p>
    <w:p w:rsidR="00C60BAE" w:rsidRDefault="00C60BAE">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C60BAE"/>
    <w:p w:rsidR="00D57E57" w:rsidRDefault="00354E2B" w:rsidP="00354E2B">
      <w:pPr>
        <w:jc w:val="center"/>
        <w:rPr>
          <w:u w:val="single"/>
        </w:rPr>
      </w:pPr>
      <w:r>
        <w:rPr>
          <w:u w:val="single"/>
        </w:rPr>
        <w:t>BACKGROUND</w:t>
      </w:r>
    </w:p>
    <w:p w:rsidR="00354E2B" w:rsidRDefault="00354E2B" w:rsidP="00354E2B">
      <w:pPr>
        <w:jc w:val="center"/>
        <w:rPr>
          <w:u w:val="single"/>
        </w:rPr>
      </w:pPr>
    </w:p>
    <w:p w:rsidR="00354E2B" w:rsidRPr="002F256F" w:rsidRDefault="00136A58" w:rsidP="00136A58">
      <w:pPr>
        <w:pStyle w:val="BodyText"/>
        <w:jc w:val="both"/>
      </w:pPr>
      <w:r>
        <w:tab/>
      </w:r>
      <w:r w:rsidR="00354E2B">
        <w:t>O</w:t>
      </w:r>
      <w:r w:rsidR="00354E2B" w:rsidRPr="002F256F">
        <w:t>n May 1, 2017, Florida Power &amp; Light Company (FPL or Company) filed a request for approval of a new depreciation classification and depreciation rate for the accounting of its energy storage equipment.</w:t>
      </w:r>
      <w:r>
        <w:t xml:space="preserve">  </w:t>
      </w:r>
      <w:r w:rsidR="00354E2B">
        <w:t xml:space="preserve">The Company’s request, in accordance with </w:t>
      </w:r>
      <w:r w:rsidR="00354E2B" w:rsidRPr="002F256F">
        <w:t>Rule 25-6.0436(3)(b),</w:t>
      </w:r>
      <w:r w:rsidR="00354E2B">
        <w:t xml:space="preserve"> </w:t>
      </w:r>
      <w:r w:rsidR="00354E2B" w:rsidRPr="00AF747C">
        <w:t>F.A.C.</w:t>
      </w:r>
      <w:r w:rsidR="00354E2B" w:rsidRPr="002F256F">
        <w:t>, requires that</w:t>
      </w:r>
      <w:r w:rsidR="00354E2B">
        <w:t>:</w:t>
      </w:r>
      <w:r w:rsidR="00354E2B" w:rsidRPr="002F256F">
        <w:t xml:space="preserve"> “</w:t>
      </w:r>
      <w:r w:rsidR="00354E2B">
        <w:t>[u]</w:t>
      </w:r>
      <w:r w:rsidR="00354E2B" w:rsidRPr="002F256F">
        <w:t xml:space="preserve">pon establishing a new account or subaccount classification, each utility shall request Commission approval of a depreciation rate for the new plant category.” </w:t>
      </w:r>
    </w:p>
    <w:p w:rsidR="00354E2B" w:rsidRPr="00790528" w:rsidRDefault="00136A58" w:rsidP="00136A58">
      <w:pPr>
        <w:pStyle w:val="BodyText"/>
        <w:jc w:val="both"/>
      </w:pPr>
      <w:r>
        <w:tab/>
      </w:r>
      <w:r w:rsidR="00354E2B" w:rsidRPr="00790528">
        <w:t xml:space="preserve">Pursuant to Rule 25-6.0436(3)(a), </w:t>
      </w:r>
      <w:r w:rsidR="00354E2B" w:rsidRPr="00AF747C">
        <w:t>F.A.C.</w:t>
      </w:r>
      <w:r w:rsidR="00354E2B" w:rsidRPr="00790528">
        <w:t>, electric utilities are required to maintain depreciation rates and accumulated depreciation reserve</w:t>
      </w:r>
      <w:r w:rsidR="00354E2B">
        <w:t>s</w:t>
      </w:r>
      <w:r w:rsidR="00354E2B" w:rsidRPr="00790528">
        <w:t xml:space="preserve"> in accounts or subaccounts in accordance with the</w:t>
      </w:r>
      <w:r w:rsidR="00354E2B">
        <w:t xml:space="preserve"> </w:t>
      </w:r>
      <w:r w:rsidR="00354E2B" w:rsidRPr="00790528">
        <w:t>Uniform System of Accounts for Public Utilities and Licensees, as found in the Code of Federal Regulations, which is incorporated by reference in Rule 25-6.014(1), F.A.C.</w:t>
      </w:r>
      <w:r w:rsidR="00354E2B" w:rsidRPr="00790528">
        <w:rPr>
          <w:vertAlign w:val="superscript"/>
        </w:rPr>
        <w:footnoteReference w:id="1"/>
      </w:r>
      <w:r w:rsidR="00354E2B" w:rsidRPr="00790528">
        <w:t xml:space="preserve">  </w:t>
      </w:r>
    </w:p>
    <w:p w:rsidR="00354E2B" w:rsidRDefault="00136A58" w:rsidP="00136A58">
      <w:pPr>
        <w:pStyle w:val="BodyText"/>
        <w:jc w:val="both"/>
      </w:pPr>
      <w:r>
        <w:tab/>
      </w:r>
      <w:r w:rsidR="00354E2B">
        <w:t>In December 2016, the Company</w:t>
      </w:r>
      <w:r w:rsidR="00354E2B" w:rsidRPr="00790528">
        <w:t xml:space="preserve"> received </w:t>
      </w:r>
      <w:r>
        <w:t xml:space="preserve">our </w:t>
      </w:r>
      <w:r w:rsidR="00354E2B" w:rsidRPr="00790528">
        <w:t xml:space="preserve">authorization to implement a 50 </w:t>
      </w:r>
      <w:r w:rsidR="00354E2B">
        <w:t>megawatt (</w:t>
      </w:r>
      <w:r w:rsidR="00354E2B" w:rsidRPr="00790528">
        <w:t>MW</w:t>
      </w:r>
      <w:r w:rsidR="00354E2B">
        <w:t>)</w:t>
      </w:r>
      <w:r w:rsidR="00354E2B" w:rsidRPr="00790528">
        <w:t xml:space="preserve"> battery storage pilot program (Battery Storage Pilot).</w:t>
      </w:r>
      <w:r w:rsidR="00354E2B" w:rsidRPr="00790528">
        <w:rPr>
          <w:vertAlign w:val="superscript"/>
        </w:rPr>
        <w:footnoteReference w:id="2"/>
      </w:r>
      <w:r w:rsidR="00354E2B" w:rsidRPr="00790528">
        <w:t xml:space="preserve"> </w:t>
      </w:r>
      <w:r>
        <w:t xml:space="preserve"> </w:t>
      </w:r>
      <w:r w:rsidR="00354E2B" w:rsidRPr="00790528">
        <w:t xml:space="preserve">This authorization </w:t>
      </w:r>
      <w:r w:rsidR="00354E2B">
        <w:t>i</w:t>
      </w:r>
      <w:r w:rsidR="00354E2B" w:rsidRPr="00790528">
        <w:t xml:space="preserve">s pursuant to the </w:t>
      </w:r>
      <w:r w:rsidR="00354E2B">
        <w:t xml:space="preserve">terms of the Company’s </w:t>
      </w:r>
      <w:r w:rsidR="00354E2B" w:rsidRPr="00790528">
        <w:t xml:space="preserve">Stipulation and Settlement Agreement (2016 Settlement) which </w:t>
      </w:r>
      <w:r w:rsidR="00354E2B" w:rsidRPr="00790528">
        <w:lastRenderedPageBreak/>
        <w:t>resolv</w:t>
      </w:r>
      <w:r w:rsidR="00354E2B">
        <w:t>ed all issues in FPL’s 2016</w:t>
      </w:r>
      <w:r w:rsidR="00354E2B" w:rsidRPr="00790528">
        <w:t xml:space="preserve"> rate </w:t>
      </w:r>
      <w:r w:rsidR="00354E2B">
        <w:t>case</w:t>
      </w:r>
      <w:r w:rsidR="00354E2B" w:rsidRPr="00790528">
        <w:t xml:space="preserve"> and associated dockets.</w:t>
      </w:r>
      <w:r w:rsidR="00354E2B" w:rsidRPr="00790528">
        <w:rPr>
          <w:vertAlign w:val="superscript"/>
        </w:rPr>
        <w:footnoteReference w:id="3"/>
      </w:r>
      <w:r w:rsidR="007F53CC">
        <w:t xml:space="preserve">  </w:t>
      </w:r>
      <w:r w:rsidR="00354E2B" w:rsidRPr="00790528">
        <w:t>Currently, the Company</w:t>
      </w:r>
      <w:r w:rsidR="00354E2B">
        <w:t xml:space="preserve"> does not specifically classify</w:t>
      </w:r>
      <w:r w:rsidR="00354E2B" w:rsidRPr="00790528">
        <w:t xml:space="preserve"> nor have an authorized </w:t>
      </w:r>
      <w:r w:rsidR="00354E2B">
        <w:t>depreciation rate</w:t>
      </w:r>
      <w:r w:rsidR="00354E2B" w:rsidRPr="00790528">
        <w:t xml:space="preserve"> for the types of equipment required to effectuate its planned Battery Storage Pilot</w:t>
      </w:r>
      <w:r w:rsidR="00354E2B">
        <w:t xml:space="preserve"> or any other energy storage endeavors</w:t>
      </w:r>
      <w:r w:rsidR="00354E2B" w:rsidRPr="00790528">
        <w:t>.</w:t>
      </w:r>
      <w:r>
        <w:t xml:space="preserve">  We have not received any</w:t>
      </w:r>
      <w:r w:rsidR="00354E2B" w:rsidRPr="00AF747C">
        <w:t xml:space="preserve"> public comments on this matter.</w:t>
      </w:r>
      <w:r w:rsidR="007F53CC">
        <w:t xml:space="preserve">  </w:t>
      </w:r>
      <w:r>
        <w:t xml:space="preserve">We have </w:t>
      </w:r>
      <w:r w:rsidR="00354E2B" w:rsidRPr="00790528">
        <w:t>jurisdiction in this matter pursuant to Sections 366.04, 366.05, and 366.06, Florida Statutes (F.S.)</w:t>
      </w:r>
      <w:r w:rsidR="00354E2B">
        <w:t>.</w:t>
      </w:r>
    </w:p>
    <w:p w:rsidR="00136A58" w:rsidRDefault="00136A58" w:rsidP="00136A58">
      <w:pPr>
        <w:pStyle w:val="BodyText"/>
        <w:jc w:val="center"/>
      </w:pPr>
      <w:r>
        <w:rPr>
          <w:u w:val="single"/>
        </w:rPr>
        <w:t>DECISION</w:t>
      </w:r>
    </w:p>
    <w:p w:rsidR="00354E2B" w:rsidRPr="002816D7" w:rsidRDefault="00136A58" w:rsidP="00136A58">
      <w:pPr>
        <w:pStyle w:val="BodyText"/>
        <w:jc w:val="both"/>
      </w:pPr>
      <w:r>
        <w:tab/>
      </w:r>
      <w:r w:rsidRPr="002816D7">
        <w:t>A</w:t>
      </w:r>
      <w:r>
        <w:t xml:space="preserve">s outlined in its petition, </w:t>
      </w:r>
      <w:r w:rsidRPr="002816D7">
        <w:t>FPL does n</w:t>
      </w:r>
      <w:r>
        <w:t>ot currently mai</w:t>
      </w:r>
      <w:r w:rsidR="00354E2B">
        <w:t>ntain a stand-alone classification, nor does it have a specifically-</w:t>
      </w:r>
      <w:r w:rsidR="00354E2B" w:rsidRPr="002816D7">
        <w:t>a</w:t>
      </w:r>
      <w:r w:rsidR="00354E2B" w:rsidRPr="008E331A">
        <w:t>utho</w:t>
      </w:r>
      <w:r w:rsidR="00354E2B">
        <w:t xml:space="preserve">rized depreciation rate, for </w:t>
      </w:r>
      <w:r w:rsidR="00354E2B" w:rsidRPr="008E331A">
        <w:t>investments re</w:t>
      </w:r>
      <w:r w:rsidR="00354E2B">
        <w:t>lated to energy storage</w:t>
      </w:r>
      <w:r w:rsidR="00354E2B" w:rsidRPr="008E331A">
        <w:t>.</w:t>
      </w:r>
      <w:r>
        <w:t xml:space="preserve">  </w:t>
      </w:r>
      <w:r w:rsidR="00354E2B" w:rsidRPr="008E331A">
        <w:t>The Company is requesting authorization to record and depreciate energy storage-relate</w:t>
      </w:r>
      <w:r w:rsidR="00354E2B">
        <w:t>d investments by plant function</w:t>
      </w:r>
      <w:r w:rsidR="00354E2B" w:rsidRPr="008E331A">
        <w:t xml:space="preserve"> in Federal Energy Regulatory Commission (FERC) Account</w:t>
      </w:r>
      <w:r w:rsidR="00354E2B">
        <w:t xml:space="preserve">s; </w:t>
      </w:r>
      <w:r w:rsidR="00354E2B" w:rsidRPr="008E331A">
        <w:t>348 - Energy Storage Equip</w:t>
      </w:r>
      <w:r w:rsidR="00354E2B">
        <w:t xml:space="preserve">ment – Production, </w:t>
      </w:r>
      <w:r w:rsidR="00354E2B" w:rsidRPr="008E331A">
        <w:t>351 - Energy Storage Equipment –</w:t>
      </w:r>
      <w:r w:rsidR="00354E2B">
        <w:t xml:space="preserve"> Transmission, and </w:t>
      </w:r>
      <w:r w:rsidR="00354E2B" w:rsidRPr="008E331A">
        <w:t xml:space="preserve">363 - Energy Storage Equipment – Distribution. </w:t>
      </w:r>
      <w:r w:rsidR="007F53CC">
        <w:t xml:space="preserve"> </w:t>
      </w:r>
      <w:r w:rsidR="00354E2B" w:rsidRPr="008E331A">
        <w:t>These accounts were originally established by the FERC in 2013, by Order No. 784, with the primary purpose of accounting for energy storage investments based on how specific assets are used in providing electric service.</w:t>
      </w:r>
      <w:r w:rsidR="00354E2B" w:rsidRPr="008E331A">
        <w:rPr>
          <w:vertAlign w:val="superscript"/>
        </w:rPr>
        <w:footnoteReference w:id="4"/>
      </w:r>
      <w:r w:rsidR="00354E2B" w:rsidRPr="002816D7">
        <w:t xml:space="preserve"> </w:t>
      </w:r>
    </w:p>
    <w:p w:rsidR="00354E2B" w:rsidRPr="007F53CC" w:rsidRDefault="007F53CC" w:rsidP="00136A58">
      <w:pPr>
        <w:pStyle w:val="BodyText"/>
        <w:jc w:val="both"/>
        <w:rPr>
          <w:u w:val="single"/>
        </w:rPr>
      </w:pPr>
      <w:r>
        <w:tab/>
      </w:r>
      <w:r w:rsidR="00354E2B" w:rsidRPr="007F53CC">
        <w:rPr>
          <w:u w:val="single"/>
        </w:rPr>
        <w:t>Requested Depreciation Parameters</w:t>
      </w:r>
    </w:p>
    <w:p w:rsidR="00354E2B" w:rsidRDefault="007F53CC" w:rsidP="00136A58">
      <w:pPr>
        <w:pStyle w:val="BodyText"/>
        <w:jc w:val="both"/>
      </w:pPr>
      <w:r>
        <w:tab/>
      </w:r>
      <w:r w:rsidR="00354E2B">
        <w:t>The Company has requested approval of</w:t>
      </w:r>
      <w:r w:rsidR="00354E2B" w:rsidRPr="002816D7">
        <w:t xml:space="preserve"> a 10-year average service life (ASL)</w:t>
      </w:r>
      <w:r w:rsidR="00354E2B">
        <w:t>,</w:t>
      </w:r>
      <w:r w:rsidR="00354E2B" w:rsidRPr="002816D7">
        <w:t xml:space="preserve"> and </w:t>
      </w:r>
      <w:r w:rsidR="00354E2B">
        <w:t>a zero percent net salvage</w:t>
      </w:r>
      <w:r w:rsidR="00354E2B" w:rsidRPr="002816D7">
        <w:t xml:space="preserve"> </w:t>
      </w:r>
      <w:r w:rsidR="00354E2B">
        <w:t xml:space="preserve">level </w:t>
      </w:r>
      <w:r w:rsidR="00354E2B" w:rsidRPr="002816D7">
        <w:t>(NS)</w:t>
      </w:r>
      <w:r w:rsidR="00354E2B">
        <w:t xml:space="preserve">, for depreciating its </w:t>
      </w:r>
      <w:r w:rsidR="00354E2B" w:rsidRPr="00086411">
        <w:t>energy storage equipment</w:t>
      </w:r>
      <w:r w:rsidR="00354E2B" w:rsidRPr="002816D7">
        <w:t>. A</w:t>
      </w:r>
      <w:r w:rsidR="00354E2B">
        <w:t>n</w:t>
      </w:r>
      <w:r w:rsidR="00354E2B" w:rsidRPr="002816D7">
        <w:t xml:space="preserve"> annual depreciation rate of 10 percent is computed by using these parameters.</w:t>
      </w:r>
      <w:r w:rsidR="00354E2B" w:rsidRPr="002816D7">
        <w:rPr>
          <w:vertAlign w:val="superscript"/>
        </w:rPr>
        <w:footnoteReference w:id="5"/>
      </w:r>
      <w:r w:rsidR="00354E2B" w:rsidRPr="002816D7">
        <w:t xml:space="preserve"> </w:t>
      </w:r>
    </w:p>
    <w:p w:rsidR="00354E2B" w:rsidRDefault="007F53CC" w:rsidP="00136A58">
      <w:pPr>
        <w:jc w:val="both"/>
      </w:pPr>
      <w:r>
        <w:tab/>
      </w:r>
      <w:r w:rsidR="00354E2B">
        <w:t xml:space="preserve">Industry-wide depreciation data and regulatory guidance regarding energy storage equipment is limited. </w:t>
      </w:r>
      <w:r>
        <w:t xml:space="preserve"> </w:t>
      </w:r>
      <w:r w:rsidR="00354E2B">
        <w:t xml:space="preserve">However, through data request responses, </w:t>
      </w:r>
      <w:r w:rsidR="00354E2B" w:rsidRPr="002816D7">
        <w:t>FPL provided documentation de</w:t>
      </w:r>
      <w:r w:rsidR="00354E2B">
        <w:t>tailing regulatory approvals of ASL and NS values similar to its proposals that are</w:t>
      </w:r>
      <w:r w:rsidR="00354E2B" w:rsidRPr="002816D7">
        <w:t xml:space="preserve"> applicab</w:t>
      </w:r>
      <w:r w:rsidR="00354E2B">
        <w:t>le to other</w:t>
      </w:r>
      <w:r w:rsidR="00354E2B" w:rsidRPr="002816D7">
        <w:t xml:space="preserve"> electric utilities</w:t>
      </w:r>
      <w:r w:rsidR="00354E2B">
        <w:t xml:space="preserve"> operating in the United States</w:t>
      </w:r>
      <w:r w:rsidR="00354E2B" w:rsidRPr="002816D7">
        <w:t>; namely</w:t>
      </w:r>
      <w:r w:rsidR="00354E2B">
        <w:t>,</w:t>
      </w:r>
      <w:r w:rsidR="00354E2B" w:rsidRPr="002816D7">
        <w:t xml:space="preserve"> Consolidated Edison of New York (ConEd) and Pacific Gas &amp; Electric (PG&amp;E).</w:t>
      </w:r>
      <w:r w:rsidR="00354E2B" w:rsidRPr="002816D7">
        <w:rPr>
          <w:vertAlign w:val="superscript"/>
        </w:rPr>
        <w:footnoteReference w:id="6"/>
      </w:r>
      <w:r w:rsidR="00354E2B" w:rsidRPr="002816D7">
        <w:t xml:space="preserve"> </w:t>
      </w:r>
      <w:r>
        <w:t xml:space="preserve"> </w:t>
      </w:r>
      <w:r w:rsidR="00354E2B" w:rsidRPr="002816D7">
        <w:t>With res</w:t>
      </w:r>
      <w:r w:rsidR="00354E2B">
        <w:t>pect to the ConEd decision, the</w:t>
      </w:r>
      <w:r w:rsidR="00354E2B" w:rsidRPr="002816D7">
        <w:t xml:space="preserve"> New York Public </w:t>
      </w:r>
      <w:r w:rsidR="00354E2B">
        <w:t>Service Commission authorized an</w:t>
      </w:r>
      <w:r w:rsidR="00354E2B" w:rsidRPr="002816D7">
        <w:t xml:space="preserve"> ASL of either 10 or 15 years (depending on the specific project), and a zero percent NS level.</w:t>
      </w:r>
      <w:r w:rsidR="00354E2B" w:rsidRPr="002816D7">
        <w:rPr>
          <w:vertAlign w:val="superscript"/>
        </w:rPr>
        <w:footnoteReference w:id="7"/>
      </w:r>
      <w:r w:rsidR="00354E2B" w:rsidRPr="002816D7">
        <w:t xml:space="preserve"> </w:t>
      </w:r>
      <w:r>
        <w:t xml:space="preserve"> </w:t>
      </w:r>
      <w:r w:rsidR="00354E2B">
        <w:t>T</w:t>
      </w:r>
      <w:r w:rsidR="00354E2B" w:rsidRPr="002816D7">
        <w:t>he California Public Utilit</w:t>
      </w:r>
      <w:r w:rsidR="00E85A68">
        <w:t>ies</w:t>
      </w:r>
      <w:r w:rsidR="00354E2B" w:rsidRPr="002816D7">
        <w:t xml:space="preserve"> Commission authorized an ASL of 15 years, and a zero percent NS level</w:t>
      </w:r>
      <w:r w:rsidR="00354E2B">
        <w:t xml:space="preserve"> applicable to PG&amp;E’s energy storage equipment</w:t>
      </w:r>
      <w:r w:rsidR="00354E2B" w:rsidRPr="002816D7">
        <w:t>.</w:t>
      </w:r>
      <w:r w:rsidR="00354E2B" w:rsidRPr="002816D7">
        <w:rPr>
          <w:vertAlign w:val="superscript"/>
        </w:rPr>
        <w:footnoteReference w:id="8"/>
      </w:r>
    </w:p>
    <w:p w:rsidR="009706A2" w:rsidRDefault="009706A2" w:rsidP="00136A58">
      <w:pPr>
        <w:jc w:val="both"/>
      </w:pPr>
    </w:p>
    <w:p w:rsidR="00354E2B" w:rsidRDefault="007F53CC" w:rsidP="00136A58">
      <w:pPr>
        <w:pStyle w:val="BodyText"/>
        <w:jc w:val="both"/>
      </w:pPr>
      <w:r>
        <w:lastRenderedPageBreak/>
        <w:tab/>
      </w:r>
      <w:r w:rsidR="00354E2B">
        <w:t xml:space="preserve">Further supporting its request, FPL held </w:t>
      </w:r>
      <w:r w:rsidR="00354E2B" w:rsidRPr="002816D7">
        <w:t>consultations with its engineering subject matter experts</w:t>
      </w:r>
      <w:r w:rsidR="00354E2B">
        <w:t>, as well as</w:t>
      </w:r>
      <w:r w:rsidR="00354E2B" w:rsidRPr="002816D7">
        <w:t xml:space="preserve"> energy storage equipment manufacture</w:t>
      </w:r>
      <w:r w:rsidR="00354E2B">
        <w:t>r</w:t>
      </w:r>
      <w:r w:rsidR="00354E2B" w:rsidRPr="002816D7">
        <w:t>s</w:t>
      </w:r>
      <w:r w:rsidR="00354E2B">
        <w:t>, to arrive</w:t>
      </w:r>
      <w:r w:rsidR="00354E2B" w:rsidRPr="003202A7">
        <w:t xml:space="preserve"> at the proposed 10-year ASL a</w:t>
      </w:r>
      <w:r w:rsidR="00354E2B">
        <w:t>nd zero percent NS level</w:t>
      </w:r>
      <w:r w:rsidR="00354E2B" w:rsidRPr="002816D7">
        <w:t xml:space="preserve">. </w:t>
      </w:r>
      <w:r>
        <w:t xml:space="preserve"> </w:t>
      </w:r>
      <w:r w:rsidR="00354E2B" w:rsidRPr="002816D7">
        <w:t>FPL contends its proposal is reasonable given the newness of the technology and a</w:t>
      </w:r>
      <w:r w:rsidR="00354E2B">
        <w:t>n</w:t>
      </w:r>
      <w:r w:rsidR="00354E2B" w:rsidRPr="002816D7">
        <w:t xml:space="preserve"> industry-wide lack of available retirement and salvage data. </w:t>
      </w:r>
    </w:p>
    <w:p w:rsidR="00354E2B" w:rsidRDefault="007F53CC" w:rsidP="00136A58">
      <w:pPr>
        <w:pStyle w:val="BodyText"/>
        <w:jc w:val="both"/>
      </w:pPr>
      <w:r>
        <w:tab/>
      </w:r>
      <w:r w:rsidR="00354E2B" w:rsidRPr="002816D7">
        <w:t>Given the fact that utility-scale energy storag</w:t>
      </w:r>
      <w:r w:rsidR="00354E2B">
        <w:t>e equipment/technology is in its infancy phase of</w:t>
      </w:r>
      <w:r w:rsidR="00354E2B" w:rsidRPr="002816D7">
        <w:t xml:space="preserve"> development and application</w:t>
      </w:r>
      <w:r w:rsidR="00354E2B">
        <w:t>,</w:t>
      </w:r>
      <w:r w:rsidR="00354E2B" w:rsidRPr="002816D7">
        <w:t xml:space="preserve"> </w:t>
      </w:r>
      <w:r>
        <w:t xml:space="preserve">we find that </w:t>
      </w:r>
      <w:r w:rsidR="00354E2B" w:rsidRPr="002816D7">
        <w:t>an ASL at the bottom</w:t>
      </w:r>
      <w:r w:rsidR="00354E2B">
        <w:t>-end of a 10- to 15-year range represents a</w:t>
      </w:r>
      <w:r w:rsidR="00354E2B" w:rsidRPr="002816D7">
        <w:t xml:space="preserve"> measured</w:t>
      </w:r>
      <w:r w:rsidR="00354E2B">
        <w:t xml:space="preserve"> and reasonable</w:t>
      </w:r>
      <w:r w:rsidR="00354E2B" w:rsidRPr="002816D7">
        <w:t xml:space="preserve"> approach</w:t>
      </w:r>
      <w:r w:rsidR="00354E2B">
        <w:t xml:space="preserve"> in life estimation</w:t>
      </w:r>
      <w:r w:rsidR="00354E2B" w:rsidRPr="002816D7">
        <w:t xml:space="preserve">. </w:t>
      </w:r>
      <w:r>
        <w:t xml:space="preserve"> </w:t>
      </w:r>
      <w:r w:rsidR="00354E2B" w:rsidRPr="002816D7">
        <w:t xml:space="preserve">Further, </w:t>
      </w:r>
      <w:r>
        <w:t>we</w:t>
      </w:r>
      <w:r w:rsidR="00354E2B" w:rsidRPr="002816D7">
        <w:t xml:space="preserve"> will have future opportunities</w:t>
      </w:r>
      <w:r w:rsidR="00354E2B">
        <w:t xml:space="preserve"> </w:t>
      </w:r>
      <w:r>
        <w:t xml:space="preserve">to </w:t>
      </w:r>
      <w:r w:rsidRPr="002816D7">
        <w:t xml:space="preserve">evaluate </w:t>
      </w:r>
      <w:r>
        <w:t xml:space="preserve">FPL’s </w:t>
      </w:r>
      <w:r w:rsidRPr="002816D7">
        <w:t>deprecia</w:t>
      </w:r>
      <w:r>
        <w:t>tion data associated with</w:t>
      </w:r>
      <w:r w:rsidRPr="002816D7">
        <w:t xml:space="preserve"> use</w:t>
      </w:r>
      <w:r>
        <w:t>ful lives and net salvage levels and order</w:t>
      </w:r>
      <w:r w:rsidRPr="002816D7">
        <w:t xml:space="preserve"> modification</w:t>
      </w:r>
      <w:r>
        <w:t>s</w:t>
      </w:r>
      <w:r w:rsidRPr="002816D7">
        <w:t xml:space="preserve"> as appropriate</w:t>
      </w:r>
      <w:r w:rsidR="008730D4">
        <w:t>.</w:t>
      </w:r>
      <w:r w:rsidR="00354E2B" w:rsidRPr="002816D7">
        <w:rPr>
          <w:vertAlign w:val="superscript"/>
        </w:rPr>
        <w:footnoteReference w:id="9"/>
      </w:r>
      <w:r w:rsidR="008730D4">
        <w:t xml:space="preserve">  </w:t>
      </w:r>
      <w:r>
        <w:t xml:space="preserve">We also find that </w:t>
      </w:r>
      <w:r w:rsidR="00354E2B" w:rsidRPr="004D7D6A">
        <w:t>the Company’s</w:t>
      </w:r>
      <w:r w:rsidR="00354E2B">
        <w:t xml:space="preserve"> account</w:t>
      </w:r>
      <w:r w:rsidR="00354E2B" w:rsidRPr="004D7D6A">
        <w:t xml:space="preserve"> classifications outlined in its petiti</w:t>
      </w:r>
      <w:r w:rsidR="00354E2B">
        <w:t>on, to which any newly-established depreciation rate would apply, comport with recent</w:t>
      </w:r>
      <w:r w:rsidR="00354E2B" w:rsidRPr="004D7D6A">
        <w:t xml:space="preserve"> </w:t>
      </w:r>
      <w:r w:rsidR="00354E2B" w:rsidRPr="00351DC8">
        <w:t xml:space="preserve">accounting guidance </w:t>
      </w:r>
      <w:r w:rsidR="00354E2B">
        <w:t xml:space="preserve">from the </w:t>
      </w:r>
      <w:r w:rsidR="00354E2B" w:rsidRPr="004D7D6A">
        <w:t>FERC.</w:t>
      </w:r>
      <w:r w:rsidR="008730D4">
        <w:t xml:space="preserve">  Further, a</w:t>
      </w:r>
      <w:r w:rsidR="00354E2B" w:rsidRPr="003B6A27">
        <w:t xml:space="preserve">ny depreciation rate </w:t>
      </w:r>
      <w:r w:rsidR="008730D4">
        <w:t xml:space="preserve">we approve here </w:t>
      </w:r>
      <w:r w:rsidR="00354E2B" w:rsidRPr="003B6A27">
        <w:t xml:space="preserve">will initially </w:t>
      </w:r>
      <w:r w:rsidR="008730D4">
        <w:t xml:space="preserve">only </w:t>
      </w:r>
      <w:r w:rsidR="00354E2B" w:rsidRPr="003B6A27">
        <w:t>be used for accounting purposes and</w:t>
      </w:r>
      <w:r w:rsidR="00354E2B">
        <w:t xml:space="preserve"> will</w:t>
      </w:r>
      <w:r w:rsidR="00354E2B" w:rsidRPr="003B6A27">
        <w:t xml:space="preserve"> have no impact on base rates during the term of the Company’s 2016 Settlement</w:t>
      </w:r>
      <w:r w:rsidR="008730D4">
        <w:t xml:space="preserve"> Agreement</w:t>
      </w:r>
      <w:r w:rsidR="00354E2B" w:rsidRPr="003B6A27">
        <w:t>.</w:t>
      </w:r>
      <w:r w:rsidR="00354E2B">
        <w:rPr>
          <w:rStyle w:val="FootnoteReference"/>
        </w:rPr>
        <w:footnoteReference w:id="10"/>
      </w:r>
    </w:p>
    <w:p w:rsidR="00354E2B" w:rsidRPr="003B6A27" w:rsidRDefault="008730D4" w:rsidP="00136A58">
      <w:pPr>
        <w:pStyle w:val="BodyText"/>
        <w:jc w:val="both"/>
      </w:pPr>
      <w:r>
        <w:tab/>
      </w:r>
      <w:r w:rsidR="00354E2B">
        <w:t xml:space="preserve">For the reasons outlined </w:t>
      </w:r>
      <w:r>
        <w:t xml:space="preserve">above, we hereby approve </w:t>
      </w:r>
      <w:r w:rsidR="00354E2B" w:rsidRPr="00A56425">
        <w:t>an annual depreciation rate of 10 percent</w:t>
      </w:r>
      <w:r w:rsidR="00354E2B">
        <w:t>,</w:t>
      </w:r>
      <w:r w:rsidR="00354E2B" w:rsidRPr="00A56425">
        <w:t xml:space="preserve"> </w:t>
      </w:r>
      <w:r w:rsidR="00354E2B">
        <w:t>applicable to FPL’s newly-established Account</w:t>
      </w:r>
      <w:r w:rsidR="00354E2B" w:rsidRPr="00A56425">
        <w:t xml:space="preserve"> 348 - Energy</w:t>
      </w:r>
      <w:r w:rsidR="00354E2B">
        <w:t xml:space="preserve"> Storage Equipment – Production,</w:t>
      </w:r>
      <w:r w:rsidR="00354E2B" w:rsidRPr="00A56425">
        <w:t xml:space="preserve"> </w:t>
      </w:r>
      <w:r w:rsidR="00354E2B">
        <w:t xml:space="preserve">Account </w:t>
      </w:r>
      <w:r w:rsidR="00354E2B" w:rsidRPr="00A56425">
        <w:t>351 - Energy Storage Equipment – Transm</w:t>
      </w:r>
      <w:r w:rsidR="00354E2B">
        <w:t xml:space="preserve">ission, and </w:t>
      </w:r>
      <w:r w:rsidR="00354E2B" w:rsidRPr="00A56425">
        <w:t>Account 363 - Energy Storage Equipment – Distribution.</w:t>
      </w:r>
    </w:p>
    <w:p w:rsidR="00354E2B" w:rsidRDefault="008730D4" w:rsidP="00136A58">
      <w:pPr>
        <w:pStyle w:val="BodyText"/>
        <w:jc w:val="both"/>
      </w:pPr>
      <w:r>
        <w:tab/>
      </w:r>
      <w:r w:rsidR="00354E2B">
        <w:t xml:space="preserve">FPL has </w:t>
      </w:r>
      <w:r>
        <w:t xml:space="preserve">also </w:t>
      </w:r>
      <w:r w:rsidR="00354E2B">
        <w:t>requested authoriz</w:t>
      </w:r>
      <w:r>
        <w:t>ation to</w:t>
      </w:r>
      <w:r w:rsidR="00354E2B">
        <w:t xml:space="preserve"> transfer of certain investment and corresponding reserve amounts related to energy storage equipment</w:t>
      </w:r>
      <w:r w:rsidR="00354E2B" w:rsidRPr="00EB0461">
        <w:t xml:space="preserve"> </w:t>
      </w:r>
      <w:r w:rsidR="00354E2B">
        <w:t>presently</w:t>
      </w:r>
      <w:r w:rsidR="00354E2B" w:rsidRPr="00EB0461">
        <w:t xml:space="preserve"> on FPL’s books</w:t>
      </w:r>
      <w:r w:rsidR="00354E2B">
        <w:t>.</w:t>
      </w:r>
      <w:r w:rsidR="00354E2B" w:rsidRPr="00C26DD3">
        <w:rPr>
          <w:vertAlign w:val="superscript"/>
        </w:rPr>
        <w:footnoteReference w:id="11"/>
      </w:r>
      <w:r>
        <w:t xml:space="preserve">  </w:t>
      </w:r>
      <w:r w:rsidR="00354E2B">
        <w:t>These investments, which are listed in Table</w:t>
      </w:r>
      <w:r w:rsidR="009706A2">
        <w:t xml:space="preserve"> </w:t>
      </w:r>
      <w:r w:rsidR="00354E2B">
        <w:t>1</w:t>
      </w:r>
      <w:r w:rsidR="009706A2">
        <w:t xml:space="preserve"> </w:t>
      </w:r>
      <w:r w:rsidR="00354E2B">
        <w:t xml:space="preserve">below, are FPL’s </w:t>
      </w:r>
      <w:r w:rsidR="00354E2B" w:rsidRPr="00A37F87">
        <w:t>Community Storage facilities</w:t>
      </w:r>
      <w:r w:rsidR="00354E2B">
        <w:t xml:space="preserve">, Florida Bay Everglades National Park facilities, Miami Open Tennis Stadium facilities, and </w:t>
      </w:r>
      <w:r w:rsidR="00354E2B" w:rsidRPr="00A37F87">
        <w:t>South West</w:t>
      </w:r>
      <w:r w:rsidR="00354E2B">
        <w:t xml:space="preserve"> facilities. </w:t>
      </w:r>
      <w:r>
        <w:t xml:space="preserve"> </w:t>
      </w:r>
      <w:r w:rsidR="00354E2B">
        <w:t xml:space="preserve">These assets are currently recorded </w:t>
      </w:r>
      <w:r>
        <w:t>in</w:t>
      </w:r>
      <w:r w:rsidR="00354E2B">
        <w:t xml:space="preserve"> FERC Account 362 – Station Equipment, and are being depreciated at the authorized rate of 1.9 percent for </w:t>
      </w:r>
      <w:r>
        <w:t xml:space="preserve">that </w:t>
      </w:r>
      <w:r w:rsidR="00354E2B">
        <w:t>account.</w:t>
      </w:r>
      <w:r w:rsidR="00354E2B">
        <w:rPr>
          <w:rStyle w:val="FootnoteReference"/>
        </w:rPr>
        <w:footnoteReference w:id="12"/>
      </w:r>
      <w:r w:rsidR="00354E2B">
        <w:t xml:space="preserve"> </w:t>
      </w:r>
    </w:p>
    <w:p w:rsidR="00354E2B" w:rsidRDefault="008730D4" w:rsidP="00136A58">
      <w:pPr>
        <w:pStyle w:val="BodyText"/>
        <w:jc w:val="both"/>
        <w:rPr>
          <w:bCs/>
          <w:iCs/>
        </w:rPr>
      </w:pPr>
      <w:r>
        <w:tab/>
      </w:r>
      <w:r w:rsidR="00354E2B">
        <w:t>The energy storage equipment listed in Table 1 was deployed</w:t>
      </w:r>
      <w:r w:rsidR="00354E2B">
        <w:rPr>
          <w:bCs/>
          <w:iCs/>
        </w:rPr>
        <w:t xml:space="preserve"> as part of the Company’s participation in the “White House Summit on Scaling Renewable Energy and Stor</w:t>
      </w:r>
      <w:r w:rsidR="00354E2B" w:rsidRPr="00B5080F">
        <w:rPr>
          <w:bCs/>
          <w:iCs/>
        </w:rPr>
        <w:t>age</w:t>
      </w:r>
      <w:r w:rsidR="00354E2B">
        <w:rPr>
          <w:bCs/>
          <w:iCs/>
        </w:rPr>
        <w:t>.”</w:t>
      </w:r>
      <w:r w:rsidR="00354E2B" w:rsidRPr="00B5080F">
        <w:rPr>
          <w:bCs/>
          <w:iCs/>
        </w:rPr>
        <w:t xml:space="preserve"> </w:t>
      </w:r>
      <w:r>
        <w:rPr>
          <w:bCs/>
          <w:iCs/>
        </w:rPr>
        <w:t xml:space="preserve"> </w:t>
      </w:r>
      <w:r w:rsidR="00354E2B">
        <w:rPr>
          <w:bCs/>
          <w:iCs/>
        </w:rPr>
        <w:t>The Summit,</w:t>
      </w:r>
      <w:r w:rsidR="00354E2B" w:rsidRPr="005B26BF">
        <w:rPr>
          <w:bCs/>
          <w:iCs/>
        </w:rPr>
        <w:t xml:space="preserve"> </w:t>
      </w:r>
      <w:r w:rsidR="00354E2B">
        <w:rPr>
          <w:bCs/>
          <w:iCs/>
        </w:rPr>
        <w:t xml:space="preserve">which was </w:t>
      </w:r>
      <w:r w:rsidR="00354E2B" w:rsidRPr="00070DCF">
        <w:rPr>
          <w:bCs/>
          <w:iCs/>
        </w:rPr>
        <w:t>held</w:t>
      </w:r>
      <w:r w:rsidR="00354E2B">
        <w:rPr>
          <w:bCs/>
          <w:iCs/>
        </w:rPr>
        <w:t xml:space="preserve"> in 2016, was essentially for the purpose of exchanging ideas and exploring </w:t>
      </w:r>
      <w:r w:rsidR="00354E2B" w:rsidRPr="00070DCF">
        <w:rPr>
          <w:bCs/>
          <w:iCs/>
        </w:rPr>
        <w:t>w</w:t>
      </w:r>
      <w:r w:rsidR="00354E2B">
        <w:rPr>
          <w:bCs/>
          <w:iCs/>
        </w:rPr>
        <w:t>ays</w:t>
      </w:r>
      <w:r w:rsidR="00354E2B" w:rsidRPr="00070DCF">
        <w:rPr>
          <w:bCs/>
          <w:iCs/>
        </w:rPr>
        <w:t xml:space="preserve"> </w:t>
      </w:r>
      <w:r w:rsidR="00354E2B">
        <w:rPr>
          <w:bCs/>
          <w:iCs/>
        </w:rPr>
        <w:t>to “scale-</w:t>
      </w:r>
      <w:r w:rsidR="00354E2B" w:rsidRPr="00070DCF">
        <w:rPr>
          <w:bCs/>
          <w:iCs/>
        </w:rPr>
        <w:t>up</w:t>
      </w:r>
      <w:r w:rsidR="00354E2B">
        <w:rPr>
          <w:bCs/>
          <w:iCs/>
        </w:rPr>
        <w:t>” and/or “</w:t>
      </w:r>
      <w:r w:rsidR="00354E2B" w:rsidRPr="00070DCF">
        <w:rPr>
          <w:bCs/>
          <w:iCs/>
        </w:rPr>
        <w:t>grid-scale</w:t>
      </w:r>
      <w:r w:rsidR="00354E2B">
        <w:rPr>
          <w:bCs/>
          <w:iCs/>
        </w:rPr>
        <w:t>”</w:t>
      </w:r>
      <w:r w:rsidR="00354E2B" w:rsidRPr="00070DCF">
        <w:rPr>
          <w:bCs/>
          <w:iCs/>
        </w:rPr>
        <w:t xml:space="preserve"> energy storage technologies</w:t>
      </w:r>
      <w:r w:rsidR="00354E2B">
        <w:rPr>
          <w:bCs/>
          <w:iCs/>
        </w:rPr>
        <w:t xml:space="preserve">. </w:t>
      </w:r>
      <w:r>
        <w:rPr>
          <w:bCs/>
          <w:iCs/>
        </w:rPr>
        <w:t xml:space="preserve"> We </w:t>
      </w:r>
      <w:r w:rsidR="00354E2B">
        <w:rPr>
          <w:bCs/>
          <w:iCs/>
        </w:rPr>
        <w:t xml:space="preserve">previously reviewed a portion of these energy storage investments in </w:t>
      </w:r>
      <w:r>
        <w:rPr>
          <w:bCs/>
          <w:iCs/>
        </w:rPr>
        <w:t xml:space="preserve">FPL’s last rate case, </w:t>
      </w:r>
      <w:r w:rsidR="00354E2B">
        <w:rPr>
          <w:bCs/>
          <w:iCs/>
        </w:rPr>
        <w:t xml:space="preserve">Docket No. 160021-EI, </w:t>
      </w:r>
      <w:r w:rsidR="00354E2B" w:rsidRPr="008730D4">
        <w:rPr>
          <w:bCs/>
          <w:iCs/>
          <w:u w:val="single"/>
        </w:rPr>
        <w:t>In re: Petition for rate increase by Florida Power &amp; Light Company</w:t>
      </w:r>
      <w:r w:rsidR="00354E2B" w:rsidRPr="00942E35">
        <w:rPr>
          <w:bCs/>
          <w:iCs/>
        </w:rPr>
        <w:t>.</w:t>
      </w:r>
      <w:r w:rsidR="00354E2B">
        <w:rPr>
          <w:rStyle w:val="FootnoteReference"/>
          <w:bCs/>
          <w:iCs/>
        </w:rPr>
        <w:footnoteReference w:id="13"/>
      </w:r>
    </w:p>
    <w:p w:rsidR="00354E2B" w:rsidRDefault="008730D4" w:rsidP="00136A58">
      <w:pPr>
        <w:pStyle w:val="BodyText"/>
        <w:jc w:val="both"/>
        <w:rPr>
          <w:bCs/>
          <w:iCs/>
        </w:rPr>
      </w:pPr>
      <w:r>
        <w:rPr>
          <w:bCs/>
          <w:iCs/>
        </w:rPr>
        <w:tab/>
      </w:r>
      <w:r w:rsidR="00354E2B">
        <w:rPr>
          <w:bCs/>
          <w:iCs/>
        </w:rPr>
        <w:t xml:space="preserve">FPL’s methodology for determining its proposed plant investment apportionments from Account 362 </w:t>
      </w:r>
      <w:r w:rsidR="00354E2B" w:rsidRPr="00EE4B24">
        <w:rPr>
          <w:bCs/>
          <w:iCs/>
        </w:rPr>
        <w:t>-</w:t>
      </w:r>
      <w:r w:rsidR="00354E2B">
        <w:rPr>
          <w:bCs/>
          <w:iCs/>
        </w:rPr>
        <w:t xml:space="preserve"> Station Equipment to </w:t>
      </w:r>
      <w:r w:rsidR="00354E2B" w:rsidRPr="00CE40FD">
        <w:rPr>
          <w:bCs/>
          <w:iCs/>
        </w:rPr>
        <w:t>Account 348 - Energy Stora</w:t>
      </w:r>
      <w:r w:rsidR="00354E2B">
        <w:rPr>
          <w:bCs/>
          <w:iCs/>
        </w:rPr>
        <w:t xml:space="preserve">ge Equipment – Production and </w:t>
      </w:r>
      <w:r w:rsidR="00354E2B" w:rsidRPr="00CE40FD">
        <w:rPr>
          <w:bCs/>
          <w:iCs/>
        </w:rPr>
        <w:t>Account 363 - Energy S</w:t>
      </w:r>
      <w:r w:rsidR="00354E2B">
        <w:rPr>
          <w:bCs/>
          <w:iCs/>
        </w:rPr>
        <w:t xml:space="preserve">torage Equipment – Distribution, focused on how the assets </w:t>
      </w:r>
      <w:r>
        <w:rPr>
          <w:bCs/>
          <w:iCs/>
        </w:rPr>
        <w:t>we</w:t>
      </w:r>
      <w:r w:rsidR="00354E2B">
        <w:rPr>
          <w:bCs/>
          <w:iCs/>
        </w:rPr>
        <w:t>re utilized on the Company’s system.</w:t>
      </w:r>
      <w:r>
        <w:rPr>
          <w:bCs/>
          <w:iCs/>
        </w:rPr>
        <w:t xml:space="preserve">  </w:t>
      </w:r>
      <w:r w:rsidR="00354E2B">
        <w:rPr>
          <w:bCs/>
          <w:iCs/>
        </w:rPr>
        <w:t xml:space="preserve">Specifically, if the asset is used for peak shaving, it’s classified as a production investment and recorded to account 348. </w:t>
      </w:r>
      <w:r>
        <w:rPr>
          <w:bCs/>
          <w:iCs/>
        </w:rPr>
        <w:t xml:space="preserve"> </w:t>
      </w:r>
      <w:r w:rsidR="00354E2B">
        <w:rPr>
          <w:bCs/>
          <w:iCs/>
        </w:rPr>
        <w:t xml:space="preserve">If an asset is used for frequency response, </w:t>
      </w:r>
      <w:r w:rsidR="00354E2B">
        <w:rPr>
          <w:bCs/>
          <w:iCs/>
        </w:rPr>
        <w:lastRenderedPageBreak/>
        <w:t xml:space="preserve">it’s classified as a transmission investment and recorded to account 351. </w:t>
      </w:r>
      <w:r>
        <w:rPr>
          <w:bCs/>
          <w:iCs/>
        </w:rPr>
        <w:t xml:space="preserve"> </w:t>
      </w:r>
      <w:r w:rsidR="00354E2B">
        <w:rPr>
          <w:bCs/>
          <w:iCs/>
        </w:rPr>
        <w:t xml:space="preserve">Assets that provide reliable energy back up can be classified as a distribution investment and recorded to account 363. </w:t>
      </w:r>
      <w:r w:rsidR="00696DA8">
        <w:rPr>
          <w:bCs/>
          <w:iCs/>
        </w:rPr>
        <w:t xml:space="preserve"> </w:t>
      </w:r>
      <w:r w:rsidR="00354E2B">
        <w:rPr>
          <w:bCs/>
          <w:iCs/>
        </w:rPr>
        <w:t>If an asset serves roles across multiple functions, it is allocated on a percentage basis (by</w:t>
      </w:r>
      <w:r w:rsidR="00354E2B" w:rsidRPr="009E3E7C">
        <w:rPr>
          <w:bCs/>
          <w:iCs/>
        </w:rPr>
        <w:t xml:space="preserve"> usage)</w:t>
      </w:r>
      <w:r w:rsidR="00354E2B">
        <w:rPr>
          <w:bCs/>
          <w:iCs/>
        </w:rPr>
        <w:t xml:space="preserve"> accordingly.</w:t>
      </w:r>
    </w:p>
    <w:p w:rsidR="00354E2B" w:rsidRDefault="00696DA8" w:rsidP="00136A58">
      <w:pPr>
        <w:pStyle w:val="BodyText"/>
        <w:jc w:val="both"/>
        <w:rPr>
          <w:bCs/>
          <w:iCs/>
        </w:rPr>
      </w:pPr>
      <w:r>
        <w:rPr>
          <w:bCs/>
          <w:iCs/>
        </w:rPr>
        <w:tab/>
      </w:r>
      <w:r w:rsidR="00354E2B">
        <w:rPr>
          <w:bCs/>
          <w:iCs/>
        </w:rPr>
        <w:t>Table 1 below shows the total amount of energy storage equipment investments, as well as the associated depreciation reserves</w:t>
      </w:r>
      <w:r>
        <w:rPr>
          <w:bCs/>
          <w:iCs/>
        </w:rPr>
        <w:t>,</w:t>
      </w:r>
      <w:r w:rsidR="00354E2B">
        <w:rPr>
          <w:bCs/>
          <w:iCs/>
        </w:rPr>
        <w:t xml:space="preserve"> FPL currently has recorded on its books.</w:t>
      </w:r>
    </w:p>
    <w:tbl>
      <w:tblPr>
        <w:tblStyle w:val="TableGrid"/>
        <w:tblW w:w="0" w:type="auto"/>
        <w:tblLook w:val="04A0" w:firstRow="1" w:lastRow="0" w:firstColumn="1" w:lastColumn="0" w:noHBand="0" w:noVBand="1"/>
      </w:tblPr>
      <w:tblGrid>
        <w:gridCol w:w="3192"/>
        <w:gridCol w:w="3192"/>
        <w:gridCol w:w="3192"/>
      </w:tblGrid>
      <w:tr w:rsidR="00354E2B" w:rsidRPr="00F53814" w:rsidTr="008A3397">
        <w:trPr>
          <w:trHeight w:val="359"/>
        </w:trPr>
        <w:tc>
          <w:tcPr>
            <w:tcW w:w="9576" w:type="dxa"/>
            <w:gridSpan w:val="3"/>
            <w:tcBorders>
              <w:top w:val="nil"/>
              <w:left w:val="nil"/>
              <w:bottom w:val="nil"/>
              <w:right w:val="nil"/>
            </w:tcBorders>
            <w:vAlign w:val="bottom"/>
          </w:tcPr>
          <w:p w:rsidR="00354E2B" w:rsidRPr="00F53814" w:rsidRDefault="00354E2B" w:rsidP="009706A2">
            <w:pPr>
              <w:jc w:val="center"/>
              <w:rPr>
                <w:sz w:val="22"/>
                <w:szCs w:val="22"/>
              </w:rPr>
            </w:pPr>
            <w:r w:rsidRPr="00F53814">
              <w:rPr>
                <w:sz w:val="22"/>
                <w:szCs w:val="22"/>
              </w:rPr>
              <w:t>Table 1</w:t>
            </w:r>
          </w:p>
        </w:tc>
      </w:tr>
      <w:tr w:rsidR="00354E2B" w:rsidRPr="00F53814" w:rsidTr="008A3397">
        <w:trPr>
          <w:trHeight w:val="359"/>
        </w:trPr>
        <w:tc>
          <w:tcPr>
            <w:tcW w:w="9576" w:type="dxa"/>
            <w:gridSpan w:val="3"/>
            <w:tcBorders>
              <w:top w:val="nil"/>
              <w:left w:val="nil"/>
              <w:right w:val="nil"/>
            </w:tcBorders>
            <w:vAlign w:val="bottom"/>
          </w:tcPr>
          <w:p w:rsidR="00354E2B" w:rsidRPr="00F53814" w:rsidRDefault="00354E2B" w:rsidP="00696DA8">
            <w:pPr>
              <w:jc w:val="center"/>
              <w:rPr>
                <w:sz w:val="22"/>
                <w:szCs w:val="22"/>
              </w:rPr>
            </w:pPr>
            <w:r w:rsidRPr="00F53814">
              <w:rPr>
                <w:sz w:val="22"/>
                <w:szCs w:val="22"/>
              </w:rPr>
              <w:t xml:space="preserve">Account 362 </w:t>
            </w:r>
            <w:r w:rsidRPr="00F53814">
              <w:rPr>
                <w:bCs/>
                <w:iCs/>
                <w:sz w:val="22"/>
                <w:szCs w:val="22"/>
              </w:rPr>
              <w:t>-</w:t>
            </w:r>
            <w:r w:rsidRPr="00F53814">
              <w:rPr>
                <w:sz w:val="22"/>
                <w:szCs w:val="22"/>
              </w:rPr>
              <w:t xml:space="preserve"> Station Equipment</w:t>
            </w:r>
          </w:p>
        </w:tc>
      </w:tr>
      <w:tr w:rsidR="00354E2B" w:rsidRPr="00F53814" w:rsidTr="008A3397">
        <w:trPr>
          <w:trHeight w:val="629"/>
        </w:trPr>
        <w:tc>
          <w:tcPr>
            <w:tcW w:w="3192" w:type="dxa"/>
            <w:vAlign w:val="center"/>
          </w:tcPr>
          <w:p w:rsidR="00354E2B" w:rsidRPr="00F53814" w:rsidRDefault="00354E2B" w:rsidP="00136A58">
            <w:pPr>
              <w:jc w:val="both"/>
              <w:rPr>
                <w:sz w:val="22"/>
                <w:szCs w:val="22"/>
              </w:rPr>
            </w:pPr>
            <w:r w:rsidRPr="00F53814">
              <w:rPr>
                <w:sz w:val="22"/>
                <w:szCs w:val="22"/>
              </w:rPr>
              <w:t>Energy Storage Assets</w:t>
            </w:r>
          </w:p>
        </w:tc>
        <w:tc>
          <w:tcPr>
            <w:tcW w:w="3192" w:type="dxa"/>
            <w:vAlign w:val="center"/>
          </w:tcPr>
          <w:p w:rsidR="00354E2B" w:rsidRPr="00F53814" w:rsidRDefault="00354E2B" w:rsidP="00136A58">
            <w:pPr>
              <w:jc w:val="both"/>
              <w:rPr>
                <w:sz w:val="22"/>
                <w:szCs w:val="22"/>
              </w:rPr>
            </w:pPr>
            <w:r w:rsidRPr="00F53814">
              <w:rPr>
                <w:sz w:val="22"/>
                <w:szCs w:val="22"/>
              </w:rPr>
              <w:t>Plant Investment</w:t>
            </w:r>
          </w:p>
          <w:p w:rsidR="00354E2B" w:rsidRPr="00F53814" w:rsidRDefault="00354E2B" w:rsidP="00136A58">
            <w:pPr>
              <w:jc w:val="both"/>
              <w:rPr>
                <w:sz w:val="22"/>
                <w:szCs w:val="22"/>
              </w:rPr>
            </w:pPr>
            <w:r w:rsidRPr="00F53814">
              <w:rPr>
                <w:sz w:val="22"/>
                <w:szCs w:val="22"/>
              </w:rPr>
              <w:t>(as of April 2017)</w:t>
            </w:r>
          </w:p>
        </w:tc>
        <w:tc>
          <w:tcPr>
            <w:tcW w:w="3192" w:type="dxa"/>
            <w:vAlign w:val="center"/>
          </w:tcPr>
          <w:p w:rsidR="00354E2B" w:rsidRPr="00F53814" w:rsidRDefault="00354E2B" w:rsidP="00136A58">
            <w:pPr>
              <w:jc w:val="both"/>
              <w:rPr>
                <w:sz w:val="22"/>
                <w:szCs w:val="22"/>
              </w:rPr>
            </w:pPr>
            <w:r w:rsidRPr="00F53814">
              <w:rPr>
                <w:sz w:val="22"/>
                <w:szCs w:val="22"/>
              </w:rPr>
              <w:t>Depreciation Reserve</w:t>
            </w:r>
          </w:p>
          <w:p w:rsidR="00354E2B" w:rsidRPr="00F53814" w:rsidRDefault="00354E2B" w:rsidP="00136A58">
            <w:pPr>
              <w:jc w:val="both"/>
              <w:rPr>
                <w:sz w:val="22"/>
                <w:szCs w:val="22"/>
              </w:rPr>
            </w:pPr>
            <w:r w:rsidRPr="00F53814">
              <w:rPr>
                <w:sz w:val="22"/>
                <w:szCs w:val="22"/>
              </w:rPr>
              <w:t>(as of April 2017)</w:t>
            </w:r>
          </w:p>
        </w:tc>
      </w:tr>
      <w:tr w:rsidR="00354E2B" w:rsidRPr="00F53814" w:rsidTr="008A3397">
        <w:tc>
          <w:tcPr>
            <w:tcW w:w="3192" w:type="dxa"/>
          </w:tcPr>
          <w:p w:rsidR="00354E2B" w:rsidRPr="00F53814" w:rsidRDefault="00354E2B" w:rsidP="00136A58">
            <w:pPr>
              <w:jc w:val="both"/>
              <w:rPr>
                <w:sz w:val="22"/>
                <w:szCs w:val="22"/>
              </w:rPr>
            </w:pPr>
            <w:r w:rsidRPr="00F53814">
              <w:rPr>
                <w:sz w:val="22"/>
                <w:szCs w:val="22"/>
              </w:rPr>
              <w:t>Community Storage Facilities</w:t>
            </w:r>
          </w:p>
        </w:tc>
        <w:tc>
          <w:tcPr>
            <w:tcW w:w="3192" w:type="dxa"/>
            <w:vAlign w:val="bottom"/>
          </w:tcPr>
          <w:p w:rsidR="00354E2B" w:rsidRPr="00F53814" w:rsidRDefault="00354E2B" w:rsidP="00136A58">
            <w:pPr>
              <w:jc w:val="both"/>
              <w:rPr>
                <w:sz w:val="22"/>
                <w:szCs w:val="22"/>
              </w:rPr>
            </w:pPr>
            <w:r w:rsidRPr="00F53814">
              <w:rPr>
                <w:sz w:val="22"/>
                <w:szCs w:val="22"/>
              </w:rPr>
              <w:t>$500,254</w:t>
            </w:r>
          </w:p>
        </w:tc>
        <w:tc>
          <w:tcPr>
            <w:tcW w:w="3192" w:type="dxa"/>
            <w:vAlign w:val="bottom"/>
          </w:tcPr>
          <w:p w:rsidR="00354E2B" w:rsidRPr="00F53814" w:rsidRDefault="00354E2B" w:rsidP="00136A58">
            <w:pPr>
              <w:jc w:val="both"/>
              <w:rPr>
                <w:sz w:val="22"/>
                <w:szCs w:val="22"/>
              </w:rPr>
            </w:pPr>
            <w:r w:rsidRPr="00F53814">
              <w:rPr>
                <w:sz w:val="22"/>
                <w:szCs w:val="22"/>
              </w:rPr>
              <w:t xml:space="preserve">$3,326 </w:t>
            </w:r>
          </w:p>
        </w:tc>
      </w:tr>
      <w:tr w:rsidR="00354E2B" w:rsidRPr="00F53814" w:rsidTr="008A3397">
        <w:tc>
          <w:tcPr>
            <w:tcW w:w="3192" w:type="dxa"/>
          </w:tcPr>
          <w:p w:rsidR="00354E2B" w:rsidRPr="00F53814" w:rsidRDefault="00354E2B" w:rsidP="00136A58">
            <w:pPr>
              <w:jc w:val="both"/>
              <w:rPr>
                <w:sz w:val="22"/>
                <w:szCs w:val="22"/>
              </w:rPr>
            </w:pPr>
            <w:r w:rsidRPr="00F53814">
              <w:rPr>
                <w:sz w:val="22"/>
                <w:szCs w:val="22"/>
              </w:rPr>
              <w:t>Florida Bay Everglades N. P.</w:t>
            </w:r>
          </w:p>
        </w:tc>
        <w:tc>
          <w:tcPr>
            <w:tcW w:w="3192" w:type="dxa"/>
            <w:vAlign w:val="bottom"/>
          </w:tcPr>
          <w:p w:rsidR="00354E2B" w:rsidRPr="00F53814" w:rsidRDefault="00354E2B" w:rsidP="00136A58">
            <w:pPr>
              <w:jc w:val="both"/>
              <w:rPr>
                <w:sz w:val="22"/>
                <w:szCs w:val="22"/>
              </w:rPr>
            </w:pPr>
            <w:r w:rsidRPr="00F53814">
              <w:rPr>
                <w:sz w:val="22"/>
                <w:szCs w:val="22"/>
              </w:rPr>
              <w:t>$3,435,123</w:t>
            </w:r>
          </w:p>
        </w:tc>
        <w:tc>
          <w:tcPr>
            <w:tcW w:w="3192" w:type="dxa"/>
            <w:vAlign w:val="bottom"/>
          </w:tcPr>
          <w:p w:rsidR="00354E2B" w:rsidRPr="00F53814" w:rsidRDefault="00354E2B" w:rsidP="00136A58">
            <w:pPr>
              <w:jc w:val="both"/>
              <w:rPr>
                <w:sz w:val="22"/>
                <w:szCs w:val="22"/>
              </w:rPr>
            </w:pPr>
            <w:r w:rsidRPr="00F53814">
              <w:rPr>
                <w:sz w:val="22"/>
                <w:szCs w:val="22"/>
              </w:rPr>
              <w:t>$25,477</w:t>
            </w:r>
          </w:p>
        </w:tc>
      </w:tr>
      <w:tr w:rsidR="00354E2B" w:rsidRPr="00F53814" w:rsidTr="008A3397">
        <w:tc>
          <w:tcPr>
            <w:tcW w:w="3192" w:type="dxa"/>
          </w:tcPr>
          <w:p w:rsidR="00354E2B" w:rsidRPr="00F53814" w:rsidRDefault="00354E2B" w:rsidP="00136A58">
            <w:pPr>
              <w:jc w:val="both"/>
              <w:rPr>
                <w:sz w:val="22"/>
                <w:szCs w:val="22"/>
              </w:rPr>
            </w:pPr>
            <w:r w:rsidRPr="00F53814">
              <w:rPr>
                <w:sz w:val="22"/>
                <w:szCs w:val="22"/>
              </w:rPr>
              <w:t>Miami Open Tennis Stadium</w:t>
            </w:r>
            <w:r w:rsidRPr="00F53814">
              <w:rPr>
                <w:sz w:val="22"/>
                <w:szCs w:val="22"/>
              </w:rPr>
              <w:tab/>
            </w:r>
          </w:p>
        </w:tc>
        <w:tc>
          <w:tcPr>
            <w:tcW w:w="3192" w:type="dxa"/>
            <w:vAlign w:val="bottom"/>
          </w:tcPr>
          <w:p w:rsidR="00354E2B" w:rsidRPr="00F53814" w:rsidRDefault="00354E2B" w:rsidP="00136A58">
            <w:pPr>
              <w:jc w:val="both"/>
              <w:rPr>
                <w:sz w:val="22"/>
                <w:szCs w:val="22"/>
              </w:rPr>
            </w:pPr>
            <w:r w:rsidRPr="00F53814">
              <w:rPr>
                <w:sz w:val="22"/>
                <w:szCs w:val="22"/>
              </w:rPr>
              <w:t>$963,598</w:t>
            </w:r>
          </w:p>
        </w:tc>
        <w:tc>
          <w:tcPr>
            <w:tcW w:w="3192" w:type="dxa"/>
            <w:vAlign w:val="bottom"/>
          </w:tcPr>
          <w:p w:rsidR="00354E2B" w:rsidRPr="00F53814" w:rsidRDefault="00354E2B" w:rsidP="00136A58">
            <w:pPr>
              <w:jc w:val="both"/>
              <w:rPr>
                <w:sz w:val="22"/>
                <w:szCs w:val="22"/>
              </w:rPr>
            </w:pPr>
            <w:r w:rsidRPr="00F53814">
              <w:rPr>
                <w:sz w:val="22"/>
                <w:szCs w:val="22"/>
              </w:rPr>
              <w:t>$3,814</w:t>
            </w:r>
          </w:p>
        </w:tc>
      </w:tr>
      <w:tr w:rsidR="00354E2B" w:rsidRPr="00F53814" w:rsidTr="008A3397">
        <w:tc>
          <w:tcPr>
            <w:tcW w:w="3192" w:type="dxa"/>
          </w:tcPr>
          <w:p w:rsidR="00354E2B" w:rsidRPr="00F53814" w:rsidRDefault="00354E2B" w:rsidP="00136A58">
            <w:pPr>
              <w:jc w:val="both"/>
              <w:rPr>
                <w:sz w:val="22"/>
                <w:szCs w:val="22"/>
              </w:rPr>
            </w:pPr>
            <w:r w:rsidRPr="00F53814">
              <w:rPr>
                <w:sz w:val="22"/>
                <w:szCs w:val="22"/>
              </w:rPr>
              <w:t>South West</w:t>
            </w:r>
            <w:r w:rsidRPr="00F53814">
              <w:rPr>
                <w:sz w:val="22"/>
                <w:szCs w:val="22"/>
              </w:rPr>
              <w:tab/>
            </w:r>
          </w:p>
        </w:tc>
        <w:tc>
          <w:tcPr>
            <w:tcW w:w="3192" w:type="dxa"/>
            <w:vAlign w:val="bottom"/>
          </w:tcPr>
          <w:p w:rsidR="00354E2B" w:rsidRPr="00F53814" w:rsidRDefault="00354E2B" w:rsidP="00136A58">
            <w:pPr>
              <w:jc w:val="both"/>
              <w:rPr>
                <w:sz w:val="22"/>
                <w:szCs w:val="22"/>
              </w:rPr>
            </w:pPr>
            <w:r w:rsidRPr="00F53814">
              <w:rPr>
                <w:sz w:val="22"/>
                <w:szCs w:val="22"/>
              </w:rPr>
              <w:t>$6,080,404</w:t>
            </w:r>
          </w:p>
        </w:tc>
        <w:tc>
          <w:tcPr>
            <w:tcW w:w="3192" w:type="dxa"/>
            <w:vAlign w:val="bottom"/>
          </w:tcPr>
          <w:p w:rsidR="00354E2B" w:rsidRPr="00F53814" w:rsidRDefault="00354E2B" w:rsidP="00136A58">
            <w:pPr>
              <w:jc w:val="both"/>
              <w:rPr>
                <w:sz w:val="22"/>
                <w:szCs w:val="22"/>
              </w:rPr>
            </w:pPr>
            <w:r w:rsidRPr="00F53814">
              <w:rPr>
                <w:sz w:val="22"/>
                <w:szCs w:val="22"/>
              </w:rPr>
              <w:t>$97,793</w:t>
            </w:r>
          </w:p>
        </w:tc>
      </w:tr>
      <w:tr w:rsidR="00354E2B" w:rsidRPr="00F53814" w:rsidTr="008A3397">
        <w:tc>
          <w:tcPr>
            <w:tcW w:w="3192" w:type="dxa"/>
          </w:tcPr>
          <w:p w:rsidR="00354E2B" w:rsidRPr="00F53814" w:rsidRDefault="00354E2B" w:rsidP="00136A58">
            <w:pPr>
              <w:jc w:val="both"/>
              <w:rPr>
                <w:sz w:val="22"/>
                <w:szCs w:val="22"/>
              </w:rPr>
            </w:pPr>
            <w:r w:rsidRPr="00F53814">
              <w:rPr>
                <w:sz w:val="22"/>
                <w:szCs w:val="22"/>
              </w:rPr>
              <w:t>Total*</w:t>
            </w:r>
            <w:r w:rsidRPr="00F53814">
              <w:rPr>
                <w:sz w:val="22"/>
                <w:szCs w:val="22"/>
              </w:rPr>
              <w:tab/>
            </w:r>
          </w:p>
        </w:tc>
        <w:tc>
          <w:tcPr>
            <w:tcW w:w="3192" w:type="dxa"/>
            <w:vAlign w:val="bottom"/>
          </w:tcPr>
          <w:p w:rsidR="00354E2B" w:rsidRPr="00F53814" w:rsidRDefault="00354E2B" w:rsidP="00136A58">
            <w:pPr>
              <w:jc w:val="both"/>
              <w:rPr>
                <w:sz w:val="22"/>
                <w:szCs w:val="22"/>
              </w:rPr>
            </w:pPr>
            <w:r w:rsidRPr="00F53814">
              <w:rPr>
                <w:sz w:val="22"/>
                <w:szCs w:val="22"/>
              </w:rPr>
              <w:t>$10,979,379</w:t>
            </w:r>
          </w:p>
        </w:tc>
        <w:tc>
          <w:tcPr>
            <w:tcW w:w="3192" w:type="dxa"/>
            <w:vAlign w:val="bottom"/>
          </w:tcPr>
          <w:p w:rsidR="00354E2B" w:rsidRPr="00F53814" w:rsidRDefault="00354E2B" w:rsidP="00136A58">
            <w:pPr>
              <w:jc w:val="both"/>
              <w:rPr>
                <w:sz w:val="22"/>
                <w:szCs w:val="22"/>
              </w:rPr>
            </w:pPr>
            <w:r w:rsidRPr="00F53814">
              <w:rPr>
                <w:sz w:val="22"/>
                <w:szCs w:val="22"/>
              </w:rPr>
              <w:t>$130,411</w:t>
            </w:r>
          </w:p>
        </w:tc>
      </w:tr>
    </w:tbl>
    <w:p w:rsidR="00354E2B" w:rsidRPr="00F53814" w:rsidRDefault="00354E2B" w:rsidP="00136A58">
      <w:pPr>
        <w:jc w:val="both"/>
        <w:rPr>
          <w:sz w:val="22"/>
          <w:szCs w:val="22"/>
        </w:rPr>
      </w:pPr>
      <w:r w:rsidRPr="00F53814">
        <w:rPr>
          <w:sz w:val="22"/>
          <w:szCs w:val="22"/>
        </w:rPr>
        <w:t>Source: FPL’s Response to Staff’s First Data Request, No. 5 - Supplemental</w:t>
      </w:r>
    </w:p>
    <w:p w:rsidR="00354E2B" w:rsidRPr="00F53814" w:rsidRDefault="00354E2B" w:rsidP="00136A58">
      <w:pPr>
        <w:jc w:val="both"/>
        <w:rPr>
          <w:sz w:val="22"/>
          <w:szCs w:val="22"/>
        </w:rPr>
      </w:pPr>
      <w:r w:rsidRPr="00F53814">
        <w:rPr>
          <w:sz w:val="22"/>
          <w:szCs w:val="22"/>
        </w:rPr>
        <w:t>*May not add due to rounding</w:t>
      </w:r>
    </w:p>
    <w:tbl>
      <w:tblPr>
        <w:tblStyle w:val="TableGrid"/>
        <w:tblW w:w="0" w:type="auto"/>
        <w:tblLook w:val="04A0" w:firstRow="1" w:lastRow="0" w:firstColumn="1" w:lastColumn="0" w:noHBand="0" w:noVBand="1"/>
      </w:tblPr>
      <w:tblGrid>
        <w:gridCol w:w="3192"/>
        <w:gridCol w:w="3192"/>
        <w:gridCol w:w="3192"/>
      </w:tblGrid>
      <w:tr w:rsidR="00354E2B" w:rsidRPr="00F53814" w:rsidTr="008A3397">
        <w:trPr>
          <w:trHeight w:val="359"/>
        </w:trPr>
        <w:tc>
          <w:tcPr>
            <w:tcW w:w="9576" w:type="dxa"/>
            <w:gridSpan w:val="3"/>
            <w:tcBorders>
              <w:top w:val="nil"/>
              <w:left w:val="nil"/>
              <w:bottom w:val="nil"/>
              <w:right w:val="nil"/>
            </w:tcBorders>
            <w:vAlign w:val="bottom"/>
          </w:tcPr>
          <w:p w:rsidR="00696DA8" w:rsidRPr="00F53814" w:rsidRDefault="00696DA8" w:rsidP="00696DA8">
            <w:pPr>
              <w:jc w:val="both"/>
              <w:rPr>
                <w:sz w:val="22"/>
                <w:szCs w:val="22"/>
              </w:rPr>
            </w:pPr>
          </w:p>
          <w:p w:rsidR="009706A2" w:rsidRPr="00F53814" w:rsidRDefault="00696DA8" w:rsidP="00696DA8">
            <w:pPr>
              <w:jc w:val="both"/>
              <w:rPr>
                <w:sz w:val="22"/>
                <w:szCs w:val="22"/>
              </w:rPr>
            </w:pPr>
            <w:r w:rsidRPr="00F53814">
              <w:rPr>
                <w:sz w:val="22"/>
                <w:szCs w:val="22"/>
              </w:rPr>
              <w:tab/>
            </w:r>
            <w:r w:rsidR="00354E2B" w:rsidRPr="00F53814">
              <w:rPr>
                <w:sz w:val="22"/>
                <w:szCs w:val="22"/>
              </w:rPr>
              <w:t xml:space="preserve">Tables 2 and 3 detail the apportionment of investments being requested for transfer from Account 362 </w:t>
            </w:r>
            <w:r w:rsidR="00354E2B" w:rsidRPr="00F53814">
              <w:rPr>
                <w:bCs/>
                <w:iCs/>
                <w:sz w:val="22"/>
                <w:szCs w:val="22"/>
              </w:rPr>
              <w:t>-</w:t>
            </w:r>
            <w:r w:rsidR="00354E2B" w:rsidRPr="00F53814">
              <w:rPr>
                <w:sz w:val="22"/>
                <w:szCs w:val="22"/>
              </w:rPr>
              <w:t xml:space="preserve"> Station Equipment (Table</w:t>
            </w:r>
            <w:r w:rsidR="009706A2" w:rsidRPr="00F53814">
              <w:rPr>
                <w:sz w:val="22"/>
                <w:szCs w:val="22"/>
              </w:rPr>
              <w:t xml:space="preserve"> 1</w:t>
            </w:r>
            <w:r w:rsidR="00354E2B" w:rsidRPr="00F53814">
              <w:rPr>
                <w:sz w:val="22"/>
                <w:szCs w:val="22"/>
              </w:rPr>
              <w:t xml:space="preserve">) to Account 348 </w:t>
            </w:r>
            <w:r w:rsidR="00354E2B" w:rsidRPr="00F53814">
              <w:rPr>
                <w:bCs/>
                <w:iCs/>
                <w:sz w:val="22"/>
                <w:szCs w:val="22"/>
              </w:rPr>
              <w:t>-</w:t>
            </w:r>
            <w:r w:rsidR="00354E2B" w:rsidRPr="00F53814">
              <w:rPr>
                <w:sz w:val="22"/>
                <w:szCs w:val="22"/>
              </w:rPr>
              <w:t xml:space="preserve"> Energy Storage Equipment – Production (Table 2) and Account 363 </w:t>
            </w:r>
            <w:r w:rsidR="00354E2B" w:rsidRPr="00F53814">
              <w:rPr>
                <w:bCs/>
                <w:iCs/>
                <w:sz w:val="22"/>
                <w:szCs w:val="22"/>
              </w:rPr>
              <w:t>-</w:t>
            </w:r>
            <w:r w:rsidR="00354E2B" w:rsidRPr="00F53814">
              <w:rPr>
                <w:sz w:val="22"/>
                <w:szCs w:val="22"/>
              </w:rPr>
              <w:t xml:space="preserve"> Energy Storage Equipment – Distribution (Table </w:t>
            </w:r>
            <w:r w:rsidRPr="00F53814">
              <w:rPr>
                <w:sz w:val="22"/>
                <w:szCs w:val="22"/>
              </w:rPr>
              <w:t>3</w:t>
            </w:r>
            <w:r w:rsidR="009706A2" w:rsidRPr="00F53814">
              <w:rPr>
                <w:sz w:val="22"/>
                <w:szCs w:val="22"/>
              </w:rPr>
              <w:t>).</w:t>
            </w:r>
          </w:p>
          <w:p w:rsidR="00696DA8" w:rsidRPr="00F53814" w:rsidRDefault="00354E2B" w:rsidP="00696DA8">
            <w:pPr>
              <w:jc w:val="both"/>
              <w:rPr>
                <w:sz w:val="22"/>
                <w:szCs w:val="22"/>
              </w:rPr>
            </w:pPr>
            <w:r w:rsidRPr="00F53814">
              <w:rPr>
                <w:sz w:val="22"/>
                <w:szCs w:val="22"/>
              </w:rPr>
              <w:t xml:space="preserve">.  </w:t>
            </w:r>
          </w:p>
          <w:p w:rsidR="00354E2B" w:rsidRPr="00F53814" w:rsidRDefault="00354E2B" w:rsidP="009706A2">
            <w:pPr>
              <w:jc w:val="center"/>
              <w:rPr>
                <w:sz w:val="22"/>
                <w:szCs w:val="22"/>
              </w:rPr>
            </w:pPr>
            <w:r w:rsidRPr="00F53814">
              <w:rPr>
                <w:sz w:val="22"/>
                <w:szCs w:val="22"/>
              </w:rPr>
              <w:t>Table 2</w:t>
            </w:r>
          </w:p>
        </w:tc>
      </w:tr>
      <w:tr w:rsidR="00354E2B" w:rsidRPr="00F53814" w:rsidTr="008A3397">
        <w:trPr>
          <w:trHeight w:val="359"/>
        </w:trPr>
        <w:tc>
          <w:tcPr>
            <w:tcW w:w="9576" w:type="dxa"/>
            <w:gridSpan w:val="3"/>
            <w:tcBorders>
              <w:top w:val="nil"/>
              <w:left w:val="nil"/>
              <w:right w:val="nil"/>
            </w:tcBorders>
            <w:vAlign w:val="bottom"/>
          </w:tcPr>
          <w:p w:rsidR="00354E2B" w:rsidRPr="00F53814" w:rsidRDefault="00354E2B" w:rsidP="00696DA8">
            <w:pPr>
              <w:jc w:val="center"/>
              <w:rPr>
                <w:sz w:val="22"/>
                <w:szCs w:val="22"/>
              </w:rPr>
            </w:pPr>
            <w:r w:rsidRPr="00F53814">
              <w:rPr>
                <w:sz w:val="22"/>
                <w:szCs w:val="22"/>
              </w:rPr>
              <w:t xml:space="preserve">Account 348 </w:t>
            </w:r>
            <w:r w:rsidRPr="00F53814">
              <w:rPr>
                <w:bCs/>
                <w:iCs/>
                <w:sz w:val="22"/>
                <w:szCs w:val="22"/>
              </w:rPr>
              <w:t>-</w:t>
            </w:r>
            <w:r w:rsidRPr="00F53814">
              <w:rPr>
                <w:sz w:val="22"/>
                <w:szCs w:val="22"/>
              </w:rPr>
              <w:t xml:space="preserve"> Energy Storage Equipment – Production</w:t>
            </w:r>
          </w:p>
        </w:tc>
      </w:tr>
      <w:tr w:rsidR="00354E2B" w:rsidRPr="00F53814" w:rsidTr="008A3397">
        <w:trPr>
          <w:trHeight w:val="629"/>
        </w:trPr>
        <w:tc>
          <w:tcPr>
            <w:tcW w:w="3192" w:type="dxa"/>
            <w:vAlign w:val="center"/>
          </w:tcPr>
          <w:p w:rsidR="00354E2B" w:rsidRPr="00F53814" w:rsidRDefault="00354E2B" w:rsidP="00136A58">
            <w:pPr>
              <w:jc w:val="both"/>
              <w:rPr>
                <w:sz w:val="22"/>
                <w:szCs w:val="22"/>
              </w:rPr>
            </w:pPr>
            <w:r w:rsidRPr="00F53814">
              <w:rPr>
                <w:sz w:val="22"/>
                <w:szCs w:val="22"/>
              </w:rPr>
              <w:t>Energy Storage Assets</w:t>
            </w:r>
          </w:p>
        </w:tc>
        <w:tc>
          <w:tcPr>
            <w:tcW w:w="3192" w:type="dxa"/>
            <w:vAlign w:val="center"/>
          </w:tcPr>
          <w:p w:rsidR="00354E2B" w:rsidRPr="00F53814" w:rsidRDefault="00354E2B" w:rsidP="00136A58">
            <w:pPr>
              <w:jc w:val="both"/>
              <w:rPr>
                <w:sz w:val="22"/>
                <w:szCs w:val="22"/>
              </w:rPr>
            </w:pPr>
            <w:r w:rsidRPr="00F53814">
              <w:rPr>
                <w:sz w:val="22"/>
                <w:szCs w:val="22"/>
              </w:rPr>
              <w:t>Plant Investment</w:t>
            </w:r>
          </w:p>
          <w:p w:rsidR="00354E2B" w:rsidRPr="00F53814" w:rsidRDefault="00354E2B" w:rsidP="00136A58">
            <w:pPr>
              <w:jc w:val="both"/>
              <w:rPr>
                <w:sz w:val="22"/>
                <w:szCs w:val="22"/>
              </w:rPr>
            </w:pPr>
            <w:r w:rsidRPr="00F53814">
              <w:rPr>
                <w:sz w:val="22"/>
                <w:szCs w:val="22"/>
              </w:rPr>
              <w:t>(as of April 2017)</w:t>
            </w:r>
          </w:p>
        </w:tc>
        <w:tc>
          <w:tcPr>
            <w:tcW w:w="3192" w:type="dxa"/>
            <w:vAlign w:val="center"/>
          </w:tcPr>
          <w:p w:rsidR="00354E2B" w:rsidRPr="00F53814" w:rsidRDefault="00354E2B" w:rsidP="00136A58">
            <w:pPr>
              <w:jc w:val="both"/>
              <w:rPr>
                <w:sz w:val="22"/>
                <w:szCs w:val="22"/>
              </w:rPr>
            </w:pPr>
            <w:r w:rsidRPr="00F53814">
              <w:rPr>
                <w:sz w:val="22"/>
                <w:szCs w:val="22"/>
              </w:rPr>
              <w:t>Depreciation Reserve</w:t>
            </w:r>
          </w:p>
          <w:p w:rsidR="00354E2B" w:rsidRPr="00F53814" w:rsidRDefault="00354E2B" w:rsidP="00136A58">
            <w:pPr>
              <w:jc w:val="both"/>
              <w:rPr>
                <w:sz w:val="22"/>
                <w:szCs w:val="22"/>
              </w:rPr>
            </w:pPr>
            <w:r w:rsidRPr="00F53814">
              <w:rPr>
                <w:sz w:val="22"/>
                <w:szCs w:val="22"/>
              </w:rPr>
              <w:t>(as of April 2017)</w:t>
            </w:r>
          </w:p>
        </w:tc>
      </w:tr>
      <w:tr w:rsidR="00354E2B" w:rsidRPr="00F53814" w:rsidTr="008A3397">
        <w:tc>
          <w:tcPr>
            <w:tcW w:w="3192" w:type="dxa"/>
          </w:tcPr>
          <w:p w:rsidR="00354E2B" w:rsidRPr="00F53814" w:rsidRDefault="00354E2B" w:rsidP="00136A58">
            <w:pPr>
              <w:jc w:val="both"/>
              <w:rPr>
                <w:sz w:val="22"/>
                <w:szCs w:val="22"/>
              </w:rPr>
            </w:pPr>
            <w:r w:rsidRPr="00F53814">
              <w:rPr>
                <w:sz w:val="22"/>
                <w:szCs w:val="22"/>
              </w:rPr>
              <w:t>Community Storage Facilities</w:t>
            </w:r>
          </w:p>
        </w:tc>
        <w:tc>
          <w:tcPr>
            <w:tcW w:w="3192" w:type="dxa"/>
            <w:vAlign w:val="bottom"/>
          </w:tcPr>
          <w:p w:rsidR="00354E2B" w:rsidRPr="00F53814" w:rsidRDefault="00354E2B" w:rsidP="00136A58">
            <w:pPr>
              <w:jc w:val="both"/>
              <w:rPr>
                <w:sz w:val="22"/>
                <w:szCs w:val="22"/>
              </w:rPr>
            </w:pPr>
            <w:r w:rsidRPr="00F53814">
              <w:rPr>
                <w:sz w:val="22"/>
                <w:szCs w:val="22"/>
              </w:rPr>
              <w:t>$250,127</w:t>
            </w:r>
          </w:p>
        </w:tc>
        <w:tc>
          <w:tcPr>
            <w:tcW w:w="3192" w:type="dxa"/>
            <w:vAlign w:val="bottom"/>
          </w:tcPr>
          <w:p w:rsidR="00354E2B" w:rsidRPr="00F53814" w:rsidRDefault="00354E2B" w:rsidP="00136A58">
            <w:pPr>
              <w:jc w:val="both"/>
              <w:rPr>
                <w:sz w:val="22"/>
                <w:szCs w:val="22"/>
              </w:rPr>
            </w:pPr>
            <w:r w:rsidRPr="00F53814">
              <w:rPr>
                <w:sz w:val="22"/>
                <w:szCs w:val="22"/>
              </w:rPr>
              <w:t>$1,663</w:t>
            </w:r>
          </w:p>
        </w:tc>
      </w:tr>
      <w:tr w:rsidR="00354E2B" w:rsidRPr="00F53814" w:rsidTr="008A3397">
        <w:tc>
          <w:tcPr>
            <w:tcW w:w="3192" w:type="dxa"/>
          </w:tcPr>
          <w:p w:rsidR="00354E2B" w:rsidRPr="00F53814" w:rsidRDefault="00354E2B" w:rsidP="00136A58">
            <w:pPr>
              <w:jc w:val="both"/>
              <w:rPr>
                <w:sz w:val="22"/>
                <w:szCs w:val="22"/>
              </w:rPr>
            </w:pPr>
            <w:r w:rsidRPr="00F53814">
              <w:rPr>
                <w:sz w:val="22"/>
                <w:szCs w:val="22"/>
              </w:rPr>
              <w:t>Florida Bay Everglades N. P.</w:t>
            </w:r>
          </w:p>
        </w:tc>
        <w:tc>
          <w:tcPr>
            <w:tcW w:w="3192" w:type="dxa"/>
            <w:vAlign w:val="bottom"/>
          </w:tcPr>
          <w:p w:rsidR="00354E2B" w:rsidRPr="00F53814" w:rsidRDefault="00354E2B" w:rsidP="00136A58">
            <w:pPr>
              <w:jc w:val="both"/>
              <w:rPr>
                <w:sz w:val="22"/>
                <w:szCs w:val="22"/>
              </w:rPr>
            </w:pPr>
            <w:r w:rsidRPr="00F53814">
              <w:rPr>
                <w:sz w:val="22"/>
                <w:szCs w:val="22"/>
              </w:rPr>
              <w:t>$1,717,562</w:t>
            </w:r>
          </w:p>
        </w:tc>
        <w:tc>
          <w:tcPr>
            <w:tcW w:w="3192" w:type="dxa"/>
            <w:vAlign w:val="bottom"/>
          </w:tcPr>
          <w:p w:rsidR="00354E2B" w:rsidRPr="00F53814" w:rsidRDefault="00354E2B" w:rsidP="00136A58">
            <w:pPr>
              <w:jc w:val="both"/>
              <w:rPr>
                <w:sz w:val="22"/>
                <w:szCs w:val="22"/>
              </w:rPr>
            </w:pPr>
            <w:r w:rsidRPr="00F53814">
              <w:rPr>
                <w:sz w:val="22"/>
                <w:szCs w:val="22"/>
              </w:rPr>
              <w:t>$12,739</w:t>
            </w:r>
          </w:p>
        </w:tc>
      </w:tr>
      <w:tr w:rsidR="00354E2B" w:rsidRPr="00F53814" w:rsidTr="008A3397">
        <w:tc>
          <w:tcPr>
            <w:tcW w:w="3192" w:type="dxa"/>
          </w:tcPr>
          <w:p w:rsidR="00354E2B" w:rsidRPr="00F53814" w:rsidRDefault="00354E2B" w:rsidP="00136A58">
            <w:pPr>
              <w:jc w:val="both"/>
              <w:rPr>
                <w:sz w:val="22"/>
                <w:szCs w:val="22"/>
              </w:rPr>
            </w:pPr>
            <w:r w:rsidRPr="00F53814">
              <w:rPr>
                <w:sz w:val="22"/>
                <w:szCs w:val="22"/>
              </w:rPr>
              <w:t>South West</w:t>
            </w:r>
            <w:r w:rsidRPr="00F53814">
              <w:rPr>
                <w:sz w:val="22"/>
                <w:szCs w:val="22"/>
              </w:rPr>
              <w:tab/>
            </w:r>
          </w:p>
        </w:tc>
        <w:tc>
          <w:tcPr>
            <w:tcW w:w="3192" w:type="dxa"/>
            <w:vAlign w:val="bottom"/>
          </w:tcPr>
          <w:p w:rsidR="00354E2B" w:rsidRPr="00F53814" w:rsidRDefault="00354E2B" w:rsidP="00136A58">
            <w:pPr>
              <w:jc w:val="both"/>
              <w:rPr>
                <w:sz w:val="22"/>
                <w:szCs w:val="22"/>
              </w:rPr>
            </w:pPr>
            <w:r w:rsidRPr="00F53814">
              <w:rPr>
                <w:sz w:val="22"/>
                <w:szCs w:val="22"/>
              </w:rPr>
              <w:t>$5,472,364</w:t>
            </w:r>
          </w:p>
        </w:tc>
        <w:tc>
          <w:tcPr>
            <w:tcW w:w="3192" w:type="dxa"/>
            <w:vAlign w:val="bottom"/>
          </w:tcPr>
          <w:p w:rsidR="00354E2B" w:rsidRPr="00F53814" w:rsidRDefault="00354E2B" w:rsidP="00136A58">
            <w:pPr>
              <w:jc w:val="both"/>
              <w:rPr>
                <w:sz w:val="22"/>
                <w:szCs w:val="22"/>
              </w:rPr>
            </w:pPr>
            <w:r w:rsidRPr="00F53814">
              <w:rPr>
                <w:sz w:val="22"/>
                <w:szCs w:val="22"/>
              </w:rPr>
              <w:t>$88,014</w:t>
            </w:r>
          </w:p>
        </w:tc>
      </w:tr>
      <w:tr w:rsidR="00354E2B" w:rsidRPr="00F53814" w:rsidTr="008A3397">
        <w:tc>
          <w:tcPr>
            <w:tcW w:w="3192" w:type="dxa"/>
          </w:tcPr>
          <w:p w:rsidR="00354E2B" w:rsidRPr="00F53814" w:rsidRDefault="00354E2B" w:rsidP="00136A58">
            <w:pPr>
              <w:jc w:val="both"/>
              <w:rPr>
                <w:sz w:val="22"/>
                <w:szCs w:val="22"/>
              </w:rPr>
            </w:pPr>
            <w:r w:rsidRPr="00F53814">
              <w:rPr>
                <w:sz w:val="22"/>
                <w:szCs w:val="22"/>
              </w:rPr>
              <w:t>Total*</w:t>
            </w:r>
            <w:r w:rsidRPr="00F53814">
              <w:rPr>
                <w:sz w:val="22"/>
                <w:szCs w:val="22"/>
              </w:rPr>
              <w:tab/>
            </w:r>
          </w:p>
        </w:tc>
        <w:tc>
          <w:tcPr>
            <w:tcW w:w="3192" w:type="dxa"/>
            <w:vAlign w:val="bottom"/>
          </w:tcPr>
          <w:p w:rsidR="00354E2B" w:rsidRPr="00F53814" w:rsidRDefault="00354E2B" w:rsidP="00136A58">
            <w:pPr>
              <w:jc w:val="both"/>
              <w:rPr>
                <w:sz w:val="22"/>
                <w:szCs w:val="22"/>
              </w:rPr>
            </w:pPr>
            <w:r w:rsidRPr="00F53814">
              <w:rPr>
                <w:sz w:val="22"/>
                <w:szCs w:val="22"/>
              </w:rPr>
              <w:t>$7,440,053</w:t>
            </w:r>
          </w:p>
        </w:tc>
        <w:tc>
          <w:tcPr>
            <w:tcW w:w="3192" w:type="dxa"/>
            <w:vAlign w:val="bottom"/>
          </w:tcPr>
          <w:p w:rsidR="00354E2B" w:rsidRPr="00F53814" w:rsidRDefault="00354E2B" w:rsidP="00136A58">
            <w:pPr>
              <w:jc w:val="both"/>
              <w:rPr>
                <w:sz w:val="22"/>
                <w:szCs w:val="22"/>
              </w:rPr>
            </w:pPr>
            <w:r w:rsidRPr="00F53814">
              <w:rPr>
                <w:sz w:val="22"/>
                <w:szCs w:val="22"/>
              </w:rPr>
              <w:t>$102,415</w:t>
            </w:r>
          </w:p>
        </w:tc>
      </w:tr>
    </w:tbl>
    <w:p w:rsidR="00354E2B" w:rsidRPr="00F53814" w:rsidRDefault="00354E2B" w:rsidP="00136A58">
      <w:pPr>
        <w:jc w:val="both"/>
        <w:rPr>
          <w:sz w:val="22"/>
          <w:szCs w:val="22"/>
        </w:rPr>
      </w:pPr>
      <w:r w:rsidRPr="00F53814">
        <w:rPr>
          <w:sz w:val="22"/>
          <w:szCs w:val="22"/>
        </w:rPr>
        <w:t>Source: FPL’s Response to Staff’s First Data Request, No. 5 - Supplemental</w:t>
      </w:r>
    </w:p>
    <w:p w:rsidR="00354E2B" w:rsidRPr="00F53814" w:rsidRDefault="00354E2B" w:rsidP="00136A58">
      <w:pPr>
        <w:jc w:val="both"/>
        <w:rPr>
          <w:sz w:val="22"/>
          <w:szCs w:val="22"/>
        </w:rPr>
      </w:pPr>
      <w:r w:rsidRPr="00F53814">
        <w:rPr>
          <w:sz w:val="22"/>
          <w:szCs w:val="22"/>
        </w:rPr>
        <w:t>*May not add due to rounding</w:t>
      </w:r>
    </w:p>
    <w:tbl>
      <w:tblPr>
        <w:tblStyle w:val="TableGrid"/>
        <w:tblW w:w="0" w:type="auto"/>
        <w:tblLook w:val="04A0" w:firstRow="1" w:lastRow="0" w:firstColumn="1" w:lastColumn="0" w:noHBand="0" w:noVBand="1"/>
      </w:tblPr>
      <w:tblGrid>
        <w:gridCol w:w="3192"/>
        <w:gridCol w:w="3192"/>
        <w:gridCol w:w="3192"/>
      </w:tblGrid>
      <w:tr w:rsidR="00136A58" w:rsidRPr="00F53814" w:rsidTr="008A3397">
        <w:trPr>
          <w:trHeight w:val="359"/>
        </w:trPr>
        <w:tc>
          <w:tcPr>
            <w:tcW w:w="9576" w:type="dxa"/>
            <w:gridSpan w:val="3"/>
            <w:tcBorders>
              <w:top w:val="nil"/>
              <w:left w:val="nil"/>
              <w:bottom w:val="nil"/>
              <w:right w:val="nil"/>
            </w:tcBorders>
            <w:vAlign w:val="bottom"/>
          </w:tcPr>
          <w:p w:rsidR="00136A58" w:rsidRPr="00F53814" w:rsidRDefault="00136A58" w:rsidP="009706A2">
            <w:pPr>
              <w:jc w:val="center"/>
              <w:rPr>
                <w:sz w:val="22"/>
                <w:szCs w:val="22"/>
              </w:rPr>
            </w:pPr>
            <w:r w:rsidRPr="00F53814">
              <w:rPr>
                <w:sz w:val="22"/>
                <w:szCs w:val="22"/>
              </w:rPr>
              <w:t>Table 3</w:t>
            </w:r>
          </w:p>
        </w:tc>
      </w:tr>
      <w:tr w:rsidR="00136A58" w:rsidRPr="00F53814" w:rsidTr="008A3397">
        <w:trPr>
          <w:trHeight w:val="359"/>
        </w:trPr>
        <w:tc>
          <w:tcPr>
            <w:tcW w:w="9576" w:type="dxa"/>
            <w:gridSpan w:val="3"/>
            <w:tcBorders>
              <w:top w:val="nil"/>
              <w:left w:val="nil"/>
              <w:right w:val="nil"/>
            </w:tcBorders>
            <w:vAlign w:val="bottom"/>
          </w:tcPr>
          <w:p w:rsidR="00136A58" w:rsidRPr="00F53814" w:rsidRDefault="00136A58" w:rsidP="00696DA8">
            <w:pPr>
              <w:jc w:val="center"/>
              <w:rPr>
                <w:sz w:val="22"/>
                <w:szCs w:val="22"/>
              </w:rPr>
            </w:pPr>
            <w:r w:rsidRPr="00F53814">
              <w:rPr>
                <w:sz w:val="22"/>
                <w:szCs w:val="22"/>
              </w:rPr>
              <w:t xml:space="preserve">Account 363 </w:t>
            </w:r>
            <w:r w:rsidRPr="00F53814">
              <w:rPr>
                <w:bCs/>
                <w:iCs/>
                <w:sz w:val="22"/>
                <w:szCs w:val="22"/>
              </w:rPr>
              <w:t>-</w:t>
            </w:r>
            <w:r w:rsidRPr="00F53814">
              <w:rPr>
                <w:sz w:val="22"/>
                <w:szCs w:val="22"/>
              </w:rPr>
              <w:t xml:space="preserve"> Energy Storage Equipment – Distribution</w:t>
            </w:r>
          </w:p>
        </w:tc>
      </w:tr>
      <w:tr w:rsidR="00136A58" w:rsidRPr="00F53814" w:rsidTr="008A3397">
        <w:trPr>
          <w:trHeight w:val="629"/>
        </w:trPr>
        <w:tc>
          <w:tcPr>
            <w:tcW w:w="3192" w:type="dxa"/>
            <w:vAlign w:val="center"/>
          </w:tcPr>
          <w:p w:rsidR="00136A58" w:rsidRPr="00F53814" w:rsidRDefault="00136A58" w:rsidP="00136A58">
            <w:pPr>
              <w:jc w:val="both"/>
              <w:rPr>
                <w:sz w:val="22"/>
                <w:szCs w:val="22"/>
              </w:rPr>
            </w:pPr>
            <w:r w:rsidRPr="00F53814">
              <w:rPr>
                <w:sz w:val="22"/>
                <w:szCs w:val="22"/>
              </w:rPr>
              <w:t>Energy Storage Assets</w:t>
            </w:r>
          </w:p>
        </w:tc>
        <w:tc>
          <w:tcPr>
            <w:tcW w:w="3192" w:type="dxa"/>
            <w:vAlign w:val="center"/>
          </w:tcPr>
          <w:p w:rsidR="00136A58" w:rsidRPr="00F53814" w:rsidRDefault="00136A58" w:rsidP="00136A58">
            <w:pPr>
              <w:jc w:val="both"/>
              <w:rPr>
                <w:sz w:val="22"/>
                <w:szCs w:val="22"/>
                <w:u w:val="single"/>
              </w:rPr>
            </w:pPr>
            <w:r w:rsidRPr="00F53814">
              <w:rPr>
                <w:sz w:val="22"/>
                <w:szCs w:val="22"/>
                <w:u w:val="single"/>
              </w:rPr>
              <w:t>Plant Investment</w:t>
            </w:r>
          </w:p>
          <w:p w:rsidR="00136A58" w:rsidRPr="00F53814" w:rsidRDefault="00136A58" w:rsidP="00136A58">
            <w:pPr>
              <w:jc w:val="both"/>
              <w:rPr>
                <w:sz w:val="22"/>
                <w:szCs w:val="22"/>
              </w:rPr>
            </w:pPr>
            <w:r w:rsidRPr="00F53814">
              <w:rPr>
                <w:sz w:val="22"/>
                <w:szCs w:val="22"/>
              </w:rPr>
              <w:t>(as of April 2017)</w:t>
            </w:r>
          </w:p>
        </w:tc>
        <w:tc>
          <w:tcPr>
            <w:tcW w:w="3192" w:type="dxa"/>
            <w:vAlign w:val="center"/>
          </w:tcPr>
          <w:p w:rsidR="00136A58" w:rsidRPr="00F53814" w:rsidRDefault="00136A58" w:rsidP="00136A58">
            <w:pPr>
              <w:jc w:val="both"/>
              <w:rPr>
                <w:sz w:val="22"/>
                <w:szCs w:val="22"/>
              </w:rPr>
            </w:pPr>
            <w:r w:rsidRPr="00F53814">
              <w:rPr>
                <w:sz w:val="22"/>
                <w:szCs w:val="22"/>
              </w:rPr>
              <w:t>Depreciation Reserve</w:t>
            </w:r>
          </w:p>
          <w:p w:rsidR="00136A58" w:rsidRPr="00F53814" w:rsidRDefault="00136A58" w:rsidP="00136A58">
            <w:pPr>
              <w:jc w:val="both"/>
              <w:rPr>
                <w:sz w:val="22"/>
                <w:szCs w:val="22"/>
              </w:rPr>
            </w:pPr>
            <w:r w:rsidRPr="00F53814">
              <w:rPr>
                <w:sz w:val="22"/>
                <w:szCs w:val="22"/>
              </w:rPr>
              <w:t>(as of April 2017)</w:t>
            </w:r>
          </w:p>
        </w:tc>
      </w:tr>
      <w:tr w:rsidR="00136A58" w:rsidRPr="00F53814" w:rsidTr="008A3397">
        <w:tc>
          <w:tcPr>
            <w:tcW w:w="3192" w:type="dxa"/>
          </w:tcPr>
          <w:p w:rsidR="00136A58" w:rsidRPr="00F53814" w:rsidRDefault="00136A58" w:rsidP="00136A58">
            <w:pPr>
              <w:jc w:val="both"/>
              <w:rPr>
                <w:sz w:val="22"/>
                <w:szCs w:val="22"/>
              </w:rPr>
            </w:pPr>
            <w:r w:rsidRPr="00F53814">
              <w:rPr>
                <w:sz w:val="22"/>
                <w:szCs w:val="22"/>
              </w:rPr>
              <w:t>Community Storage Facilities</w:t>
            </w:r>
          </w:p>
        </w:tc>
        <w:tc>
          <w:tcPr>
            <w:tcW w:w="3192" w:type="dxa"/>
            <w:vAlign w:val="bottom"/>
          </w:tcPr>
          <w:p w:rsidR="00136A58" w:rsidRPr="00F53814" w:rsidRDefault="00136A58" w:rsidP="00136A58">
            <w:pPr>
              <w:jc w:val="both"/>
              <w:rPr>
                <w:sz w:val="22"/>
                <w:szCs w:val="22"/>
              </w:rPr>
            </w:pPr>
            <w:r w:rsidRPr="00F53814">
              <w:rPr>
                <w:sz w:val="22"/>
                <w:szCs w:val="22"/>
              </w:rPr>
              <w:t>$250,127</w:t>
            </w:r>
          </w:p>
        </w:tc>
        <w:tc>
          <w:tcPr>
            <w:tcW w:w="3192" w:type="dxa"/>
            <w:vAlign w:val="bottom"/>
          </w:tcPr>
          <w:p w:rsidR="00136A58" w:rsidRPr="00F53814" w:rsidRDefault="00136A58" w:rsidP="00136A58">
            <w:pPr>
              <w:jc w:val="both"/>
              <w:rPr>
                <w:sz w:val="22"/>
                <w:szCs w:val="22"/>
              </w:rPr>
            </w:pPr>
            <w:r w:rsidRPr="00F53814">
              <w:rPr>
                <w:sz w:val="22"/>
                <w:szCs w:val="22"/>
              </w:rPr>
              <w:t>$1,663</w:t>
            </w:r>
          </w:p>
        </w:tc>
      </w:tr>
      <w:tr w:rsidR="00136A58" w:rsidRPr="00F53814" w:rsidTr="008A3397">
        <w:tc>
          <w:tcPr>
            <w:tcW w:w="3192" w:type="dxa"/>
          </w:tcPr>
          <w:p w:rsidR="00136A58" w:rsidRPr="00F53814" w:rsidRDefault="00136A58" w:rsidP="00136A58">
            <w:pPr>
              <w:jc w:val="both"/>
              <w:rPr>
                <w:sz w:val="22"/>
                <w:szCs w:val="22"/>
              </w:rPr>
            </w:pPr>
            <w:r w:rsidRPr="00F53814">
              <w:rPr>
                <w:sz w:val="22"/>
                <w:szCs w:val="22"/>
              </w:rPr>
              <w:t>Florida Bay Everglades N. P.</w:t>
            </w:r>
          </w:p>
        </w:tc>
        <w:tc>
          <w:tcPr>
            <w:tcW w:w="3192" w:type="dxa"/>
            <w:vAlign w:val="bottom"/>
          </w:tcPr>
          <w:p w:rsidR="00136A58" w:rsidRPr="00F53814" w:rsidRDefault="00136A58" w:rsidP="00136A58">
            <w:pPr>
              <w:jc w:val="both"/>
              <w:rPr>
                <w:sz w:val="22"/>
                <w:szCs w:val="22"/>
              </w:rPr>
            </w:pPr>
            <w:r w:rsidRPr="00F53814">
              <w:rPr>
                <w:sz w:val="22"/>
                <w:szCs w:val="22"/>
              </w:rPr>
              <w:t>$1,717,562</w:t>
            </w:r>
          </w:p>
        </w:tc>
        <w:tc>
          <w:tcPr>
            <w:tcW w:w="3192" w:type="dxa"/>
            <w:vAlign w:val="bottom"/>
          </w:tcPr>
          <w:p w:rsidR="00136A58" w:rsidRPr="00F53814" w:rsidRDefault="00136A58" w:rsidP="00136A58">
            <w:pPr>
              <w:jc w:val="both"/>
              <w:rPr>
                <w:sz w:val="22"/>
                <w:szCs w:val="22"/>
              </w:rPr>
            </w:pPr>
            <w:r w:rsidRPr="00F53814">
              <w:rPr>
                <w:sz w:val="22"/>
                <w:szCs w:val="22"/>
              </w:rPr>
              <w:t>$12,739</w:t>
            </w:r>
          </w:p>
        </w:tc>
      </w:tr>
      <w:tr w:rsidR="00136A58" w:rsidRPr="00F53814" w:rsidTr="008A3397">
        <w:tc>
          <w:tcPr>
            <w:tcW w:w="3192" w:type="dxa"/>
          </w:tcPr>
          <w:p w:rsidR="00136A58" w:rsidRPr="00F53814" w:rsidRDefault="00136A58" w:rsidP="00136A58">
            <w:pPr>
              <w:jc w:val="both"/>
              <w:rPr>
                <w:sz w:val="22"/>
                <w:szCs w:val="22"/>
              </w:rPr>
            </w:pPr>
            <w:r w:rsidRPr="00F53814">
              <w:rPr>
                <w:sz w:val="22"/>
                <w:szCs w:val="22"/>
              </w:rPr>
              <w:t>Miami Open Tennis Stadium</w:t>
            </w:r>
            <w:r w:rsidRPr="00F53814">
              <w:rPr>
                <w:sz w:val="22"/>
                <w:szCs w:val="22"/>
              </w:rPr>
              <w:tab/>
            </w:r>
          </w:p>
        </w:tc>
        <w:tc>
          <w:tcPr>
            <w:tcW w:w="3192" w:type="dxa"/>
            <w:vAlign w:val="bottom"/>
          </w:tcPr>
          <w:p w:rsidR="00136A58" w:rsidRPr="00F53814" w:rsidRDefault="00136A58" w:rsidP="00136A58">
            <w:pPr>
              <w:jc w:val="both"/>
              <w:rPr>
                <w:sz w:val="22"/>
                <w:szCs w:val="22"/>
              </w:rPr>
            </w:pPr>
            <w:r w:rsidRPr="00F53814">
              <w:rPr>
                <w:sz w:val="22"/>
                <w:szCs w:val="22"/>
              </w:rPr>
              <w:t>$963,598</w:t>
            </w:r>
          </w:p>
        </w:tc>
        <w:tc>
          <w:tcPr>
            <w:tcW w:w="3192" w:type="dxa"/>
            <w:vAlign w:val="bottom"/>
          </w:tcPr>
          <w:p w:rsidR="00136A58" w:rsidRPr="00F53814" w:rsidRDefault="00136A58" w:rsidP="00136A58">
            <w:pPr>
              <w:jc w:val="both"/>
              <w:rPr>
                <w:sz w:val="22"/>
                <w:szCs w:val="22"/>
              </w:rPr>
            </w:pPr>
            <w:r w:rsidRPr="00F53814">
              <w:rPr>
                <w:sz w:val="22"/>
                <w:szCs w:val="22"/>
              </w:rPr>
              <w:t>$3,814</w:t>
            </w:r>
          </w:p>
        </w:tc>
      </w:tr>
      <w:tr w:rsidR="00136A58" w:rsidRPr="00F53814" w:rsidTr="008A3397">
        <w:tc>
          <w:tcPr>
            <w:tcW w:w="3192" w:type="dxa"/>
          </w:tcPr>
          <w:p w:rsidR="00136A58" w:rsidRPr="00F53814" w:rsidRDefault="00136A58" w:rsidP="00136A58">
            <w:pPr>
              <w:jc w:val="both"/>
              <w:rPr>
                <w:sz w:val="22"/>
                <w:szCs w:val="22"/>
              </w:rPr>
            </w:pPr>
            <w:r w:rsidRPr="00F53814">
              <w:rPr>
                <w:sz w:val="22"/>
                <w:szCs w:val="22"/>
              </w:rPr>
              <w:t>South West</w:t>
            </w:r>
            <w:r w:rsidRPr="00F53814">
              <w:rPr>
                <w:sz w:val="22"/>
                <w:szCs w:val="22"/>
              </w:rPr>
              <w:tab/>
            </w:r>
          </w:p>
        </w:tc>
        <w:tc>
          <w:tcPr>
            <w:tcW w:w="3192" w:type="dxa"/>
            <w:vAlign w:val="bottom"/>
          </w:tcPr>
          <w:p w:rsidR="00136A58" w:rsidRPr="00F53814" w:rsidRDefault="00136A58" w:rsidP="00136A58">
            <w:pPr>
              <w:jc w:val="both"/>
              <w:rPr>
                <w:sz w:val="22"/>
                <w:szCs w:val="22"/>
              </w:rPr>
            </w:pPr>
            <w:r w:rsidRPr="00F53814">
              <w:rPr>
                <w:sz w:val="22"/>
                <w:szCs w:val="22"/>
              </w:rPr>
              <w:t>$608,040</w:t>
            </w:r>
          </w:p>
        </w:tc>
        <w:tc>
          <w:tcPr>
            <w:tcW w:w="3192" w:type="dxa"/>
            <w:vAlign w:val="bottom"/>
          </w:tcPr>
          <w:p w:rsidR="00136A58" w:rsidRPr="00F53814" w:rsidRDefault="00136A58" w:rsidP="00136A58">
            <w:pPr>
              <w:jc w:val="both"/>
              <w:rPr>
                <w:sz w:val="22"/>
                <w:szCs w:val="22"/>
              </w:rPr>
            </w:pPr>
            <w:r w:rsidRPr="00F53814">
              <w:rPr>
                <w:sz w:val="22"/>
                <w:szCs w:val="22"/>
              </w:rPr>
              <w:t>$9,779</w:t>
            </w:r>
          </w:p>
        </w:tc>
      </w:tr>
      <w:tr w:rsidR="00136A58" w:rsidRPr="00F53814" w:rsidTr="008A3397">
        <w:tc>
          <w:tcPr>
            <w:tcW w:w="3192" w:type="dxa"/>
          </w:tcPr>
          <w:p w:rsidR="00136A58" w:rsidRPr="00F53814" w:rsidRDefault="00136A58" w:rsidP="00136A58">
            <w:pPr>
              <w:jc w:val="both"/>
              <w:rPr>
                <w:sz w:val="22"/>
                <w:szCs w:val="22"/>
              </w:rPr>
            </w:pPr>
            <w:r w:rsidRPr="00F53814">
              <w:rPr>
                <w:sz w:val="22"/>
                <w:szCs w:val="22"/>
              </w:rPr>
              <w:t>Total*</w:t>
            </w:r>
            <w:r w:rsidRPr="00F53814">
              <w:rPr>
                <w:sz w:val="22"/>
                <w:szCs w:val="22"/>
              </w:rPr>
              <w:tab/>
            </w:r>
          </w:p>
        </w:tc>
        <w:tc>
          <w:tcPr>
            <w:tcW w:w="3192" w:type="dxa"/>
            <w:vAlign w:val="bottom"/>
          </w:tcPr>
          <w:p w:rsidR="00136A58" w:rsidRPr="00F53814" w:rsidRDefault="00136A58" w:rsidP="00136A58">
            <w:pPr>
              <w:jc w:val="both"/>
              <w:rPr>
                <w:sz w:val="22"/>
                <w:szCs w:val="22"/>
              </w:rPr>
            </w:pPr>
            <w:r w:rsidRPr="00F53814">
              <w:rPr>
                <w:sz w:val="22"/>
                <w:szCs w:val="22"/>
              </w:rPr>
              <w:t>$3,539,327</w:t>
            </w:r>
          </w:p>
        </w:tc>
        <w:tc>
          <w:tcPr>
            <w:tcW w:w="3192" w:type="dxa"/>
            <w:vAlign w:val="bottom"/>
          </w:tcPr>
          <w:p w:rsidR="00136A58" w:rsidRPr="00F53814" w:rsidRDefault="00136A58" w:rsidP="00136A58">
            <w:pPr>
              <w:jc w:val="both"/>
              <w:rPr>
                <w:sz w:val="22"/>
                <w:szCs w:val="22"/>
              </w:rPr>
            </w:pPr>
            <w:r w:rsidRPr="00F53814">
              <w:rPr>
                <w:sz w:val="22"/>
                <w:szCs w:val="22"/>
              </w:rPr>
              <w:t>$27,995</w:t>
            </w:r>
          </w:p>
        </w:tc>
      </w:tr>
    </w:tbl>
    <w:p w:rsidR="00136A58" w:rsidRPr="00F53814" w:rsidRDefault="00136A58" w:rsidP="00136A58">
      <w:pPr>
        <w:jc w:val="both"/>
        <w:rPr>
          <w:sz w:val="22"/>
          <w:szCs w:val="22"/>
        </w:rPr>
      </w:pPr>
      <w:r w:rsidRPr="00F53814">
        <w:rPr>
          <w:sz w:val="22"/>
          <w:szCs w:val="22"/>
        </w:rPr>
        <w:t>Source: FPL’s Response to Staff’s First Data Request, No. 5 - Supplemental</w:t>
      </w:r>
    </w:p>
    <w:p w:rsidR="00136A58" w:rsidRDefault="00136A58" w:rsidP="00136A58">
      <w:pPr>
        <w:pStyle w:val="BodyText"/>
        <w:jc w:val="both"/>
      </w:pPr>
      <w:r w:rsidRPr="003E750D">
        <w:t>*May not add due to roundin</w:t>
      </w:r>
      <w:r>
        <w:t>g</w:t>
      </w:r>
    </w:p>
    <w:p w:rsidR="00136A58" w:rsidRDefault="00696DA8" w:rsidP="00136A58">
      <w:pPr>
        <w:pStyle w:val="BodyText"/>
        <w:jc w:val="both"/>
      </w:pPr>
      <w:r>
        <w:lastRenderedPageBreak/>
        <w:tab/>
        <w:t xml:space="preserve">Based upon our decision to establish an annual depreciation rate of 10 percent applicable to </w:t>
      </w:r>
      <w:r w:rsidR="006B21C2">
        <w:t>Account</w:t>
      </w:r>
      <w:r w:rsidR="006B21C2" w:rsidRPr="001417D6">
        <w:t xml:space="preserve"> 348 - Energy Storag</w:t>
      </w:r>
      <w:r w:rsidR="006B21C2">
        <w:t>e Equipment – Production,</w:t>
      </w:r>
      <w:r w:rsidR="006B21C2" w:rsidRPr="00BA2466">
        <w:t xml:space="preserve"> </w:t>
      </w:r>
      <w:r w:rsidR="006B21C2">
        <w:t xml:space="preserve">Account </w:t>
      </w:r>
      <w:r w:rsidR="006B21C2" w:rsidRPr="00BA2466">
        <w:t>351 - Energy S</w:t>
      </w:r>
      <w:r w:rsidR="006B21C2">
        <w:t>torage Equipment – Transmission,</w:t>
      </w:r>
      <w:r w:rsidR="006B21C2" w:rsidRPr="00BA2466">
        <w:t xml:space="preserve"> </w:t>
      </w:r>
      <w:r w:rsidR="006B21C2">
        <w:t xml:space="preserve">and </w:t>
      </w:r>
      <w:r w:rsidR="006B21C2" w:rsidRPr="00BA2466">
        <w:t xml:space="preserve">Account 363 - Energy Storage Equipment – Distribution </w:t>
      </w:r>
      <w:r>
        <w:t xml:space="preserve">as discussed above, we find that </w:t>
      </w:r>
      <w:r w:rsidR="00136A58">
        <w:t xml:space="preserve">the transfer of plant and reserve balances associated with energy storage equipment is </w:t>
      </w:r>
      <w:r w:rsidR="006B21C2">
        <w:t xml:space="preserve">also </w:t>
      </w:r>
      <w:r w:rsidR="00136A58">
        <w:t>appropriate</w:t>
      </w:r>
      <w:r w:rsidR="006B21C2">
        <w:t xml:space="preserve">.  </w:t>
      </w:r>
      <w:r w:rsidR="00136A58" w:rsidRPr="00BA2466">
        <w:t>These transfers w</w:t>
      </w:r>
      <w:r w:rsidR="006B21C2">
        <w:t>ill</w:t>
      </w:r>
      <w:r w:rsidR="00136A58" w:rsidRPr="00BA2466">
        <w:t xml:space="preserve"> assist in ensuring that costs are assigned appropriately to the function for which the equipment is being used, as well as </w:t>
      </w:r>
      <w:r w:rsidR="00136A58">
        <w:t>further ref</w:t>
      </w:r>
      <w:r w:rsidR="00136A58" w:rsidRPr="00BA2466">
        <w:t>in</w:t>
      </w:r>
      <w:r w:rsidR="00136A58">
        <w:t>in</w:t>
      </w:r>
      <w:r w:rsidR="00136A58" w:rsidRPr="00BA2466">
        <w:t xml:space="preserve">g cost </w:t>
      </w:r>
      <w:r w:rsidR="00136A58">
        <w:t>recovery to the</w:t>
      </w:r>
      <w:r w:rsidR="00136A58" w:rsidRPr="00BA2466">
        <w:t xml:space="preserve"> useful life pattern</w:t>
      </w:r>
      <w:r w:rsidR="00136A58">
        <w:t>s</w:t>
      </w:r>
      <w:r w:rsidR="00136A58" w:rsidRPr="00BA2466">
        <w:t xml:space="preserve"> of</w:t>
      </w:r>
      <w:r w:rsidR="00136A58">
        <w:t xml:space="preserve"> the three</w:t>
      </w:r>
      <w:r w:rsidR="00136A58" w:rsidRPr="00BA2466">
        <w:t xml:space="preserve"> energy storage </w:t>
      </w:r>
      <w:r w:rsidR="00136A58">
        <w:t>(equipment) property groups</w:t>
      </w:r>
      <w:r w:rsidR="00136A58" w:rsidRPr="00BA2466">
        <w:t>.</w:t>
      </w:r>
    </w:p>
    <w:p w:rsidR="00136A58" w:rsidRDefault="006B21C2" w:rsidP="00136A58">
      <w:pPr>
        <w:pStyle w:val="BodyText"/>
        <w:jc w:val="both"/>
      </w:pPr>
      <w:r>
        <w:tab/>
        <w:t xml:space="preserve">We further find that </w:t>
      </w:r>
      <w:r w:rsidR="00136A58" w:rsidRPr="000015F3">
        <w:t xml:space="preserve">book transfers from </w:t>
      </w:r>
      <w:r w:rsidR="00136A58">
        <w:t>Account 362 - Station Equipment</w:t>
      </w:r>
      <w:r w:rsidR="00136A58" w:rsidRPr="000015F3">
        <w:t xml:space="preserve"> to Account 348 </w:t>
      </w:r>
      <w:r w:rsidR="00136A58">
        <w:t xml:space="preserve">- </w:t>
      </w:r>
      <w:r w:rsidR="00136A58" w:rsidRPr="000015F3">
        <w:t>Energy</w:t>
      </w:r>
      <w:r w:rsidR="00136A58">
        <w:t xml:space="preserve"> Storage Equipment</w:t>
      </w:r>
      <w:r w:rsidR="00136A58" w:rsidRPr="002713B1">
        <w:t xml:space="preserve"> –</w:t>
      </w:r>
      <w:r w:rsidR="00136A58">
        <w:t xml:space="preserve"> Production</w:t>
      </w:r>
      <w:r w:rsidR="00136A58" w:rsidRPr="000015F3">
        <w:t xml:space="preserve"> and Account 363 </w:t>
      </w:r>
      <w:r w:rsidR="00136A58">
        <w:t>-</w:t>
      </w:r>
      <w:r w:rsidR="00136A58" w:rsidRPr="000015F3">
        <w:t xml:space="preserve"> Energy Storage Equipment – Distribution in the aggregate amounts detailed in Tables 2 and 3</w:t>
      </w:r>
      <w:r>
        <w:t xml:space="preserve"> shall be made.  The effective date of this new depreciation rate for FPL’s energy storage equipment, applicable to Accounts</w:t>
      </w:r>
      <w:r w:rsidRPr="000015F3">
        <w:t xml:space="preserve"> 348 - Energy Storage Equip</w:t>
      </w:r>
      <w:r>
        <w:t>ment – Production,</w:t>
      </w:r>
      <w:r w:rsidRPr="000015F3">
        <w:t xml:space="preserve"> </w:t>
      </w:r>
      <w:r>
        <w:t xml:space="preserve">Account </w:t>
      </w:r>
      <w:r w:rsidRPr="000015F3">
        <w:t>351 - Energy S</w:t>
      </w:r>
      <w:r>
        <w:t>torage Equipment – Transmission, and</w:t>
      </w:r>
      <w:r w:rsidRPr="000015F3">
        <w:t xml:space="preserve"> Account 363 - Energy Storage Equipment – Distribution,</w:t>
      </w:r>
      <w:r>
        <w:t xml:space="preserve"> shall be upon the issuance of a final Commission Order in this docke</w:t>
      </w:r>
      <w:r w:rsidRPr="007141CD">
        <w:t>t.</w:t>
      </w:r>
    </w:p>
    <w:p w:rsidR="00354E2B" w:rsidRDefault="006B21C2" w:rsidP="00136A58">
      <w:pPr>
        <w:jc w:val="both"/>
      </w:pPr>
      <w:r>
        <w:tab/>
        <w:t>Based on the foregoing, it is</w:t>
      </w:r>
    </w:p>
    <w:p w:rsidR="006B21C2" w:rsidRDefault="006B21C2" w:rsidP="00136A58">
      <w:pPr>
        <w:jc w:val="both"/>
      </w:pPr>
    </w:p>
    <w:p w:rsidR="006B21C2" w:rsidRDefault="006B21C2" w:rsidP="00136A58">
      <w:pPr>
        <w:jc w:val="both"/>
      </w:pPr>
      <w:r>
        <w:tab/>
        <w:t>ORDERED</w:t>
      </w:r>
      <w:r w:rsidR="00105ECA">
        <w:t xml:space="preserve"> </w:t>
      </w:r>
      <w:r>
        <w:t>by the Florida Public Service Commission that Florida Power &amp; Light Company’s request for approval of an annual depreciation rate of 10 percent for energy storage equipment is granted as set forth in the body of this order.  It is further</w:t>
      </w:r>
    </w:p>
    <w:p w:rsidR="006B21C2" w:rsidRDefault="006B21C2" w:rsidP="00136A58">
      <w:pPr>
        <w:jc w:val="both"/>
      </w:pPr>
    </w:p>
    <w:p w:rsidR="00105ECA" w:rsidRDefault="006B21C2" w:rsidP="00136A58">
      <w:pPr>
        <w:jc w:val="both"/>
      </w:pPr>
      <w:r>
        <w:tab/>
        <w:t xml:space="preserve">ORDERED that Florida Power &amp; Light Company’s request to transfer plant investments and associated book reserves </w:t>
      </w:r>
      <w:r w:rsidR="00105ECA">
        <w:t>is granted as set forth in the body of this order.  It is further</w:t>
      </w:r>
    </w:p>
    <w:p w:rsidR="00105ECA" w:rsidRDefault="00105ECA" w:rsidP="00136A58">
      <w:pPr>
        <w:jc w:val="both"/>
      </w:pPr>
    </w:p>
    <w:p w:rsidR="006B21C2" w:rsidRDefault="00105ECA" w:rsidP="00136A58">
      <w:pPr>
        <w:jc w:val="both"/>
      </w:pPr>
      <w:r>
        <w:tab/>
        <w:t>ORDERED that the new deprecation rate for energy storage equipment shall become effective upon issuance of a final order in this docket.  It is further</w:t>
      </w:r>
    </w:p>
    <w:p w:rsidR="00105ECA" w:rsidRDefault="00105ECA" w:rsidP="00136A58">
      <w:pPr>
        <w:jc w:val="both"/>
      </w:pPr>
    </w:p>
    <w:p w:rsidR="00105ECA" w:rsidRDefault="00105ECA" w:rsidP="00136A58">
      <w:pPr>
        <w:jc w:val="both"/>
      </w:pPr>
      <w:r>
        <w:tab/>
        <w:t>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105ECA" w:rsidRDefault="00105ECA" w:rsidP="00136A58">
      <w:pPr>
        <w:jc w:val="both"/>
      </w:pPr>
    </w:p>
    <w:p w:rsidR="00105ECA" w:rsidRDefault="00105ECA" w:rsidP="00136A58">
      <w:pPr>
        <w:jc w:val="both"/>
      </w:pPr>
      <w:r>
        <w:tab/>
        <w:t xml:space="preserve">ORDERED that if no person whose substantial interests are affected by this proposed agency action files a </w:t>
      </w:r>
      <w:r w:rsidR="00BA1462">
        <w:t xml:space="preserve">timely </w:t>
      </w:r>
      <w:r>
        <w:t>protest</w:t>
      </w:r>
      <w:r w:rsidR="00BA1462">
        <w:t xml:space="preserve"> within 21 days of the issuance of this Order, this docket shall be closed upon the issuance of a Consummating Order.</w:t>
      </w:r>
      <w:r w:rsidR="00822207">
        <w:t xml:space="preserve">  </w:t>
      </w:r>
      <w:r w:rsidR="00BA1462">
        <w:t>If a timely protest is filed by a substantially affected person, this docket shall remain open pending resolution of the protest.</w:t>
      </w:r>
    </w:p>
    <w:p w:rsidR="00BA1462" w:rsidRDefault="00BA1462" w:rsidP="00136A58">
      <w:pPr>
        <w:jc w:val="both"/>
      </w:pPr>
    </w:p>
    <w:p w:rsidR="00BA1462" w:rsidRDefault="00BA1462" w:rsidP="00BA1462">
      <w:pPr>
        <w:keepNext/>
        <w:keepLines/>
        <w:jc w:val="both"/>
      </w:pPr>
      <w:r>
        <w:lastRenderedPageBreak/>
        <w:tab/>
        <w:t xml:space="preserve">By ORDER of the Florida Public Service Commission this </w:t>
      </w:r>
      <w:bookmarkStart w:id="5" w:name="replaceDate"/>
      <w:bookmarkEnd w:id="5"/>
      <w:r w:rsidR="00725A87">
        <w:rPr>
          <w:u w:val="single"/>
        </w:rPr>
        <w:t>20th</w:t>
      </w:r>
      <w:r w:rsidR="00725A87">
        <w:t xml:space="preserve"> day of </w:t>
      </w:r>
      <w:r w:rsidR="00725A87">
        <w:rPr>
          <w:u w:val="single"/>
        </w:rPr>
        <w:t>September</w:t>
      </w:r>
      <w:r w:rsidR="00725A87">
        <w:t xml:space="preserve">, </w:t>
      </w:r>
      <w:r w:rsidR="00725A87">
        <w:rPr>
          <w:u w:val="single"/>
        </w:rPr>
        <w:t>2017</w:t>
      </w:r>
      <w:r w:rsidR="00725A87">
        <w:t>.</w:t>
      </w:r>
    </w:p>
    <w:p w:rsidR="00725A87" w:rsidRDefault="00725A87" w:rsidP="00BA1462">
      <w:pPr>
        <w:keepNext/>
        <w:keepLines/>
        <w:jc w:val="both"/>
      </w:pPr>
    </w:p>
    <w:p w:rsidR="00725A87" w:rsidRPr="00725A87" w:rsidRDefault="00725A87" w:rsidP="00BA146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A1462" w:rsidTr="00BA1462">
        <w:tc>
          <w:tcPr>
            <w:tcW w:w="720" w:type="dxa"/>
            <w:shd w:val="clear" w:color="auto" w:fill="auto"/>
          </w:tcPr>
          <w:p w:rsidR="00BA1462" w:rsidRDefault="00BA1462" w:rsidP="00BA1462">
            <w:pPr>
              <w:keepNext/>
              <w:keepLines/>
              <w:jc w:val="both"/>
            </w:pPr>
            <w:bookmarkStart w:id="6" w:name="bkmrkSignature" w:colFirst="0" w:colLast="0"/>
          </w:p>
        </w:tc>
        <w:tc>
          <w:tcPr>
            <w:tcW w:w="4320" w:type="dxa"/>
            <w:tcBorders>
              <w:bottom w:val="single" w:sz="4" w:space="0" w:color="auto"/>
            </w:tcBorders>
            <w:shd w:val="clear" w:color="auto" w:fill="auto"/>
          </w:tcPr>
          <w:p w:rsidR="00BA1462" w:rsidRDefault="00725A87" w:rsidP="00BA1462">
            <w:pPr>
              <w:keepNext/>
              <w:keepLines/>
              <w:jc w:val="both"/>
            </w:pPr>
            <w:r>
              <w:t>/s/ Hong Wang</w:t>
            </w:r>
          </w:p>
        </w:tc>
      </w:tr>
      <w:bookmarkEnd w:id="6"/>
      <w:tr w:rsidR="00BA1462" w:rsidTr="00BA1462">
        <w:tc>
          <w:tcPr>
            <w:tcW w:w="720" w:type="dxa"/>
            <w:shd w:val="clear" w:color="auto" w:fill="auto"/>
          </w:tcPr>
          <w:p w:rsidR="00BA1462" w:rsidRDefault="00BA1462" w:rsidP="00BA1462">
            <w:pPr>
              <w:keepNext/>
              <w:keepLines/>
              <w:jc w:val="both"/>
            </w:pPr>
          </w:p>
        </w:tc>
        <w:tc>
          <w:tcPr>
            <w:tcW w:w="4320" w:type="dxa"/>
            <w:tcBorders>
              <w:top w:val="single" w:sz="4" w:space="0" w:color="auto"/>
            </w:tcBorders>
            <w:shd w:val="clear" w:color="auto" w:fill="auto"/>
          </w:tcPr>
          <w:p w:rsidR="00725A87" w:rsidRDefault="00725A87" w:rsidP="00BA1462">
            <w:pPr>
              <w:keepNext/>
              <w:keepLines/>
              <w:jc w:val="both"/>
            </w:pPr>
            <w:r>
              <w:t>HONG WANG</w:t>
            </w:r>
          </w:p>
          <w:p w:rsidR="00BA1462" w:rsidRDefault="00725A87" w:rsidP="00BA1462">
            <w:pPr>
              <w:keepNext/>
              <w:keepLines/>
              <w:jc w:val="both"/>
            </w:pPr>
            <w:r>
              <w:t>Chief Deputy Commission Clerk</w:t>
            </w:r>
            <w:bookmarkStart w:id="7" w:name="_GoBack"/>
            <w:bookmarkEnd w:id="7"/>
          </w:p>
        </w:tc>
      </w:tr>
    </w:tbl>
    <w:p w:rsidR="00BA1462" w:rsidRDefault="00BA1462" w:rsidP="00BA1462">
      <w:pPr>
        <w:pStyle w:val="OrderSigInfo"/>
        <w:keepNext/>
        <w:keepLines/>
      </w:pPr>
      <w:r>
        <w:t>Florida Public Service Commission</w:t>
      </w:r>
    </w:p>
    <w:p w:rsidR="00BA1462" w:rsidRDefault="00BA1462" w:rsidP="00BA1462">
      <w:pPr>
        <w:pStyle w:val="OrderSigInfo"/>
        <w:keepNext/>
        <w:keepLines/>
      </w:pPr>
      <w:r>
        <w:t>2540 Shumard Oak Boulevard</w:t>
      </w:r>
    </w:p>
    <w:p w:rsidR="00BA1462" w:rsidRDefault="00BA1462" w:rsidP="00BA1462">
      <w:pPr>
        <w:pStyle w:val="OrderSigInfo"/>
        <w:keepNext/>
        <w:keepLines/>
      </w:pPr>
      <w:r>
        <w:t>Tallahassee, Florida  32399</w:t>
      </w:r>
    </w:p>
    <w:p w:rsidR="00BA1462" w:rsidRDefault="00BA1462" w:rsidP="00BA1462">
      <w:pPr>
        <w:pStyle w:val="OrderSigInfo"/>
        <w:keepNext/>
        <w:keepLines/>
      </w:pPr>
      <w:r>
        <w:t>(850) 413</w:t>
      </w:r>
      <w:r>
        <w:noBreakHyphen/>
        <w:t>6770</w:t>
      </w:r>
    </w:p>
    <w:p w:rsidR="00BA1462" w:rsidRDefault="00BA1462" w:rsidP="00BA1462">
      <w:pPr>
        <w:pStyle w:val="OrderSigInfo"/>
        <w:keepNext/>
        <w:keepLines/>
      </w:pPr>
      <w:r>
        <w:t>www.floridapsc.com</w:t>
      </w:r>
    </w:p>
    <w:p w:rsidR="00BA1462" w:rsidRDefault="00BA1462" w:rsidP="00BA1462">
      <w:pPr>
        <w:pStyle w:val="OrderSigInfo"/>
        <w:keepNext/>
        <w:keepLines/>
      </w:pPr>
    </w:p>
    <w:p w:rsidR="00BA1462" w:rsidRDefault="00BA1462" w:rsidP="00BA1462">
      <w:pPr>
        <w:pStyle w:val="OrderSigInfo"/>
        <w:keepNext/>
        <w:keepLines/>
      </w:pPr>
      <w:r>
        <w:t>Copies furnished:  A copy of this document is provided to the parties of record at the time of issuance and, if applicable, interested persons.</w:t>
      </w:r>
    </w:p>
    <w:p w:rsidR="00BA1462" w:rsidRDefault="00BA1462" w:rsidP="00BA1462">
      <w:pPr>
        <w:pStyle w:val="OrderBody"/>
        <w:keepNext/>
        <w:keepLines/>
      </w:pPr>
    </w:p>
    <w:p w:rsidR="00BA1462" w:rsidRDefault="00BA1462" w:rsidP="00BA1462">
      <w:pPr>
        <w:keepNext/>
        <w:keepLines/>
        <w:jc w:val="both"/>
      </w:pPr>
      <w:r>
        <w:t>SBr</w:t>
      </w:r>
    </w:p>
    <w:p w:rsidR="00BA1462" w:rsidRDefault="00BA1462" w:rsidP="00BA1462">
      <w:pPr>
        <w:keepNext/>
        <w:keepLines/>
        <w:jc w:val="both"/>
      </w:pPr>
    </w:p>
    <w:p w:rsidR="00822207" w:rsidRDefault="00822207" w:rsidP="00822207">
      <w:pPr>
        <w:pStyle w:val="CenterUnderline"/>
      </w:pPr>
      <w:r>
        <w:t>NOTICE OF FURTHER PROCEEDINGS OR JUDICIAL REVIEW</w:t>
      </w:r>
    </w:p>
    <w:p w:rsidR="00BA1462" w:rsidRDefault="00BA1462" w:rsidP="00822207">
      <w:pPr>
        <w:pStyle w:val="CenterUnderline"/>
      </w:pPr>
    </w:p>
    <w:p w:rsidR="00822207" w:rsidRDefault="00822207" w:rsidP="00822207">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822207" w:rsidRDefault="00822207" w:rsidP="00822207">
      <w:pPr>
        <w:pStyle w:val="OrderBody"/>
      </w:pPr>
    </w:p>
    <w:p w:rsidR="00822207" w:rsidRDefault="00822207" w:rsidP="00822207">
      <w:pPr>
        <w:pStyle w:val="OrderBody"/>
      </w:pPr>
      <w:r>
        <w:tab/>
        <w:t>Mediation may be available on a case-by-case basis.  If mediation is conducted, it does not affect a substantially interested person's right to a hearing.</w:t>
      </w:r>
    </w:p>
    <w:p w:rsidR="00822207" w:rsidRDefault="00822207" w:rsidP="00822207">
      <w:pPr>
        <w:pStyle w:val="OrderBody"/>
      </w:pPr>
    </w:p>
    <w:p w:rsidR="00822207" w:rsidRDefault="00822207" w:rsidP="00822207">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725A87">
        <w:rPr>
          <w:u w:val="single"/>
        </w:rPr>
        <w:t>October 11, 2017</w:t>
      </w:r>
      <w:r>
        <w:t>.</w:t>
      </w:r>
    </w:p>
    <w:p w:rsidR="00822207" w:rsidRDefault="00822207" w:rsidP="00822207">
      <w:pPr>
        <w:pStyle w:val="OrderBody"/>
      </w:pPr>
    </w:p>
    <w:p w:rsidR="00822207" w:rsidRDefault="00822207" w:rsidP="00822207">
      <w:pPr>
        <w:pStyle w:val="OrderBody"/>
      </w:pPr>
      <w:r>
        <w:tab/>
        <w:t>In the absence of such a petition, this order shall become final and effective upon the issuance of a Consummating Order.</w:t>
      </w:r>
    </w:p>
    <w:p w:rsidR="00822207" w:rsidRDefault="00822207" w:rsidP="00822207">
      <w:pPr>
        <w:pStyle w:val="OrderBody"/>
      </w:pPr>
    </w:p>
    <w:p w:rsidR="00822207" w:rsidRDefault="00822207" w:rsidP="00822207">
      <w:pPr>
        <w:pStyle w:val="OrderBody"/>
      </w:pPr>
      <w:r>
        <w:tab/>
        <w:t>Any objection or protest filed in this/these docket(s) before the issuance date of this order is considered abandoned unless it satisfies the foregoing conditions and is renewed within the specified protest period.</w:t>
      </w:r>
    </w:p>
    <w:sectPr w:rsidR="0082220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BAE" w:rsidRDefault="00C60BAE">
      <w:r>
        <w:separator/>
      </w:r>
    </w:p>
  </w:endnote>
  <w:endnote w:type="continuationSeparator" w:id="0">
    <w:p w:rsidR="00C60BAE" w:rsidRDefault="00C6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BAE" w:rsidRDefault="00C60BAE">
      <w:r>
        <w:separator/>
      </w:r>
    </w:p>
  </w:footnote>
  <w:footnote w:type="continuationSeparator" w:id="0">
    <w:p w:rsidR="00C60BAE" w:rsidRDefault="00C60BAE">
      <w:r>
        <w:continuationSeparator/>
      </w:r>
    </w:p>
  </w:footnote>
  <w:footnote w:id="1">
    <w:p w:rsidR="00354E2B" w:rsidRDefault="00354E2B" w:rsidP="00354E2B">
      <w:pPr>
        <w:pStyle w:val="FootnoteText"/>
      </w:pPr>
      <w:r>
        <w:rPr>
          <w:rStyle w:val="FootnoteReference"/>
        </w:rPr>
        <w:footnoteRef/>
      </w:r>
      <w:r>
        <w:t xml:space="preserve"> </w:t>
      </w:r>
      <w:r>
        <w:rPr>
          <w:color w:val="000000"/>
        </w:rPr>
        <w:t xml:space="preserve">Code of Federal Regulations, Title 18, Subchapter C, Part 101, for Major Utilities, as revised </w:t>
      </w:r>
      <w:r>
        <w:t>April 1, 2013.</w:t>
      </w:r>
    </w:p>
  </w:footnote>
  <w:footnote w:id="2">
    <w:p w:rsidR="00354E2B" w:rsidRDefault="00354E2B" w:rsidP="00354E2B">
      <w:pPr>
        <w:pStyle w:val="FootnoteText"/>
      </w:pPr>
      <w:r>
        <w:rPr>
          <w:rStyle w:val="FootnoteReference"/>
        </w:rPr>
        <w:footnoteRef/>
      </w:r>
      <w:r>
        <w:t xml:space="preserve"> Order No. PSC-16-0560-AS-EI, issued December 15, 2016, in </w:t>
      </w:r>
      <w:r w:rsidRPr="00383DA8">
        <w:t>Docket No. 160021-EI,</w:t>
      </w:r>
      <w:r>
        <w:t xml:space="preserve"> </w:t>
      </w:r>
      <w:r w:rsidRPr="00136A58">
        <w:rPr>
          <w:u w:val="single"/>
        </w:rPr>
        <w:t>In re: Petition for rate increase by Florida Power &amp; Light Company</w:t>
      </w:r>
      <w:r>
        <w:t>;</w:t>
      </w:r>
      <w:r w:rsidRPr="00383DA8">
        <w:t xml:space="preserve"> Docket No. 160061-EI, </w:t>
      </w:r>
      <w:r w:rsidRPr="00136A58">
        <w:rPr>
          <w:u w:val="single"/>
        </w:rPr>
        <w:t>In re: Petition for approval of 2016-2018 storm hardening plan, by Florida Power &amp; Light Company</w:t>
      </w:r>
      <w:r>
        <w:t>;</w:t>
      </w:r>
      <w:r w:rsidRPr="00383DA8">
        <w:t xml:space="preserve"> Docket No. 160062-EI, </w:t>
      </w:r>
      <w:r w:rsidRPr="00136A58">
        <w:rPr>
          <w:u w:val="single"/>
        </w:rPr>
        <w:t>In re: 2016 depreciation and dismantlement study by Florida Power &amp; Light Company</w:t>
      </w:r>
      <w:r>
        <w:t>; and</w:t>
      </w:r>
      <w:r w:rsidRPr="00383DA8">
        <w:t xml:space="preserve"> Docket No. 160088-EI, </w:t>
      </w:r>
      <w:r w:rsidRPr="00136A58">
        <w:rPr>
          <w:u w:val="single"/>
        </w:rPr>
        <w:t>In re: Petition for limited proceeding to modify and continue incentive mechanism, by Florida Power &amp; Light Company</w:t>
      </w:r>
      <w:r w:rsidRPr="00383DA8">
        <w:t>.</w:t>
      </w:r>
    </w:p>
  </w:footnote>
  <w:footnote w:id="3">
    <w:p w:rsidR="00354E2B" w:rsidRDefault="00354E2B" w:rsidP="00354E2B">
      <w:pPr>
        <w:pStyle w:val="FootnoteText"/>
      </w:pPr>
      <w:r>
        <w:rPr>
          <w:rStyle w:val="FootnoteReference"/>
        </w:rPr>
        <w:footnoteRef/>
      </w:r>
      <w:r>
        <w:t xml:space="preserve"> </w:t>
      </w:r>
      <w:r w:rsidRPr="002F181D">
        <w:rPr>
          <w:u w:val="single"/>
        </w:rPr>
        <w:t>Id</w:t>
      </w:r>
      <w:r>
        <w:t>.</w:t>
      </w:r>
    </w:p>
  </w:footnote>
  <w:footnote w:id="4">
    <w:p w:rsidR="00354E2B" w:rsidRDefault="00354E2B" w:rsidP="00354E2B">
      <w:pPr>
        <w:pStyle w:val="FootnoteText"/>
      </w:pPr>
      <w:r>
        <w:rPr>
          <w:rStyle w:val="FootnoteReference"/>
        </w:rPr>
        <w:footnoteRef/>
      </w:r>
      <w:r>
        <w:t xml:space="preserve"> </w:t>
      </w:r>
      <w:r w:rsidRPr="00BB5DFD">
        <w:t>U.S. Federal Energy Regulatory Commission</w:t>
      </w:r>
      <w:r>
        <w:t>,</w:t>
      </w:r>
      <w:r w:rsidRPr="00BB5DFD">
        <w:t xml:space="preserve"> Order No. 784, issued July 18, 2013, in Docket Nos. RM11-24-000 and AD10-13-000, </w:t>
      </w:r>
      <w:r w:rsidRPr="007F53CC">
        <w:rPr>
          <w:u w:val="single"/>
        </w:rPr>
        <w:t>In re: Third-Party Provision of Ancillary Services; Accounting and Financial Reporting for New Electric Storage Technologies</w:t>
      </w:r>
      <w:r w:rsidRPr="00BB5DFD">
        <w:t>.</w:t>
      </w:r>
    </w:p>
  </w:footnote>
  <w:footnote w:id="5">
    <w:p w:rsidR="00354E2B" w:rsidRDefault="00354E2B" w:rsidP="00354E2B">
      <w:pPr>
        <w:pStyle w:val="FootnoteText"/>
      </w:pPr>
      <w:r>
        <w:rPr>
          <w:rStyle w:val="FootnoteReference"/>
        </w:rPr>
        <w:footnoteRef/>
      </w:r>
      <w:r>
        <w:t xml:space="preserve"> </w:t>
      </w:r>
      <w:r w:rsidRPr="00B214F5">
        <w:t>Rule 25-6.0436(</w:t>
      </w:r>
      <w:r>
        <w:t xml:space="preserve">1)(e), F.A.C., and </w:t>
      </w:r>
      <w:r w:rsidRPr="00B214F5">
        <w:t>Rule 25-6.0436(</w:t>
      </w:r>
      <w:r>
        <w:t>1)(m</w:t>
      </w:r>
      <w:r w:rsidRPr="00B214F5">
        <w:t>)</w:t>
      </w:r>
      <w:r>
        <w:t>,</w:t>
      </w:r>
      <w:r w:rsidRPr="00B214F5">
        <w:t xml:space="preserve"> F.A.C.</w:t>
      </w:r>
      <w:r>
        <w:t>, spe</w:t>
      </w:r>
      <w:r w:rsidRPr="00B165B6">
        <w:t>cif</w:t>
      </w:r>
      <w:r>
        <w:t>y the Commission’s depreciation rate formulae and methodologies.</w:t>
      </w:r>
    </w:p>
  </w:footnote>
  <w:footnote w:id="6">
    <w:p w:rsidR="00354E2B" w:rsidRDefault="00354E2B" w:rsidP="00354E2B">
      <w:pPr>
        <w:pStyle w:val="FootnoteText"/>
      </w:pPr>
      <w:r>
        <w:rPr>
          <w:rStyle w:val="FootnoteReference"/>
        </w:rPr>
        <w:footnoteRef/>
      </w:r>
      <w:r>
        <w:t xml:space="preserve"> See FPL’s Responses to Staff’s First Data Request, No. 8, and Staff’s First Request for Production of Documents, No. 1.</w:t>
      </w:r>
    </w:p>
  </w:footnote>
  <w:footnote w:id="7">
    <w:p w:rsidR="00354E2B" w:rsidRDefault="00354E2B" w:rsidP="00354E2B">
      <w:pPr>
        <w:pStyle w:val="FootnoteText"/>
      </w:pPr>
      <w:r>
        <w:rPr>
          <w:rStyle w:val="FootnoteReference"/>
        </w:rPr>
        <w:footnoteRef/>
      </w:r>
      <w:r>
        <w:t xml:space="preserve"> </w:t>
      </w:r>
      <w:r w:rsidRPr="00AB5CFE">
        <w:t>State of New York Public Service Commission, Order Approving Electric and Gas Rate Plans, issued January 25, 2017, CASE 16-E-0060,</w:t>
      </w:r>
      <w:r w:rsidRPr="00AF747C">
        <w:rPr>
          <w:i/>
        </w:rPr>
        <w:t xml:space="preserve"> </w:t>
      </w:r>
      <w:r w:rsidRPr="007F53CC">
        <w:rPr>
          <w:u w:val="single"/>
        </w:rPr>
        <w:t>In re: Proceeding on Motion of the Commission as to the Rates, Charges, Rules and Regulations of Consolidated Edison Company of New York, Inc. for Electric Service.</w:t>
      </w:r>
    </w:p>
  </w:footnote>
  <w:footnote w:id="8">
    <w:p w:rsidR="00354E2B" w:rsidRDefault="00354E2B" w:rsidP="00354E2B">
      <w:pPr>
        <w:pStyle w:val="FootnoteText"/>
      </w:pPr>
      <w:r>
        <w:rPr>
          <w:rStyle w:val="FootnoteReference"/>
        </w:rPr>
        <w:footnoteRef/>
      </w:r>
      <w:r>
        <w:t xml:space="preserve"> </w:t>
      </w:r>
      <w:r w:rsidRPr="007B35D1">
        <w:t>Public Utilities Commission of the State of California</w:t>
      </w:r>
      <w:r>
        <w:t>,</w:t>
      </w:r>
      <w:r w:rsidRPr="007B35D1">
        <w:t xml:space="preserve"> Decision 17-05-013, issued May 11, 2017, Application 15-09-001,</w:t>
      </w:r>
      <w:r w:rsidRPr="00AF747C">
        <w:rPr>
          <w:i/>
        </w:rPr>
        <w:t xml:space="preserve"> </w:t>
      </w:r>
      <w:r w:rsidRPr="007F53CC">
        <w:rPr>
          <w:u w:val="single"/>
        </w:rPr>
        <w:t>In re: Application of Pacific Gas and Electric Company for Authority, Among Other Things, to Increase Rates and Charges for Electric and Gas Service Effective on January 1, 2017 (U39M)</w:t>
      </w:r>
      <w:r w:rsidRPr="007B35D1">
        <w:t>.</w:t>
      </w:r>
    </w:p>
  </w:footnote>
  <w:footnote w:id="9">
    <w:p w:rsidR="00354E2B" w:rsidRDefault="00354E2B" w:rsidP="00354E2B">
      <w:pPr>
        <w:pStyle w:val="FootnoteText"/>
      </w:pPr>
      <w:r>
        <w:rPr>
          <w:rStyle w:val="FootnoteReference"/>
        </w:rPr>
        <w:footnoteRef/>
      </w:r>
      <w:r>
        <w:t xml:space="preserve"> </w:t>
      </w:r>
      <w:r w:rsidRPr="009F0ACF">
        <w:t>Rule 25-6.0436(4)(a)</w:t>
      </w:r>
      <w:r>
        <w:t>,</w:t>
      </w:r>
      <w:r w:rsidRPr="009F0ACF">
        <w:t xml:space="preserve"> F.A.C.</w:t>
      </w:r>
      <w:r>
        <w:t>,</w:t>
      </w:r>
      <w:r w:rsidRPr="009F0ACF">
        <w:t xml:space="preserve"> requires investor-owned electric companies to file a depreciation study for Commission review at least once every four years from </w:t>
      </w:r>
      <w:r>
        <w:t>submission</w:t>
      </w:r>
      <w:r w:rsidRPr="009F0ACF">
        <w:t xml:space="preserve"> of the previous study </w:t>
      </w:r>
      <w:r>
        <w:t>and/</w:t>
      </w:r>
      <w:r w:rsidRPr="009F0ACF">
        <w:t>or pursuant to Commission order.</w:t>
      </w:r>
    </w:p>
  </w:footnote>
  <w:footnote w:id="10">
    <w:p w:rsidR="00354E2B" w:rsidRDefault="00354E2B" w:rsidP="00354E2B">
      <w:pPr>
        <w:pStyle w:val="FootnoteText"/>
      </w:pPr>
      <w:r>
        <w:rPr>
          <w:rStyle w:val="FootnoteReference"/>
        </w:rPr>
        <w:footnoteRef/>
      </w:r>
      <w:r>
        <w:t xml:space="preserve"> Pursuant to the terms of the 2016 Settlement Agreement, approved by </w:t>
      </w:r>
      <w:r w:rsidRPr="0089543A">
        <w:t>Order No. PSC-16-0560-AS-EI</w:t>
      </w:r>
      <w:r>
        <w:t xml:space="preserve">,  </w:t>
      </w:r>
      <w:r w:rsidRPr="00351DC8">
        <w:t>¶</w:t>
      </w:r>
      <w:r>
        <w:t xml:space="preserve"> </w:t>
      </w:r>
      <w:r w:rsidRPr="00351DC8">
        <w:t>18</w:t>
      </w:r>
      <w:r>
        <w:t xml:space="preserve">, FPL: “will pursue cost recovery for the Battery Storage Pilot in its next general base rate case . . .”. </w:t>
      </w:r>
    </w:p>
  </w:footnote>
  <w:footnote w:id="11">
    <w:p w:rsidR="00354E2B" w:rsidRDefault="00354E2B" w:rsidP="00354E2B">
      <w:pPr>
        <w:pStyle w:val="FootnoteText"/>
      </w:pPr>
      <w:r>
        <w:rPr>
          <w:rStyle w:val="FootnoteReference"/>
        </w:rPr>
        <w:footnoteRef/>
      </w:r>
      <w:r>
        <w:t xml:space="preserve"> Rule </w:t>
      </w:r>
      <w:r w:rsidRPr="00C26DD3">
        <w:rPr>
          <w:bCs/>
          <w:iCs/>
        </w:rPr>
        <w:t>25-6.0436(2)(b)</w:t>
      </w:r>
      <w:r>
        <w:rPr>
          <w:bCs/>
          <w:iCs/>
        </w:rPr>
        <w:t>,</w:t>
      </w:r>
      <w:r w:rsidRPr="00C26DD3">
        <w:rPr>
          <w:bCs/>
          <w:iCs/>
        </w:rPr>
        <w:t xml:space="preserve"> F.A.C.</w:t>
      </w:r>
      <w:r>
        <w:rPr>
          <w:bCs/>
          <w:iCs/>
        </w:rPr>
        <w:t>,</w:t>
      </w:r>
      <w:r w:rsidRPr="00C26DD3">
        <w:rPr>
          <w:bCs/>
          <w:iCs/>
        </w:rPr>
        <w:t xml:space="preserve"> </w:t>
      </w:r>
      <w:r>
        <w:rPr>
          <w:bCs/>
          <w:iCs/>
        </w:rPr>
        <w:t>requires that: “[n]</w:t>
      </w:r>
      <w:r w:rsidRPr="00C26DD3">
        <w:rPr>
          <w:bCs/>
          <w:iCs/>
        </w:rPr>
        <w:t>o utility shall reallocate accumulated depreciation reserves among any primary accounts and sub-accounts without prior Commission approval.</w:t>
      </w:r>
      <w:r>
        <w:rPr>
          <w:bCs/>
          <w:iCs/>
        </w:rPr>
        <w:t>”</w:t>
      </w:r>
    </w:p>
  </w:footnote>
  <w:footnote w:id="12">
    <w:p w:rsidR="00354E2B" w:rsidRDefault="00354E2B" w:rsidP="00354E2B">
      <w:pPr>
        <w:pStyle w:val="FootnoteText"/>
      </w:pPr>
      <w:r>
        <w:rPr>
          <w:rStyle w:val="FootnoteReference"/>
        </w:rPr>
        <w:footnoteRef/>
      </w:r>
      <w:r>
        <w:t xml:space="preserve"> </w:t>
      </w:r>
      <w:r w:rsidRPr="007C3B0E">
        <w:t>Order No. PSC-16-0560-AS-EI</w:t>
      </w:r>
      <w:r>
        <w:t>.</w:t>
      </w:r>
    </w:p>
  </w:footnote>
  <w:footnote w:id="13">
    <w:p w:rsidR="00354E2B" w:rsidRDefault="00354E2B" w:rsidP="00354E2B">
      <w:pPr>
        <w:pStyle w:val="FootnoteText"/>
      </w:pPr>
      <w:r>
        <w:rPr>
          <w:rStyle w:val="FootnoteReference"/>
        </w:rPr>
        <w:footnoteRef/>
      </w:r>
      <w:r>
        <w:t xml:space="preserve"> See Docket No. 160021-EI, Staff’s Thirty-Second Set of Interrogatories, No. 403 (Hearing Exhibit 429).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9 ">
      <w:r w:rsidR="00725A87">
        <w:t>PSC-2017-0359-PAA-EI</w:t>
      </w:r>
    </w:fldSimple>
  </w:p>
  <w:p w:rsidR="00FA6EFD" w:rsidRDefault="00C60BAE">
    <w:pPr>
      <w:pStyle w:val="OrderHeader"/>
    </w:pPr>
    <w:bookmarkStart w:id="8" w:name="HeaderDocketNo"/>
    <w:bookmarkEnd w:id="8"/>
    <w:r>
      <w:t>DOCKET NO. 20170097-EI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25A87">
      <w:rPr>
        <w:rStyle w:val="PageNumber"/>
        <w:noProof/>
      </w:rPr>
      <w:t>6</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97-EI"/>
  </w:docVars>
  <w:rsids>
    <w:rsidRoot w:val="00C60BAE"/>
    <w:rsid w:val="000022B8"/>
    <w:rsid w:val="00053AB9"/>
    <w:rsid w:val="00056229"/>
    <w:rsid w:val="00065FC2"/>
    <w:rsid w:val="00067685"/>
    <w:rsid w:val="00090AFC"/>
    <w:rsid w:val="000D02B8"/>
    <w:rsid w:val="000D06E8"/>
    <w:rsid w:val="000E20F0"/>
    <w:rsid w:val="000E344D"/>
    <w:rsid w:val="000F3B2C"/>
    <w:rsid w:val="000F648A"/>
    <w:rsid w:val="000F7BE3"/>
    <w:rsid w:val="001052BA"/>
    <w:rsid w:val="00105ECA"/>
    <w:rsid w:val="001107B3"/>
    <w:rsid w:val="001114B1"/>
    <w:rsid w:val="001139D8"/>
    <w:rsid w:val="00116AD3"/>
    <w:rsid w:val="00121957"/>
    <w:rsid w:val="00126593"/>
    <w:rsid w:val="00136A58"/>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54E2B"/>
    <w:rsid w:val="00361522"/>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B45F7"/>
    <w:rsid w:val="005B63EA"/>
    <w:rsid w:val="005C1A88"/>
    <w:rsid w:val="005C5033"/>
    <w:rsid w:val="00610E73"/>
    <w:rsid w:val="00660774"/>
    <w:rsid w:val="0066389A"/>
    <w:rsid w:val="0066495C"/>
    <w:rsid w:val="00665CC7"/>
    <w:rsid w:val="00672612"/>
    <w:rsid w:val="00696DA8"/>
    <w:rsid w:val="006A0BF3"/>
    <w:rsid w:val="006B0DA6"/>
    <w:rsid w:val="006B21C2"/>
    <w:rsid w:val="006C547E"/>
    <w:rsid w:val="006E6CF8"/>
    <w:rsid w:val="00704C5D"/>
    <w:rsid w:val="007072BC"/>
    <w:rsid w:val="00715275"/>
    <w:rsid w:val="00725A87"/>
    <w:rsid w:val="00726511"/>
    <w:rsid w:val="00733B6B"/>
    <w:rsid w:val="007467C4"/>
    <w:rsid w:val="0076170F"/>
    <w:rsid w:val="0076669C"/>
    <w:rsid w:val="007865E9"/>
    <w:rsid w:val="00792383"/>
    <w:rsid w:val="007A060F"/>
    <w:rsid w:val="007C36E3"/>
    <w:rsid w:val="007C7134"/>
    <w:rsid w:val="007D3D20"/>
    <w:rsid w:val="007E3AFD"/>
    <w:rsid w:val="007F53CC"/>
    <w:rsid w:val="00801DAD"/>
    <w:rsid w:val="00803189"/>
    <w:rsid w:val="00804E7A"/>
    <w:rsid w:val="00805FBB"/>
    <w:rsid w:val="008169A4"/>
    <w:rsid w:val="00822207"/>
    <w:rsid w:val="008278FE"/>
    <w:rsid w:val="00832598"/>
    <w:rsid w:val="0083397E"/>
    <w:rsid w:val="0083534B"/>
    <w:rsid w:val="00842602"/>
    <w:rsid w:val="00847B45"/>
    <w:rsid w:val="00863A66"/>
    <w:rsid w:val="008703D7"/>
    <w:rsid w:val="008730D4"/>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706A2"/>
    <w:rsid w:val="009924CF"/>
    <w:rsid w:val="00994100"/>
    <w:rsid w:val="009D4C29"/>
    <w:rsid w:val="00A00D8D"/>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1462"/>
    <w:rsid w:val="00BA44A8"/>
    <w:rsid w:val="00BC58E0"/>
    <w:rsid w:val="00BF6691"/>
    <w:rsid w:val="00C028FC"/>
    <w:rsid w:val="00C151A6"/>
    <w:rsid w:val="00C24098"/>
    <w:rsid w:val="00C30A4E"/>
    <w:rsid w:val="00C411F3"/>
    <w:rsid w:val="00C60BAE"/>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5A68"/>
    <w:rsid w:val="00EA172C"/>
    <w:rsid w:val="00EA259B"/>
    <w:rsid w:val="00EA35A3"/>
    <w:rsid w:val="00EA3E6A"/>
    <w:rsid w:val="00EB18EF"/>
    <w:rsid w:val="00EE17DF"/>
    <w:rsid w:val="00EF4621"/>
    <w:rsid w:val="00EF6312"/>
    <w:rsid w:val="00F234A7"/>
    <w:rsid w:val="00F277B6"/>
    <w:rsid w:val="00F53814"/>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6</Pages>
  <Words>2069</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2017-09-20T16:13:00Z</dcterms:created>
  <dcterms:modified xsi:type="dcterms:W3CDTF">2017-09-20T17:04:00Z</dcterms:modified>
</cp:coreProperties>
</file>